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CB7" w:rsidRDefault="00821CB7" w:rsidP="00821CB7">
      <w:pPr>
        <w:pStyle w:val="Newpage"/>
        <w:spacing w:before="120" w:after="120"/>
        <w:rPr>
          <w:szCs w:val="24"/>
        </w:rPr>
      </w:pPr>
      <w:bookmarkStart w:id="0" w:name="_Toc246127052"/>
      <w:bookmarkStart w:id="1" w:name="_GoBack"/>
      <w:bookmarkEnd w:id="1"/>
      <w:r w:rsidRPr="00060962">
        <w:rPr>
          <w:szCs w:val="24"/>
          <w:lang w:val="es-ES_tradnl"/>
        </w:rPr>
        <w:t>Plan de Monitoreo y Evaluación</w:t>
      </w:r>
    </w:p>
    <w:p w:rsidR="00821CB7" w:rsidRDefault="00821CB7" w:rsidP="00821CB7">
      <w:pPr>
        <w:pStyle w:val="Newpage"/>
        <w:spacing w:before="120" w:after="120"/>
        <w:rPr>
          <w:szCs w:val="24"/>
          <w:lang w:val="es-ES_tradnl"/>
        </w:rPr>
      </w:pPr>
      <w:r>
        <w:rPr>
          <w:szCs w:val="24"/>
          <w:lang w:val="es-ES_tradnl"/>
        </w:rPr>
        <w:t>Programa de Posicionamiento Estratégico Internacional</w:t>
      </w:r>
      <w:r w:rsidR="00B22BAA">
        <w:rPr>
          <w:szCs w:val="24"/>
          <w:lang w:val="es-ES_tradnl"/>
        </w:rPr>
        <w:t xml:space="preserve"> </w:t>
      </w:r>
    </w:p>
    <w:p w:rsidR="00D603A8" w:rsidRDefault="00D603A8" w:rsidP="00821CB7">
      <w:pPr>
        <w:pStyle w:val="Newpage"/>
        <w:spacing w:before="120" w:after="120"/>
      </w:pPr>
    </w:p>
    <w:p w:rsidR="00821CB7" w:rsidRDefault="003347D8" w:rsidP="00821CB7">
      <w:pPr>
        <w:pStyle w:val="Heading1"/>
        <w:keepLines/>
        <w:tabs>
          <w:tab w:val="clear" w:pos="360"/>
        </w:tabs>
        <w:spacing w:after="240" w:line="300" w:lineRule="auto"/>
        <w:jc w:val="both"/>
        <w:rPr>
          <w:lang w:val="es-ES"/>
        </w:rPr>
      </w:pPr>
      <w:r>
        <w:rPr>
          <w:lang w:val="es-ES"/>
        </w:rPr>
        <w:t>Introducción</w:t>
      </w:r>
    </w:p>
    <w:p w:rsidR="003347D8" w:rsidRDefault="00FC5082" w:rsidP="007548AF">
      <w:pPr>
        <w:spacing w:after="0" w:line="240" w:lineRule="auto"/>
        <w:jc w:val="both"/>
        <w:rPr>
          <w:rFonts w:ascii="Times New Roman" w:eastAsia="Times New Roman" w:hAnsi="Times New Roman" w:cs="Times New Roman"/>
          <w:sz w:val="24"/>
          <w:szCs w:val="24"/>
          <w:lang w:val="es-ES_tradnl" w:eastAsia="en-US"/>
        </w:rPr>
      </w:pPr>
      <w:r w:rsidRPr="00FC5082">
        <w:rPr>
          <w:rFonts w:ascii="Times New Roman" w:eastAsia="Times New Roman" w:hAnsi="Times New Roman" w:cs="Times New Roman"/>
          <w:sz w:val="24"/>
          <w:szCs w:val="24"/>
          <w:lang w:val="es-ES_tradnl" w:eastAsia="en-US"/>
        </w:rPr>
        <w:t xml:space="preserve">Este documento presenta los arreglos para el monitoreo y evaluación para </w:t>
      </w:r>
      <w:r w:rsidR="00B22BAA" w:rsidRPr="00FC677B">
        <w:rPr>
          <w:rFonts w:ascii="Times New Roman" w:eastAsia="Times New Roman" w:hAnsi="Times New Roman" w:cs="Times New Roman"/>
          <w:sz w:val="24"/>
          <w:szCs w:val="24"/>
          <w:lang w:val="es-ES_tradnl" w:eastAsia="en-US"/>
        </w:rPr>
        <w:t xml:space="preserve">la </w:t>
      </w:r>
      <w:r w:rsidRPr="00FC5082">
        <w:rPr>
          <w:rFonts w:ascii="Times New Roman" w:eastAsia="Times New Roman" w:hAnsi="Times New Roman" w:cs="Times New Roman"/>
          <w:sz w:val="24"/>
          <w:szCs w:val="24"/>
          <w:lang w:val="es-ES_tradnl" w:eastAsia="en-US"/>
        </w:rPr>
        <w:t xml:space="preserve"> serie programática bajo la modalidad de Préstamo Programático de Apoyo de Reformas de Política (PBP), cuyo objetivo </w:t>
      </w:r>
      <w:r>
        <w:rPr>
          <w:rFonts w:ascii="Times New Roman" w:eastAsia="Times New Roman" w:hAnsi="Times New Roman" w:cs="Times New Roman"/>
          <w:sz w:val="24"/>
          <w:szCs w:val="24"/>
          <w:lang w:val="es-ES_tradnl" w:eastAsia="en-US"/>
        </w:rPr>
        <w:t>es</w:t>
      </w:r>
      <w:r w:rsidR="003347D8" w:rsidRPr="003347D8">
        <w:rPr>
          <w:rFonts w:ascii="Times New Roman" w:eastAsia="Times New Roman" w:hAnsi="Times New Roman" w:cs="Times New Roman"/>
          <w:sz w:val="24"/>
          <w:szCs w:val="24"/>
          <w:lang w:val="es-ES_tradnl" w:eastAsia="en-US"/>
        </w:rPr>
        <w:t xml:space="preserve"> contribuir a la consolidación del posicionamiento internacional de Uruguay mediante el fortalecimiento del marco normativo e institucional para la atracción de inversiones, la promoción y facilitación comercial, y la maximización del impacto local de dicho posicionamiento. Los objetivos específicos del programa son: i) impulsar la atracción de inversiones orientadas a sectores de alto valor agregado; ii) mejorar los estándares de promoción y facilitación comercial; y iii) mejorar el desarrollo de las capacidades locales de innovación y absorción tecnológica</w:t>
      </w:r>
      <w:r w:rsidR="003347D8">
        <w:rPr>
          <w:rFonts w:ascii="Times New Roman" w:eastAsia="Times New Roman" w:hAnsi="Times New Roman" w:cs="Times New Roman"/>
          <w:sz w:val="24"/>
          <w:szCs w:val="24"/>
          <w:lang w:val="es-ES_tradnl" w:eastAsia="en-US"/>
        </w:rPr>
        <w:t>.</w:t>
      </w:r>
    </w:p>
    <w:p w:rsidR="007548AF" w:rsidRDefault="007548AF" w:rsidP="007548AF">
      <w:pPr>
        <w:spacing w:after="0" w:line="240" w:lineRule="auto"/>
        <w:jc w:val="both"/>
        <w:rPr>
          <w:rFonts w:ascii="Times New Roman" w:eastAsia="Times New Roman" w:hAnsi="Times New Roman" w:cs="Times New Roman"/>
          <w:sz w:val="24"/>
          <w:szCs w:val="24"/>
          <w:lang w:val="es-ES_tradnl" w:eastAsia="en-US"/>
        </w:rPr>
      </w:pPr>
    </w:p>
    <w:p w:rsidR="003347D8" w:rsidRPr="003347D8" w:rsidRDefault="003347D8" w:rsidP="007548AF">
      <w:pPr>
        <w:pStyle w:val="Default"/>
        <w:jc w:val="both"/>
        <w:rPr>
          <w:rFonts w:eastAsia="Times New Roman"/>
          <w:color w:val="auto"/>
          <w:lang w:val="es-ES_tradnl" w:eastAsia="en-US"/>
        </w:rPr>
      </w:pPr>
      <w:r w:rsidRPr="003347D8">
        <w:rPr>
          <w:rFonts w:eastAsia="Times New Roman"/>
          <w:color w:val="auto"/>
          <w:lang w:val="es-ES_tradnl" w:eastAsia="en-US"/>
        </w:rPr>
        <w:t xml:space="preserve">El programa se instrumenta mediante cuatro componentes i) Marco macroeconómico; ii) Promoción de inversiones; iii) Promoción y facilitación comercial; y iv) Mejora de las capacidades de Innovación. </w:t>
      </w:r>
      <w:r>
        <w:rPr>
          <w:rFonts w:eastAsia="Times New Roman"/>
          <w:color w:val="auto"/>
          <w:lang w:val="es-ES_tradnl" w:eastAsia="en-US"/>
        </w:rPr>
        <w:t xml:space="preserve"> Y </w:t>
      </w:r>
      <w:r w:rsidRPr="003347D8">
        <w:rPr>
          <w:rFonts w:eastAsia="Times New Roman"/>
          <w:color w:val="auto"/>
          <w:lang w:val="es-ES_tradnl" w:eastAsia="en-US"/>
        </w:rPr>
        <w:t xml:space="preserve">se estructura mediante un Préstamo de Apoyo a Reformas de Política bajo la Modalidad Programática. </w:t>
      </w:r>
    </w:p>
    <w:p w:rsidR="003347D8" w:rsidRPr="003347D8" w:rsidRDefault="003347D8" w:rsidP="007548AF">
      <w:pPr>
        <w:pStyle w:val="Default"/>
        <w:jc w:val="both"/>
        <w:rPr>
          <w:rFonts w:eastAsia="Times New Roman"/>
          <w:color w:val="auto"/>
          <w:lang w:eastAsia="en-US"/>
        </w:rPr>
      </w:pPr>
    </w:p>
    <w:p w:rsidR="003347D8" w:rsidRPr="003347D8" w:rsidRDefault="003347D8" w:rsidP="007548AF">
      <w:pPr>
        <w:spacing w:after="0" w:line="240" w:lineRule="auto"/>
        <w:jc w:val="both"/>
        <w:rPr>
          <w:rFonts w:ascii="Times New Roman" w:eastAsia="Times New Roman" w:hAnsi="Times New Roman" w:cs="Times New Roman"/>
          <w:sz w:val="24"/>
          <w:szCs w:val="24"/>
          <w:lang w:val="es-ES_tradnl" w:eastAsia="en-US"/>
        </w:rPr>
      </w:pPr>
      <w:r w:rsidRPr="003347D8">
        <w:rPr>
          <w:rFonts w:ascii="Times New Roman" w:eastAsia="Times New Roman" w:hAnsi="Times New Roman" w:cs="Times New Roman"/>
          <w:sz w:val="24"/>
          <w:szCs w:val="24"/>
          <w:lang w:val="es-ES_tradnl" w:eastAsia="en-US"/>
        </w:rPr>
        <w:t xml:space="preserve">El presente documento describe el Sistema de Monitoreo y el Plan de Evaluación para </w:t>
      </w:r>
      <w:r w:rsidR="0054179D">
        <w:rPr>
          <w:rFonts w:ascii="Times New Roman" w:eastAsia="Times New Roman" w:hAnsi="Times New Roman" w:cs="Times New Roman"/>
          <w:sz w:val="24"/>
          <w:szCs w:val="24"/>
          <w:lang w:val="es-ES_tradnl" w:eastAsia="en-US"/>
        </w:rPr>
        <w:t xml:space="preserve">la totalidad del </w:t>
      </w:r>
      <w:r>
        <w:rPr>
          <w:rFonts w:ascii="Times New Roman" w:eastAsia="Times New Roman" w:hAnsi="Times New Roman" w:cs="Times New Roman"/>
          <w:sz w:val="24"/>
          <w:szCs w:val="24"/>
          <w:lang w:val="es-ES_tradnl" w:eastAsia="en-US"/>
        </w:rPr>
        <w:t>programa, atendiendo a las particularidades de la misma, en tanto es una operación de reformas y no de inversión.</w:t>
      </w:r>
    </w:p>
    <w:p w:rsidR="003347D8" w:rsidRPr="003347D8" w:rsidRDefault="003347D8" w:rsidP="007548AF">
      <w:pPr>
        <w:spacing w:after="0" w:line="240" w:lineRule="auto"/>
        <w:rPr>
          <w:lang w:val="es-ES" w:eastAsia="en-US"/>
        </w:rPr>
      </w:pPr>
    </w:p>
    <w:p w:rsidR="003347D8" w:rsidRDefault="003347D8" w:rsidP="003347D8">
      <w:pPr>
        <w:pStyle w:val="Heading1"/>
        <w:keepLines/>
        <w:tabs>
          <w:tab w:val="clear" w:pos="360"/>
        </w:tabs>
        <w:spacing w:after="240" w:line="300" w:lineRule="auto"/>
        <w:jc w:val="both"/>
        <w:rPr>
          <w:lang w:val="es-ES"/>
        </w:rPr>
      </w:pPr>
      <w:r>
        <w:rPr>
          <w:lang w:val="es-ES"/>
        </w:rPr>
        <w:t>Monitoreo</w:t>
      </w:r>
    </w:p>
    <w:p w:rsidR="00821CB7" w:rsidRDefault="00821CB7" w:rsidP="00821CB7">
      <w:pPr>
        <w:pStyle w:val="Paragraph"/>
        <w:numPr>
          <w:ilvl w:val="0"/>
          <w:numId w:val="0"/>
        </w:numPr>
        <w:spacing w:before="0" w:after="0"/>
        <w:rPr>
          <w:szCs w:val="24"/>
        </w:rPr>
      </w:pPr>
      <w:r w:rsidRPr="00C90E58">
        <w:rPr>
          <w:szCs w:val="24"/>
        </w:rPr>
        <w:t xml:space="preserve">El monitoreo y seguimiento de los resultados del préstamo programático será </w:t>
      </w:r>
      <w:r w:rsidR="00722E2A" w:rsidRPr="00C90E58">
        <w:rPr>
          <w:szCs w:val="24"/>
        </w:rPr>
        <w:t xml:space="preserve">llevado a cabo por el </w:t>
      </w:r>
      <w:r w:rsidRPr="00C90E58">
        <w:rPr>
          <w:szCs w:val="24"/>
        </w:rPr>
        <w:t xml:space="preserve">Ministerio de </w:t>
      </w:r>
      <w:r w:rsidR="00A93C0E" w:rsidRPr="00C90E58">
        <w:rPr>
          <w:szCs w:val="24"/>
        </w:rPr>
        <w:t>Economía</w:t>
      </w:r>
      <w:r w:rsidRPr="00C90E58">
        <w:rPr>
          <w:szCs w:val="24"/>
        </w:rPr>
        <w:t xml:space="preserve"> y Finanzas (MEF) en estrecha colaboración con el Banco. </w:t>
      </w:r>
      <w:r w:rsidR="0084220A" w:rsidRPr="00C90E58">
        <w:rPr>
          <w:szCs w:val="24"/>
        </w:rPr>
        <w:t xml:space="preserve">Dentro del programa de monitoreo se </w:t>
      </w:r>
      <w:r w:rsidR="00C91FB7" w:rsidRPr="00C90E58">
        <w:rPr>
          <w:szCs w:val="24"/>
        </w:rPr>
        <w:t>coordinará</w:t>
      </w:r>
      <w:r w:rsidR="00350D72">
        <w:rPr>
          <w:szCs w:val="24"/>
        </w:rPr>
        <w:t xml:space="preserve"> con la</w:t>
      </w:r>
      <w:r w:rsidRPr="00C90E58">
        <w:rPr>
          <w:szCs w:val="24"/>
        </w:rPr>
        <w:t xml:space="preserve"> </w:t>
      </w:r>
      <w:r w:rsidR="003347D8" w:rsidRPr="00C90E58">
        <w:rPr>
          <w:szCs w:val="24"/>
        </w:rPr>
        <w:t>Secretarí</w:t>
      </w:r>
      <w:r w:rsidR="003347D8">
        <w:rPr>
          <w:szCs w:val="24"/>
        </w:rPr>
        <w:t>a</w:t>
      </w:r>
      <w:r w:rsidRPr="00C90E58">
        <w:rPr>
          <w:szCs w:val="24"/>
        </w:rPr>
        <w:t xml:space="preserve"> Ejecutiva de la CIACEX</w:t>
      </w:r>
      <w:r>
        <w:rPr>
          <w:szCs w:val="24"/>
        </w:rPr>
        <w:t xml:space="preserve"> que es e</w:t>
      </w:r>
      <w:r w:rsidRPr="00821CB7">
        <w:rPr>
          <w:szCs w:val="24"/>
          <w:lang w:val="es-AR"/>
        </w:rPr>
        <w:t>l organismo gubernamental encargado de definir las líneas de acción en lo referido a la inserción comercial, la negociación internacional, la promoción comercial y la captación de inversiones, así como los mecanismos de incentivos</w:t>
      </w:r>
      <w:r>
        <w:rPr>
          <w:szCs w:val="24"/>
        </w:rPr>
        <w:t xml:space="preserve">. Asimismo, por parte del Banco, los miembros de equipo a cargo de los componentes del programático tendrán la responsabilidad de realizar este seguimiento. Así, el presupuesto para las actividades de monitoreo y evaluación estará cubierto por el presupuesto regular del MEF y por el presupuesto de </w:t>
      </w:r>
      <w:r w:rsidR="00A93C0E">
        <w:rPr>
          <w:szCs w:val="24"/>
        </w:rPr>
        <w:t>supervisión</w:t>
      </w:r>
      <w:r>
        <w:rPr>
          <w:szCs w:val="24"/>
        </w:rPr>
        <w:t xml:space="preserve"> asignado a la presente operación. Teniendo en cuenta que la presente operación </w:t>
      </w:r>
      <w:r w:rsidR="00A93C0E">
        <w:rPr>
          <w:szCs w:val="24"/>
        </w:rPr>
        <w:t>utilizará</w:t>
      </w:r>
      <w:r>
        <w:rPr>
          <w:szCs w:val="24"/>
        </w:rPr>
        <w:t xml:space="preserve"> la opción de desembolso diferido, el plan de monitoreo </w:t>
      </w:r>
      <w:r w:rsidR="00951790">
        <w:rPr>
          <w:szCs w:val="24"/>
        </w:rPr>
        <w:t xml:space="preserve">que aquí se plantea prevé </w:t>
      </w:r>
      <w:r>
        <w:rPr>
          <w:szCs w:val="24"/>
        </w:rPr>
        <w:t xml:space="preserve">realizar una actualización </w:t>
      </w:r>
      <w:r w:rsidR="0084220A">
        <w:rPr>
          <w:szCs w:val="24"/>
        </w:rPr>
        <w:t>anua</w:t>
      </w:r>
      <w:r w:rsidR="00951790">
        <w:rPr>
          <w:szCs w:val="24"/>
        </w:rPr>
        <w:t xml:space="preserve">l </w:t>
      </w:r>
      <w:r>
        <w:rPr>
          <w:szCs w:val="24"/>
        </w:rPr>
        <w:t>del avance de los indicadores de impacto, resultado y productos.</w:t>
      </w:r>
    </w:p>
    <w:p w:rsidR="00821CB7" w:rsidRDefault="00821CB7" w:rsidP="00821CB7">
      <w:pPr>
        <w:pStyle w:val="Paragraph"/>
        <w:numPr>
          <w:ilvl w:val="0"/>
          <w:numId w:val="0"/>
        </w:numPr>
        <w:spacing w:before="0" w:after="0"/>
        <w:rPr>
          <w:szCs w:val="24"/>
        </w:rPr>
      </w:pPr>
    </w:p>
    <w:p w:rsidR="00722E2A" w:rsidRDefault="00722E2A" w:rsidP="00722E2A">
      <w:pPr>
        <w:pStyle w:val="Paragraph"/>
        <w:numPr>
          <w:ilvl w:val="0"/>
          <w:numId w:val="0"/>
        </w:numPr>
        <w:spacing w:before="0" w:after="0"/>
        <w:rPr>
          <w:szCs w:val="24"/>
        </w:rPr>
      </w:pPr>
      <w:r>
        <w:rPr>
          <w:szCs w:val="24"/>
        </w:rPr>
        <w:t>Se dará seguimiento, durante el pe</w:t>
      </w:r>
      <w:r w:rsidR="00350D72">
        <w:rPr>
          <w:szCs w:val="24"/>
        </w:rPr>
        <w:t xml:space="preserve">ríodo de tres años previsto para esta </w:t>
      </w:r>
      <w:r w:rsidR="00AB5EDE">
        <w:rPr>
          <w:szCs w:val="24"/>
        </w:rPr>
        <w:t xml:space="preserve">segunda </w:t>
      </w:r>
      <w:r w:rsidR="00350D72">
        <w:rPr>
          <w:szCs w:val="24"/>
        </w:rPr>
        <w:t xml:space="preserve">operación </w:t>
      </w:r>
      <w:r w:rsidR="00AB5EDE">
        <w:rPr>
          <w:szCs w:val="24"/>
        </w:rPr>
        <w:t>del programa</w:t>
      </w:r>
      <w:r>
        <w:rPr>
          <w:szCs w:val="24"/>
        </w:rPr>
        <w:t xml:space="preserve">, a los productos e indicadores de resultados y de propósito que han sido definidos en la matriz de resultados, así como a otros indicadores a nivel macro económico y social (incluyendo: crecimiento del PIB, déficit fiscal, inflación, desempleo, informalidad, etc.). Como se señaló </w:t>
      </w:r>
      <w:r>
        <w:rPr>
          <w:szCs w:val="24"/>
        </w:rPr>
        <w:lastRenderedPageBreak/>
        <w:t xml:space="preserve">anteriormente estos indicadores serán recopilados cada </w:t>
      </w:r>
      <w:r w:rsidR="00190B9E">
        <w:rPr>
          <w:szCs w:val="24"/>
        </w:rPr>
        <w:t>12</w:t>
      </w:r>
      <w:r>
        <w:rPr>
          <w:szCs w:val="24"/>
        </w:rPr>
        <w:t xml:space="preserve"> meses y se generará un informe de </w:t>
      </w:r>
      <w:r w:rsidR="003347D8">
        <w:rPr>
          <w:szCs w:val="24"/>
        </w:rPr>
        <w:t>Seguimiento</w:t>
      </w:r>
      <w:r>
        <w:rPr>
          <w:szCs w:val="24"/>
        </w:rPr>
        <w:t>. Esta información permitirá ir ajustando, de ser necesario, el camino de reformas que ha sido trazado para la consecución de los objetivos de desarrollo</w:t>
      </w:r>
      <w:r w:rsidR="00AB616C">
        <w:rPr>
          <w:szCs w:val="24"/>
        </w:rPr>
        <w:t xml:space="preserve">. </w:t>
      </w:r>
      <w:r>
        <w:rPr>
          <w:szCs w:val="24"/>
        </w:rPr>
        <w:t>Asimismo, este levantamiento y seguimiento de los indicadores de la matriz permitirá contar con la información necesaria para evaluar los resultados de la serie programática al final de la ejecución de la misma.</w:t>
      </w:r>
    </w:p>
    <w:p w:rsidR="00821CB7" w:rsidRDefault="00821CB7" w:rsidP="00821CB7">
      <w:pPr>
        <w:pStyle w:val="Paragraph"/>
        <w:numPr>
          <w:ilvl w:val="0"/>
          <w:numId w:val="0"/>
        </w:numPr>
        <w:spacing w:before="0" w:after="0"/>
        <w:rPr>
          <w:szCs w:val="24"/>
        </w:rPr>
      </w:pPr>
    </w:p>
    <w:p w:rsidR="003347D8" w:rsidRPr="003347D8" w:rsidRDefault="003347D8" w:rsidP="008F0F36">
      <w:pPr>
        <w:spacing w:before="120" w:after="120" w:line="240" w:lineRule="auto"/>
        <w:ind w:left="18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II.1 </w:t>
      </w:r>
      <w:r w:rsidRPr="003347D8">
        <w:rPr>
          <w:rFonts w:ascii="Times New Roman" w:hAnsi="Times New Roman" w:cs="Times New Roman"/>
          <w:b/>
          <w:sz w:val="24"/>
          <w:szCs w:val="24"/>
          <w:lang w:val="es-ES_tradnl"/>
        </w:rPr>
        <w:t>Instrumentos el Sistema de Monitoreo</w:t>
      </w:r>
    </w:p>
    <w:p w:rsidR="003347D8" w:rsidRPr="00AB2C3C" w:rsidRDefault="003347D8" w:rsidP="003347D8">
      <w:pPr>
        <w:pStyle w:val="ListParagraph"/>
        <w:numPr>
          <w:ilvl w:val="0"/>
          <w:numId w:val="6"/>
        </w:numPr>
        <w:spacing w:before="120" w:after="120" w:line="240" w:lineRule="auto"/>
        <w:contextualSpacing w:val="0"/>
        <w:jc w:val="both"/>
        <w:rPr>
          <w:rFonts w:ascii="Times New Roman" w:hAnsi="Times New Roman" w:cs="Times New Roman"/>
          <w:sz w:val="24"/>
          <w:szCs w:val="24"/>
          <w:u w:val="single"/>
          <w:lang w:val="es-ES_tradnl"/>
        </w:rPr>
      </w:pPr>
      <w:r>
        <w:rPr>
          <w:rFonts w:ascii="Times New Roman" w:hAnsi="Times New Roman" w:cs="Times New Roman"/>
          <w:sz w:val="24"/>
          <w:szCs w:val="24"/>
          <w:u w:val="single"/>
          <w:lang w:val="es-ES_tradnl"/>
        </w:rPr>
        <w:t>Matriz</w:t>
      </w:r>
      <w:r w:rsidRPr="00AB2C3C">
        <w:rPr>
          <w:rFonts w:ascii="Times New Roman" w:hAnsi="Times New Roman" w:cs="Times New Roman"/>
          <w:sz w:val="24"/>
          <w:szCs w:val="24"/>
          <w:u w:val="single"/>
          <w:lang w:val="es-ES_tradnl"/>
        </w:rPr>
        <w:t xml:space="preserve"> de Resultados</w:t>
      </w:r>
    </w:p>
    <w:p w:rsidR="008F0F36" w:rsidRDefault="003347D8" w:rsidP="003347D8">
      <w:pPr>
        <w:spacing w:before="120" w:after="12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Matriz de Resultados</w:t>
      </w:r>
      <w:r w:rsidRPr="002813F0">
        <w:rPr>
          <w:rFonts w:ascii="Times New Roman" w:hAnsi="Times New Roman" w:cs="Times New Roman"/>
          <w:sz w:val="24"/>
          <w:szCs w:val="24"/>
          <w:lang w:val="es-ES_tradnl"/>
        </w:rPr>
        <w:t xml:space="preserve"> que se incluye en la Propuesta de Desarrollo de la Operación (POD), contiene indicadores clave para cada componente a nivel de productos</w:t>
      </w:r>
      <w:r>
        <w:rPr>
          <w:rFonts w:ascii="Times New Roman" w:hAnsi="Times New Roman" w:cs="Times New Roman"/>
          <w:sz w:val="24"/>
          <w:szCs w:val="24"/>
          <w:lang w:val="es-ES_tradnl"/>
        </w:rPr>
        <w:t xml:space="preserve"> y</w:t>
      </w:r>
      <w:r w:rsidRPr="002813F0">
        <w:rPr>
          <w:rFonts w:ascii="Times New Roman" w:hAnsi="Times New Roman" w:cs="Times New Roman"/>
          <w:sz w:val="24"/>
          <w:szCs w:val="24"/>
          <w:lang w:val="es-ES_tradnl"/>
        </w:rPr>
        <w:t xml:space="preserve"> resultados. En cada caso, indica la línea de base del indicador, así como la meta que se espera alcanzar anualmente hasta la finalización del proyecto. De esta forma, </w:t>
      </w:r>
      <w:r>
        <w:rPr>
          <w:rFonts w:ascii="Times New Roman" w:hAnsi="Times New Roman" w:cs="Times New Roman"/>
          <w:sz w:val="24"/>
          <w:szCs w:val="24"/>
          <w:lang w:val="es-ES_tradnl"/>
        </w:rPr>
        <w:t>la Matriz</w:t>
      </w:r>
      <w:r w:rsidRPr="002813F0">
        <w:rPr>
          <w:rFonts w:ascii="Times New Roman" w:hAnsi="Times New Roman" w:cs="Times New Roman"/>
          <w:sz w:val="24"/>
          <w:szCs w:val="24"/>
          <w:lang w:val="es-ES_tradnl"/>
        </w:rPr>
        <w:t xml:space="preserve"> registra los avances del proyecto sistemáticamente y suministra los insumos necesarios para la preparación del Informe de S</w:t>
      </w:r>
      <w:r>
        <w:rPr>
          <w:rFonts w:ascii="Times New Roman" w:hAnsi="Times New Roman" w:cs="Times New Roman"/>
          <w:sz w:val="24"/>
          <w:szCs w:val="24"/>
          <w:lang w:val="es-ES_tradnl"/>
        </w:rPr>
        <w:t xml:space="preserve">eguimiento de Proyecto (PMR). </w:t>
      </w:r>
    </w:p>
    <w:p w:rsidR="003347D8" w:rsidRPr="00AB2C3C" w:rsidRDefault="003347D8" w:rsidP="008F0F36">
      <w:pPr>
        <w:pStyle w:val="ListParagraph"/>
        <w:numPr>
          <w:ilvl w:val="0"/>
          <w:numId w:val="6"/>
        </w:numPr>
        <w:spacing w:before="120" w:after="120" w:line="240" w:lineRule="auto"/>
        <w:jc w:val="both"/>
        <w:rPr>
          <w:rFonts w:ascii="Times New Roman" w:hAnsi="Times New Roman" w:cs="Times New Roman"/>
          <w:sz w:val="24"/>
          <w:szCs w:val="24"/>
          <w:u w:val="single"/>
          <w:lang w:val="es-ES_tradnl"/>
        </w:rPr>
      </w:pPr>
      <w:r>
        <w:rPr>
          <w:rFonts w:ascii="Times New Roman" w:hAnsi="Times New Roman" w:cs="Times New Roman"/>
          <w:sz w:val="24"/>
          <w:szCs w:val="24"/>
          <w:u w:val="single"/>
          <w:lang w:val="es-ES_tradnl"/>
        </w:rPr>
        <w:t>Informes de Seguimiento</w:t>
      </w:r>
    </w:p>
    <w:p w:rsidR="003347D8" w:rsidRDefault="003347D8" w:rsidP="008F0F36">
      <w:pPr>
        <w:pStyle w:val="Default"/>
        <w:jc w:val="both"/>
        <w:rPr>
          <w:rFonts w:eastAsia="Times New Roman"/>
          <w:color w:val="auto"/>
          <w:lang w:val="es-ES_tradnl" w:eastAsia="en-US"/>
        </w:rPr>
      </w:pPr>
      <w:r>
        <w:rPr>
          <w:lang w:val="es-ES_tradnl"/>
        </w:rPr>
        <w:t xml:space="preserve">Teniendo en cuenta que </w:t>
      </w:r>
      <w:r w:rsidR="008F0F36">
        <w:rPr>
          <w:lang w:val="es-ES_tradnl"/>
        </w:rPr>
        <w:t>e</w:t>
      </w:r>
      <w:r>
        <w:rPr>
          <w:lang w:val="es-ES_tradnl"/>
        </w:rPr>
        <w:t>l</w:t>
      </w:r>
      <w:r w:rsidR="008F0F36">
        <w:rPr>
          <w:lang w:val="es-ES_tradnl"/>
        </w:rPr>
        <w:t xml:space="preserve"> proyecto se estructura mediante un </w:t>
      </w:r>
      <w:r w:rsidRPr="003347D8">
        <w:rPr>
          <w:rFonts w:eastAsia="Times New Roman"/>
          <w:color w:val="auto"/>
          <w:lang w:val="es-ES_tradnl" w:eastAsia="en-US"/>
        </w:rPr>
        <w:t>Préstamo de Apoyo a Reformas de Política bajo la Modalidad Programática</w:t>
      </w:r>
      <w:r w:rsidR="008F0F36">
        <w:rPr>
          <w:rFonts w:eastAsia="Times New Roman"/>
          <w:color w:val="auto"/>
          <w:lang w:val="es-ES_tradnl" w:eastAsia="en-US"/>
        </w:rPr>
        <w:t xml:space="preserve"> y haciendo uso de la </w:t>
      </w:r>
      <w:r w:rsidR="008F0F36" w:rsidRPr="008F0F36">
        <w:rPr>
          <w:rFonts w:eastAsia="Times New Roman"/>
          <w:color w:val="auto"/>
          <w:lang w:val="es-ES_tradnl" w:eastAsia="en-US"/>
        </w:rPr>
        <w:t>Opción de Desembolso Diferido (GN-3667-2) la cual establece que el período de retiro original será de hasta tres años a partir de la fecha de elegibilidad para desembolsos</w:t>
      </w:r>
      <w:r w:rsidR="008F0F36">
        <w:rPr>
          <w:rFonts w:eastAsia="Times New Roman"/>
          <w:color w:val="auto"/>
          <w:lang w:val="es-ES_tradnl" w:eastAsia="en-US"/>
        </w:rPr>
        <w:t>. Teniendo esto en consideración se realizarán informes anuales de seguimiento donde además de reflejar la información sobre los indicadores de la matriz de resultados se evaluará el estado de avance de las reformas incluidas en la matriz de políticas.</w:t>
      </w:r>
    </w:p>
    <w:p w:rsidR="0054179D" w:rsidRPr="002813F0" w:rsidRDefault="0054179D" w:rsidP="008F0F36">
      <w:pPr>
        <w:pStyle w:val="Default"/>
        <w:jc w:val="both"/>
        <w:rPr>
          <w:lang w:val="es-ES_tradnl"/>
        </w:rPr>
      </w:pPr>
    </w:p>
    <w:p w:rsidR="008F0F36" w:rsidRPr="002813F0" w:rsidRDefault="008F0F36" w:rsidP="008F0F36">
      <w:pPr>
        <w:pStyle w:val="ListParagraph"/>
        <w:spacing w:before="120" w:after="120" w:line="240" w:lineRule="auto"/>
        <w:ind w:left="180"/>
        <w:contextualSpacing w:val="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II.2</w:t>
      </w:r>
      <w:r>
        <w:rPr>
          <w:rFonts w:ascii="Times New Roman" w:hAnsi="Times New Roman" w:cs="Times New Roman"/>
          <w:b/>
          <w:sz w:val="24"/>
          <w:szCs w:val="24"/>
          <w:lang w:val="es-ES_tradnl"/>
        </w:rPr>
        <w:tab/>
      </w:r>
      <w:r w:rsidRPr="002813F0">
        <w:rPr>
          <w:rFonts w:ascii="Times New Roman" w:hAnsi="Times New Roman" w:cs="Times New Roman"/>
          <w:b/>
          <w:sz w:val="24"/>
          <w:szCs w:val="24"/>
          <w:lang w:val="es-ES_tradnl"/>
        </w:rPr>
        <w:t>Cronograma y presupuesto</w:t>
      </w:r>
    </w:p>
    <w:p w:rsidR="008F0F36" w:rsidRDefault="008F0F36" w:rsidP="008F0F36">
      <w:pPr>
        <w:spacing w:before="120" w:after="12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instrumentación del monitoreo incluye la realización de una misión de administración anual y la recopilación de la información de base para la actualización de la matriz de resultados y el avance en la matriz de políticas. </w:t>
      </w:r>
    </w:p>
    <w:p w:rsidR="008F0F36" w:rsidRPr="002813F0" w:rsidRDefault="008F0F36" w:rsidP="008F0F36">
      <w:pPr>
        <w:spacing w:before="120" w:after="120" w:line="240" w:lineRule="auto"/>
        <w:jc w:val="both"/>
        <w:rPr>
          <w:rFonts w:ascii="Times New Roman" w:hAnsi="Times New Roman" w:cs="Times New Roman"/>
          <w:sz w:val="24"/>
          <w:szCs w:val="24"/>
          <w:lang w:val="es-ES_tradnl"/>
        </w:rPr>
      </w:pPr>
      <w:r w:rsidRPr="002813F0">
        <w:rPr>
          <w:rFonts w:ascii="Times New Roman" w:hAnsi="Times New Roman" w:cs="Times New Roman"/>
          <w:sz w:val="24"/>
          <w:szCs w:val="24"/>
          <w:lang w:val="es-ES_tradnl"/>
        </w:rPr>
        <w:t xml:space="preserve">El presupuesto </w:t>
      </w:r>
      <w:r>
        <w:rPr>
          <w:rFonts w:ascii="Times New Roman" w:hAnsi="Times New Roman" w:cs="Times New Roman"/>
          <w:sz w:val="24"/>
          <w:szCs w:val="24"/>
          <w:lang w:val="es-ES_tradnl"/>
        </w:rPr>
        <w:t>anual estimado para la</w:t>
      </w:r>
      <w:r w:rsidRPr="002813F0">
        <w:rPr>
          <w:rFonts w:ascii="Times New Roman" w:hAnsi="Times New Roman" w:cs="Times New Roman"/>
          <w:sz w:val="24"/>
          <w:szCs w:val="24"/>
          <w:lang w:val="es-ES_tradnl"/>
        </w:rPr>
        <w:t xml:space="preserve"> implementación del </w:t>
      </w:r>
      <w:r>
        <w:rPr>
          <w:rFonts w:ascii="Times New Roman" w:hAnsi="Times New Roman" w:cs="Times New Roman"/>
          <w:sz w:val="24"/>
          <w:szCs w:val="24"/>
          <w:lang w:val="es-ES_tradnl"/>
        </w:rPr>
        <w:t xml:space="preserve">Monitoreo </w:t>
      </w:r>
      <w:r w:rsidRPr="002813F0">
        <w:rPr>
          <w:rFonts w:ascii="Times New Roman" w:hAnsi="Times New Roman" w:cs="Times New Roman"/>
          <w:sz w:val="24"/>
          <w:szCs w:val="24"/>
          <w:lang w:val="es-ES_tradnl"/>
        </w:rPr>
        <w:t>abarca:</w:t>
      </w:r>
    </w:p>
    <w:p w:rsidR="008F0F36" w:rsidRPr="002813F0" w:rsidRDefault="008F0F36" w:rsidP="008F0F36">
      <w:pPr>
        <w:pStyle w:val="ListParagraph"/>
        <w:numPr>
          <w:ilvl w:val="0"/>
          <w:numId w:val="8"/>
        </w:numPr>
        <w:spacing w:before="120" w:after="120" w:line="240" w:lineRule="auto"/>
        <w:contextualSpacing w:val="0"/>
        <w:jc w:val="both"/>
        <w:rPr>
          <w:rFonts w:ascii="Times New Roman" w:hAnsi="Times New Roman" w:cs="Times New Roman"/>
          <w:sz w:val="24"/>
          <w:szCs w:val="24"/>
          <w:lang w:val="es-ES_tradnl"/>
        </w:rPr>
      </w:pPr>
      <w:r w:rsidRPr="002813F0">
        <w:rPr>
          <w:rFonts w:ascii="Times New Roman" w:hAnsi="Times New Roman" w:cs="Times New Roman"/>
          <w:sz w:val="24"/>
          <w:szCs w:val="24"/>
          <w:lang w:val="es-ES_tradnl"/>
        </w:rPr>
        <w:t xml:space="preserve">Consultoría para el </w:t>
      </w:r>
      <w:r>
        <w:rPr>
          <w:rFonts w:ascii="Times New Roman" w:hAnsi="Times New Roman" w:cs="Times New Roman"/>
          <w:sz w:val="24"/>
          <w:szCs w:val="24"/>
          <w:lang w:val="es-ES_tradnl"/>
        </w:rPr>
        <w:t>relevamiento de la información de base</w:t>
      </w:r>
      <w:r w:rsidRPr="002813F0">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Presupuesto </w:t>
      </w:r>
      <w:r w:rsidR="007548AF">
        <w:rPr>
          <w:rFonts w:ascii="Times New Roman" w:hAnsi="Times New Roman" w:cs="Times New Roman"/>
          <w:sz w:val="24"/>
          <w:szCs w:val="24"/>
          <w:lang w:val="es-ES_tradnl"/>
        </w:rPr>
        <w:t xml:space="preserve">Anual </w:t>
      </w:r>
      <w:r>
        <w:rPr>
          <w:rFonts w:ascii="Times New Roman" w:hAnsi="Times New Roman" w:cs="Times New Roman"/>
          <w:sz w:val="24"/>
          <w:szCs w:val="24"/>
          <w:lang w:val="es-ES_tradnl"/>
        </w:rPr>
        <w:t>Estimado U$5.000</w:t>
      </w:r>
    </w:p>
    <w:p w:rsidR="007548AF" w:rsidRPr="002813F0" w:rsidRDefault="008F0F36" w:rsidP="007548AF">
      <w:pPr>
        <w:pStyle w:val="ListParagraph"/>
        <w:numPr>
          <w:ilvl w:val="0"/>
          <w:numId w:val="8"/>
        </w:numPr>
        <w:spacing w:before="120" w:after="120" w:line="240" w:lineRule="auto"/>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Misión de Administración: </w:t>
      </w:r>
      <w:r w:rsidR="007548AF">
        <w:rPr>
          <w:rFonts w:ascii="Times New Roman" w:hAnsi="Times New Roman" w:cs="Times New Roman"/>
          <w:sz w:val="24"/>
          <w:szCs w:val="24"/>
          <w:lang w:val="es-ES_tradnl"/>
        </w:rPr>
        <w:t>Presupuesto Anual Estimado U$5.000</w:t>
      </w:r>
    </w:p>
    <w:p w:rsidR="008F0F36" w:rsidRPr="002813F0" w:rsidRDefault="008F0F36" w:rsidP="007548AF">
      <w:pPr>
        <w:pStyle w:val="ListParagraph"/>
        <w:spacing w:before="120" w:after="120" w:line="240" w:lineRule="auto"/>
        <w:ind w:left="1080"/>
        <w:contextualSpacing w:val="0"/>
        <w:jc w:val="both"/>
        <w:rPr>
          <w:rFonts w:ascii="Times New Roman" w:hAnsi="Times New Roman" w:cs="Times New Roman"/>
          <w:sz w:val="24"/>
          <w:szCs w:val="24"/>
          <w:lang w:val="es-ES_tradnl"/>
        </w:rPr>
      </w:pPr>
    </w:p>
    <w:p w:rsidR="008F0F36" w:rsidRPr="002813F0" w:rsidRDefault="008F0F36" w:rsidP="008F0F36">
      <w:pPr>
        <w:spacing w:before="120" w:after="120" w:line="240" w:lineRule="auto"/>
        <w:jc w:val="both"/>
        <w:rPr>
          <w:rFonts w:ascii="Times New Roman" w:hAnsi="Times New Roman" w:cs="Times New Roman"/>
          <w:sz w:val="24"/>
          <w:szCs w:val="24"/>
          <w:lang w:val="es-ES_tradnl"/>
        </w:rPr>
      </w:pPr>
      <w:r w:rsidRPr="002813F0">
        <w:rPr>
          <w:rFonts w:ascii="Times New Roman" w:hAnsi="Times New Roman" w:cs="Times New Roman"/>
          <w:sz w:val="24"/>
          <w:szCs w:val="24"/>
          <w:lang w:val="es-ES_tradnl"/>
        </w:rPr>
        <w:t xml:space="preserve">El costo </w:t>
      </w:r>
      <w:r>
        <w:rPr>
          <w:rFonts w:ascii="Times New Roman" w:hAnsi="Times New Roman" w:cs="Times New Roman"/>
          <w:sz w:val="24"/>
          <w:szCs w:val="24"/>
          <w:lang w:val="es-ES_tradnl"/>
        </w:rPr>
        <w:t xml:space="preserve">anual estimado es de </w:t>
      </w:r>
      <w:r w:rsidRPr="002813F0">
        <w:rPr>
          <w:rFonts w:ascii="Times New Roman" w:hAnsi="Times New Roman" w:cs="Times New Roman"/>
          <w:sz w:val="24"/>
          <w:szCs w:val="24"/>
          <w:lang w:val="es-ES_tradnl"/>
        </w:rPr>
        <w:t xml:space="preserve">USD </w:t>
      </w:r>
      <w:r>
        <w:rPr>
          <w:rFonts w:ascii="Times New Roman" w:hAnsi="Times New Roman" w:cs="Times New Roman"/>
          <w:sz w:val="24"/>
          <w:szCs w:val="24"/>
          <w:lang w:val="es-ES_tradnl"/>
        </w:rPr>
        <w:t>10.000 y se cubrirá con el presupuesto transaccional del Banco asignado a la supervisión de la presente operación.</w:t>
      </w:r>
    </w:p>
    <w:p w:rsidR="00B907F3" w:rsidRDefault="00B907F3" w:rsidP="003347D8">
      <w:pPr>
        <w:spacing w:before="120" w:after="120" w:line="240" w:lineRule="auto"/>
        <w:jc w:val="both"/>
        <w:rPr>
          <w:rFonts w:ascii="Times New Roman" w:hAnsi="Times New Roman" w:cs="Times New Roman"/>
          <w:sz w:val="24"/>
          <w:szCs w:val="24"/>
          <w:lang w:val="es-ES_tradnl"/>
        </w:rPr>
      </w:pPr>
    </w:p>
    <w:p w:rsidR="003347D8" w:rsidRPr="00B907F3" w:rsidRDefault="00B907F3" w:rsidP="00B907F3">
      <w:pPr>
        <w:pStyle w:val="ListParagraph"/>
        <w:spacing w:before="120" w:after="120" w:line="240" w:lineRule="auto"/>
        <w:ind w:left="180"/>
        <w:contextualSpacing w:val="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II.3</w:t>
      </w:r>
      <w:r>
        <w:rPr>
          <w:rFonts w:ascii="Times New Roman" w:hAnsi="Times New Roman" w:cs="Times New Roman"/>
          <w:b/>
          <w:sz w:val="24"/>
          <w:szCs w:val="24"/>
          <w:lang w:val="es-ES_tradnl"/>
        </w:rPr>
        <w:tab/>
      </w:r>
      <w:r w:rsidRPr="00B907F3">
        <w:rPr>
          <w:rFonts w:ascii="Times New Roman" w:hAnsi="Times New Roman" w:cs="Times New Roman"/>
          <w:b/>
          <w:sz w:val="24"/>
          <w:szCs w:val="24"/>
          <w:lang w:val="es-ES_tradnl"/>
        </w:rPr>
        <w:t>Fuentes de Informacion y Cronograma de Actividades</w:t>
      </w:r>
    </w:p>
    <w:p w:rsidR="00B907F3" w:rsidRDefault="00B907F3" w:rsidP="00B907F3">
      <w:pPr>
        <w:pStyle w:val="Paragraph"/>
        <w:numPr>
          <w:ilvl w:val="0"/>
          <w:numId w:val="0"/>
        </w:numPr>
        <w:spacing w:before="0" w:after="0"/>
        <w:rPr>
          <w:szCs w:val="24"/>
        </w:rPr>
      </w:pPr>
      <w:r>
        <w:rPr>
          <w:szCs w:val="24"/>
        </w:rPr>
        <w:t xml:space="preserve">La CIACEX tendrá responsabilidad primaria en la recopilación de información de base para los indicadores relacionados con el Componente II ya que son parte integral de su campo de acción. Para la generación de esta información no se prevén costos adicionales dado que la misma es </w:t>
      </w:r>
      <w:r>
        <w:rPr>
          <w:szCs w:val="24"/>
        </w:rPr>
        <w:lastRenderedPageBreak/>
        <w:t>generada regularmente por el Ministerio de Relaciones Exteriores y es de acceso público. En lo referente a los indicadores del componente III se han previsto a través del proyecto de Apoyo a la Promoción de Servicios Globales de Exportación (UR-L1060) recursos para el levantamiento de la información de base sobre los tiempos y costos de las operaciones de comercio exterior y el resto de los indicadores están disponibles en Uruguay XXI y la Dirección general de Aduanas. En el caso de los indicadores asociados al componente IV la información necesaria para dar seguimiento a los indicadores de la matriz de resultados están disponible mediante la encuesta regular sobre innovación que realiza la ANII.</w:t>
      </w:r>
    </w:p>
    <w:p w:rsidR="00B907F3" w:rsidRDefault="00B907F3" w:rsidP="003347D8">
      <w:pPr>
        <w:spacing w:before="120" w:after="120" w:line="240" w:lineRule="auto"/>
        <w:jc w:val="both"/>
        <w:rPr>
          <w:rFonts w:ascii="Times New Roman" w:hAnsi="Times New Roman" w:cs="Times New Roman"/>
          <w:sz w:val="24"/>
          <w:szCs w:val="24"/>
          <w:lang w:val="es-ES_tradnl"/>
        </w:rPr>
      </w:pPr>
    </w:p>
    <w:p w:rsidR="00B907F3" w:rsidRDefault="00B907F3" w:rsidP="00B907F3">
      <w:pPr>
        <w:pStyle w:val="Paragraph"/>
        <w:keepNext/>
        <w:keepLines/>
        <w:numPr>
          <w:ilvl w:val="0"/>
          <w:numId w:val="0"/>
        </w:numPr>
        <w:spacing w:before="0" w:after="0"/>
        <w:jc w:val="center"/>
        <w:rPr>
          <w:rFonts w:eastAsiaTheme="minorEastAsia"/>
          <w:b/>
          <w:sz w:val="22"/>
          <w:szCs w:val="22"/>
          <w:lang w:val="es-AR" w:eastAsia="es-AR"/>
        </w:rPr>
      </w:pPr>
      <w:r>
        <w:rPr>
          <w:rFonts w:eastAsiaTheme="minorEastAsia"/>
          <w:b/>
          <w:sz w:val="22"/>
          <w:szCs w:val="22"/>
          <w:lang w:val="es-AR" w:eastAsia="es-AR"/>
        </w:rPr>
        <w:t>Tabla 1</w:t>
      </w:r>
    </w:p>
    <w:p w:rsidR="00B907F3" w:rsidRDefault="00B907F3" w:rsidP="00B907F3">
      <w:pPr>
        <w:pStyle w:val="Paragraph"/>
        <w:keepNext/>
        <w:keepLines/>
        <w:numPr>
          <w:ilvl w:val="0"/>
          <w:numId w:val="0"/>
        </w:numPr>
        <w:spacing w:before="0" w:after="0"/>
        <w:jc w:val="center"/>
        <w:rPr>
          <w:rFonts w:eastAsiaTheme="minorEastAsia"/>
          <w:b/>
          <w:sz w:val="22"/>
          <w:szCs w:val="22"/>
          <w:lang w:val="es-AR" w:eastAsia="es-AR"/>
        </w:rPr>
      </w:pPr>
      <w:r>
        <w:rPr>
          <w:rFonts w:eastAsiaTheme="minorEastAsia"/>
          <w:b/>
          <w:sz w:val="22"/>
          <w:szCs w:val="22"/>
          <w:lang w:val="es-AR" w:eastAsia="es-AR"/>
        </w:rPr>
        <w:t>Cronograma de las actividades de evaluación</w:t>
      </w:r>
    </w:p>
    <w:p w:rsidR="00B907F3" w:rsidRPr="00A96F65" w:rsidRDefault="00B907F3" w:rsidP="00B907F3">
      <w:pPr>
        <w:pStyle w:val="Paragraph"/>
        <w:keepNext/>
        <w:keepLines/>
        <w:numPr>
          <w:ilvl w:val="0"/>
          <w:numId w:val="0"/>
        </w:numPr>
        <w:spacing w:before="0" w:after="0"/>
        <w:jc w:val="center"/>
        <w:rPr>
          <w:b/>
          <w:sz w:val="22"/>
          <w:szCs w:val="22"/>
        </w:rPr>
      </w:pPr>
    </w:p>
    <w:tbl>
      <w:tblPr>
        <w:tblW w:w="6713" w:type="dxa"/>
        <w:jc w:val="center"/>
        <w:tblInd w:w="-34" w:type="dxa"/>
        <w:tblLayout w:type="fixed"/>
        <w:tblLook w:val="04A0" w:firstRow="1" w:lastRow="0" w:firstColumn="1" w:lastColumn="0" w:noHBand="0" w:noVBand="1"/>
      </w:tblPr>
      <w:tblGrid>
        <w:gridCol w:w="2032"/>
        <w:gridCol w:w="391"/>
        <w:gridCol w:w="390"/>
        <w:gridCol w:w="390"/>
        <w:gridCol w:w="390"/>
        <w:gridCol w:w="390"/>
        <w:gridCol w:w="390"/>
        <w:gridCol w:w="390"/>
        <w:gridCol w:w="390"/>
        <w:gridCol w:w="390"/>
        <w:gridCol w:w="390"/>
        <w:gridCol w:w="390"/>
        <w:gridCol w:w="390"/>
      </w:tblGrid>
      <w:tr w:rsidR="00B907F3" w:rsidRPr="00133C43" w:rsidTr="00B907F3">
        <w:trPr>
          <w:trHeight w:val="300"/>
          <w:jc w:val="center"/>
        </w:trPr>
        <w:tc>
          <w:tcPr>
            <w:tcW w:w="2032" w:type="dxa"/>
            <w:tcBorders>
              <w:top w:val="single" w:sz="4" w:space="0" w:color="auto"/>
              <w:left w:val="single" w:sz="4" w:space="0" w:color="auto"/>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1561" w:type="dxa"/>
            <w:gridSpan w:val="4"/>
            <w:tcBorders>
              <w:top w:val="single" w:sz="4" w:space="0" w:color="auto"/>
              <w:left w:val="nil"/>
              <w:bottom w:val="single" w:sz="4" w:space="0" w:color="auto"/>
              <w:right w:val="single" w:sz="4" w:space="0" w:color="auto"/>
            </w:tcBorders>
            <w:shd w:val="clear" w:color="auto" w:fill="auto"/>
            <w:noWrap/>
            <w:vAlign w:val="bottom"/>
            <w:hideMark/>
          </w:tcPr>
          <w:p w:rsidR="00B907F3" w:rsidRPr="00133C43" w:rsidRDefault="00B907F3" w:rsidP="00B907F3">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1</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B907F3" w:rsidRPr="00133C43" w:rsidRDefault="00B907F3" w:rsidP="00B907F3">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2</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B907F3" w:rsidRPr="00133C43" w:rsidRDefault="00B907F3" w:rsidP="00B907F3">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3</w:t>
            </w:r>
          </w:p>
        </w:tc>
      </w:tr>
      <w:tr w:rsidR="00B907F3" w:rsidRPr="00133C43" w:rsidTr="00B907F3">
        <w:trPr>
          <w:trHeight w:val="300"/>
          <w:jc w:val="center"/>
        </w:trPr>
        <w:tc>
          <w:tcPr>
            <w:tcW w:w="2032" w:type="dxa"/>
            <w:tcBorders>
              <w:top w:val="nil"/>
              <w:left w:val="single" w:sz="4" w:space="0" w:color="auto"/>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1"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B907F3" w:rsidRPr="00133C43" w:rsidRDefault="00B907F3" w:rsidP="00B907F3">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r>
      <w:tr w:rsidR="00B907F3" w:rsidRPr="00133C43" w:rsidTr="00B907F3">
        <w:trPr>
          <w:trHeight w:val="300"/>
          <w:jc w:val="center"/>
        </w:trPr>
        <w:tc>
          <w:tcPr>
            <w:tcW w:w="2032" w:type="dxa"/>
            <w:tcBorders>
              <w:top w:val="single" w:sz="4" w:space="0" w:color="auto"/>
              <w:left w:val="single" w:sz="4" w:space="0" w:color="auto"/>
              <w:bottom w:val="single" w:sz="4" w:space="0" w:color="auto"/>
              <w:right w:val="single" w:sz="4" w:space="0" w:color="auto"/>
            </w:tcBorders>
            <w:shd w:val="clear" w:color="auto" w:fill="auto"/>
            <w:noWrap/>
          </w:tcPr>
          <w:p w:rsidR="00B907F3" w:rsidRPr="00133C43" w:rsidRDefault="00B907F3" w:rsidP="00B907F3">
            <w:pPr>
              <w:spacing w:after="0" w:line="240" w:lineRule="auto"/>
              <w:rPr>
                <w:rFonts w:ascii="Times New Roman" w:hAnsi="Times New Roman" w:cs="Times New Roman"/>
                <w:color w:val="000000"/>
                <w:sz w:val="20"/>
                <w:szCs w:val="20"/>
                <w:lang w:val="es-ES_tradnl"/>
              </w:rPr>
            </w:pPr>
            <w:r>
              <w:rPr>
                <w:rFonts w:ascii="Times New Roman" w:hAnsi="Times New Roman" w:cs="Times New Roman"/>
                <w:color w:val="000000"/>
                <w:sz w:val="20"/>
                <w:szCs w:val="20"/>
                <w:lang w:val="es-ES_tradnl"/>
              </w:rPr>
              <w:t>Actualización de la Matriz de Resultados</w:t>
            </w:r>
          </w:p>
        </w:tc>
        <w:tc>
          <w:tcPr>
            <w:tcW w:w="391" w:type="dxa"/>
            <w:tcBorders>
              <w:top w:val="single" w:sz="4" w:space="0" w:color="auto"/>
              <w:left w:val="nil"/>
              <w:bottom w:val="single" w:sz="4" w:space="0" w:color="auto"/>
              <w:right w:val="single" w:sz="4" w:space="0" w:color="auto"/>
            </w:tcBorders>
            <w:shd w:val="clear" w:color="auto" w:fill="auto"/>
            <w:noWrap/>
          </w:tcPr>
          <w:p w:rsidR="00B907F3" w:rsidRPr="00133C43" w:rsidRDefault="00B907F3" w:rsidP="00B907F3">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x</w:t>
            </w:r>
          </w:p>
        </w:tc>
      </w:tr>
      <w:tr w:rsidR="00B907F3" w:rsidRPr="00133C43" w:rsidTr="00B907F3">
        <w:trPr>
          <w:trHeight w:val="300"/>
          <w:jc w:val="center"/>
        </w:trPr>
        <w:tc>
          <w:tcPr>
            <w:tcW w:w="2032" w:type="dxa"/>
            <w:tcBorders>
              <w:top w:val="single" w:sz="4" w:space="0" w:color="auto"/>
              <w:left w:val="single" w:sz="4" w:space="0" w:color="auto"/>
              <w:bottom w:val="single" w:sz="4" w:space="0" w:color="auto"/>
              <w:right w:val="single" w:sz="4" w:space="0" w:color="auto"/>
            </w:tcBorders>
            <w:shd w:val="clear" w:color="auto" w:fill="auto"/>
            <w:noWrap/>
            <w:hideMark/>
          </w:tcPr>
          <w:p w:rsidR="00B907F3" w:rsidRPr="00133C43" w:rsidRDefault="00B907F3" w:rsidP="00B907F3">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Informe de Seguimiento</w:t>
            </w:r>
          </w:p>
        </w:tc>
        <w:tc>
          <w:tcPr>
            <w:tcW w:w="391" w:type="dxa"/>
            <w:tcBorders>
              <w:top w:val="single" w:sz="4" w:space="0" w:color="auto"/>
              <w:left w:val="nil"/>
              <w:bottom w:val="single" w:sz="4" w:space="0" w:color="auto"/>
              <w:right w:val="single" w:sz="4" w:space="0" w:color="auto"/>
            </w:tcBorders>
            <w:shd w:val="clear" w:color="auto" w:fill="auto"/>
            <w:noWrap/>
          </w:tcPr>
          <w:p w:rsidR="00B907F3" w:rsidRPr="00133C43" w:rsidRDefault="00B907F3" w:rsidP="00B907F3">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single" w:sz="4" w:space="0" w:color="auto"/>
              <w:left w:val="nil"/>
              <w:bottom w:val="single" w:sz="4" w:space="0" w:color="auto"/>
              <w:right w:val="single" w:sz="4" w:space="0" w:color="auto"/>
            </w:tcBorders>
            <w:shd w:val="clear" w:color="auto" w:fill="auto"/>
            <w:noWrap/>
            <w:hideMark/>
          </w:tcPr>
          <w:p w:rsidR="00B907F3" w:rsidRPr="00B907F3" w:rsidRDefault="007548AF" w:rsidP="00B907F3">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 </w:t>
            </w:r>
          </w:p>
        </w:tc>
      </w:tr>
      <w:tr w:rsidR="00B907F3" w:rsidRPr="00133C43" w:rsidTr="00B907F3">
        <w:trPr>
          <w:trHeight w:val="300"/>
          <w:jc w:val="center"/>
        </w:trPr>
        <w:tc>
          <w:tcPr>
            <w:tcW w:w="2032" w:type="dxa"/>
            <w:tcBorders>
              <w:top w:val="nil"/>
              <w:left w:val="single" w:sz="4" w:space="0" w:color="auto"/>
              <w:bottom w:val="single" w:sz="4" w:space="0" w:color="auto"/>
              <w:right w:val="single" w:sz="4" w:space="0" w:color="auto"/>
            </w:tcBorders>
            <w:shd w:val="clear" w:color="auto" w:fill="auto"/>
            <w:noWrap/>
          </w:tcPr>
          <w:p w:rsidR="00B907F3" w:rsidRPr="00133C43" w:rsidRDefault="00B907F3" w:rsidP="00B907F3">
            <w:pPr>
              <w:spacing w:after="0" w:line="240" w:lineRule="auto"/>
              <w:rPr>
                <w:rFonts w:ascii="Times New Roman" w:hAnsi="Times New Roman" w:cs="Times New Roman"/>
                <w:color w:val="000000"/>
                <w:sz w:val="20"/>
                <w:szCs w:val="20"/>
                <w:lang w:val="es-ES_tradnl"/>
              </w:rPr>
            </w:pPr>
            <w:r>
              <w:rPr>
                <w:rFonts w:ascii="Times New Roman" w:hAnsi="Times New Roman" w:cs="Times New Roman"/>
                <w:color w:val="000000"/>
                <w:sz w:val="20"/>
                <w:szCs w:val="20"/>
                <w:lang w:val="es-ES_tradnl"/>
              </w:rPr>
              <w:t>Misión de Administración</w:t>
            </w:r>
          </w:p>
        </w:tc>
        <w:tc>
          <w:tcPr>
            <w:tcW w:w="391" w:type="dxa"/>
            <w:tcBorders>
              <w:top w:val="nil"/>
              <w:left w:val="nil"/>
              <w:bottom w:val="single" w:sz="4" w:space="0" w:color="auto"/>
              <w:right w:val="single" w:sz="4" w:space="0" w:color="auto"/>
            </w:tcBorders>
            <w:shd w:val="clear" w:color="auto" w:fill="auto"/>
            <w:noWrap/>
          </w:tcPr>
          <w:p w:rsidR="00B907F3" w:rsidRPr="00133C43" w:rsidRDefault="00B907F3" w:rsidP="00B907F3">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x</w:t>
            </w: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x</w:t>
            </w: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r w:rsidRPr="00B907F3">
              <w:rPr>
                <w:rFonts w:ascii="Times New Roman" w:hAnsi="Times New Roman" w:cs="Times New Roman"/>
                <w:color w:val="000000"/>
                <w:sz w:val="24"/>
                <w:szCs w:val="24"/>
                <w:lang w:val="es-ES_tradnl"/>
              </w:rPr>
              <w:t>x</w:t>
            </w:r>
          </w:p>
        </w:tc>
        <w:tc>
          <w:tcPr>
            <w:tcW w:w="390" w:type="dxa"/>
            <w:tcBorders>
              <w:top w:val="nil"/>
              <w:left w:val="nil"/>
              <w:bottom w:val="single" w:sz="4" w:space="0" w:color="auto"/>
              <w:right w:val="single" w:sz="4" w:space="0" w:color="auto"/>
            </w:tcBorders>
            <w:shd w:val="clear" w:color="auto" w:fill="auto"/>
            <w:noWrap/>
          </w:tcPr>
          <w:p w:rsidR="00B907F3" w:rsidRPr="00B907F3" w:rsidRDefault="00B907F3" w:rsidP="00B907F3">
            <w:pPr>
              <w:spacing w:after="0" w:line="240" w:lineRule="auto"/>
              <w:rPr>
                <w:rFonts w:ascii="Times New Roman" w:hAnsi="Times New Roman" w:cs="Times New Roman"/>
                <w:color w:val="000000"/>
                <w:sz w:val="24"/>
                <w:szCs w:val="24"/>
                <w:lang w:val="es-ES_tradnl"/>
              </w:rPr>
            </w:pPr>
          </w:p>
        </w:tc>
      </w:tr>
    </w:tbl>
    <w:p w:rsidR="00B907F3" w:rsidRDefault="00B907F3" w:rsidP="00B907F3">
      <w:pPr>
        <w:spacing w:after="0" w:line="240" w:lineRule="auto"/>
        <w:jc w:val="both"/>
        <w:rPr>
          <w:rFonts w:ascii="Times New Roman" w:hAnsi="Times New Roman" w:cs="Times New Roman"/>
          <w:sz w:val="24"/>
          <w:szCs w:val="24"/>
        </w:rPr>
      </w:pPr>
    </w:p>
    <w:p w:rsidR="00821CB7" w:rsidRDefault="00821CB7" w:rsidP="00821CB7">
      <w:pPr>
        <w:pStyle w:val="Paragraph"/>
        <w:numPr>
          <w:ilvl w:val="0"/>
          <w:numId w:val="0"/>
        </w:numPr>
        <w:spacing w:before="0" w:after="0"/>
        <w:rPr>
          <w:szCs w:val="24"/>
        </w:rPr>
      </w:pPr>
    </w:p>
    <w:bookmarkEnd w:id="0"/>
    <w:p w:rsidR="005A57C8" w:rsidRPr="00951790" w:rsidRDefault="007B7EE0" w:rsidP="00951790">
      <w:pPr>
        <w:pStyle w:val="Heading1"/>
        <w:keepLines/>
        <w:tabs>
          <w:tab w:val="clear" w:pos="360"/>
        </w:tabs>
        <w:spacing w:after="240" w:line="300" w:lineRule="auto"/>
        <w:jc w:val="both"/>
        <w:rPr>
          <w:lang w:val="es-ES"/>
        </w:rPr>
      </w:pPr>
      <w:r w:rsidRPr="00951790">
        <w:rPr>
          <w:lang w:val="es-ES"/>
        </w:rPr>
        <w:t>Evaluación</w:t>
      </w:r>
    </w:p>
    <w:p w:rsidR="00133C43" w:rsidRDefault="00133C43" w:rsidP="00133C43">
      <w:pPr>
        <w:spacing w:after="0" w:line="240" w:lineRule="auto"/>
        <w:jc w:val="both"/>
        <w:rPr>
          <w:rFonts w:ascii="Times New Roman" w:hAnsi="Times New Roman" w:cs="Times New Roman"/>
          <w:sz w:val="24"/>
          <w:szCs w:val="24"/>
          <w:lang w:val="es-ES_tradnl"/>
        </w:rPr>
      </w:pPr>
      <w:r w:rsidRPr="00133C43">
        <w:rPr>
          <w:rFonts w:ascii="Times New Roman" w:hAnsi="Times New Roman" w:cs="Times New Roman"/>
          <w:sz w:val="24"/>
          <w:szCs w:val="24"/>
          <w:lang w:val="es-ES_tradnl"/>
        </w:rPr>
        <w:t xml:space="preserve">El </w:t>
      </w:r>
      <w:r w:rsidR="0038126E" w:rsidRPr="00133C43">
        <w:rPr>
          <w:rFonts w:ascii="Times New Roman" w:hAnsi="Times New Roman" w:cs="Times New Roman"/>
          <w:i/>
          <w:sz w:val="24"/>
          <w:szCs w:val="24"/>
          <w:lang w:val="es-ES_tradnl"/>
        </w:rPr>
        <w:t xml:space="preserve">Programa de Posicionamiento Estratégico Internacional </w:t>
      </w:r>
      <w:r w:rsidRPr="00133C43">
        <w:rPr>
          <w:rFonts w:ascii="Times New Roman" w:hAnsi="Times New Roman" w:cs="Times New Roman"/>
          <w:sz w:val="24"/>
          <w:szCs w:val="24"/>
          <w:lang w:val="es-ES_tradnl"/>
        </w:rPr>
        <w:t xml:space="preserve"> tiene el objetivo primario de contribuir a aumentar la</w:t>
      </w:r>
      <w:r>
        <w:rPr>
          <w:rFonts w:ascii="Times New Roman" w:hAnsi="Times New Roman" w:cs="Times New Roman"/>
          <w:sz w:val="24"/>
          <w:szCs w:val="24"/>
          <w:lang w:val="es-ES_tradnl"/>
        </w:rPr>
        <w:t xml:space="preserve"> inversión extranjera directa recibida por Uruguay esenci</w:t>
      </w:r>
      <w:r w:rsidRPr="00133C43">
        <w:rPr>
          <w:rFonts w:ascii="Times New Roman" w:hAnsi="Times New Roman" w:cs="Times New Roman"/>
          <w:sz w:val="24"/>
          <w:szCs w:val="24"/>
          <w:lang w:val="es-ES_tradnl"/>
        </w:rPr>
        <w:t>almente a través de</w:t>
      </w:r>
      <w:r>
        <w:rPr>
          <w:rFonts w:ascii="Times New Roman" w:hAnsi="Times New Roman" w:cs="Times New Roman"/>
          <w:sz w:val="24"/>
          <w:szCs w:val="24"/>
          <w:lang w:val="es-ES_tradnl"/>
        </w:rPr>
        <w:t xml:space="preserve"> una serie de reformas institucionales. Dichas reformas incluy</w:t>
      </w:r>
      <w:r w:rsidR="0038126E">
        <w:rPr>
          <w:rFonts w:ascii="Times New Roman" w:hAnsi="Times New Roman" w:cs="Times New Roman"/>
          <w:sz w:val="24"/>
          <w:szCs w:val="24"/>
          <w:lang w:val="es-ES_tradnl"/>
        </w:rPr>
        <w:t>en</w:t>
      </w:r>
      <w:r>
        <w:rPr>
          <w:rFonts w:ascii="Times New Roman" w:hAnsi="Times New Roman" w:cs="Times New Roman"/>
          <w:sz w:val="24"/>
          <w:szCs w:val="24"/>
          <w:lang w:val="es-ES_tradnl"/>
        </w:rPr>
        <w:t xml:space="preserve"> medidas de facilitación comercial que también tendrán efectos sobre el comercio exterior</w:t>
      </w:r>
      <w:r w:rsidRPr="00133C43">
        <w:rPr>
          <w:rFonts w:ascii="Times New Roman" w:hAnsi="Times New Roman" w:cs="Times New Roman"/>
          <w:sz w:val="24"/>
          <w:szCs w:val="24"/>
          <w:lang w:val="es-ES_tradnl"/>
        </w:rPr>
        <w:t>.</w:t>
      </w:r>
    </w:p>
    <w:p w:rsidR="00133C43" w:rsidRPr="00133C43" w:rsidRDefault="00133C43" w:rsidP="00133C43">
      <w:pPr>
        <w:spacing w:after="0" w:line="240" w:lineRule="auto"/>
        <w:jc w:val="both"/>
        <w:rPr>
          <w:rFonts w:ascii="Times New Roman" w:hAnsi="Times New Roman" w:cs="Times New Roman"/>
          <w:sz w:val="24"/>
          <w:szCs w:val="24"/>
          <w:lang w:val="es-ES_tradnl"/>
        </w:rPr>
      </w:pPr>
    </w:p>
    <w:p w:rsidR="00133C43" w:rsidRPr="00133C43" w:rsidRDefault="00133C43" w:rsidP="00133C4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 consecuencia, l</w:t>
      </w:r>
      <w:r w:rsidRPr="00133C43">
        <w:rPr>
          <w:rFonts w:ascii="Times New Roman" w:hAnsi="Times New Roman" w:cs="Times New Roman"/>
          <w:sz w:val="24"/>
          <w:szCs w:val="24"/>
          <w:lang w:val="es-ES_tradnl"/>
        </w:rPr>
        <w:t xml:space="preserve">os principales resultados esperados de las intervenciones previstas son: (i) </w:t>
      </w:r>
      <w:r w:rsidR="0038126E">
        <w:rPr>
          <w:rFonts w:ascii="Times New Roman" w:hAnsi="Times New Roman" w:cs="Times New Roman"/>
          <w:sz w:val="24"/>
          <w:szCs w:val="24"/>
          <w:lang w:val="es-ES_tradnl"/>
        </w:rPr>
        <w:t>incrementar</w:t>
      </w:r>
      <w:r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la inversión extranjera directa atraída por Uruguay, particularmente en sectores de alto valor agregado, y (ii) expandir el comercio exterior del país</w:t>
      </w:r>
      <w:r w:rsidRPr="00133C43">
        <w:rPr>
          <w:rFonts w:ascii="Times New Roman" w:hAnsi="Times New Roman" w:cs="Times New Roman"/>
          <w:sz w:val="24"/>
          <w:szCs w:val="24"/>
          <w:lang w:val="es-ES_tradnl"/>
        </w:rPr>
        <w:t>. La matriz de resultados del proyecto presenta la información sobre los indicadores de producto y de resultados, línea de base y metas de cada uno de estos indicadores.</w:t>
      </w:r>
    </w:p>
    <w:p w:rsidR="00133C43" w:rsidRDefault="00133C43" w:rsidP="00133C43">
      <w:pPr>
        <w:spacing w:after="0" w:line="240" w:lineRule="auto"/>
        <w:jc w:val="both"/>
        <w:rPr>
          <w:rFonts w:ascii="Times New Roman" w:hAnsi="Times New Roman" w:cs="Times New Roman"/>
          <w:b/>
          <w:sz w:val="24"/>
          <w:szCs w:val="24"/>
          <w:lang w:val="es-ES_tradnl"/>
        </w:rPr>
      </w:pPr>
    </w:p>
    <w:p w:rsidR="007B7EE0" w:rsidRPr="00133C43" w:rsidRDefault="00951790" w:rsidP="00133C43">
      <w:pPr>
        <w:spacing w:after="0" w:line="24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w:t>
      </w:r>
      <w:r w:rsidR="00A96F65">
        <w:rPr>
          <w:rFonts w:ascii="Times New Roman" w:hAnsi="Times New Roman" w:cs="Times New Roman"/>
          <w:b/>
          <w:sz w:val="24"/>
          <w:szCs w:val="24"/>
          <w:lang w:val="es-ES_tradnl"/>
        </w:rPr>
        <w:t>1</w:t>
      </w:r>
      <w:r w:rsidR="00A96F65">
        <w:rPr>
          <w:rFonts w:ascii="Times New Roman" w:hAnsi="Times New Roman" w:cs="Times New Roman"/>
          <w:b/>
          <w:sz w:val="24"/>
          <w:szCs w:val="24"/>
          <w:lang w:val="es-ES_tradnl"/>
        </w:rPr>
        <w:tab/>
      </w:r>
      <w:r w:rsidR="007B7EE0" w:rsidRPr="00133C43">
        <w:rPr>
          <w:rFonts w:ascii="Times New Roman" w:hAnsi="Times New Roman" w:cs="Times New Roman"/>
          <w:b/>
          <w:sz w:val="24"/>
          <w:szCs w:val="24"/>
          <w:lang w:val="es-ES_tradnl"/>
        </w:rPr>
        <w:t xml:space="preserve">Evaluación del </w:t>
      </w:r>
      <w:r w:rsidR="00A96F65">
        <w:rPr>
          <w:rFonts w:ascii="Times New Roman" w:hAnsi="Times New Roman" w:cs="Times New Roman"/>
          <w:b/>
          <w:sz w:val="24"/>
          <w:szCs w:val="24"/>
          <w:lang w:val="es-ES_tradnl"/>
        </w:rPr>
        <w:t>i</w:t>
      </w:r>
      <w:r w:rsidR="007B7EE0" w:rsidRPr="00133C43">
        <w:rPr>
          <w:rFonts w:ascii="Times New Roman" w:hAnsi="Times New Roman" w:cs="Times New Roman"/>
          <w:b/>
          <w:sz w:val="24"/>
          <w:szCs w:val="24"/>
          <w:lang w:val="es-ES_tradnl"/>
        </w:rPr>
        <w:t xml:space="preserve">mpacto del </w:t>
      </w:r>
      <w:r w:rsidR="00A96F65">
        <w:rPr>
          <w:rFonts w:ascii="Times New Roman" w:hAnsi="Times New Roman" w:cs="Times New Roman"/>
          <w:b/>
          <w:sz w:val="24"/>
          <w:szCs w:val="24"/>
          <w:lang w:val="es-ES_tradnl"/>
        </w:rPr>
        <w:t>p</w:t>
      </w:r>
      <w:r w:rsidR="007B7EE0" w:rsidRPr="00133C43">
        <w:rPr>
          <w:rFonts w:ascii="Times New Roman" w:hAnsi="Times New Roman" w:cs="Times New Roman"/>
          <w:b/>
          <w:sz w:val="24"/>
          <w:szCs w:val="24"/>
          <w:lang w:val="es-ES_tradnl"/>
        </w:rPr>
        <w:t xml:space="preserve">rograma </w:t>
      </w:r>
      <w:r w:rsidR="00B82D3E" w:rsidRPr="00133C43">
        <w:rPr>
          <w:rFonts w:ascii="Times New Roman" w:hAnsi="Times New Roman" w:cs="Times New Roman"/>
          <w:b/>
          <w:sz w:val="24"/>
          <w:szCs w:val="24"/>
          <w:lang w:val="es-ES_tradnl"/>
        </w:rPr>
        <w:t xml:space="preserve">sobre la </w:t>
      </w:r>
      <w:r w:rsidR="00A96F65">
        <w:rPr>
          <w:rFonts w:ascii="Times New Roman" w:hAnsi="Times New Roman" w:cs="Times New Roman"/>
          <w:b/>
          <w:sz w:val="24"/>
          <w:szCs w:val="24"/>
          <w:lang w:val="es-ES_tradnl"/>
        </w:rPr>
        <w:t>i</w:t>
      </w:r>
      <w:r w:rsidR="007B7EE0" w:rsidRPr="00133C43">
        <w:rPr>
          <w:rFonts w:ascii="Times New Roman" w:hAnsi="Times New Roman" w:cs="Times New Roman"/>
          <w:b/>
          <w:sz w:val="24"/>
          <w:szCs w:val="24"/>
          <w:lang w:val="es-ES_tradnl"/>
        </w:rPr>
        <w:t xml:space="preserve">nversión </w:t>
      </w:r>
      <w:r w:rsidR="00A96F65">
        <w:rPr>
          <w:rFonts w:ascii="Times New Roman" w:hAnsi="Times New Roman" w:cs="Times New Roman"/>
          <w:b/>
          <w:sz w:val="24"/>
          <w:szCs w:val="24"/>
          <w:lang w:val="es-ES_tradnl"/>
        </w:rPr>
        <w:t>e</w:t>
      </w:r>
      <w:r w:rsidR="007B7EE0" w:rsidRPr="00133C43">
        <w:rPr>
          <w:rFonts w:ascii="Times New Roman" w:hAnsi="Times New Roman" w:cs="Times New Roman"/>
          <w:b/>
          <w:sz w:val="24"/>
          <w:szCs w:val="24"/>
          <w:lang w:val="es-ES_tradnl"/>
        </w:rPr>
        <w:t xml:space="preserve">xtranjera </w:t>
      </w:r>
      <w:r w:rsidR="00A96F65">
        <w:rPr>
          <w:rFonts w:ascii="Times New Roman" w:hAnsi="Times New Roman" w:cs="Times New Roman"/>
          <w:b/>
          <w:sz w:val="24"/>
          <w:szCs w:val="24"/>
          <w:lang w:val="es-ES_tradnl"/>
        </w:rPr>
        <w:t>d</w:t>
      </w:r>
      <w:r w:rsidR="007B7EE0" w:rsidRPr="00133C43">
        <w:rPr>
          <w:rFonts w:ascii="Times New Roman" w:hAnsi="Times New Roman" w:cs="Times New Roman"/>
          <w:b/>
          <w:sz w:val="24"/>
          <w:szCs w:val="24"/>
          <w:lang w:val="es-ES_tradnl"/>
        </w:rPr>
        <w:t>irecta</w:t>
      </w:r>
      <w:r w:rsidR="007B7EE0" w:rsidRPr="00133C43">
        <w:rPr>
          <w:rStyle w:val="FootnoteReference"/>
          <w:rFonts w:ascii="Times New Roman" w:hAnsi="Times New Roman" w:cs="Times New Roman"/>
          <w:b/>
          <w:sz w:val="24"/>
          <w:szCs w:val="24"/>
          <w:lang w:val="es-ES_tradnl"/>
        </w:rPr>
        <w:footnoteReference w:id="1"/>
      </w:r>
    </w:p>
    <w:p w:rsidR="00133C43" w:rsidRDefault="00133C43" w:rsidP="00133C43">
      <w:pPr>
        <w:spacing w:after="0" w:line="240" w:lineRule="auto"/>
        <w:jc w:val="both"/>
        <w:rPr>
          <w:rFonts w:ascii="Times New Roman" w:hAnsi="Times New Roman" w:cs="Times New Roman"/>
          <w:sz w:val="24"/>
          <w:szCs w:val="24"/>
          <w:lang w:val="es-ES_tradnl"/>
        </w:rPr>
      </w:pPr>
    </w:p>
    <w:p w:rsidR="002B4414" w:rsidRPr="007F566A" w:rsidRDefault="00951790" w:rsidP="002B4414">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2B4414">
        <w:rPr>
          <w:rFonts w:ascii="Times New Roman" w:hAnsi="Times New Roman" w:cs="Times New Roman"/>
          <w:i/>
          <w:sz w:val="24"/>
          <w:szCs w:val="24"/>
          <w:lang w:val="es-ES_tradnl"/>
        </w:rPr>
        <w:t>1.1</w:t>
      </w:r>
      <w:r w:rsidR="002B4414">
        <w:rPr>
          <w:rFonts w:ascii="Times New Roman" w:hAnsi="Times New Roman" w:cs="Times New Roman"/>
          <w:i/>
          <w:sz w:val="24"/>
          <w:szCs w:val="24"/>
          <w:lang w:val="es-ES_tradnl"/>
        </w:rPr>
        <w:tab/>
      </w:r>
      <w:r w:rsidR="002B4414" w:rsidRPr="007F566A">
        <w:rPr>
          <w:rFonts w:ascii="Times New Roman" w:hAnsi="Times New Roman" w:cs="Times New Roman"/>
          <w:i/>
          <w:sz w:val="24"/>
          <w:szCs w:val="24"/>
          <w:lang w:val="es-ES_tradnl"/>
        </w:rPr>
        <w:t>Indicadores de efectos directos: Variables y fuentes de datos</w:t>
      </w:r>
    </w:p>
    <w:p w:rsidR="002B4414" w:rsidRPr="007F566A" w:rsidRDefault="002B4414" w:rsidP="002B4414">
      <w:pPr>
        <w:spacing w:after="0" w:line="240" w:lineRule="auto"/>
        <w:jc w:val="both"/>
        <w:rPr>
          <w:rFonts w:ascii="Times New Roman" w:hAnsi="Times New Roman" w:cs="Times New Roman"/>
          <w:sz w:val="24"/>
          <w:szCs w:val="24"/>
          <w:lang w:val="es-ES_tradnl"/>
        </w:rPr>
      </w:pPr>
    </w:p>
    <w:p w:rsidR="00A05E30" w:rsidRPr="008417DD" w:rsidRDefault="002B4414" w:rsidP="002B4414">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 xml:space="preserve">La variable de resultado será </w:t>
      </w:r>
      <w:r>
        <w:rPr>
          <w:rFonts w:ascii="Times New Roman" w:hAnsi="Times New Roman" w:cs="Times New Roman"/>
          <w:sz w:val="24"/>
          <w:szCs w:val="24"/>
          <w:lang w:val="es-ES_tradnl"/>
        </w:rPr>
        <w:t>el nivel de la inversión extranjera directa, total y por sector de actividad económica (ver Tablas 1 y 2).</w:t>
      </w:r>
    </w:p>
    <w:p w:rsidR="00A05E30" w:rsidRDefault="00A05E30" w:rsidP="00133C43">
      <w:pPr>
        <w:spacing w:after="0" w:line="240" w:lineRule="auto"/>
        <w:jc w:val="both"/>
        <w:rPr>
          <w:rFonts w:ascii="Times New Roman" w:hAnsi="Times New Roman" w:cs="Times New Roman"/>
          <w:i/>
          <w:sz w:val="24"/>
          <w:szCs w:val="24"/>
          <w:lang w:val="es-ES_tradnl"/>
        </w:rPr>
      </w:pPr>
    </w:p>
    <w:p w:rsidR="002B4414" w:rsidRPr="007F566A" w:rsidRDefault="002B4414" w:rsidP="002B4414">
      <w:pPr>
        <w:spacing w:after="0" w:line="240" w:lineRule="auto"/>
        <w:jc w:val="center"/>
        <w:rPr>
          <w:rFonts w:ascii="Times New Roman" w:hAnsi="Times New Roman" w:cs="Times New Roman"/>
          <w:b/>
          <w:lang w:val="en-US"/>
        </w:rPr>
      </w:pPr>
      <w:proofErr w:type="spellStart"/>
      <w:r w:rsidRPr="007F566A">
        <w:rPr>
          <w:rFonts w:ascii="Times New Roman" w:hAnsi="Times New Roman" w:cs="Times New Roman"/>
          <w:b/>
          <w:lang w:val="en-US"/>
        </w:rPr>
        <w:t>Tabla</w:t>
      </w:r>
      <w:proofErr w:type="spellEnd"/>
      <w:r w:rsidRPr="007F566A">
        <w:rPr>
          <w:rFonts w:ascii="Times New Roman" w:hAnsi="Times New Roman" w:cs="Times New Roman"/>
          <w:b/>
          <w:lang w:val="en-US"/>
        </w:rPr>
        <w:t xml:space="preserve"> </w:t>
      </w:r>
      <w:r w:rsidR="00B907F3">
        <w:rPr>
          <w:rFonts w:ascii="Times New Roman" w:hAnsi="Times New Roman" w:cs="Times New Roman"/>
          <w:b/>
          <w:lang w:val="en-US"/>
        </w:rPr>
        <w:t>2</w:t>
      </w:r>
    </w:p>
    <w:p w:rsidR="002B4414" w:rsidRPr="007F566A" w:rsidRDefault="002B4414" w:rsidP="002B4414">
      <w:pPr>
        <w:spacing w:after="0" w:line="240" w:lineRule="auto"/>
        <w:jc w:val="center"/>
        <w:rPr>
          <w:rFonts w:ascii="Times New Roman" w:hAnsi="Times New Roman" w:cs="Times New Roman"/>
          <w:b/>
          <w:lang w:val="en-US"/>
        </w:rPr>
      </w:pPr>
      <w:proofErr w:type="spellStart"/>
      <w:r w:rsidRPr="007F566A">
        <w:rPr>
          <w:rFonts w:ascii="Times New Roman" w:hAnsi="Times New Roman" w:cs="Times New Roman"/>
          <w:b/>
          <w:lang w:val="en-US"/>
        </w:rPr>
        <w:t>Indicadores</w:t>
      </w:r>
      <w:proofErr w:type="spellEnd"/>
      <w:r w:rsidRPr="007F566A">
        <w:rPr>
          <w:rFonts w:ascii="Times New Roman" w:hAnsi="Times New Roman" w:cs="Times New Roman"/>
          <w:b/>
          <w:lang w:val="en-US"/>
        </w:rPr>
        <w:t xml:space="preserve"> de </w:t>
      </w:r>
      <w:proofErr w:type="spellStart"/>
      <w:r w:rsidRPr="007F566A">
        <w:rPr>
          <w:rFonts w:ascii="Times New Roman" w:hAnsi="Times New Roman" w:cs="Times New Roman"/>
          <w:b/>
          <w:lang w:val="en-US"/>
        </w:rPr>
        <w:t>Resultados</w:t>
      </w:r>
      <w:proofErr w:type="spellEnd"/>
    </w:p>
    <w:p w:rsidR="002B4414" w:rsidRPr="007F566A" w:rsidRDefault="002B4414" w:rsidP="002B4414">
      <w:pPr>
        <w:spacing w:after="0" w:line="240" w:lineRule="auto"/>
        <w:jc w:val="center"/>
        <w:rPr>
          <w:rFonts w:ascii="Times New Roman" w:hAnsi="Times New Roman" w:cs="Times New Roman"/>
          <w:sz w:val="24"/>
          <w:szCs w:val="24"/>
          <w:lang w:val="en-US"/>
        </w:rPr>
      </w:pPr>
    </w:p>
    <w:tbl>
      <w:tblPr>
        <w:tblW w:w="8838" w:type="dxa"/>
        <w:jc w:val="center"/>
        <w:tblInd w:w="2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1"/>
        <w:gridCol w:w="2340"/>
        <w:gridCol w:w="2267"/>
        <w:gridCol w:w="2340"/>
      </w:tblGrid>
      <w:tr w:rsidR="002B4414" w:rsidRPr="007F566A" w:rsidTr="002B4414">
        <w:trPr>
          <w:jc w:val="center"/>
        </w:trPr>
        <w:tc>
          <w:tcPr>
            <w:tcW w:w="1891" w:type="dxa"/>
            <w:vAlign w:val="center"/>
          </w:tcPr>
          <w:p w:rsidR="002B4414" w:rsidRPr="00A96F65" w:rsidRDefault="002B4414" w:rsidP="004E7986">
            <w:pPr>
              <w:pStyle w:val="Regtable"/>
              <w:spacing w:before="0" w:after="0"/>
              <w:jc w:val="center"/>
              <w:rPr>
                <w:i/>
              </w:rPr>
            </w:pPr>
            <w:r w:rsidRPr="00A96F65">
              <w:rPr>
                <w:i/>
              </w:rPr>
              <w:t>Indicador</w:t>
            </w:r>
          </w:p>
        </w:tc>
        <w:tc>
          <w:tcPr>
            <w:tcW w:w="2340" w:type="dxa"/>
            <w:vAlign w:val="center"/>
          </w:tcPr>
          <w:p w:rsidR="002B4414" w:rsidRPr="00A96F65" w:rsidRDefault="002B4414" w:rsidP="004E7986">
            <w:pPr>
              <w:pStyle w:val="Regtable"/>
              <w:spacing w:before="0" w:after="0"/>
              <w:jc w:val="center"/>
              <w:rPr>
                <w:i/>
              </w:rPr>
            </w:pPr>
            <w:r w:rsidRPr="00A96F65">
              <w:rPr>
                <w:i/>
              </w:rPr>
              <w:t>Fórmula</w:t>
            </w:r>
          </w:p>
        </w:tc>
        <w:tc>
          <w:tcPr>
            <w:tcW w:w="2267" w:type="dxa"/>
            <w:vAlign w:val="center"/>
          </w:tcPr>
          <w:p w:rsidR="002B4414" w:rsidRPr="00A96F65" w:rsidRDefault="002B4414" w:rsidP="004E7986">
            <w:pPr>
              <w:pStyle w:val="Regtable"/>
              <w:spacing w:before="0" w:after="0"/>
              <w:jc w:val="center"/>
              <w:rPr>
                <w:i/>
              </w:rPr>
            </w:pPr>
            <w:r w:rsidRPr="00A96F65">
              <w:rPr>
                <w:i/>
              </w:rPr>
              <w:t>Frecuencia de medición</w:t>
            </w:r>
          </w:p>
        </w:tc>
        <w:tc>
          <w:tcPr>
            <w:tcW w:w="2340" w:type="dxa"/>
            <w:vAlign w:val="center"/>
          </w:tcPr>
          <w:p w:rsidR="002B4414" w:rsidRPr="00A96F65" w:rsidRDefault="002B4414" w:rsidP="004E7986">
            <w:pPr>
              <w:pStyle w:val="Regtable"/>
              <w:spacing w:before="0" w:after="0"/>
              <w:jc w:val="center"/>
              <w:rPr>
                <w:i/>
              </w:rPr>
            </w:pPr>
            <w:r w:rsidRPr="00A96F65">
              <w:rPr>
                <w:i/>
              </w:rPr>
              <w:t>Fuente de verificación</w:t>
            </w:r>
          </w:p>
        </w:tc>
      </w:tr>
      <w:tr w:rsidR="002B4414" w:rsidRPr="007F566A" w:rsidTr="002B4414">
        <w:trPr>
          <w:jc w:val="center"/>
        </w:trPr>
        <w:tc>
          <w:tcPr>
            <w:tcW w:w="1891" w:type="dxa"/>
          </w:tcPr>
          <w:p w:rsidR="002B4414" w:rsidRDefault="002B4414" w:rsidP="002B4414">
            <w:pPr>
              <w:pStyle w:val="Regtable"/>
              <w:spacing w:before="0" w:after="0"/>
              <w:rPr>
                <w:rFonts w:eastAsia="MS Mincho"/>
                <w:noProof w:val="0"/>
                <w:lang w:val="es-ES_tradnl" w:eastAsia="ja-JP"/>
              </w:rPr>
            </w:pPr>
            <w:r>
              <w:rPr>
                <w:rFonts w:eastAsia="MS Mincho"/>
                <w:noProof w:val="0"/>
                <w:lang w:val="es-ES_tradnl" w:eastAsia="ja-JP"/>
              </w:rPr>
              <w:t>Inversión extranjera directa (IED), total  y por sector</w:t>
            </w:r>
            <w:r w:rsidRPr="007F566A">
              <w:rPr>
                <w:rFonts w:eastAsia="MS Mincho"/>
                <w:noProof w:val="0"/>
                <w:lang w:val="es-ES_tradnl" w:eastAsia="ja-JP"/>
              </w:rPr>
              <w:t xml:space="preserve"> </w:t>
            </w:r>
          </w:p>
          <w:p w:rsidR="002B4414" w:rsidRPr="007F566A" w:rsidRDefault="002B4414" w:rsidP="002B4414">
            <w:pPr>
              <w:pStyle w:val="Regtable"/>
              <w:spacing w:before="0" w:after="0"/>
              <w:rPr>
                <w:lang w:val="es-ES_tradnl"/>
              </w:rPr>
            </w:pPr>
            <w:r w:rsidRPr="007F566A">
              <w:rPr>
                <w:rFonts w:eastAsia="MS Mincho"/>
                <w:noProof w:val="0"/>
                <w:lang w:val="es-ES_tradnl" w:eastAsia="ja-JP"/>
              </w:rPr>
              <w:t xml:space="preserve">(diferencia entre flujos </w:t>
            </w:r>
            <w:r>
              <w:rPr>
                <w:rFonts w:eastAsia="MS Mincho"/>
                <w:noProof w:val="0"/>
                <w:lang w:val="es-ES_tradnl" w:eastAsia="ja-JP"/>
              </w:rPr>
              <w:t>tratados</w:t>
            </w:r>
            <w:r w:rsidRPr="007F566A">
              <w:rPr>
                <w:rFonts w:eastAsia="MS Mincho"/>
                <w:noProof w:val="0"/>
                <w:lang w:val="es-ES_tradnl" w:eastAsia="ja-JP"/>
              </w:rPr>
              <w:t xml:space="preserve"> y</w:t>
            </w:r>
            <w:r>
              <w:rPr>
                <w:rFonts w:eastAsia="MS Mincho"/>
                <w:noProof w:val="0"/>
                <w:lang w:val="es-ES_tradnl" w:eastAsia="ja-JP"/>
              </w:rPr>
              <w:t xml:space="preserve"> el promedio de</w:t>
            </w:r>
            <w:r w:rsidRPr="007F566A">
              <w:rPr>
                <w:rFonts w:eastAsia="MS Mincho"/>
                <w:noProof w:val="0"/>
                <w:lang w:val="es-ES_tradnl" w:eastAsia="ja-JP"/>
              </w:rPr>
              <w:t xml:space="preserve"> flujos no </w:t>
            </w:r>
            <w:r>
              <w:rPr>
                <w:rFonts w:eastAsia="MS Mincho"/>
                <w:noProof w:val="0"/>
                <w:lang w:val="es-ES_tradnl" w:eastAsia="ja-JP"/>
              </w:rPr>
              <w:t>tratados</w:t>
            </w:r>
            <w:r w:rsidRPr="007F566A">
              <w:rPr>
                <w:rFonts w:eastAsia="MS Mincho"/>
                <w:noProof w:val="0"/>
                <w:lang w:val="es-ES_tradnl" w:eastAsia="ja-JP"/>
              </w:rPr>
              <w:t>)</w:t>
            </w:r>
          </w:p>
        </w:tc>
        <w:tc>
          <w:tcPr>
            <w:tcW w:w="2340" w:type="dxa"/>
          </w:tcPr>
          <w:p w:rsidR="002B4414" w:rsidRPr="007F566A" w:rsidRDefault="00F408F3" w:rsidP="002B4414">
            <w:pPr>
              <w:pStyle w:val="Regtable"/>
              <w:spacing w:before="0" w:after="0"/>
              <w:rPr>
                <w:lang w:val="es-ES_tradnl"/>
              </w:rPr>
            </w:pPr>
            <m:oMathPara>
              <m:oMath>
                <m:sSup>
                  <m:sSupPr>
                    <m:ctrlPr>
                      <w:rPr>
                        <w:rFonts w:ascii="Cambria Math" w:hAnsi="Cambria Math"/>
                        <w:i/>
                        <w:lang w:val="es-ES_tradnl"/>
                      </w:rPr>
                    </m:ctrlPr>
                  </m:sSupPr>
                  <m:e>
                    <m:r>
                      <w:rPr>
                        <w:rFonts w:ascii="Cambria Math" w:hAnsi="Cambria Math"/>
                        <w:lang w:val="es-ES_tradnl"/>
                      </w:rPr>
                      <m:t>IED</m:t>
                    </m:r>
                  </m:e>
                  <m:sup>
                    <m:r>
                      <w:rPr>
                        <w:rFonts w:ascii="Cambria Math" w:hAnsi="Cambria Math"/>
                        <w:lang w:val="es-ES_tradnl"/>
                      </w:rPr>
                      <m:t>T</m:t>
                    </m:r>
                  </m:sup>
                </m:sSup>
                <m:r>
                  <w:rPr>
                    <w:rFonts w:ascii="Cambria Math" w:hAnsi="Cambria Math"/>
                    <w:lang w:val="es-ES_tradnl"/>
                  </w:rPr>
                  <m:t>-</m:t>
                </m:r>
                <m:sSup>
                  <m:sSupPr>
                    <m:ctrlPr>
                      <w:rPr>
                        <w:rFonts w:ascii="Cambria Math" w:hAnsi="Cambria Math"/>
                        <w:i/>
                        <w:lang w:val="es-ES_tradnl"/>
                      </w:rPr>
                    </m:ctrlPr>
                  </m:sSupPr>
                  <m:e>
                    <m:acc>
                      <m:accPr>
                        <m:chr m:val="̅"/>
                        <m:ctrlPr>
                          <w:rPr>
                            <w:rFonts w:ascii="Cambria Math" w:hAnsi="Cambria Math"/>
                            <w:i/>
                            <w:lang w:val="es-ES_tradnl"/>
                          </w:rPr>
                        </m:ctrlPr>
                      </m:accPr>
                      <m:e>
                        <m:r>
                          <w:rPr>
                            <w:rFonts w:ascii="Cambria Math" w:hAnsi="Cambria Math"/>
                            <w:lang w:val="es-ES_tradnl"/>
                          </w:rPr>
                          <m:t>IED</m:t>
                        </m:r>
                      </m:e>
                    </m:acc>
                  </m:e>
                  <m:sup>
                    <m:r>
                      <w:rPr>
                        <w:rFonts w:ascii="Cambria Math" w:hAnsi="Cambria Math"/>
                        <w:lang w:val="es-ES_tradnl"/>
                      </w:rPr>
                      <m:t>NT</m:t>
                    </m:r>
                  </m:sup>
                </m:sSup>
              </m:oMath>
            </m:oMathPara>
          </w:p>
        </w:tc>
        <w:tc>
          <w:tcPr>
            <w:tcW w:w="2267" w:type="dxa"/>
          </w:tcPr>
          <w:p w:rsidR="002B4414" w:rsidRPr="007F566A" w:rsidRDefault="002B4414" w:rsidP="004E7986">
            <w:pPr>
              <w:pStyle w:val="Regtable"/>
              <w:spacing w:before="0" w:after="0"/>
              <w:jc w:val="center"/>
            </w:pPr>
            <w:r w:rsidRPr="007F566A">
              <w:rPr>
                <w:rFonts w:eastAsia="MS Mincho"/>
                <w:noProof w:val="0"/>
                <w:lang w:val="es-ES_tradnl" w:eastAsia="ja-JP"/>
              </w:rPr>
              <w:t>Anual</w:t>
            </w:r>
          </w:p>
        </w:tc>
        <w:tc>
          <w:tcPr>
            <w:tcW w:w="2340" w:type="dxa"/>
          </w:tcPr>
          <w:p w:rsidR="002B4414" w:rsidRPr="007F566A" w:rsidRDefault="002B4414" w:rsidP="004E7986">
            <w:pPr>
              <w:pStyle w:val="Regtable"/>
              <w:spacing w:before="0" w:after="0"/>
              <w:rPr>
                <w:lang w:val="es-ES_tradnl"/>
              </w:rPr>
            </w:pPr>
            <w:r>
              <w:rPr>
                <w:lang w:val="es-ES_tradnl"/>
              </w:rPr>
              <w:t>Banco Central del Uurguay, WDI del Banco Mundial y UNCTAD</w:t>
            </w:r>
          </w:p>
        </w:tc>
      </w:tr>
    </w:tbl>
    <w:p w:rsidR="002B4414" w:rsidRPr="002B4414" w:rsidRDefault="002B4414" w:rsidP="002B4414">
      <w:pPr>
        <w:spacing w:after="0" w:line="240" w:lineRule="auto"/>
        <w:jc w:val="both"/>
        <w:rPr>
          <w:rFonts w:ascii="Times New Roman" w:hAnsi="Times New Roman" w:cs="Times New Roman"/>
          <w:sz w:val="24"/>
          <w:szCs w:val="24"/>
        </w:rPr>
      </w:pPr>
    </w:p>
    <w:p w:rsidR="007B7EE0" w:rsidRPr="00A05E30" w:rsidRDefault="00951790" w:rsidP="00133C43">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2B4414">
        <w:rPr>
          <w:rFonts w:ascii="Times New Roman" w:hAnsi="Times New Roman" w:cs="Times New Roman"/>
          <w:i/>
          <w:sz w:val="24"/>
          <w:szCs w:val="24"/>
          <w:lang w:val="es-ES_tradnl"/>
        </w:rPr>
        <w:t>1.2</w:t>
      </w:r>
      <w:r w:rsidR="002B4414">
        <w:rPr>
          <w:rFonts w:ascii="Times New Roman" w:hAnsi="Times New Roman" w:cs="Times New Roman"/>
          <w:i/>
          <w:sz w:val="24"/>
          <w:szCs w:val="24"/>
          <w:lang w:val="es-ES_tradnl"/>
        </w:rPr>
        <w:tab/>
      </w:r>
      <w:r w:rsidR="008417DD">
        <w:rPr>
          <w:rFonts w:ascii="Times New Roman" w:hAnsi="Times New Roman" w:cs="Times New Roman"/>
          <w:i/>
          <w:sz w:val="24"/>
          <w:szCs w:val="24"/>
          <w:lang w:val="es-ES_tradnl"/>
        </w:rPr>
        <w:t>Tratamiento, control y m</w:t>
      </w:r>
      <w:r w:rsidR="00A05E30">
        <w:rPr>
          <w:rFonts w:ascii="Times New Roman" w:hAnsi="Times New Roman" w:cs="Times New Roman"/>
          <w:i/>
          <w:sz w:val="24"/>
          <w:szCs w:val="24"/>
          <w:lang w:val="es-ES_tradnl"/>
        </w:rPr>
        <w:t>étodo</w:t>
      </w:r>
      <w:r w:rsidR="007B7EE0" w:rsidRPr="00A05E30">
        <w:rPr>
          <w:rFonts w:ascii="Times New Roman" w:hAnsi="Times New Roman" w:cs="Times New Roman"/>
          <w:i/>
          <w:sz w:val="24"/>
          <w:szCs w:val="24"/>
          <w:lang w:val="es-ES_tradnl"/>
        </w:rPr>
        <w:t xml:space="preserve"> de </w:t>
      </w:r>
      <w:r w:rsidR="00A05E30" w:rsidRPr="00A05E30">
        <w:rPr>
          <w:rFonts w:ascii="Times New Roman" w:hAnsi="Times New Roman" w:cs="Times New Roman"/>
          <w:i/>
          <w:sz w:val="24"/>
          <w:szCs w:val="24"/>
          <w:lang w:val="es-ES_tradnl"/>
        </w:rPr>
        <w:t>e</w:t>
      </w:r>
      <w:r w:rsidR="007B7EE0" w:rsidRPr="00A05E30">
        <w:rPr>
          <w:rFonts w:ascii="Times New Roman" w:hAnsi="Times New Roman" w:cs="Times New Roman"/>
          <w:i/>
          <w:sz w:val="24"/>
          <w:szCs w:val="24"/>
          <w:lang w:val="es-ES_tradnl"/>
        </w:rPr>
        <w:t>valuación</w:t>
      </w:r>
    </w:p>
    <w:p w:rsidR="00A05E30" w:rsidRDefault="00A05E30" w:rsidP="00133C43">
      <w:pPr>
        <w:spacing w:after="0" w:line="240" w:lineRule="auto"/>
        <w:jc w:val="both"/>
        <w:rPr>
          <w:rFonts w:ascii="Times New Roman" w:hAnsi="Times New Roman" w:cs="Times New Roman"/>
          <w:sz w:val="24"/>
          <w:szCs w:val="24"/>
          <w:lang w:val="es-ES_tradnl"/>
        </w:rPr>
      </w:pPr>
    </w:p>
    <w:p w:rsidR="00F300BC" w:rsidRPr="00D603A8" w:rsidRDefault="0038126E" w:rsidP="00D603A8">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w:t>
      </w:r>
      <w:r w:rsidR="00157E7B" w:rsidRPr="00133C43">
        <w:rPr>
          <w:rFonts w:ascii="Times New Roman" w:hAnsi="Times New Roman" w:cs="Times New Roman"/>
          <w:sz w:val="24"/>
          <w:szCs w:val="24"/>
          <w:lang w:val="es-ES_tradnl"/>
        </w:rPr>
        <w:t xml:space="preserve">l </w:t>
      </w:r>
      <w:r w:rsidR="00157E7B" w:rsidRPr="00133C43">
        <w:rPr>
          <w:rFonts w:ascii="Times New Roman" w:hAnsi="Times New Roman" w:cs="Times New Roman"/>
          <w:i/>
          <w:sz w:val="24"/>
          <w:szCs w:val="24"/>
          <w:lang w:val="es-ES_tradnl"/>
        </w:rPr>
        <w:t>Programa de P</w:t>
      </w:r>
      <w:r w:rsidR="00B82D3E" w:rsidRPr="00133C43">
        <w:rPr>
          <w:rFonts w:ascii="Times New Roman" w:hAnsi="Times New Roman" w:cs="Times New Roman"/>
          <w:i/>
          <w:sz w:val="24"/>
          <w:szCs w:val="24"/>
          <w:lang w:val="es-ES_tradnl"/>
        </w:rPr>
        <w:t xml:space="preserve">osicionamiento Estratégico Internacional </w:t>
      </w:r>
      <w:r w:rsidR="00E77895" w:rsidRPr="00133C43">
        <w:rPr>
          <w:rFonts w:ascii="Times New Roman" w:hAnsi="Times New Roman" w:cs="Times New Roman"/>
          <w:sz w:val="24"/>
          <w:szCs w:val="24"/>
          <w:lang w:val="es-ES_tradnl"/>
        </w:rPr>
        <w:t xml:space="preserve"> es un programa de reformas de política de amplio alcance</w:t>
      </w:r>
      <w:r>
        <w:rPr>
          <w:rFonts w:ascii="Times New Roman" w:hAnsi="Times New Roman" w:cs="Times New Roman"/>
          <w:sz w:val="24"/>
          <w:szCs w:val="24"/>
          <w:lang w:val="es-ES_tradnl"/>
        </w:rPr>
        <w:t>. En consecuencia, evaluar el mismo</w:t>
      </w:r>
      <w:r w:rsidR="00157E7B" w:rsidRPr="00133C43">
        <w:rPr>
          <w:rFonts w:ascii="Times New Roman" w:hAnsi="Times New Roman" w:cs="Times New Roman"/>
          <w:sz w:val="24"/>
          <w:szCs w:val="24"/>
          <w:lang w:val="es-ES_tradnl"/>
        </w:rPr>
        <w:t xml:space="preserve"> implica estimar los efectos de una intervención agregada que afecta a</w:t>
      </w:r>
      <w:r>
        <w:rPr>
          <w:rFonts w:ascii="Times New Roman" w:hAnsi="Times New Roman" w:cs="Times New Roman"/>
          <w:sz w:val="24"/>
          <w:szCs w:val="24"/>
          <w:lang w:val="es-ES_tradnl"/>
        </w:rPr>
        <w:t>l país en su conjunto</w:t>
      </w:r>
      <w:r w:rsidR="00157E7B" w:rsidRPr="00133C43">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Las </w:t>
      </w:r>
      <w:r w:rsidRPr="0038126E">
        <w:rPr>
          <w:rFonts w:ascii="Times New Roman" w:hAnsi="Times New Roman" w:cs="Times New Roman"/>
          <w:sz w:val="24"/>
          <w:szCs w:val="24"/>
          <w:lang w:val="es-ES_tradnl"/>
        </w:rPr>
        <w:t>t</w:t>
      </w:r>
      <w:r w:rsidR="00157E7B" w:rsidRPr="0038126E">
        <w:rPr>
          <w:rFonts w:ascii="Times New Roman" w:hAnsi="Times New Roman" w:cs="Times New Roman"/>
          <w:sz w:val="24"/>
          <w:szCs w:val="24"/>
          <w:lang w:val="es-ES_tradnl"/>
        </w:rPr>
        <w:t>écnicas tradicionales de análisis basad</w:t>
      </w:r>
      <w:r>
        <w:rPr>
          <w:rFonts w:ascii="Times New Roman" w:hAnsi="Times New Roman" w:cs="Times New Roman"/>
          <w:sz w:val="24"/>
          <w:szCs w:val="24"/>
          <w:lang w:val="es-ES_tradnl"/>
        </w:rPr>
        <w:t>a</w:t>
      </w:r>
      <w:r w:rsidR="00157E7B" w:rsidRPr="0038126E">
        <w:rPr>
          <w:rFonts w:ascii="Times New Roman" w:hAnsi="Times New Roman" w:cs="Times New Roman"/>
          <w:sz w:val="24"/>
          <w:szCs w:val="24"/>
          <w:lang w:val="es-ES_tradnl"/>
        </w:rPr>
        <w:t>s en regresiones</w:t>
      </w:r>
      <w:r w:rsidR="00157E7B"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no son</w:t>
      </w:r>
      <w:r w:rsidR="00157E7B" w:rsidRPr="00133C43">
        <w:rPr>
          <w:rFonts w:ascii="Times New Roman" w:hAnsi="Times New Roman" w:cs="Times New Roman"/>
          <w:sz w:val="24"/>
          <w:szCs w:val="24"/>
          <w:lang w:val="es-ES_tradnl"/>
        </w:rPr>
        <w:t xml:space="preserve"> apropiadas para estimar los efectos </w:t>
      </w:r>
      <w:r>
        <w:rPr>
          <w:rFonts w:ascii="Times New Roman" w:hAnsi="Times New Roman" w:cs="Times New Roman"/>
          <w:sz w:val="24"/>
          <w:szCs w:val="24"/>
          <w:lang w:val="es-ES_tradnl"/>
        </w:rPr>
        <w:t xml:space="preserve">este tipo de intervenciones, ya </w:t>
      </w:r>
      <w:r w:rsidR="00157E7B" w:rsidRPr="00133C43">
        <w:rPr>
          <w:rFonts w:ascii="Times New Roman" w:hAnsi="Times New Roman" w:cs="Times New Roman"/>
          <w:sz w:val="24"/>
          <w:szCs w:val="24"/>
          <w:lang w:val="es-ES_tradnl"/>
        </w:rPr>
        <w:t xml:space="preserve">que requieren muestras </w:t>
      </w:r>
      <w:r>
        <w:rPr>
          <w:rFonts w:ascii="Times New Roman" w:hAnsi="Times New Roman" w:cs="Times New Roman"/>
          <w:sz w:val="24"/>
          <w:szCs w:val="24"/>
          <w:lang w:val="es-ES_tradnl"/>
        </w:rPr>
        <w:t xml:space="preserve">grandes </w:t>
      </w:r>
      <w:r w:rsidR="00157E7B" w:rsidRPr="00133C43">
        <w:rPr>
          <w:rFonts w:ascii="Times New Roman" w:hAnsi="Times New Roman" w:cs="Times New Roman"/>
          <w:sz w:val="24"/>
          <w:szCs w:val="24"/>
          <w:lang w:val="es-ES_tradnl"/>
        </w:rPr>
        <w:t xml:space="preserve">y varias instancias de observación del evento de interés. </w:t>
      </w:r>
      <w:r>
        <w:rPr>
          <w:rFonts w:ascii="Times New Roman" w:hAnsi="Times New Roman" w:cs="Times New Roman"/>
          <w:sz w:val="24"/>
          <w:szCs w:val="24"/>
          <w:lang w:val="es-ES_tradnl"/>
        </w:rPr>
        <w:t>Lo</w:t>
      </w:r>
      <w:r w:rsidR="00157E7B" w:rsidRPr="00133C43">
        <w:rPr>
          <w:rFonts w:ascii="Times New Roman" w:hAnsi="Times New Roman" w:cs="Times New Roman"/>
          <w:sz w:val="24"/>
          <w:szCs w:val="24"/>
          <w:lang w:val="es-ES_tradnl"/>
        </w:rPr>
        <w:t xml:space="preserve">s enfoques alternativos </w:t>
      </w:r>
      <w:r>
        <w:rPr>
          <w:rFonts w:ascii="Times New Roman" w:hAnsi="Times New Roman" w:cs="Times New Roman"/>
          <w:sz w:val="24"/>
          <w:szCs w:val="24"/>
          <w:lang w:val="es-ES_tradnl"/>
        </w:rPr>
        <w:t>que se usan más</w:t>
      </w:r>
      <w:r w:rsidR="00E14F0F" w:rsidRPr="00133C43">
        <w:rPr>
          <w:rFonts w:ascii="Times New Roman" w:hAnsi="Times New Roman" w:cs="Times New Roman"/>
          <w:sz w:val="24"/>
          <w:szCs w:val="24"/>
          <w:lang w:val="es-ES_tradnl"/>
        </w:rPr>
        <w:t xml:space="preserve"> comúnmente</w:t>
      </w:r>
      <w:r w:rsidR="00157E7B" w:rsidRPr="00133C43">
        <w:rPr>
          <w:rFonts w:ascii="Times New Roman" w:hAnsi="Times New Roman" w:cs="Times New Roman"/>
          <w:sz w:val="24"/>
          <w:szCs w:val="24"/>
          <w:lang w:val="es-ES_tradnl"/>
        </w:rPr>
        <w:t>, a saber</w:t>
      </w:r>
      <w:r w:rsidR="005B43DC" w:rsidRPr="00133C43">
        <w:rPr>
          <w:rFonts w:ascii="Times New Roman" w:hAnsi="Times New Roman" w:cs="Times New Roman"/>
          <w:sz w:val="24"/>
          <w:szCs w:val="24"/>
          <w:lang w:val="es-ES_tradnl"/>
        </w:rPr>
        <w:t>,</w:t>
      </w:r>
      <w:r w:rsidR="00157E7B"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el </w:t>
      </w:r>
      <w:r w:rsidR="00157E7B" w:rsidRPr="00133C43">
        <w:rPr>
          <w:rFonts w:ascii="Times New Roman" w:hAnsi="Times New Roman" w:cs="Times New Roman"/>
          <w:sz w:val="24"/>
          <w:szCs w:val="24"/>
          <w:lang w:val="es-ES_tradnl"/>
        </w:rPr>
        <w:t xml:space="preserve">análisis de </w:t>
      </w:r>
      <w:r w:rsidR="00157E7B" w:rsidRPr="0038126E">
        <w:rPr>
          <w:rFonts w:ascii="Times New Roman" w:hAnsi="Times New Roman" w:cs="Times New Roman"/>
          <w:sz w:val="24"/>
          <w:szCs w:val="24"/>
          <w:lang w:val="es-ES_tradnl"/>
        </w:rPr>
        <w:t>series de tiempo</w:t>
      </w:r>
      <w:r w:rsidR="005B43DC" w:rsidRPr="0038126E">
        <w:rPr>
          <w:rFonts w:ascii="Times New Roman" w:hAnsi="Times New Roman" w:cs="Times New Roman"/>
          <w:sz w:val="24"/>
          <w:szCs w:val="24"/>
          <w:lang w:val="es-ES_tradnl"/>
        </w:rPr>
        <w:t xml:space="preserve"> </w:t>
      </w:r>
      <w:r w:rsidR="005B43DC" w:rsidRPr="00133C43">
        <w:rPr>
          <w:rFonts w:ascii="Times New Roman" w:hAnsi="Times New Roman" w:cs="Times New Roman"/>
          <w:sz w:val="24"/>
          <w:szCs w:val="24"/>
          <w:lang w:val="es-ES_tradnl"/>
        </w:rPr>
        <w:t xml:space="preserve">y </w:t>
      </w:r>
      <w:r>
        <w:rPr>
          <w:rFonts w:ascii="Times New Roman" w:hAnsi="Times New Roman" w:cs="Times New Roman"/>
          <w:sz w:val="24"/>
          <w:szCs w:val="24"/>
          <w:lang w:val="es-ES_tradnl"/>
        </w:rPr>
        <w:t>los e</w:t>
      </w:r>
      <w:r w:rsidR="005B43DC" w:rsidRPr="00133C43">
        <w:rPr>
          <w:rFonts w:ascii="Times New Roman" w:hAnsi="Times New Roman" w:cs="Times New Roman"/>
          <w:sz w:val="24"/>
          <w:szCs w:val="24"/>
          <w:lang w:val="es-ES_tradnl"/>
        </w:rPr>
        <w:t xml:space="preserve">studios comparativos de casos, </w:t>
      </w:r>
      <w:r>
        <w:rPr>
          <w:rFonts w:ascii="Times New Roman" w:hAnsi="Times New Roman" w:cs="Times New Roman"/>
          <w:sz w:val="24"/>
          <w:szCs w:val="24"/>
          <w:lang w:val="es-ES_tradnl"/>
        </w:rPr>
        <w:t>tienen claras limitaciones</w:t>
      </w:r>
      <w:r w:rsidR="00E14F0F"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Así</w:t>
      </w:r>
      <w:r w:rsidR="00E14F0F" w:rsidRPr="00133C43">
        <w:rPr>
          <w:rFonts w:ascii="Times New Roman" w:hAnsi="Times New Roman" w:cs="Times New Roman"/>
          <w:sz w:val="24"/>
          <w:szCs w:val="24"/>
          <w:lang w:val="es-ES_tradnl"/>
        </w:rPr>
        <w:t xml:space="preserve">, las </w:t>
      </w:r>
      <w:r>
        <w:rPr>
          <w:rFonts w:ascii="Times New Roman" w:hAnsi="Times New Roman" w:cs="Times New Roman"/>
          <w:sz w:val="24"/>
          <w:szCs w:val="24"/>
          <w:lang w:val="es-ES_tradnl"/>
        </w:rPr>
        <w:t xml:space="preserve">técnicas basadas en series de tiempo para una sola unidad </w:t>
      </w:r>
      <w:r w:rsidR="00E14F0F" w:rsidRPr="00133C43">
        <w:rPr>
          <w:rFonts w:ascii="Times New Roman" w:hAnsi="Times New Roman" w:cs="Times New Roman"/>
          <w:sz w:val="24"/>
          <w:szCs w:val="24"/>
          <w:lang w:val="es-ES_tradnl"/>
        </w:rPr>
        <w:t>no son apropiadas para estimar los efect</w:t>
      </w:r>
      <w:r w:rsidR="00E77895" w:rsidRPr="00133C43">
        <w:rPr>
          <w:rFonts w:ascii="Times New Roman" w:hAnsi="Times New Roman" w:cs="Times New Roman"/>
          <w:sz w:val="24"/>
          <w:szCs w:val="24"/>
          <w:lang w:val="es-ES_tradnl"/>
        </w:rPr>
        <w:t xml:space="preserve">os a mediano y largo plazo de </w:t>
      </w:r>
      <w:r>
        <w:rPr>
          <w:rFonts w:ascii="Times New Roman" w:hAnsi="Times New Roman" w:cs="Times New Roman"/>
          <w:sz w:val="24"/>
          <w:szCs w:val="24"/>
          <w:lang w:val="es-ES_tradnl"/>
        </w:rPr>
        <w:t xml:space="preserve">las </w:t>
      </w:r>
      <w:r w:rsidR="00E77895" w:rsidRPr="00133C43">
        <w:rPr>
          <w:rFonts w:ascii="Times New Roman" w:hAnsi="Times New Roman" w:cs="Times New Roman"/>
          <w:sz w:val="24"/>
          <w:szCs w:val="24"/>
          <w:lang w:val="es-ES_tradnl"/>
        </w:rPr>
        <w:t xml:space="preserve">reformas de </w:t>
      </w:r>
      <w:r w:rsidR="00E14F0F" w:rsidRPr="00133C43">
        <w:rPr>
          <w:rFonts w:ascii="Times New Roman" w:hAnsi="Times New Roman" w:cs="Times New Roman"/>
          <w:sz w:val="24"/>
          <w:szCs w:val="24"/>
          <w:lang w:val="es-ES_tradnl"/>
        </w:rPr>
        <w:t xml:space="preserve">política debido a la </w:t>
      </w:r>
      <w:r>
        <w:rPr>
          <w:rFonts w:ascii="Times New Roman" w:hAnsi="Times New Roman" w:cs="Times New Roman"/>
          <w:sz w:val="24"/>
          <w:szCs w:val="24"/>
          <w:lang w:val="es-ES_tradnl"/>
        </w:rPr>
        <w:t>ocurrencia</w:t>
      </w:r>
      <w:r w:rsidR="00E14F0F" w:rsidRPr="00133C43">
        <w:rPr>
          <w:rFonts w:ascii="Times New Roman" w:hAnsi="Times New Roman" w:cs="Times New Roman"/>
          <w:sz w:val="24"/>
          <w:szCs w:val="24"/>
          <w:lang w:val="es-ES_tradnl"/>
        </w:rPr>
        <w:t xml:space="preserve"> de shocks </w:t>
      </w:r>
      <w:r w:rsidR="00E77895" w:rsidRPr="00133C43">
        <w:rPr>
          <w:rFonts w:ascii="Times New Roman" w:hAnsi="Times New Roman" w:cs="Times New Roman"/>
          <w:sz w:val="24"/>
          <w:szCs w:val="24"/>
          <w:lang w:val="es-ES_tradnl"/>
        </w:rPr>
        <w:t xml:space="preserve">que </w:t>
      </w:r>
      <w:r>
        <w:rPr>
          <w:rFonts w:ascii="Times New Roman" w:hAnsi="Times New Roman" w:cs="Times New Roman"/>
          <w:sz w:val="24"/>
          <w:szCs w:val="24"/>
          <w:lang w:val="es-ES_tradnl"/>
        </w:rPr>
        <w:t xml:space="preserve">pueden </w:t>
      </w:r>
      <w:r w:rsidR="00E77895" w:rsidRPr="00133C43">
        <w:rPr>
          <w:rFonts w:ascii="Times New Roman" w:hAnsi="Times New Roman" w:cs="Times New Roman"/>
          <w:sz w:val="24"/>
          <w:szCs w:val="24"/>
          <w:lang w:val="es-ES_tradnl"/>
        </w:rPr>
        <w:t>afecta</w:t>
      </w:r>
      <w:r>
        <w:rPr>
          <w:rFonts w:ascii="Times New Roman" w:hAnsi="Times New Roman" w:cs="Times New Roman"/>
          <w:sz w:val="24"/>
          <w:szCs w:val="24"/>
          <w:lang w:val="es-ES_tradnl"/>
        </w:rPr>
        <w:t>r</w:t>
      </w:r>
      <w:r w:rsidR="00E77895" w:rsidRPr="00133C43">
        <w:rPr>
          <w:rFonts w:ascii="Times New Roman" w:hAnsi="Times New Roman" w:cs="Times New Roman"/>
          <w:sz w:val="24"/>
          <w:szCs w:val="24"/>
          <w:lang w:val="es-ES_tradnl"/>
        </w:rPr>
        <w:t xml:space="preserve"> </w:t>
      </w:r>
      <w:r w:rsidR="00E14F0F" w:rsidRPr="00133C43">
        <w:rPr>
          <w:rFonts w:ascii="Times New Roman" w:hAnsi="Times New Roman" w:cs="Times New Roman"/>
          <w:sz w:val="24"/>
          <w:szCs w:val="24"/>
          <w:lang w:val="es-ES_tradnl"/>
        </w:rPr>
        <w:t>el resultado de interés luego de la intervención</w:t>
      </w:r>
      <w:r>
        <w:rPr>
          <w:rFonts w:ascii="Times New Roman" w:hAnsi="Times New Roman" w:cs="Times New Roman"/>
          <w:sz w:val="24"/>
          <w:szCs w:val="24"/>
          <w:lang w:val="es-ES_tradnl"/>
        </w:rPr>
        <w:t xml:space="preserve">. Por su parte, </w:t>
      </w:r>
      <w:r w:rsidR="00E14F0F" w:rsidRPr="00133C43">
        <w:rPr>
          <w:rFonts w:ascii="Times New Roman" w:hAnsi="Times New Roman" w:cs="Times New Roman"/>
          <w:sz w:val="24"/>
          <w:szCs w:val="24"/>
          <w:lang w:val="es-ES_tradnl"/>
        </w:rPr>
        <w:t xml:space="preserve">la selección de unidades de comparación en </w:t>
      </w:r>
      <w:r>
        <w:rPr>
          <w:rFonts w:ascii="Times New Roman" w:hAnsi="Times New Roman" w:cs="Times New Roman"/>
          <w:sz w:val="24"/>
          <w:szCs w:val="24"/>
          <w:lang w:val="es-ES_tradnl"/>
        </w:rPr>
        <w:t xml:space="preserve">los </w:t>
      </w:r>
      <w:r w:rsidR="00E14F0F" w:rsidRPr="00133C43">
        <w:rPr>
          <w:rFonts w:ascii="Times New Roman" w:hAnsi="Times New Roman" w:cs="Times New Roman"/>
          <w:sz w:val="24"/>
          <w:szCs w:val="24"/>
          <w:lang w:val="es-ES_tradnl"/>
        </w:rPr>
        <w:t xml:space="preserve">estudios comparativos de casos </w:t>
      </w:r>
      <w:r>
        <w:rPr>
          <w:rFonts w:ascii="Times New Roman" w:hAnsi="Times New Roman" w:cs="Times New Roman"/>
          <w:sz w:val="24"/>
          <w:szCs w:val="24"/>
          <w:lang w:val="es-ES_tradnl"/>
        </w:rPr>
        <w:t>carece de</w:t>
      </w:r>
      <w:r w:rsidR="00E14F0F" w:rsidRPr="00133C43">
        <w:rPr>
          <w:rFonts w:ascii="Times New Roman" w:hAnsi="Times New Roman" w:cs="Times New Roman"/>
          <w:sz w:val="24"/>
          <w:szCs w:val="24"/>
          <w:lang w:val="es-ES_tradnl"/>
        </w:rPr>
        <w:t xml:space="preserve"> formalizada y </w:t>
      </w:r>
      <w:r>
        <w:rPr>
          <w:rFonts w:ascii="Times New Roman" w:hAnsi="Times New Roman" w:cs="Times New Roman"/>
          <w:sz w:val="24"/>
          <w:szCs w:val="24"/>
          <w:lang w:val="es-ES_tradnl"/>
        </w:rPr>
        <w:t xml:space="preserve">usualmente </w:t>
      </w:r>
      <w:r w:rsidR="00155A5F">
        <w:rPr>
          <w:rFonts w:ascii="Times New Roman" w:hAnsi="Times New Roman" w:cs="Times New Roman"/>
          <w:sz w:val="24"/>
          <w:szCs w:val="24"/>
          <w:lang w:val="es-ES_tradnl"/>
        </w:rPr>
        <w:t>se funda</w:t>
      </w:r>
      <w:r>
        <w:rPr>
          <w:rFonts w:ascii="Times New Roman" w:hAnsi="Times New Roman" w:cs="Times New Roman"/>
          <w:sz w:val="24"/>
          <w:szCs w:val="24"/>
          <w:lang w:val="es-ES_tradnl"/>
        </w:rPr>
        <w:t xml:space="preserve"> </w:t>
      </w:r>
      <w:r w:rsidR="00E14F0F" w:rsidRPr="00133C43">
        <w:rPr>
          <w:rFonts w:ascii="Times New Roman" w:hAnsi="Times New Roman" w:cs="Times New Roman"/>
          <w:sz w:val="24"/>
          <w:szCs w:val="24"/>
          <w:lang w:val="es-ES_tradnl"/>
        </w:rPr>
        <w:t xml:space="preserve">en afirmaciones vagas </w:t>
      </w:r>
      <w:r>
        <w:rPr>
          <w:rFonts w:ascii="Times New Roman" w:hAnsi="Times New Roman" w:cs="Times New Roman"/>
          <w:sz w:val="24"/>
          <w:szCs w:val="24"/>
          <w:lang w:val="es-ES_tradnl"/>
        </w:rPr>
        <w:t>acerca de la</w:t>
      </w:r>
      <w:r w:rsidR="00E14F0F" w:rsidRPr="00133C43">
        <w:rPr>
          <w:rFonts w:ascii="Times New Roman" w:hAnsi="Times New Roman" w:cs="Times New Roman"/>
          <w:sz w:val="24"/>
          <w:szCs w:val="24"/>
          <w:lang w:val="es-ES_tradnl"/>
        </w:rPr>
        <w:t xml:space="preserve"> afinidad entre </w:t>
      </w:r>
      <w:r>
        <w:rPr>
          <w:rFonts w:ascii="Times New Roman" w:hAnsi="Times New Roman" w:cs="Times New Roman"/>
          <w:sz w:val="24"/>
          <w:szCs w:val="24"/>
          <w:lang w:val="es-ES_tradnl"/>
        </w:rPr>
        <w:t xml:space="preserve">las </w:t>
      </w:r>
      <w:r w:rsidR="00E14F0F" w:rsidRPr="00133C43">
        <w:rPr>
          <w:rFonts w:ascii="Times New Roman" w:hAnsi="Times New Roman" w:cs="Times New Roman"/>
          <w:sz w:val="24"/>
          <w:szCs w:val="24"/>
          <w:lang w:val="es-ES_tradnl"/>
        </w:rPr>
        <w:t>unidades afectadas y el grupo de unidades de comparación</w:t>
      </w:r>
      <w:r w:rsidR="00155A5F">
        <w:rPr>
          <w:rFonts w:ascii="Times New Roman" w:hAnsi="Times New Roman" w:cs="Times New Roman"/>
          <w:sz w:val="24"/>
          <w:szCs w:val="24"/>
          <w:lang w:val="es-ES_tradnl"/>
        </w:rPr>
        <w:t xml:space="preserve">. Adicionalmente, cuando las unidades de observación son </w:t>
      </w:r>
      <w:r w:rsidR="00E14F0F" w:rsidRPr="00133C43">
        <w:rPr>
          <w:rFonts w:ascii="Times New Roman" w:hAnsi="Times New Roman" w:cs="Times New Roman"/>
          <w:sz w:val="24"/>
          <w:szCs w:val="24"/>
          <w:lang w:val="es-ES_tradnl"/>
        </w:rPr>
        <w:t>un grupo reducido de entidades agregadas</w:t>
      </w:r>
      <w:r w:rsidR="00155A5F">
        <w:rPr>
          <w:rFonts w:ascii="Times New Roman" w:hAnsi="Times New Roman" w:cs="Times New Roman"/>
          <w:sz w:val="24"/>
          <w:szCs w:val="24"/>
          <w:lang w:val="es-ES_tradnl"/>
        </w:rPr>
        <w:t xml:space="preserve"> </w:t>
      </w:r>
      <w:r w:rsidR="00E14F0F" w:rsidRPr="00133C43">
        <w:rPr>
          <w:rFonts w:ascii="Times New Roman" w:hAnsi="Times New Roman" w:cs="Times New Roman"/>
          <w:sz w:val="24"/>
          <w:szCs w:val="24"/>
          <w:lang w:val="es-ES_tradnl"/>
        </w:rPr>
        <w:t xml:space="preserve">-como </w:t>
      </w:r>
      <w:r w:rsidR="00155A5F">
        <w:rPr>
          <w:rFonts w:ascii="Times New Roman" w:hAnsi="Times New Roman" w:cs="Times New Roman"/>
          <w:sz w:val="24"/>
          <w:szCs w:val="24"/>
          <w:lang w:val="es-ES_tradnl"/>
        </w:rPr>
        <w:t xml:space="preserve">los </w:t>
      </w:r>
      <w:r w:rsidR="00E14F0F" w:rsidRPr="00133C43">
        <w:rPr>
          <w:rFonts w:ascii="Times New Roman" w:hAnsi="Times New Roman" w:cs="Times New Roman"/>
          <w:sz w:val="24"/>
          <w:szCs w:val="24"/>
          <w:lang w:val="es-ES_tradnl"/>
        </w:rPr>
        <w:t>países-</w:t>
      </w:r>
      <w:r w:rsidR="00155A5F">
        <w:rPr>
          <w:rFonts w:ascii="Times New Roman" w:hAnsi="Times New Roman" w:cs="Times New Roman"/>
          <w:sz w:val="24"/>
          <w:szCs w:val="24"/>
          <w:lang w:val="es-ES_tradnl"/>
        </w:rPr>
        <w:t xml:space="preserve">, </w:t>
      </w:r>
      <w:r w:rsidR="00E14F0F" w:rsidRPr="00133C43">
        <w:rPr>
          <w:rFonts w:ascii="Times New Roman" w:hAnsi="Times New Roman" w:cs="Times New Roman"/>
          <w:sz w:val="24"/>
          <w:szCs w:val="24"/>
          <w:lang w:val="es-ES_tradnl"/>
        </w:rPr>
        <w:t xml:space="preserve">ninguna unidad podría </w:t>
      </w:r>
      <w:r w:rsidR="00155A5F">
        <w:rPr>
          <w:rFonts w:ascii="Times New Roman" w:hAnsi="Times New Roman" w:cs="Times New Roman"/>
          <w:sz w:val="24"/>
          <w:szCs w:val="24"/>
          <w:lang w:val="es-ES_tradnl"/>
        </w:rPr>
        <w:t xml:space="preserve">por si misma constituir una </w:t>
      </w:r>
      <w:r w:rsidR="00E14F0F" w:rsidRPr="00133C43">
        <w:rPr>
          <w:rFonts w:ascii="Times New Roman" w:hAnsi="Times New Roman" w:cs="Times New Roman"/>
          <w:sz w:val="24"/>
          <w:szCs w:val="24"/>
          <w:lang w:val="es-ES_tradnl"/>
        </w:rPr>
        <w:t xml:space="preserve">comparación </w:t>
      </w:r>
      <w:r w:rsidR="00155A5F">
        <w:rPr>
          <w:rFonts w:ascii="Times New Roman" w:hAnsi="Times New Roman" w:cs="Times New Roman"/>
          <w:sz w:val="24"/>
          <w:szCs w:val="24"/>
          <w:lang w:val="es-ES_tradnl"/>
        </w:rPr>
        <w:t xml:space="preserve">adecuada </w:t>
      </w:r>
      <w:r w:rsidR="00E14F0F" w:rsidRPr="00133C43">
        <w:rPr>
          <w:rFonts w:ascii="Times New Roman" w:hAnsi="Times New Roman" w:cs="Times New Roman"/>
          <w:sz w:val="24"/>
          <w:szCs w:val="24"/>
          <w:lang w:val="es-ES_tradnl"/>
        </w:rPr>
        <w:t>para la unidad afectada por la intervención.</w:t>
      </w:r>
      <w:r w:rsidR="00E57ADB" w:rsidRPr="00133C43">
        <w:rPr>
          <w:rFonts w:ascii="Times New Roman" w:hAnsi="Times New Roman" w:cs="Times New Roman"/>
          <w:sz w:val="24"/>
          <w:szCs w:val="24"/>
          <w:lang w:val="es-ES_tradnl"/>
        </w:rPr>
        <w:t xml:space="preserve"> Por lo tanto, </w:t>
      </w:r>
      <w:r w:rsidR="00155A5F">
        <w:rPr>
          <w:rFonts w:ascii="Times New Roman" w:hAnsi="Times New Roman" w:cs="Times New Roman"/>
          <w:sz w:val="24"/>
          <w:szCs w:val="24"/>
          <w:lang w:val="es-ES_tradnl"/>
        </w:rPr>
        <w:t xml:space="preserve">a fin de </w:t>
      </w:r>
      <w:r w:rsidR="00155A5F" w:rsidRPr="00133C43">
        <w:rPr>
          <w:rFonts w:ascii="Times New Roman" w:hAnsi="Times New Roman" w:cs="Times New Roman"/>
          <w:sz w:val="24"/>
          <w:szCs w:val="24"/>
          <w:lang w:val="es-ES_tradnl"/>
        </w:rPr>
        <w:t>evaluar los efectos de la</w:t>
      </w:r>
      <w:r w:rsidR="00155A5F">
        <w:rPr>
          <w:rFonts w:ascii="Times New Roman" w:hAnsi="Times New Roman" w:cs="Times New Roman"/>
          <w:sz w:val="24"/>
          <w:szCs w:val="24"/>
          <w:lang w:val="es-ES_tradnl"/>
        </w:rPr>
        <w:t>s</w:t>
      </w:r>
      <w:r w:rsidR="00155A5F" w:rsidRPr="00133C43">
        <w:rPr>
          <w:rFonts w:ascii="Times New Roman" w:hAnsi="Times New Roman" w:cs="Times New Roman"/>
          <w:sz w:val="24"/>
          <w:szCs w:val="24"/>
          <w:lang w:val="es-ES_tradnl"/>
        </w:rPr>
        <w:t xml:space="preserve"> reforma</w:t>
      </w:r>
      <w:r w:rsidR="00155A5F">
        <w:rPr>
          <w:rFonts w:ascii="Times New Roman" w:hAnsi="Times New Roman" w:cs="Times New Roman"/>
          <w:sz w:val="24"/>
          <w:szCs w:val="24"/>
          <w:lang w:val="es-ES_tradnl"/>
        </w:rPr>
        <w:t>s</w:t>
      </w:r>
      <w:r w:rsidR="00155A5F" w:rsidRPr="00133C43">
        <w:rPr>
          <w:rFonts w:ascii="Times New Roman" w:hAnsi="Times New Roman" w:cs="Times New Roman"/>
          <w:sz w:val="24"/>
          <w:szCs w:val="24"/>
          <w:lang w:val="es-ES_tradnl"/>
        </w:rPr>
        <w:t xml:space="preserve"> </w:t>
      </w:r>
      <w:r w:rsidR="00155A5F">
        <w:rPr>
          <w:rFonts w:ascii="Times New Roman" w:hAnsi="Times New Roman" w:cs="Times New Roman"/>
          <w:sz w:val="24"/>
          <w:szCs w:val="24"/>
          <w:lang w:val="es-ES_tradnl"/>
        </w:rPr>
        <w:t>previstas en el programa sobre los</w:t>
      </w:r>
      <w:r w:rsidR="00155A5F" w:rsidRPr="00133C43">
        <w:rPr>
          <w:rFonts w:ascii="Times New Roman" w:hAnsi="Times New Roman" w:cs="Times New Roman"/>
          <w:sz w:val="24"/>
          <w:szCs w:val="24"/>
          <w:lang w:val="es-ES_tradnl"/>
        </w:rPr>
        <w:t xml:space="preserve"> flujos de </w:t>
      </w:r>
      <w:r w:rsidR="00155A5F">
        <w:rPr>
          <w:rFonts w:ascii="Times New Roman" w:hAnsi="Times New Roman" w:cs="Times New Roman"/>
          <w:sz w:val="24"/>
          <w:szCs w:val="24"/>
          <w:lang w:val="es-ES_tradnl"/>
        </w:rPr>
        <w:t xml:space="preserve">inversión extranjera directa, se propone usar </w:t>
      </w:r>
      <w:r w:rsidR="00E57ADB" w:rsidRPr="00133C43">
        <w:rPr>
          <w:rFonts w:ascii="Times New Roman" w:hAnsi="Times New Roman" w:cs="Times New Roman"/>
          <w:sz w:val="24"/>
          <w:szCs w:val="24"/>
          <w:lang w:val="es-ES_tradnl"/>
        </w:rPr>
        <w:t xml:space="preserve">el </w:t>
      </w:r>
      <w:r w:rsidR="00E57ADB" w:rsidRPr="00133C43">
        <w:rPr>
          <w:rFonts w:ascii="Times New Roman" w:hAnsi="Times New Roman" w:cs="Times New Roman"/>
          <w:i/>
          <w:sz w:val="24"/>
          <w:szCs w:val="24"/>
          <w:lang w:val="es-ES_tradnl"/>
        </w:rPr>
        <w:t>método de control sintético</w:t>
      </w:r>
      <w:r w:rsidR="00E57ADB" w:rsidRPr="00133C43">
        <w:rPr>
          <w:rFonts w:ascii="Times New Roman" w:hAnsi="Times New Roman" w:cs="Times New Roman"/>
          <w:sz w:val="24"/>
          <w:szCs w:val="24"/>
          <w:lang w:val="es-ES_tradnl"/>
        </w:rPr>
        <w:t xml:space="preserve"> (ver, por ejemplo, </w:t>
      </w:r>
      <w:proofErr w:type="spellStart"/>
      <w:r w:rsidR="00E57ADB" w:rsidRPr="00133C43">
        <w:rPr>
          <w:rFonts w:ascii="Times New Roman" w:hAnsi="Times New Roman" w:cs="Times New Roman"/>
          <w:sz w:val="24"/>
          <w:szCs w:val="24"/>
          <w:lang w:val="es-ES_tradnl"/>
        </w:rPr>
        <w:t>Abadie</w:t>
      </w:r>
      <w:proofErr w:type="spellEnd"/>
      <w:r w:rsidR="00E57ADB" w:rsidRPr="00133C43">
        <w:rPr>
          <w:rFonts w:ascii="Times New Roman" w:hAnsi="Times New Roman" w:cs="Times New Roman"/>
          <w:sz w:val="24"/>
          <w:szCs w:val="24"/>
          <w:lang w:val="es-ES_tradnl"/>
        </w:rPr>
        <w:t xml:space="preserve"> </w:t>
      </w:r>
      <w:r w:rsidR="00A05E30">
        <w:rPr>
          <w:rFonts w:ascii="Times New Roman" w:hAnsi="Times New Roman" w:cs="Times New Roman"/>
          <w:sz w:val="24"/>
          <w:szCs w:val="24"/>
          <w:lang w:val="es-ES_tradnl"/>
        </w:rPr>
        <w:t>y</w:t>
      </w:r>
      <w:r w:rsidR="00E57ADB" w:rsidRPr="00133C43">
        <w:rPr>
          <w:rFonts w:ascii="Times New Roman" w:hAnsi="Times New Roman" w:cs="Times New Roman"/>
          <w:sz w:val="24"/>
          <w:szCs w:val="24"/>
          <w:lang w:val="es-ES_tradnl"/>
        </w:rPr>
        <w:t xml:space="preserve"> </w:t>
      </w:r>
      <w:proofErr w:type="spellStart"/>
      <w:r w:rsidR="00E57ADB" w:rsidRPr="00133C43">
        <w:rPr>
          <w:rFonts w:ascii="Times New Roman" w:hAnsi="Times New Roman" w:cs="Times New Roman"/>
          <w:sz w:val="24"/>
          <w:szCs w:val="24"/>
          <w:lang w:val="es-ES_tradnl"/>
        </w:rPr>
        <w:t>Gardeazabal</w:t>
      </w:r>
      <w:proofErr w:type="spellEnd"/>
      <w:r w:rsidR="00E57ADB" w:rsidRPr="00133C43">
        <w:rPr>
          <w:rFonts w:ascii="Times New Roman" w:hAnsi="Times New Roman" w:cs="Times New Roman"/>
          <w:sz w:val="24"/>
          <w:szCs w:val="24"/>
          <w:lang w:val="es-ES_tradnl"/>
        </w:rPr>
        <w:t xml:space="preserve">, 2003; y </w:t>
      </w:r>
      <w:proofErr w:type="spellStart"/>
      <w:r w:rsidR="00E57ADB" w:rsidRPr="00133C43">
        <w:rPr>
          <w:rFonts w:ascii="Times New Roman" w:hAnsi="Times New Roman" w:cs="Times New Roman"/>
          <w:sz w:val="24"/>
          <w:szCs w:val="24"/>
          <w:lang w:val="es-ES_tradnl"/>
        </w:rPr>
        <w:t>Abadie</w:t>
      </w:r>
      <w:proofErr w:type="spellEnd"/>
      <w:r w:rsidR="00E57ADB" w:rsidRPr="00133C43">
        <w:rPr>
          <w:rFonts w:ascii="Times New Roman" w:hAnsi="Times New Roman" w:cs="Times New Roman"/>
          <w:sz w:val="24"/>
          <w:szCs w:val="24"/>
          <w:lang w:val="es-ES_tradnl"/>
        </w:rPr>
        <w:t xml:space="preserve"> et al., 2010). Este método </w:t>
      </w:r>
      <w:r w:rsidR="00155A5F">
        <w:rPr>
          <w:rFonts w:ascii="Times New Roman" w:hAnsi="Times New Roman" w:cs="Times New Roman"/>
          <w:sz w:val="24"/>
          <w:szCs w:val="24"/>
          <w:lang w:val="es-ES_tradnl"/>
        </w:rPr>
        <w:t>se basa</w:t>
      </w:r>
      <w:r w:rsidR="00E57ADB" w:rsidRPr="00133C43">
        <w:rPr>
          <w:rFonts w:ascii="Times New Roman" w:hAnsi="Times New Roman" w:cs="Times New Roman"/>
          <w:sz w:val="24"/>
          <w:szCs w:val="24"/>
          <w:lang w:val="es-ES_tradnl"/>
        </w:rPr>
        <w:t xml:space="preserve"> precisamente en la idea de que una combinación de unidades no afectadas (</w:t>
      </w:r>
      <w:proofErr w:type="spellStart"/>
      <w:r w:rsidR="00E23303" w:rsidRPr="00133C43">
        <w:rPr>
          <w:rFonts w:ascii="Times New Roman" w:hAnsi="Times New Roman" w:cs="Times New Roman"/>
          <w:i/>
          <w:sz w:val="24"/>
          <w:szCs w:val="24"/>
          <w:lang w:val="es-ES_tradnl"/>
        </w:rPr>
        <w:t>donor</w:t>
      </w:r>
      <w:proofErr w:type="spellEnd"/>
      <w:r w:rsidR="00E23303" w:rsidRPr="00133C43">
        <w:rPr>
          <w:rFonts w:ascii="Times New Roman" w:hAnsi="Times New Roman" w:cs="Times New Roman"/>
          <w:i/>
          <w:sz w:val="24"/>
          <w:szCs w:val="24"/>
          <w:lang w:val="es-ES_tradnl"/>
        </w:rPr>
        <w:t xml:space="preserve"> pool</w:t>
      </w:r>
      <w:r w:rsidR="00E171C8">
        <w:rPr>
          <w:rFonts w:ascii="Times New Roman" w:hAnsi="Times New Roman" w:cs="Times New Roman"/>
          <w:i/>
          <w:sz w:val="24"/>
          <w:szCs w:val="24"/>
          <w:lang w:val="es-ES_tradnl"/>
        </w:rPr>
        <w:t>-</w:t>
      </w:r>
      <w:r w:rsidR="00E171C8" w:rsidRPr="00E171C8">
        <w:rPr>
          <w:rFonts w:ascii="Times New Roman" w:hAnsi="Times New Roman" w:cs="Times New Roman"/>
          <w:sz w:val="24"/>
          <w:szCs w:val="24"/>
          <w:lang w:val="es-ES_tradnl"/>
        </w:rPr>
        <w:t>grupo de control en adelante</w:t>
      </w:r>
      <w:r w:rsidR="00E57ADB" w:rsidRPr="00133C43">
        <w:rPr>
          <w:rFonts w:ascii="Times New Roman" w:hAnsi="Times New Roman" w:cs="Times New Roman"/>
          <w:sz w:val="24"/>
          <w:szCs w:val="24"/>
          <w:lang w:val="es-ES_tradnl"/>
        </w:rPr>
        <w:t xml:space="preserve">) </w:t>
      </w:r>
      <w:r w:rsidR="00155A5F">
        <w:rPr>
          <w:rFonts w:ascii="Times New Roman" w:hAnsi="Times New Roman" w:cs="Times New Roman"/>
          <w:sz w:val="24"/>
          <w:szCs w:val="24"/>
          <w:lang w:val="es-ES_tradnl"/>
        </w:rPr>
        <w:t xml:space="preserve">frecuentemente permite reproducir más fielmente las </w:t>
      </w:r>
      <w:r w:rsidR="00E57ADB" w:rsidRPr="00133C43">
        <w:rPr>
          <w:rFonts w:ascii="Times New Roman" w:hAnsi="Times New Roman" w:cs="Times New Roman"/>
          <w:sz w:val="24"/>
          <w:szCs w:val="24"/>
          <w:lang w:val="es-ES_tradnl"/>
        </w:rPr>
        <w:t>características de la unidad afectada y</w:t>
      </w:r>
      <w:r w:rsidR="00155A5F">
        <w:rPr>
          <w:rFonts w:ascii="Times New Roman" w:hAnsi="Times New Roman" w:cs="Times New Roman"/>
          <w:sz w:val="24"/>
          <w:szCs w:val="24"/>
          <w:lang w:val="es-ES_tradnl"/>
        </w:rPr>
        <w:t>,</w:t>
      </w:r>
      <w:r w:rsidR="00E57ADB" w:rsidRPr="00133C43">
        <w:rPr>
          <w:rFonts w:ascii="Times New Roman" w:hAnsi="Times New Roman" w:cs="Times New Roman"/>
          <w:sz w:val="24"/>
          <w:szCs w:val="24"/>
          <w:lang w:val="es-ES_tradnl"/>
        </w:rPr>
        <w:t xml:space="preserve"> por lo tanto</w:t>
      </w:r>
      <w:r w:rsidR="00155A5F">
        <w:rPr>
          <w:rFonts w:ascii="Times New Roman" w:hAnsi="Times New Roman" w:cs="Times New Roman"/>
          <w:sz w:val="24"/>
          <w:szCs w:val="24"/>
          <w:lang w:val="es-ES_tradnl"/>
        </w:rPr>
        <w:t xml:space="preserve">, proporciona </w:t>
      </w:r>
      <w:r w:rsidR="00E57ADB" w:rsidRPr="00133C43">
        <w:rPr>
          <w:rFonts w:ascii="Times New Roman" w:hAnsi="Times New Roman" w:cs="Times New Roman"/>
          <w:sz w:val="24"/>
          <w:szCs w:val="24"/>
          <w:lang w:val="es-ES_tradnl"/>
        </w:rPr>
        <w:t>una comp</w:t>
      </w:r>
      <w:r w:rsidR="007F0409" w:rsidRPr="00133C43">
        <w:rPr>
          <w:rFonts w:ascii="Times New Roman" w:hAnsi="Times New Roman" w:cs="Times New Roman"/>
          <w:sz w:val="24"/>
          <w:szCs w:val="24"/>
          <w:lang w:val="es-ES_tradnl"/>
        </w:rPr>
        <w:t>aración más apropiada (</w:t>
      </w:r>
      <w:proofErr w:type="spellStart"/>
      <w:r w:rsidR="00155A5F">
        <w:rPr>
          <w:rFonts w:ascii="Times New Roman" w:hAnsi="Times New Roman" w:cs="Times New Roman"/>
          <w:sz w:val="24"/>
          <w:szCs w:val="24"/>
          <w:lang w:val="es-ES_tradnl"/>
        </w:rPr>
        <w:t>contrafáctico</w:t>
      </w:r>
      <w:proofErr w:type="spellEnd"/>
      <w:r w:rsidR="00E57ADB" w:rsidRPr="00155A5F">
        <w:rPr>
          <w:rFonts w:ascii="Times New Roman" w:hAnsi="Times New Roman" w:cs="Times New Roman"/>
          <w:i/>
          <w:sz w:val="24"/>
          <w:szCs w:val="24"/>
          <w:lang w:val="es-ES_tradnl"/>
        </w:rPr>
        <w:t>)</w:t>
      </w:r>
      <w:r w:rsidR="007F0409" w:rsidRPr="00155A5F">
        <w:rPr>
          <w:rFonts w:ascii="Times New Roman" w:hAnsi="Times New Roman" w:cs="Times New Roman"/>
          <w:i/>
          <w:sz w:val="24"/>
          <w:szCs w:val="24"/>
          <w:lang w:val="es-ES_tradnl"/>
        </w:rPr>
        <w:t xml:space="preserve"> </w:t>
      </w:r>
      <w:r w:rsidR="007F0409" w:rsidRPr="00133C43">
        <w:rPr>
          <w:rFonts w:ascii="Times New Roman" w:hAnsi="Times New Roman" w:cs="Times New Roman"/>
          <w:sz w:val="24"/>
          <w:szCs w:val="24"/>
          <w:lang w:val="es-ES_tradnl"/>
        </w:rPr>
        <w:t>que cualquier unidad no afectada tomada aisladamente con</w:t>
      </w:r>
      <w:r w:rsidR="00155A5F">
        <w:rPr>
          <w:rFonts w:ascii="Times New Roman" w:hAnsi="Times New Roman" w:cs="Times New Roman"/>
          <w:sz w:val="24"/>
          <w:szCs w:val="24"/>
          <w:lang w:val="es-ES_tradnl"/>
        </w:rPr>
        <w:t>tra</w:t>
      </w:r>
      <w:r w:rsidR="007F0409" w:rsidRPr="00133C43">
        <w:rPr>
          <w:rFonts w:ascii="Times New Roman" w:hAnsi="Times New Roman" w:cs="Times New Roman"/>
          <w:sz w:val="24"/>
          <w:szCs w:val="24"/>
          <w:lang w:val="es-ES_tradnl"/>
        </w:rPr>
        <w:t xml:space="preserve"> la </w:t>
      </w:r>
      <w:r w:rsidR="00155A5F">
        <w:rPr>
          <w:rFonts w:ascii="Times New Roman" w:hAnsi="Times New Roman" w:cs="Times New Roman"/>
          <w:sz w:val="24"/>
          <w:szCs w:val="24"/>
          <w:lang w:val="es-ES_tradnl"/>
        </w:rPr>
        <w:t xml:space="preserve">cual </w:t>
      </w:r>
      <w:r w:rsidR="007F0409" w:rsidRPr="00133C43">
        <w:rPr>
          <w:rFonts w:ascii="Times New Roman" w:hAnsi="Times New Roman" w:cs="Times New Roman"/>
          <w:sz w:val="24"/>
          <w:szCs w:val="24"/>
          <w:lang w:val="es-ES_tradnl"/>
        </w:rPr>
        <w:t>contrastar</w:t>
      </w:r>
      <w:r w:rsidR="00155A5F">
        <w:rPr>
          <w:rFonts w:ascii="Times New Roman" w:hAnsi="Times New Roman" w:cs="Times New Roman"/>
          <w:sz w:val="24"/>
          <w:szCs w:val="24"/>
          <w:lang w:val="es-ES_tradnl"/>
        </w:rPr>
        <w:t xml:space="preserve"> aquella y </w:t>
      </w:r>
      <w:r w:rsidR="007F0409" w:rsidRPr="00133C43">
        <w:rPr>
          <w:rFonts w:ascii="Times New Roman" w:hAnsi="Times New Roman" w:cs="Times New Roman"/>
          <w:sz w:val="24"/>
          <w:szCs w:val="24"/>
          <w:lang w:val="es-ES_tradnl"/>
        </w:rPr>
        <w:t>determinar el impacto de la intervención en cuestión.</w:t>
      </w:r>
      <w:r w:rsidR="00F300BC">
        <w:rPr>
          <w:rFonts w:ascii="Times New Roman" w:hAnsi="Times New Roman" w:cs="Times New Roman"/>
          <w:sz w:val="24"/>
          <w:szCs w:val="24"/>
          <w:lang w:val="es-ES_tradnl"/>
        </w:rPr>
        <w:t xml:space="preserve"> Cabe notar que </w:t>
      </w:r>
      <w:r w:rsidR="00F300BC" w:rsidRPr="00D603A8">
        <w:rPr>
          <w:rFonts w:ascii="Times New Roman" w:hAnsi="Times New Roman" w:cs="Times New Roman"/>
          <w:sz w:val="24"/>
          <w:szCs w:val="24"/>
          <w:lang w:val="es-ES_tradnl"/>
        </w:rPr>
        <w:t xml:space="preserve">la evaluación que se </w:t>
      </w:r>
      <w:proofErr w:type="spellStart"/>
      <w:r w:rsidR="00F300BC" w:rsidRPr="00D603A8">
        <w:rPr>
          <w:rFonts w:ascii="Times New Roman" w:hAnsi="Times New Roman" w:cs="Times New Roman"/>
          <w:sz w:val="24"/>
          <w:szCs w:val="24"/>
          <w:lang w:val="es-ES_tradnl"/>
        </w:rPr>
        <w:t>utilizaraa</w:t>
      </w:r>
      <w:proofErr w:type="spellEnd"/>
      <w:r w:rsidR="00F300BC" w:rsidRPr="00D603A8">
        <w:rPr>
          <w:rFonts w:ascii="Times New Roman" w:hAnsi="Times New Roman" w:cs="Times New Roman"/>
          <w:sz w:val="24"/>
          <w:szCs w:val="24"/>
          <w:lang w:val="es-ES_tradnl"/>
        </w:rPr>
        <w:t xml:space="preserve"> se concentrará en el impacto de las reformas impulsadas por el programa en su conjunto, tanto las correspondientes a la primera operación del programa como a la segunda. Esto se debe a que las “profundización” de las reformas o las reglamentaciones de las mismas que se incluyen en la segunda operación no comportan dosis distinguibles de tratamiento por lo que se evaluarán conjuntamente con sus contrapartes </w:t>
      </w:r>
      <w:r w:rsidR="00D603A8">
        <w:rPr>
          <w:rFonts w:ascii="Times New Roman" w:hAnsi="Times New Roman" w:cs="Times New Roman"/>
          <w:sz w:val="24"/>
          <w:szCs w:val="24"/>
          <w:lang w:val="es-ES_tradnl"/>
        </w:rPr>
        <w:t>incluidas en la primera operación de la serie programática.</w:t>
      </w:r>
    </w:p>
    <w:p w:rsidR="007B7EE0" w:rsidRPr="00133C43" w:rsidRDefault="007B7EE0" w:rsidP="00133C43">
      <w:pPr>
        <w:spacing w:after="0" w:line="240" w:lineRule="auto"/>
        <w:jc w:val="both"/>
        <w:rPr>
          <w:rFonts w:ascii="Times New Roman" w:hAnsi="Times New Roman" w:cs="Times New Roman"/>
          <w:sz w:val="24"/>
          <w:szCs w:val="24"/>
          <w:lang w:val="es-ES_tradnl"/>
        </w:rPr>
      </w:pPr>
    </w:p>
    <w:p w:rsidR="00A05E30" w:rsidRDefault="00A05E30" w:rsidP="00133C43">
      <w:pPr>
        <w:spacing w:after="0" w:line="240" w:lineRule="auto"/>
        <w:jc w:val="both"/>
        <w:rPr>
          <w:rFonts w:ascii="Times New Roman" w:hAnsi="Times New Roman" w:cs="Times New Roman"/>
          <w:sz w:val="24"/>
          <w:szCs w:val="24"/>
          <w:lang w:val="es-ES_tradnl"/>
        </w:rPr>
      </w:pPr>
    </w:p>
    <w:p w:rsidR="00BC712D" w:rsidRPr="00A05E30" w:rsidRDefault="00951790" w:rsidP="00133C43">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2B4414">
        <w:rPr>
          <w:rFonts w:ascii="Times New Roman" w:hAnsi="Times New Roman" w:cs="Times New Roman"/>
          <w:i/>
          <w:sz w:val="24"/>
          <w:szCs w:val="24"/>
          <w:lang w:val="es-ES_tradnl"/>
        </w:rPr>
        <w:t>1.3</w:t>
      </w:r>
      <w:r w:rsidR="002B4414">
        <w:rPr>
          <w:rFonts w:ascii="Times New Roman" w:hAnsi="Times New Roman" w:cs="Times New Roman"/>
          <w:i/>
          <w:sz w:val="24"/>
          <w:szCs w:val="24"/>
          <w:lang w:val="es-ES_tradnl"/>
        </w:rPr>
        <w:tab/>
      </w:r>
      <w:r w:rsidR="00BC712D" w:rsidRPr="00A05E30">
        <w:rPr>
          <w:rFonts w:ascii="Times New Roman" w:hAnsi="Times New Roman" w:cs="Times New Roman"/>
          <w:i/>
          <w:sz w:val="24"/>
          <w:szCs w:val="24"/>
          <w:lang w:val="es-ES_tradnl"/>
        </w:rPr>
        <w:t>Antecedentes</w:t>
      </w:r>
    </w:p>
    <w:p w:rsidR="00A05E30" w:rsidRDefault="00A05E30" w:rsidP="00133C43">
      <w:pPr>
        <w:spacing w:after="0" w:line="240" w:lineRule="auto"/>
        <w:jc w:val="both"/>
        <w:rPr>
          <w:rFonts w:ascii="Times New Roman" w:hAnsi="Times New Roman" w:cs="Times New Roman"/>
          <w:sz w:val="24"/>
          <w:szCs w:val="24"/>
          <w:lang w:val="es-ES_tradnl"/>
        </w:rPr>
      </w:pPr>
    </w:p>
    <w:p w:rsidR="00BC712D" w:rsidRPr="00133C43" w:rsidRDefault="00741549" w:rsidP="00133C4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BC712D" w:rsidRPr="00133C43">
        <w:rPr>
          <w:rFonts w:ascii="Times New Roman" w:hAnsi="Times New Roman" w:cs="Times New Roman"/>
          <w:sz w:val="24"/>
          <w:szCs w:val="24"/>
          <w:lang w:val="es-ES_tradnl"/>
        </w:rPr>
        <w:t xml:space="preserve"> método de control sintético ha sido utilizado previamente en la l</w:t>
      </w:r>
      <w:r w:rsidR="0029668E" w:rsidRPr="00133C43">
        <w:rPr>
          <w:rFonts w:ascii="Times New Roman" w:hAnsi="Times New Roman" w:cs="Times New Roman"/>
          <w:sz w:val="24"/>
          <w:szCs w:val="24"/>
          <w:lang w:val="es-ES_tradnl"/>
        </w:rPr>
        <w:t xml:space="preserve">iteratura </w:t>
      </w:r>
      <w:r>
        <w:rPr>
          <w:rFonts w:ascii="Times New Roman" w:hAnsi="Times New Roman" w:cs="Times New Roman"/>
          <w:sz w:val="24"/>
          <w:szCs w:val="24"/>
          <w:lang w:val="es-ES_tradnl"/>
        </w:rPr>
        <w:t xml:space="preserve">empírica sobre </w:t>
      </w:r>
      <w:r w:rsidR="00BC712D" w:rsidRPr="00133C43">
        <w:rPr>
          <w:rFonts w:ascii="Times New Roman" w:hAnsi="Times New Roman" w:cs="Times New Roman"/>
          <w:sz w:val="24"/>
          <w:szCs w:val="24"/>
          <w:lang w:val="es-ES_tradnl"/>
        </w:rPr>
        <w:t xml:space="preserve"> economía internacional para examinar el impacto de la liberalización económica (a saber, reformas exhaustivas que extienden el alcance del mercado, </w:t>
      </w:r>
      <w:r>
        <w:rPr>
          <w:rFonts w:ascii="Times New Roman" w:hAnsi="Times New Roman" w:cs="Times New Roman"/>
          <w:sz w:val="24"/>
          <w:szCs w:val="24"/>
          <w:lang w:val="es-ES_tradnl"/>
        </w:rPr>
        <w:t>en general, y del</w:t>
      </w:r>
      <w:r w:rsidR="00BC712D" w:rsidRPr="00133C43">
        <w:rPr>
          <w:rFonts w:ascii="Times New Roman" w:hAnsi="Times New Roman" w:cs="Times New Roman"/>
          <w:sz w:val="24"/>
          <w:szCs w:val="24"/>
          <w:lang w:val="es-ES_tradnl"/>
        </w:rPr>
        <w:t xml:space="preserve"> mercado internacional</w:t>
      </w:r>
      <w:r>
        <w:rPr>
          <w:rFonts w:ascii="Times New Roman" w:hAnsi="Times New Roman" w:cs="Times New Roman"/>
          <w:sz w:val="24"/>
          <w:szCs w:val="24"/>
          <w:lang w:val="es-ES_tradnl"/>
        </w:rPr>
        <w:t>, en particular</w:t>
      </w:r>
      <w:r w:rsidR="00BC712D"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sobre</w:t>
      </w:r>
      <w:r w:rsidR="00BC712D" w:rsidRPr="00133C43">
        <w:rPr>
          <w:rFonts w:ascii="Times New Roman" w:hAnsi="Times New Roman" w:cs="Times New Roman"/>
          <w:sz w:val="24"/>
          <w:szCs w:val="24"/>
          <w:lang w:val="es-ES_tradnl"/>
        </w:rPr>
        <w:t xml:space="preserve"> el PBI real per cápita en una muestra </w:t>
      </w:r>
      <w:r>
        <w:rPr>
          <w:rFonts w:ascii="Times New Roman" w:hAnsi="Times New Roman" w:cs="Times New Roman"/>
          <w:sz w:val="24"/>
          <w:szCs w:val="24"/>
          <w:lang w:val="es-ES_tradnl"/>
        </w:rPr>
        <w:t>que comprende todos los</w:t>
      </w:r>
      <w:r w:rsidR="00BC712D" w:rsidRPr="00133C43">
        <w:rPr>
          <w:rFonts w:ascii="Times New Roman" w:hAnsi="Times New Roman" w:cs="Times New Roman"/>
          <w:sz w:val="24"/>
          <w:szCs w:val="24"/>
          <w:lang w:val="es-ES_tradnl"/>
        </w:rPr>
        <w:t xml:space="preserve"> países </w:t>
      </w:r>
      <w:r>
        <w:rPr>
          <w:rFonts w:ascii="Times New Roman" w:hAnsi="Times New Roman" w:cs="Times New Roman"/>
          <w:sz w:val="24"/>
          <w:szCs w:val="24"/>
          <w:lang w:val="es-ES_tradnl"/>
        </w:rPr>
        <w:t xml:space="preserve">del mundo </w:t>
      </w:r>
      <w:r w:rsidR="00BC712D" w:rsidRPr="00133C43">
        <w:rPr>
          <w:rFonts w:ascii="Times New Roman" w:hAnsi="Times New Roman" w:cs="Times New Roman"/>
          <w:sz w:val="24"/>
          <w:szCs w:val="24"/>
          <w:lang w:val="es-ES_tradnl"/>
        </w:rPr>
        <w:t xml:space="preserve">durante las últimas cinco décadas (ver </w:t>
      </w:r>
      <w:proofErr w:type="spellStart"/>
      <w:r w:rsidR="00BC712D" w:rsidRPr="00133C43">
        <w:rPr>
          <w:rFonts w:ascii="Times New Roman" w:hAnsi="Times New Roman" w:cs="Times New Roman"/>
          <w:sz w:val="24"/>
          <w:szCs w:val="24"/>
          <w:lang w:val="es-ES_tradnl"/>
        </w:rPr>
        <w:t>Billmeier</w:t>
      </w:r>
      <w:proofErr w:type="spellEnd"/>
      <w:r w:rsidR="00BC712D"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y</w:t>
      </w:r>
      <w:r w:rsidR="00BC712D" w:rsidRPr="00133C43">
        <w:rPr>
          <w:rFonts w:ascii="Times New Roman" w:hAnsi="Times New Roman" w:cs="Times New Roman"/>
          <w:sz w:val="24"/>
          <w:szCs w:val="24"/>
          <w:lang w:val="es-ES_tradnl"/>
        </w:rPr>
        <w:t xml:space="preserve"> </w:t>
      </w:r>
      <w:proofErr w:type="spellStart"/>
      <w:r w:rsidR="00BC712D" w:rsidRPr="00133C43">
        <w:rPr>
          <w:rFonts w:ascii="Times New Roman" w:hAnsi="Times New Roman" w:cs="Times New Roman"/>
          <w:sz w:val="24"/>
          <w:szCs w:val="24"/>
          <w:lang w:val="es-ES_tradnl"/>
        </w:rPr>
        <w:t>Nannicini</w:t>
      </w:r>
      <w:proofErr w:type="spellEnd"/>
      <w:r w:rsidR="00BC712D" w:rsidRPr="00133C43">
        <w:rPr>
          <w:rFonts w:ascii="Times New Roman" w:hAnsi="Times New Roman" w:cs="Times New Roman"/>
          <w:sz w:val="24"/>
          <w:szCs w:val="24"/>
          <w:lang w:val="es-ES_tradnl"/>
        </w:rPr>
        <w:t xml:space="preserve">, 2012). </w:t>
      </w:r>
      <w:r>
        <w:rPr>
          <w:rFonts w:ascii="Times New Roman" w:hAnsi="Times New Roman" w:cs="Times New Roman"/>
          <w:sz w:val="24"/>
          <w:szCs w:val="24"/>
          <w:lang w:val="es-ES_tradnl"/>
        </w:rPr>
        <w:t>E</w:t>
      </w:r>
      <w:r w:rsidR="00BC712D" w:rsidRPr="00133C43">
        <w:rPr>
          <w:rFonts w:ascii="Times New Roman" w:hAnsi="Times New Roman" w:cs="Times New Roman"/>
          <w:sz w:val="24"/>
          <w:szCs w:val="24"/>
          <w:lang w:val="es-ES_tradnl"/>
        </w:rPr>
        <w:t>specíficamente, en este caso, la trayectoria del PBI post-liberalización de las economías expuestas a l</w:t>
      </w:r>
      <w:r>
        <w:rPr>
          <w:rFonts w:ascii="Times New Roman" w:hAnsi="Times New Roman" w:cs="Times New Roman"/>
          <w:sz w:val="24"/>
          <w:szCs w:val="24"/>
          <w:lang w:val="es-ES_tradnl"/>
        </w:rPr>
        <w:t>a</w:t>
      </w:r>
      <w:r w:rsidR="00BC712D" w:rsidRPr="00133C43">
        <w:rPr>
          <w:rFonts w:ascii="Times New Roman" w:hAnsi="Times New Roman" w:cs="Times New Roman"/>
          <w:sz w:val="24"/>
          <w:szCs w:val="24"/>
          <w:lang w:val="es-ES_tradnl"/>
        </w:rPr>
        <w:t xml:space="preserve"> liberalización </w:t>
      </w:r>
      <w:r>
        <w:rPr>
          <w:rFonts w:ascii="Times New Roman" w:hAnsi="Times New Roman" w:cs="Times New Roman"/>
          <w:sz w:val="24"/>
          <w:szCs w:val="24"/>
          <w:lang w:val="es-ES_tradnl"/>
        </w:rPr>
        <w:t>se</w:t>
      </w:r>
      <w:r w:rsidR="00BC712D" w:rsidRPr="00133C43">
        <w:rPr>
          <w:rFonts w:ascii="Times New Roman" w:hAnsi="Times New Roman" w:cs="Times New Roman"/>
          <w:sz w:val="24"/>
          <w:szCs w:val="24"/>
          <w:lang w:val="es-ES_tradnl"/>
        </w:rPr>
        <w:t xml:space="preserve"> compara con la trayectoria de una combinación de economías similares </w:t>
      </w:r>
      <w:r>
        <w:rPr>
          <w:rFonts w:ascii="Times New Roman" w:hAnsi="Times New Roman" w:cs="Times New Roman"/>
          <w:sz w:val="24"/>
          <w:szCs w:val="24"/>
          <w:lang w:val="es-ES_tradnl"/>
        </w:rPr>
        <w:t>que no experimentaron liberalización alguna</w:t>
      </w:r>
      <w:r w:rsidR="00BC712D" w:rsidRPr="00133C43">
        <w:rPr>
          <w:rFonts w:ascii="Times New Roman" w:hAnsi="Times New Roman" w:cs="Times New Roman"/>
          <w:sz w:val="24"/>
          <w:szCs w:val="24"/>
          <w:lang w:val="es-ES_tradnl"/>
        </w:rPr>
        <w:t xml:space="preserve">. </w:t>
      </w:r>
      <w:r w:rsidR="00A311B3" w:rsidRPr="00133C43">
        <w:rPr>
          <w:rFonts w:ascii="Times New Roman" w:hAnsi="Times New Roman" w:cs="Times New Roman"/>
          <w:sz w:val="24"/>
          <w:szCs w:val="24"/>
          <w:lang w:val="es-ES_tradnl"/>
        </w:rPr>
        <w:t xml:space="preserve">Los resultados sugieren que la liberalización </w:t>
      </w:r>
      <w:r>
        <w:rPr>
          <w:rFonts w:ascii="Times New Roman" w:hAnsi="Times New Roman" w:cs="Times New Roman"/>
          <w:sz w:val="24"/>
          <w:szCs w:val="24"/>
          <w:lang w:val="es-ES_tradnl"/>
        </w:rPr>
        <w:t>económica</w:t>
      </w:r>
      <w:r w:rsidR="00A311B3"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ha tenido </w:t>
      </w:r>
      <w:r w:rsidR="00A311B3" w:rsidRPr="00133C43">
        <w:rPr>
          <w:rFonts w:ascii="Times New Roman" w:hAnsi="Times New Roman" w:cs="Times New Roman"/>
          <w:sz w:val="24"/>
          <w:szCs w:val="24"/>
          <w:lang w:val="es-ES_tradnl"/>
        </w:rPr>
        <w:t>un efecto positivo</w:t>
      </w:r>
      <w:r>
        <w:rPr>
          <w:rFonts w:ascii="Times New Roman" w:hAnsi="Times New Roman" w:cs="Times New Roman"/>
          <w:sz w:val="24"/>
          <w:szCs w:val="24"/>
          <w:lang w:val="es-ES_tradnl"/>
        </w:rPr>
        <w:t xml:space="preserve">, excepto en los episodios más recientes (década de 1990) y </w:t>
      </w:r>
      <w:r w:rsidR="00A311B3" w:rsidRPr="00133C43">
        <w:rPr>
          <w:rFonts w:ascii="Times New Roman" w:hAnsi="Times New Roman" w:cs="Times New Roman"/>
          <w:sz w:val="24"/>
          <w:szCs w:val="24"/>
          <w:lang w:val="es-ES_tradnl"/>
        </w:rPr>
        <w:t>principalmente en África</w:t>
      </w:r>
      <w:r>
        <w:rPr>
          <w:rFonts w:ascii="Times New Roman" w:hAnsi="Times New Roman" w:cs="Times New Roman"/>
          <w:sz w:val="24"/>
          <w:szCs w:val="24"/>
          <w:lang w:val="es-ES_tradnl"/>
        </w:rPr>
        <w:t>.</w:t>
      </w:r>
      <w:r w:rsidR="0029668E"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M</w:t>
      </w:r>
      <w:r w:rsidR="0029668E" w:rsidRPr="00133C43">
        <w:rPr>
          <w:rFonts w:ascii="Times New Roman" w:hAnsi="Times New Roman" w:cs="Times New Roman"/>
          <w:sz w:val="24"/>
          <w:szCs w:val="24"/>
          <w:lang w:val="es-ES_tradnl"/>
        </w:rPr>
        <w:t>ás relacionado</w:t>
      </w:r>
      <w:r w:rsidR="00A311B3" w:rsidRPr="00133C43">
        <w:rPr>
          <w:rFonts w:ascii="Times New Roman" w:hAnsi="Times New Roman" w:cs="Times New Roman"/>
          <w:sz w:val="24"/>
          <w:szCs w:val="24"/>
          <w:lang w:val="es-ES_tradnl"/>
        </w:rPr>
        <w:t xml:space="preserve"> al enfoque de esta intervención, </w:t>
      </w:r>
      <w:r>
        <w:rPr>
          <w:rFonts w:ascii="Times New Roman" w:hAnsi="Times New Roman" w:cs="Times New Roman"/>
          <w:sz w:val="24"/>
          <w:szCs w:val="24"/>
          <w:lang w:val="es-ES_tradnl"/>
        </w:rPr>
        <w:t xml:space="preserve">el </w:t>
      </w:r>
      <w:r w:rsidR="00A311B3" w:rsidRPr="00133C43">
        <w:rPr>
          <w:rFonts w:ascii="Times New Roman" w:hAnsi="Times New Roman" w:cs="Times New Roman"/>
          <w:sz w:val="24"/>
          <w:szCs w:val="24"/>
          <w:lang w:val="es-ES_tradnl"/>
        </w:rPr>
        <w:t>método</w:t>
      </w:r>
      <w:r>
        <w:rPr>
          <w:rFonts w:ascii="Times New Roman" w:hAnsi="Times New Roman" w:cs="Times New Roman"/>
          <w:sz w:val="24"/>
          <w:szCs w:val="24"/>
          <w:lang w:val="es-ES_tradnl"/>
        </w:rPr>
        <w:t xml:space="preserve"> de control sintético</w:t>
      </w:r>
      <w:r w:rsidR="00A311B3" w:rsidRPr="00133C43">
        <w:rPr>
          <w:rFonts w:ascii="Times New Roman" w:hAnsi="Times New Roman" w:cs="Times New Roman"/>
          <w:sz w:val="24"/>
          <w:szCs w:val="24"/>
          <w:lang w:val="es-ES_tradnl"/>
        </w:rPr>
        <w:t xml:space="preserve"> ha </w:t>
      </w:r>
      <w:r w:rsidR="0029668E" w:rsidRPr="00133C43">
        <w:rPr>
          <w:rFonts w:ascii="Times New Roman" w:hAnsi="Times New Roman" w:cs="Times New Roman"/>
          <w:sz w:val="24"/>
          <w:szCs w:val="24"/>
          <w:lang w:val="es-ES_tradnl"/>
        </w:rPr>
        <w:t xml:space="preserve">sido </w:t>
      </w:r>
      <w:r>
        <w:rPr>
          <w:rFonts w:ascii="Times New Roman" w:hAnsi="Times New Roman" w:cs="Times New Roman"/>
          <w:sz w:val="24"/>
          <w:szCs w:val="24"/>
          <w:lang w:val="es-ES_tradnl"/>
        </w:rPr>
        <w:t>empleado</w:t>
      </w:r>
      <w:r w:rsidR="0029668E" w:rsidRPr="00133C43">
        <w:rPr>
          <w:rFonts w:ascii="Times New Roman" w:hAnsi="Times New Roman" w:cs="Times New Roman"/>
          <w:sz w:val="24"/>
          <w:szCs w:val="24"/>
          <w:lang w:val="es-ES_tradnl"/>
        </w:rPr>
        <w:t xml:space="preserve"> para analizar có</w:t>
      </w:r>
      <w:r w:rsidR="00A311B3" w:rsidRPr="00133C43">
        <w:rPr>
          <w:rFonts w:ascii="Times New Roman" w:hAnsi="Times New Roman" w:cs="Times New Roman"/>
          <w:sz w:val="24"/>
          <w:szCs w:val="24"/>
          <w:lang w:val="es-ES_tradnl"/>
        </w:rPr>
        <w:t xml:space="preserve">mo la decisión de Gran Bretaña de no adoptar el Euro ha afectado la inversión extranjera directa </w:t>
      </w:r>
      <w:r w:rsidR="0029668E" w:rsidRPr="00133C43">
        <w:rPr>
          <w:rFonts w:ascii="Times New Roman" w:hAnsi="Times New Roman" w:cs="Times New Roman"/>
          <w:sz w:val="24"/>
          <w:szCs w:val="24"/>
          <w:lang w:val="es-ES_tradnl"/>
        </w:rPr>
        <w:t xml:space="preserve">de los Estados Unidos </w:t>
      </w:r>
      <w:r w:rsidR="00A311B3" w:rsidRPr="00133C43">
        <w:rPr>
          <w:rFonts w:ascii="Times New Roman" w:hAnsi="Times New Roman" w:cs="Times New Roman"/>
          <w:sz w:val="24"/>
          <w:szCs w:val="24"/>
          <w:lang w:val="es-ES_tradnl"/>
        </w:rPr>
        <w:t>recibida por ese paí</w:t>
      </w:r>
      <w:r>
        <w:rPr>
          <w:rFonts w:ascii="Times New Roman" w:hAnsi="Times New Roman" w:cs="Times New Roman"/>
          <w:sz w:val="24"/>
          <w:szCs w:val="24"/>
          <w:lang w:val="es-ES_tradnl"/>
        </w:rPr>
        <w:t>s (ver Sanso-Navarro, 2011). Las estimaciones del autor</w:t>
      </w:r>
      <w:r w:rsidR="00A311B3" w:rsidRPr="00133C43">
        <w:rPr>
          <w:rFonts w:ascii="Times New Roman" w:hAnsi="Times New Roman" w:cs="Times New Roman"/>
          <w:sz w:val="24"/>
          <w:szCs w:val="24"/>
          <w:lang w:val="es-ES_tradnl"/>
        </w:rPr>
        <w:t xml:space="preserve"> basados en este </w:t>
      </w:r>
      <w:r>
        <w:rPr>
          <w:rFonts w:ascii="Times New Roman" w:hAnsi="Times New Roman" w:cs="Times New Roman"/>
          <w:sz w:val="24"/>
          <w:szCs w:val="24"/>
          <w:lang w:val="es-ES_tradnl"/>
        </w:rPr>
        <w:t>método</w:t>
      </w:r>
      <w:r w:rsidR="00A311B3" w:rsidRPr="00133C43">
        <w:rPr>
          <w:rFonts w:ascii="Times New Roman" w:hAnsi="Times New Roman" w:cs="Times New Roman"/>
          <w:sz w:val="24"/>
          <w:szCs w:val="24"/>
          <w:lang w:val="es-ES_tradnl"/>
        </w:rPr>
        <w:t xml:space="preserve"> indican que los costos en términos de inversión extranjera han sido </w:t>
      </w:r>
      <w:r>
        <w:rPr>
          <w:rFonts w:ascii="Times New Roman" w:hAnsi="Times New Roman" w:cs="Times New Roman"/>
          <w:sz w:val="24"/>
          <w:szCs w:val="24"/>
          <w:lang w:val="es-ES_tradnl"/>
        </w:rPr>
        <w:t>elevados</w:t>
      </w:r>
      <w:r w:rsidR="00A311B3" w:rsidRPr="00133C43">
        <w:rPr>
          <w:rStyle w:val="FootnoteReference"/>
          <w:rFonts w:ascii="Times New Roman" w:hAnsi="Times New Roman" w:cs="Times New Roman"/>
          <w:sz w:val="24"/>
          <w:szCs w:val="24"/>
          <w:lang w:val="es-ES_tradnl"/>
        </w:rPr>
        <w:footnoteReference w:id="2"/>
      </w:r>
      <w:r w:rsidR="00A311B3" w:rsidRPr="00133C43">
        <w:rPr>
          <w:rFonts w:ascii="Times New Roman" w:hAnsi="Times New Roman" w:cs="Times New Roman"/>
          <w:sz w:val="24"/>
          <w:szCs w:val="24"/>
          <w:lang w:val="es-ES_tradnl"/>
        </w:rPr>
        <w:t>.</w:t>
      </w:r>
    </w:p>
    <w:p w:rsidR="00A05E30" w:rsidRDefault="00A05E30" w:rsidP="00133C43">
      <w:pPr>
        <w:spacing w:after="0" w:line="240" w:lineRule="auto"/>
        <w:jc w:val="both"/>
        <w:rPr>
          <w:rFonts w:ascii="Times New Roman" w:hAnsi="Times New Roman" w:cs="Times New Roman"/>
          <w:sz w:val="24"/>
          <w:szCs w:val="24"/>
          <w:lang w:val="es-ES_tradnl"/>
        </w:rPr>
      </w:pPr>
    </w:p>
    <w:p w:rsidR="00BC712D" w:rsidRPr="00A05E30" w:rsidRDefault="00951790" w:rsidP="00133C43">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2B4414">
        <w:rPr>
          <w:rFonts w:ascii="Times New Roman" w:hAnsi="Times New Roman" w:cs="Times New Roman"/>
          <w:i/>
          <w:sz w:val="24"/>
          <w:szCs w:val="24"/>
          <w:lang w:val="es-ES_tradnl"/>
        </w:rPr>
        <w:t>1.4</w:t>
      </w:r>
      <w:r w:rsidR="002B4414">
        <w:rPr>
          <w:rFonts w:ascii="Times New Roman" w:hAnsi="Times New Roman" w:cs="Times New Roman"/>
          <w:i/>
          <w:sz w:val="24"/>
          <w:szCs w:val="24"/>
          <w:lang w:val="es-ES_tradnl"/>
        </w:rPr>
        <w:tab/>
      </w:r>
      <w:r w:rsidR="00612BA4" w:rsidRPr="00A05E30">
        <w:rPr>
          <w:rFonts w:ascii="Times New Roman" w:hAnsi="Times New Roman" w:cs="Times New Roman"/>
          <w:i/>
          <w:sz w:val="24"/>
          <w:szCs w:val="24"/>
          <w:lang w:val="es-ES_tradnl"/>
        </w:rPr>
        <w:t xml:space="preserve">Aspectos </w:t>
      </w:r>
      <w:r w:rsidR="00A05E30">
        <w:rPr>
          <w:rFonts w:ascii="Times New Roman" w:hAnsi="Times New Roman" w:cs="Times New Roman"/>
          <w:i/>
          <w:sz w:val="24"/>
          <w:szCs w:val="24"/>
          <w:lang w:val="es-ES_tradnl"/>
        </w:rPr>
        <w:t>t</w:t>
      </w:r>
      <w:r w:rsidR="00612BA4" w:rsidRPr="00A05E30">
        <w:rPr>
          <w:rFonts w:ascii="Times New Roman" w:hAnsi="Times New Roman" w:cs="Times New Roman"/>
          <w:i/>
          <w:sz w:val="24"/>
          <w:szCs w:val="24"/>
          <w:lang w:val="es-ES_tradnl"/>
        </w:rPr>
        <w:t xml:space="preserve">écnicos </w:t>
      </w:r>
      <w:r w:rsidR="00A05E30">
        <w:rPr>
          <w:rFonts w:ascii="Times New Roman" w:hAnsi="Times New Roman" w:cs="Times New Roman"/>
          <w:i/>
          <w:sz w:val="24"/>
          <w:szCs w:val="24"/>
          <w:lang w:val="es-ES_tradnl"/>
        </w:rPr>
        <w:t>a</w:t>
      </w:r>
      <w:r w:rsidR="00612BA4" w:rsidRPr="00A05E30">
        <w:rPr>
          <w:rFonts w:ascii="Times New Roman" w:hAnsi="Times New Roman" w:cs="Times New Roman"/>
          <w:i/>
          <w:sz w:val="24"/>
          <w:szCs w:val="24"/>
          <w:lang w:val="es-ES_tradnl"/>
        </w:rPr>
        <w:t xml:space="preserve">sociados a la </w:t>
      </w:r>
      <w:r w:rsidR="00A05E30">
        <w:rPr>
          <w:rFonts w:ascii="Times New Roman" w:hAnsi="Times New Roman" w:cs="Times New Roman"/>
          <w:i/>
          <w:sz w:val="24"/>
          <w:szCs w:val="24"/>
          <w:lang w:val="es-ES_tradnl"/>
        </w:rPr>
        <w:t>i</w:t>
      </w:r>
      <w:r w:rsidR="00612BA4" w:rsidRPr="00A05E30">
        <w:rPr>
          <w:rFonts w:ascii="Times New Roman" w:hAnsi="Times New Roman" w:cs="Times New Roman"/>
          <w:i/>
          <w:sz w:val="24"/>
          <w:szCs w:val="24"/>
          <w:lang w:val="es-ES_tradnl"/>
        </w:rPr>
        <w:t xml:space="preserve">mplementación del </w:t>
      </w:r>
      <w:r w:rsidR="00A05E30">
        <w:rPr>
          <w:rFonts w:ascii="Times New Roman" w:hAnsi="Times New Roman" w:cs="Times New Roman"/>
          <w:i/>
          <w:sz w:val="24"/>
          <w:szCs w:val="24"/>
          <w:lang w:val="es-ES_tradnl"/>
        </w:rPr>
        <w:t>m</w:t>
      </w:r>
      <w:r w:rsidR="00612BA4" w:rsidRPr="00A05E30">
        <w:rPr>
          <w:rFonts w:ascii="Times New Roman" w:hAnsi="Times New Roman" w:cs="Times New Roman"/>
          <w:i/>
          <w:sz w:val="24"/>
          <w:szCs w:val="24"/>
          <w:lang w:val="es-ES_tradnl"/>
        </w:rPr>
        <w:t>étodo</w:t>
      </w:r>
      <w:r w:rsidR="00741549">
        <w:rPr>
          <w:rFonts w:ascii="Times New Roman" w:hAnsi="Times New Roman" w:cs="Times New Roman"/>
          <w:i/>
          <w:sz w:val="24"/>
          <w:szCs w:val="24"/>
          <w:lang w:val="es-ES_tradnl"/>
        </w:rPr>
        <w:t xml:space="preserve"> seleccionado</w:t>
      </w:r>
    </w:p>
    <w:p w:rsidR="00A05E30" w:rsidRDefault="00A05E30" w:rsidP="00133C43">
      <w:pPr>
        <w:spacing w:after="0" w:line="240" w:lineRule="auto"/>
        <w:jc w:val="both"/>
        <w:rPr>
          <w:rFonts w:ascii="Times New Roman" w:hAnsi="Times New Roman" w:cs="Times New Roman"/>
          <w:b/>
          <w:sz w:val="24"/>
          <w:szCs w:val="24"/>
          <w:lang w:val="es-ES_tradnl"/>
        </w:rPr>
      </w:pPr>
    </w:p>
    <w:p w:rsidR="00612BA4" w:rsidRPr="00133C43" w:rsidRDefault="00612BA4" w:rsidP="00133C43">
      <w:pPr>
        <w:spacing w:after="0" w:line="240" w:lineRule="auto"/>
        <w:jc w:val="both"/>
        <w:rPr>
          <w:rFonts w:ascii="Times New Roman" w:hAnsi="Times New Roman" w:cs="Times New Roman"/>
          <w:sz w:val="24"/>
          <w:szCs w:val="24"/>
          <w:lang w:val="es-ES_tradnl"/>
        </w:rPr>
      </w:pPr>
      <w:r w:rsidRPr="00A05E30">
        <w:rPr>
          <w:rFonts w:ascii="Times New Roman" w:hAnsi="Times New Roman" w:cs="Times New Roman"/>
          <w:i/>
          <w:sz w:val="24"/>
          <w:szCs w:val="24"/>
          <w:lang w:val="es-ES_tradnl"/>
        </w:rPr>
        <w:t xml:space="preserve">Construcción del </w:t>
      </w:r>
      <w:r w:rsidR="00741549">
        <w:rPr>
          <w:rFonts w:ascii="Times New Roman" w:hAnsi="Times New Roman" w:cs="Times New Roman"/>
          <w:i/>
          <w:sz w:val="24"/>
          <w:szCs w:val="24"/>
          <w:lang w:val="es-ES_tradnl"/>
        </w:rPr>
        <w:t>c</w:t>
      </w:r>
      <w:r w:rsidRPr="00A05E30">
        <w:rPr>
          <w:rFonts w:ascii="Times New Roman" w:hAnsi="Times New Roman" w:cs="Times New Roman"/>
          <w:i/>
          <w:sz w:val="24"/>
          <w:szCs w:val="24"/>
          <w:lang w:val="es-ES_tradnl"/>
        </w:rPr>
        <w:t xml:space="preserve">ontrol </w:t>
      </w:r>
      <w:r w:rsidR="00741549">
        <w:rPr>
          <w:rFonts w:ascii="Times New Roman" w:hAnsi="Times New Roman" w:cs="Times New Roman"/>
          <w:i/>
          <w:sz w:val="24"/>
          <w:szCs w:val="24"/>
          <w:lang w:val="es-ES_tradnl"/>
        </w:rPr>
        <w:t>s</w:t>
      </w:r>
      <w:r w:rsidRPr="00A05E30">
        <w:rPr>
          <w:rFonts w:ascii="Times New Roman" w:hAnsi="Times New Roman" w:cs="Times New Roman"/>
          <w:i/>
          <w:sz w:val="24"/>
          <w:szCs w:val="24"/>
          <w:lang w:val="es-ES_tradnl"/>
        </w:rPr>
        <w:t xml:space="preserve">intético: </w:t>
      </w:r>
      <w:r w:rsidRPr="00133C43">
        <w:rPr>
          <w:rFonts w:ascii="Times New Roman" w:hAnsi="Times New Roman" w:cs="Times New Roman"/>
          <w:sz w:val="24"/>
          <w:szCs w:val="24"/>
          <w:lang w:val="es-ES_tradnl"/>
        </w:rPr>
        <w:t xml:space="preserve">El método de control sintético selecciona las unidades de comparación </w:t>
      </w:r>
      <w:r w:rsidR="00E171C8">
        <w:rPr>
          <w:rFonts w:ascii="Times New Roman" w:hAnsi="Times New Roman" w:cs="Times New Roman"/>
          <w:sz w:val="24"/>
          <w:szCs w:val="24"/>
          <w:lang w:val="es-ES_tradnl"/>
        </w:rPr>
        <w:t xml:space="preserve">utilizando un </w:t>
      </w:r>
      <w:r w:rsidRPr="00133C43">
        <w:rPr>
          <w:rFonts w:ascii="Times New Roman" w:hAnsi="Times New Roman" w:cs="Times New Roman"/>
          <w:sz w:val="24"/>
          <w:szCs w:val="24"/>
          <w:lang w:val="es-ES_tradnl"/>
        </w:rPr>
        <w:t xml:space="preserve">procedimiento </w:t>
      </w:r>
      <w:r w:rsidR="00E171C8">
        <w:rPr>
          <w:rFonts w:ascii="Times New Roman" w:hAnsi="Times New Roman" w:cs="Times New Roman"/>
          <w:sz w:val="24"/>
          <w:szCs w:val="24"/>
          <w:lang w:val="es-ES_tradnl"/>
        </w:rPr>
        <w:t>basados en los datos</w:t>
      </w:r>
      <w:r w:rsidRPr="00133C43">
        <w:rPr>
          <w:rFonts w:ascii="Times New Roman" w:hAnsi="Times New Roman" w:cs="Times New Roman"/>
          <w:sz w:val="24"/>
          <w:szCs w:val="24"/>
          <w:lang w:val="es-ES_tradnl"/>
        </w:rPr>
        <w:t xml:space="preserve">. </w:t>
      </w:r>
      <w:r w:rsidR="00E171C8">
        <w:rPr>
          <w:rFonts w:ascii="Times New Roman" w:hAnsi="Times New Roman" w:cs="Times New Roman"/>
          <w:sz w:val="24"/>
          <w:szCs w:val="24"/>
          <w:lang w:val="es-ES_tradnl"/>
        </w:rPr>
        <w:t>Concretamente</w:t>
      </w:r>
      <w:r w:rsidRPr="00133C43">
        <w:rPr>
          <w:rFonts w:ascii="Times New Roman" w:hAnsi="Times New Roman" w:cs="Times New Roman"/>
          <w:sz w:val="24"/>
          <w:szCs w:val="24"/>
          <w:lang w:val="es-ES_tradnl"/>
        </w:rPr>
        <w:t xml:space="preserve">, un control sintético </w:t>
      </w:r>
      <w:r w:rsidR="00E171C8">
        <w:rPr>
          <w:rFonts w:ascii="Times New Roman" w:hAnsi="Times New Roman" w:cs="Times New Roman"/>
          <w:sz w:val="24"/>
          <w:szCs w:val="24"/>
          <w:lang w:val="es-ES_tradnl"/>
        </w:rPr>
        <w:t>se</w:t>
      </w:r>
      <w:r w:rsidRPr="00133C43">
        <w:rPr>
          <w:rFonts w:ascii="Times New Roman" w:hAnsi="Times New Roman" w:cs="Times New Roman"/>
          <w:sz w:val="24"/>
          <w:szCs w:val="24"/>
          <w:lang w:val="es-ES_tradnl"/>
        </w:rPr>
        <w:t xml:space="preserve"> defin</w:t>
      </w:r>
      <w:r w:rsidR="00E171C8">
        <w:rPr>
          <w:rFonts w:ascii="Times New Roman" w:hAnsi="Times New Roman" w:cs="Times New Roman"/>
          <w:sz w:val="24"/>
          <w:szCs w:val="24"/>
          <w:lang w:val="es-ES_tradnl"/>
        </w:rPr>
        <w:t>e</w:t>
      </w:r>
      <w:r w:rsidRPr="00133C43">
        <w:rPr>
          <w:rFonts w:ascii="Times New Roman" w:hAnsi="Times New Roman" w:cs="Times New Roman"/>
          <w:sz w:val="24"/>
          <w:szCs w:val="24"/>
          <w:lang w:val="es-ES_tradnl"/>
        </w:rPr>
        <w:t xml:space="preserve"> como un promedio </w:t>
      </w:r>
      <w:r w:rsidR="00E23303" w:rsidRPr="00133C43">
        <w:rPr>
          <w:rFonts w:ascii="Times New Roman" w:hAnsi="Times New Roman" w:cs="Times New Roman"/>
          <w:sz w:val="24"/>
          <w:szCs w:val="24"/>
          <w:lang w:val="es-ES_tradnl"/>
        </w:rPr>
        <w:t xml:space="preserve">ponderado </w:t>
      </w:r>
      <w:r w:rsidR="0029668E" w:rsidRPr="00133C43">
        <w:rPr>
          <w:rFonts w:ascii="Times New Roman" w:hAnsi="Times New Roman" w:cs="Times New Roman"/>
          <w:sz w:val="24"/>
          <w:szCs w:val="24"/>
          <w:lang w:val="es-ES_tradnl"/>
        </w:rPr>
        <w:t xml:space="preserve">de las unidades en el </w:t>
      </w:r>
      <w:r w:rsidR="00E171C8">
        <w:rPr>
          <w:rFonts w:ascii="Times New Roman" w:hAnsi="Times New Roman" w:cs="Times New Roman"/>
          <w:sz w:val="24"/>
          <w:szCs w:val="24"/>
          <w:lang w:val="es-ES_tradnl"/>
        </w:rPr>
        <w:t>grupo de control</w:t>
      </w:r>
      <w:r w:rsidRPr="00133C43">
        <w:rPr>
          <w:rFonts w:ascii="Times New Roman" w:hAnsi="Times New Roman" w:cs="Times New Roman"/>
          <w:sz w:val="24"/>
          <w:szCs w:val="24"/>
          <w:lang w:val="es-ES_tradnl"/>
        </w:rPr>
        <w:t xml:space="preserve">. </w:t>
      </w:r>
      <w:r w:rsidR="00FE0D97" w:rsidRPr="00133C43">
        <w:rPr>
          <w:rFonts w:ascii="Times New Roman" w:hAnsi="Times New Roman" w:cs="Times New Roman"/>
          <w:sz w:val="24"/>
          <w:szCs w:val="24"/>
          <w:lang w:val="es-ES_tradnl"/>
        </w:rPr>
        <w:t>Las p</w:t>
      </w:r>
      <w:r w:rsidR="00E23303" w:rsidRPr="00133C43">
        <w:rPr>
          <w:rFonts w:ascii="Times New Roman" w:hAnsi="Times New Roman" w:cs="Times New Roman"/>
          <w:sz w:val="24"/>
          <w:szCs w:val="24"/>
          <w:lang w:val="es-ES_tradnl"/>
        </w:rPr>
        <w:t>onderaciones</w:t>
      </w:r>
      <w:r w:rsidR="00FE0D97" w:rsidRPr="00133C43">
        <w:rPr>
          <w:rFonts w:ascii="Times New Roman" w:hAnsi="Times New Roman" w:cs="Times New Roman"/>
          <w:sz w:val="24"/>
          <w:szCs w:val="24"/>
          <w:lang w:val="es-ES_tradnl"/>
        </w:rPr>
        <w:t xml:space="preserve"> s</w:t>
      </w:r>
      <w:r w:rsidR="00877A19">
        <w:rPr>
          <w:rFonts w:ascii="Times New Roman" w:hAnsi="Times New Roman" w:cs="Times New Roman"/>
          <w:sz w:val="24"/>
          <w:szCs w:val="24"/>
          <w:lang w:val="es-ES_tradnl"/>
        </w:rPr>
        <w:t>e</w:t>
      </w:r>
      <w:r w:rsidR="00FE0D97" w:rsidRPr="00133C43">
        <w:rPr>
          <w:rFonts w:ascii="Times New Roman" w:hAnsi="Times New Roman" w:cs="Times New Roman"/>
          <w:sz w:val="24"/>
          <w:szCs w:val="24"/>
          <w:lang w:val="es-ES_tradnl"/>
        </w:rPr>
        <w:t xml:space="preserve"> </w:t>
      </w:r>
      <w:r w:rsidR="00951790" w:rsidRPr="00133C43">
        <w:rPr>
          <w:rFonts w:ascii="Times New Roman" w:hAnsi="Times New Roman" w:cs="Times New Roman"/>
          <w:sz w:val="24"/>
          <w:szCs w:val="24"/>
          <w:lang w:val="es-ES_tradnl"/>
        </w:rPr>
        <w:t>elig</w:t>
      </w:r>
      <w:r w:rsidR="00951790">
        <w:rPr>
          <w:rFonts w:ascii="Times New Roman" w:hAnsi="Times New Roman" w:cs="Times New Roman"/>
          <w:sz w:val="24"/>
          <w:szCs w:val="24"/>
          <w:lang w:val="es-ES_tradnl"/>
        </w:rPr>
        <w:t>en</w:t>
      </w:r>
      <w:r w:rsidR="00FE0D97" w:rsidRPr="00133C43">
        <w:rPr>
          <w:rFonts w:ascii="Times New Roman" w:hAnsi="Times New Roman" w:cs="Times New Roman"/>
          <w:sz w:val="24"/>
          <w:szCs w:val="24"/>
          <w:lang w:val="es-ES_tradnl"/>
        </w:rPr>
        <w:t xml:space="preserve"> de modo tal que el control sintético </w:t>
      </w:r>
      <w:r w:rsidR="00877A19">
        <w:rPr>
          <w:rFonts w:ascii="Times New Roman" w:hAnsi="Times New Roman" w:cs="Times New Roman"/>
          <w:sz w:val="24"/>
          <w:szCs w:val="24"/>
          <w:lang w:val="es-ES_tradnl"/>
        </w:rPr>
        <w:t>reproduzca</w:t>
      </w:r>
      <w:r w:rsidR="00FE0D97" w:rsidRPr="00133C43">
        <w:rPr>
          <w:rFonts w:ascii="Times New Roman" w:hAnsi="Times New Roman" w:cs="Times New Roman"/>
          <w:sz w:val="24"/>
          <w:szCs w:val="24"/>
          <w:lang w:val="es-ES_tradnl"/>
        </w:rPr>
        <w:t xml:space="preserve"> lo mejor posible las características de la unidad afectada antes </w:t>
      </w:r>
      <w:r w:rsidR="00E23303" w:rsidRPr="00133C43">
        <w:rPr>
          <w:rFonts w:ascii="Times New Roman" w:hAnsi="Times New Roman" w:cs="Times New Roman"/>
          <w:sz w:val="24"/>
          <w:szCs w:val="24"/>
          <w:lang w:val="es-ES_tradnl"/>
        </w:rPr>
        <w:t>de</w:t>
      </w:r>
      <w:r w:rsidR="00FE0D97" w:rsidRPr="00133C43">
        <w:rPr>
          <w:rFonts w:ascii="Times New Roman" w:hAnsi="Times New Roman" w:cs="Times New Roman"/>
          <w:sz w:val="24"/>
          <w:szCs w:val="24"/>
          <w:lang w:val="es-ES_tradnl"/>
        </w:rPr>
        <w:t xml:space="preserve"> la intervención (ver, por ejemplo, </w:t>
      </w:r>
      <w:proofErr w:type="spellStart"/>
      <w:r w:rsidR="00FE0D97" w:rsidRPr="00133C43">
        <w:rPr>
          <w:rFonts w:ascii="Times New Roman" w:hAnsi="Times New Roman" w:cs="Times New Roman"/>
          <w:sz w:val="24"/>
          <w:szCs w:val="24"/>
          <w:lang w:val="es-ES_tradnl"/>
        </w:rPr>
        <w:t>Abadie</w:t>
      </w:r>
      <w:proofErr w:type="spellEnd"/>
      <w:r w:rsidR="00FE0D97" w:rsidRPr="00133C43">
        <w:rPr>
          <w:rFonts w:ascii="Times New Roman" w:hAnsi="Times New Roman" w:cs="Times New Roman"/>
          <w:sz w:val="24"/>
          <w:szCs w:val="24"/>
          <w:lang w:val="es-ES_tradnl"/>
        </w:rPr>
        <w:t xml:space="preserve"> </w:t>
      </w:r>
      <w:r w:rsidR="00877A19">
        <w:rPr>
          <w:rFonts w:ascii="Times New Roman" w:hAnsi="Times New Roman" w:cs="Times New Roman"/>
          <w:sz w:val="24"/>
          <w:szCs w:val="24"/>
          <w:lang w:val="es-ES_tradnl"/>
        </w:rPr>
        <w:t>y</w:t>
      </w:r>
      <w:r w:rsidR="00FE0D97" w:rsidRPr="00133C43">
        <w:rPr>
          <w:rFonts w:ascii="Times New Roman" w:hAnsi="Times New Roman" w:cs="Times New Roman"/>
          <w:sz w:val="24"/>
          <w:szCs w:val="24"/>
          <w:lang w:val="es-ES_tradnl"/>
        </w:rPr>
        <w:t xml:space="preserve"> </w:t>
      </w:r>
      <w:proofErr w:type="spellStart"/>
      <w:r w:rsidR="00FE0D97" w:rsidRPr="00133C43">
        <w:rPr>
          <w:rFonts w:ascii="Times New Roman" w:hAnsi="Times New Roman" w:cs="Times New Roman"/>
          <w:sz w:val="24"/>
          <w:szCs w:val="24"/>
          <w:lang w:val="es-ES_tradnl"/>
        </w:rPr>
        <w:t>Gardeazabal</w:t>
      </w:r>
      <w:proofErr w:type="spellEnd"/>
      <w:r w:rsidR="00FE0D97" w:rsidRPr="00133C43">
        <w:rPr>
          <w:rFonts w:ascii="Times New Roman" w:hAnsi="Times New Roman" w:cs="Times New Roman"/>
          <w:sz w:val="24"/>
          <w:szCs w:val="24"/>
          <w:lang w:val="es-ES_tradnl"/>
        </w:rPr>
        <w:t xml:space="preserve">, 2003; y </w:t>
      </w:r>
      <w:proofErr w:type="spellStart"/>
      <w:r w:rsidR="00FE0D97" w:rsidRPr="00133C43">
        <w:rPr>
          <w:rFonts w:ascii="Times New Roman" w:hAnsi="Times New Roman" w:cs="Times New Roman"/>
          <w:sz w:val="24"/>
          <w:szCs w:val="24"/>
          <w:lang w:val="es-ES_tradnl"/>
        </w:rPr>
        <w:t>Abadie</w:t>
      </w:r>
      <w:proofErr w:type="spellEnd"/>
      <w:r w:rsidR="00FE0D97" w:rsidRPr="00133C43">
        <w:rPr>
          <w:rFonts w:ascii="Times New Roman" w:hAnsi="Times New Roman" w:cs="Times New Roman"/>
          <w:sz w:val="24"/>
          <w:szCs w:val="24"/>
          <w:lang w:val="es-ES_tradnl"/>
        </w:rPr>
        <w:t xml:space="preserve"> et al., 2010). En particular, </w:t>
      </w:r>
      <w:r w:rsidR="00877A19">
        <w:rPr>
          <w:rFonts w:ascii="Times New Roman" w:hAnsi="Times New Roman" w:cs="Times New Roman"/>
          <w:sz w:val="24"/>
          <w:szCs w:val="24"/>
          <w:lang w:val="es-ES_tradnl"/>
        </w:rPr>
        <w:t xml:space="preserve">se utilizarán </w:t>
      </w:r>
      <w:r w:rsidR="00FE0D97" w:rsidRPr="00133C43">
        <w:rPr>
          <w:rFonts w:ascii="Times New Roman" w:hAnsi="Times New Roman" w:cs="Times New Roman"/>
          <w:sz w:val="24"/>
          <w:szCs w:val="24"/>
          <w:lang w:val="es-ES_tradnl"/>
        </w:rPr>
        <w:t>dos estrategias alternativas para elegir l</w:t>
      </w:r>
      <w:r w:rsidR="00E23303" w:rsidRPr="00133C43">
        <w:rPr>
          <w:rFonts w:ascii="Times New Roman" w:hAnsi="Times New Roman" w:cs="Times New Roman"/>
          <w:sz w:val="24"/>
          <w:szCs w:val="24"/>
          <w:lang w:val="es-ES_tradnl"/>
        </w:rPr>
        <w:t xml:space="preserve">os ponderadores </w:t>
      </w:r>
      <w:r w:rsidR="00FE0D97" w:rsidRPr="00133C43">
        <w:rPr>
          <w:rFonts w:ascii="Times New Roman" w:hAnsi="Times New Roman" w:cs="Times New Roman"/>
          <w:sz w:val="24"/>
          <w:szCs w:val="24"/>
          <w:lang w:val="es-ES_tradnl"/>
        </w:rPr>
        <w:t xml:space="preserve">que representan la importancia relativa de reproducir los valores de cada </w:t>
      </w:r>
      <w:r w:rsidR="00877A19">
        <w:rPr>
          <w:rFonts w:ascii="Times New Roman" w:hAnsi="Times New Roman" w:cs="Times New Roman"/>
          <w:sz w:val="24"/>
          <w:szCs w:val="24"/>
          <w:lang w:val="es-ES_tradnl"/>
        </w:rPr>
        <w:t>variable explicativa del</w:t>
      </w:r>
      <w:r w:rsidR="00FE0D97" w:rsidRPr="00133C43">
        <w:rPr>
          <w:rFonts w:ascii="Times New Roman" w:hAnsi="Times New Roman" w:cs="Times New Roman"/>
          <w:sz w:val="24"/>
          <w:szCs w:val="24"/>
          <w:lang w:val="es-ES_tradnl"/>
        </w:rPr>
        <w:t xml:space="preserve"> resultado: (1) elegir el </w:t>
      </w:r>
      <w:r w:rsidR="00877A19">
        <w:rPr>
          <w:rFonts w:ascii="Times New Roman" w:hAnsi="Times New Roman" w:cs="Times New Roman"/>
          <w:sz w:val="24"/>
          <w:szCs w:val="24"/>
          <w:lang w:val="es-ES_tradnl"/>
        </w:rPr>
        <w:t xml:space="preserve">conjunto de valores </w:t>
      </w:r>
      <w:r w:rsidR="00FE0D97" w:rsidRPr="00133C43">
        <w:rPr>
          <w:rFonts w:ascii="Times New Roman" w:hAnsi="Times New Roman" w:cs="Times New Roman"/>
          <w:sz w:val="24"/>
          <w:szCs w:val="24"/>
          <w:lang w:val="es-ES_tradnl"/>
        </w:rPr>
        <w:t>q</w:t>
      </w:r>
      <w:r w:rsidR="00712AF7" w:rsidRPr="00133C43">
        <w:rPr>
          <w:rFonts w:ascii="Times New Roman" w:hAnsi="Times New Roman" w:cs="Times New Roman"/>
          <w:sz w:val="24"/>
          <w:szCs w:val="24"/>
          <w:lang w:val="es-ES_tradnl"/>
        </w:rPr>
        <w:t>ue producen el mejor</w:t>
      </w:r>
      <w:r w:rsidR="00FE0D97" w:rsidRPr="00133C43">
        <w:rPr>
          <w:rFonts w:ascii="Times New Roman" w:hAnsi="Times New Roman" w:cs="Times New Roman"/>
          <w:sz w:val="24"/>
          <w:szCs w:val="24"/>
          <w:lang w:val="es-ES_tradnl"/>
        </w:rPr>
        <w:t xml:space="preserve"> “</w:t>
      </w:r>
      <w:r w:rsidR="00712AF7" w:rsidRPr="00133C43">
        <w:rPr>
          <w:rFonts w:ascii="Times New Roman" w:hAnsi="Times New Roman" w:cs="Times New Roman"/>
          <w:sz w:val="24"/>
          <w:szCs w:val="24"/>
          <w:lang w:val="es-ES_tradnl"/>
        </w:rPr>
        <w:t>ajuste</w:t>
      </w:r>
      <w:r w:rsidR="00FE0D97" w:rsidRPr="00133C43">
        <w:rPr>
          <w:rFonts w:ascii="Times New Roman" w:hAnsi="Times New Roman" w:cs="Times New Roman"/>
          <w:sz w:val="24"/>
          <w:szCs w:val="24"/>
          <w:lang w:val="es-ES_tradnl"/>
        </w:rPr>
        <w:t>”</w:t>
      </w:r>
      <w:r w:rsidR="00712AF7" w:rsidRPr="00133C43">
        <w:rPr>
          <w:rFonts w:ascii="Times New Roman" w:hAnsi="Times New Roman" w:cs="Times New Roman"/>
          <w:sz w:val="24"/>
          <w:szCs w:val="24"/>
          <w:lang w:val="es-ES_tradnl"/>
        </w:rPr>
        <w:t xml:space="preserve"> en términos de que tan cerca el control sintético sigue la trayectoria de la variable de resultado de la unidad afectada durante el período </w:t>
      </w:r>
      <w:r w:rsidR="00877A19">
        <w:rPr>
          <w:rFonts w:ascii="Times New Roman" w:hAnsi="Times New Roman" w:cs="Times New Roman"/>
          <w:sz w:val="24"/>
          <w:szCs w:val="24"/>
          <w:lang w:val="es-ES_tradnl"/>
        </w:rPr>
        <w:t xml:space="preserve">previo a la </w:t>
      </w:r>
      <w:r w:rsidR="00712AF7" w:rsidRPr="00133C43">
        <w:rPr>
          <w:rFonts w:ascii="Times New Roman" w:hAnsi="Times New Roman" w:cs="Times New Roman"/>
          <w:sz w:val="24"/>
          <w:szCs w:val="24"/>
          <w:lang w:val="es-ES_tradnl"/>
        </w:rPr>
        <w:t>intervención</w:t>
      </w:r>
      <w:r w:rsidR="00877A19">
        <w:rPr>
          <w:rFonts w:ascii="Times New Roman" w:hAnsi="Times New Roman" w:cs="Times New Roman"/>
          <w:sz w:val="24"/>
          <w:szCs w:val="24"/>
          <w:lang w:val="es-ES_tradnl"/>
        </w:rPr>
        <w:t xml:space="preserve">, en cuyo caso se maximiza el ajuste </w:t>
      </w:r>
      <w:proofErr w:type="spellStart"/>
      <w:r w:rsidR="00877A19">
        <w:rPr>
          <w:rFonts w:ascii="Times New Roman" w:hAnsi="Times New Roman" w:cs="Times New Roman"/>
          <w:sz w:val="24"/>
          <w:szCs w:val="24"/>
          <w:lang w:val="es-ES_tradnl"/>
        </w:rPr>
        <w:t>intra-muestral</w:t>
      </w:r>
      <w:proofErr w:type="spellEnd"/>
      <w:r w:rsidR="00877A19">
        <w:rPr>
          <w:rFonts w:ascii="Times New Roman" w:hAnsi="Times New Roman" w:cs="Times New Roman"/>
          <w:sz w:val="24"/>
          <w:szCs w:val="24"/>
          <w:lang w:val="es-ES_tradnl"/>
        </w:rPr>
        <w:t xml:space="preserve"> (</w:t>
      </w:r>
      <w:r w:rsidR="00D84AFD" w:rsidRPr="00133C43">
        <w:rPr>
          <w:rFonts w:ascii="Times New Roman" w:hAnsi="Times New Roman" w:cs="Times New Roman"/>
          <w:i/>
          <w:sz w:val="24"/>
          <w:szCs w:val="24"/>
          <w:lang w:val="es-ES_tradnl"/>
        </w:rPr>
        <w:t xml:space="preserve">in-simple </w:t>
      </w:r>
      <w:proofErr w:type="spellStart"/>
      <w:r w:rsidR="00D84AFD" w:rsidRPr="00133C43">
        <w:rPr>
          <w:rFonts w:ascii="Times New Roman" w:hAnsi="Times New Roman" w:cs="Times New Roman"/>
          <w:i/>
          <w:sz w:val="24"/>
          <w:szCs w:val="24"/>
          <w:lang w:val="es-ES_tradnl"/>
        </w:rPr>
        <w:t>fit</w:t>
      </w:r>
      <w:proofErr w:type="spellEnd"/>
      <w:r w:rsidR="00877A19" w:rsidRPr="00877A19">
        <w:rPr>
          <w:rFonts w:ascii="Times New Roman" w:hAnsi="Times New Roman" w:cs="Times New Roman"/>
          <w:sz w:val="24"/>
          <w:szCs w:val="24"/>
          <w:lang w:val="es-ES_tradnl"/>
        </w:rPr>
        <w:t>)</w:t>
      </w:r>
      <w:r w:rsidR="00712AF7" w:rsidRPr="00133C43">
        <w:rPr>
          <w:rFonts w:ascii="Times New Roman" w:hAnsi="Times New Roman" w:cs="Times New Roman"/>
          <w:sz w:val="24"/>
          <w:szCs w:val="24"/>
          <w:lang w:val="es-ES_tradnl"/>
        </w:rPr>
        <w:t xml:space="preserve">; y (2) elegir el </w:t>
      </w:r>
      <w:r w:rsidR="00877A19">
        <w:rPr>
          <w:rFonts w:ascii="Times New Roman" w:hAnsi="Times New Roman" w:cs="Times New Roman"/>
          <w:sz w:val="24"/>
          <w:szCs w:val="24"/>
          <w:lang w:val="es-ES_tradnl"/>
        </w:rPr>
        <w:t>conjunto de</w:t>
      </w:r>
      <w:r w:rsidR="00712AF7" w:rsidRPr="00133C43">
        <w:rPr>
          <w:rFonts w:ascii="Times New Roman" w:hAnsi="Times New Roman" w:cs="Times New Roman"/>
          <w:sz w:val="24"/>
          <w:szCs w:val="24"/>
          <w:lang w:val="es-ES_tradnl"/>
        </w:rPr>
        <w:t xml:space="preserve"> valores </w:t>
      </w:r>
      <w:r w:rsidR="00A54AEC" w:rsidRPr="00133C43">
        <w:rPr>
          <w:rFonts w:ascii="Times New Roman" w:hAnsi="Times New Roman" w:cs="Times New Roman"/>
          <w:sz w:val="24"/>
          <w:szCs w:val="24"/>
          <w:lang w:val="es-ES_tradnl"/>
        </w:rPr>
        <w:t xml:space="preserve">que maximizan </w:t>
      </w:r>
      <w:r w:rsidR="00877A19">
        <w:rPr>
          <w:rFonts w:ascii="Times New Roman" w:hAnsi="Times New Roman" w:cs="Times New Roman"/>
          <w:sz w:val="24"/>
          <w:szCs w:val="24"/>
          <w:lang w:val="es-ES_tradnl"/>
        </w:rPr>
        <w:t>el ajuste extra-</w:t>
      </w:r>
      <w:proofErr w:type="spellStart"/>
      <w:r w:rsidR="00877A19">
        <w:rPr>
          <w:rFonts w:ascii="Times New Roman" w:hAnsi="Times New Roman" w:cs="Times New Roman"/>
          <w:sz w:val="24"/>
          <w:szCs w:val="24"/>
          <w:lang w:val="es-ES_tradnl"/>
        </w:rPr>
        <w:t>muestral</w:t>
      </w:r>
      <w:proofErr w:type="spellEnd"/>
      <w:r w:rsidR="00877A19">
        <w:rPr>
          <w:rFonts w:ascii="Times New Roman" w:hAnsi="Times New Roman" w:cs="Times New Roman"/>
          <w:sz w:val="24"/>
          <w:szCs w:val="24"/>
          <w:lang w:val="es-ES_tradnl"/>
        </w:rPr>
        <w:t xml:space="preserve"> (</w:t>
      </w:r>
      <w:proofErr w:type="spellStart"/>
      <w:r w:rsidR="00D84AFD" w:rsidRPr="00133C43">
        <w:rPr>
          <w:rFonts w:ascii="Times New Roman" w:hAnsi="Times New Roman" w:cs="Times New Roman"/>
          <w:i/>
          <w:sz w:val="24"/>
          <w:szCs w:val="24"/>
          <w:lang w:val="es-ES_tradnl"/>
        </w:rPr>
        <w:t>out</w:t>
      </w:r>
      <w:proofErr w:type="spellEnd"/>
      <w:r w:rsidR="00D84AFD" w:rsidRPr="00133C43">
        <w:rPr>
          <w:rFonts w:ascii="Times New Roman" w:hAnsi="Times New Roman" w:cs="Times New Roman"/>
          <w:i/>
          <w:sz w:val="24"/>
          <w:szCs w:val="24"/>
          <w:lang w:val="es-ES_tradnl"/>
        </w:rPr>
        <w:t>-of-</w:t>
      </w:r>
      <w:proofErr w:type="spellStart"/>
      <w:r w:rsidR="00D84AFD" w:rsidRPr="00133C43">
        <w:rPr>
          <w:rFonts w:ascii="Times New Roman" w:hAnsi="Times New Roman" w:cs="Times New Roman"/>
          <w:i/>
          <w:sz w:val="24"/>
          <w:szCs w:val="24"/>
          <w:lang w:val="es-ES_tradnl"/>
        </w:rPr>
        <w:t>sample</w:t>
      </w:r>
      <w:proofErr w:type="spellEnd"/>
      <w:r w:rsidR="00D84AFD" w:rsidRPr="00133C43">
        <w:rPr>
          <w:rFonts w:ascii="Times New Roman" w:hAnsi="Times New Roman" w:cs="Times New Roman"/>
          <w:i/>
          <w:sz w:val="24"/>
          <w:szCs w:val="24"/>
          <w:lang w:val="es-ES_tradnl"/>
        </w:rPr>
        <w:t xml:space="preserve"> </w:t>
      </w:r>
      <w:proofErr w:type="spellStart"/>
      <w:r w:rsidR="00D84AFD" w:rsidRPr="00133C43">
        <w:rPr>
          <w:rFonts w:ascii="Times New Roman" w:hAnsi="Times New Roman" w:cs="Times New Roman"/>
          <w:i/>
          <w:sz w:val="24"/>
          <w:szCs w:val="24"/>
          <w:lang w:val="es-ES_tradnl"/>
        </w:rPr>
        <w:t>fit</w:t>
      </w:r>
      <w:proofErr w:type="spellEnd"/>
      <w:r w:rsidR="00877A19">
        <w:rPr>
          <w:rFonts w:ascii="Times New Roman" w:hAnsi="Times New Roman" w:cs="Times New Roman"/>
          <w:sz w:val="24"/>
          <w:szCs w:val="24"/>
          <w:lang w:val="es-ES_tradnl"/>
        </w:rPr>
        <w:t xml:space="preserve">) </w:t>
      </w:r>
      <w:r w:rsidR="0029668E" w:rsidRPr="00133C43">
        <w:rPr>
          <w:rFonts w:ascii="Times New Roman" w:hAnsi="Times New Roman" w:cs="Times New Roman"/>
          <w:sz w:val="24"/>
          <w:szCs w:val="24"/>
          <w:lang w:val="es-ES_tradnl"/>
        </w:rPr>
        <w:t xml:space="preserve">a través de </w:t>
      </w:r>
      <w:r w:rsidR="00D84AFD" w:rsidRPr="00133C43">
        <w:rPr>
          <w:rFonts w:ascii="Times New Roman" w:hAnsi="Times New Roman" w:cs="Times New Roman"/>
          <w:sz w:val="24"/>
          <w:szCs w:val="24"/>
          <w:lang w:val="es-ES_tradnl"/>
        </w:rPr>
        <w:t xml:space="preserve">un proceso de </w:t>
      </w:r>
      <w:r w:rsidR="00877A19">
        <w:rPr>
          <w:rFonts w:ascii="Times New Roman" w:hAnsi="Times New Roman" w:cs="Times New Roman"/>
          <w:sz w:val="24"/>
          <w:szCs w:val="24"/>
          <w:lang w:val="es-ES_tradnl"/>
        </w:rPr>
        <w:t>validación cruzada (</w:t>
      </w:r>
      <w:proofErr w:type="spellStart"/>
      <w:r w:rsidR="00D84AFD" w:rsidRPr="00133C43">
        <w:rPr>
          <w:rFonts w:ascii="Times New Roman" w:hAnsi="Times New Roman" w:cs="Times New Roman"/>
          <w:i/>
          <w:sz w:val="24"/>
          <w:szCs w:val="24"/>
          <w:lang w:val="es-ES_tradnl"/>
        </w:rPr>
        <w:t>cross-validation</w:t>
      </w:r>
      <w:proofErr w:type="spellEnd"/>
      <w:r w:rsidR="00877A19" w:rsidRPr="00877A19">
        <w:rPr>
          <w:rFonts w:ascii="Times New Roman" w:hAnsi="Times New Roman" w:cs="Times New Roman"/>
          <w:sz w:val="24"/>
          <w:szCs w:val="24"/>
          <w:lang w:val="es-ES_tradnl"/>
        </w:rPr>
        <w:t>)</w:t>
      </w:r>
      <w:r w:rsidR="0029668E" w:rsidRPr="00133C43">
        <w:rPr>
          <w:rFonts w:ascii="Times New Roman" w:hAnsi="Times New Roman" w:cs="Times New Roman"/>
          <w:sz w:val="24"/>
          <w:szCs w:val="24"/>
          <w:lang w:val="es-ES_tradnl"/>
        </w:rPr>
        <w:t>, es decir</w:t>
      </w:r>
      <w:r w:rsidR="00A54AEC" w:rsidRPr="00133C43">
        <w:rPr>
          <w:rFonts w:ascii="Times New Roman" w:hAnsi="Times New Roman" w:cs="Times New Roman"/>
          <w:sz w:val="24"/>
          <w:szCs w:val="24"/>
          <w:lang w:val="es-ES_tradnl"/>
        </w:rPr>
        <w:t xml:space="preserve">, </w:t>
      </w:r>
      <w:r w:rsidR="00877A19">
        <w:rPr>
          <w:rFonts w:ascii="Times New Roman" w:hAnsi="Times New Roman" w:cs="Times New Roman"/>
          <w:sz w:val="24"/>
          <w:szCs w:val="24"/>
          <w:lang w:val="es-ES_tradnl"/>
        </w:rPr>
        <w:t>los datos correspondientes al período anterior a la intervención se</w:t>
      </w:r>
      <w:r w:rsidR="00A54AEC" w:rsidRPr="00133C43">
        <w:rPr>
          <w:rFonts w:ascii="Times New Roman" w:hAnsi="Times New Roman" w:cs="Times New Roman"/>
          <w:sz w:val="24"/>
          <w:szCs w:val="24"/>
          <w:lang w:val="es-ES_tradnl"/>
        </w:rPr>
        <w:t xml:space="preserve"> usa</w:t>
      </w:r>
      <w:r w:rsidR="00877A19">
        <w:rPr>
          <w:rFonts w:ascii="Times New Roman" w:hAnsi="Times New Roman" w:cs="Times New Roman"/>
          <w:sz w:val="24"/>
          <w:szCs w:val="24"/>
          <w:lang w:val="es-ES_tradnl"/>
        </w:rPr>
        <w:t>n</w:t>
      </w:r>
      <w:r w:rsidR="00A54AEC" w:rsidRPr="00133C43">
        <w:rPr>
          <w:rFonts w:ascii="Times New Roman" w:hAnsi="Times New Roman" w:cs="Times New Roman"/>
          <w:sz w:val="24"/>
          <w:szCs w:val="24"/>
          <w:lang w:val="es-ES_tradnl"/>
        </w:rPr>
        <w:t xml:space="preserve"> para evaluar el poder predictivo de </w:t>
      </w:r>
      <w:r w:rsidR="003830DA" w:rsidRPr="00133C43">
        <w:rPr>
          <w:rFonts w:ascii="Times New Roman" w:hAnsi="Times New Roman" w:cs="Times New Roman"/>
          <w:sz w:val="24"/>
          <w:szCs w:val="24"/>
          <w:lang w:val="es-ES_tradnl"/>
        </w:rPr>
        <w:t xml:space="preserve">los </w:t>
      </w:r>
      <w:r w:rsidR="00A54AEC" w:rsidRPr="00133C43">
        <w:rPr>
          <w:rFonts w:ascii="Times New Roman" w:hAnsi="Times New Roman" w:cs="Times New Roman"/>
          <w:sz w:val="24"/>
          <w:szCs w:val="24"/>
          <w:lang w:val="es-ES_tradnl"/>
        </w:rPr>
        <w:t xml:space="preserve">determinantes del resultado de interés dividiendo el período de pre-intervención en un período de entrenamiento </w:t>
      </w:r>
      <w:r w:rsidR="00877A19">
        <w:rPr>
          <w:rFonts w:ascii="Times New Roman" w:hAnsi="Times New Roman" w:cs="Times New Roman"/>
          <w:sz w:val="24"/>
          <w:szCs w:val="24"/>
          <w:lang w:val="es-ES_tradnl"/>
        </w:rPr>
        <w:t>(</w:t>
      </w:r>
      <w:r w:rsidR="00877A19" w:rsidRPr="00877A19">
        <w:rPr>
          <w:rFonts w:ascii="Times New Roman" w:hAnsi="Times New Roman" w:cs="Times New Roman"/>
          <w:i/>
          <w:sz w:val="24"/>
          <w:szCs w:val="24"/>
          <w:lang w:val="es-ES_tradnl"/>
        </w:rPr>
        <w:t xml:space="preserve">training </w:t>
      </w:r>
      <w:proofErr w:type="spellStart"/>
      <w:r w:rsidR="00877A19" w:rsidRPr="00877A19">
        <w:rPr>
          <w:rFonts w:ascii="Times New Roman" w:hAnsi="Times New Roman" w:cs="Times New Roman"/>
          <w:i/>
          <w:sz w:val="24"/>
          <w:szCs w:val="24"/>
          <w:lang w:val="es-ES_tradnl"/>
        </w:rPr>
        <w:t>period</w:t>
      </w:r>
      <w:proofErr w:type="spellEnd"/>
      <w:r w:rsidR="00877A19">
        <w:rPr>
          <w:rFonts w:ascii="Times New Roman" w:hAnsi="Times New Roman" w:cs="Times New Roman"/>
          <w:sz w:val="24"/>
          <w:szCs w:val="24"/>
          <w:lang w:val="es-ES_tradnl"/>
        </w:rPr>
        <w:t xml:space="preserve">) </w:t>
      </w:r>
      <w:r w:rsidR="00A54AEC" w:rsidRPr="00133C43">
        <w:rPr>
          <w:rFonts w:ascii="Times New Roman" w:hAnsi="Times New Roman" w:cs="Times New Roman"/>
          <w:sz w:val="24"/>
          <w:szCs w:val="24"/>
          <w:lang w:val="es-ES_tradnl"/>
        </w:rPr>
        <w:t>y un período de validación</w:t>
      </w:r>
      <w:r w:rsidR="00877A19">
        <w:rPr>
          <w:rFonts w:ascii="Times New Roman" w:hAnsi="Times New Roman" w:cs="Times New Roman"/>
          <w:sz w:val="24"/>
          <w:szCs w:val="24"/>
          <w:lang w:val="es-ES_tradnl"/>
        </w:rPr>
        <w:t xml:space="preserve"> (</w:t>
      </w:r>
      <w:proofErr w:type="spellStart"/>
      <w:r w:rsidR="00877A19" w:rsidRPr="00877A19">
        <w:rPr>
          <w:rFonts w:ascii="Times New Roman" w:hAnsi="Times New Roman" w:cs="Times New Roman"/>
          <w:i/>
          <w:sz w:val="24"/>
          <w:szCs w:val="24"/>
          <w:lang w:val="es-ES_tradnl"/>
        </w:rPr>
        <w:t>validation</w:t>
      </w:r>
      <w:proofErr w:type="spellEnd"/>
      <w:r w:rsidR="00877A19" w:rsidRPr="00877A19">
        <w:rPr>
          <w:rFonts w:ascii="Times New Roman" w:hAnsi="Times New Roman" w:cs="Times New Roman"/>
          <w:i/>
          <w:sz w:val="24"/>
          <w:szCs w:val="24"/>
          <w:lang w:val="es-ES_tradnl"/>
        </w:rPr>
        <w:t xml:space="preserve"> </w:t>
      </w:r>
      <w:proofErr w:type="spellStart"/>
      <w:r w:rsidR="00877A19" w:rsidRPr="00877A19">
        <w:rPr>
          <w:rFonts w:ascii="Times New Roman" w:hAnsi="Times New Roman" w:cs="Times New Roman"/>
          <w:i/>
          <w:sz w:val="24"/>
          <w:szCs w:val="24"/>
          <w:lang w:val="es-ES_tradnl"/>
        </w:rPr>
        <w:t>period</w:t>
      </w:r>
      <w:proofErr w:type="spellEnd"/>
      <w:r w:rsidR="00877A19">
        <w:rPr>
          <w:rFonts w:ascii="Times New Roman" w:hAnsi="Times New Roman" w:cs="Times New Roman"/>
          <w:sz w:val="24"/>
          <w:szCs w:val="24"/>
          <w:lang w:val="es-ES_tradnl"/>
        </w:rPr>
        <w:t>)</w:t>
      </w:r>
      <w:r w:rsidR="00A54AEC" w:rsidRPr="00133C43">
        <w:rPr>
          <w:rFonts w:ascii="Times New Roman" w:hAnsi="Times New Roman" w:cs="Times New Roman"/>
          <w:sz w:val="24"/>
          <w:szCs w:val="24"/>
          <w:lang w:val="es-ES_tradnl"/>
        </w:rPr>
        <w:t xml:space="preserve">. </w:t>
      </w:r>
    </w:p>
    <w:p w:rsidR="00A05E30" w:rsidRDefault="00A05E30" w:rsidP="00133C43">
      <w:pPr>
        <w:spacing w:after="0" w:line="240" w:lineRule="auto"/>
        <w:jc w:val="both"/>
        <w:rPr>
          <w:rFonts w:ascii="Times New Roman" w:hAnsi="Times New Roman" w:cs="Times New Roman"/>
          <w:sz w:val="24"/>
          <w:szCs w:val="24"/>
          <w:lang w:val="es-ES_tradnl"/>
        </w:rPr>
      </w:pPr>
    </w:p>
    <w:p w:rsidR="00A54AEC" w:rsidRDefault="00A54AEC" w:rsidP="00133C43">
      <w:pPr>
        <w:spacing w:after="0" w:line="240" w:lineRule="auto"/>
        <w:jc w:val="both"/>
        <w:rPr>
          <w:rFonts w:ascii="Times New Roman" w:hAnsi="Times New Roman" w:cs="Times New Roman"/>
          <w:sz w:val="24"/>
          <w:szCs w:val="24"/>
          <w:lang w:val="es-ES_tradnl"/>
        </w:rPr>
      </w:pPr>
      <w:r w:rsidRPr="00133C43">
        <w:rPr>
          <w:rFonts w:ascii="Times New Roman" w:hAnsi="Times New Roman" w:cs="Times New Roman"/>
          <w:sz w:val="24"/>
          <w:szCs w:val="24"/>
          <w:lang w:val="es-ES_tradnl"/>
        </w:rPr>
        <w:t xml:space="preserve">En suma, el algoritmo de control sintético estima </w:t>
      </w:r>
      <w:r w:rsidR="00877A19">
        <w:rPr>
          <w:rFonts w:ascii="Times New Roman" w:hAnsi="Times New Roman" w:cs="Times New Roman"/>
          <w:sz w:val="24"/>
          <w:szCs w:val="24"/>
          <w:lang w:val="es-ES_tradnl"/>
        </w:rPr>
        <w:t>el</w:t>
      </w:r>
      <w:r w:rsidRPr="00133C43">
        <w:rPr>
          <w:rFonts w:ascii="Times New Roman" w:hAnsi="Times New Roman" w:cs="Times New Roman"/>
          <w:sz w:val="24"/>
          <w:szCs w:val="24"/>
          <w:lang w:val="es-ES_tradnl"/>
        </w:rPr>
        <w:t xml:space="preserve"> </w:t>
      </w:r>
      <w:proofErr w:type="spellStart"/>
      <w:r w:rsidRPr="00133C43">
        <w:rPr>
          <w:rFonts w:ascii="Times New Roman" w:hAnsi="Times New Roman" w:cs="Times New Roman"/>
          <w:sz w:val="24"/>
          <w:szCs w:val="24"/>
          <w:lang w:val="es-ES_tradnl"/>
        </w:rPr>
        <w:t>contrafáctic</w:t>
      </w:r>
      <w:r w:rsidR="00877A19">
        <w:rPr>
          <w:rFonts w:ascii="Times New Roman" w:hAnsi="Times New Roman" w:cs="Times New Roman"/>
          <w:sz w:val="24"/>
          <w:szCs w:val="24"/>
          <w:lang w:val="es-ES_tradnl"/>
        </w:rPr>
        <w:t>o</w:t>
      </w:r>
      <w:proofErr w:type="spellEnd"/>
      <w:r w:rsidR="00877A19">
        <w:rPr>
          <w:rFonts w:ascii="Times New Roman" w:hAnsi="Times New Roman" w:cs="Times New Roman"/>
          <w:sz w:val="24"/>
          <w:szCs w:val="24"/>
          <w:lang w:val="es-ES_tradnl"/>
        </w:rPr>
        <w:t xml:space="preserve"> faltante</w:t>
      </w:r>
      <w:r w:rsidRPr="00133C43">
        <w:rPr>
          <w:rFonts w:ascii="Times New Roman" w:hAnsi="Times New Roman" w:cs="Times New Roman"/>
          <w:sz w:val="24"/>
          <w:szCs w:val="24"/>
          <w:lang w:val="es-ES_tradnl"/>
        </w:rPr>
        <w:t xml:space="preserve"> como un promedio </w:t>
      </w:r>
      <w:r w:rsidR="003830DA" w:rsidRPr="00133C43">
        <w:rPr>
          <w:rFonts w:ascii="Times New Roman" w:hAnsi="Times New Roman" w:cs="Times New Roman"/>
          <w:sz w:val="24"/>
          <w:szCs w:val="24"/>
          <w:lang w:val="es-ES_tradnl"/>
        </w:rPr>
        <w:t xml:space="preserve">ponderado de </w:t>
      </w:r>
      <w:r w:rsidRPr="00133C43">
        <w:rPr>
          <w:rFonts w:ascii="Times New Roman" w:hAnsi="Times New Roman" w:cs="Times New Roman"/>
          <w:sz w:val="24"/>
          <w:szCs w:val="24"/>
          <w:lang w:val="es-ES_tradnl"/>
        </w:rPr>
        <w:t xml:space="preserve">los resultados de </w:t>
      </w:r>
      <w:r w:rsidR="00877A19">
        <w:rPr>
          <w:rFonts w:ascii="Times New Roman" w:hAnsi="Times New Roman" w:cs="Times New Roman"/>
          <w:sz w:val="24"/>
          <w:szCs w:val="24"/>
          <w:lang w:val="es-ES_tradnl"/>
        </w:rPr>
        <w:t xml:space="preserve">los </w:t>
      </w:r>
      <w:r w:rsidRPr="00133C43">
        <w:rPr>
          <w:rFonts w:ascii="Times New Roman" w:hAnsi="Times New Roman" w:cs="Times New Roman"/>
          <w:sz w:val="24"/>
          <w:szCs w:val="24"/>
          <w:lang w:val="es-ES_tradnl"/>
        </w:rPr>
        <w:t xml:space="preserve">controles potenciales. </w:t>
      </w:r>
      <w:r w:rsidR="00976DEF" w:rsidRPr="00133C43">
        <w:rPr>
          <w:rFonts w:ascii="Times New Roman" w:hAnsi="Times New Roman" w:cs="Times New Roman"/>
          <w:sz w:val="24"/>
          <w:szCs w:val="24"/>
          <w:lang w:val="es-ES_tradnl"/>
        </w:rPr>
        <w:t>L</w:t>
      </w:r>
      <w:r w:rsidR="003830DA" w:rsidRPr="00133C43">
        <w:rPr>
          <w:rFonts w:ascii="Times New Roman" w:hAnsi="Times New Roman" w:cs="Times New Roman"/>
          <w:sz w:val="24"/>
          <w:szCs w:val="24"/>
          <w:lang w:val="es-ES_tradnl"/>
        </w:rPr>
        <w:t xml:space="preserve">os ponderadores </w:t>
      </w:r>
      <w:r w:rsidR="00976DEF" w:rsidRPr="00133C43">
        <w:rPr>
          <w:rFonts w:ascii="Times New Roman" w:hAnsi="Times New Roman" w:cs="Times New Roman"/>
          <w:sz w:val="24"/>
          <w:szCs w:val="24"/>
          <w:lang w:val="es-ES_tradnl"/>
        </w:rPr>
        <w:t>s</w:t>
      </w:r>
      <w:r w:rsidR="00877A19">
        <w:rPr>
          <w:rFonts w:ascii="Times New Roman" w:hAnsi="Times New Roman" w:cs="Times New Roman"/>
          <w:sz w:val="24"/>
          <w:szCs w:val="24"/>
          <w:lang w:val="es-ES_tradnl"/>
        </w:rPr>
        <w:t>e</w:t>
      </w:r>
      <w:r w:rsidR="00976DEF" w:rsidRPr="00133C43">
        <w:rPr>
          <w:rFonts w:ascii="Times New Roman" w:hAnsi="Times New Roman" w:cs="Times New Roman"/>
          <w:sz w:val="24"/>
          <w:szCs w:val="24"/>
          <w:lang w:val="es-ES_tradnl"/>
        </w:rPr>
        <w:t xml:space="preserve"> </w:t>
      </w:r>
      <w:r w:rsidR="00877A19">
        <w:rPr>
          <w:rFonts w:ascii="Times New Roman" w:hAnsi="Times New Roman" w:cs="Times New Roman"/>
          <w:sz w:val="24"/>
          <w:szCs w:val="24"/>
          <w:lang w:val="es-ES_tradnl"/>
        </w:rPr>
        <w:t>escogen</w:t>
      </w:r>
      <w:r w:rsidR="00976DEF" w:rsidRPr="00133C43">
        <w:rPr>
          <w:rFonts w:ascii="Times New Roman" w:hAnsi="Times New Roman" w:cs="Times New Roman"/>
          <w:sz w:val="24"/>
          <w:szCs w:val="24"/>
          <w:lang w:val="es-ES_tradnl"/>
        </w:rPr>
        <w:t xml:space="preserve"> de manera </w:t>
      </w:r>
      <w:r w:rsidR="003830DA" w:rsidRPr="00133C43">
        <w:rPr>
          <w:rFonts w:ascii="Times New Roman" w:hAnsi="Times New Roman" w:cs="Times New Roman"/>
          <w:sz w:val="24"/>
          <w:szCs w:val="24"/>
          <w:lang w:val="es-ES_tradnl"/>
        </w:rPr>
        <w:t xml:space="preserve">tal </w:t>
      </w:r>
      <w:r w:rsidR="00976DEF" w:rsidRPr="00133C43">
        <w:rPr>
          <w:rFonts w:ascii="Times New Roman" w:hAnsi="Times New Roman" w:cs="Times New Roman"/>
          <w:sz w:val="24"/>
          <w:szCs w:val="24"/>
          <w:lang w:val="es-ES_tradnl"/>
        </w:rPr>
        <w:t xml:space="preserve">que el resultado anterior al tratamiento y las </w:t>
      </w:r>
      <w:proofErr w:type="spellStart"/>
      <w:r w:rsidR="00976DEF" w:rsidRPr="00133C43">
        <w:rPr>
          <w:rFonts w:ascii="Times New Roman" w:hAnsi="Times New Roman" w:cs="Times New Roman"/>
          <w:sz w:val="24"/>
          <w:szCs w:val="24"/>
          <w:lang w:val="es-ES_tradnl"/>
        </w:rPr>
        <w:t>covariables</w:t>
      </w:r>
      <w:proofErr w:type="spellEnd"/>
      <w:r w:rsidR="00976DEF" w:rsidRPr="00133C43">
        <w:rPr>
          <w:rFonts w:ascii="Times New Roman" w:hAnsi="Times New Roman" w:cs="Times New Roman"/>
          <w:sz w:val="24"/>
          <w:szCs w:val="24"/>
          <w:lang w:val="es-ES_tradnl"/>
        </w:rPr>
        <w:t xml:space="preserve"> del control sintético sean, en promedio, muy similares a las de</w:t>
      </w:r>
      <w:r w:rsidR="00877A19">
        <w:rPr>
          <w:rFonts w:ascii="Times New Roman" w:hAnsi="Times New Roman" w:cs="Times New Roman"/>
          <w:sz w:val="24"/>
          <w:szCs w:val="24"/>
          <w:lang w:val="es-ES_tradnl"/>
        </w:rPr>
        <w:t xml:space="preserve"> la economía tratada. Entre las ventajas de este método se encuentran la </w:t>
      </w:r>
      <w:r w:rsidR="00976DEF" w:rsidRPr="00133C43">
        <w:rPr>
          <w:rFonts w:ascii="Times New Roman" w:hAnsi="Times New Roman" w:cs="Times New Roman"/>
          <w:sz w:val="24"/>
          <w:szCs w:val="24"/>
          <w:lang w:val="es-ES_tradnl"/>
        </w:rPr>
        <w:t>transparencia (dado que l</w:t>
      </w:r>
      <w:r w:rsidR="003830DA" w:rsidRPr="00133C43">
        <w:rPr>
          <w:rFonts w:ascii="Times New Roman" w:hAnsi="Times New Roman" w:cs="Times New Roman"/>
          <w:sz w:val="24"/>
          <w:szCs w:val="24"/>
          <w:lang w:val="es-ES_tradnl"/>
        </w:rPr>
        <w:t xml:space="preserve">os ponderadores </w:t>
      </w:r>
      <w:r w:rsidR="00976DEF" w:rsidRPr="00133C43">
        <w:rPr>
          <w:rFonts w:ascii="Times New Roman" w:hAnsi="Times New Roman" w:cs="Times New Roman"/>
          <w:sz w:val="24"/>
          <w:szCs w:val="24"/>
          <w:lang w:val="es-ES_tradnl"/>
        </w:rPr>
        <w:t>identifican l</w:t>
      </w:r>
      <w:r w:rsidR="00877A19">
        <w:rPr>
          <w:rFonts w:ascii="Times New Roman" w:hAnsi="Times New Roman" w:cs="Times New Roman"/>
          <w:sz w:val="24"/>
          <w:szCs w:val="24"/>
          <w:lang w:val="es-ES_tradnl"/>
        </w:rPr>
        <w:t>a</w:t>
      </w:r>
      <w:r w:rsidR="00976DEF" w:rsidRPr="00133C43">
        <w:rPr>
          <w:rFonts w:ascii="Times New Roman" w:hAnsi="Times New Roman" w:cs="Times New Roman"/>
          <w:sz w:val="24"/>
          <w:szCs w:val="24"/>
          <w:lang w:val="es-ES_tradnl"/>
        </w:rPr>
        <w:t>s</w:t>
      </w:r>
      <w:r w:rsidR="00877A19">
        <w:rPr>
          <w:rFonts w:ascii="Times New Roman" w:hAnsi="Times New Roman" w:cs="Times New Roman"/>
          <w:sz w:val="24"/>
          <w:szCs w:val="24"/>
          <w:lang w:val="es-ES_tradnl"/>
        </w:rPr>
        <w:t xml:space="preserve"> economías</w:t>
      </w:r>
      <w:r w:rsidR="00976DEF" w:rsidRPr="00133C43">
        <w:rPr>
          <w:rFonts w:ascii="Times New Roman" w:hAnsi="Times New Roman" w:cs="Times New Roman"/>
          <w:sz w:val="24"/>
          <w:szCs w:val="24"/>
          <w:lang w:val="es-ES_tradnl"/>
        </w:rPr>
        <w:t xml:space="preserve"> que </w:t>
      </w:r>
      <w:r w:rsidR="00877A19">
        <w:rPr>
          <w:rFonts w:ascii="Times New Roman" w:hAnsi="Times New Roman" w:cs="Times New Roman"/>
          <w:sz w:val="24"/>
          <w:szCs w:val="24"/>
          <w:lang w:val="es-ES_tradnl"/>
        </w:rPr>
        <w:t>se</w:t>
      </w:r>
      <w:r w:rsidR="00976DEF" w:rsidRPr="00133C43">
        <w:rPr>
          <w:rFonts w:ascii="Times New Roman" w:hAnsi="Times New Roman" w:cs="Times New Roman"/>
          <w:sz w:val="24"/>
          <w:szCs w:val="24"/>
          <w:lang w:val="es-ES_tradnl"/>
        </w:rPr>
        <w:t xml:space="preserve"> utiliza</w:t>
      </w:r>
      <w:r w:rsidR="00877A19">
        <w:rPr>
          <w:rFonts w:ascii="Times New Roman" w:hAnsi="Times New Roman" w:cs="Times New Roman"/>
          <w:sz w:val="24"/>
          <w:szCs w:val="24"/>
          <w:lang w:val="es-ES_tradnl"/>
        </w:rPr>
        <w:t>n</w:t>
      </w:r>
      <w:r w:rsidR="00976DEF" w:rsidRPr="00133C43">
        <w:rPr>
          <w:rFonts w:ascii="Times New Roman" w:hAnsi="Times New Roman" w:cs="Times New Roman"/>
          <w:sz w:val="24"/>
          <w:szCs w:val="24"/>
          <w:lang w:val="es-ES_tradnl"/>
        </w:rPr>
        <w:t xml:space="preserve"> para estimar el resultado </w:t>
      </w:r>
      <w:proofErr w:type="spellStart"/>
      <w:r w:rsidR="00976DEF" w:rsidRPr="00133C43">
        <w:rPr>
          <w:rFonts w:ascii="Times New Roman" w:hAnsi="Times New Roman" w:cs="Times New Roman"/>
          <w:sz w:val="24"/>
          <w:szCs w:val="24"/>
          <w:lang w:val="es-ES_tradnl"/>
        </w:rPr>
        <w:t>contrafáctico</w:t>
      </w:r>
      <w:proofErr w:type="spellEnd"/>
      <w:r w:rsidR="00976DEF" w:rsidRPr="00133C43">
        <w:rPr>
          <w:rFonts w:ascii="Times New Roman" w:hAnsi="Times New Roman" w:cs="Times New Roman"/>
          <w:sz w:val="24"/>
          <w:szCs w:val="24"/>
          <w:lang w:val="es-ES_tradnl"/>
        </w:rPr>
        <w:t xml:space="preserve"> de</w:t>
      </w:r>
      <w:r w:rsidR="00877A19">
        <w:rPr>
          <w:rFonts w:ascii="Times New Roman" w:hAnsi="Times New Roman" w:cs="Times New Roman"/>
          <w:sz w:val="24"/>
          <w:szCs w:val="24"/>
          <w:lang w:val="es-ES_tradnl"/>
        </w:rPr>
        <w:t xml:space="preserve"> la economía</w:t>
      </w:r>
      <w:r w:rsidR="00976DEF" w:rsidRPr="00133C43">
        <w:rPr>
          <w:rFonts w:ascii="Times New Roman" w:hAnsi="Times New Roman" w:cs="Times New Roman"/>
          <w:sz w:val="24"/>
          <w:szCs w:val="24"/>
          <w:lang w:val="es-ES_tradnl"/>
        </w:rPr>
        <w:t xml:space="preserve"> que </w:t>
      </w:r>
      <w:r w:rsidR="0051306C" w:rsidRPr="00133C43">
        <w:rPr>
          <w:rFonts w:ascii="Times New Roman" w:hAnsi="Times New Roman" w:cs="Times New Roman"/>
          <w:sz w:val="24"/>
          <w:szCs w:val="24"/>
          <w:lang w:val="es-ES_tradnl"/>
        </w:rPr>
        <w:t>realizó</w:t>
      </w:r>
      <w:r w:rsidR="003830DA" w:rsidRPr="00133C43">
        <w:rPr>
          <w:rFonts w:ascii="Times New Roman" w:hAnsi="Times New Roman" w:cs="Times New Roman"/>
          <w:sz w:val="24"/>
          <w:szCs w:val="24"/>
          <w:lang w:val="es-ES_tradnl"/>
        </w:rPr>
        <w:t xml:space="preserve"> las reformas</w:t>
      </w:r>
      <w:r w:rsidR="00976DEF" w:rsidRPr="00133C43">
        <w:rPr>
          <w:rFonts w:ascii="Times New Roman" w:hAnsi="Times New Roman" w:cs="Times New Roman"/>
          <w:sz w:val="24"/>
          <w:szCs w:val="24"/>
          <w:lang w:val="es-ES_tradnl"/>
        </w:rPr>
        <w:t xml:space="preserve">) y </w:t>
      </w:r>
      <w:r w:rsidR="00877A19">
        <w:rPr>
          <w:rFonts w:ascii="Times New Roman" w:hAnsi="Times New Roman" w:cs="Times New Roman"/>
          <w:sz w:val="24"/>
          <w:szCs w:val="24"/>
          <w:lang w:val="es-ES_tradnl"/>
        </w:rPr>
        <w:t xml:space="preserve">la </w:t>
      </w:r>
      <w:r w:rsidR="00976DEF" w:rsidRPr="00133C43">
        <w:rPr>
          <w:rFonts w:ascii="Times New Roman" w:hAnsi="Times New Roman" w:cs="Times New Roman"/>
          <w:sz w:val="24"/>
          <w:szCs w:val="24"/>
          <w:lang w:val="es-ES_tradnl"/>
        </w:rPr>
        <w:t>flexibilidad (dado que el grupo de control potencial puede ser restringido apropiadamente p</w:t>
      </w:r>
      <w:r w:rsidR="00877A19">
        <w:rPr>
          <w:rFonts w:ascii="Times New Roman" w:hAnsi="Times New Roman" w:cs="Times New Roman"/>
          <w:sz w:val="24"/>
          <w:szCs w:val="24"/>
          <w:lang w:val="es-ES_tradnl"/>
        </w:rPr>
        <w:t>ara hacer las comparaciones de la economía</w:t>
      </w:r>
      <w:r w:rsidR="00976DEF" w:rsidRPr="00133C43">
        <w:rPr>
          <w:rFonts w:ascii="Times New Roman" w:hAnsi="Times New Roman" w:cs="Times New Roman"/>
          <w:sz w:val="24"/>
          <w:szCs w:val="24"/>
          <w:lang w:val="es-ES_tradnl"/>
        </w:rPr>
        <w:t xml:space="preserve"> en cuestión más </w:t>
      </w:r>
      <w:r w:rsidR="00877A19">
        <w:rPr>
          <w:rFonts w:ascii="Times New Roman" w:hAnsi="Times New Roman" w:cs="Times New Roman"/>
          <w:sz w:val="24"/>
          <w:szCs w:val="24"/>
          <w:lang w:val="es-ES_tradnl"/>
        </w:rPr>
        <w:t>razonables</w:t>
      </w:r>
      <w:r w:rsidR="00976DEF" w:rsidRPr="00133C43">
        <w:rPr>
          <w:rFonts w:ascii="Times New Roman" w:hAnsi="Times New Roman" w:cs="Times New Roman"/>
          <w:sz w:val="24"/>
          <w:szCs w:val="24"/>
          <w:lang w:val="es-ES_tradnl"/>
        </w:rPr>
        <w:t>)</w:t>
      </w:r>
      <w:r w:rsidR="00976DEF" w:rsidRPr="00133C43">
        <w:rPr>
          <w:rStyle w:val="FootnoteReference"/>
          <w:rFonts w:ascii="Times New Roman" w:hAnsi="Times New Roman" w:cs="Times New Roman"/>
          <w:sz w:val="24"/>
          <w:szCs w:val="24"/>
          <w:lang w:val="es-ES_tradnl"/>
        </w:rPr>
        <w:footnoteReference w:id="3"/>
      </w:r>
      <w:r w:rsidR="00976DEF" w:rsidRPr="00133C43">
        <w:rPr>
          <w:rFonts w:ascii="Times New Roman" w:hAnsi="Times New Roman" w:cs="Times New Roman"/>
          <w:sz w:val="24"/>
          <w:szCs w:val="24"/>
          <w:lang w:val="es-ES_tradnl"/>
        </w:rPr>
        <w:t>.</w:t>
      </w:r>
    </w:p>
    <w:p w:rsidR="008417DD" w:rsidRPr="00133C43" w:rsidRDefault="008417DD" w:rsidP="00133C43">
      <w:pPr>
        <w:spacing w:after="0" w:line="240" w:lineRule="auto"/>
        <w:jc w:val="both"/>
        <w:rPr>
          <w:rFonts w:ascii="Times New Roman" w:hAnsi="Times New Roman" w:cs="Times New Roman"/>
          <w:sz w:val="24"/>
          <w:szCs w:val="24"/>
          <w:lang w:val="es-ES_tradnl"/>
        </w:rPr>
      </w:pPr>
    </w:p>
    <w:p w:rsidR="00373650" w:rsidRPr="00133C43" w:rsidRDefault="00680E1A" w:rsidP="009B5229">
      <w:pPr>
        <w:tabs>
          <w:tab w:val="left" w:pos="5130"/>
        </w:tabs>
        <w:spacing w:after="0" w:line="240" w:lineRule="auto"/>
        <w:jc w:val="both"/>
        <w:rPr>
          <w:rFonts w:ascii="Times New Roman" w:hAnsi="Times New Roman" w:cs="Times New Roman"/>
          <w:sz w:val="24"/>
          <w:szCs w:val="24"/>
          <w:lang w:val="es-ES_tradnl"/>
        </w:rPr>
      </w:pPr>
      <w:r w:rsidRPr="00A05E30">
        <w:rPr>
          <w:rFonts w:ascii="Times New Roman" w:hAnsi="Times New Roman" w:cs="Times New Roman"/>
          <w:i/>
          <w:sz w:val="24"/>
          <w:szCs w:val="24"/>
          <w:lang w:val="es-ES_tradnl"/>
        </w:rPr>
        <w:t>Inferencia:</w:t>
      </w:r>
      <w:r w:rsidRPr="00133C43">
        <w:rPr>
          <w:rFonts w:ascii="Times New Roman" w:hAnsi="Times New Roman" w:cs="Times New Roman"/>
          <w:sz w:val="24"/>
          <w:szCs w:val="24"/>
          <w:lang w:val="es-ES_tradnl"/>
        </w:rPr>
        <w:t xml:space="preserve"> </w:t>
      </w:r>
      <w:r w:rsidR="00535081">
        <w:rPr>
          <w:rFonts w:ascii="Times New Roman" w:hAnsi="Times New Roman" w:cs="Times New Roman"/>
          <w:sz w:val="24"/>
          <w:szCs w:val="24"/>
          <w:lang w:val="es-ES_tradnl"/>
        </w:rPr>
        <w:t>El</w:t>
      </w:r>
      <w:r w:rsidRPr="00133C43">
        <w:rPr>
          <w:rFonts w:ascii="Times New Roman" w:hAnsi="Times New Roman" w:cs="Times New Roman"/>
          <w:sz w:val="24"/>
          <w:szCs w:val="24"/>
          <w:lang w:val="es-ES_tradnl"/>
        </w:rPr>
        <w:t xml:space="preserve"> método de control sintético no permite evaluar </w:t>
      </w:r>
      <w:r w:rsidR="00535081">
        <w:rPr>
          <w:rFonts w:ascii="Times New Roman" w:hAnsi="Times New Roman" w:cs="Times New Roman"/>
          <w:sz w:val="24"/>
          <w:szCs w:val="24"/>
          <w:lang w:val="es-ES_tradnl"/>
        </w:rPr>
        <w:t>la significancia</w:t>
      </w:r>
      <w:r w:rsidRPr="00133C43">
        <w:rPr>
          <w:rFonts w:ascii="Times New Roman" w:hAnsi="Times New Roman" w:cs="Times New Roman"/>
          <w:sz w:val="24"/>
          <w:szCs w:val="24"/>
          <w:lang w:val="es-ES_tradnl"/>
        </w:rPr>
        <w:t xml:space="preserve"> de los resultados usando técnicas de inferencia estándar</w:t>
      </w:r>
      <w:r w:rsidR="00535081">
        <w:rPr>
          <w:rFonts w:ascii="Times New Roman" w:hAnsi="Times New Roman" w:cs="Times New Roman"/>
          <w:sz w:val="24"/>
          <w:szCs w:val="24"/>
          <w:lang w:val="es-ES_tradnl"/>
        </w:rPr>
        <w:t xml:space="preserve">es basadas en </w:t>
      </w:r>
      <w:r w:rsidRPr="00133C43">
        <w:rPr>
          <w:rFonts w:ascii="Times New Roman" w:hAnsi="Times New Roman" w:cs="Times New Roman"/>
          <w:sz w:val="24"/>
          <w:szCs w:val="24"/>
          <w:lang w:val="es-ES_tradnl"/>
        </w:rPr>
        <w:t>muestras</w:t>
      </w:r>
      <w:r w:rsidR="00535081">
        <w:rPr>
          <w:rFonts w:ascii="Times New Roman" w:hAnsi="Times New Roman" w:cs="Times New Roman"/>
          <w:sz w:val="24"/>
          <w:szCs w:val="24"/>
          <w:lang w:val="es-ES_tradnl"/>
        </w:rPr>
        <w:t xml:space="preserve"> grandes, en virtud de que en los </w:t>
      </w:r>
      <w:r w:rsidR="00535081" w:rsidRPr="00133C43">
        <w:rPr>
          <w:rFonts w:ascii="Times New Roman" w:hAnsi="Times New Roman" w:cs="Times New Roman"/>
          <w:sz w:val="24"/>
          <w:szCs w:val="24"/>
          <w:lang w:val="es-ES_tradnl"/>
        </w:rPr>
        <w:t xml:space="preserve"> estudios comparativos </w:t>
      </w:r>
      <w:r w:rsidR="00535081">
        <w:rPr>
          <w:rFonts w:ascii="Times New Roman" w:hAnsi="Times New Roman" w:cs="Times New Roman"/>
          <w:sz w:val="24"/>
          <w:szCs w:val="24"/>
          <w:lang w:val="es-ES_tradnl"/>
        </w:rPr>
        <w:t xml:space="preserve">de casos como el que corresponde llevar a cabo para evaluar esta operación, </w:t>
      </w:r>
      <w:r w:rsidRPr="00133C43">
        <w:rPr>
          <w:rFonts w:ascii="Times New Roman" w:hAnsi="Times New Roman" w:cs="Times New Roman"/>
          <w:sz w:val="24"/>
          <w:szCs w:val="24"/>
          <w:lang w:val="es-ES_tradnl"/>
        </w:rPr>
        <w:t xml:space="preserve">el número de observaciones en el grupo de control y el número de períodos </w:t>
      </w:r>
      <w:proofErr w:type="spellStart"/>
      <w:r w:rsidR="00535081">
        <w:rPr>
          <w:rFonts w:ascii="Times New Roman" w:hAnsi="Times New Roman" w:cs="Times New Roman"/>
          <w:sz w:val="24"/>
          <w:szCs w:val="24"/>
          <w:lang w:val="es-ES_tradnl"/>
        </w:rPr>
        <w:t>muestrales</w:t>
      </w:r>
      <w:proofErr w:type="spellEnd"/>
      <w:r w:rsidR="009F7371" w:rsidRPr="00133C43">
        <w:rPr>
          <w:rFonts w:ascii="Times New Roman" w:hAnsi="Times New Roman" w:cs="Times New Roman"/>
          <w:sz w:val="24"/>
          <w:szCs w:val="24"/>
          <w:lang w:val="es-ES_tradnl"/>
        </w:rPr>
        <w:t xml:space="preserve"> son </w:t>
      </w:r>
      <w:r w:rsidR="00535081">
        <w:rPr>
          <w:rFonts w:ascii="Times New Roman" w:hAnsi="Times New Roman" w:cs="Times New Roman"/>
          <w:sz w:val="24"/>
          <w:szCs w:val="24"/>
          <w:lang w:val="es-ES_tradnl"/>
        </w:rPr>
        <w:t>relativamente bajos</w:t>
      </w:r>
      <w:r w:rsidR="009F7371" w:rsidRPr="00133C43">
        <w:rPr>
          <w:rFonts w:ascii="Times New Roman" w:hAnsi="Times New Roman" w:cs="Times New Roman"/>
          <w:sz w:val="24"/>
          <w:szCs w:val="24"/>
          <w:lang w:val="es-ES_tradnl"/>
        </w:rPr>
        <w:t xml:space="preserve">. En este contexto, </w:t>
      </w:r>
      <w:r w:rsidR="00540D68">
        <w:rPr>
          <w:rFonts w:ascii="Times New Roman" w:hAnsi="Times New Roman" w:cs="Times New Roman"/>
          <w:sz w:val="24"/>
          <w:szCs w:val="24"/>
          <w:lang w:val="es-ES_tradnl"/>
        </w:rPr>
        <w:t xml:space="preserve">la inferencia se puede llevar a cabo </w:t>
      </w:r>
      <w:r w:rsidR="009F7371" w:rsidRPr="00133C43">
        <w:rPr>
          <w:rFonts w:ascii="Times New Roman" w:hAnsi="Times New Roman" w:cs="Times New Roman"/>
          <w:sz w:val="24"/>
          <w:szCs w:val="24"/>
          <w:lang w:val="es-ES_tradnl"/>
        </w:rPr>
        <w:t>compara</w:t>
      </w:r>
      <w:r w:rsidR="00540D68">
        <w:rPr>
          <w:rFonts w:ascii="Times New Roman" w:hAnsi="Times New Roman" w:cs="Times New Roman"/>
          <w:sz w:val="24"/>
          <w:szCs w:val="24"/>
          <w:lang w:val="es-ES_tradnl"/>
        </w:rPr>
        <w:t>ndo</w:t>
      </w:r>
      <w:r w:rsidR="009F7371" w:rsidRPr="00133C43">
        <w:rPr>
          <w:rFonts w:ascii="Times New Roman" w:hAnsi="Times New Roman" w:cs="Times New Roman"/>
          <w:sz w:val="24"/>
          <w:szCs w:val="24"/>
          <w:lang w:val="es-ES_tradnl"/>
        </w:rPr>
        <w:t xml:space="preserve"> el efecto de </w:t>
      </w:r>
      <w:r w:rsidR="00540D68">
        <w:rPr>
          <w:rFonts w:ascii="Times New Roman" w:hAnsi="Times New Roman" w:cs="Times New Roman"/>
          <w:sz w:val="24"/>
          <w:szCs w:val="24"/>
          <w:lang w:val="es-ES_tradnl"/>
        </w:rPr>
        <w:t xml:space="preserve">la </w:t>
      </w:r>
      <w:r w:rsidR="009F7371" w:rsidRPr="00133C43">
        <w:rPr>
          <w:rFonts w:ascii="Times New Roman" w:hAnsi="Times New Roman" w:cs="Times New Roman"/>
          <w:sz w:val="24"/>
          <w:szCs w:val="24"/>
          <w:lang w:val="es-ES_tradnl"/>
        </w:rPr>
        <w:t xml:space="preserve">intervención estimado para la </w:t>
      </w:r>
      <w:r w:rsidR="00540D68">
        <w:rPr>
          <w:rFonts w:ascii="Times New Roman" w:hAnsi="Times New Roman" w:cs="Times New Roman"/>
          <w:sz w:val="24"/>
          <w:szCs w:val="24"/>
          <w:lang w:val="es-ES_tradnl"/>
        </w:rPr>
        <w:t>economía</w:t>
      </w:r>
      <w:r w:rsidR="009F7371" w:rsidRPr="00133C43">
        <w:rPr>
          <w:rFonts w:ascii="Times New Roman" w:hAnsi="Times New Roman" w:cs="Times New Roman"/>
          <w:sz w:val="24"/>
          <w:szCs w:val="24"/>
          <w:lang w:val="es-ES_tradnl"/>
        </w:rPr>
        <w:t xml:space="preserve"> afectada y la distribución de </w:t>
      </w:r>
      <w:r w:rsidR="00540D68">
        <w:rPr>
          <w:rFonts w:ascii="Times New Roman" w:hAnsi="Times New Roman" w:cs="Times New Roman"/>
          <w:sz w:val="24"/>
          <w:szCs w:val="24"/>
          <w:lang w:val="es-ES_tradnl"/>
        </w:rPr>
        <w:t xml:space="preserve">los </w:t>
      </w:r>
      <w:r w:rsidR="009F7371" w:rsidRPr="00133C43">
        <w:rPr>
          <w:rFonts w:ascii="Times New Roman" w:hAnsi="Times New Roman" w:cs="Times New Roman"/>
          <w:sz w:val="24"/>
          <w:szCs w:val="24"/>
          <w:lang w:val="es-ES_tradnl"/>
        </w:rPr>
        <w:t xml:space="preserve">efectos de intervención “placebo” estimados para las </w:t>
      </w:r>
      <w:r w:rsidR="00540D68">
        <w:rPr>
          <w:rFonts w:ascii="Times New Roman" w:hAnsi="Times New Roman" w:cs="Times New Roman"/>
          <w:sz w:val="24"/>
          <w:szCs w:val="24"/>
          <w:lang w:val="es-ES_tradnl"/>
        </w:rPr>
        <w:t>economías del grupo de control</w:t>
      </w:r>
      <w:r w:rsidR="009F7371" w:rsidRPr="00133C43">
        <w:rPr>
          <w:rFonts w:ascii="Times New Roman" w:hAnsi="Times New Roman" w:cs="Times New Roman"/>
          <w:sz w:val="24"/>
          <w:szCs w:val="24"/>
          <w:lang w:val="es-ES_tradnl"/>
        </w:rPr>
        <w:t xml:space="preserve"> (ver Abadie et al., 2010)</w:t>
      </w:r>
      <w:r w:rsidR="009F7371" w:rsidRPr="00133C43">
        <w:rPr>
          <w:rFonts w:ascii="Times New Roman" w:hAnsi="Times New Roman" w:cs="Times New Roman"/>
          <w:sz w:val="24"/>
          <w:szCs w:val="24"/>
          <w:vertAlign w:val="superscript"/>
        </w:rPr>
        <w:footnoteReference w:id="4"/>
      </w:r>
      <w:r w:rsidR="00540D68">
        <w:rPr>
          <w:rFonts w:ascii="Times New Roman" w:hAnsi="Times New Roman" w:cs="Times New Roman"/>
          <w:sz w:val="24"/>
          <w:szCs w:val="24"/>
          <w:lang w:val="es-ES_tradnl"/>
        </w:rPr>
        <w:t>.</w:t>
      </w:r>
      <w:r w:rsidR="009F7371" w:rsidRPr="00133C43">
        <w:rPr>
          <w:rFonts w:ascii="Times New Roman" w:hAnsi="Times New Roman" w:cs="Times New Roman"/>
          <w:sz w:val="24"/>
          <w:szCs w:val="24"/>
          <w:vertAlign w:val="superscript"/>
          <w:lang w:val="es-ES_tradnl"/>
        </w:rPr>
        <w:t>.</w:t>
      </w:r>
      <w:r w:rsidR="00A65062" w:rsidRPr="00133C43">
        <w:rPr>
          <w:rFonts w:ascii="Times New Roman" w:hAnsi="Times New Roman" w:cs="Times New Roman"/>
          <w:sz w:val="24"/>
          <w:szCs w:val="24"/>
          <w:lang w:val="es-ES_tradnl"/>
        </w:rPr>
        <w:t xml:space="preserve"> En particular, </w:t>
      </w:r>
      <w:r w:rsidR="009B5229">
        <w:rPr>
          <w:rFonts w:ascii="Times New Roman" w:hAnsi="Times New Roman" w:cs="Times New Roman"/>
          <w:sz w:val="24"/>
          <w:szCs w:val="24"/>
          <w:lang w:val="es-ES_tradnl"/>
        </w:rPr>
        <w:t xml:space="preserve">se pueden realizar test de placebo de corte transversal, a saber, </w:t>
      </w:r>
      <w:r w:rsidR="00A65062" w:rsidRPr="00133C43">
        <w:rPr>
          <w:rFonts w:ascii="Times New Roman" w:hAnsi="Times New Roman" w:cs="Times New Roman"/>
          <w:sz w:val="24"/>
          <w:szCs w:val="24"/>
          <w:lang w:val="es-ES_tradnl"/>
        </w:rPr>
        <w:t xml:space="preserve">el algoritmo  de control sintético </w:t>
      </w:r>
      <w:r w:rsidR="009B5229">
        <w:rPr>
          <w:rFonts w:ascii="Times New Roman" w:hAnsi="Times New Roman" w:cs="Times New Roman"/>
          <w:sz w:val="24"/>
          <w:szCs w:val="24"/>
          <w:lang w:val="es-ES_tradnl"/>
        </w:rPr>
        <w:t>se</w:t>
      </w:r>
      <w:r w:rsidR="00A65062" w:rsidRPr="00133C43">
        <w:rPr>
          <w:rFonts w:ascii="Times New Roman" w:hAnsi="Times New Roman" w:cs="Times New Roman"/>
          <w:sz w:val="24"/>
          <w:szCs w:val="24"/>
          <w:lang w:val="es-ES_tradnl"/>
        </w:rPr>
        <w:t xml:space="preserve"> aplica secuencialmente a cada </w:t>
      </w:r>
      <w:r w:rsidR="009B5229">
        <w:rPr>
          <w:rFonts w:ascii="Times New Roman" w:hAnsi="Times New Roman" w:cs="Times New Roman"/>
          <w:sz w:val="24"/>
          <w:szCs w:val="24"/>
          <w:lang w:val="es-ES_tradnl"/>
        </w:rPr>
        <w:t>economía</w:t>
      </w:r>
      <w:r w:rsidR="00A65062" w:rsidRPr="00133C43">
        <w:rPr>
          <w:rFonts w:ascii="Times New Roman" w:hAnsi="Times New Roman" w:cs="Times New Roman"/>
          <w:sz w:val="24"/>
          <w:szCs w:val="24"/>
          <w:lang w:val="es-ES_tradnl"/>
        </w:rPr>
        <w:t xml:space="preserve"> en el grupo de potenciales controles y los placebos resultantes s</w:t>
      </w:r>
      <w:r w:rsidR="009B5229">
        <w:rPr>
          <w:rFonts w:ascii="Times New Roman" w:hAnsi="Times New Roman" w:cs="Times New Roman"/>
          <w:sz w:val="24"/>
          <w:szCs w:val="24"/>
          <w:lang w:val="es-ES_tradnl"/>
        </w:rPr>
        <w:t>e</w:t>
      </w:r>
      <w:r w:rsidR="00A65062" w:rsidRPr="00133C43">
        <w:rPr>
          <w:rFonts w:ascii="Times New Roman" w:hAnsi="Times New Roman" w:cs="Times New Roman"/>
          <w:sz w:val="24"/>
          <w:szCs w:val="24"/>
          <w:lang w:val="es-ES_tradnl"/>
        </w:rPr>
        <w:t xml:space="preserve"> compara</w:t>
      </w:r>
      <w:r w:rsidR="009B5229">
        <w:rPr>
          <w:rFonts w:ascii="Times New Roman" w:hAnsi="Times New Roman" w:cs="Times New Roman"/>
          <w:sz w:val="24"/>
          <w:szCs w:val="24"/>
          <w:lang w:val="es-ES_tradnl"/>
        </w:rPr>
        <w:t>n</w:t>
      </w:r>
      <w:r w:rsidR="00A65062" w:rsidRPr="00133C43">
        <w:rPr>
          <w:rFonts w:ascii="Times New Roman" w:hAnsi="Times New Roman" w:cs="Times New Roman"/>
          <w:sz w:val="24"/>
          <w:szCs w:val="24"/>
          <w:lang w:val="es-ES_tradnl"/>
        </w:rPr>
        <w:t xml:space="preserve"> con los resultados de referencia para la verdadera economía tratada.</w:t>
      </w:r>
      <w:r w:rsidR="00373650" w:rsidRPr="00133C43">
        <w:rPr>
          <w:rFonts w:ascii="Times New Roman" w:hAnsi="Times New Roman" w:cs="Times New Roman"/>
          <w:sz w:val="24"/>
          <w:szCs w:val="24"/>
          <w:lang w:val="es-ES_tradnl"/>
        </w:rPr>
        <w:t xml:space="preserve"> Las estimaciones s</w:t>
      </w:r>
      <w:r w:rsidR="009B5229">
        <w:rPr>
          <w:rFonts w:ascii="Times New Roman" w:hAnsi="Times New Roman" w:cs="Times New Roman"/>
          <w:sz w:val="24"/>
          <w:szCs w:val="24"/>
          <w:lang w:val="es-ES_tradnl"/>
        </w:rPr>
        <w:t>e</w:t>
      </w:r>
      <w:r w:rsidR="00373650" w:rsidRPr="00133C43">
        <w:rPr>
          <w:rFonts w:ascii="Times New Roman" w:hAnsi="Times New Roman" w:cs="Times New Roman"/>
          <w:sz w:val="24"/>
          <w:szCs w:val="24"/>
          <w:lang w:val="es-ES_tradnl"/>
        </w:rPr>
        <w:t xml:space="preserve"> considera</w:t>
      </w:r>
      <w:r w:rsidR="009B5229">
        <w:rPr>
          <w:rFonts w:ascii="Times New Roman" w:hAnsi="Times New Roman" w:cs="Times New Roman"/>
          <w:sz w:val="24"/>
          <w:szCs w:val="24"/>
          <w:lang w:val="es-ES_tradnl"/>
        </w:rPr>
        <w:t>n</w:t>
      </w:r>
      <w:r w:rsidR="00373650" w:rsidRPr="00133C43">
        <w:rPr>
          <w:rFonts w:ascii="Times New Roman" w:hAnsi="Times New Roman" w:cs="Times New Roman"/>
          <w:sz w:val="24"/>
          <w:szCs w:val="24"/>
          <w:lang w:val="es-ES_tradnl"/>
        </w:rPr>
        <w:t xml:space="preserve"> significativas cuando la</w:t>
      </w:r>
      <w:r w:rsidR="0029668E" w:rsidRPr="00133C43">
        <w:rPr>
          <w:rFonts w:ascii="Times New Roman" w:hAnsi="Times New Roman" w:cs="Times New Roman"/>
          <w:sz w:val="24"/>
          <w:szCs w:val="24"/>
          <w:lang w:val="es-ES_tradnl"/>
        </w:rPr>
        <w:t>s</w:t>
      </w:r>
      <w:r w:rsidR="00373650" w:rsidRPr="00133C43">
        <w:rPr>
          <w:rFonts w:ascii="Times New Roman" w:hAnsi="Times New Roman" w:cs="Times New Roman"/>
          <w:sz w:val="24"/>
          <w:szCs w:val="24"/>
          <w:lang w:val="es-ES_tradnl"/>
        </w:rPr>
        <w:t xml:space="preserve"> estimaciones </w:t>
      </w:r>
      <w:r w:rsidR="009B5229">
        <w:rPr>
          <w:rFonts w:ascii="Times New Roman" w:hAnsi="Times New Roman" w:cs="Times New Roman"/>
          <w:sz w:val="24"/>
          <w:szCs w:val="24"/>
          <w:lang w:val="es-ES_tradnl"/>
        </w:rPr>
        <w:t>tienen una magnitud elevada respecto de</w:t>
      </w:r>
      <w:r w:rsidR="00373650" w:rsidRPr="00133C43">
        <w:rPr>
          <w:rFonts w:ascii="Times New Roman" w:hAnsi="Times New Roman" w:cs="Times New Roman"/>
          <w:sz w:val="24"/>
          <w:szCs w:val="24"/>
          <w:lang w:val="es-ES_tradnl"/>
        </w:rPr>
        <w:t xml:space="preserve"> la distribución de los efectos placebo obtenidos para unidades que no fueron afectadas por la intervención.</w:t>
      </w:r>
    </w:p>
    <w:p w:rsidR="00A05E30" w:rsidRDefault="00A05E30" w:rsidP="00133C43">
      <w:pPr>
        <w:tabs>
          <w:tab w:val="left" w:pos="5130"/>
        </w:tabs>
        <w:spacing w:after="0" w:line="240" w:lineRule="auto"/>
        <w:jc w:val="both"/>
        <w:rPr>
          <w:rFonts w:ascii="Times New Roman" w:hAnsi="Times New Roman" w:cs="Times New Roman"/>
          <w:b/>
          <w:sz w:val="24"/>
          <w:szCs w:val="24"/>
          <w:lang w:val="es-ES_tradnl"/>
        </w:rPr>
      </w:pPr>
    </w:p>
    <w:p w:rsidR="00373650" w:rsidRPr="00133C43" w:rsidRDefault="00B23D1D" w:rsidP="00133C43">
      <w:pPr>
        <w:tabs>
          <w:tab w:val="left" w:pos="5130"/>
        </w:tabs>
        <w:spacing w:after="0" w:line="240" w:lineRule="auto"/>
        <w:jc w:val="both"/>
        <w:rPr>
          <w:rFonts w:ascii="Times New Roman" w:hAnsi="Times New Roman" w:cs="Times New Roman"/>
          <w:sz w:val="24"/>
          <w:szCs w:val="24"/>
          <w:lang w:val="es-ES_tradnl"/>
        </w:rPr>
      </w:pPr>
      <w:r w:rsidRPr="00A05E30">
        <w:rPr>
          <w:rFonts w:ascii="Times New Roman" w:hAnsi="Times New Roman" w:cs="Times New Roman"/>
          <w:i/>
          <w:sz w:val="24"/>
          <w:szCs w:val="24"/>
          <w:lang w:val="es-ES_tradnl"/>
        </w:rPr>
        <w:t>Requisitos contextuales:</w:t>
      </w:r>
      <w:r w:rsidRPr="00133C43">
        <w:rPr>
          <w:rFonts w:ascii="Times New Roman" w:hAnsi="Times New Roman" w:cs="Times New Roman"/>
          <w:sz w:val="24"/>
          <w:szCs w:val="24"/>
          <w:lang w:val="es-ES_tradnl"/>
        </w:rPr>
        <w:t xml:space="preserve"> </w:t>
      </w:r>
      <w:r w:rsidR="009B5229">
        <w:rPr>
          <w:rFonts w:ascii="Times New Roman" w:hAnsi="Times New Roman" w:cs="Times New Roman"/>
          <w:sz w:val="24"/>
          <w:szCs w:val="24"/>
          <w:lang w:val="es-ES_tradnl"/>
        </w:rPr>
        <w:t xml:space="preserve">A fin de que el método de control sintético sea una </w:t>
      </w:r>
      <w:r w:rsidR="009B5229" w:rsidRPr="00133C43">
        <w:rPr>
          <w:rFonts w:ascii="Times New Roman" w:hAnsi="Times New Roman" w:cs="Times New Roman"/>
          <w:sz w:val="24"/>
          <w:szCs w:val="24"/>
          <w:lang w:val="es-ES_tradnl"/>
        </w:rPr>
        <w:t xml:space="preserve">herramienta </w:t>
      </w:r>
      <w:r w:rsidR="009B5229">
        <w:rPr>
          <w:rFonts w:ascii="Times New Roman" w:hAnsi="Times New Roman" w:cs="Times New Roman"/>
          <w:sz w:val="24"/>
          <w:szCs w:val="24"/>
          <w:lang w:val="es-ES_tradnl"/>
        </w:rPr>
        <w:t xml:space="preserve">adecuada </w:t>
      </w:r>
      <w:r w:rsidR="009B5229" w:rsidRPr="00133C43">
        <w:rPr>
          <w:rFonts w:ascii="Times New Roman" w:hAnsi="Times New Roman" w:cs="Times New Roman"/>
          <w:sz w:val="24"/>
          <w:szCs w:val="24"/>
          <w:lang w:val="es-ES_tradnl"/>
        </w:rPr>
        <w:t>para la evaluación de políticas</w:t>
      </w:r>
      <w:r w:rsidR="009B5229">
        <w:rPr>
          <w:rFonts w:ascii="Times New Roman" w:hAnsi="Times New Roman" w:cs="Times New Roman"/>
          <w:sz w:val="24"/>
          <w:szCs w:val="24"/>
          <w:lang w:val="es-ES_tradnl"/>
        </w:rPr>
        <w:t xml:space="preserve"> se deben verificar una serie de </w:t>
      </w:r>
      <w:r w:rsidR="00373650" w:rsidRPr="00133C43">
        <w:rPr>
          <w:rFonts w:ascii="Times New Roman" w:hAnsi="Times New Roman" w:cs="Times New Roman"/>
          <w:sz w:val="24"/>
          <w:szCs w:val="24"/>
          <w:lang w:val="es-ES_tradnl"/>
        </w:rPr>
        <w:t>condiciones</w:t>
      </w:r>
      <w:r w:rsidR="009B5229">
        <w:rPr>
          <w:rFonts w:ascii="Times New Roman" w:hAnsi="Times New Roman" w:cs="Times New Roman"/>
          <w:sz w:val="24"/>
          <w:szCs w:val="24"/>
          <w:lang w:val="es-ES_tradnl"/>
        </w:rPr>
        <w:t xml:space="preserve">, que se detallan a continuación: </w:t>
      </w:r>
      <w:r w:rsidR="00373650" w:rsidRPr="00133C43">
        <w:rPr>
          <w:rFonts w:ascii="Times New Roman" w:hAnsi="Times New Roman" w:cs="Times New Roman"/>
          <w:sz w:val="24"/>
          <w:szCs w:val="24"/>
          <w:lang w:val="es-ES_tradnl"/>
        </w:rPr>
        <w:t xml:space="preserve">(1) el impacto de la intervención debe ser suficientemente grande </w:t>
      </w:r>
      <w:r w:rsidRPr="00133C43">
        <w:rPr>
          <w:rFonts w:ascii="Times New Roman" w:hAnsi="Times New Roman" w:cs="Times New Roman"/>
          <w:sz w:val="24"/>
          <w:szCs w:val="24"/>
          <w:lang w:val="es-ES_tradnl"/>
        </w:rPr>
        <w:t xml:space="preserve">para ser distinguible de shocks aleatorios al resultado de interés en </w:t>
      </w:r>
      <w:r w:rsidR="009B5229">
        <w:rPr>
          <w:rFonts w:ascii="Times New Roman" w:hAnsi="Times New Roman" w:cs="Times New Roman"/>
          <w:sz w:val="24"/>
          <w:szCs w:val="24"/>
          <w:lang w:val="es-ES_tradnl"/>
        </w:rPr>
        <w:t>la economía</w:t>
      </w:r>
      <w:r w:rsidRPr="00133C43">
        <w:rPr>
          <w:rFonts w:ascii="Times New Roman" w:hAnsi="Times New Roman" w:cs="Times New Roman"/>
          <w:sz w:val="24"/>
          <w:szCs w:val="24"/>
          <w:lang w:val="es-ES_tradnl"/>
        </w:rPr>
        <w:t xml:space="preserve"> tratad</w:t>
      </w:r>
      <w:r w:rsidR="009B5229">
        <w:rPr>
          <w:rFonts w:ascii="Times New Roman" w:hAnsi="Times New Roman" w:cs="Times New Roman"/>
          <w:sz w:val="24"/>
          <w:szCs w:val="24"/>
          <w:lang w:val="es-ES_tradnl"/>
        </w:rPr>
        <w:t>a</w:t>
      </w:r>
      <w:r w:rsidRPr="00133C43">
        <w:rPr>
          <w:rFonts w:ascii="Times New Roman" w:hAnsi="Times New Roman" w:cs="Times New Roman"/>
          <w:sz w:val="24"/>
          <w:szCs w:val="24"/>
          <w:lang w:val="es-ES_tradnl"/>
        </w:rPr>
        <w:t xml:space="preserve"> (si </w:t>
      </w:r>
      <w:r w:rsidR="009B5229">
        <w:rPr>
          <w:rFonts w:ascii="Times New Roman" w:hAnsi="Times New Roman" w:cs="Times New Roman"/>
          <w:sz w:val="24"/>
          <w:szCs w:val="24"/>
          <w:lang w:val="es-ES_tradnl"/>
        </w:rPr>
        <w:t xml:space="preserve">existiese </w:t>
      </w:r>
      <w:r w:rsidRPr="00133C43">
        <w:rPr>
          <w:rFonts w:ascii="Times New Roman" w:hAnsi="Times New Roman" w:cs="Times New Roman"/>
          <w:sz w:val="24"/>
          <w:szCs w:val="24"/>
          <w:lang w:val="es-ES_tradnl"/>
        </w:rPr>
        <w:t>volatilidad</w:t>
      </w:r>
      <w:r w:rsidR="008378FD" w:rsidRPr="00133C43">
        <w:rPr>
          <w:rFonts w:ascii="Times New Roman" w:hAnsi="Times New Roman" w:cs="Times New Roman"/>
          <w:sz w:val="24"/>
          <w:szCs w:val="24"/>
          <w:lang w:val="es-ES_tradnl"/>
        </w:rPr>
        <w:t xml:space="preserve"> específica </w:t>
      </w:r>
      <w:r w:rsidR="009B5229">
        <w:rPr>
          <w:rFonts w:ascii="Times New Roman" w:hAnsi="Times New Roman" w:cs="Times New Roman"/>
          <w:sz w:val="24"/>
          <w:szCs w:val="24"/>
          <w:lang w:val="es-ES_tradnl"/>
        </w:rPr>
        <w:t xml:space="preserve">a nivel de país debería ser </w:t>
      </w:r>
      <w:r w:rsidRPr="00133C43">
        <w:rPr>
          <w:rFonts w:ascii="Times New Roman" w:hAnsi="Times New Roman" w:cs="Times New Roman"/>
          <w:sz w:val="24"/>
          <w:szCs w:val="24"/>
          <w:lang w:val="es-ES_tradnl"/>
        </w:rPr>
        <w:t xml:space="preserve">removida </w:t>
      </w:r>
      <w:r w:rsidR="009B5229">
        <w:rPr>
          <w:rFonts w:ascii="Times New Roman" w:hAnsi="Times New Roman" w:cs="Times New Roman"/>
          <w:sz w:val="24"/>
          <w:szCs w:val="24"/>
          <w:lang w:val="es-ES_tradnl"/>
        </w:rPr>
        <w:t>mediante</w:t>
      </w:r>
      <w:r w:rsidRPr="00133C43">
        <w:rPr>
          <w:rFonts w:ascii="Times New Roman" w:hAnsi="Times New Roman" w:cs="Times New Roman"/>
          <w:sz w:val="24"/>
          <w:szCs w:val="24"/>
          <w:lang w:val="es-ES_tradnl"/>
        </w:rPr>
        <w:t xml:space="preserve"> filtro</w:t>
      </w:r>
      <w:r w:rsidR="009B5229">
        <w:rPr>
          <w:rFonts w:ascii="Times New Roman" w:hAnsi="Times New Roman" w:cs="Times New Roman"/>
          <w:sz w:val="24"/>
          <w:szCs w:val="24"/>
          <w:lang w:val="es-ES_tradnl"/>
        </w:rPr>
        <w:t>s</w:t>
      </w:r>
      <w:r w:rsidRPr="00133C43">
        <w:rPr>
          <w:rFonts w:ascii="Times New Roman" w:hAnsi="Times New Roman" w:cs="Times New Roman"/>
          <w:sz w:val="24"/>
          <w:szCs w:val="24"/>
          <w:lang w:val="es-ES_tradnl"/>
        </w:rPr>
        <w:t xml:space="preserve"> de series de tiempo); (2) </w:t>
      </w:r>
      <w:r w:rsidR="009B5229">
        <w:rPr>
          <w:rFonts w:ascii="Times New Roman" w:hAnsi="Times New Roman" w:cs="Times New Roman"/>
          <w:sz w:val="24"/>
          <w:szCs w:val="24"/>
          <w:lang w:val="es-ES_tradnl"/>
        </w:rPr>
        <w:t xml:space="preserve">debe existir </w:t>
      </w:r>
      <w:r w:rsidRPr="00133C43">
        <w:rPr>
          <w:rFonts w:ascii="Times New Roman" w:hAnsi="Times New Roman" w:cs="Times New Roman"/>
          <w:sz w:val="24"/>
          <w:szCs w:val="24"/>
          <w:lang w:val="es-ES_tradnl"/>
        </w:rPr>
        <w:t>un control apropiado, es decir</w:t>
      </w:r>
      <w:r w:rsidR="008378FD" w:rsidRPr="00133C43">
        <w:rPr>
          <w:rFonts w:ascii="Times New Roman" w:hAnsi="Times New Roman" w:cs="Times New Roman"/>
          <w:sz w:val="24"/>
          <w:szCs w:val="24"/>
          <w:lang w:val="es-ES_tradnl"/>
        </w:rPr>
        <w:t>,</w:t>
      </w:r>
      <w:r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economías</w:t>
      </w:r>
      <w:r w:rsidRPr="00133C43">
        <w:rPr>
          <w:rFonts w:ascii="Times New Roman" w:hAnsi="Times New Roman" w:cs="Times New Roman"/>
          <w:sz w:val="24"/>
          <w:szCs w:val="24"/>
          <w:lang w:val="es-ES_tradnl"/>
        </w:rPr>
        <w:t xml:space="preserve"> que no experimenten intervenciones similares a las que </w:t>
      </w:r>
      <w:r w:rsidR="00A42E9C">
        <w:rPr>
          <w:rFonts w:ascii="Times New Roman" w:hAnsi="Times New Roman" w:cs="Times New Roman"/>
          <w:sz w:val="24"/>
          <w:szCs w:val="24"/>
          <w:lang w:val="es-ES_tradnl"/>
        </w:rPr>
        <w:t>la economía</w:t>
      </w:r>
      <w:r w:rsidRPr="00133C43">
        <w:rPr>
          <w:rFonts w:ascii="Times New Roman" w:hAnsi="Times New Roman" w:cs="Times New Roman"/>
          <w:sz w:val="24"/>
          <w:szCs w:val="24"/>
          <w:lang w:val="es-ES_tradnl"/>
        </w:rPr>
        <w:t xml:space="preserve"> tratad</w:t>
      </w:r>
      <w:r w:rsidR="00A42E9C">
        <w:rPr>
          <w:rFonts w:ascii="Times New Roman" w:hAnsi="Times New Roman" w:cs="Times New Roman"/>
          <w:sz w:val="24"/>
          <w:szCs w:val="24"/>
          <w:lang w:val="es-ES_tradnl"/>
        </w:rPr>
        <w:t>a</w:t>
      </w:r>
      <w:r w:rsidRPr="00133C43">
        <w:rPr>
          <w:rFonts w:ascii="Times New Roman" w:hAnsi="Times New Roman" w:cs="Times New Roman"/>
          <w:sz w:val="24"/>
          <w:szCs w:val="24"/>
          <w:lang w:val="es-ES_tradnl"/>
        </w:rPr>
        <w:t xml:space="preserve"> fue expuest</w:t>
      </w:r>
      <w:r w:rsidR="00A42E9C">
        <w:rPr>
          <w:rFonts w:ascii="Times New Roman" w:hAnsi="Times New Roman" w:cs="Times New Roman"/>
          <w:sz w:val="24"/>
          <w:szCs w:val="24"/>
          <w:lang w:val="es-ES_tradnl"/>
        </w:rPr>
        <w:t>a</w:t>
      </w:r>
      <w:r w:rsidRPr="00133C43">
        <w:rPr>
          <w:rFonts w:ascii="Times New Roman" w:hAnsi="Times New Roman" w:cs="Times New Roman"/>
          <w:sz w:val="24"/>
          <w:szCs w:val="24"/>
          <w:lang w:val="es-ES_tradnl"/>
        </w:rPr>
        <w:t xml:space="preserve"> durante el período de estudio, </w:t>
      </w:r>
      <w:r w:rsidR="00A42E9C">
        <w:rPr>
          <w:rFonts w:ascii="Times New Roman" w:hAnsi="Times New Roman" w:cs="Times New Roman"/>
          <w:sz w:val="24"/>
          <w:szCs w:val="24"/>
          <w:lang w:val="es-ES_tradnl"/>
        </w:rPr>
        <w:t>economías</w:t>
      </w:r>
      <w:r w:rsidRPr="00133C43">
        <w:rPr>
          <w:rFonts w:ascii="Times New Roman" w:hAnsi="Times New Roman" w:cs="Times New Roman"/>
          <w:sz w:val="24"/>
          <w:szCs w:val="24"/>
          <w:lang w:val="es-ES_tradnl"/>
        </w:rPr>
        <w:t xml:space="preserve"> que no sufren grandes shocks idiosincráticos </w:t>
      </w:r>
      <w:r w:rsidR="00A42E9C">
        <w:rPr>
          <w:rFonts w:ascii="Times New Roman" w:hAnsi="Times New Roman" w:cs="Times New Roman"/>
          <w:sz w:val="24"/>
          <w:szCs w:val="24"/>
          <w:lang w:val="es-ES_tradnl"/>
        </w:rPr>
        <w:t>en</w:t>
      </w:r>
      <w:r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e</w:t>
      </w:r>
      <w:r w:rsidRPr="00133C43">
        <w:rPr>
          <w:rFonts w:ascii="Times New Roman" w:hAnsi="Times New Roman" w:cs="Times New Roman"/>
          <w:sz w:val="24"/>
          <w:szCs w:val="24"/>
          <w:lang w:val="es-ES_tradnl"/>
        </w:rPr>
        <w:t xml:space="preserve">l resultado de interés durante el período de estudio, </w:t>
      </w:r>
      <w:r w:rsidR="00A42E9C">
        <w:rPr>
          <w:rFonts w:ascii="Times New Roman" w:hAnsi="Times New Roman" w:cs="Times New Roman"/>
          <w:sz w:val="24"/>
          <w:szCs w:val="24"/>
          <w:lang w:val="es-ES_tradnl"/>
        </w:rPr>
        <w:t>economías que no son afectadas indirectamente por</w:t>
      </w:r>
      <w:r w:rsidRPr="00133C43">
        <w:rPr>
          <w:rFonts w:ascii="Times New Roman" w:hAnsi="Times New Roman" w:cs="Times New Roman"/>
          <w:sz w:val="24"/>
          <w:szCs w:val="24"/>
          <w:lang w:val="es-ES_tradnl"/>
        </w:rPr>
        <w:t xml:space="preserve"> la intervención, y </w:t>
      </w:r>
      <w:r w:rsidR="00A42E9C">
        <w:rPr>
          <w:rFonts w:ascii="Times New Roman" w:hAnsi="Times New Roman" w:cs="Times New Roman"/>
          <w:sz w:val="24"/>
          <w:szCs w:val="24"/>
          <w:lang w:val="es-ES_tradnl"/>
        </w:rPr>
        <w:t>economías</w:t>
      </w:r>
      <w:r w:rsidRPr="00133C43">
        <w:rPr>
          <w:rFonts w:ascii="Times New Roman" w:hAnsi="Times New Roman" w:cs="Times New Roman"/>
          <w:sz w:val="24"/>
          <w:szCs w:val="24"/>
          <w:lang w:val="es-ES_tradnl"/>
        </w:rPr>
        <w:t xml:space="preserve"> que cuentan con características similares a</w:t>
      </w:r>
      <w:r w:rsidR="00A42E9C">
        <w:rPr>
          <w:rFonts w:ascii="Times New Roman" w:hAnsi="Times New Roman" w:cs="Times New Roman"/>
          <w:sz w:val="24"/>
          <w:szCs w:val="24"/>
          <w:lang w:val="es-ES_tradnl"/>
        </w:rPr>
        <w:t xml:space="preserve"> </w:t>
      </w:r>
      <w:r w:rsidRPr="00133C43">
        <w:rPr>
          <w:rFonts w:ascii="Times New Roman" w:hAnsi="Times New Roman" w:cs="Times New Roman"/>
          <w:sz w:val="24"/>
          <w:szCs w:val="24"/>
          <w:lang w:val="es-ES_tradnl"/>
        </w:rPr>
        <w:t>l</w:t>
      </w:r>
      <w:r w:rsidR="00A42E9C">
        <w:rPr>
          <w:rFonts w:ascii="Times New Roman" w:hAnsi="Times New Roman" w:cs="Times New Roman"/>
          <w:sz w:val="24"/>
          <w:szCs w:val="24"/>
          <w:lang w:val="es-ES_tradnl"/>
        </w:rPr>
        <w:t>a</w:t>
      </w:r>
      <w:r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economía</w:t>
      </w:r>
      <w:r w:rsidRPr="00133C43">
        <w:rPr>
          <w:rFonts w:ascii="Times New Roman" w:hAnsi="Times New Roman" w:cs="Times New Roman"/>
          <w:sz w:val="24"/>
          <w:szCs w:val="24"/>
          <w:lang w:val="es-ES_tradnl"/>
        </w:rPr>
        <w:t xml:space="preserve"> afectado por la política en cuestión; (3) dado que </w:t>
      </w:r>
      <w:r w:rsidR="00A42E9C">
        <w:rPr>
          <w:rFonts w:ascii="Times New Roman" w:hAnsi="Times New Roman" w:cs="Times New Roman"/>
          <w:sz w:val="24"/>
          <w:szCs w:val="24"/>
          <w:lang w:val="es-ES_tradnl"/>
        </w:rPr>
        <w:t>el</w:t>
      </w:r>
      <w:r w:rsidRPr="00133C43">
        <w:rPr>
          <w:rFonts w:ascii="Times New Roman" w:hAnsi="Times New Roman" w:cs="Times New Roman"/>
          <w:sz w:val="24"/>
          <w:szCs w:val="24"/>
          <w:lang w:val="es-ES_tradnl"/>
        </w:rPr>
        <w:t xml:space="preserve"> método de control sintético explota la variación de tiempo en la variable de resultado para identificar los efectos de la intervención, no debería</w:t>
      </w:r>
      <w:r w:rsidR="00A42E9C">
        <w:rPr>
          <w:rFonts w:ascii="Times New Roman" w:hAnsi="Times New Roman" w:cs="Times New Roman"/>
          <w:sz w:val="24"/>
          <w:szCs w:val="24"/>
          <w:lang w:val="es-ES_tradnl"/>
        </w:rPr>
        <w:t>n</w:t>
      </w:r>
      <w:r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registrarse</w:t>
      </w:r>
      <w:r w:rsidRPr="00133C43">
        <w:rPr>
          <w:rFonts w:ascii="Times New Roman" w:hAnsi="Times New Roman" w:cs="Times New Roman"/>
          <w:sz w:val="24"/>
          <w:szCs w:val="24"/>
          <w:lang w:val="es-ES_tradnl"/>
        </w:rPr>
        <w:t xml:space="preserve"> efectos de anticipación, es decir, los agentes </w:t>
      </w:r>
      <w:r w:rsidR="00A42E9C">
        <w:rPr>
          <w:rFonts w:ascii="Times New Roman" w:hAnsi="Times New Roman" w:cs="Times New Roman"/>
          <w:sz w:val="24"/>
          <w:szCs w:val="24"/>
          <w:lang w:val="es-ES_tradnl"/>
        </w:rPr>
        <w:t xml:space="preserve">económicos </w:t>
      </w:r>
      <w:r w:rsidRPr="00133C43">
        <w:rPr>
          <w:rFonts w:ascii="Times New Roman" w:hAnsi="Times New Roman" w:cs="Times New Roman"/>
          <w:sz w:val="24"/>
          <w:szCs w:val="24"/>
          <w:lang w:val="es-ES_tradnl"/>
        </w:rPr>
        <w:t xml:space="preserve">no deberían reaccionar de antemano a </w:t>
      </w:r>
      <w:r w:rsidR="00A42E9C">
        <w:rPr>
          <w:rFonts w:ascii="Times New Roman" w:hAnsi="Times New Roman" w:cs="Times New Roman"/>
          <w:sz w:val="24"/>
          <w:szCs w:val="24"/>
          <w:lang w:val="es-ES_tradnl"/>
        </w:rPr>
        <w:t>dicha</w:t>
      </w:r>
      <w:r w:rsidRPr="00133C43">
        <w:rPr>
          <w:rFonts w:ascii="Times New Roman" w:hAnsi="Times New Roman" w:cs="Times New Roman"/>
          <w:sz w:val="24"/>
          <w:szCs w:val="24"/>
          <w:lang w:val="es-ES_tradnl"/>
        </w:rPr>
        <w:t xml:space="preserve"> intervención</w:t>
      </w:r>
      <w:r w:rsidR="00864B55" w:rsidRPr="00133C43">
        <w:rPr>
          <w:rFonts w:ascii="Times New Roman" w:hAnsi="Times New Roman" w:cs="Times New Roman"/>
          <w:sz w:val="24"/>
          <w:szCs w:val="24"/>
          <w:lang w:val="es-ES_tradnl"/>
        </w:rPr>
        <w:t xml:space="preserve">; (4) una combinación de </w:t>
      </w:r>
      <w:r w:rsidR="00A42E9C">
        <w:rPr>
          <w:rFonts w:ascii="Times New Roman" w:hAnsi="Times New Roman" w:cs="Times New Roman"/>
          <w:sz w:val="24"/>
          <w:szCs w:val="24"/>
          <w:lang w:val="es-ES_tradnl"/>
        </w:rPr>
        <w:t>economías</w:t>
      </w:r>
      <w:r w:rsidR="00864B55" w:rsidRPr="00133C43">
        <w:rPr>
          <w:rFonts w:ascii="Times New Roman" w:hAnsi="Times New Roman" w:cs="Times New Roman"/>
          <w:sz w:val="24"/>
          <w:szCs w:val="24"/>
          <w:lang w:val="es-ES_tradnl"/>
        </w:rPr>
        <w:t xml:space="preserve"> no afectad</w:t>
      </w:r>
      <w:r w:rsidR="00A42E9C">
        <w:rPr>
          <w:rFonts w:ascii="Times New Roman" w:hAnsi="Times New Roman" w:cs="Times New Roman"/>
          <w:sz w:val="24"/>
          <w:szCs w:val="24"/>
          <w:lang w:val="es-ES_tradnl"/>
        </w:rPr>
        <w:t>a</w:t>
      </w:r>
      <w:r w:rsidR="00864B55" w:rsidRPr="00133C43">
        <w:rPr>
          <w:rFonts w:ascii="Times New Roman" w:hAnsi="Times New Roman" w:cs="Times New Roman"/>
          <w:sz w:val="24"/>
          <w:szCs w:val="24"/>
          <w:lang w:val="es-ES_tradnl"/>
        </w:rPr>
        <w:t xml:space="preserve">s puede aproximar las características </w:t>
      </w:r>
      <w:r w:rsidR="00A42E9C">
        <w:rPr>
          <w:rFonts w:ascii="Times New Roman" w:hAnsi="Times New Roman" w:cs="Times New Roman"/>
          <w:sz w:val="24"/>
          <w:szCs w:val="24"/>
          <w:lang w:val="es-ES_tradnl"/>
        </w:rPr>
        <w:t>d</w:t>
      </w:r>
      <w:r w:rsidR="00864B55" w:rsidRPr="00133C43">
        <w:rPr>
          <w:rFonts w:ascii="Times New Roman" w:hAnsi="Times New Roman" w:cs="Times New Roman"/>
          <w:sz w:val="24"/>
          <w:szCs w:val="24"/>
          <w:lang w:val="es-ES_tradnl"/>
        </w:rPr>
        <w:t>e</w:t>
      </w:r>
      <w:r w:rsidR="00A42E9C">
        <w:rPr>
          <w:rFonts w:ascii="Times New Roman" w:hAnsi="Times New Roman" w:cs="Times New Roman"/>
          <w:sz w:val="24"/>
          <w:szCs w:val="24"/>
          <w:lang w:val="es-ES_tradnl"/>
        </w:rPr>
        <w:t xml:space="preserve"> </w:t>
      </w:r>
      <w:r w:rsidR="00864B55" w:rsidRPr="00133C43">
        <w:rPr>
          <w:rFonts w:ascii="Times New Roman" w:hAnsi="Times New Roman" w:cs="Times New Roman"/>
          <w:sz w:val="24"/>
          <w:szCs w:val="24"/>
          <w:lang w:val="es-ES_tradnl"/>
        </w:rPr>
        <w:t>l</w:t>
      </w:r>
      <w:r w:rsidR="00A42E9C">
        <w:rPr>
          <w:rFonts w:ascii="Times New Roman" w:hAnsi="Times New Roman" w:cs="Times New Roman"/>
          <w:sz w:val="24"/>
          <w:szCs w:val="24"/>
          <w:lang w:val="es-ES_tradnl"/>
        </w:rPr>
        <w:t>a</w:t>
      </w:r>
      <w:r w:rsidR="00864B55"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economía</w:t>
      </w:r>
      <w:r w:rsidR="00864B55" w:rsidRPr="00133C43">
        <w:rPr>
          <w:rFonts w:ascii="Times New Roman" w:hAnsi="Times New Roman" w:cs="Times New Roman"/>
          <w:sz w:val="24"/>
          <w:szCs w:val="24"/>
          <w:lang w:val="es-ES_tradnl"/>
        </w:rPr>
        <w:t xml:space="preserve"> </w:t>
      </w:r>
      <w:r w:rsidR="00A42E9C">
        <w:rPr>
          <w:rFonts w:ascii="Times New Roman" w:hAnsi="Times New Roman" w:cs="Times New Roman"/>
          <w:sz w:val="24"/>
          <w:szCs w:val="24"/>
          <w:lang w:val="es-ES_tradnl"/>
        </w:rPr>
        <w:t>tratada en el período previo al tratamiento</w:t>
      </w:r>
      <w:r w:rsidR="00864B55" w:rsidRPr="00133C43">
        <w:rPr>
          <w:rFonts w:ascii="Times New Roman" w:hAnsi="Times New Roman" w:cs="Times New Roman"/>
          <w:sz w:val="24"/>
          <w:szCs w:val="24"/>
          <w:lang w:val="es-ES_tradnl"/>
        </w:rPr>
        <w:t xml:space="preserve"> (</w:t>
      </w:r>
      <w:proofErr w:type="spellStart"/>
      <w:r w:rsidR="00F24E96" w:rsidRPr="00133C43">
        <w:rPr>
          <w:rFonts w:ascii="Times New Roman" w:hAnsi="Times New Roman" w:cs="Times New Roman"/>
          <w:i/>
          <w:sz w:val="24"/>
          <w:szCs w:val="24"/>
          <w:lang w:val="es-ES_tradnl"/>
        </w:rPr>
        <w:t>convex</w:t>
      </w:r>
      <w:proofErr w:type="spellEnd"/>
      <w:r w:rsidR="00F24E96" w:rsidRPr="00133C43">
        <w:rPr>
          <w:rFonts w:ascii="Times New Roman" w:hAnsi="Times New Roman" w:cs="Times New Roman"/>
          <w:i/>
          <w:sz w:val="24"/>
          <w:szCs w:val="24"/>
          <w:lang w:val="es-ES_tradnl"/>
        </w:rPr>
        <w:t xml:space="preserve"> </w:t>
      </w:r>
      <w:proofErr w:type="spellStart"/>
      <w:r w:rsidR="00F24E96" w:rsidRPr="00133C43">
        <w:rPr>
          <w:rFonts w:ascii="Times New Roman" w:hAnsi="Times New Roman" w:cs="Times New Roman"/>
          <w:i/>
          <w:sz w:val="24"/>
          <w:szCs w:val="24"/>
          <w:lang w:val="es-ES_tradnl"/>
        </w:rPr>
        <w:t>hull</w:t>
      </w:r>
      <w:proofErr w:type="spellEnd"/>
      <w:r w:rsidR="00F24E96" w:rsidRPr="00133C43">
        <w:rPr>
          <w:rFonts w:ascii="Times New Roman" w:hAnsi="Times New Roman" w:cs="Times New Roman"/>
          <w:i/>
          <w:sz w:val="24"/>
          <w:szCs w:val="24"/>
          <w:lang w:val="es-ES_tradnl"/>
        </w:rPr>
        <w:t xml:space="preserve"> </w:t>
      </w:r>
      <w:proofErr w:type="spellStart"/>
      <w:r w:rsidR="00F24E96" w:rsidRPr="00133C43">
        <w:rPr>
          <w:rFonts w:ascii="Times New Roman" w:hAnsi="Times New Roman" w:cs="Times New Roman"/>
          <w:i/>
          <w:sz w:val="24"/>
          <w:szCs w:val="24"/>
          <w:lang w:val="es-ES_tradnl"/>
        </w:rPr>
        <w:t>condition</w:t>
      </w:r>
      <w:proofErr w:type="spellEnd"/>
      <w:r w:rsidR="00F24E96" w:rsidRPr="00133C43">
        <w:rPr>
          <w:rFonts w:ascii="Times New Roman" w:hAnsi="Times New Roman" w:cs="Times New Roman"/>
          <w:sz w:val="24"/>
          <w:szCs w:val="24"/>
          <w:lang w:val="es-ES_tradnl"/>
        </w:rPr>
        <w:t>)</w:t>
      </w:r>
      <w:r w:rsidR="00A42E9C">
        <w:rPr>
          <w:rFonts w:ascii="Times New Roman" w:hAnsi="Times New Roman" w:cs="Times New Roman"/>
          <w:sz w:val="24"/>
          <w:szCs w:val="24"/>
          <w:lang w:val="es-ES_tradnl"/>
        </w:rPr>
        <w:t xml:space="preserve">, es decir, </w:t>
      </w:r>
      <w:r w:rsidR="00C711E3">
        <w:rPr>
          <w:rFonts w:ascii="Times New Roman" w:hAnsi="Times New Roman" w:cs="Times New Roman"/>
          <w:sz w:val="24"/>
          <w:szCs w:val="24"/>
          <w:lang w:val="es-ES_tradnl"/>
        </w:rPr>
        <w:t>esta última no debería tener valores extremos en la variable de interés en dicho período (si los tuviera, se podrían usar primeras diferencias en lugar de niveles)</w:t>
      </w:r>
      <w:r w:rsidR="00864B55" w:rsidRPr="00133C43">
        <w:rPr>
          <w:rFonts w:ascii="Times New Roman" w:hAnsi="Times New Roman" w:cs="Times New Roman"/>
          <w:sz w:val="24"/>
          <w:szCs w:val="24"/>
          <w:lang w:val="es-ES_tradnl"/>
        </w:rPr>
        <w:t xml:space="preserve">; </w:t>
      </w:r>
      <w:r w:rsidR="00C711E3">
        <w:rPr>
          <w:rFonts w:ascii="Times New Roman" w:hAnsi="Times New Roman" w:cs="Times New Roman"/>
          <w:sz w:val="24"/>
          <w:szCs w:val="24"/>
          <w:lang w:val="es-ES_tradnl"/>
        </w:rPr>
        <w:t xml:space="preserve">y </w:t>
      </w:r>
      <w:r w:rsidR="00864B55" w:rsidRPr="00133C43">
        <w:rPr>
          <w:rFonts w:ascii="Times New Roman" w:hAnsi="Times New Roman" w:cs="Times New Roman"/>
          <w:sz w:val="24"/>
          <w:szCs w:val="24"/>
          <w:lang w:val="es-ES_tradnl"/>
        </w:rPr>
        <w:t xml:space="preserve">(5) </w:t>
      </w:r>
      <w:r w:rsidR="00C711E3">
        <w:rPr>
          <w:rFonts w:ascii="Times New Roman" w:hAnsi="Times New Roman" w:cs="Times New Roman"/>
          <w:sz w:val="24"/>
          <w:szCs w:val="24"/>
          <w:lang w:val="es-ES_tradnl"/>
        </w:rPr>
        <w:t>la materialización del</w:t>
      </w:r>
      <w:r w:rsidR="00864B55" w:rsidRPr="00133C43">
        <w:rPr>
          <w:rFonts w:ascii="Times New Roman" w:hAnsi="Times New Roman" w:cs="Times New Roman"/>
          <w:sz w:val="24"/>
          <w:szCs w:val="24"/>
          <w:lang w:val="es-ES_tradnl"/>
        </w:rPr>
        <w:t xml:space="preserve"> efecto de la intervención podría </w:t>
      </w:r>
      <w:r w:rsidR="00C711E3">
        <w:rPr>
          <w:rFonts w:ascii="Times New Roman" w:hAnsi="Times New Roman" w:cs="Times New Roman"/>
          <w:sz w:val="24"/>
          <w:szCs w:val="24"/>
          <w:lang w:val="es-ES_tradnl"/>
        </w:rPr>
        <w:t>demandar tiempo</w:t>
      </w:r>
      <w:r w:rsidR="00864B55" w:rsidRPr="00133C43">
        <w:rPr>
          <w:rFonts w:ascii="Times New Roman" w:hAnsi="Times New Roman" w:cs="Times New Roman"/>
          <w:sz w:val="24"/>
          <w:szCs w:val="24"/>
          <w:lang w:val="es-ES_tradnl"/>
        </w:rPr>
        <w:t xml:space="preserve">, por </w:t>
      </w:r>
      <w:r w:rsidR="00C711E3">
        <w:rPr>
          <w:rFonts w:ascii="Times New Roman" w:hAnsi="Times New Roman" w:cs="Times New Roman"/>
          <w:sz w:val="24"/>
          <w:szCs w:val="24"/>
          <w:lang w:val="es-ES_tradnl"/>
        </w:rPr>
        <w:t xml:space="preserve">lo que </w:t>
      </w:r>
      <w:r w:rsidR="00864B55" w:rsidRPr="00133C43">
        <w:rPr>
          <w:rFonts w:ascii="Times New Roman" w:hAnsi="Times New Roman" w:cs="Times New Roman"/>
          <w:sz w:val="24"/>
          <w:szCs w:val="24"/>
          <w:lang w:val="es-ES_tradnl"/>
        </w:rPr>
        <w:t>se debería disponer de</w:t>
      </w:r>
      <w:r w:rsidR="000B269F" w:rsidRPr="00133C43">
        <w:rPr>
          <w:rFonts w:ascii="Times New Roman" w:hAnsi="Times New Roman" w:cs="Times New Roman"/>
          <w:sz w:val="24"/>
          <w:szCs w:val="24"/>
          <w:lang w:val="es-ES_tradnl"/>
        </w:rPr>
        <w:t xml:space="preserve"> un</w:t>
      </w:r>
      <w:r w:rsidR="00864B55" w:rsidRPr="00133C43">
        <w:rPr>
          <w:rFonts w:ascii="Times New Roman" w:hAnsi="Times New Roman" w:cs="Times New Roman"/>
          <w:sz w:val="24"/>
          <w:szCs w:val="24"/>
          <w:lang w:val="es-ES_tradnl"/>
        </w:rPr>
        <w:t xml:space="preserve"> tiempo </w:t>
      </w:r>
      <w:r w:rsidR="00F24E96" w:rsidRPr="00133C43">
        <w:rPr>
          <w:rFonts w:ascii="Times New Roman" w:hAnsi="Times New Roman" w:cs="Times New Roman"/>
          <w:sz w:val="24"/>
          <w:szCs w:val="24"/>
          <w:lang w:val="es-ES_tradnl"/>
        </w:rPr>
        <w:t xml:space="preserve">prudencial posterior a las intervenciones </w:t>
      </w:r>
      <w:r w:rsidR="000B269F" w:rsidRPr="00133C43">
        <w:rPr>
          <w:rFonts w:ascii="Times New Roman" w:hAnsi="Times New Roman" w:cs="Times New Roman"/>
          <w:sz w:val="24"/>
          <w:szCs w:val="24"/>
          <w:lang w:val="es-ES_tradnl"/>
        </w:rPr>
        <w:t xml:space="preserve">para estimar estos efectos o, alternativamente, podrían usarse </w:t>
      </w:r>
      <w:r w:rsidR="00C711E3">
        <w:rPr>
          <w:rFonts w:ascii="Times New Roman" w:hAnsi="Times New Roman" w:cs="Times New Roman"/>
          <w:sz w:val="24"/>
          <w:szCs w:val="24"/>
          <w:lang w:val="es-ES_tradnl"/>
        </w:rPr>
        <w:t>indicadores que anticipen la</w:t>
      </w:r>
      <w:r w:rsidR="000B269F" w:rsidRPr="00133C43">
        <w:rPr>
          <w:rFonts w:ascii="Times New Roman" w:hAnsi="Times New Roman" w:cs="Times New Roman"/>
          <w:sz w:val="24"/>
          <w:szCs w:val="24"/>
          <w:lang w:val="es-ES_tradnl"/>
        </w:rPr>
        <w:t xml:space="preserve"> variable de interés</w:t>
      </w:r>
      <w:r w:rsidR="000B269F" w:rsidRPr="00133C43">
        <w:rPr>
          <w:rStyle w:val="FootnoteReference"/>
          <w:rFonts w:ascii="Times New Roman" w:hAnsi="Times New Roman" w:cs="Times New Roman"/>
          <w:sz w:val="24"/>
          <w:szCs w:val="24"/>
          <w:lang w:val="es-ES_tradnl"/>
        </w:rPr>
        <w:footnoteReference w:id="5"/>
      </w:r>
      <w:r w:rsidR="000B269F" w:rsidRPr="00133C43">
        <w:rPr>
          <w:rFonts w:ascii="Times New Roman" w:hAnsi="Times New Roman" w:cs="Times New Roman"/>
          <w:sz w:val="24"/>
          <w:szCs w:val="24"/>
          <w:lang w:val="es-ES_tradnl"/>
        </w:rPr>
        <w:t>.</w:t>
      </w:r>
    </w:p>
    <w:p w:rsidR="00A05E30" w:rsidRDefault="00A05E30" w:rsidP="00133C43">
      <w:pPr>
        <w:spacing w:after="0" w:line="240" w:lineRule="auto"/>
        <w:jc w:val="both"/>
        <w:rPr>
          <w:rFonts w:ascii="Times New Roman" w:hAnsi="Times New Roman" w:cs="Times New Roman"/>
          <w:sz w:val="24"/>
          <w:szCs w:val="24"/>
          <w:lang w:val="es-ES_tradnl"/>
        </w:rPr>
      </w:pPr>
    </w:p>
    <w:p w:rsidR="00680E1A" w:rsidRPr="002B4414" w:rsidRDefault="00951790" w:rsidP="00133C43">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A30371">
        <w:rPr>
          <w:rFonts w:ascii="Times New Roman" w:hAnsi="Times New Roman" w:cs="Times New Roman"/>
          <w:i/>
          <w:sz w:val="24"/>
          <w:szCs w:val="24"/>
          <w:lang w:val="es-ES_tradnl"/>
        </w:rPr>
        <w:t>1.5</w:t>
      </w:r>
      <w:r w:rsidR="00A30371">
        <w:rPr>
          <w:rFonts w:ascii="Times New Roman" w:hAnsi="Times New Roman" w:cs="Times New Roman"/>
          <w:i/>
          <w:sz w:val="24"/>
          <w:szCs w:val="24"/>
          <w:lang w:val="es-ES_tradnl"/>
        </w:rPr>
        <w:tab/>
      </w:r>
      <w:r w:rsidR="000B269F" w:rsidRPr="002B4414">
        <w:rPr>
          <w:rFonts w:ascii="Times New Roman" w:hAnsi="Times New Roman" w:cs="Times New Roman"/>
          <w:i/>
          <w:sz w:val="24"/>
          <w:szCs w:val="24"/>
          <w:lang w:val="es-ES_tradnl"/>
        </w:rPr>
        <w:t>Variables</w:t>
      </w:r>
      <w:r w:rsidR="00A30371">
        <w:rPr>
          <w:rFonts w:ascii="Times New Roman" w:hAnsi="Times New Roman" w:cs="Times New Roman"/>
          <w:i/>
          <w:sz w:val="24"/>
          <w:szCs w:val="24"/>
          <w:lang w:val="es-ES_tradnl"/>
        </w:rPr>
        <w:t xml:space="preserve"> y fuentes de</w:t>
      </w:r>
      <w:r w:rsidR="000B269F" w:rsidRPr="002B4414">
        <w:rPr>
          <w:rFonts w:ascii="Times New Roman" w:hAnsi="Times New Roman" w:cs="Times New Roman"/>
          <w:i/>
          <w:sz w:val="24"/>
          <w:szCs w:val="24"/>
          <w:lang w:val="es-ES_tradnl"/>
        </w:rPr>
        <w:t xml:space="preserve"> </w:t>
      </w:r>
      <w:r w:rsidR="002B4414" w:rsidRPr="002B4414">
        <w:rPr>
          <w:rFonts w:ascii="Times New Roman" w:hAnsi="Times New Roman" w:cs="Times New Roman"/>
          <w:i/>
          <w:sz w:val="24"/>
          <w:szCs w:val="24"/>
          <w:lang w:val="es-ES_tradnl"/>
        </w:rPr>
        <w:t>d</w:t>
      </w:r>
      <w:r w:rsidR="000B269F" w:rsidRPr="002B4414">
        <w:rPr>
          <w:rFonts w:ascii="Times New Roman" w:hAnsi="Times New Roman" w:cs="Times New Roman"/>
          <w:i/>
          <w:sz w:val="24"/>
          <w:szCs w:val="24"/>
          <w:lang w:val="es-ES_tradnl"/>
        </w:rPr>
        <w:t>atos</w:t>
      </w:r>
    </w:p>
    <w:p w:rsidR="00A05E30" w:rsidRDefault="00A05E30" w:rsidP="00133C43">
      <w:pPr>
        <w:spacing w:after="0" w:line="240" w:lineRule="auto"/>
        <w:jc w:val="both"/>
        <w:rPr>
          <w:rFonts w:ascii="Times New Roman" w:hAnsi="Times New Roman" w:cs="Times New Roman"/>
          <w:sz w:val="24"/>
          <w:szCs w:val="24"/>
          <w:lang w:val="es-ES_tradnl"/>
        </w:rPr>
      </w:pPr>
    </w:p>
    <w:p w:rsidR="00A05E30" w:rsidRDefault="002B4414" w:rsidP="00133C4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Conforme se mencionara precedentemente, l</w:t>
      </w:r>
      <w:r w:rsidR="000B269F" w:rsidRPr="00133C43">
        <w:rPr>
          <w:rFonts w:ascii="Times New Roman" w:hAnsi="Times New Roman" w:cs="Times New Roman"/>
          <w:sz w:val="24"/>
          <w:szCs w:val="24"/>
          <w:lang w:val="es-ES_tradnl"/>
        </w:rPr>
        <w:t xml:space="preserve">a variable de resultado </w:t>
      </w:r>
      <w:r w:rsidR="000E1A53">
        <w:rPr>
          <w:rFonts w:ascii="Times New Roman" w:hAnsi="Times New Roman" w:cs="Times New Roman"/>
          <w:sz w:val="24"/>
          <w:szCs w:val="24"/>
          <w:lang w:val="es-ES_tradnl"/>
        </w:rPr>
        <w:t xml:space="preserve">principal </w:t>
      </w:r>
      <w:r w:rsidR="000B269F" w:rsidRPr="00133C43">
        <w:rPr>
          <w:rFonts w:ascii="Times New Roman" w:hAnsi="Times New Roman" w:cs="Times New Roman"/>
          <w:sz w:val="24"/>
          <w:szCs w:val="24"/>
          <w:lang w:val="es-ES_tradnl"/>
        </w:rPr>
        <w:t>es la inversión extranjera directa</w:t>
      </w:r>
      <w:r w:rsidR="00A05E30">
        <w:rPr>
          <w:rFonts w:ascii="Times New Roman" w:hAnsi="Times New Roman" w:cs="Times New Roman"/>
          <w:sz w:val="24"/>
          <w:szCs w:val="24"/>
          <w:lang w:val="es-ES_tradnl"/>
        </w:rPr>
        <w:t>, agregada y por sectores</w:t>
      </w:r>
      <w:r w:rsidR="000B269F" w:rsidRPr="00133C43">
        <w:rPr>
          <w:rFonts w:ascii="Times New Roman" w:hAnsi="Times New Roman" w:cs="Times New Roman"/>
          <w:sz w:val="24"/>
          <w:szCs w:val="24"/>
          <w:lang w:val="es-ES_tradnl"/>
        </w:rPr>
        <w:t xml:space="preserve">. </w:t>
      </w:r>
      <w:r w:rsidR="000E1A53">
        <w:rPr>
          <w:rFonts w:ascii="Times New Roman" w:hAnsi="Times New Roman" w:cs="Times New Roman"/>
          <w:sz w:val="24"/>
          <w:szCs w:val="24"/>
          <w:lang w:val="es-ES_tradnl"/>
        </w:rPr>
        <w:t>Los</w:t>
      </w:r>
      <w:r w:rsidR="000B269F" w:rsidRPr="00133C43">
        <w:rPr>
          <w:rFonts w:ascii="Times New Roman" w:hAnsi="Times New Roman" w:cs="Times New Roman"/>
          <w:sz w:val="24"/>
          <w:szCs w:val="24"/>
          <w:lang w:val="es-ES_tradnl"/>
        </w:rPr>
        <w:t xml:space="preserve"> Indicadores sobre Desarrollo Mundial del Banco Mundial y </w:t>
      </w:r>
      <w:r w:rsidR="000E1A53">
        <w:rPr>
          <w:rFonts w:ascii="Times New Roman" w:hAnsi="Times New Roman" w:cs="Times New Roman"/>
          <w:sz w:val="24"/>
          <w:szCs w:val="24"/>
          <w:lang w:val="es-ES_tradnl"/>
        </w:rPr>
        <w:t xml:space="preserve">la </w:t>
      </w:r>
      <w:r w:rsidR="000B269F" w:rsidRPr="00133C43">
        <w:rPr>
          <w:rFonts w:ascii="Times New Roman" w:hAnsi="Times New Roman" w:cs="Times New Roman"/>
          <w:sz w:val="24"/>
          <w:szCs w:val="24"/>
          <w:lang w:val="es-ES_tradnl"/>
        </w:rPr>
        <w:t>UNCTAD</w:t>
      </w:r>
      <w:r w:rsidR="000E1A53">
        <w:rPr>
          <w:rFonts w:ascii="Times New Roman" w:hAnsi="Times New Roman" w:cs="Times New Roman"/>
          <w:sz w:val="24"/>
          <w:szCs w:val="24"/>
          <w:lang w:val="es-ES_tradnl"/>
        </w:rPr>
        <w:t xml:space="preserve"> tienen series extensas de dicha variable para virtualmente todos los países del mundo</w:t>
      </w:r>
      <w:r w:rsidR="000B269F" w:rsidRPr="00133C43">
        <w:rPr>
          <w:rFonts w:ascii="Times New Roman" w:hAnsi="Times New Roman" w:cs="Times New Roman"/>
          <w:sz w:val="24"/>
          <w:szCs w:val="24"/>
          <w:lang w:val="es-ES_tradnl"/>
        </w:rPr>
        <w:t xml:space="preserve">. </w:t>
      </w:r>
    </w:p>
    <w:p w:rsidR="00A05E30" w:rsidRDefault="00A05E30" w:rsidP="00133C43">
      <w:pPr>
        <w:spacing w:after="0" w:line="240" w:lineRule="auto"/>
        <w:jc w:val="both"/>
        <w:rPr>
          <w:rFonts w:ascii="Times New Roman" w:hAnsi="Times New Roman" w:cs="Times New Roman"/>
          <w:sz w:val="24"/>
          <w:szCs w:val="24"/>
          <w:lang w:val="es-ES_tradnl"/>
        </w:rPr>
      </w:pPr>
    </w:p>
    <w:p w:rsidR="000B269F" w:rsidRPr="00133C43" w:rsidRDefault="000E1A53" w:rsidP="00133C4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L</w:t>
      </w:r>
      <w:r w:rsidR="000B269F" w:rsidRPr="00133C43">
        <w:rPr>
          <w:rFonts w:ascii="Times New Roman" w:hAnsi="Times New Roman" w:cs="Times New Roman"/>
          <w:sz w:val="24"/>
          <w:szCs w:val="24"/>
          <w:lang w:val="es-ES_tradnl"/>
        </w:rPr>
        <w:t xml:space="preserve">a extensa literatura empírica </w:t>
      </w:r>
      <w:r>
        <w:rPr>
          <w:rFonts w:ascii="Times New Roman" w:hAnsi="Times New Roman" w:cs="Times New Roman"/>
          <w:sz w:val="24"/>
          <w:szCs w:val="24"/>
          <w:lang w:val="es-ES_tradnl"/>
        </w:rPr>
        <w:t xml:space="preserve">disponible sobre inversión extranjera directa sugiere un conjunto de determinantes de la misma </w:t>
      </w:r>
      <w:r w:rsidR="000B269F" w:rsidRPr="00133C43">
        <w:rPr>
          <w:rFonts w:ascii="Times New Roman" w:hAnsi="Times New Roman" w:cs="Times New Roman"/>
          <w:sz w:val="24"/>
          <w:szCs w:val="24"/>
          <w:lang w:val="es-ES_tradnl"/>
        </w:rPr>
        <w:t>que incluye</w:t>
      </w:r>
      <w:r w:rsidR="008C2133">
        <w:rPr>
          <w:rFonts w:ascii="Times New Roman" w:hAnsi="Times New Roman" w:cs="Times New Roman"/>
          <w:sz w:val="24"/>
          <w:szCs w:val="24"/>
          <w:lang w:val="es-ES_tradnl"/>
        </w:rPr>
        <w:t>, entre otros,</w:t>
      </w:r>
      <w:r w:rsidR="000B269F"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el </w:t>
      </w:r>
      <w:r w:rsidR="000B269F" w:rsidRPr="00133C43">
        <w:rPr>
          <w:rFonts w:ascii="Times New Roman" w:hAnsi="Times New Roman" w:cs="Times New Roman"/>
          <w:sz w:val="24"/>
          <w:szCs w:val="24"/>
          <w:lang w:val="es-ES_tradnl"/>
        </w:rPr>
        <w:t xml:space="preserve">PBI per cápita, </w:t>
      </w:r>
      <w:r>
        <w:rPr>
          <w:rFonts w:ascii="Times New Roman" w:hAnsi="Times New Roman" w:cs="Times New Roman"/>
          <w:sz w:val="24"/>
          <w:szCs w:val="24"/>
          <w:lang w:val="es-ES_tradnl"/>
        </w:rPr>
        <w:t xml:space="preserve">el </w:t>
      </w:r>
      <w:r w:rsidR="000B269F" w:rsidRPr="00133C43">
        <w:rPr>
          <w:rFonts w:ascii="Times New Roman" w:hAnsi="Times New Roman" w:cs="Times New Roman"/>
          <w:sz w:val="24"/>
          <w:szCs w:val="24"/>
          <w:lang w:val="es-ES_tradnl"/>
        </w:rPr>
        <w:t xml:space="preserve">tamaño de mercado (PBI y población), </w:t>
      </w:r>
      <w:r>
        <w:rPr>
          <w:rFonts w:ascii="Times New Roman" w:hAnsi="Times New Roman" w:cs="Times New Roman"/>
          <w:sz w:val="24"/>
          <w:szCs w:val="24"/>
          <w:lang w:val="es-ES_tradnl"/>
        </w:rPr>
        <w:t xml:space="preserve">la </w:t>
      </w:r>
      <w:r w:rsidR="000B269F" w:rsidRPr="00133C43">
        <w:rPr>
          <w:rFonts w:ascii="Times New Roman" w:hAnsi="Times New Roman" w:cs="Times New Roman"/>
          <w:sz w:val="24"/>
          <w:szCs w:val="24"/>
          <w:lang w:val="es-ES_tradnl"/>
        </w:rPr>
        <w:t>infraestructura,</w:t>
      </w:r>
      <w:r w:rsidR="002B4414">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los </w:t>
      </w:r>
      <w:r w:rsidR="002B4414">
        <w:rPr>
          <w:rFonts w:ascii="Times New Roman" w:hAnsi="Times New Roman" w:cs="Times New Roman"/>
          <w:sz w:val="24"/>
          <w:szCs w:val="24"/>
          <w:lang w:val="es-ES_tradnl"/>
        </w:rPr>
        <w:t>tratados comerciales,</w:t>
      </w:r>
      <w:r w:rsidR="000B269F" w:rsidRPr="00133C4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los </w:t>
      </w:r>
      <w:r w:rsidR="000B269F" w:rsidRPr="00133C43">
        <w:rPr>
          <w:rFonts w:ascii="Times New Roman" w:hAnsi="Times New Roman" w:cs="Times New Roman"/>
          <w:sz w:val="24"/>
          <w:szCs w:val="24"/>
          <w:lang w:val="es-ES_tradnl"/>
        </w:rPr>
        <w:t xml:space="preserve">tratados de inversiones, </w:t>
      </w:r>
      <w:r>
        <w:rPr>
          <w:rFonts w:ascii="Times New Roman" w:hAnsi="Times New Roman" w:cs="Times New Roman"/>
          <w:sz w:val="24"/>
          <w:szCs w:val="24"/>
          <w:lang w:val="es-ES_tradnl"/>
        </w:rPr>
        <w:t xml:space="preserve">la </w:t>
      </w:r>
      <w:r w:rsidR="000B269F" w:rsidRPr="00133C43">
        <w:rPr>
          <w:rFonts w:ascii="Times New Roman" w:hAnsi="Times New Roman" w:cs="Times New Roman"/>
          <w:sz w:val="24"/>
          <w:szCs w:val="24"/>
          <w:lang w:val="es-ES_tradnl"/>
        </w:rPr>
        <w:t xml:space="preserve">corrupción, </w:t>
      </w:r>
      <w:r>
        <w:rPr>
          <w:rFonts w:ascii="Times New Roman" w:hAnsi="Times New Roman" w:cs="Times New Roman"/>
          <w:sz w:val="24"/>
          <w:szCs w:val="24"/>
          <w:lang w:val="es-ES_tradnl"/>
        </w:rPr>
        <w:t xml:space="preserve">la </w:t>
      </w:r>
      <w:r w:rsidR="000B269F" w:rsidRPr="00133C43">
        <w:rPr>
          <w:rFonts w:ascii="Times New Roman" w:hAnsi="Times New Roman" w:cs="Times New Roman"/>
          <w:sz w:val="24"/>
          <w:szCs w:val="24"/>
          <w:lang w:val="es-ES_tradnl"/>
        </w:rPr>
        <w:t xml:space="preserve">estabilidad política, </w:t>
      </w:r>
      <w:r>
        <w:rPr>
          <w:rFonts w:ascii="Times New Roman" w:hAnsi="Times New Roman" w:cs="Times New Roman"/>
          <w:sz w:val="24"/>
          <w:szCs w:val="24"/>
          <w:lang w:val="es-ES_tradnl"/>
        </w:rPr>
        <w:t xml:space="preserve">la </w:t>
      </w:r>
      <w:r w:rsidR="000B269F" w:rsidRPr="00133C43">
        <w:rPr>
          <w:rFonts w:ascii="Times New Roman" w:hAnsi="Times New Roman" w:cs="Times New Roman"/>
          <w:sz w:val="24"/>
          <w:szCs w:val="24"/>
          <w:lang w:val="es-ES_tradnl"/>
        </w:rPr>
        <w:t>disponibilidad de capital humano</w:t>
      </w:r>
      <w:r w:rsidR="008C2133">
        <w:rPr>
          <w:rFonts w:ascii="Times New Roman" w:hAnsi="Times New Roman" w:cs="Times New Roman"/>
          <w:sz w:val="24"/>
          <w:szCs w:val="24"/>
          <w:lang w:val="es-ES_tradnl"/>
        </w:rPr>
        <w:t>, las capacidades tecnológicas locales</w:t>
      </w:r>
      <w:r w:rsidR="000B269F" w:rsidRPr="00133C43">
        <w:rPr>
          <w:rFonts w:ascii="Times New Roman" w:hAnsi="Times New Roman" w:cs="Times New Roman"/>
          <w:sz w:val="24"/>
          <w:szCs w:val="24"/>
          <w:lang w:val="es-ES_tradnl"/>
        </w:rPr>
        <w:t xml:space="preserve"> y </w:t>
      </w:r>
      <w:r w:rsidR="008C2133">
        <w:rPr>
          <w:rFonts w:ascii="Times New Roman" w:hAnsi="Times New Roman" w:cs="Times New Roman"/>
          <w:sz w:val="24"/>
          <w:szCs w:val="24"/>
          <w:lang w:val="es-ES_tradnl"/>
        </w:rPr>
        <w:t xml:space="preserve">los </w:t>
      </w:r>
      <w:r w:rsidR="000B269F" w:rsidRPr="00133C43">
        <w:rPr>
          <w:rFonts w:ascii="Times New Roman" w:hAnsi="Times New Roman" w:cs="Times New Roman"/>
          <w:sz w:val="24"/>
          <w:szCs w:val="24"/>
          <w:lang w:val="es-ES_tradnl"/>
        </w:rPr>
        <w:t xml:space="preserve">controles de capital (ver, por ejemplo, </w:t>
      </w:r>
      <w:proofErr w:type="spellStart"/>
      <w:r w:rsidR="001B77FA" w:rsidRPr="00133C43">
        <w:rPr>
          <w:rFonts w:ascii="Times New Roman" w:hAnsi="Times New Roman" w:cs="Times New Roman"/>
          <w:sz w:val="24"/>
          <w:szCs w:val="24"/>
          <w:lang w:val="es-ES_tradnl"/>
        </w:rPr>
        <w:t>Blonigen</w:t>
      </w:r>
      <w:proofErr w:type="spellEnd"/>
      <w:r w:rsidR="001B77FA" w:rsidRPr="00133C43">
        <w:rPr>
          <w:rFonts w:ascii="Times New Roman" w:hAnsi="Times New Roman" w:cs="Times New Roman"/>
          <w:sz w:val="24"/>
          <w:szCs w:val="24"/>
          <w:lang w:val="es-ES_tradnl"/>
        </w:rPr>
        <w:t xml:space="preserve"> </w:t>
      </w:r>
      <w:r w:rsidR="008C2133">
        <w:rPr>
          <w:rFonts w:ascii="Times New Roman" w:hAnsi="Times New Roman" w:cs="Times New Roman"/>
          <w:sz w:val="24"/>
          <w:szCs w:val="24"/>
          <w:lang w:val="es-ES_tradnl"/>
        </w:rPr>
        <w:t>y</w:t>
      </w:r>
      <w:r w:rsidR="001B77FA" w:rsidRPr="00133C43">
        <w:rPr>
          <w:rFonts w:ascii="Times New Roman" w:hAnsi="Times New Roman" w:cs="Times New Roman"/>
          <w:sz w:val="24"/>
          <w:szCs w:val="24"/>
          <w:lang w:val="es-ES_tradnl"/>
        </w:rPr>
        <w:t xml:space="preserve"> </w:t>
      </w:r>
      <w:proofErr w:type="spellStart"/>
      <w:r w:rsidR="001B77FA" w:rsidRPr="00133C43">
        <w:rPr>
          <w:rFonts w:ascii="Times New Roman" w:hAnsi="Times New Roman" w:cs="Times New Roman"/>
          <w:sz w:val="24"/>
          <w:szCs w:val="24"/>
          <w:lang w:val="es-ES_tradnl"/>
        </w:rPr>
        <w:t>Piger</w:t>
      </w:r>
      <w:proofErr w:type="spellEnd"/>
      <w:r w:rsidR="001B77FA" w:rsidRPr="00133C43">
        <w:rPr>
          <w:rFonts w:ascii="Times New Roman" w:hAnsi="Times New Roman" w:cs="Times New Roman"/>
          <w:sz w:val="24"/>
          <w:szCs w:val="24"/>
          <w:lang w:val="es-ES_tradnl"/>
        </w:rPr>
        <w:t xml:space="preserve">, 2011; </w:t>
      </w:r>
      <w:proofErr w:type="spellStart"/>
      <w:r w:rsidR="001B77FA" w:rsidRPr="00133C43">
        <w:rPr>
          <w:rFonts w:ascii="Times New Roman" w:hAnsi="Times New Roman" w:cs="Times New Roman"/>
          <w:sz w:val="24"/>
          <w:szCs w:val="24"/>
          <w:lang w:val="es-ES_tradnl"/>
        </w:rPr>
        <w:t>Javorcik</w:t>
      </w:r>
      <w:proofErr w:type="spellEnd"/>
      <w:r w:rsidR="001B77FA" w:rsidRPr="00133C43">
        <w:rPr>
          <w:rFonts w:ascii="Times New Roman" w:hAnsi="Times New Roman" w:cs="Times New Roman"/>
          <w:sz w:val="24"/>
          <w:szCs w:val="24"/>
          <w:lang w:val="es-ES_tradnl"/>
        </w:rPr>
        <w:t xml:space="preserve"> </w:t>
      </w:r>
      <w:r w:rsidR="008C2133">
        <w:rPr>
          <w:rFonts w:ascii="Times New Roman" w:hAnsi="Times New Roman" w:cs="Times New Roman"/>
          <w:sz w:val="24"/>
          <w:szCs w:val="24"/>
          <w:lang w:val="es-ES_tradnl"/>
        </w:rPr>
        <w:t>y</w:t>
      </w:r>
      <w:r w:rsidR="001B77FA" w:rsidRPr="00133C43">
        <w:rPr>
          <w:rFonts w:ascii="Times New Roman" w:hAnsi="Times New Roman" w:cs="Times New Roman"/>
          <w:sz w:val="24"/>
          <w:szCs w:val="24"/>
          <w:lang w:val="es-ES_tradnl"/>
        </w:rPr>
        <w:t xml:space="preserve"> </w:t>
      </w:r>
      <w:proofErr w:type="spellStart"/>
      <w:r w:rsidR="001B77FA" w:rsidRPr="00133C43">
        <w:rPr>
          <w:rFonts w:ascii="Times New Roman" w:hAnsi="Times New Roman" w:cs="Times New Roman"/>
          <w:sz w:val="24"/>
          <w:szCs w:val="24"/>
          <w:lang w:val="es-ES_tradnl"/>
        </w:rPr>
        <w:t>Wei</w:t>
      </w:r>
      <w:proofErr w:type="spellEnd"/>
      <w:r w:rsidR="001B77FA" w:rsidRPr="00133C43">
        <w:rPr>
          <w:rFonts w:ascii="Times New Roman" w:hAnsi="Times New Roman" w:cs="Times New Roman"/>
          <w:sz w:val="24"/>
          <w:szCs w:val="24"/>
          <w:lang w:val="es-ES_tradnl"/>
        </w:rPr>
        <w:t xml:space="preserve">, 2009; </w:t>
      </w:r>
      <w:proofErr w:type="spellStart"/>
      <w:r w:rsidR="001B77FA" w:rsidRPr="00133C43">
        <w:rPr>
          <w:rFonts w:ascii="Times New Roman" w:hAnsi="Times New Roman" w:cs="Times New Roman"/>
          <w:sz w:val="24"/>
          <w:szCs w:val="24"/>
          <w:lang w:val="es-ES_tradnl"/>
        </w:rPr>
        <w:t>Lim</w:t>
      </w:r>
      <w:proofErr w:type="spellEnd"/>
      <w:r w:rsidR="001B77FA" w:rsidRPr="00133C43">
        <w:rPr>
          <w:rFonts w:ascii="Times New Roman" w:hAnsi="Times New Roman" w:cs="Times New Roman"/>
          <w:sz w:val="24"/>
          <w:szCs w:val="24"/>
          <w:lang w:val="es-ES_tradnl"/>
        </w:rPr>
        <w:t xml:space="preserve">, 2001; </w:t>
      </w:r>
      <w:proofErr w:type="spellStart"/>
      <w:r w:rsidR="001B77FA" w:rsidRPr="00133C43">
        <w:rPr>
          <w:rFonts w:ascii="Times New Roman" w:hAnsi="Times New Roman" w:cs="Times New Roman"/>
          <w:sz w:val="24"/>
          <w:szCs w:val="24"/>
          <w:lang w:val="es-ES_tradnl"/>
        </w:rPr>
        <w:t>Stein</w:t>
      </w:r>
      <w:proofErr w:type="spellEnd"/>
      <w:r w:rsidR="001B77FA" w:rsidRPr="00133C43">
        <w:rPr>
          <w:rFonts w:ascii="Times New Roman" w:hAnsi="Times New Roman" w:cs="Times New Roman"/>
          <w:sz w:val="24"/>
          <w:szCs w:val="24"/>
          <w:lang w:val="es-ES_tradnl"/>
        </w:rPr>
        <w:t xml:space="preserve"> </w:t>
      </w:r>
      <w:r w:rsidR="008C2133">
        <w:rPr>
          <w:rFonts w:ascii="Times New Roman" w:hAnsi="Times New Roman" w:cs="Times New Roman"/>
          <w:sz w:val="24"/>
          <w:szCs w:val="24"/>
          <w:lang w:val="es-ES_tradnl"/>
        </w:rPr>
        <w:t>y</w:t>
      </w:r>
      <w:r w:rsidR="001B77FA" w:rsidRPr="00133C43">
        <w:rPr>
          <w:rFonts w:ascii="Times New Roman" w:hAnsi="Times New Roman" w:cs="Times New Roman"/>
          <w:sz w:val="24"/>
          <w:szCs w:val="24"/>
          <w:lang w:val="es-ES_tradnl"/>
        </w:rPr>
        <w:t xml:space="preserve"> </w:t>
      </w:r>
      <w:proofErr w:type="spellStart"/>
      <w:r w:rsidR="001B77FA" w:rsidRPr="00133C43">
        <w:rPr>
          <w:rFonts w:ascii="Times New Roman" w:hAnsi="Times New Roman" w:cs="Times New Roman"/>
          <w:sz w:val="24"/>
          <w:szCs w:val="24"/>
          <w:lang w:val="es-ES_tradnl"/>
        </w:rPr>
        <w:t>Daude</w:t>
      </w:r>
      <w:proofErr w:type="spellEnd"/>
      <w:r w:rsidR="001B77FA" w:rsidRPr="00133C43">
        <w:rPr>
          <w:rFonts w:ascii="Times New Roman" w:hAnsi="Times New Roman" w:cs="Times New Roman"/>
          <w:sz w:val="24"/>
          <w:szCs w:val="24"/>
          <w:lang w:val="es-ES_tradnl"/>
        </w:rPr>
        <w:t xml:space="preserve">, 2007; </w:t>
      </w:r>
      <w:proofErr w:type="spellStart"/>
      <w:r w:rsidR="001B77FA" w:rsidRPr="00133C43">
        <w:rPr>
          <w:rFonts w:ascii="Times New Roman" w:hAnsi="Times New Roman" w:cs="Times New Roman"/>
          <w:sz w:val="24"/>
          <w:szCs w:val="24"/>
          <w:lang w:val="es-ES_tradnl"/>
        </w:rPr>
        <w:t>Abadie</w:t>
      </w:r>
      <w:proofErr w:type="spellEnd"/>
      <w:r w:rsidR="001B77FA" w:rsidRPr="00133C43">
        <w:rPr>
          <w:rFonts w:ascii="Times New Roman" w:hAnsi="Times New Roman" w:cs="Times New Roman"/>
          <w:sz w:val="24"/>
          <w:szCs w:val="24"/>
          <w:lang w:val="es-ES_tradnl"/>
        </w:rPr>
        <w:t xml:space="preserve"> </w:t>
      </w:r>
      <w:r w:rsidR="008C2133">
        <w:rPr>
          <w:rFonts w:ascii="Times New Roman" w:hAnsi="Times New Roman" w:cs="Times New Roman"/>
          <w:sz w:val="24"/>
          <w:szCs w:val="24"/>
          <w:lang w:val="es-ES_tradnl"/>
        </w:rPr>
        <w:t>y</w:t>
      </w:r>
      <w:r w:rsidR="001B77FA" w:rsidRPr="00133C43">
        <w:rPr>
          <w:rFonts w:ascii="Times New Roman" w:hAnsi="Times New Roman" w:cs="Times New Roman"/>
          <w:sz w:val="24"/>
          <w:szCs w:val="24"/>
          <w:lang w:val="es-ES_tradnl"/>
        </w:rPr>
        <w:t xml:space="preserve"> </w:t>
      </w:r>
      <w:proofErr w:type="spellStart"/>
      <w:r w:rsidR="001B77FA" w:rsidRPr="00133C43">
        <w:rPr>
          <w:rFonts w:ascii="Times New Roman" w:hAnsi="Times New Roman" w:cs="Times New Roman"/>
          <w:sz w:val="24"/>
          <w:szCs w:val="24"/>
          <w:lang w:val="es-ES_tradnl"/>
        </w:rPr>
        <w:t>Gardeazabal</w:t>
      </w:r>
      <w:proofErr w:type="spellEnd"/>
      <w:r w:rsidR="001B77FA" w:rsidRPr="00133C43">
        <w:rPr>
          <w:rFonts w:ascii="Times New Roman" w:hAnsi="Times New Roman" w:cs="Times New Roman"/>
          <w:sz w:val="24"/>
          <w:szCs w:val="24"/>
          <w:lang w:val="es-ES_tradnl"/>
        </w:rPr>
        <w:t>, 2008).</w:t>
      </w:r>
    </w:p>
    <w:p w:rsidR="00A05E30" w:rsidRDefault="00A05E30" w:rsidP="00133C43">
      <w:pPr>
        <w:spacing w:after="0" w:line="240" w:lineRule="auto"/>
        <w:jc w:val="both"/>
        <w:rPr>
          <w:rFonts w:ascii="Times New Roman" w:hAnsi="Times New Roman" w:cs="Times New Roman"/>
          <w:sz w:val="24"/>
          <w:szCs w:val="24"/>
          <w:lang w:val="es-ES_tradnl"/>
        </w:rPr>
      </w:pPr>
    </w:p>
    <w:p w:rsidR="001B77FA" w:rsidRPr="00133C43" w:rsidRDefault="001B77FA" w:rsidP="00133C43">
      <w:pPr>
        <w:spacing w:after="0" w:line="240" w:lineRule="auto"/>
        <w:jc w:val="both"/>
        <w:rPr>
          <w:rFonts w:ascii="Times New Roman" w:hAnsi="Times New Roman" w:cs="Times New Roman"/>
          <w:sz w:val="24"/>
          <w:szCs w:val="24"/>
          <w:lang w:val="es-ES_tradnl"/>
        </w:rPr>
      </w:pPr>
      <w:r w:rsidRPr="00133C43">
        <w:rPr>
          <w:rFonts w:ascii="Times New Roman" w:hAnsi="Times New Roman" w:cs="Times New Roman"/>
          <w:sz w:val="24"/>
          <w:szCs w:val="24"/>
          <w:lang w:val="es-ES_tradnl"/>
        </w:rPr>
        <w:t xml:space="preserve">La credibilidad de un estimador de control sintético depende en gran </w:t>
      </w:r>
      <w:r w:rsidR="008C2133">
        <w:rPr>
          <w:rFonts w:ascii="Times New Roman" w:hAnsi="Times New Roman" w:cs="Times New Roman"/>
          <w:sz w:val="24"/>
          <w:szCs w:val="24"/>
          <w:lang w:val="es-ES_tradnl"/>
        </w:rPr>
        <w:t>medida</w:t>
      </w:r>
      <w:r w:rsidRPr="00133C43">
        <w:rPr>
          <w:rFonts w:ascii="Times New Roman" w:hAnsi="Times New Roman" w:cs="Times New Roman"/>
          <w:sz w:val="24"/>
          <w:szCs w:val="24"/>
          <w:lang w:val="es-ES_tradnl"/>
        </w:rPr>
        <w:t xml:space="preserve"> de su habilidad para </w:t>
      </w:r>
      <w:r w:rsidR="008C2133">
        <w:rPr>
          <w:rFonts w:ascii="Times New Roman" w:hAnsi="Times New Roman" w:cs="Times New Roman"/>
          <w:sz w:val="24"/>
          <w:szCs w:val="24"/>
          <w:lang w:val="es-ES_tradnl"/>
        </w:rPr>
        <w:t>reproducir l</w:t>
      </w:r>
      <w:r w:rsidRPr="00133C43">
        <w:rPr>
          <w:rFonts w:ascii="Times New Roman" w:hAnsi="Times New Roman" w:cs="Times New Roman"/>
          <w:sz w:val="24"/>
          <w:szCs w:val="24"/>
          <w:lang w:val="es-ES_tradnl"/>
        </w:rPr>
        <w:t xml:space="preserve">a trayectoria de la variable de resultado para la </w:t>
      </w:r>
      <w:r w:rsidR="008C2133">
        <w:rPr>
          <w:rFonts w:ascii="Times New Roman" w:hAnsi="Times New Roman" w:cs="Times New Roman"/>
          <w:sz w:val="24"/>
          <w:szCs w:val="24"/>
          <w:lang w:val="es-ES_tradnl"/>
        </w:rPr>
        <w:t>economía</w:t>
      </w:r>
      <w:r w:rsidRPr="00133C43">
        <w:rPr>
          <w:rFonts w:ascii="Times New Roman" w:hAnsi="Times New Roman" w:cs="Times New Roman"/>
          <w:sz w:val="24"/>
          <w:szCs w:val="24"/>
          <w:lang w:val="es-ES_tradnl"/>
        </w:rPr>
        <w:t xml:space="preserve"> afectada antes de la intervención</w:t>
      </w:r>
      <w:r w:rsidRPr="00133C43">
        <w:rPr>
          <w:rStyle w:val="FootnoteReference"/>
          <w:rFonts w:ascii="Times New Roman" w:hAnsi="Times New Roman" w:cs="Times New Roman"/>
          <w:sz w:val="24"/>
          <w:szCs w:val="24"/>
          <w:lang w:val="es-ES_tradnl"/>
        </w:rPr>
        <w:footnoteReference w:id="6"/>
      </w:r>
      <w:r w:rsidRPr="00133C43">
        <w:rPr>
          <w:rFonts w:ascii="Times New Roman" w:hAnsi="Times New Roman" w:cs="Times New Roman"/>
          <w:sz w:val="24"/>
          <w:szCs w:val="24"/>
          <w:lang w:val="es-ES_tradnl"/>
        </w:rPr>
        <w:t xml:space="preserve">. En consecuencia, </w:t>
      </w:r>
      <w:r w:rsidR="008C2133">
        <w:rPr>
          <w:rFonts w:ascii="Times New Roman" w:hAnsi="Times New Roman" w:cs="Times New Roman"/>
          <w:sz w:val="24"/>
          <w:szCs w:val="24"/>
          <w:lang w:val="es-ES_tradnl"/>
        </w:rPr>
        <w:t xml:space="preserve">resulta menester </w:t>
      </w:r>
      <w:r w:rsidRPr="00133C43">
        <w:rPr>
          <w:rFonts w:ascii="Times New Roman" w:hAnsi="Times New Roman" w:cs="Times New Roman"/>
          <w:sz w:val="24"/>
          <w:szCs w:val="24"/>
          <w:lang w:val="es-ES_tradnl"/>
        </w:rPr>
        <w:t xml:space="preserve">recolectar </w:t>
      </w:r>
      <w:r w:rsidR="008C2133">
        <w:rPr>
          <w:rFonts w:ascii="Times New Roman" w:hAnsi="Times New Roman" w:cs="Times New Roman"/>
          <w:sz w:val="24"/>
          <w:szCs w:val="24"/>
          <w:lang w:val="es-ES_tradnl"/>
        </w:rPr>
        <w:t>datos</w:t>
      </w:r>
      <w:r w:rsidRPr="00133C43">
        <w:rPr>
          <w:rFonts w:ascii="Times New Roman" w:hAnsi="Times New Roman" w:cs="Times New Roman"/>
          <w:sz w:val="24"/>
          <w:szCs w:val="24"/>
          <w:lang w:val="es-ES_tradnl"/>
        </w:rPr>
        <w:t xml:space="preserve"> sobre la </w:t>
      </w:r>
      <w:r w:rsidR="008C2133">
        <w:rPr>
          <w:rFonts w:ascii="Times New Roman" w:hAnsi="Times New Roman" w:cs="Times New Roman"/>
          <w:sz w:val="24"/>
          <w:szCs w:val="24"/>
          <w:lang w:val="es-ES_tradnl"/>
        </w:rPr>
        <w:t>economía</w:t>
      </w:r>
      <w:r w:rsidRPr="00133C43">
        <w:rPr>
          <w:rFonts w:ascii="Times New Roman" w:hAnsi="Times New Roman" w:cs="Times New Roman"/>
          <w:sz w:val="24"/>
          <w:szCs w:val="24"/>
          <w:lang w:val="es-ES_tradnl"/>
        </w:rPr>
        <w:t xml:space="preserve"> </w:t>
      </w:r>
      <w:r w:rsidR="008C2133">
        <w:rPr>
          <w:rFonts w:ascii="Times New Roman" w:hAnsi="Times New Roman" w:cs="Times New Roman"/>
          <w:sz w:val="24"/>
          <w:szCs w:val="24"/>
          <w:lang w:val="es-ES_tradnl"/>
        </w:rPr>
        <w:t>tratada</w:t>
      </w:r>
      <w:r w:rsidRPr="00133C43">
        <w:rPr>
          <w:rFonts w:ascii="Times New Roman" w:hAnsi="Times New Roman" w:cs="Times New Roman"/>
          <w:sz w:val="24"/>
          <w:szCs w:val="24"/>
          <w:lang w:val="es-ES_tradnl"/>
        </w:rPr>
        <w:t xml:space="preserve"> y el </w:t>
      </w:r>
      <w:r w:rsidR="008C2133">
        <w:rPr>
          <w:rFonts w:ascii="Times New Roman" w:hAnsi="Times New Roman" w:cs="Times New Roman"/>
          <w:sz w:val="24"/>
          <w:szCs w:val="24"/>
          <w:lang w:val="es-ES_tradnl"/>
        </w:rPr>
        <w:t xml:space="preserve">grupo de control </w:t>
      </w:r>
      <w:r w:rsidRPr="00133C43">
        <w:rPr>
          <w:rFonts w:ascii="Times New Roman" w:hAnsi="Times New Roman" w:cs="Times New Roman"/>
          <w:sz w:val="24"/>
          <w:szCs w:val="24"/>
          <w:lang w:val="es-ES_tradnl"/>
        </w:rPr>
        <w:t xml:space="preserve">antes del tratamiento. </w:t>
      </w:r>
      <w:r w:rsidRPr="00133C43">
        <w:rPr>
          <w:rFonts w:ascii="Times New Roman" w:hAnsi="Times New Roman" w:cs="Times New Roman"/>
          <w:sz w:val="24"/>
          <w:szCs w:val="24"/>
        </w:rPr>
        <w:t xml:space="preserve">En la evaluación, </w:t>
      </w:r>
      <w:r w:rsidR="008C2133">
        <w:rPr>
          <w:rFonts w:ascii="Times New Roman" w:hAnsi="Times New Roman" w:cs="Times New Roman"/>
          <w:sz w:val="24"/>
          <w:szCs w:val="24"/>
        </w:rPr>
        <w:t>se</w:t>
      </w:r>
      <w:r w:rsidRPr="00133C43">
        <w:rPr>
          <w:rFonts w:ascii="Times New Roman" w:hAnsi="Times New Roman" w:cs="Times New Roman"/>
          <w:sz w:val="24"/>
          <w:szCs w:val="24"/>
        </w:rPr>
        <w:t xml:space="preserve"> utiliza</w:t>
      </w:r>
      <w:r w:rsidR="008C2133">
        <w:rPr>
          <w:rFonts w:ascii="Times New Roman" w:hAnsi="Times New Roman" w:cs="Times New Roman"/>
          <w:sz w:val="24"/>
          <w:szCs w:val="24"/>
        </w:rPr>
        <w:t>rá</w:t>
      </w:r>
      <w:r w:rsidRPr="00133C43">
        <w:rPr>
          <w:rFonts w:ascii="Times New Roman" w:hAnsi="Times New Roman" w:cs="Times New Roman"/>
          <w:sz w:val="24"/>
          <w:szCs w:val="24"/>
        </w:rPr>
        <w:t xml:space="preserve"> información anual de</w:t>
      </w:r>
      <w:r w:rsidR="008C2133">
        <w:rPr>
          <w:rFonts w:ascii="Times New Roman" w:hAnsi="Times New Roman" w:cs="Times New Roman"/>
          <w:sz w:val="24"/>
          <w:szCs w:val="24"/>
        </w:rPr>
        <w:t>sde</w:t>
      </w:r>
      <w:r w:rsidRPr="00133C43">
        <w:rPr>
          <w:rFonts w:ascii="Times New Roman" w:hAnsi="Times New Roman" w:cs="Times New Roman"/>
          <w:sz w:val="24"/>
          <w:szCs w:val="24"/>
        </w:rPr>
        <w:t xml:space="preserve"> principios de l</w:t>
      </w:r>
      <w:r w:rsidR="008C2133">
        <w:rPr>
          <w:rFonts w:ascii="Times New Roman" w:hAnsi="Times New Roman" w:cs="Times New Roman"/>
          <w:sz w:val="24"/>
          <w:szCs w:val="24"/>
        </w:rPr>
        <w:t>a década de</w:t>
      </w:r>
      <w:r w:rsidRPr="00133C43">
        <w:rPr>
          <w:rFonts w:ascii="Times New Roman" w:hAnsi="Times New Roman" w:cs="Times New Roman"/>
          <w:sz w:val="24"/>
          <w:szCs w:val="24"/>
        </w:rPr>
        <w:t xml:space="preserve"> </w:t>
      </w:r>
      <w:r w:rsidR="008C2133">
        <w:rPr>
          <w:rFonts w:ascii="Times New Roman" w:hAnsi="Times New Roman" w:cs="Times New Roman"/>
          <w:sz w:val="24"/>
          <w:szCs w:val="24"/>
        </w:rPr>
        <w:t>19</w:t>
      </w:r>
      <w:r w:rsidRPr="00133C43">
        <w:rPr>
          <w:rFonts w:ascii="Times New Roman" w:hAnsi="Times New Roman" w:cs="Times New Roman"/>
          <w:sz w:val="24"/>
          <w:szCs w:val="24"/>
        </w:rPr>
        <w:t>90.</w:t>
      </w:r>
      <w:r w:rsidR="00931F91" w:rsidRPr="00133C43">
        <w:rPr>
          <w:rFonts w:ascii="Times New Roman" w:hAnsi="Times New Roman" w:cs="Times New Roman"/>
          <w:noProof/>
          <w:sz w:val="24"/>
          <w:szCs w:val="24"/>
        </w:rPr>
        <w:t xml:space="preserve"> </w:t>
      </w:r>
      <w:r w:rsidR="00931F91" w:rsidRPr="00133C43">
        <w:rPr>
          <w:rFonts w:ascii="Times New Roman" w:hAnsi="Times New Roman" w:cs="Times New Roman"/>
          <w:sz w:val="24"/>
          <w:szCs w:val="24"/>
          <w:lang w:val="es-ES_tradnl"/>
        </w:rPr>
        <w:t xml:space="preserve">En este sentido, </w:t>
      </w:r>
      <w:r w:rsidR="008C2133">
        <w:rPr>
          <w:rFonts w:ascii="Times New Roman" w:hAnsi="Times New Roman" w:cs="Times New Roman"/>
          <w:sz w:val="24"/>
          <w:szCs w:val="24"/>
          <w:lang w:val="es-ES_tradnl"/>
        </w:rPr>
        <w:t xml:space="preserve">cabe mencionar </w:t>
      </w:r>
      <w:r w:rsidR="00931F91" w:rsidRPr="00133C43">
        <w:rPr>
          <w:rFonts w:ascii="Times New Roman" w:hAnsi="Times New Roman" w:cs="Times New Roman"/>
          <w:sz w:val="24"/>
          <w:szCs w:val="24"/>
          <w:lang w:val="es-ES_tradnl"/>
        </w:rPr>
        <w:t xml:space="preserve">que los países de la región </w:t>
      </w:r>
      <w:r w:rsidR="008C2133">
        <w:rPr>
          <w:rFonts w:ascii="Times New Roman" w:hAnsi="Times New Roman" w:cs="Times New Roman"/>
          <w:sz w:val="24"/>
          <w:szCs w:val="24"/>
          <w:lang w:val="es-ES_tradnl"/>
        </w:rPr>
        <w:t>implementaron r</w:t>
      </w:r>
      <w:r w:rsidR="00931F91" w:rsidRPr="00133C43">
        <w:rPr>
          <w:rFonts w:ascii="Times New Roman" w:hAnsi="Times New Roman" w:cs="Times New Roman"/>
          <w:sz w:val="24"/>
          <w:szCs w:val="24"/>
          <w:lang w:val="es-ES_tradnl"/>
        </w:rPr>
        <w:t>eformas significativas entre finales de l</w:t>
      </w:r>
      <w:r w:rsidR="008C2133">
        <w:rPr>
          <w:rFonts w:ascii="Times New Roman" w:hAnsi="Times New Roman" w:cs="Times New Roman"/>
          <w:sz w:val="24"/>
          <w:szCs w:val="24"/>
          <w:lang w:val="es-ES_tradnl"/>
        </w:rPr>
        <w:t>a década de 1980</w:t>
      </w:r>
      <w:r w:rsidR="00931F91" w:rsidRPr="00133C43">
        <w:rPr>
          <w:rFonts w:ascii="Times New Roman" w:hAnsi="Times New Roman" w:cs="Times New Roman"/>
          <w:sz w:val="24"/>
          <w:szCs w:val="24"/>
          <w:lang w:val="es-ES_tradnl"/>
        </w:rPr>
        <w:t xml:space="preserve"> y principios de l</w:t>
      </w:r>
      <w:r w:rsidR="008C2133">
        <w:rPr>
          <w:rFonts w:ascii="Times New Roman" w:hAnsi="Times New Roman" w:cs="Times New Roman"/>
          <w:sz w:val="24"/>
          <w:szCs w:val="24"/>
          <w:lang w:val="es-ES_tradnl"/>
        </w:rPr>
        <w:t>a década de 1990</w:t>
      </w:r>
      <w:r w:rsidR="00931F91" w:rsidRPr="00133C43">
        <w:rPr>
          <w:rFonts w:ascii="Times New Roman" w:hAnsi="Times New Roman" w:cs="Times New Roman"/>
          <w:sz w:val="24"/>
          <w:szCs w:val="24"/>
          <w:lang w:val="es-ES_tradnl"/>
        </w:rPr>
        <w:t>.</w:t>
      </w:r>
      <w:r w:rsidRPr="00133C43">
        <w:rPr>
          <w:rFonts w:ascii="Times New Roman" w:hAnsi="Times New Roman" w:cs="Times New Roman"/>
          <w:sz w:val="24"/>
          <w:szCs w:val="24"/>
          <w:lang w:val="es-ES_tradnl"/>
        </w:rPr>
        <w:t xml:space="preserve"> </w:t>
      </w:r>
      <w:r w:rsidR="00B077F7" w:rsidRPr="00133C43">
        <w:rPr>
          <w:rFonts w:ascii="Times New Roman" w:hAnsi="Times New Roman" w:cs="Times New Roman"/>
          <w:sz w:val="24"/>
          <w:szCs w:val="24"/>
          <w:lang w:val="es-ES_tradnl"/>
        </w:rPr>
        <w:t xml:space="preserve">La </w:t>
      </w:r>
      <w:r w:rsidR="008C2133">
        <w:rPr>
          <w:rFonts w:ascii="Times New Roman" w:hAnsi="Times New Roman" w:cs="Times New Roman"/>
          <w:sz w:val="24"/>
          <w:szCs w:val="24"/>
          <w:lang w:val="es-ES_tradnl"/>
        </w:rPr>
        <w:t xml:space="preserve">conveniencia </w:t>
      </w:r>
      <w:r w:rsidR="00B077F7" w:rsidRPr="00133C43">
        <w:rPr>
          <w:rFonts w:ascii="Times New Roman" w:hAnsi="Times New Roman" w:cs="Times New Roman"/>
          <w:sz w:val="24"/>
          <w:szCs w:val="24"/>
          <w:lang w:val="es-ES_tradnl"/>
        </w:rPr>
        <w:t xml:space="preserve">del uso de </w:t>
      </w:r>
      <w:r w:rsidR="008C2133">
        <w:rPr>
          <w:rFonts w:ascii="Times New Roman" w:hAnsi="Times New Roman" w:cs="Times New Roman"/>
          <w:sz w:val="24"/>
          <w:szCs w:val="24"/>
          <w:lang w:val="es-ES_tradnl"/>
        </w:rPr>
        <w:t>datos correspondientes a</w:t>
      </w:r>
      <w:r w:rsidR="00B077F7" w:rsidRPr="00133C43">
        <w:rPr>
          <w:rFonts w:ascii="Times New Roman" w:hAnsi="Times New Roman" w:cs="Times New Roman"/>
          <w:sz w:val="24"/>
          <w:szCs w:val="24"/>
          <w:lang w:val="es-ES_tradnl"/>
        </w:rPr>
        <w:t xml:space="preserve"> período</w:t>
      </w:r>
      <w:r w:rsidR="008378FD" w:rsidRPr="00133C43">
        <w:rPr>
          <w:rFonts w:ascii="Times New Roman" w:hAnsi="Times New Roman" w:cs="Times New Roman"/>
          <w:sz w:val="24"/>
          <w:szCs w:val="24"/>
          <w:lang w:val="es-ES_tradnl"/>
        </w:rPr>
        <w:t xml:space="preserve">s </w:t>
      </w:r>
      <w:r w:rsidR="00B077F7" w:rsidRPr="00133C43">
        <w:rPr>
          <w:rFonts w:ascii="Times New Roman" w:hAnsi="Times New Roman" w:cs="Times New Roman"/>
          <w:sz w:val="24"/>
          <w:szCs w:val="24"/>
          <w:lang w:val="es-ES_tradnl"/>
        </w:rPr>
        <w:t>anteriores será examinada cuidadosamente.</w:t>
      </w:r>
    </w:p>
    <w:p w:rsidR="00A05E30" w:rsidRDefault="00A05E30" w:rsidP="00133C43">
      <w:pPr>
        <w:spacing w:after="0" w:line="240" w:lineRule="auto"/>
        <w:jc w:val="both"/>
        <w:rPr>
          <w:rFonts w:ascii="Times New Roman" w:hAnsi="Times New Roman" w:cs="Times New Roman"/>
          <w:sz w:val="24"/>
          <w:szCs w:val="24"/>
          <w:lang w:val="es-ES_tradnl"/>
        </w:rPr>
      </w:pPr>
    </w:p>
    <w:p w:rsidR="00EC209E" w:rsidRPr="00133C43" w:rsidRDefault="00B077F7" w:rsidP="00133C43">
      <w:pPr>
        <w:spacing w:after="0" w:line="240" w:lineRule="auto"/>
        <w:jc w:val="both"/>
        <w:rPr>
          <w:rFonts w:ascii="Times New Roman" w:hAnsi="Times New Roman" w:cs="Times New Roman"/>
          <w:sz w:val="24"/>
          <w:szCs w:val="24"/>
          <w:lang w:val="es-ES_tradnl"/>
        </w:rPr>
      </w:pPr>
      <w:r w:rsidRPr="00133C43">
        <w:rPr>
          <w:rFonts w:ascii="Times New Roman" w:hAnsi="Times New Roman" w:cs="Times New Roman"/>
          <w:sz w:val="24"/>
          <w:szCs w:val="24"/>
          <w:lang w:val="es-ES_tradnl"/>
        </w:rPr>
        <w:t>A</w:t>
      </w:r>
      <w:r w:rsidR="00270DCF">
        <w:rPr>
          <w:rFonts w:ascii="Times New Roman" w:hAnsi="Times New Roman" w:cs="Times New Roman"/>
          <w:sz w:val="24"/>
          <w:szCs w:val="24"/>
          <w:lang w:val="es-ES_tradnl"/>
        </w:rPr>
        <w:t>simismo</w:t>
      </w:r>
      <w:r w:rsidRPr="00133C43">
        <w:rPr>
          <w:rFonts w:ascii="Times New Roman" w:hAnsi="Times New Roman" w:cs="Times New Roman"/>
          <w:sz w:val="24"/>
          <w:szCs w:val="24"/>
          <w:lang w:val="es-ES_tradnl"/>
        </w:rPr>
        <w:t xml:space="preserve">, dado que es recomendable restringir el conjunto de unidades en el </w:t>
      </w:r>
      <w:r w:rsidR="00270DCF">
        <w:rPr>
          <w:rFonts w:ascii="Times New Roman" w:hAnsi="Times New Roman" w:cs="Times New Roman"/>
          <w:sz w:val="24"/>
          <w:szCs w:val="24"/>
          <w:lang w:val="es-ES_tradnl"/>
        </w:rPr>
        <w:t xml:space="preserve">grupo de control </w:t>
      </w:r>
      <w:r w:rsidRPr="00133C43">
        <w:rPr>
          <w:rFonts w:ascii="Times New Roman" w:hAnsi="Times New Roman" w:cs="Times New Roman"/>
          <w:sz w:val="24"/>
          <w:szCs w:val="24"/>
          <w:lang w:val="es-ES_tradnl"/>
        </w:rPr>
        <w:t xml:space="preserve">de manera que tengan características similares a las de </w:t>
      </w:r>
      <w:r w:rsidR="00270DCF">
        <w:rPr>
          <w:rFonts w:ascii="Times New Roman" w:hAnsi="Times New Roman" w:cs="Times New Roman"/>
          <w:sz w:val="24"/>
          <w:szCs w:val="24"/>
          <w:lang w:val="es-ES_tradnl"/>
        </w:rPr>
        <w:t>la economía a</w:t>
      </w:r>
      <w:r w:rsidRPr="00133C43">
        <w:rPr>
          <w:rFonts w:ascii="Times New Roman" w:hAnsi="Times New Roman" w:cs="Times New Roman"/>
          <w:sz w:val="24"/>
          <w:szCs w:val="24"/>
          <w:lang w:val="es-ES_tradnl"/>
        </w:rPr>
        <w:t>fectad</w:t>
      </w:r>
      <w:r w:rsidR="00270DCF">
        <w:rPr>
          <w:rFonts w:ascii="Times New Roman" w:hAnsi="Times New Roman" w:cs="Times New Roman"/>
          <w:sz w:val="24"/>
          <w:szCs w:val="24"/>
          <w:lang w:val="es-ES_tradnl"/>
        </w:rPr>
        <w:t>a</w:t>
      </w:r>
      <w:r w:rsidRPr="00133C43">
        <w:rPr>
          <w:rFonts w:ascii="Times New Roman" w:hAnsi="Times New Roman" w:cs="Times New Roman"/>
          <w:sz w:val="24"/>
          <w:szCs w:val="24"/>
          <w:lang w:val="es-ES_tradnl"/>
        </w:rPr>
        <w:t xml:space="preserve"> por la intervención de interés, los controles será</w:t>
      </w:r>
      <w:r w:rsidR="0071702B" w:rsidRPr="00133C43">
        <w:rPr>
          <w:rFonts w:ascii="Times New Roman" w:hAnsi="Times New Roman" w:cs="Times New Roman"/>
          <w:sz w:val="24"/>
          <w:szCs w:val="24"/>
          <w:lang w:val="es-ES_tradnl"/>
        </w:rPr>
        <w:t>n</w:t>
      </w:r>
      <w:r w:rsidRPr="00133C43">
        <w:rPr>
          <w:rFonts w:ascii="Times New Roman" w:hAnsi="Times New Roman" w:cs="Times New Roman"/>
          <w:sz w:val="24"/>
          <w:szCs w:val="24"/>
          <w:lang w:val="es-ES_tradnl"/>
        </w:rPr>
        <w:t xml:space="preserve"> primordialmente otros país</w:t>
      </w:r>
      <w:r w:rsidR="0071702B" w:rsidRPr="00133C43">
        <w:rPr>
          <w:rFonts w:ascii="Times New Roman" w:hAnsi="Times New Roman" w:cs="Times New Roman"/>
          <w:sz w:val="24"/>
          <w:szCs w:val="24"/>
          <w:lang w:val="es-ES_tradnl"/>
        </w:rPr>
        <w:t>es</w:t>
      </w:r>
      <w:r w:rsidRPr="00133C43">
        <w:rPr>
          <w:rFonts w:ascii="Times New Roman" w:hAnsi="Times New Roman" w:cs="Times New Roman"/>
          <w:sz w:val="24"/>
          <w:szCs w:val="24"/>
          <w:lang w:val="es-ES_tradnl"/>
        </w:rPr>
        <w:t xml:space="preserve"> latinoamericanos que no </w:t>
      </w:r>
      <w:r w:rsidR="0071702B" w:rsidRPr="00133C43">
        <w:rPr>
          <w:rFonts w:ascii="Times New Roman" w:hAnsi="Times New Roman" w:cs="Times New Roman"/>
          <w:sz w:val="24"/>
          <w:szCs w:val="24"/>
          <w:lang w:val="es-ES_tradnl"/>
        </w:rPr>
        <w:t>adoptaron</w:t>
      </w:r>
      <w:r w:rsidRPr="00133C43">
        <w:rPr>
          <w:rFonts w:ascii="Times New Roman" w:hAnsi="Times New Roman" w:cs="Times New Roman"/>
          <w:sz w:val="24"/>
          <w:szCs w:val="24"/>
          <w:lang w:val="es-ES_tradnl"/>
        </w:rPr>
        <w:t xml:space="preserve">  </w:t>
      </w:r>
      <w:r w:rsidR="0071702B" w:rsidRPr="00133C43">
        <w:rPr>
          <w:rFonts w:ascii="Times New Roman" w:hAnsi="Times New Roman" w:cs="Times New Roman"/>
          <w:sz w:val="24"/>
          <w:szCs w:val="24"/>
          <w:lang w:val="es-ES_tradnl"/>
        </w:rPr>
        <w:t xml:space="preserve">políticas </w:t>
      </w:r>
      <w:r w:rsidR="00270DCF">
        <w:rPr>
          <w:rFonts w:ascii="Times New Roman" w:hAnsi="Times New Roman" w:cs="Times New Roman"/>
          <w:sz w:val="24"/>
          <w:szCs w:val="24"/>
          <w:lang w:val="es-ES_tradnl"/>
        </w:rPr>
        <w:t xml:space="preserve">importantes </w:t>
      </w:r>
      <w:r w:rsidR="0071702B" w:rsidRPr="00133C43">
        <w:rPr>
          <w:rFonts w:ascii="Times New Roman" w:hAnsi="Times New Roman" w:cs="Times New Roman"/>
          <w:sz w:val="24"/>
          <w:szCs w:val="24"/>
          <w:lang w:val="es-ES_tradnl"/>
        </w:rPr>
        <w:t>de</w:t>
      </w:r>
      <w:r w:rsidRPr="00133C43">
        <w:rPr>
          <w:rFonts w:ascii="Times New Roman" w:hAnsi="Times New Roman" w:cs="Times New Roman"/>
          <w:sz w:val="24"/>
          <w:szCs w:val="24"/>
          <w:lang w:val="es-ES_tradnl"/>
        </w:rPr>
        <w:t xml:space="preserve"> </w:t>
      </w:r>
      <w:r w:rsidR="0071702B" w:rsidRPr="00133C43">
        <w:rPr>
          <w:rFonts w:ascii="Times New Roman" w:hAnsi="Times New Roman" w:cs="Times New Roman"/>
          <w:sz w:val="24"/>
          <w:szCs w:val="24"/>
          <w:lang w:val="es-ES_tradnl"/>
        </w:rPr>
        <w:t xml:space="preserve">promoción </w:t>
      </w:r>
      <w:r w:rsidRPr="00133C43">
        <w:rPr>
          <w:rFonts w:ascii="Times New Roman" w:hAnsi="Times New Roman" w:cs="Times New Roman"/>
          <w:sz w:val="24"/>
          <w:szCs w:val="24"/>
          <w:lang w:val="es-ES_tradnl"/>
        </w:rPr>
        <w:t xml:space="preserve">de </w:t>
      </w:r>
      <w:r w:rsidR="00270DCF">
        <w:rPr>
          <w:rFonts w:ascii="Times New Roman" w:hAnsi="Times New Roman" w:cs="Times New Roman"/>
          <w:sz w:val="24"/>
          <w:szCs w:val="24"/>
          <w:lang w:val="es-ES_tradnl"/>
        </w:rPr>
        <w:t xml:space="preserve">la inversión extranjera directa </w:t>
      </w:r>
      <w:r w:rsidR="0071702B" w:rsidRPr="00133C43">
        <w:rPr>
          <w:rFonts w:ascii="Times New Roman" w:hAnsi="Times New Roman" w:cs="Times New Roman"/>
          <w:sz w:val="24"/>
          <w:szCs w:val="24"/>
          <w:lang w:val="es-ES_tradnl"/>
        </w:rPr>
        <w:t xml:space="preserve">o que </w:t>
      </w:r>
      <w:r w:rsidR="00270DCF">
        <w:rPr>
          <w:rFonts w:ascii="Times New Roman" w:hAnsi="Times New Roman" w:cs="Times New Roman"/>
          <w:sz w:val="24"/>
          <w:szCs w:val="24"/>
          <w:lang w:val="es-ES_tradnl"/>
        </w:rPr>
        <w:t xml:space="preserve">no </w:t>
      </w:r>
      <w:r w:rsidR="0071702B" w:rsidRPr="00133C43">
        <w:rPr>
          <w:rFonts w:ascii="Times New Roman" w:hAnsi="Times New Roman" w:cs="Times New Roman"/>
          <w:sz w:val="24"/>
          <w:szCs w:val="24"/>
          <w:lang w:val="es-ES_tradnl"/>
        </w:rPr>
        <w:t xml:space="preserve">fueron afectados por otros eventos o intervenciones que tuvieron efectos </w:t>
      </w:r>
      <w:r w:rsidR="00270DCF">
        <w:rPr>
          <w:rFonts w:ascii="Times New Roman" w:hAnsi="Times New Roman" w:cs="Times New Roman"/>
          <w:sz w:val="24"/>
          <w:szCs w:val="24"/>
          <w:lang w:val="es-ES_tradnl"/>
        </w:rPr>
        <w:t>significativos</w:t>
      </w:r>
      <w:r w:rsidR="0071702B" w:rsidRPr="00133C43">
        <w:rPr>
          <w:rFonts w:ascii="Times New Roman" w:hAnsi="Times New Roman" w:cs="Times New Roman"/>
          <w:sz w:val="24"/>
          <w:szCs w:val="24"/>
          <w:lang w:val="es-ES_tradnl"/>
        </w:rPr>
        <w:t xml:space="preserve"> </w:t>
      </w:r>
      <w:r w:rsidR="00270DCF">
        <w:rPr>
          <w:rFonts w:ascii="Times New Roman" w:hAnsi="Times New Roman" w:cs="Times New Roman"/>
          <w:sz w:val="24"/>
          <w:szCs w:val="24"/>
          <w:lang w:val="es-ES_tradnl"/>
        </w:rPr>
        <w:t>sobre el ingreso de inversión extranjera directa</w:t>
      </w:r>
      <w:r w:rsidR="00EC209E" w:rsidRPr="00133C43">
        <w:rPr>
          <w:rFonts w:ascii="Times New Roman" w:hAnsi="Times New Roman" w:cs="Times New Roman"/>
          <w:sz w:val="24"/>
          <w:szCs w:val="24"/>
          <w:lang w:val="es-ES_tradnl"/>
        </w:rPr>
        <w:t>, que no fueron afectad</w:t>
      </w:r>
      <w:r w:rsidR="00270DCF">
        <w:rPr>
          <w:rFonts w:ascii="Times New Roman" w:hAnsi="Times New Roman" w:cs="Times New Roman"/>
          <w:sz w:val="24"/>
          <w:szCs w:val="24"/>
          <w:lang w:val="es-ES_tradnl"/>
        </w:rPr>
        <w:t>a</w:t>
      </w:r>
      <w:r w:rsidR="00EC209E" w:rsidRPr="00133C43">
        <w:rPr>
          <w:rFonts w:ascii="Times New Roman" w:hAnsi="Times New Roman" w:cs="Times New Roman"/>
          <w:sz w:val="24"/>
          <w:szCs w:val="24"/>
          <w:lang w:val="es-ES_tradnl"/>
        </w:rPr>
        <w:t xml:space="preserve">s sustancialmente por la reforma económica uruguaya, y cuya combinación pueda aproximar los valores </w:t>
      </w:r>
      <w:r w:rsidR="00270DCF">
        <w:rPr>
          <w:rFonts w:ascii="Times New Roman" w:hAnsi="Times New Roman" w:cs="Times New Roman"/>
          <w:sz w:val="24"/>
          <w:szCs w:val="24"/>
          <w:lang w:val="es-ES_tradnl"/>
        </w:rPr>
        <w:t xml:space="preserve">de los determinantes de la inversión extranjera directa para </w:t>
      </w:r>
      <w:r w:rsidR="00EC209E" w:rsidRPr="00133C43">
        <w:rPr>
          <w:rFonts w:ascii="Times New Roman" w:hAnsi="Times New Roman" w:cs="Times New Roman"/>
          <w:sz w:val="24"/>
          <w:szCs w:val="24"/>
          <w:lang w:val="es-ES_tradnl"/>
        </w:rPr>
        <w:t xml:space="preserve">para Uruguay previos al </w:t>
      </w:r>
      <w:r w:rsidR="00270DCF">
        <w:rPr>
          <w:rFonts w:ascii="Times New Roman" w:hAnsi="Times New Roman" w:cs="Times New Roman"/>
          <w:sz w:val="24"/>
          <w:szCs w:val="24"/>
          <w:lang w:val="es-ES_tradnl"/>
        </w:rPr>
        <w:t xml:space="preserve">año </w:t>
      </w:r>
      <w:r w:rsidR="00EC209E" w:rsidRPr="00133C43">
        <w:rPr>
          <w:rFonts w:ascii="Times New Roman" w:hAnsi="Times New Roman" w:cs="Times New Roman"/>
          <w:sz w:val="24"/>
          <w:szCs w:val="24"/>
          <w:lang w:val="es-ES_tradnl"/>
        </w:rPr>
        <w:t>201</w:t>
      </w:r>
      <w:r w:rsidR="00EA1CA9" w:rsidRPr="00133C43">
        <w:rPr>
          <w:rFonts w:ascii="Times New Roman" w:hAnsi="Times New Roman" w:cs="Times New Roman"/>
          <w:sz w:val="24"/>
          <w:szCs w:val="24"/>
          <w:lang w:val="es-ES_tradnl"/>
        </w:rPr>
        <w:t>2</w:t>
      </w:r>
      <w:r w:rsidR="00EC209E" w:rsidRPr="00133C43">
        <w:rPr>
          <w:rFonts w:ascii="Times New Roman" w:hAnsi="Times New Roman" w:cs="Times New Roman"/>
          <w:sz w:val="24"/>
          <w:szCs w:val="24"/>
          <w:lang w:val="es-ES_tradnl"/>
        </w:rPr>
        <w:t xml:space="preserve">. La viabilidad de grupos de control alternativos </w:t>
      </w:r>
      <w:r w:rsidR="00270DCF">
        <w:rPr>
          <w:rFonts w:ascii="Times New Roman" w:hAnsi="Times New Roman" w:cs="Times New Roman"/>
          <w:sz w:val="24"/>
          <w:szCs w:val="24"/>
          <w:lang w:val="es-ES_tradnl"/>
        </w:rPr>
        <w:t xml:space="preserve">que </w:t>
      </w:r>
      <w:r w:rsidR="00EC209E" w:rsidRPr="00133C43">
        <w:rPr>
          <w:rFonts w:ascii="Times New Roman" w:hAnsi="Times New Roman" w:cs="Times New Roman"/>
          <w:sz w:val="24"/>
          <w:szCs w:val="24"/>
          <w:lang w:val="es-ES_tradnl"/>
        </w:rPr>
        <w:t>incluy</w:t>
      </w:r>
      <w:r w:rsidR="00270DCF">
        <w:rPr>
          <w:rFonts w:ascii="Times New Roman" w:hAnsi="Times New Roman" w:cs="Times New Roman"/>
          <w:sz w:val="24"/>
          <w:szCs w:val="24"/>
          <w:lang w:val="es-ES_tradnl"/>
        </w:rPr>
        <w:t>an</w:t>
      </w:r>
      <w:r w:rsidR="00EC209E" w:rsidRPr="00133C43">
        <w:rPr>
          <w:rFonts w:ascii="Times New Roman" w:hAnsi="Times New Roman" w:cs="Times New Roman"/>
          <w:sz w:val="24"/>
          <w:szCs w:val="24"/>
          <w:lang w:val="es-ES_tradnl"/>
        </w:rPr>
        <w:t xml:space="preserve"> países en otras regiones también será explorada. </w:t>
      </w:r>
    </w:p>
    <w:p w:rsidR="00A05E30" w:rsidRDefault="00A05E30" w:rsidP="00133C43">
      <w:pPr>
        <w:spacing w:after="0" w:line="240" w:lineRule="auto"/>
        <w:jc w:val="both"/>
        <w:rPr>
          <w:rFonts w:ascii="Times New Roman" w:hAnsi="Times New Roman" w:cs="Times New Roman"/>
          <w:sz w:val="24"/>
          <w:szCs w:val="24"/>
          <w:lang w:val="es-ES_tradnl"/>
        </w:rPr>
      </w:pPr>
    </w:p>
    <w:p w:rsidR="00EC209E" w:rsidRDefault="002B4414" w:rsidP="00133C4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Tabla 2</w:t>
      </w:r>
      <w:r w:rsidR="00EC209E" w:rsidRPr="00133C43">
        <w:rPr>
          <w:rFonts w:ascii="Times New Roman" w:hAnsi="Times New Roman" w:cs="Times New Roman"/>
          <w:sz w:val="24"/>
          <w:szCs w:val="24"/>
          <w:lang w:val="es-ES_tradnl"/>
        </w:rPr>
        <w:t xml:space="preserve"> </w:t>
      </w:r>
      <w:r w:rsidR="00270DCF">
        <w:rPr>
          <w:rFonts w:ascii="Times New Roman" w:hAnsi="Times New Roman" w:cs="Times New Roman"/>
          <w:sz w:val="24"/>
          <w:szCs w:val="24"/>
          <w:lang w:val="es-ES_tradnl"/>
        </w:rPr>
        <w:t>presenta</w:t>
      </w:r>
      <w:r w:rsidR="00EC209E" w:rsidRPr="00133C43">
        <w:rPr>
          <w:rFonts w:ascii="Times New Roman" w:hAnsi="Times New Roman" w:cs="Times New Roman"/>
          <w:sz w:val="24"/>
          <w:szCs w:val="24"/>
          <w:lang w:val="es-ES_tradnl"/>
        </w:rPr>
        <w:t xml:space="preserve"> una lista de </w:t>
      </w:r>
      <w:r w:rsidR="00270DCF">
        <w:rPr>
          <w:rFonts w:ascii="Times New Roman" w:hAnsi="Times New Roman" w:cs="Times New Roman"/>
          <w:sz w:val="24"/>
          <w:szCs w:val="24"/>
          <w:lang w:val="es-ES_tradnl"/>
        </w:rPr>
        <w:t xml:space="preserve">las </w:t>
      </w:r>
      <w:r w:rsidR="00EC209E" w:rsidRPr="00133C43">
        <w:rPr>
          <w:rFonts w:ascii="Times New Roman" w:hAnsi="Times New Roman" w:cs="Times New Roman"/>
          <w:sz w:val="24"/>
          <w:szCs w:val="24"/>
          <w:lang w:val="es-ES_tradnl"/>
        </w:rPr>
        <w:t xml:space="preserve">variables </w:t>
      </w:r>
      <w:r w:rsidR="00270DCF">
        <w:rPr>
          <w:rFonts w:ascii="Times New Roman" w:hAnsi="Times New Roman" w:cs="Times New Roman"/>
          <w:sz w:val="24"/>
          <w:szCs w:val="24"/>
          <w:lang w:val="es-ES_tradnl"/>
        </w:rPr>
        <w:t>que serán potencialmente usadas</w:t>
      </w:r>
      <w:r w:rsidR="00EC209E" w:rsidRPr="00133C43">
        <w:rPr>
          <w:rFonts w:ascii="Times New Roman" w:hAnsi="Times New Roman" w:cs="Times New Roman"/>
          <w:sz w:val="24"/>
          <w:szCs w:val="24"/>
          <w:lang w:val="es-ES_tradnl"/>
        </w:rPr>
        <w:t xml:space="preserve">, </w:t>
      </w:r>
      <w:r w:rsidR="00270DCF">
        <w:rPr>
          <w:rFonts w:ascii="Times New Roman" w:hAnsi="Times New Roman" w:cs="Times New Roman"/>
          <w:sz w:val="24"/>
          <w:szCs w:val="24"/>
          <w:lang w:val="es-ES_tradnl"/>
        </w:rPr>
        <w:t xml:space="preserve">las respectivas </w:t>
      </w:r>
      <w:r w:rsidR="00EC209E" w:rsidRPr="00133C43">
        <w:rPr>
          <w:rFonts w:ascii="Times New Roman" w:hAnsi="Times New Roman" w:cs="Times New Roman"/>
          <w:sz w:val="24"/>
          <w:szCs w:val="24"/>
          <w:lang w:val="es-ES_tradnl"/>
        </w:rPr>
        <w:t xml:space="preserve">fuentes de datos y </w:t>
      </w:r>
      <w:r w:rsidR="00270DCF">
        <w:rPr>
          <w:rFonts w:ascii="Times New Roman" w:hAnsi="Times New Roman" w:cs="Times New Roman"/>
          <w:sz w:val="24"/>
          <w:szCs w:val="24"/>
          <w:lang w:val="es-ES_tradnl"/>
        </w:rPr>
        <w:t>los</w:t>
      </w:r>
      <w:r w:rsidR="00EC209E" w:rsidRPr="00133C43">
        <w:rPr>
          <w:rFonts w:ascii="Times New Roman" w:hAnsi="Times New Roman" w:cs="Times New Roman"/>
          <w:sz w:val="24"/>
          <w:szCs w:val="24"/>
          <w:lang w:val="es-ES_tradnl"/>
        </w:rPr>
        <w:t xml:space="preserve"> período</w:t>
      </w:r>
      <w:r w:rsidR="00270DCF">
        <w:rPr>
          <w:rFonts w:ascii="Times New Roman" w:hAnsi="Times New Roman" w:cs="Times New Roman"/>
          <w:sz w:val="24"/>
          <w:szCs w:val="24"/>
          <w:lang w:val="es-ES_tradnl"/>
        </w:rPr>
        <w:t>s</w:t>
      </w:r>
      <w:r w:rsidR="00EC209E" w:rsidRPr="00133C43">
        <w:rPr>
          <w:rFonts w:ascii="Times New Roman" w:hAnsi="Times New Roman" w:cs="Times New Roman"/>
          <w:sz w:val="24"/>
          <w:szCs w:val="24"/>
          <w:lang w:val="es-ES_tradnl"/>
        </w:rPr>
        <w:t xml:space="preserve"> </w:t>
      </w:r>
      <w:r w:rsidR="00270DCF">
        <w:rPr>
          <w:rFonts w:ascii="Times New Roman" w:hAnsi="Times New Roman" w:cs="Times New Roman"/>
          <w:sz w:val="24"/>
          <w:szCs w:val="24"/>
          <w:lang w:val="es-ES_tradnl"/>
        </w:rPr>
        <w:t>para los cuales están disponibles los datos correspondientes.</w:t>
      </w:r>
    </w:p>
    <w:p w:rsidR="00270DCF" w:rsidRDefault="00270DCF" w:rsidP="00133C43">
      <w:pPr>
        <w:spacing w:after="0" w:line="240" w:lineRule="auto"/>
        <w:jc w:val="both"/>
        <w:rPr>
          <w:rFonts w:ascii="Times New Roman" w:hAnsi="Times New Roman" w:cs="Times New Roman"/>
          <w:sz w:val="24"/>
          <w:szCs w:val="24"/>
          <w:lang w:val="es-ES_tradnl"/>
        </w:rPr>
      </w:pPr>
    </w:p>
    <w:p w:rsidR="00270DCF" w:rsidRDefault="00270DCF" w:rsidP="00133C43">
      <w:pPr>
        <w:spacing w:after="0" w:line="240" w:lineRule="auto"/>
        <w:jc w:val="both"/>
        <w:rPr>
          <w:rFonts w:ascii="Times New Roman" w:hAnsi="Times New Roman" w:cs="Times New Roman"/>
          <w:sz w:val="24"/>
          <w:szCs w:val="24"/>
          <w:lang w:val="es-ES_tradnl"/>
        </w:rPr>
      </w:pPr>
    </w:p>
    <w:p w:rsidR="00270DCF" w:rsidRDefault="00270DCF" w:rsidP="00133C43">
      <w:pPr>
        <w:spacing w:after="0" w:line="240" w:lineRule="auto"/>
        <w:jc w:val="both"/>
        <w:rPr>
          <w:rFonts w:ascii="Times New Roman" w:hAnsi="Times New Roman" w:cs="Times New Roman"/>
          <w:sz w:val="24"/>
          <w:szCs w:val="24"/>
          <w:lang w:val="es-ES_tradnl"/>
        </w:rPr>
      </w:pPr>
    </w:p>
    <w:p w:rsidR="00270DCF" w:rsidRPr="00133C43" w:rsidRDefault="00270DCF" w:rsidP="00133C43">
      <w:pPr>
        <w:spacing w:after="0" w:line="240" w:lineRule="auto"/>
        <w:jc w:val="both"/>
        <w:rPr>
          <w:rFonts w:ascii="Times New Roman" w:hAnsi="Times New Roman" w:cs="Times New Roman"/>
          <w:sz w:val="24"/>
          <w:szCs w:val="24"/>
          <w:lang w:val="es-ES_tradnl"/>
        </w:rPr>
      </w:pPr>
    </w:p>
    <w:p w:rsidR="00A42E9C" w:rsidRDefault="00A42E9C" w:rsidP="001B77FA">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br w:type="page"/>
      </w:r>
    </w:p>
    <w:p w:rsidR="00B82D3E" w:rsidRPr="00133C43" w:rsidRDefault="00B82D3E" w:rsidP="00B82D3E">
      <w:pPr>
        <w:spacing w:after="0" w:line="360" w:lineRule="auto"/>
        <w:jc w:val="center"/>
        <w:rPr>
          <w:rFonts w:ascii="Times New Roman" w:hAnsi="Times New Roman" w:cs="Times New Roman"/>
          <w:b/>
          <w:sz w:val="20"/>
          <w:szCs w:val="20"/>
        </w:rPr>
      </w:pPr>
      <w:r w:rsidRPr="00133C43">
        <w:rPr>
          <w:rFonts w:ascii="Times New Roman" w:hAnsi="Times New Roman" w:cs="Times New Roman"/>
          <w:b/>
          <w:sz w:val="20"/>
          <w:szCs w:val="20"/>
        </w:rPr>
        <w:t>Ta</w:t>
      </w:r>
      <w:r w:rsidR="00A05E30">
        <w:rPr>
          <w:rFonts w:ascii="Times New Roman" w:hAnsi="Times New Roman" w:cs="Times New Roman"/>
          <w:b/>
          <w:sz w:val="20"/>
          <w:szCs w:val="20"/>
        </w:rPr>
        <w:t>bla</w:t>
      </w:r>
      <w:r w:rsidR="00EA1CA9" w:rsidRPr="00133C43">
        <w:rPr>
          <w:rFonts w:ascii="Times New Roman" w:hAnsi="Times New Roman" w:cs="Times New Roman"/>
          <w:b/>
          <w:sz w:val="20"/>
          <w:szCs w:val="20"/>
        </w:rPr>
        <w:t xml:space="preserve"> </w:t>
      </w:r>
      <w:r w:rsidR="00B907F3">
        <w:rPr>
          <w:rFonts w:ascii="Times New Roman" w:hAnsi="Times New Roman" w:cs="Times New Roman"/>
          <w:b/>
          <w:sz w:val="20"/>
          <w:szCs w:val="20"/>
        </w:rPr>
        <w:t>3</w:t>
      </w:r>
    </w:p>
    <w:tbl>
      <w:tblPr>
        <w:tblW w:w="11755" w:type="dxa"/>
        <w:jc w:val="center"/>
        <w:tblInd w:w="-228" w:type="dxa"/>
        <w:tblLook w:val="04A0" w:firstRow="1" w:lastRow="0" w:firstColumn="1" w:lastColumn="0" w:noHBand="0" w:noVBand="1"/>
      </w:tblPr>
      <w:tblGrid>
        <w:gridCol w:w="6875"/>
        <w:gridCol w:w="3466"/>
        <w:gridCol w:w="1414"/>
      </w:tblGrid>
      <w:tr w:rsidR="00B82D3E" w:rsidRPr="00133C43" w:rsidTr="002B4414">
        <w:trPr>
          <w:trHeight w:val="282"/>
          <w:jc w:val="center"/>
        </w:trPr>
        <w:tc>
          <w:tcPr>
            <w:tcW w:w="6875" w:type="dxa"/>
            <w:tcBorders>
              <w:top w:val="double" w:sz="6" w:space="0" w:color="auto"/>
              <w:left w:val="nil"/>
              <w:bottom w:val="double" w:sz="6" w:space="0" w:color="auto"/>
              <w:right w:val="nil"/>
            </w:tcBorders>
            <w:shd w:val="clear" w:color="000000" w:fill="FFFFFF"/>
            <w:vAlign w:val="center"/>
            <w:hideMark/>
          </w:tcPr>
          <w:p w:rsidR="00B82D3E" w:rsidRPr="002B4414" w:rsidRDefault="00B82D3E" w:rsidP="004E7986">
            <w:pPr>
              <w:spacing w:after="0" w:line="240" w:lineRule="auto"/>
              <w:jc w:val="center"/>
              <w:rPr>
                <w:rFonts w:ascii="Times New Roman" w:eastAsia="Times New Roman" w:hAnsi="Times New Roman" w:cs="Times New Roman"/>
                <w:b/>
                <w:bCs/>
                <w:color w:val="000000"/>
                <w:sz w:val="18"/>
                <w:szCs w:val="18"/>
              </w:rPr>
            </w:pPr>
            <w:r w:rsidRPr="002B4414">
              <w:rPr>
                <w:rFonts w:ascii="Times New Roman" w:eastAsia="Times New Roman" w:hAnsi="Times New Roman" w:cs="Times New Roman"/>
                <w:b/>
                <w:bCs/>
                <w:color w:val="000000"/>
                <w:sz w:val="18"/>
                <w:szCs w:val="18"/>
              </w:rPr>
              <w:t>Variable</w:t>
            </w:r>
          </w:p>
        </w:tc>
        <w:tc>
          <w:tcPr>
            <w:tcW w:w="3466" w:type="dxa"/>
            <w:tcBorders>
              <w:top w:val="double" w:sz="6" w:space="0" w:color="auto"/>
              <w:left w:val="nil"/>
              <w:bottom w:val="double" w:sz="6" w:space="0" w:color="auto"/>
              <w:right w:val="nil"/>
            </w:tcBorders>
            <w:shd w:val="clear" w:color="000000" w:fill="FFFFFF"/>
            <w:vAlign w:val="center"/>
            <w:hideMark/>
          </w:tcPr>
          <w:p w:rsidR="00B82D3E" w:rsidRPr="002B4414" w:rsidRDefault="00EA1CA9" w:rsidP="00EA1CA9">
            <w:pPr>
              <w:spacing w:after="0" w:line="240" w:lineRule="auto"/>
              <w:jc w:val="center"/>
              <w:rPr>
                <w:rFonts w:ascii="Times New Roman" w:eastAsia="Times New Roman" w:hAnsi="Times New Roman" w:cs="Times New Roman"/>
                <w:b/>
                <w:bCs/>
                <w:color w:val="000000"/>
                <w:sz w:val="18"/>
                <w:szCs w:val="18"/>
              </w:rPr>
            </w:pPr>
            <w:r w:rsidRPr="002B4414">
              <w:rPr>
                <w:rFonts w:ascii="Times New Roman" w:eastAsia="Times New Roman" w:hAnsi="Times New Roman" w:cs="Times New Roman"/>
                <w:b/>
                <w:bCs/>
                <w:color w:val="000000"/>
                <w:sz w:val="18"/>
                <w:szCs w:val="18"/>
              </w:rPr>
              <w:t>Fuente</w:t>
            </w:r>
          </w:p>
        </w:tc>
        <w:tc>
          <w:tcPr>
            <w:tcW w:w="1414" w:type="dxa"/>
            <w:tcBorders>
              <w:top w:val="double" w:sz="6" w:space="0" w:color="auto"/>
              <w:left w:val="nil"/>
              <w:bottom w:val="double" w:sz="6" w:space="0" w:color="auto"/>
              <w:right w:val="nil"/>
            </w:tcBorders>
            <w:shd w:val="clear" w:color="000000" w:fill="FFFFFF"/>
            <w:vAlign w:val="center"/>
            <w:hideMark/>
          </w:tcPr>
          <w:p w:rsidR="00B82D3E" w:rsidRPr="002B4414" w:rsidRDefault="00B82D3E" w:rsidP="004E7986">
            <w:pPr>
              <w:spacing w:after="0" w:line="240" w:lineRule="auto"/>
              <w:jc w:val="center"/>
              <w:rPr>
                <w:rFonts w:ascii="Times New Roman" w:eastAsia="Times New Roman" w:hAnsi="Times New Roman" w:cs="Times New Roman"/>
                <w:b/>
                <w:bCs/>
                <w:color w:val="000000"/>
                <w:sz w:val="18"/>
                <w:szCs w:val="18"/>
              </w:rPr>
            </w:pPr>
            <w:r w:rsidRPr="002B4414">
              <w:rPr>
                <w:rFonts w:ascii="Times New Roman" w:eastAsia="Times New Roman" w:hAnsi="Times New Roman" w:cs="Times New Roman"/>
                <w:b/>
                <w:bCs/>
                <w:color w:val="000000"/>
                <w:sz w:val="18"/>
                <w:szCs w:val="18"/>
              </w:rPr>
              <w:t>Period</w:t>
            </w:r>
            <w:r w:rsidR="00EA1CA9" w:rsidRPr="002B4414">
              <w:rPr>
                <w:rFonts w:ascii="Times New Roman" w:eastAsia="Times New Roman" w:hAnsi="Times New Roman" w:cs="Times New Roman"/>
                <w:b/>
                <w:bCs/>
                <w:color w:val="000000"/>
                <w:sz w:val="18"/>
                <w:szCs w:val="18"/>
              </w:rPr>
              <w:t>o</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Foreign direct investment, net (</w:t>
            </w:r>
            <w:proofErr w:type="spellStart"/>
            <w:r w:rsidRPr="002B4414">
              <w:rPr>
                <w:rFonts w:ascii="Times New Roman" w:eastAsia="Times New Roman" w:hAnsi="Times New Roman" w:cs="Times New Roman"/>
                <w:color w:val="000000"/>
                <w:sz w:val="18"/>
                <w:szCs w:val="18"/>
                <w:lang w:val="en-US"/>
              </w:rPr>
              <w:t>BoP</w:t>
            </w:r>
            <w:proofErr w:type="spellEnd"/>
            <w:r w:rsidRPr="002B4414">
              <w:rPr>
                <w:rFonts w:ascii="Times New Roman" w:eastAsia="Times New Roman" w:hAnsi="Times New Roman" w:cs="Times New Roman"/>
                <w:color w:val="000000"/>
                <w:sz w:val="18"/>
                <w:szCs w:val="18"/>
                <w:lang w:val="en-US"/>
              </w:rPr>
              <w:t>, current US$)</w:t>
            </w:r>
          </w:p>
        </w:tc>
        <w:tc>
          <w:tcPr>
            <w:tcW w:w="3466" w:type="dxa"/>
            <w:tcBorders>
              <w:top w:val="nil"/>
              <w:left w:val="nil"/>
              <w:bottom w:val="nil"/>
              <w:right w:val="nil"/>
            </w:tcBorders>
            <w:shd w:val="clear" w:color="000000" w:fill="FFFFFF"/>
            <w:noWrap/>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1979-2010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Foreign direct investment, net inflows (% of GDP)</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1977-2010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Foreign direct investment, net inflows (</w:t>
            </w:r>
            <w:proofErr w:type="spellStart"/>
            <w:r w:rsidRPr="002B4414">
              <w:rPr>
                <w:rFonts w:ascii="Times New Roman" w:eastAsia="Times New Roman" w:hAnsi="Times New Roman" w:cs="Times New Roman"/>
                <w:color w:val="000000"/>
                <w:sz w:val="18"/>
                <w:szCs w:val="18"/>
                <w:lang w:val="en-US"/>
              </w:rPr>
              <w:t>BoP</w:t>
            </w:r>
            <w:proofErr w:type="spellEnd"/>
            <w:r w:rsidRPr="002B4414">
              <w:rPr>
                <w:rFonts w:ascii="Times New Roman" w:eastAsia="Times New Roman" w:hAnsi="Times New Roman" w:cs="Times New Roman"/>
                <w:color w:val="000000"/>
                <w:sz w:val="18"/>
                <w:szCs w:val="18"/>
                <w:lang w:val="en-US"/>
              </w:rPr>
              <w:t>, current US$)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1977-2010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Inward foreign direct investment stock</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UNCTAD</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GDP per capita (constant 2000 US$)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GDP per capita (current US$)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1964-2011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GDP per </w:t>
            </w:r>
            <w:proofErr w:type="spellStart"/>
            <w:r w:rsidRPr="002B4414">
              <w:rPr>
                <w:rFonts w:ascii="Times New Roman" w:eastAsia="Times New Roman" w:hAnsi="Times New Roman" w:cs="Times New Roman"/>
                <w:color w:val="000000"/>
                <w:sz w:val="18"/>
                <w:szCs w:val="18"/>
              </w:rPr>
              <w:t>capita</w:t>
            </w:r>
            <w:proofErr w:type="spellEnd"/>
            <w:r w:rsidRPr="002B4414">
              <w:rPr>
                <w:rFonts w:ascii="Times New Roman" w:eastAsia="Times New Roman" w:hAnsi="Times New Roman" w:cs="Times New Roman"/>
                <w:color w:val="000000"/>
                <w:sz w:val="18"/>
                <w:szCs w:val="18"/>
              </w:rPr>
              <w:t>, PPP (</w:t>
            </w:r>
            <w:proofErr w:type="spellStart"/>
            <w:r w:rsidRPr="002B4414">
              <w:rPr>
                <w:rFonts w:ascii="Times New Roman" w:eastAsia="Times New Roman" w:hAnsi="Times New Roman" w:cs="Times New Roman"/>
                <w:color w:val="000000"/>
                <w:sz w:val="18"/>
                <w:szCs w:val="18"/>
              </w:rPr>
              <w:t>constant</w:t>
            </w:r>
            <w:proofErr w:type="spellEnd"/>
            <w:r w:rsidRPr="002B4414">
              <w:rPr>
                <w:rFonts w:ascii="Times New Roman" w:eastAsia="Times New Roman" w:hAnsi="Times New Roman" w:cs="Times New Roman"/>
                <w:color w:val="000000"/>
                <w:sz w:val="18"/>
                <w:szCs w:val="18"/>
              </w:rPr>
              <w:t xml:space="preserve"> 2005 </w:t>
            </w:r>
            <w:proofErr w:type="spellStart"/>
            <w:r w:rsidRPr="002B4414">
              <w:rPr>
                <w:rFonts w:ascii="Times New Roman" w:eastAsia="Times New Roman" w:hAnsi="Times New Roman" w:cs="Times New Roman"/>
                <w:color w:val="000000"/>
                <w:sz w:val="18"/>
                <w:szCs w:val="18"/>
              </w:rPr>
              <w:t>international</w:t>
            </w:r>
            <w:proofErr w:type="spellEnd"/>
            <w:r w:rsidRPr="002B4414">
              <w:rPr>
                <w:rFonts w:ascii="Times New Roman" w:eastAsia="Times New Roman" w:hAnsi="Times New Roman" w:cs="Times New Roman"/>
                <w:color w:val="000000"/>
                <w:sz w:val="18"/>
                <w:szCs w:val="18"/>
              </w:rPr>
              <w:t xml:space="preserve"> $)</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GDP per </w:t>
            </w:r>
            <w:proofErr w:type="spellStart"/>
            <w:r w:rsidRPr="002B4414">
              <w:rPr>
                <w:rFonts w:ascii="Times New Roman" w:eastAsia="Times New Roman" w:hAnsi="Times New Roman" w:cs="Times New Roman"/>
                <w:color w:val="000000"/>
                <w:sz w:val="18"/>
                <w:szCs w:val="18"/>
              </w:rPr>
              <w:t>capita</w:t>
            </w:r>
            <w:proofErr w:type="spellEnd"/>
            <w:r w:rsidRPr="002B4414">
              <w:rPr>
                <w:rFonts w:ascii="Times New Roman" w:eastAsia="Times New Roman" w:hAnsi="Times New Roman" w:cs="Times New Roman"/>
                <w:color w:val="000000"/>
                <w:sz w:val="18"/>
                <w:szCs w:val="18"/>
              </w:rPr>
              <w:t>, PPP (</w:t>
            </w:r>
            <w:proofErr w:type="spellStart"/>
            <w:r w:rsidRPr="002B4414">
              <w:rPr>
                <w:rFonts w:ascii="Times New Roman" w:eastAsia="Times New Roman" w:hAnsi="Times New Roman" w:cs="Times New Roman"/>
                <w:color w:val="000000"/>
                <w:sz w:val="18"/>
                <w:szCs w:val="18"/>
              </w:rPr>
              <w:t>current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international</w:t>
            </w:r>
            <w:proofErr w:type="spellEnd"/>
            <w:r w:rsidRPr="002B4414">
              <w:rPr>
                <w:rFonts w:ascii="Times New Roman" w:eastAsia="Times New Roman" w:hAnsi="Times New Roman" w:cs="Times New Roman"/>
                <w:color w:val="000000"/>
                <w:sz w:val="18"/>
                <w:szCs w:val="18"/>
              </w:rPr>
              <w:t xml:space="preserve"> $)</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GDP (</w:t>
            </w:r>
            <w:proofErr w:type="spellStart"/>
            <w:r w:rsidRPr="002B4414">
              <w:rPr>
                <w:rFonts w:ascii="Times New Roman" w:eastAsia="Times New Roman" w:hAnsi="Times New Roman" w:cs="Times New Roman"/>
                <w:color w:val="000000"/>
                <w:sz w:val="18"/>
                <w:szCs w:val="18"/>
              </w:rPr>
              <w:t>constant</w:t>
            </w:r>
            <w:proofErr w:type="spellEnd"/>
            <w:r w:rsidRPr="002B4414">
              <w:rPr>
                <w:rFonts w:ascii="Times New Roman" w:eastAsia="Times New Roman" w:hAnsi="Times New Roman" w:cs="Times New Roman"/>
                <w:color w:val="000000"/>
                <w:sz w:val="18"/>
                <w:szCs w:val="18"/>
              </w:rPr>
              <w:t xml:space="preserve"> 2000 US$)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GDP (</w:t>
            </w:r>
            <w:proofErr w:type="spellStart"/>
            <w:r w:rsidRPr="002B4414">
              <w:rPr>
                <w:rFonts w:ascii="Times New Roman" w:eastAsia="Times New Roman" w:hAnsi="Times New Roman" w:cs="Times New Roman"/>
                <w:color w:val="000000"/>
                <w:sz w:val="18"/>
                <w:szCs w:val="18"/>
              </w:rPr>
              <w:t>current</w:t>
            </w:r>
            <w:proofErr w:type="spellEnd"/>
            <w:r w:rsidRPr="002B4414">
              <w:rPr>
                <w:rFonts w:ascii="Times New Roman" w:eastAsia="Times New Roman" w:hAnsi="Times New Roman" w:cs="Times New Roman"/>
                <w:color w:val="000000"/>
                <w:sz w:val="18"/>
                <w:szCs w:val="18"/>
              </w:rPr>
              <w:t xml:space="preserve"> US$)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1964-2011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GDP, PPP (</w:t>
            </w:r>
            <w:proofErr w:type="spellStart"/>
            <w:r w:rsidRPr="002B4414">
              <w:rPr>
                <w:rFonts w:ascii="Times New Roman" w:eastAsia="Times New Roman" w:hAnsi="Times New Roman" w:cs="Times New Roman"/>
                <w:color w:val="000000"/>
                <w:sz w:val="18"/>
                <w:szCs w:val="18"/>
              </w:rPr>
              <w:t>constant</w:t>
            </w:r>
            <w:proofErr w:type="spellEnd"/>
            <w:r w:rsidRPr="002B4414">
              <w:rPr>
                <w:rFonts w:ascii="Times New Roman" w:eastAsia="Times New Roman" w:hAnsi="Times New Roman" w:cs="Times New Roman"/>
                <w:color w:val="000000"/>
                <w:sz w:val="18"/>
                <w:szCs w:val="18"/>
              </w:rPr>
              <w:t xml:space="preserve"> 2005 </w:t>
            </w:r>
            <w:proofErr w:type="spellStart"/>
            <w:r w:rsidRPr="002B4414">
              <w:rPr>
                <w:rFonts w:ascii="Times New Roman" w:eastAsia="Times New Roman" w:hAnsi="Times New Roman" w:cs="Times New Roman"/>
                <w:color w:val="000000"/>
                <w:sz w:val="18"/>
                <w:szCs w:val="18"/>
              </w:rPr>
              <w:t>international</w:t>
            </w:r>
            <w:proofErr w:type="spellEnd"/>
            <w:r w:rsidRPr="002B4414">
              <w:rPr>
                <w:rFonts w:ascii="Times New Roman" w:eastAsia="Times New Roman" w:hAnsi="Times New Roman" w:cs="Times New Roman"/>
                <w:color w:val="000000"/>
                <w:sz w:val="18"/>
                <w:szCs w:val="18"/>
              </w:rPr>
              <w:t xml:space="preserve"> $)</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GDP, PPP (</w:t>
            </w:r>
            <w:proofErr w:type="spellStart"/>
            <w:r w:rsidRPr="002B4414">
              <w:rPr>
                <w:rFonts w:ascii="Times New Roman" w:eastAsia="Times New Roman" w:hAnsi="Times New Roman" w:cs="Times New Roman"/>
                <w:color w:val="000000"/>
                <w:sz w:val="18"/>
                <w:szCs w:val="18"/>
              </w:rPr>
              <w:t>current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international</w:t>
            </w:r>
            <w:proofErr w:type="spellEnd"/>
            <w:r w:rsidRPr="002B4414">
              <w:rPr>
                <w:rFonts w:ascii="Times New Roman" w:eastAsia="Times New Roman" w:hAnsi="Times New Roman" w:cs="Times New Roman"/>
                <w:color w:val="000000"/>
                <w:sz w:val="18"/>
                <w:szCs w:val="18"/>
              </w:rPr>
              <w:t xml:space="preserve"> $)</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Roads, paved (% of total roads)</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1990-2006</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Roads</w:t>
            </w:r>
            <w:proofErr w:type="spellEnd"/>
            <w:r w:rsidRPr="002B4414">
              <w:rPr>
                <w:rFonts w:ascii="Times New Roman" w:eastAsia="Times New Roman" w:hAnsi="Times New Roman" w:cs="Times New Roman"/>
                <w:color w:val="000000"/>
                <w:sz w:val="18"/>
                <w:szCs w:val="18"/>
              </w:rPr>
              <w:t xml:space="preserve">, total </w:t>
            </w:r>
            <w:proofErr w:type="spellStart"/>
            <w:r w:rsidRPr="002B4414">
              <w:rPr>
                <w:rFonts w:ascii="Times New Roman" w:eastAsia="Times New Roman" w:hAnsi="Times New Roman" w:cs="Times New Roman"/>
                <w:color w:val="000000"/>
                <w:sz w:val="18"/>
                <w:szCs w:val="18"/>
              </w:rPr>
              <w:t>network</w:t>
            </w:r>
            <w:proofErr w:type="spellEnd"/>
            <w:r w:rsidRPr="002B4414">
              <w:rPr>
                <w:rFonts w:ascii="Times New Roman" w:eastAsia="Times New Roman" w:hAnsi="Times New Roman" w:cs="Times New Roman"/>
                <w:color w:val="000000"/>
                <w:sz w:val="18"/>
                <w:szCs w:val="18"/>
              </w:rPr>
              <w:t xml:space="preserve"> (km)</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1990-2009</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Air transport, freight (million ton-km)</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1970-2011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Mobile </w:t>
            </w:r>
            <w:proofErr w:type="spellStart"/>
            <w:r w:rsidRPr="002B4414">
              <w:rPr>
                <w:rFonts w:ascii="Times New Roman" w:eastAsia="Times New Roman" w:hAnsi="Times New Roman" w:cs="Times New Roman"/>
                <w:color w:val="000000"/>
                <w:sz w:val="18"/>
                <w:szCs w:val="18"/>
              </w:rPr>
              <w:t>cellular</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subscriptions</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Telephone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lines</w:t>
            </w:r>
            <w:proofErr w:type="spellEnd"/>
            <w:r w:rsidRPr="002B4414">
              <w:rPr>
                <w:rFonts w:ascii="Times New Roman" w:eastAsia="Times New Roman" w:hAnsi="Times New Roman" w:cs="Times New Roman"/>
                <w:color w:val="000000"/>
                <w:sz w:val="18"/>
                <w:szCs w:val="18"/>
              </w:rPr>
              <w:t xml:space="preserve"> (per 100 </w:t>
            </w:r>
            <w:proofErr w:type="spellStart"/>
            <w:r w:rsidRPr="002B4414">
              <w:rPr>
                <w:rFonts w:ascii="Times New Roman" w:eastAsia="Times New Roman" w:hAnsi="Times New Roman" w:cs="Times New Roman"/>
                <w:color w:val="000000"/>
                <w:sz w:val="18"/>
                <w:szCs w:val="18"/>
              </w:rPr>
              <w:t>people</w:t>
            </w:r>
            <w:proofErr w:type="spellEnd"/>
            <w:r w:rsidRPr="002B4414">
              <w:rPr>
                <w:rFonts w:ascii="Times New Roman" w:eastAsia="Times New Roman" w:hAnsi="Times New Roman" w:cs="Times New Roman"/>
                <w:color w:val="000000"/>
                <w:sz w:val="18"/>
                <w:szCs w:val="18"/>
              </w:rPr>
              <w:t>)</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Population</w:t>
            </w:r>
            <w:proofErr w:type="spellEnd"/>
            <w:r w:rsidRPr="002B4414">
              <w:rPr>
                <w:rFonts w:ascii="Times New Roman" w:eastAsia="Times New Roman" w:hAnsi="Times New Roman" w:cs="Times New Roman"/>
                <w:color w:val="000000"/>
                <w:sz w:val="18"/>
                <w:szCs w:val="18"/>
              </w:rPr>
              <w:t>, total</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Voice</w:t>
            </w:r>
            <w:proofErr w:type="spellEnd"/>
            <w:r w:rsidRPr="002B4414">
              <w:rPr>
                <w:rFonts w:ascii="Times New Roman" w:eastAsia="Times New Roman" w:hAnsi="Times New Roman" w:cs="Times New Roman"/>
                <w:color w:val="000000"/>
                <w:sz w:val="18"/>
                <w:szCs w:val="18"/>
              </w:rPr>
              <w:t xml:space="preserve"> and </w:t>
            </w:r>
            <w:proofErr w:type="spellStart"/>
            <w:r w:rsidRPr="002B4414">
              <w:rPr>
                <w:rFonts w:ascii="Times New Roman" w:eastAsia="Times New Roman" w:hAnsi="Times New Roman" w:cs="Times New Roman"/>
                <w:color w:val="000000"/>
                <w:sz w:val="18"/>
                <w:szCs w:val="18"/>
              </w:rPr>
              <w:t>Accountability</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Political Stability/Absence of Violence</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Government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Effectiveness</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Regulatory</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Quality</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Rule of Law</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Control of </w:t>
            </w:r>
            <w:proofErr w:type="spellStart"/>
            <w:r w:rsidRPr="002B4414">
              <w:rPr>
                <w:rFonts w:ascii="Times New Roman" w:eastAsia="Times New Roman" w:hAnsi="Times New Roman" w:cs="Times New Roman"/>
                <w:color w:val="000000"/>
                <w:sz w:val="18"/>
                <w:szCs w:val="18"/>
              </w:rPr>
              <w:t>Corruption</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Worldwide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Governance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1996-2011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World Development Report (WDR) Index (</w:t>
            </w:r>
            <w:proofErr w:type="spellStart"/>
            <w:r w:rsidRPr="002B4414">
              <w:rPr>
                <w:rFonts w:ascii="Times New Roman" w:eastAsia="Times New Roman" w:hAnsi="Times New Roman" w:cs="Times New Roman"/>
                <w:color w:val="000000"/>
                <w:sz w:val="18"/>
                <w:szCs w:val="18"/>
                <w:lang w:val="en-US"/>
              </w:rPr>
              <w:t>TransparencyCPI_TI</w:t>
            </w:r>
            <w:proofErr w:type="spellEnd"/>
            <w:r w:rsidRPr="002B4414">
              <w:rPr>
                <w:rFonts w:ascii="Times New Roman" w:eastAsia="Times New Roman" w:hAnsi="Times New Roman" w:cs="Times New Roman"/>
                <w:color w:val="000000"/>
                <w:sz w:val="18"/>
                <w:szCs w:val="18"/>
                <w:lang w:val="en-US"/>
              </w:rPr>
              <w:t>)</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Report</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1998-2009</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General government final consumption expenditure (% of GDP)</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World</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Development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Indicators</w:t>
            </w:r>
            <w:proofErr w:type="spellEnd"/>
            <w:r w:rsidRPr="002B4414">
              <w:rPr>
                <w:rFonts w:ascii="Times New Roman" w:eastAsia="Times New Roman" w:hAnsi="Times New Roman" w:cs="Times New Roman"/>
                <w:color w:val="000000"/>
                <w:sz w:val="18"/>
                <w:szCs w:val="18"/>
              </w:rPr>
              <w:t xml:space="preserve"> (WB)</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Real Effective Exchange Rate, Consumer Price Index</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International Financial </w:t>
            </w:r>
            <w:proofErr w:type="spellStart"/>
            <w:r w:rsidRPr="002B4414">
              <w:rPr>
                <w:rFonts w:ascii="Times New Roman" w:eastAsia="Times New Roman" w:hAnsi="Times New Roman" w:cs="Times New Roman"/>
                <w:color w:val="000000"/>
                <w:sz w:val="18"/>
                <w:szCs w:val="18"/>
              </w:rPr>
              <w:t>Statistics</w:t>
            </w:r>
            <w:proofErr w:type="spellEnd"/>
            <w:r w:rsidRPr="002B4414">
              <w:rPr>
                <w:rFonts w:ascii="Times New Roman" w:eastAsia="Times New Roman" w:hAnsi="Times New Roman" w:cs="Times New Roman"/>
                <w:color w:val="000000"/>
                <w:sz w:val="18"/>
                <w:szCs w:val="18"/>
              </w:rPr>
              <w:t xml:space="preserve"> (IMF)</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1980-2011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Average years of total schooling, age 15+, total</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completed primary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completed secondary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completed tertiary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incomplete primary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incomplete secondary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incomplete tertiary</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Percentage of population by educational attainment, age 25+, total, no education</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Barro-Lee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1960-2010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Bilateral </w:t>
            </w:r>
            <w:proofErr w:type="spellStart"/>
            <w:r w:rsidRPr="002B4414">
              <w:rPr>
                <w:rFonts w:ascii="Times New Roman" w:eastAsia="Times New Roman" w:hAnsi="Times New Roman" w:cs="Times New Roman"/>
                <w:color w:val="000000"/>
                <w:sz w:val="18"/>
                <w:szCs w:val="18"/>
              </w:rPr>
              <w:t>Investment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Treaties</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UNCTAD</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Until</w:t>
            </w:r>
            <w:proofErr w:type="spellEnd"/>
            <w:r w:rsidRPr="002B4414">
              <w:rPr>
                <w:rFonts w:ascii="Times New Roman" w:eastAsia="Times New Roman" w:hAnsi="Times New Roman" w:cs="Times New Roman"/>
                <w:color w:val="000000"/>
                <w:sz w:val="18"/>
                <w:szCs w:val="18"/>
              </w:rPr>
              <w:t xml:space="preserve"> 2002</w:t>
            </w:r>
          </w:p>
        </w:tc>
      </w:tr>
      <w:tr w:rsidR="002B4414" w:rsidRPr="00133C43" w:rsidTr="002B4414">
        <w:trPr>
          <w:trHeight w:val="282"/>
          <w:jc w:val="center"/>
        </w:trPr>
        <w:tc>
          <w:tcPr>
            <w:tcW w:w="6875" w:type="dxa"/>
            <w:tcBorders>
              <w:top w:val="nil"/>
              <w:left w:val="nil"/>
              <w:bottom w:val="nil"/>
              <w:right w:val="nil"/>
            </w:tcBorders>
            <w:shd w:val="clear" w:color="000000" w:fill="FFFFFF"/>
            <w:vAlign w:val="bottom"/>
          </w:tcPr>
          <w:p w:rsidR="002B4414" w:rsidRPr="002B4414" w:rsidRDefault="002B4414" w:rsidP="004E7986">
            <w:pP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Trade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Agreements</w:t>
            </w:r>
            <w:proofErr w:type="spellEnd"/>
          </w:p>
        </w:tc>
        <w:tc>
          <w:tcPr>
            <w:tcW w:w="3466" w:type="dxa"/>
            <w:tcBorders>
              <w:top w:val="nil"/>
              <w:left w:val="nil"/>
              <w:bottom w:val="nil"/>
              <w:right w:val="nil"/>
            </w:tcBorders>
            <w:shd w:val="clear" w:color="000000" w:fill="FFFFFF"/>
            <w:vAlign w:val="bottom"/>
          </w:tcPr>
          <w:p w:rsidR="002B4414" w:rsidRPr="002B4414" w:rsidRDefault="002B4414" w:rsidP="004E798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WTO and </w:t>
            </w:r>
          </w:p>
        </w:tc>
        <w:tc>
          <w:tcPr>
            <w:tcW w:w="1414" w:type="dxa"/>
            <w:tcBorders>
              <w:top w:val="nil"/>
              <w:left w:val="nil"/>
              <w:bottom w:val="nil"/>
              <w:right w:val="nil"/>
            </w:tcBorders>
            <w:shd w:val="clear" w:color="000000" w:fill="FFFFFF"/>
            <w:vAlign w:val="bottom"/>
          </w:tcPr>
          <w:p w:rsidR="002B4414" w:rsidRPr="002B4414" w:rsidRDefault="002B4414" w:rsidP="002B441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1960-2012</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Annual</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Report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on</w:t>
            </w:r>
            <w:proofErr w:type="spellEnd"/>
            <w:r w:rsidRPr="002B4414">
              <w:rPr>
                <w:rFonts w:ascii="Times New Roman" w:eastAsia="Times New Roman" w:hAnsi="Times New Roman" w:cs="Times New Roman"/>
                <w:color w:val="000000"/>
                <w:sz w:val="18"/>
                <w:szCs w:val="18"/>
              </w:rPr>
              <w:t xml:space="preserve"> Exchange </w:t>
            </w:r>
            <w:proofErr w:type="spellStart"/>
            <w:r w:rsidRPr="002B4414">
              <w:rPr>
                <w:rFonts w:ascii="Times New Roman" w:eastAsia="Times New Roman" w:hAnsi="Times New Roman" w:cs="Times New Roman"/>
                <w:color w:val="000000"/>
                <w:sz w:val="18"/>
                <w:szCs w:val="18"/>
              </w:rPr>
              <w:t>Arrangements</w:t>
            </w:r>
            <w:proofErr w:type="spellEnd"/>
            <w:r w:rsidRPr="002B4414">
              <w:rPr>
                <w:rFonts w:ascii="Times New Roman" w:eastAsia="Times New Roman" w:hAnsi="Times New Roman" w:cs="Times New Roman"/>
                <w:color w:val="000000"/>
                <w:sz w:val="18"/>
                <w:szCs w:val="18"/>
              </w:rPr>
              <w:t xml:space="preserve"> and Exchange </w:t>
            </w:r>
            <w:proofErr w:type="spellStart"/>
            <w:r w:rsidRPr="002B4414">
              <w:rPr>
                <w:rFonts w:ascii="Times New Roman" w:eastAsia="Times New Roman" w:hAnsi="Times New Roman" w:cs="Times New Roman"/>
                <w:color w:val="000000"/>
                <w:sz w:val="18"/>
                <w:szCs w:val="18"/>
              </w:rPr>
              <w:t>Restrictions</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IMF</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1950-2011</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lang w:val="en-US"/>
              </w:rPr>
            </w:pPr>
            <w:r w:rsidRPr="002B4414">
              <w:rPr>
                <w:rFonts w:ascii="Times New Roman" w:eastAsia="Times New Roman" w:hAnsi="Times New Roman" w:cs="Times New Roman"/>
                <w:color w:val="000000"/>
                <w:sz w:val="18"/>
                <w:szCs w:val="18"/>
                <w:lang w:val="en-US"/>
              </w:rPr>
              <w:t>Economic Freedom of the World: 2012 Annual Report (EFW index)</w:t>
            </w:r>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Fraser</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Institute</w:t>
            </w:r>
            <w:proofErr w:type="spellEnd"/>
            <w:r w:rsidRPr="002B4414">
              <w:rPr>
                <w:rFonts w:ascii="Times New Roman" w:eastAsia="Times New Roman" w:hAnsi="Times New Roman" w:cs="Times New Roman"/>
                <w:color w:val="000000"/>
                <w:sz w:val="18"/>
                <w:szCs w:val="18"/>
              </w:rPr>
              <w:t xml:space="preserve"> / CATO Institute</w:t>
            </w:r>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1970-2010</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Investment</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Freedom</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The </w:t>
            </w:r>
            <w:proofErr w:type="spellStart"/>
            <w:r w:rsidRPr="002B4414">
              <w:rPr>
                <w:rFonts w:ascii="Times New Roman" w:eastAsia="Times New Roman" w:hAnsi="Times New Roman" w:cs="Times New Roman"/>
                <w:color w:val="000000"/>
                <w:sz w:val="18"/>
                <w:szCs w:val="18"/>
              </w:rPr>
              <w:t>Heritage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Fundation</w:t>
            </w:r>
            <w:proofErr w:type="spellEnd"/>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1995-2012</w:t>
            </w:r>
          </w:p>
        </w:tc>
      </w:tr>
      <w:tr w:rsidR="00B82D3E" w:rsidRPr="00133C43" w:rsidTr="002B4414">
        <w:trPr>
          <w:trHeight w:val="282"/>
          <w:jc w:val="center"/>
        </w:trPr>
        <w:tc>
          <w:tcPr>
            <w:tcW w:w="6875"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Financial </w:t>
            </w:r>
            <w:proofErr w:type="spellStart"/>
            <w:r w:rsidRPr="002B4414">
              <w:rPr>
                <w:rFonts w:ascii="Times New Roman" w:eastAsia="Times New Roman" w:hAnsi="Times New Roman" w:cs="Times New Roman"/>
                <w:color w:val="000000"/>
                <w:sz w:val="18"/>
                <w:szCs w:val="18"/>
              </w:rPr>
              <w:t>Freedom</w:t>
            </w:r>
            <w:proofErr w:type="spellEnd"/>
          </w:p>
        </w:tc>
        <w:tc>
          <w:tcPr>
            <w:tcW w:w="3466" w:type="dxa"/>
            <w:tcBorders>
              <w:top w:val="nil"/>
              <w:left w:val="nil"/>
              <w:bottom w:val="nil"/>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The </w:t>
            </w:r>
            <w:proofErr w:type="spellStart"/>
            <w:r w:rsidRPr="002B4414">
              <w:rPr>
                <w:rFonts w:ascii="Times New Roman" w:eastAsia="Times New Roman" w:hAnsi="Times New Roman" w:cs="Times New Roman"/>
                <w:color w:val="000000"/>
                <w:sz w:val="18"/>
                <w:szCs w:val="18"/>
              </w:rPr>
              <w:t>Heritage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Fundation</w:t>
            </w:r>
            <w:proofErr w:type="spellEnd"/>
          </w:p>
        </w:tc>
        <w:tc>
          <w:tcPr>
            <w:tcW w:w="1414" w:type="dxa"/>
            <w:tcBorders>
              <w:top w:val="nil"/>
              <w:left w:val="nil"/>
              <w:bottom w:val="nil"/>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1995-2012</w:t>
            </w:r>
          </w:p>
        </w:tc>
      </w:tr>
      <w:tr w:rsidR="00B82D3E" w:rsidRPr="00133C43" w:rsidTr="002B4414">
        <w:trPr>
          <w:trHeight w:val="282"/>
          <w:jc w:val="center"/>
        </w:trPr>
        <w:tc>
          <w:tcPr>
            <w:tcW w:w="6875" w:type="dxa"/>
            <w:tcBorders>
              <w:top w:val="nil"/>
              <w:left w:val="nil"/>
              <w:bottom w:val="double" w:sz="6" w:space="0" w:color="auto"/>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proofErr w:type="spellStart"/>
            <w:r w:rsidRPr="002B4414">
              <w:rPr>
                <w:rFonts w:ascii="Times New Roman" w:eastAsia="Times New Roman" w:hAnsi="Times New Roman" w:cs="Times New Roman"/>
                <w:color w:val="000000"/>
                <w:sz w:val="18"/>
                <w:szCs w:val="18"/>
              </w:rPr>
              <w:t>Freedom</w:t>
            </w:r>
            <w:proofErr w:type="spellEnd"/>
            <w:r w:rsidRPr="002B4414">
              <w:rPr>
                <w:rFonts w:ascii="Times New Roman" w:eastAsia="Times New Roman" w:hAnsi="Times New Roman" w:cs="Times New Roman"/>
                <w:color w:val="000000"/>
                <w:sz w:val="18"/>
                <w:szCs w:val="18"/>
              </w:rPr>
              <w:t xml:space="preserve"> and </w:t>
            </w:r>
            <w:proofErr w:type="spellStart"/>
            <w:r w:rsidRPr="002B4414">
              <w:rPr>
                <w:rFonts w:ascii="Times New Roman" w:eastAsia="Times New Roman" w:hAnsi="Times New Roman" w:cs="Times New Roman"/>
                <w:color w:val="000000"/>
                <w:sz w:val="18"/>
                <w:szCs w:val="18"/>
              </w:rPr>
              <w:t>Corruption</w:t>
            </w:r>
            <w:proofErr w:type="spellEnd"/>
          </w:p>
        </w:tc>
        <w:tc>
          <w:tcPr>
            <w:tcW w:w="3466" w:type="dxa"/>
            <w:tcBorders>
              <w:top w:val="nil"/>
              <w:left w:val="nil"/>
              <w:bottom w:val="double" w:sz="6" w:space="0" w:color="auto"/>
              <w:right w:val="nil"/>
            </w:tcBorders>
            <w:shd w:val="clear" w:color="000000" w:fill="FFFFFF"/>
            <w:vAlign w:val="bottom"/>
            <w:hideMark/>
          </w:tcPr>
          <w:p w:rsidR="00B82D3E" w:rsidRPr="002B4414" w:rsidRDefault="00B82D3E" w:rsidP="004E7986">
            <w:pPr>
              <w:spacing w:after="0" w:line="240" w:lineRule="auto"/>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 xml:space="preserve">The </w:t>
            </w:r>
            <w:proofErr w:type="spellStart"/>
            <w:r w:rsidRPr="002B4414">
              <w:rPr>
                <w:rFonts w:ascii="Times New Roman" w:eastAsia="Times New Roman" w:hAnsi="Times New Roman" w:cs="Times New Roman"/>
                <w:color w:val="000000"/>
                <w:sz w:val="18"/>
                <w:szCs w:val="18"/>
              </w:rPr>
              <w:t>Heritage</w:t>
            </w:r>
            <w:proofErr w:type="spellEnd"/>
            <w:r w:rsidRPr="002B4414">
              <w:rPr>
                <w:rFonts w:ascii="Times New Roman" w:eastAsia="Times New Roman" w:hAnsi="Times New Roman" w:cs="Times New Roman"/>
                <w:color w:val="000000"/>
                <w:sz w:val="18"/>
                <w:szCs w:val="18"/>
              </w:rPr>
              <w:t xml:space="preserve"> </w:t>
            </w:r>
            <w:proofErr w:type="spellStart"/>
            <w:r w:rsidRPr="002B4414">
              <w:rPr>
                <w:rFonts w:ascii="Times New Roman" w:eastAsia="Times New Roman" w:hAnsi="Times New Roman" w:cs="Times New Roman"/>
                <w:color w:val="000000"/>
                <w:sz w:val="18"/>
                <w:szCs w:val="18"/>
              </w:rPr>
              <w:t>Fundation</w:t>
            </w:r>
            <w:proofErr w:type="spellEnd"/>
          </w:p>
        </w:tc>
        <w:tc>
          <w:tcPr>
            <w:tcW w:w="1414" w:type="dxa"/>
            <w:tcBorders>
              <w:top w:val="nil"/>
              <w:left w:val="nil"/>
              <w:bottom w:val="double" w:sz="6" w:space="0" w:color="auto"/>
              <w:right w:val="nil"/>
            </w:tcBorders>
            <w:shd w:val="clear" w:color="000000" w:fill="FFFFFF"/>
            <w:vAlign w:val="bottom"/>
            <w:hideMark/>
          </w:tcPr>
          <w:p w:rsidR="00B82D3E" w:rsidRPr="002B4414" w:rsidRDefault="00B82D3E" w:rsidP="002B4414">
            <w:pPr>
              <w:spacing w:after="0" w:line="240" w:lineRule="auto"/>
              <w:jc w:val="center"/>
              <w:rPr>
                <w:rFonts w:ascii="Times New Roman" w:eastAsia="Times New Roman" w:hAnsi="Times New Roman" w:cs="Times New Roman"/>
                <w:color w:val="000000"/>
                <w:sz w:val="18"/>
                <w:szCs w:val="18"/>
              </w:rPr>
            </w:pPr>
            <w:r w:rsidRPr="002B4414">
              <w:rPr>
                <w:rFonts w:ascii="Times New Roman" w:eastAsia="Times New Roman" w:hAnsi="Times New Roman" w:cs="Times New Roman"/>
                <w:color w:val="000000"/>
                <w:sz w:val="18"/>
                <w:szCs w:val="18"/>
              </w:rPr>
              <w:t>1995-2012</w:t>
            </w:r>
          </w:p>
        </w:tc>
      </w:tr>
    </w:tbl>
    <w:p w:rsidR="002B4414" w:rsidRDefault="002B4414" w:rsidP="0012110D">
      <w:pPr>
        <w:spacing w:line="24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br w:type="page"/>
      </w:r>
    </w:p>
    <w:p w:rsidR="00B077F7" w:rsidRPr="007F566A" w:rsidRDefault="00951790" w:rsidP="0012110D">
      <w:pPr>
        <w:spacing w:line="24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w:t>
      </w:r>
      <w:r w:rsidR="0012110D" w:rsidRPr="007F566A">
        <w:rPr>
          <w:rFonts w:ascii="Times New Roman" w:hAnsi="Times New Roman" w:cs="Times New Roman"/>
          <w:b/>
          <w:sz w:val="24"/>
          <w:szCs w:val="24"/>
          <w:lang w:val="es-ES_tradnl"/>
        </w:rPr>
        <w:t>2</w:t>
      </w:r>
      <w:r w:rsidR="0012110D" w:rsidRPr="007F566A">
        <w:rPr>
          <w:rFonts w:ascii="Times New Roman" w:hAnsi="Times New Roman" w:cs="Times New Roman"/>
          <w:b/>
          <w:sz w:val="24"/>
          <w:szCs w:val="24"/>
          <w:lang w:val="es-ES_tradnl"/>
        </w:rPr>
        <w:tab/>
      </w:r>
      <w:r w:rsidR="00EC209E" w:rsidRPr="007F566A">
        <w:rPr>
          <w:rFonts w:ascii="Times New Roman" w:hAnsi="Times New Roman" w:cs="Times New Roman"/>
          <w:b/>
          <w:sz w:val="24"/>
          <w:szCs w:val="24"/>
          <w:lang w:val="es-ES_tradnl"/>
        </w:rPr>
        <w:t>Evaluación de</w:t>
      </w:r>
      <w:r w:rsidR="00A96F65">
        <w:rPr>
          <w:rFonts w:ascii="Times New Roman" w:hAnsi="Times New Roman" w:cs="Times New Roman"/>
          <w:b/>
          <w:sz w:val="24"/>
          <w:szCs w:val="24"/>
          <w:lang w:val="es-ES_tradnl"/>
        </w:rPr>
        <w:t>l</w:t>
      </w:r>
      <w:r w:rsidR="00EC209E" w:rsidRPr="007F566A">
        <w:rPr>
          <w:rFonts w:ascii="Times New Roman" w:hAnsi="Times New Roman" w:cs="Times New Roman"/>
          <w:b/>
          <w:sz w:val="24"/>
          <w:szCs w:val="24"/>
          <w:lang w:val="es-ES_tradnl"/>
        </w:rPr>
        <w:t xml:space="preserve"> </w:t>
      </w:r>
      <w:r w:rsidR="00A96F65">
        <w:rPr>
          <w:rFonts w:ascii="Times New Roman" w:hAnsi="Times New Roman" w:cs="Times New Roman"/>
          <w:b/>
          <w:sz w:val="24"/>
          <w:szCs w:val="24"/>
          <w:lang w:val="es-ES_tradnl"/>
        </w:rPr>
        <w:t>i</w:t>
      </w:r>
      <w:r w:rsidR="00EC209E" w:rsidRPr="007F566A">
        <w:rPr>
          <w:rFonts w:ascii="Times New Roman" w:hAnsi="Times New Roman" w:cs="Times New Roman"/>
          <w:b/>
          <w:sz w:val="24"/>
          <w:szCs w:val="24"/>
          <w:lang w:val="es-ES_tradnl"/>
        </w:rPr>
        <w:t xml:space="preserve">mpacto del </w:t>
      </w:r>
      <w:r w:rsidR="00A96F65">
        <w:rPr>
          <w:rFonts w:ascii="Times New Roman" w:hAnsi="Times New Roman" w:cs="Times New Roman"/>
          <w:b/>
          <w:sz w:val="24"/>
          <w:szCs w:val="24"/>
          <w:lang w:val="es-ES_tradnl"/>
        </w:rPr>
        <w:t>p</w:t>
      </w:r>
      <w:r w:rsidR="00EC209E" w:rsidRPr="007F566A">
        <w:rPr>
          <w:rFonts w:ascii="Times New Roman" w:hAnsi="Times New Roman" w:cs="Times New Roman"/>
          <w:b/>
          <w:sz w:val="24"/>
          <w:szCs w:val="24"/>
          <w:lang w:val="es-ES_tradnl"/>
        </w:rPr>
        <w:t xml:space="preserve">rograma </w:t>
      </w:r>
      <w:r w:rsidR="00EA1CA9" w:rsidRPr="007F566A">
        <w:rPr>
          <w:rFonts w:ascii="Times New Roman" w:hAnsi="Times New Roman" w:cs="Times New Roman"/>
          <w:b/>
          <w:sz w:val="24"/>
          <w:szCs w:val="24"/>
          <w:lang w:val="es-ES_tradnl"/>
        </w:rPr>
        <w:t xml:space="preserve">sobre </w:t>
      </w:r>
      <w:r w:rsidR="00A30371">
        <w:rPr>
          <w:rFonts w:ascii="Times New Roman" w:hAnsi="Times New Roman" w:cs="Times New Roman"/>
          <w:b/>
          <w:sz w:val="24"/>
          <w:szCs w:val="24"/>
          <w:lang w:val="es-ES_tradnl"/>
        </w:rPr>
        <w:t xml:space="preserve">el </w:t>
      </w:r>
      <w:r w:rsidR="00A96F65">
        <w:rPr>
          <w:rFonts w:ascii="Times New Roman" w:hAnsi="Times New Roman" w:cs="Times New Roman"/>
          <w:b/>
          <w:sz w:val="24"/>
          <w:szCs w:val="24"/>
          <w:lang w:val="es-ES_tradnl"/>
        </w:rPr>
        <w:t>c</w:t>
      </w:r>
      <w:r w:rsidR="00EC209E" w:rsidRPr="007F566A">
        <w:rPr>
          <w:rFonts w:ascii="Times New Roman" w:hAnsi="Times New Roman" w:cs="Times New Roman"/>
          <w:b/>
          <w:sz w:val="24"/>
          <w:szCs w:val="24"/>
          <w:lang w:val="es-ES_tradnl"/>
        </w:rPr>
        <w:t xml:space="preserve">omercio </w:t>
      </w:r>
      <w:r w:rsidR="00A30371">
        <w:rPr>
          <w:rFonts w:ascii="Times New Roman" w:hAnsi="Times New Roman" w:cs="Times New Roman"/>
          <w:b/>
          <w:sz w:val="24"/>
          <w:szCs w:val="24"/>
          <w:lang w:val="es-ES_tradnl"/>
        </w:rPr>
        <w:t>e</w:t>
      </w:r>
      <w:r w:rsidR="00EC209E" w:rsidRPr="007F566A">
        <w:rPr>
          <w:rFonts w:ascii="Times New Roman" w:hAnsi="Times New Roman" w:cs="Times New Roman"/>
          <w:b/>
          <w:sz w:val="24"/>
          <w:szCs w:val="24"/>
          <w:lang w:val="es-ES_tradnl"/>
        </w:rPr>
        <w:t>xterior</w:t>
      </w:r>
    </w:p>
    <w:p w:rsidR="0012110D" w:rsidRPr="007F566A" w:rsidRDefault="0012110D" w:rsidP="0012110D">
      <w:pPr>
        <w:spacing w:after="0" w:line="240" w:lineRule="auto"/>
        <w:jc w:val="both"/>
        <w:rPr>
          <w:rFonts w:ascii="Times New Roman" w:hAnsi="Times New Roman" w:cs="Times New Roman"/>
          <w:sz w:val="24"/>
          <w:szCs w:val="24"/>
          <w:lang w:val="es-ES_tradnl"/>
        </w:rPr>
      </w:pPr>
    </w:p>
    <w:p w:rsidR="001A054D" w:rsidRPr="007F566A" w:rsidRDefault="001A054D"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El componente 3 del programa tiene el objetivo primario de contribuir a facilitar el comercio exterior esencialmente a través de la racionalización y simplificación de los procedimientos administrativos asociados a las operaciones correspondientes.</w:t>
      </w:r>
    </w:p>
    <w:p w:rsidR="0012110D" w:rsidRPr="007F566A" w:rsidRDefault="0012110D" w:rsidP="0012110D">
      <w:pPr>
        <w:spacing w:after="0" w:line="240" w:lineRule="auto"/>
        <w:jc w:val="both"/>
        <w:rPr>
          <w:rFonts w:ascii="Times New Roman" w:hAnsi="Times New Roman" w:cs="Times New Roman"/>
          <w:sz w:val="24"/>
          <w:szCs w:val="24"/>
          <w:lang w:val="es-ES_tradnl"/>
        </w:rPr>
      </w:pPr>
    </w:p>
    <w:p w:rsidR="001A054D" w:rsidRDefault="001A054D"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El principal resultado directo esperado de las intervenciones previstas en este componente es aumentar el valor y el volumen de los flujos de comercio exterior.</w:t>
      </w:r>
      <w:r w:rsidR="00270DCF">
        <w:rPr>
          <w:rStyle w:val="FootnoteReference"/>
          <w:rFonts w:ascii="Times New Roman" w:hAnsi="Times New Roman" w:cs="Times New Roman"/>
          <w:sz w:val="24"/>
          <w:szCs w:val="24"/>
          <w:lang w:val="es-ES_tradnl"/>
        </w:rPr>
        <w:footnoteReference w:id="7"/>
      </w:r>
    </w:p>
    <w:p w:rsidR="00270DCF" w:rsidRPr="007F566A" w:rsidRDefault="00270DCF" w:rsidP="0012110D">
      <w:pPr>
        <w:spacing w:after="0" w:line="240" w:lineRule="auto"/>
        <w:jc w:val="both"/>
        <w:rPr>
          <w:rFonts w:ascii="Times New Roman" w:hAnsi="Times New Roman" w:cs="Times New Roman"/>
          <w:sz w:val="24"/>
          <w:szCs w:val="24"/>
          <w:lang w:val="es-ES_tradnl"/>
        </w:rPr>
      </w:pPr>
    </w:p>
    <w:p w:rsidR="001A054D" w:rsidRPr="007F566A" w:rsidRDefault="00951790" w:rsidP="0012110D">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A30371">
        <w:rPr>
          <w:rFonts w:ascii="Times New Roman" w:hAnsi="Times New Roman" w:cs="Times New Roman"/>
          <w:i/>
          <w:sz w:val="24"/>
          <w:szCs w:val="24"/>
          <w:lang w:val="es-ES_tradnl"/>
        </w:rPr>
        <w:t>2.1</w:t>
      </w:r>
      <w:r w:rsidR="00A30371">
        <w:rPr>
          <w:rFonts w:ascii="Times New Roman" w:hAnsi="Times New Roman" w:cs="Times New Roman"/>
          <w:i/>
          <w:sz w:val="24"/>
          <w:szCs w:val="24"/>
          <w:lang w:val="es-ES_tradnl"/>
        </w:rPr>
        <w:tab/>
      </w:r>
      <w:r w:rsidR="001A054D" w:rsidRPr="007F566A">
        <w:rPr>
          <w:rFonts w:ascii="Times New Roman" w:hAnsi="Times New Roman" w:cs="Times New Roman"/>
          <w:i/>
          <w:sz w:val="24"/>
          <w:szCs w:val="24"/>
          <w:lang w:val="es-ES_tradnl"/>
        </w:rPr>
        <w:t>Conocimiento existente</w:t>
      </w:r>
    </w:p>
    <w:p w:rsidR="001A054D" w:rsidRPr="007F566A" w:rsidRDefault="001A054D" w:rsidP="0012110D">
      <w:pPr>
        <w:spacing w:after="0" w:line="240" w:lineRule="auto"/>
        <w:jc w:val="both"/>
        <w:rPr>
          <w:rFonts w:ascii="Times New Roman" w:hAnsi="Times New Roman" w:cs="Times New Roman"/>
          <w:sz w:val="24"/>
          <w:szCs w:val="24"/>
          <w:lang w:val="es-ES_tradnl"/>
        </w:rPr>
      </w:pPr>
    </w:p>
    <w:p w:rsidR="00EC209E" w:rsidRPr="007F566A" w:rsidRDefault="00AE4315"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 xml:space="preserve">Volpe </w:t>
      </w:r>
      <w:proofErr w:type="spellStart"/>
      <w:r w:rsidRPr="007F566A">
        <w:rPr>
          <w:rFonts w:ascii="Times New Roman" w:hAnsi="Times New Roman" w:cs="Times New Roman"/>
          <w:sz w:val="24"/>
          <w:szCs w:val="24"/>
          <w:lang w:val="es-ES_tradnl"/>
        </w:rPr>
        <w:t>Martincus</w:t>
      </w:r>
      <w:proofErr w:type="spellEnd"/>
      <w:r w:rsidRPr="007F566A">
        <w:rPr>
          <w:rFonts w:ascii="Times New Roman" w:hAnsi="Times New Roman" w:cs="Times New Roman"/>
          <w:sz w:val="24"/>
          <w:szCs w:val="24"/>
          <w:lang w:val="es-ES_tradnl"/>
        </w:rPr>
        <w:t xml:space="preserve"> </w:t>
      </w:r>
      <w:r w:rsidR="001A054D" w:rsidRPr="007F566A">
        <w:rPr>
          <w:rFonts w:ascii="Times New Roman" w:hAnsi="Times New Roman" w:cs="Times New Roman"/>
          <w:sz w:val="24"/>
          <w:szCs w:val="24"/>
          <w:lang w:val="es-ES_tradnl"/>
        </w:rPr>
        <w:t>y</w:t>
      </w:r>
      <w:r w:rsidRPr="007F566A">
        <w:rPr>
          <w:rFonts w:ascii="Times New Roman" w:hAnsi="Times New Roman" w:cs="Times New Roman"/>
          <w:sz w:val="24"/>
          <w:szCs w:val="24"/>
          <w:lang w:val="es-ES_tradnl"/>
        </w:rPr>
        <w:t xml:space="preserve"> </w:t>
      </w:r>
      <w:proofErr w:type="spellStart"/>
      <w:r w:rsidRPr="007F566A">
        <w:rPr>
          <w:rFonts w:ascii="Times New Roman" w:hAnsi="Times New Roman" w:cs="Times New Roman"/>
          <w:sz w:val="24"/>
          <w:szCs w:val="24"/>
          <w:lang w:val="es-ES_tradnl"/>
        </w:rPr>
        <w:t>Graziano</w:t>
      </w:r>
      <w:proofErr w:type="spellEnd"/>
      <w:r w:rsidRPr="007F566A">
        <w:rPr>
          <w:rFonts w:ascii="Times New Roman" w:hAnsi="Times New Roman" w:cs="Times New Roman"/>
          <w:sz w:val="24"/>
          <w:szCs w:val="24"/>
          <w:lang w:val="es-ES_tradnl"/>
        </w:rPr>
        <w:t xml:space="preserve"> (2012) </w:t>
      </w:r>
      <w:r w:rsidR="002F2B91">
        <w:rPr>
          <w:rFonts w:ascii="Times New Roman" w:hAnsi="Times New Roman" w:cs="Times New Roman"/>
          <w:sz w:val="24"/>
          <w:szCs w:val="24"/>
          <w:lang w:val="es-ES_tradnl"/>
        </w:rPr>
        <w:t xml:space="preserve">aplican el método de diferencias en diferencias </w:t>
      </w:r>
      <w:r w:rsidR="002F2B91" w:rsidRPr="007F566A">
        <w:rPr>
          <w:rFonts w:ascii="Times New Roman" w:hAnsi="Times New Roman" w:cs="Times New Roman"/>
          <w:sz w:val="24"/>
          <w:szCs w:val="24"/>
          <w:lang w:val="es-ES_tradnl"/>
        </w:rPr>
        <w:t xml:space="preserve">para estimar los efectos de las demoras en aduana </w:t>
      </w:r>
      <w:r w:rsidR="002F2B91">
        <w:rPr>
          <w:rFonts w:ascii="Times New Roman" w:hAnsi="Times New Roman" w:cs="Times New Roman"/>
          <w:sz w:val="24"/>
          <w:szCs w:val="24"/>
          <w:lang w:val="es-ES_tradnl"/>
        </w:rPr>
        <w:t>sobre</w:t>
      </w:r>
      <w:r w:rsidR="002F2B91" w:rsidRPr="007F566A">
        <w:rPr>
          <w:rFonts w:ascii="Times New Roman" w:hAnsi="Times New Roman" w:cs="Times New Roman"/>
          <w:sz w:val="24"/>
          <w:szCs w:val="24"/>
          <w:lang w:val="es-ES_tradnl"/>
        </w:rPr>
        <w:t xml:space="preserve"> las exportaciones</w:t>
      </w:r>
      <w:r w:rsidR="002F2B91">
        <w:rPr>
          <w:rFonts w:ascii="Times New Roman" w:hAnsi="Times New Roman" w:cs="Times New Roman"/>
          <w:sz w:val="24"/>
          <w:szCs w:val="24"/>
          <w:lang w:val="es-ES_tradnl"/>
        </w:rPr>
        <w:t xml:space="preserve"> usando datos sobre el universo</w:t>
      </w:r>
      <w:r w:rsidRPr="007F566A">
        <w:rPr>
          <w:rFonts w:ascii="Times New Roman" w:hAnsi="Times New Roman" w:cs="Times New Roman"/>
          <w:sz w:val="24"/>
          <w:szCs w:val="24"/>
          <w:lang w:val="es-ES_tradnl"/>
        </w:rPr>
        <w:t xml:space="preserve"> de las transacciones de exportación de Uruguay durante el período de 2002-2011 </w:t>
      </w:r>
      <w:r w:rsidR="002F2B91">
        <w:rPr>
          <w:rFonts w:ascii="Times New Roman" w:hAnsi="Times New Roman" w:cs="Times New Roman"/>
          <w:sz w:val="24"/>
          <w:szCs w:val="24"/>
          <w:lang w:val="es-ES_tradnl"/>
        </w:rPr>
        <w:t>y datos</w:t>
      </w:r>
      <w:r w:rsidRPr="007F566A">
        <w:rPr>
          <w:rFonts w:ascii="Times New Roman" w:hAnsi="Times New Roman" w:cs="Times New Roman"/>
          <w:sz w:val="24"/>
          <w:szCs w:val="24"/>
          <w:lang w:val="es-ES_tradnl"/>
        </w:rPr>
        <w:t xml:space="preserve"> sobre </w:t>
      </w:r>
      <w:r w:rsidR="002F2B91">
        <w:rPr>
          <w:rFonts w:ascii="Times New Roman" w:hAnsi="Times New Roman" w:cs="Times New Roman"/>
          <w:sz w:val="24"/>
          <w:szCs w:val="24"/>
          <w:lang w:val="es-ES_tradnl"/>
        </w:rPr>
        <w:t>el tiempo que toma completar los procedimientos aduaneros (concretamente, el tiempo</w:t>
      </w:r>
      <w:r w:rsidRPr="007F566A">
        <w:rPr>
          <w:rFonts w:ascii="Times New Roman" w:hAnsi="Times New Roman" w:cs="Times New Roman"/>
          <w:sz w:val="24"/>
          <w:szCs w:val="24"/>
          <w:lang w:val="es-ES_tradnl"/>
        </w:rPr>
        <w:t xml:space="preserve"> que </w:t>
      </w:r>
      <w:r w:rsidR="002F2B91">
        <w:rPr>
          <w:rFonts w:ascii="Times New Roman" w:hAnsi="Times New Roman" w:cs="Times New Roman"/>
          <w:sz w:val="24"/>
          <w:szCs w:val="24"/>
          <w:lang w:val="es-ES_tradnl"/>
        </w:rPr>
        <w:t>media entre la solicitud de canal de verificación aduanera y la liberación de los bienes)</w:t>
      </w:r>
      <w:r w:rsidR="006A6DB5" w:rsidRPr="007F566A">
        <w:rPr>
          <w:rFonts w:ascii="Times New Roman" w:hAnsi="Times New Roman" w:cs="Times New Roman"/>
          <w:sz w:val="24"/>
          <w:szCs w:val="24"/>
          <w:lang w:val="es-ES_tradnl"/>
        </w:rPr>
        <w:t xml:space="preserve">. Los resultados de las estimaciones sugieren que las demoras han tenido un impacto </w:t>
      </w:r>
      <w:r w:rsidR="002F2B91">
        <w:rPr>
          <w:rFonts w:ascii="Times New Roman" w:hAnsi="Times New Roman" w:cs="Times New Roman"/>
          <w:sz w:val="24"/>
          <w:szCs w:val="24"/>
          <w:lang w:val="es-ES_tradnl"/>
        </w:rPr>
        <w:t>negativo si</w:t>
      </w:r>
      <w:r w:rsidR="006A6DB5" w:rsidRPr="007F566A">
        <w:rPr>
          <w:rFonts w:ascii="Times New Roman" w:hAnsi="Times New Roman" w:cs="Times New Roman"/>
          <w:sz w:val="24"/>
          <w:szCs w:val="24"/>
          <w:lang w:val="es-ES_tradnl"/>
        </w:rPr>
        <w:t xml:space="preserve">gnificativo </w:t>
      </w:r>
      <w:r w:rsidR="002F2B91">
        <w:rPr>
          <w:rFonts w:ascii="Times New Roman" w:hAnsi="Times New Roman" w:cs="Times New Roman"/>
          <w:sz w:val="24"/>
          <w:szCs w:val="24"/>
          <w:lang w:val="es-ES_tradnl"/>
        </w:rPr>
        <w:t>sobre las ventas externas</w:t>
      </w:r>
      <w:r w:rsidR="006A6DB5" w:rsidRPr="007F566A">
        <w:rPr>
          <w:rFonts w:ascii="Times New Roman" w:hAnsi="Times New Roman" w:cs="Times New Roman"/>
          <w:sz w:val="24"/>
          <w:szCs w:val="24"/>
          <w:lang w:val="es-ES_tradnl"/>
        </w:rPr>
        <w:t xml:space="preserve">. En particular, </w:t>
      </w:r>
      <w:r w:rsidR="002F2B91">
        <w:rPr>
          <w:rFonts w:ascii="Times New Roman" w:hAnsi="Times New Roman" w:cs="Times New Roman"/>
          <w:sz w:val="24"/>
          <w:szCs w:val="24"/>
          <w:lang w:val="es-ES_tradnl"/>
        </w:rPr>
        <w:t>un</w:t>
      </w:r>
      <w:r w:rsidR="006A6DB5" w:rsidRPr="007F566A">
        <w:rPr>
          <w:rFonts w:ascii="Times New Roman" w:hAnsi="Times New Roman" w:cs="Times New Roman"/>
          <w:sz w:val="24"/>
          <w:szCs w:val="24"/>
          <w:lang w:val="es-ES_tradnl"/>
        </w:rPr>
        <w:t xml:space="preserve"> aumento de un día </w:t>
      </w:r>
      <w:r w:rsidR="008378FD" w:rsidRPr="007F566A">
        <w:rPr>
          <w:rFonts w:ascii="Times New Roman" w:hAnsi="Times New Roman" w:cs="Times New Roman"/>
          <w:sz w:val="24"/>
          <w:szCs w:val="24"/>
          <w:lang w:val="es-ES_tradnl"/>
        </w:rPr>
        <w:t>en el tiempo</w:t>
      </w:r>
      <w:r w:rsidR="006A6DB5" w:rsidRPr="007F566A">
        <w:rPr>
          <w:rFonts w:ascii="Times New Roman" w:hAnsi="Times New Roman" w:cs="Times New Roman"/>
          <w:sz w:val="24"/>
          <w:szCs w:val="24"/>
          <w:lang w:val="es-ES_tradnl"/>
        </w:rPr>
        <w:t xml:space="preserve"> </w:t>
      </w:r>
      <w:r w:rsidR="002F2B91">
        <w:rPr>
          <w:rFonts w:ascii="Times New Roman" w:hAnsi="Times New Roman" w:cs="Times New Roman"/>
          <w:sz w:val="24"/>
          <w:szCs w:val="24"/>
          <w:lang w:val="es-ES_tradnl"/>
        </w:rPr>
        <w:t xml:space="preserve">mediano </w:t>
      </w:r>
      <w:r w:rsidR="006A6DB5" w:rsidRPr="007F566A">
        <w:rPr>
          <w:rFonts w:ascii="Times New Roman" w:hAnsi="Times New Roman" w:cs="Times New Roman"/>
          <w:sz w:val="24"/>
          <w:szCs w:val="24"/>
          <w:lang w:val="es-ES_tradnl"/>
        </w:rPr>
        <w:t>en aduana se traduce en un</w:t>
      </w:r>
      <w:r w:rsidR="002F2B91">
        <w:rPr>
          <w:rFonts w:ascii="Times New Roman" w:hAnsi="Times New Roman" w:cs="Times New Roman"/>
          <w:sz w:val="24"/>
          <w:szCs w:val="24"/>
          <w:lang w:val="es-ES_tradnl"/>
        </w:rPr>
        <w:t xml:space="preserve">a reducción </w:t>
      </w:r>
      <w:r w:rsidR="006A6DB5" w:rsidRPr="007F566A">
        <w:rPr>
          <w:rFonts w:ascii="Times New Roman" w:hAnsi="Times New Roman" w:cs="Times New Roman"/>
          <w:sz w:val="24"/>
          <w:szCs w:val="24"/>
          <w:lang w:val="es-ES_tradnl"/>
        </w:rPr>
        <w:t xml:space="preserve"> </w:t>
      </w:r>
      <w:r w:rsidR="002F2B91">
        <w:rPr>
          <w:rFonts w:ascii="Times New Roman" w:hAnsi="Times New Roman" w:cs="Times New Roman"/>
          <w:sz w:val="24"/>
          <w:szCs w:val="24"/>
          <w:lang w:val="es-ES_tradnl"/>
        </w:rPr>
        <w:t xml:space="preserve">del </w:t>
      </w:r>
      <w:r w:rsidR="006A6DB5" w:rsidRPr="007F566A">
        <w:rPr>
          <w:rFonts w:ascii="Times New Roman" w:hAnsi="Times New Roman" w:cs="Times New Roman"/>
          <w:sz w:val="24"/>
          <w:szCs w:val="24"/>
          <w:lang w:val="es-ES_tradnl"/>
        </w:rPr>
        <w:t xml:space="preserve">1.4% </w:t>
      </w:r>
      <w:r w:rsidR="002F2B91">
        <w:rPr>
          <w:rFonts w:ascii="Times New Roman" w:hAnsi="Times New Roman" w:cs="Times New Roman"/>
          <w:sz w:val="24"/>
          <w:szCs w:val="24"/>
          <w:lang w:val="es-ES_tradnl"/>
        </w:rPr>
        <w:t xml:space="preserve"> en </w:t>
      </w:r>
      <w:r w:rsidR="006A6DB5" w:rsidRPr="007F566A">
        <w:rPr>
          <w:rFonts w:ascii="Times New Roman" w:hAnsi="Times New Roman" w:cs="Times New Roman"/>
          <w:sz w:val="24"/>
          <w:szCs w:val="24"/>
          <w:lang w:val="es-ES_tradnl"/>
        </w:rPr>
        <w:t xml:space="preserve">la tasa de </w:t>
      </w:r>
      <w:r w:rsidR="002F2B91">
        <w:rPr>
          <w:rFonts w:ascii="Times New Roman" w:hAnsi="Times New Roman" w:cs="Times New Roman"/>
          <w:sz w:val="24"/>
          <w:szCs w:val="24"/>
          <w:lang w:val="es-ES_tradnl"/>
        </w:rPr>
        <w:t xml:space="preserve">crecimiento de las </w:t>
      </w:r>
      <w:r w:rsidR="006A6DB5" w:rsidRPr="007F566A">
        <w:rPr>
          <w:rFonts w:ascii="Times New Roman" w:hAnsi="Times New Roman" w:cs="Times New Roman"/>
          <w:sz w:val="24"/>
          <w:szCs w:val="24"/>
          <w:lang w:val="es-ES_tradnl"/>
        </w:rPr>
        <w:t xml:space="preserve">exportaciones. Los efectos </w:t>
      </w:r>
      <w:r w:rsidR="002F2B91">
        <w:rPr>
          <w:rFonts w:ascii="Times New Roman" w:hAnsi="Times New Roman" w:cs="Times New Roman"/>
          <w:sz w:val="24"/>
          <w:szCs w:val="24"/>
          <w:lang w:val="es-ES_tradnl"/>
        </w:rPr>
        <w:t xml:space="preserve">negativos </w:t>
      </w:r>
      <w:r w:rsidR="006A6DB5" w:rsidRPr="007F566A">
        <w:rPr>
          <w:rFonts w:ascii="Times New Roman" w:hAnsi="Times New Roman" w:cs="Times New Roman"/>
          <w:sz w:val="24"/>
          <w:szCs w:val="24"/>
          <w:lang w:val="es-ES_tradnl"/>
        </w:rPr>
        <w:t xml:space="preserve">son particularmente severos </w:t>
      </w:r>
      <w:r w:rsidR="002F2B91">
        <w:rPr>
          <w:rFonts w:ascii="Times New Roman" w:hAnsi="Times New Roman" w:cs="Times New Roman"/>
          <w:sz w:val="24"/>
          <w:szCs w:val="24"/>
          <w:lang w:val="es-ES_tradnl"/>
        </w:rPr>
        <w:t>en caso de</w:t>
      </w:r>
      <w:r w:rsidR="006A6DB5" w:rsidRPr="007F566A">
        <w:rPr>
          <w:rFonts w:ascii="Times New Roman" w:hAnsi="Times New Roman" w:cs="Times New Roman"/>
          <w:sz w:val="24"/>
          <w:szCs w:val="24"/>
          <w:lang w:val="es-ES_tradnl"/>
        </w:rPr>
        <w:t xml:space="preserve"> las exportaciones de productos sensibles al t</w:t>
      </w:r>
      <w:r w:rsidR="00F010B8" w:rsidRPr="007F566A">
        <w:rPr>
          <w:rFonts w:ascii="Times New Roman" w:hAnsi="Times New Roman" w:cs="Times New Roman"/>
          <w:sz w:val="24"/>
          <w:szCs w:val="24"/>
          <w:lang w:val="es-ES_tradnl"/>
        </w:rPr>
        <w:t>i</w:t>
      </w:r>
      <w:r w:rsidR="006A6DB5" w:rsidRPr="007F566A">
        <w:rPr>
          <w:rFonts w:ascii="Times New Roman" w:hAnsi="Times New Roman" w:cs="Times New Roman"/>
          <w:sz w:val="24"/>
          <w:szCs w:val="24"/>
          <w:lang w:val="es-ES_tradnl"/>
        </w:rPr>
        <w:t>empo a compradores secundarios en países de la OCDE</w:t>
      </w:r>
      <w:r w:rsidR="002F2B91" w:rsidRPr="007F566A">
        <w:rPr>
          <w:rStyle w:val="FootnoteReference"/>
          <w:rFonts w:ascii="Times New Roman" w:hAnsi="Times New Roman" w:cs="Times New Roman"/>
          <w:sz w:val="24"/>
          <w:szCs w:val="24"/>
          <w:lang w:val="es-ES_tradnl"/>
        </w:rPr>
        <w:footnoteReference w:id="8"/>
      </w:r>
      <w:r w:rsidR="006A6DB5" w:rsidRPr="007F566A">
        <w:rPr>
          <w:rFonts w:ascii="Times New Roman" w:hAnsi="Times New Roman" w:cs="Times New Roman"/>
          <w:sz w:val="24"/>
          <w:szCs w:val="24"/>
          <w:lang w:val="es-ES_tradnl"/>
        </w:rPr>
        <w:t>.</w:t>
      </w:r>
    </w:p>
    <w:p w:rsidR="001A054D" w:rsidRPr="007F566A" w:rsidRDefault="001A054D" w:rsidP="0012110D">
      <w:pPr>
        <w:spacing w:after="0" w:line="240" w:lineRule="auto"/>
        <w:jc w:val="both"/>
        <w:rPr>
          <w:rFonts w:ascii="Times New Roman" w:hAnsi="Times New Roman" w:cs="Times New Roman"/>
          <w:sz w:val="24"/>
          <w:szCs w:val="24"/>
          <w:lang w:val="es-ES_tradnl"/>
        </w:rPr>
      </w:pPr>
    </w:p>
    <w:p w:rsidR="002A2779" w:rsidRPr="007F566A" w:rsidRDefault="00951790" w:rsidP="0012110D">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A30371">
        <w:rPr>
          <w:rFonts w:ascii="Times New Roman" w:hAnsi="Times New Roman" w:cs="Times New Roman"/>
          <w:i/>
          <w:sz w:val="24"/>
          <w:szCs w:val="24"/>
          <w:lang w:val="es-ES_tradnl"/>
        </w:rPr>
        <w:t>2.2</w:t>
      </w:r>
      <w:r w:rsidR="00A30371">
        <w:rPr>
          <w:rFonts w:ascii="Times New Roman" w:hAnsi="Times New Roman" w:cs="Times New Roman"/>
          <w:i/>
          <w:sz w:val="24"/>
          <w:szCs w:val="24"/>
          <w:lang w:val="es-ES_tradnl"/>
        </w:rPr>
        <w:tab/>
      </w:r>
      <w:r w:rsidR="002A2779" w:rsidRPr="007F566A">
        <w:rPr>
          <w:rFonts w:ascii="Times New Roman" w:hAnsi="Times New Roman" w:cs="Times New Roman"/>
          <w:i/>
          <w:sz w:val="24"/>
          <w:szCs w:val="24"/>
          <w:lang w:val="es-ES_tradnl"/>
        </w:rPr>
        <w:t>Indicadores de efectos directos</w:t>
      </w:r>
    </w:p>
    <w:p w:rsidR="0012110D" w:rsidRPr="007F566A" w:rsidRDefault="0012110D" w:rsidP="0012110D">
      <w:pPr>
        <w:spacing w:after="0" w:line="240" w:lineRule="auto"/>
        <w:jc w:val="both"/>
        <w:rPr>
          <w:rFonts w:ascii="Times New Roman" w:hAnsi="Times New Roman" w:cs="Times New Roman"/>
          <w:sz w:val="24"/>
          <w:szCs w:val="24"/>
          <w:lang w:val="es-ES_tradnl"/>
        </w:rPr>
      </w:pPr>
    </w:p>
    <w:p w:rsidR="007F566A"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La variable de resultado será el cambio del flujo de comercio a nivel de la empresa, producto y destino. La principal variable explicativa será el tiempo transcurrido entre el principio de la intervención de las entidades involucradas en las operaciones transfronterizas –particularmente aduanas- y la expedición de los bienes</w:t>
      </w:r>
      <w:r w:rsidR="007F566A" w:rsidRPr="007F566A">
        <w:rPr>
          <w:rFonts w:ascii="Times New Roman" w:hAnsi="Times New Roman" w:cs="Times New Roman"/>
          <w:sz w:val="24"/>
          <w:szCs w:val="24"/>
          <w:lang w:val="es-ES_tradnl"/>
        </w:rPr>
        <w:t>.</w:t>
      </w:r>
    </w:p>
    <w:p w:rsidR="002A2779" w:rsidRPr="007F566A" w:rsidRDefault="002A2779"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center"/>
        <w:rPr>
          <w:rFonts w:ascii="Times New Roman" w:hAnsi="Times New Roman" w:cs="Times New Roman"/>
          <w:b/>
          <w:lang w:val="en-US"/>
        </w:rPr>
      </w:pPr>
      <w:proofErr w:type="spellStart"/>
      <w:r w:rsidRPr="007F566A">
        <w:rPr>
          <w:rFonts w:ascii="Times New Roman" w:hAnsi="Times New Roman" w:cs="Times New Roman"/>
          <w:b/>
          <w:lang w:val="en-US"/>
        </w:rPr>
        <w:t>Tabla</w:t>
      </w:r>
      <w:proofErr w:type="spellEnd"/>
      <w:r w:rsidRPr="007F566A">
        <w:rPr>
          <w:rFonts w:ascii="Times New Roman" w:hAnsi="Times New Roman" w:cs="Times New Roman"/>
          <w:b/>
          <w:lang w:val="en-US"/>
        </w:rPr>
        <w:t xml:space="preserve"> </w:t>
      </w:r>
      <w:r w:rsidR="00B907F3">
        <w:rPr>
          <w:rFonts w:ascii="Times New Roman" w:hAnsi="Times New Roman" w:cs="Times New Roman"/>
          <w:b/>
          <w:lang w:val="en-US"/>
        </w:rPr>
        <w:t>4</w:t>
      </w:r>
    </w:p>
    <w:p w:rsidR="002A2779" w:rsidRPr="007F566A" w:rsidRDefault="002A2779" w:rsidP="0012110D">
      <w:pPr>
        <w:spacing w:after="0" w:line="240" w:lineRule="auto"/>
        <w:jc w:val="center"/>
        <w:rPr>
          <w:rFonts w:ascii="Times New Roman" w:hAnsi="Times New Roman" w:cs="Times New Roman"/>
          <w:b/>
          <w:lang w:val="en-US"/>
        </w:rPr>
      </w:pPr>
      <w:proofErr w:type="spellStart"/>
      <w:r w:rsidRPr="007F566A">
        <w:rPr>
          <w:rFonts w:ascii="Times New Roman" w:hAnsi="Times New Roman" w:cs="Times New Roman"/>
          <w:b/>
          <w:lang w:val="en-US"/>
        </w:rPr>
        <w:t>Indicadores</w:t>
      </w:r>
      <w:proofErr w:type="spellEnd"/>
      <w:r w:rsidRPr="007F566A">
        <w:rPr>
          <w:rFonts w:ascii="Times New Roman" w:hAnsi="Times New Roman" w:cs="Times New Roman"/>
          <w:b/>
          <w:lang w:val="en-US"/>
        </w:rPr>
        <w:t xml:space="preserve"> de </w:t>
      </w:r>
      <w:proofErr w:type="spellStart"/>
      <w:r w:rsidRPr="007F566A">
        <w:rPr>
          <w:rFonts w:ascii="Times New Roman" w:hAnsi="Times New Roman" w:cs="Times New Roman"/>
          <w:b/>
          <w:lang w:val="en-US"/>
        </w:rPr>
        <w:t>Resultados</w:t>
      </w:r>
      <w:proofErr w:type="spellEnd"/>
    </w:p>
    <w:p w:rsidR="0012110D" w:rsidRPr="007F566A" w:rsidRDefault="0012110D" w:rsidP="0012110D">
      <w:pPr>
        <w:spacing w:after="0" w:line="240" w:lineRule="auto"/>
        <w:jc w:val="center"/>
        <w:rPr>
          <w:rFonts w:ascii="Times New Roman" w:hAnsi="Times New Roman" w:cs="Times New Roman"/>
          <w:sz w:val="24"/>
          <w:szCs w:val="24"/>
          <w:lang w:val="en-US"/>
        </w:rPr>
      </w:pPr>
    </w:p>
    <w:tbl>
      <w:tblPr>
        <w:tblW w:w="9198" w:type="dxa"/>
        <w:jc w:val="right"/>
        <w:tblInd w:w="1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1891"/>
        <w:gridCol w:w="2267"/>
        <w:gridCol w:w="2340"/>
      </w:tblGrid>
      <w:tr w:rsidR="002A2779" w:rsidRPr="007F566A" w:rsidTr="00A51A87">
        <w:trPr>
          <w:jc w:val="right"/>
        </w:trPr>
        <w:tc>
          <w:tcPr>
            <w:tcW w:w="2700" w:type="dxa"/>
            <w:vAlign w:val="center"/>
          </w:tcPr>
          <w:p w:rsidR="002A2779" w:rsidRPr="00A96F65" w:rsidRDefault="002A2779" w:rsidP="0012110D">
            <w:pPr>
              <w:pStyle w:val="Regtable"/>
              <w:spacing w:before="0" w:after="0"/>
              <w:jc w:val="center"/>
              <w:rPr>
                <w:i/>
              </w:rPr>
            </w:pPr>
            <w:r w:rsidRPr="00A96F65">
              <w:rPr>
                <w:i/>
              </w:rPr>
              <w:t>Indicador</w:t>
            </w:r>
          </w:p>
        </w:tc>
        <w:tc>
          <w:tcPr>
            <w:tcW w:w="1891" w:type="dxa"/>
            <w:vAlign w:val="center"/>
          </w:tcPr>
          <w:p w:rsidR="002A2779" w:rsidRPr="00A96F65" w:rsidRDefault="002A2779" w:rsidP="0012110D">
            <w:pPr>
              <w:pStyle w:val="Regtable"/>
              <w:spacing w:before="0" w:after="0"/>
              <w:jc w:val="center"/>
              <w:rPr>
                <w:i/>
              </w:rPr>
            </w:pPr>
            <w:r w:rsidRPr="00A96F65">
              <w:rPr>
                <w:i/>
              </w:rPr>
              <w:t>Fórmula</w:t>
            </w:r>
          </w:p>
        </w:tc>
        <w:tc>
          <w:tcPr>
            <w:tcW w:w="2267" w:type="dxa"/>
            <w:vAlign w:val="center"/>
          </w:tcPr>
          <w:p w:rsidR="002A2779" w:rsidRPr="00A96F65" w:rsidRDefault="002A2779" w:rsidP="0012110D">
            <w:pPr>
              <w:pStyle w:val="Regtable"/>
              <w:spacing w:before="0" w:after="0"/>
              <w:jc w:val="center"/>
              <w:rPr>
                <w:i/>
              </w:rPr>
            </w:pPr>
            <w:r w:rsidRPr="00A96F65">
              <w:rPr>
                <w:i/>
              </w:rPr>
              <w:t>Frecuencia de medición</w:t>
            </w:r>
          </w:p>
        </w:tc>
        <w:tc>
          <w:tcPr>
            <w:tcW w:w="2340" w:type="dxa"/>
            <w:vAlign w:val="center"/>
          </w:tcPr>
          <w:p w:rsidR="002A2779" w:rsidRPr="00A96F65" w:rsidRDefault="002A2779" w:rsidP="0012110D">
            <w:pPr>
              <w:pStyle w:val="Regtable"/>
              <w:spacing w:before="0" w:after="0"/>
              <w:jc w:val="center"/>
              <w:rPr>
                <w:i/>
              </w:rPr>
            </w:pPr>
            <w:r w:rsidRPr="00A96F65">
              <w:rPr>
                <w:i/>
              </w:rPr>
              <w:t>Fuente de verificación</w:t>
            </w:r>
          </w:p>
        </w:tc>
      </w:tr>
      <w:tr w:rsidR="002A2779" w:rsidRPr="007F566A" w:rsidTr="00A51A87">
        <w:trPr>
          <w:jc w:val="right"/>
        </w:trPr>
        <w:tc>
          <w:tcPr>
            <w:tcW w:w="2700" w:type="dxa"/>
          </w:tcPr>
          <w:p w:rsidR="002A2779" w:rsidRPr="007F566A" w:rsidRDefault="002A2779" w:rsidP="002F2B91">
            <w:pPr>
              <w:pStyle w:val="Regtable"/>
              <w:spacing w:before="0" w:after="0"/>
              <w:rPr>
                <w:lang w:val="es-ES_tradnl"/>
              </w:rPr>
            </w:pPr>
            <w:r w:rsidRPr="007F566A">
              <w:rPr>
                <w:rFonts w:eastAsia="MS Mincho"/>
                <w:noProof w:val="0"/>
                <w:lang w:val="es-ES_tradnl" w:eastAsia="ja-JP"/>
              </w:rPr>
              <w:t xml:space="preserve">Crecimiento del comercio –exportaciones e importaciones y sus componentes- (diferencia entre flujos </w:t>
            </w:r>
            <w:r w:rsidR="002F2B91">
              <w:rPr>
                <w:rFonts w:eastAsia="MS Mincho"/>
                <w:noProof w:val="0"/>
                <w:lang w:val="es-ES_tradnl" w:eastAsia="ja-JP"/>
              </w:rPr>
              <w:t>tratados</w:t>
            </w:r>
            <w:r w:rsidRPr="007F566A">
              <w:rPr>
                <w:rFonts w:eastAsia="MS Mincho"/>
                <w:noProof w:val="0"/>
                <w:lang w:val="es-ES_tradnl" w:eastAsia="ja-JP"/>
              </w:rPr>
              <w:t xml:space="preserve"> y flujos no </w:t>
            </w:r>
            <w:r w:rsidR="002F2B91">
              <w:rPr>
                <w:rFonts w:eastAsia="MS Mincho"/>
                <w:noProof w:val="0"/>
                <w:lang w:val="es-ES_tradnl" w:eastAsia="ja-JP"/>
              </w:rPr>
              <w:t>tratados</w:t>
            </w:r>
            <w:r w:rsidRPr="007F566A">
              <w:rPr>
                <w:rFonts w:eastAsia="MS Mincho"/>
                <w:noProof w:val="0"/>
                <w:lang w:val="es-ES_tradnl" w:eastAsia="ja-JP"/>
              </w:rPr>
              <w:t>)</w:t>
            </w:r>
          </w:p>
        </w:tc>
        <w:tc>
          <w:tcPr>
            <w:tcW w:w="1891" w:type="dxa"/>
          </w:tcPr>
          <w:p w:rsidR="002A2779" w:rsidRPr="002F2B91" w:rsidRDefault="002A2779" w:rsidP="002F2B91">
            <w:pPr>
              <w:pStyle w:val="Regtable"/>
              <w:spacing w:before="0" w:after="0"/>
              <w:rPr>
                <w:lang w:val="es-ES_tradnl"/>
              </w:rPr>
            </w:pPr>
            <m:oMathPara>
              <m:oMathParaPr>
                <m:jc m:val="center"/>
              </m:oMathParaPr>
              <m:oMath>
                <m:r>
                  <m:rPr>
                    <m:sty m:val="p"/>
                  </m:rPr>
                  <w:rPr>
                    <w:rFonts w:ascii="Cambria Math" w:hAnsi="Cambria Math"/>
                    <w:lang w:val="es-ES_tradnl"/>
                  </w:rPr>
                  <m:t>Δ</m:t>
                </m:r>
                <m:d>
                  <m:dPr>
                    <m:ctrlPr>
                      <w:rPr>
                        <w:rFonts w:ascii="Cambria Math" w:hAnsi="Cambria Math"/>
                        <w:i/>
                        <w:lang w:val="es-ES_tradnl"/>
                      </w:rPr>
                    </m:ctrlPr>
                  </m:dPr>
                  <m:e>
                    <m:sSup>
                      <m:sSupPr>
                        <m:ctrlPr>
                          <w:rPr>
                            <w:rFonts w:ascii="Cambria Math" w:hAnsi="Cambria Math"/>
                            <w:i/>
                            <w:lang w:val="es-ES_tradnl"/>
                          </w:rPr>
                        </m:ctrlPr>
                      </m:sSupPr>
                      <m:e>
                        <m:acc>
                          <m:accPr>
                            <m:chr m:val="̅"/>
                            <m:ctrlPr>
                              <w:rPr>
                                <w:rFonts w:ascii="Cambria Math" w:hAnsi="Cambria Math"/>
                                <w:i/>
                                <w:lang w:val="es-ES_tradnl"/>
                              </w:rPr>
                            </m:ctrlPr>
                          </m:accPr>
                          <m:e>
                            <m:r>
                              <w:rPr>
                                <w:rFonts w:ascii="Cambria Math" w:hAnsi="Cambria Math"/>
                                <w:lang w:val="es-ES_tradnl"/>
                              </w:rPr>
                              <m:t>X</m:t>
                            </m:r>
                          </m:e>
                        </m:acc>
                      </m:e>
                      <m:sup>
                        <m:r>
                          <w:rPr>
                            <w:rFonts w:ascii="Cambria Math" w:hAnsi="Cambria Math"/>
                            <w:lang w:val="es-ES_tradnl"/>
                          </w:rPr>
                          <m:t>T</m:t>
                        </m:r>
                      </m:sup>
                    </m:sSup>
                  </m:e>
                </m:d>
                <m:r>
                  <w:rPr>
                    <w:rFonts w:ascii="Cambria Math" w:hAnsi="Cambria Math"/>
                    <w:lang w:val="es-ES_tradnl"/>
                  </w:rPr>
                  <m:t>-</m:t>
                </m:r>
                <m:r>
                  <m:rPr>
                    <m:sty m:val="p"/>
                  </m:rPr>
                  <w:rPr>
                    <w:rFonts w:ascii="Cambria Math" w:hAnsi="Cambria Math"/>
                    <w:lang w:val="es-ES_tradnl"/>
                  </w:rPr>
                  <m:t>Δ</m:t>
                </m:r>
                <m:d>
                  <m:dPr>
                    <m:ctrlPr>
                      <w:rPr>
                        <w:rFonts w:ascii="Cambria Math" w:hAnsi="Cambria Math"/>
                        <w:i/>
                        <w:lang w:val="es-ES_tradnl"/>
                      </w:rPr>
                    </m:ctrlPr>
                  </m:dPr>
                  <m:e>
                    <m:sSup>
                      <m:sSupPr>
                        <m:ctrlPr>
                          <w:rPr>
                            <w:rFonts w:ascii="Cambria Math" w:hAnsi="Cambria Math"/>
                            <w:i/>
                            <w:lang w:val="es-ES_tradnl"/>
                          </w:rPr>
                        </m:ctrlPr>
                      </m:sSupPr>
                      <m:e>
                        <m:acc>
                          <m:accPr>
                            <m:chr m:val="̅"/>
                            <m:ctrlPr>
                              <w:rPr>
                                <w:rFonts w:ascii="Cambria Math" w:hAnsi="Cambria Math"/>
                                <w:i/>
                                <w:lang w:val="es-ES_tradnl"/>
                              </w:rPr>
                            </m:ctrlPr>
                          </m:accPr>
                          <m:e>
                            <m:r>
                              <w:rPr>
                                <w:rFonts w:ascii="Cambria Math" w:hAnsi="Cambria Math"/>
                                <w:lang w:val="es-ES_tradnl"/>
                              </w:rPr>
                              <m:t>X</m:t>
                            </m:r>
                          </m:e>
                        </m:acc>
                      </m:e>
                      <m:sup>
                        <m:r>
                          <w:rPr>
                            <w:rFonts w:ascii="Cambria Math" w:hAnsi="Cambria Math"/>
                            <w:lang w:val="es-ES_tradnl"/>
                          </w:rPr>
                          <m:t>NT</m:t>
                        </m:r>
                      </m:sup>
                    </m:sSup>
                  </m:e>
                </m:d>
              </m:oMath>
            </m:oMathPara>
          </w:p>
        </w:tc>
        <w:tc>
          <w:tcPr>
            <w:tcW w:w="2267" w:type="dxa"/>
          </w:tcPr>
          <w:p w:rsidR="002A2779" w:rsidRPr="007F566A" w:rsidRDefault="002A2779" w:rsidP="0012110D">
            <w:pPr>
              <w:pStyle w:val="Regtable"/>
              <w:spacing w:before="0" w:after="0"/>
              <w:jc w:val="center"/>
            </w:pPr>
            <w:r w:rsidRPr="007F566A">
              <w:rPr>
                <w:rFonts w:eastAsia="MS Mincho"/>
                <w:noProof w:val="0"/>
                <w:lang w:val="es-ES_tradnl" w:eastAsia="ja-JP"/>
              </w:rPr>
              <w:t>Anual</w:t>
            </w:r>
          </w:p>
        </w:tc>
        <w:tc>
          <w:tcPr>
            <w:tcW w:w="2340" w:type="dxa"/>
          </w:tcPr>
          <w:p w:rsidR="002A2779" w:rsidRPr="007F566A" w:rsidRDefault="002A2779" w:rsidP="0012110D">
            <w:pPr>
              <w:pStyle w:val="Regtable"/>
              <w:spacing w:before="0" w:after="0"/>
              <w:rPr>
                <w:lang w:val="es-ES_tradnl"/>
              </w:rPr>
            </w:pPr>
            <w:r w:rsidRPr="007F566A">
              <w:rPr>
                <w:lang w:val="es-ES_tradnl"/>
              </w:rPr>
              <w:t>Dirección Nacional de Aduanas</w:t>
            </w:r>
            <w:r w:rsidR="007F566A" w:rsidRPr="007F566A">
              <w:rPr>
                <w:lang w:val="es-ES_tradnl"/>
              </w:rPr>
              <w:t xml:space="preserve"> (DNA)</w:t>
            </w:r>
          </w:p>
        </w:tc>
      </w:tr>
    </w:tbl>
    <w:p w:rsidR="00BB2A4A" w:rsidRDefault="00BB2A4A" w:rsidP="0012110D">
      <w:pPr>
        <w:spacing w:after="0" w:line="240" w:lineRule="auto"/>
        <w:jc w:val="both"/>
        <w:rPr>
          <w:rFonts w:ascii="Times New Roman" w:hAnsi="Times New Roman" w:cs="Times New Roman"/>
          <w:sz w:val="24"/>
          <w:szCs w:val="24"/>
          <w:lang w:val="es-ES_tradnl"/>
        </w:rPr>
      </w:pPr>
    </w:p>
    <w:p w:rsidR="001A054D" w:rsidRPr="007F566A" w:rsidRDefault="00951790" w:rsidP="0012110D">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A30371">
        <w:rPr>
          <w:rFonts w:ascii="Times New Roman" w:hAnsi="Times New Roman" w:cs="Times New Roman"/>
          <w:i/>
          <w:sz w:val="24"/>
          <w:szCs w:val="24"/>
          <w:lang w:val="es-ES_tradnl"/>
        </w:rPr>
        <w:t>2.3</w:t>
      </w:r>
      <w:r w:rsidR="00A30371">
        <w:rPr>
          <w:rFonts w:ascii="Times New Roman" w:hAnsi="Times New Roman" w:cs="Times New Roman"/>
          <w:i/>
          <w:sz w:val="24"/>
          <w:szCs w:val="24"/>
          <w:lang w:val="es-ES_tradnl"/>
        </w:rPr>
        <w:tab/>
      </w:r>
      <w:r w:rsidR="00A05E30">
        <w:rPr>
          <w:rFonts w:ascii="Times New Roman" w:hAnsi="Times New Roman" w:cs="Times New Roman"/>
          <w:i/>
          <w:sz w:val="24"/>
          <w:szCs w:val="24"/>
          <w:lang w:val="es-ES_tradnl"/>
        </w:rPr>
        <w:t>Método</w:t>
      </w:r>
      <w:r w:rsidR="001A054D" w:rsidRPr="007F566A">
        <w:rPr>
          <w:rFonts w:ascii="Times New Roman" w:hAnsi="Times New Roman" w:cs="Times New Roman"/>
          <w:i/>
          <w:sz w:val="24"/>
          <w:szCs w:val="24"/>
          <w:lang w:val="es-ES_tradnl"/>
        </w:rPr>
        <w:t xml:space="preserve"> de </w:t>
      </w:r>
      <w:r w:rsidR="00A30371">
        <w:rPr>
          <w:rFonts w:ascii="Times New Roman" w:hAnsi="Times New Roman" w:cs="Times New Roman"/>
          <w:i/>
          <w:sz w:val="24"/>
          <w:szCs w:val="24"/>
          <w:lang w:val="es-ES_tradnl"/>
        </w:rPr>
        <w:t>e</w:t>
      </w:r>
      <w:r w:rsidR="001A054D" w:rsidRPr="007F566A">
        <w:rPr>
          <w:rFonts w:ascii="Times New Roman" w:hAnsi="Times New Roman" w:cs="Times New Roman"/>
          <w:i/>
          <w:sz w:val="24"/>
          <w:szCs w:val="24"/>
          <w:lang w:val="es-ES_tradnl"/>
        </w:rPr>
        <w:t>valuación</w:t>
      </w:r>
    </w:p>
    <w:p w:rsidR="0012110D" w:rsidRPr="007F566A" w:rsidRDefault="0012110D" w:rsidP="0012110D">
      <w:pPr>
        <w:spacing w:after="0" w:line="240" w:lineRule="auto"/>
        <w:jc w:val="both"/>
        <w:rPr>
          <w:rFonts w:ascii="Times New Roman" w:hAnsi="Times New Roman" w:cs="Times New Roman"/>
          <w:sz w:val="24"/>
          <w:szCs w:val="24"/>
          <w:lang w:val="es-ES_tradnl"/>
        </w:rPr>
      </w:pPr>
    </w:p>
    <w:p w:rsidR="001A054D" w:rsidRPr="007F566A" w:rsidRDefault="001A054D"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 xml:space="preserve">El </w:t>
      </w:r>
      <w:r w:rsidR="00BB2A4A">
        <w:rPr>
          <w:rFonts w:ascii="Times New Roman" w:hAnsi="Times New Roman" w:cs="Times New Roman"/>
          <w:sz w:val="24"/>
          <w:szCs w:val="24"/>
          <w:lang w:val="es-ES_tradnl"/>
        </w:rPr>
        <w:t xml:space="preserve">impacto del </w:t>
      </w:r>
      <w:r w:rsidRPr="007F566A">
        <w:rPr>
          <w:rFonts w:ascii="Times New Roman" w:hAnsi="Times New Roman" w:cs="Times New Roman"/>
          <w:sz w:val="24"/>
          <w:szCs w:val="24"/>
          <w:lang w:val="es-ES_tradnl"/>
        </w:rPr>
        <w:t xml:space="preserve">programa </w:t>
      </w:r>
      <w:r w:rsidR="00BB2A4A">
        <w:rPr>
          <w:rFonts w:ascii="Times New Roman" w:hAnsi="Times New Roman" w:cs="Times New Roman"/>
          <w:sz w:val="24"/>
          <w:szCs w:val="24"/>
          <w:lang w:val="es-ES_tradnl"/>
        </w:rPr>
        <w:t xml:space="preserve">sobre el comercio exterior de Uruguay se </w:t>
      </w:r>
      <w:r w:rsidRPr="007F566A">
        <w:rPr>
          <w:rFonts w:ascii="Times New Roman" w:hAnsi="Times New Roman" w:cs="Times New Roman"/>
          <w:sz w:val="24"/>
          <w:szCs w:val="24"/>
          <w:lang w:val="es-ES_tradnl"/>
        </w:rPr>
        <w:t>puede evalua</w:t>
      </w:r>
      <w:r w:rsidR="00BB2A4A">
        <w:rPr>
          <w:rFonts w:ascii="Times New Roman" w:hAnsi="Times New Roman" w:cs="Times New Roman"/>
          <w:sz w:val="24"/>
          <w:szCs w:val="24"/>
          <w:lang w:val="es-ES_tradnl"/>
        </w:rPr>
        <w:t>r</w:t>
      </w:r>
      <w:r w:rsidRPr="007F566A">
        <w:rPr>
          <w:rFonts w:ascii="Times New Roman" w:hAnsi="Times New Roman" w:cs="Times New Roman"/>
          <w:sz w:val="24"/>
          <w:szCs w:val="24"/>
          <w:lang w:val="es-ES_tradnl"/>
        </w:rPr>
        <w:t xml:space="preserve"> utilizando </w:t>
      </w:r>
      <w:r w:rsidR="00BB2A4A">
        <w:rPr>
          <w:rFonts w:ascii="Times New Roman" w:hAnsi="Times New Roman" w:cs="Times New Roman"/>
          <w:sz w:val="24"/>
          <w:szCs w:val="24"/>
          <w:lang w:val="es-ES_tradnl"/>
        </w:rPr>
        <w:t>primariamente el método de</w:t>
      </w:r>
      <w:r w:rsidRPr="007F566A">
        <w:rPr>
          <w:rFonts w:ascii="Times New Roman" w:hAnsi="Times New Roman" w:cs="Times New Roman"/>
          <w:sz w:val="24"/>
          <w:szCs w:val="24"/>
          <w:lang w:val="es-ES_tradnl"/>
        </w:rPr>
        <w:t xml:space="preserve"> diferencia</w:t>
      </w:r>
      <w:r w:rsidR="00BB2A4A">
        <w:rPr>
          <w:rFonts w:ascii="Times New Roman" w:hAnsi="Times New Roman" w:cs="Times New Roman"/>
          <w:sz w:val="24"/>
          <w:szCs w:val="24"/>
          <w:lang w:val="es-ES_tradnl"/>
        </w:rPr>
        <w:t>s</w:t>
      </w:r>
      <w:r w:rsidRPr="007F566A">
        <w:rPr>
          <w:rFonts w:ascii="Times New Roman" w:hAnsi="Times New Roman" w:cs="Times New Roman"/>
          <w:sz w:val="24"/>
          <w:szCs w:val="24"/>
          <w:lang w:val="es-ES_tradnl"/>
        </w:rPr>
        <w:t>-en-diferencia</w:t>
      </w:r>
      <w:r w:rsidR="00BB2A4A">
        <w:rPr>
          <w:rFonts w:ascii="Times New Roman" w:hAnsi="Times New Roman" w:cs="Times New Roman"/>
          <w:sz w:val="24"/>
          <w:szCs w:val="24"/>
          <w:lang w:val="es-ES_tradnl"/>
        </w:rPr>
        <w:t>s</w:t>
      </w:r>
      <w:r w:rsidRPr="007F566A">
        <w:rPr>
          <w:rFonts w:ascii="Times New Roman" w:hAnsi="Times New Roman" w:cs="Times New Roman"/>
          <w:sz w:val="24"/>
          <w:szCs w:val="24"/>
          <w:lang w:val="es-ES_tradnl"/>
        </w:rPr>
        <w:t xml:space="preserve">. </w:t>
      </w:r>
      <w:r w:rsidR="002A2779" w:rsidRPr="007F566A">
        <w:rPr>
          <w:rFonts w:ascii="Times New Roman" w:hAnsi="Times New Roman" w:cs="Times New Roman"/>
          <w:sz w:val="24"/>
          <w:szCs w:val="24"/>
          <w:lang w:val="es-ES_tradnl"/>
        </w:rPr>
        <w:t xml:space="preserve">En concreto, se estimará un efecto de tratamiento promedio como la diferencia entre la variación del valor de los flujos de comercio cuyos tiempos administrativos se reducen y la variación del valor de los flujos de comercio cuyos tiempos administrativos permanecen virtualmente invariantes (no experimentan cambios significativos), controlando por diferencias sistemáticas entre los productos y </w:t>
      </w:r>
      <w:r w:rsidR="0083104B">
        <w:rPr>
          <w:rFonts w:ascii="Times New Roman" w:hAnsi="Times New Roman" w:cs="Times New Roman"/>
          <w:sz w:val="24"/>
          <w:szCs w:val="24"/>
          <w:lang w:val="es-ES_tradnl"/>
        </w:rPr>
        <w:t>sus</w:t>
      </w:r>
      <w:r w:rsidR="002A2779" w:rsidRPr="007F566A">
        <w:rPr>
          <w:rFonts w:ascii="Times New Roman" w:hAnsi="Times New Roman" w:cs="Times New Roman"/>
          <w:sz w:val="24"/>
          <w:szCs w:val="24"/>
          <w:lang w:val="es-ES_tradnl"/>
        </w:rPr>
        <w:t xml:space="preserve"> destinos</w:t>
      </w:r>
      <w:r w:rsidR="0083104B">
        <w:rPr>
          <w:rFonts w:ascii="Times New Roman" w:hAnsi="Times New Roman" w:cs="Times New Roman"/>
          <w:sz w:val="24"/>
          <w:szCs w:val="24"/>
          <w:lang w:val="es-ES_tradnl"/>
        </w:rPr>
        <w:t xml:space="preserve"> (orígenes)</w:t>
      </w:r>
      <w:r w:rsidR="002A2779" w:rsidRPr="007F566A">
        <w:rPr>
          <w:rFonts w:ascii="Times New Roman" w:hAnsi="Times New Roman" w:cs="Times New Roman"/>
          <w:sz w:val="24"/>
          <w:szCs w:val="24"/>
          <w:lang w:val="es-ES_tradnl"/>
        </w:rPr>
        <w:t>. Asimismo, se explorarán los canales de los efectos tanto en la dimensión intensiva como extensiva (por ejemplo, el volumen, el valor unitario, el número de envíos, el número de compradores) y potenciales respuestas asimétricas de flujos antes cambios similares en el tiempo procesal dependiendo de cuán sensibles al tiempo sean los bienes de que se trate.</w:t>
      </w:r>
    </w:p>
    <w:p w:rsidR="001A054D" w:rsidRPr="007F566A" w:rsidRDefault="001A054D" w:rsidP="0012110D">
      <w:pPr>
        <w:spacing w:after="0" w:line="240" w:lineRule="auto"/>
        <w:jc w:val="both"/>
        <w:rPr>
          <w:rFonts w:ascii="Times New Roman" w:hAnsi="Times New Roman" w:cs="Times New Roman"/>
          <w:sz w:val="24"/>
          <w:szCs w:val="24"/>
          <w:lang w:val="es-ES_tradnl"/>
        </w:rPr>
      </w:pPr>
    </w:p>
    <w:p w:rsidR="002A2779" w:rsidRPr="007F566A" w:rsidRDefault="00951790" w:rsidP="0012110D">
      <w:pPr>
        <w:spacing w:after="0" w:line="240" w:lineRule="auto"/>
        <w:jc w:val="both"/>
        <w:rPr>
          <w:rFonts w:ascii="Times New Roman" w:hAnsi="Times New Roman" w:cs="Times New Roman"/>
          <w:i/>
          <w:sz w:val="24"/>
          <w:szCs w:val="24"/>
          <w:lang w:val="es-ES_tradnl"/>
        </w:rPr>
      </w:pPr>
      <w:r>
        <w:rPr>
          <w:rFonts w:ascii="Times New Roman" w:hAnsi="Times New Roman" w:cs="Times New Roman"/>
          <w:i/>
          <w:sz w:val="24"/>
          <w:szCs w:val="24"/>
          <w:lang w:val="es-ES_tradnl"/>
        </w:rPr>
        <w:t>II.</w:t>
      </w:r>
      <w:r w:rsidR="00A30371">
        <w:rPr>
          <w:rFonts w:ascii="Times New Roman" w:hAnsi="Times New Roman" w:cs="Times New Roman"/>
          <w:i/>
          <w:sz w:val="24"/>
          <w:szCs w:val="24"/>
          <w:lang w:val="es-ES_tradnl"/>
        </w:rPr>
        <w:t>2.4</w:t>
      </w:r>
      <w:r w:rsidR="00A30371">
        <w:rPr>
          <w:rFonts w:ascii="Times New Roman" w:hAnsi="Times New Roman" w:cs="Times New Roman"/>
          <w:i/>
          <w:sz w:val="24"/>
          <w:szCs w:val="24"/>
          <w:lang w:val="es-ES_tradnl"/>
        </w:rPr>
        <w:tab/>
      </w:r>
      <w:r w:rsidR="002A2779" w:rsidRPr="007F566A">
        <w:rPr>
          <w:rFonts w:ascii="Times New Roman" w:hAnsi="Times New Roman" w:cs="Times New Roman"/>
          <w:i/>
          <w:sz w:val="24"/>
          <w:szCs w:val="24"/>
          <w:lang w:val="es-ES_tradnl"/>
        </w:rPr>
        <w:t xml:space="preserve">Aspectos técnicos </w:t>
      </w:r>
      <w:r w:rsidR="00A30371">
        <w:rPr>
          <w:rFonts w:ascii="Times New Roman" w:hAnsi="Times New Roman" w:cs="Times New Roman"/>
          <w:i/>
          <w:sz w:val="24"/>
          <w:szCs w:val="24"/>
          <w:lang w:val="es-ES_tradnl"/>
        </w:rPr>
        <w:t>asociados a</w:t>
      </w:r>
      <w:r w:rsidR="00270DCF">
        <w:rPr>
          <w:rFonts w:ascii="Times New Roman" w:hAnsi="Times New Roman" w:cs="Times New Roman"/>
          <w:i/>
          <w:sz w:val="24"/>
          <w:szCs w:val="24"/>
          <w:lang w:val="es-ES_tradnl"/>
        </w:rPr>
        <w:t>l</w:t>
      </w:r>
      <w:r w:rsidR="002A2779" w:rsidRPr="007F566A">
        <w:rPr>
          <w:rFonts w:ascii="Times New Roman" w:hAnsi="Times New Roman" w:cs="Times New Roman"/>
          <w:i/>
          <w:sz w:val="24"/>
          <w:szCs w:val="24"/>
          <w:lang w:val="es-ES_tradnl"/>
        </w:rPr>
        <w:t xml:space="preserve"> m</w:t>
      </w:r>
      <w:r w:rsidR="00270DCF">
        <w:rPr>
          <w:rFonts w:ascii="Times New Roman" w:hAnsi="Times New Roman" w:cs="Times New Roman"/>
          <w:i/>
          <w:sz w:val="24"/>
          <w:szCs w:val="24"/>
          <w:lang w:val="es-ES_tradnl"/>
        </w:rPr>
        <w:t>étodo</w:t>
      </w:r>
      <w:r w:rsidR="002A2779" w:rsidRPr="007F566A">
        <w:rPr>
          <w:rFonts w:ascii="Times New Roman" w:hAnsi="Times New Roman" w:cs="Times New Roman"/>
          <w:i/>
          <w:sz w:val="24"/>
          <w:szCs w:val="24"/>
          <w:lang w:val="es-ES_tradnl"/>
        </w:rPr>
        <w:t xml:space="preserve"> seleccionad</w:t>
      </w:r>
      <w:r w:rsidR="00270DCF">
        <w:rPr>
          <w:rFonts w:ascii="Times New Roman" w:hAnsi="Times New Roman" w:cs="Times New Roman"/>
          <w:i/>
          <w:sz w:val="24"/>
          <w:szCs w:val="24"/>
          <w:lang w:val="es-ES_tradnl"/>
        </w:rPr>
        <w:t>o</w:t>
      </w:r>
    </w:p>
    <w:p w:rsidR="007F566A" w:rsidRPr="007F566A" w:rsidRDefault="007F566A"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i/>
          <w:sz w:val="24"/>
          <w:szCs w:val="24"/>
          <w:lang w:val="es-ES_tradnl"/>
        </w:rPr>
        <w:t>Tratamiento y grupos de tratamiento y comparación/</w:t>
      </w:r>
      <w:r w:rsidR="007F566A" w:rsidRPr="007F566A">
        <w:rPr>
          <w:rFonts w:ascii="Times New Roman" w:hAnsi="Times New Roman" w:cs="Times New Roman"/>
          <w:i/>
          <w:sz w:val="24"/>
          <w:szCs w:val="24"/>
          <w:lang w:val="es-ES_tradnl"/>
        </w:rPr>
        <w:t xml:space="preserve">control: </w:t>
      </w:r>
      <w:r w:rsidRPr="007F566A">
        <w:rPr>
          <w:rFonts w:ascii="Times New Roman" w:hAnsi="Times New Roman" w:cs="Times New Roman"/>
          <w:sz w:val="24"/>
          <w:szCs w:val="24"/>
          <w:lang w:val="es-ES_tradnl"/>
        </w:rPr>
        <w:t>El tratamiento consiste en la reducción del tiempo que insume completar los pasos administrativos de una operación de comercio exterior. El grupo de tratamiento primario estará conformado por los flujos de comercio cuyos trámites administrativos registran una caída en el tiempo demandado para su finalización, mientras que el grupo de control primario estará integrado por los flujos de comercio cuyos procedimientos administrativos son actualmente relativamente rápidos de modo que no cabría esperar que experimenten grandes cambios en este sentido.</w:t>
      </w:r>
    </w:p>
    <w:p w:rsidR="002A2779" w:rsidRPr="007F566A" w:rsidRDefault="002A2779"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i/>
          <w:sz w:val="24"/>
          <w:szCs w:val="24"/>
          <w:lang w:val="es-ES_tradnl"/>
        </w:rPr>
        <w:t>Tamaño de la muestra</w:t>
      </w:r>
      <w:r w:rsidR="007F566A" w:rsidRPr="007F566A">
        <w:rPr>
          <w:rFonts w:ascii="Times New Roman" w:hAnsi="Times New Roman" w:cs="Times New Roman"/>
          <w:i/>
          <w:sz w:val="24"/>
          <w:szCs w:val="24"/>
          <w:lang w:val="es-ES_tradnl"/>
        </w:rPr>
        <w:t xml:space="preserve">: </w:t>
      </w:r>
      <w:r w:rsidRPr="007F566A">
        <w:rPr>
          <w:rFonts w:ascii="Times New Roman" w:hAnsi="Times New Roman" w:cs="Times New Roman"/>
          <w:sz w:val="24"/>
          <w:szCs w:val="24"/>
          <w:lang w:val="es-ES_tradnl"/>
        </w:rPr>
        <w:t xml:space="preserve">La muestra consistirá del universo de transacciones registradas en Uruguay en el período de estudio. A modo de referencia, en el año 2011 se realizaron 113,533 transacciones de exportación, de las cuales aproximadamente el </w:t>
      </w:r>
      <w:r w:rsidR="00A96F65">
        <w:rPr>
          <w:rFonts w:ascii="Times New Roman" w:hAnsi="Times New Roman" w:cs="Times New Roman"/>
          <w:sz w:val="24"/>
          <w:szCs w:val="24"/>
          <w:lang w:val="es-ES_tradnl"/>
        </w:rPr>
        <w:t>8,2</w:t>
      </w:r>
      <w:r w:rsidRPr="007F566A">
        <w:rPr>
          <w:rFonts w:ascii="Times New Roman" w:hAnsi="Times New Roman" w:cs="Times New Roman"/>
          <w:sz w:val="24"/>
          <w:szCs w:val="24"/>
          <w:lang w:val="es-ES_tradnl"/>
        </w:rPr>
        <w:t>% fue procesad</w:t>
      </w:r>
      <w:r w:rsidR="0012110D" w:rsidRPr="007F566A">
        <w:rPr>
          <w:rFonts w:ascii="Times New Roman" w:hAnsi="Times New Roman" w:cs="Times New Roman"/>
          <w:sz w:val="24"/>
          <w:szCs w:val="24"/>
          <w:lang w:val="es-ES_tradnl"/>
        </w:rPr>
        <w:t>o</w:t>
      </w:r>
      <w:r w:rsidRPr="007F566A">
        <w:rPr>
          <w:rFonts w:ascii="Times New Roman" w:hAnsi="Times New Roman" w:cs="Times New Roman"/>
          <w:sz w:val="24"/>
          <w:szCs w:val="24"/>
          <w:lang w:val="es-ES_tradnl"/>
        </w:rPr>
        <w:t xml:space="preserve"> a través del canal de </w:t>
      </w:r>
      <w:r w:rsidR="0012110D" w:rsidRPr="007F566A">
        <w:rPr>
          <w:rFonts w:ascii="Times New Roman" w:hAnsi="Times New Roman" w:cs="Times New Roman"/>
          <w:sz w:val="24"/>
          <w:szCs w:val="24"/>
          <w:lang w:val="es-ES_tradnl"/>
        </w:rPr>
        <w:t>verificación rojo</w:t>
      </w:r>
      <w:r w:rsidR="007F566A" w:rsidRPr="007F566A">
        <w:rPr>
          <w:rFonts w:ascii="Times New Roman" w:hAnsi="Times New Roman" w:cs="Times New Roman"/>
          <w:sz w:val="24"/>
          <w:szCs w:val="24"/>
          <w:lang w:val="es-ES_tradnl"/>
        </w:rPr>
        <w:t>, lo cual supuso completar trámites cuya duración mediana fue de 5 días.</w:t>
      </w:r>
      <w:r w:rsidR="0012110D" w:rsidRPr="007F566A">
        <w:rPr>
          <w:rFonts w:ascii="Times New Roman" w:hAnsi="Times New Roman" w:cs="Times New Roman"/>
          <w:sz w:val="24"/>
          <w:szCs w:val="24"/>
          <w:lang w:val="es-ES_tradnl"/>
        </w:rPr>
        <w:t xml:space="preserve"> </w:t>
      </w:r>
    </w:p>
    <w:p w:rsidR="002A2779" w:rsidRPr="007F566A" w:rsidRDefault="002A2779"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i/>
          <w:sz w:val="24"/>
          <w:szCs w:val="24"/>
          <w:lang w:val="es-ES_tradnl"/>
        </w:rPr>
        <w:t>Recopilación de datos</w:t>
      </w:r>
      <w:r w:rsidR="007F566A" w:rsidRPr="007F566A">
        <w:rPr>
          <w:rFonts w:ascii="Times New Roman" w:hAnsi="Times New Roman" w:cs="Times New Roman"/>
          <w:i/>
          <w:sz w:val="24"/>
          <w:szCs w:val="24"/>
          <w:lang w:val="es-ES_tradnl"/>
        </w:rPr>
        <w:t>:</w:t>
      </w:r>
      <w:r w:rsidR="007F566A"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A efectos de llevar a cabo el análisis estadístico descripto con anterioridad se utilizarán datos de comercio a nivel transac</w:t>
      </w:r>
      <w:r w:rsidR="0012110D" w:rsidRPr="007F566A">
        <w:rPr>
          <w:rFonts w:ascii="Times New Roman" w:hAnsi="Times New Roman" w:cs="Times New Roman"/>
          <w:sz w:val="24"/>
          <w:szCs w:val="24"/>
          <w:lang w:val="es-ES_tradnl"/>
        </w:rPr>
        <w:t>c</w:t>
      </w:r>
      <w:r w:rsidRPr="007F566A">
        <w:rPr>
          <w:rFonts w:ascii="Times New Roman" w:hAnsi="Times New Roman" w:cs="Times New Roman"/>
          <w:sz w:val="24"/>
          <w:szCs w:val="24"/>
          <w:lang w:val="es-ES_tradnl"/>
        </w:rPr>
        <w:t>i</w:t>
      </w:r>
      <w:r w:rsidR="007F566A" w:rsidRPr="007F566A">
        <w:rPr>
          <w:rFonts w:ascii="Times New Roman" w:hAnsi="Times New Roman" w:cs="Times New Roman"/>
          <w:sz w:val="24"/>
          <w:szCs w:val="24"/>
          <w:lang w:val="es-ES_tradnl"/>
        </w:rPr>
        <w:t>onal</w:t>
      </w:r>
      <w:r w:rsidRPr="007F566A">
        <w:rPr>
          <w:rFonts w:ascii="Times New Roman" w:hAnsi="Times New Roman" w:cs="Times New Roman"/>
          <w:sz w:val="24"/>
          <w:szCs w:val="24"/>
          <w:lang w:val="es-ES_tradnl"/>
        </w:rPr>
        <w:t xml:space="preserve"> provenientes de la DNA desde 200</w:t>
      </w:r>
      <w:r w:rsidR="0012110D" w:rsidRPr="007F566A">
        <w:rPr>
          <w:rFonts w:ascii="Times New Roman" w:hAnsi="Times New Roman" w:cs="Times New Roman"/>
          <w:sz w:val="24"/>
          <w:szCs w:val="24"/>
          <w:lang w:val="es-ES_tradnl"/>
        </w:rPr>
        <w:t>2</w:t>
      </w:r>
      <w:r w:rsidRPr="007F566A">
        <w:rPr>
          <w:rFonts w:ascii="Times New Roman" w:hAnsi="Times New Roman" w:cs="Times New Roman"/>
          <w:sz w:val="24"/>
          <w:szCs w:val="24"/>
          <w:lang w:val="es-ES_tradnl"/>
        </w:rPr>
        <w:t xml:space="preserve"> en adelante</w:t>
      </w:r>
      <w:r w:rsidR="007F566A" w:rsidRPr="007F566A">
        <w:rPr>
          <w:rFonts w:ascii="Times New Roman" w:hAnsi="Times New Roman" w:cs="Times New Roman"/>
          <w:sz w:val="24"/>
          <w:szCs w:val="24"/>
          <w:lang w:val="es-ES_tradnl"/>
        </w:rPr>
        <w:t xml:space="preserve"> que cubren el universo entero de </w:t>
      </w:r>
      <w:r w:rsidR="0083104B">
        <w:rPr>
          <w:rFonts w:ascii="Times New Roman" w:hAnsi="Times New Roman" w:cs="Times New Roman"/>
          <w:sz w:val="24"/>
          <w:szCs w:val="24"/>
          <w:lang w:val="es-ES_tradnl"/>
        </w:rPr>
        <w:t xml:space="preserve">las </w:t>
      </w:r>
      <w:r w:rsidR="007F566A" w:rsidRPr="007F566A">
        <w:rPr>
          <w:rFonts w:ascii="Times New Roman" w:hAnsi="Times New Roman" w:cs="Times New Roman"/>
          <w:sz w:val="24"/>
          <w:szCs w:val="24"/>
          <w:lang w:val="es-ES_tradnl"/>
        </w:rPr>
        <w:t xml:space="preserve">transacciones. </w:t>
      </w:r>
      <w:r w:rsidRPr="007F566A">
        <w:rPr>
          <w:rFonts w:ascii="Times New Roman" w:hAnsi="Times New Roman" w:cs="Times New Roman"/>
          <w:sz w:val="24"/>
          <w:szCs w:val="24"/>
          <w:lang w:val="es-ES_tradnl"/>
        </w:rPr>
        <w:t>Concretamente, los mismos permiten saber para cada transacción, entre otros, el valor y la cantidad, el origen y el destino y el modo de transporte</w:t>
      </w:r>
      <w:r w:rsidR="0012110D"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la empresa transportista</w:t>
      </w:r>
      <w:r w:rsidR="0012110D" w:rsidRPr="007F566A">
        <w:rPr>
          <w:rFonts w:ascii="Times New Roman" w:hAnsi="Times New Roman" w:cs="Times New Roman"/>
          <w:sz w:val="24"/>
          <w:szCs w:val="24"/>
          <w:lang w:val="es-ES_tradnl"/>
        </w:rPr>
        <w:t xml:space="preserve"> y el tiempo que media entre la solicitud de canal de verificación y la liberación de la mercancía</w:t>
      </w:r>
      <w:r w:rsidRPr="007F566A">
        <w:rPr>
          <w:rFonts w:ascii="Times New Roman" w:hAnsi="Times New Roman" w:cs="Times New Roman"/>
          <w:sz w:val="24"/>
          <w:szCs w:val="24"/>
          <w:lang w:val="es-ES_tradnl"/>
        </w:rPr>
        <w:t>. Por otra parte, en el marco del presente proyecto</w:t>
      </w:r>
      <w:r w:rsidR="0012110D" w:rsidRPr="007F566A">
        <w:rPr>
          <w:rFonts w:ascii="Times New Roman" w:hAnsi="Times New Roman" w:cs="Times New Roman"/>
          <w:sz w:val="24"/>
          <w:szCs w:val="24"/>
          <w:lang w:val="es-ES_tradnl"/>
        </w:rPr>
        <w:t>, se generará información adicional sobre las demoras asociadas a otras in</w:t>
      </w:r>
      <w:r w:rsidRPr="007F566A">
        <w:rPr>
          <w:rFonts w:ascii="Times New Roman" w:hAnsi="Times New Roman" w:cs="Times New Roman"/>
          <w:sz w:val="24"/>
          <w:szCs w:val="24"/>
          <w:lang w:val="es-ES_tradnl"/>
        </w:rPr>
        <w:t xml:space="preserve">stancias por las que debe atravesar cada transacción comercial y el tiempo parcial y total requerido por el proceso administrativo en su conjunto para cada </w:t>
      </w:r>
      <w:r w:rsidR="0012110D" w:rsidRPr="007F566A">
        <w:rPr>
          <w:rFonts w:ascii="Times New Roman" w:hAnsi="Times New Roman" w:cs="Times New Roman"/>
          <w:sz w:val="24"/>
          <w:szCs w:val="24"/>
          <w:lang w:val="es-ES_tradnl"/>
        </w:rPr>
        <w:t>transacción</w:t>
      </w:r>
      <w:r w:rsidRPr="007F566A">
        <w:rPr>
          <w:rFonts w:ascii="Times New Roman" w:hAnsi="Times New Roman" w:cs="Times New Roman"/>
          <w:sz w:val="24"/>
          <w:szCs w:val="24"/>
          <w:lang w:val="es-ES_tradnl"/>
        </w:rPr>
        <w:t>.</w:t>
      </w:r>
    </w:p>
    <w:p w:rsidR="007F566A" w:rsidRPr="007F566A" w:rsidRDefault="007F566A"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i/>
          <w:sz w:val="24"/>
          <w:szCs w:val="24"/>
          <w:lang w:val="es-ES_tradnl"/>
        </w:rPr>
        <w:t>Período de evaluación</w:t>
      </w:r>
      <w:r w:rsidR="007F566A" w:rsidRPr="007F566A">
        <w:rPr>
          <w:rFonts w:ascii="Times New Roman" w:hAnsi="Times New Roman" w:cs="Times New Roman"/>
          <w:i/>
          <w:sz w:val="24"/>
          <w:szCs w:val="24"/>
          <w:lang w:val="es-ES_tradnl"/>
        </w:rPr>
        <w:t>:</w:t>
      </w:r>
      <w:r w:rsidR="007F566A"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 xml:space="preserve">El programa se evaluará con </w:t>
      </w:r>
      <w:r w:rsidR="00A05E30">
        <w:rPr>
          <w:rFonts w:ascii="Times New Roman" w:hAnsi="Times New Roman" w:cs="Times New Roman"/>
          <w:sz w:val="24"/>
          <w:szCs w:val="24"/>
          <w:lang w:val="es-ES_tradnl"/>
        </w:rPr>
        <w:t>el</w:t>
      </w:r>
      <w:r w:rsidRPr="007F566A">
        <w:rPr>
          <w:rFonts w:ascii="Times New Roman" w:hAnsi="Times New Roman" w:cs="Times New Roman"/>
          <w:sz w:val="24"/>
          <w:szCs w:val="24"/>
          <w:lang w:val="es-ES_tradnl"/>
        </w:rPr>
        <w:t xml:space="preserve"> métod</w:t>
      </w:r>
      <w:r w:rsidR="00A05E30">
        <w:rPr>
          <w:rFonts w:ascii="Times New Roman" w:hAnsi="Times New Roman" w:cs="Times New Roman"/>
          <w:sz w:val="24"/>
          <w:szCs w:val="24"/>
          <w:lang w:val="es-ES_tradnl"/>
        </w:rPr>
        <w:t>o</w:t>
      </w:r>
      <w:r w:rsidRPr="007F566A">
        <w:rPr>
          <w:rFonts w:ascii="Times New Roman" w:hAnsi="Times New Roman" w:cs="Times New Roman"/>
          <w:sz w:val="24"/>
          <w:szCs w:val="24"/>
          <w:lang w:val="es-ES_tradnl"/>
        </w:rPr>
        <w:t xml:space="preserve"> antes mencionado a los </w:t>
      </w:r>
      <w:r w:rsidR="00A93C0E">
        <w:rPr>
          <w:rFonts w:ascii="Times New Roman" w:hAnsi="Times New Roman" w:cs="Times New Roman"/>
          <w:sz w:val="24"/>
          <w:szCs w:val="24"/>
          <w:lang w:val="es-ES_tradnl"/>
        </w:rPr>
        <w:t>36</w:t>
      </w:r>
      <w:r w:rsidRPr="007F566A">
        <w:rPr>
          <w:rFonts w:ascii="Times New Roman" w:hAnsi="Times New Roman" w:cs="Times New Roman"/>
          <w:sz w:val="24"/>
          <w:szCs w:val="24"/>
          <w:lang w:val="es-ES_tradnl"/>
        </w:rPr>
        <w:t xml:space="preserve"> meses de </w:t>
      </w:r>
      <w:r w:rsidR="00A93C0E">
        <w:rPr>
          <w:rFonts w:ascii="Times New Roman" w:hAnsi="Times New Roman" w:cs="Times New Roman"/>
          <w:sz w:val="24"/>
          <w:szCs w:val="24"/>
          <w:lang w:val="es-ES_tradnl"/>
        </w:rPr>
        <w:t xml:space="preserve">la </w:t>
      </w:r>
      <w:r w:rsidRPr="007F566A">
        <w:rPr>
          <w:rFonts w:ascii="Times New Roman" w:hAnsi="Times New Roman" w:cs="Times New Roman"/>
          <w:sz w:val="24"/>
          <w:szCs w:val="24"/>
          <w:lang w:val="es-ES_tradnl"/>
        </w:rPr>
        <w:t>entrada en vigencia de</w:t>
      </w:r>
      <w:r w:rsidR="00A93C0E">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l</w:t>
      </w:r>
      <w:r w:rsidR="00A93C0E">
        <w:rPr>
          <w:rFonts w:ascii="Times New Roman" w:hAnsi="Times New Roman" w:cs="Times New Roman"/>
          <w:sz w:val="24"/>
          <w:szCs w:val="24"/>
          <w:lang w:val="es-ES_tradnl"/>
        </w:rPr>
        <w:t>as reformas incluidas en el programa</w:t>
      </w:r>
      <w:r w:rsidRPr="007F566A">
        <w:rPr>
          <w:rFonts w:ascii="Times New Roman" w:hAnsi="Times New Roman" w:cs="Times New Roman"/>
          <w:sz w:val="24"/>
          <w:szCs w:val="24"/>
          <w:lang w:val="es-ES_tradnl"/>
        </w:rPr>
        <w:t>.</w:t>
      </w:r>
    </w:p>
    <w:p w:rsidR="0083104B" w:rsidRDefault="0083104B" w:rsidP="0012110D">
      <w:pPr>
        <w:spacing w:after="0" w:line="240" w:lineRule="auto"/>
        <w:jc w:val="both"/>
        <w:rPr>
          <w:rFonts w:ascii="Times New Roman" w:hAnsi="Times New Roman" w:cs="Times New Roman"/>
          <w:b/>
          <w:sz w:val="24"/>
          <w:szCs w:val="24"/>
          <w:lang w:val="es-ES_tradnl"/>
        </w:rPr>
      </w:pPr>
    </w:p>
    <w:p w:rsidR="00A51A87" w:rsidRDefault="00A51A87" w:rsidP="0012110D">
      <w:pPr>
        <w:spacing w:after="0" w:line="240" w:lineRule="auto"/>
        <w:jc w:val="both"/>
        <w:rPr>
          <w:rFonts w:ascii="Times New Roman" w:hAnsi="Times New Roman" w:cs="Times New Roman"/>
          <w:b/>
          <w:sz w:val="24"/>
          <w:szCs w:val="24"/>
          <w:lang w:val="es-ES_tradnl"/>
        </w:rPr>
      </w:pPr>
    </w:p>
    <w:p w:rsidR="002A2779" w:rsidRPr="00A30371" w:rsidRDefault="00951790" w:rsidP="0012110D">
      <w:pPr>
        <w:spacing w:after="0" w:line="24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w:t>
      </w:r>
      <w:r w:rsidR="00A30371" w:rsidRPr="00A30371">
        <w:rPr>
          <w:rFonts w:ascii="Times New Roman" w:hAnsi="Times New Roman" w:cs="Times New Roman"/>
          <w:b/>
          <w:sz w:val="24"/>
          <w:szCs w:val="24"/>
          <w:lang w:val="es-ES_tradnl"/>
        </w:rPr>
        <w:t>3</w:t>
      </w:r>
      <w:r w:rsidR="00A30371" w:rsidRPr="00A30371">
        <w:rPr>
          <w:rFonts w:ascii="Times New Roman" w:hAnsi="Times New Roman" w:cs="Times New Roman"/>
          <w:b/>
          <w:sz w:val="24"/>
          <w:szCs w:val="24"/>
          <w:lang w:val="es-ES_tradnl"/>
        </w:rPr>
        <w:tab/>
      </w:r>
      <w:r w:rsidR="002A2779" w:rsidRPr="00A30371">
        <w:rPr>
          <w:rFonts w:ascii="Times New Roman" w:hAnsi="Times New Roman" w:cs="Times New Roman"/>
          <w:b/>
          <w:sz w:val="24"/>
          <w:szCs w:val="24"/>
          <w:lang w:val="es-ES_tradnl"/>
        </w:rPr>
        <w:t>Información de los resultados</w:t>
      </w:r>
    </w:p>
    <w:p w:rsidR="007F566A" w:rsidRPr="007F566A" w:rsidRDefault="007F566A"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La evaluación del programa se presentará al Ministerio de Economía</w:t>
      </w:r>
      <w:r w:rsidR="00A93C0E">
        <w:rPr>
          <w:rFonts w:ascii="Times New Roman" w:hAnsi="Times New Roman" w:cs="Times New Roman"/>
          <w:sz w:val="24"/>
          <w:szCs w:val="24"/>
          <w:lang w:val="es-ES_tradnl"/>
        </w:rPr>
        <w:t xml:space="preserve"> y Finanzas</w:t>
      </w:r>
      <w:r w:rsidRPr="007F566A">
        <w:rPr>
          <w:rFonts w:ascii="Times New Roman" w:hAnsi="Times New Roman" w:cs="Times New Roman"/>
          <w:sz w:val="24"/>
          <w:szCs w:val="24"/>
          <w:lang w:val="es-ES_tradnl"/>
        </w:rPr>
        <w:t>.</w:t>
      </w:r>
      <w:r w:rsidR="007F566A"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 xml:space="preserve">Se considerará publicar los resultados a los </w:t>
      </w:r>
      <w:r w:rsidR="00A93C0E">
        <w:rPr>
          <w:rFonts w:ascii="Times New Roman" w:hAnsi="Times New Roman" w:cs="Times New Roman"/>
          <w:sz w:val="24"/>
          <w:szCs w:val="24"/>
          <w:lang w:val="es-ES_tradnl"/>
        </w:rPr>
        <w:t>4 meses posteriores a la evaluación</w:t>
      </w:r>
      <w:r w:rsidRPr="007F566A">
        <w:rPr>
          <w:rFonts w:ascii="Times New Roman" w:hAnsi="Times New Roman" w:cs="Times New Roman"/>
          <w:sz w:val="24"/>
          <w:szCs w:val="24"/>
          <w:lang w:val="es-ES_tradnl"/>
        </w:rPr>
        <w:t>. Usuarios de esta información son las autoridades de Uruguay, otros equipos de proyecto del Banco y otros donantes, entre otros.</w:t>
      </w:r>
    </w:p>
    <w:p w:rsidR="002A2779" w:rsidRPr="007F566A" w:rsidRDefault="002A2779" w:rsidP="0012110D">
      <w:pPr>
        <w:spacing w:after="0" w:line="240" w:lineRule="auto"/>
        <w:jc w:val="both"/>
        <w:rPr>
          <w:rFonts w:ascii="Times New Roman" w:hAnsi="Times New Roman" w:cs="Times New Roman"/>
          <w:sz w:val="24"/>
          <w:szCs w:val="24"/>
          <w:lang w:val="es-ES_tradnl"/>
        </w:rPr>
      </w:pPr>
    </w:p>
    <w:p w:rsidR="002A2779" w:rsidRPr="00A30371" w:rsidRDefault="00951790" w:rsidP="0012110D">
      <w:pPr>
        <w:spacing w:after="0" w:line="24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II.</w:t>
      </w:r>
      <w:r w:rsidR="00A30371" w:rsidRPr="00A30371">
        <w:rPr>
          <w:rFonts w:ascii="Times New Roman" w:hAnsi="Times New Roman" w:cs="Times New Roman"/>
          <w:b/>
          <w:sz w:val="24"/>
          <w:szCs w:val="24"/>
          <w:lang w:val="es-ES_tradnl"/>
        </w:rPr>
        <w:t>4</w:t>
      </w:r>
      <w:r w:rsidR="00A30371" w:rsidRPr="00A30371">
        <w:rPr>
          <w:rFonts w:ascii="Times New Roman" w:hAnsi="Times New Roman" w:cs="Times New Roman"/>
          <w:b/>
          <w:sz w:val="24"/>
          <w:szCs w:val="24"/>
          <w:lang w:val="es-ES_tradnl"/>
        </w:rPr>
        <w:tab/>
      </w:r>
      <w:r w:rsidR="002A2779" w:rsidRPr="00A30371">
        <w:rPr>
          <w:rFonts w:ascii="Times New Roman" w:hAnsi="Times New Roman" w:cs="Times New Roman"/>
          <w:b/>
          <w:sz w:val="24"/>
          <w:szCs w:val="24"/>
          <w:lang w:val="es-ES_tradnl"/>
        </w:rPr>
        <w:t>Coordinación, plan de trabajo y presupuesto de la evaluación</w:t>
      </w:r>
    </w:p>
    <w:p w:rsidR="007F566A" w:rsidRPr="007F566A" w:rsidRDefault="007F566A" w:rsidP="0012110D">
      <w:pPr>
        <w:spacing w:after="0" w:line="240" w:lineRule="auto"/>
        <w:jc w:val="both"/>
        <w:rPr>
          <w:rFonts w:ascii="Times New Roman" w:hAnsi="Times New Roman" w:cs="Times New Roman"/>
          <w:sz w:val="24"/>
          <w:szCs w:val="24"/>
          <w:lang w:val="es-ES_tradnl"/>
        </w:rPr>
      </w:pPr>
    </w:p>
    <w:p w:rsidR="002A2779" w:rsidRPr="007F566A" w:rsidRDefault="002A2779" w:rsidP="0012110D">
      <w:pPr>
        <w:spacing w:after="0" w:line="240" w:lineRule="auto"/>
        <w:jc w:val="both"/>
        <w:rPr>
          <w:rFonts w:ascii="Times New Roman" w:hAnsi="Times New Roman" w:cs="Times New Roman"/>
          <w:sz w:val="24"/>
          <w:szCs w:val="24"/>
          <w:lang w:val="es-ES_tradnl"/>
        </w:rPr>
      </w:pPr>
      <w:r w:rsidRPr="007F566A">
        <w:rPr>
          <w:rFonts w:ascii="Times New Roman" w:hAnsi="Times New Roman" w:cs="Times New Roman"/>
          <w:sz w:val="24"/>
          <w:szCs w:val="24"/>
          <w:lang w:val="es-ES_tradnl"/>
        </w:rPr>
        <w:t xml:space="preserve">La evaluación especificada arriba será desarrollada por </w:t>
      </w:r>
      <w:r w:rsidR="0012110D" w:rsidRPr="007F566A">
        <w:rPr>
          <w:rFonts w:ascii="Times New Roman" w:hAnsi="Times New Roman" w:cs="Times New Roman"/>
          <w:sz w:val="24"/>
          <w:szCs w:val="24"/>
          <w:lang w:val="es-ES_tradnl"/>
        </w:rPr>
        <w:t xml:space="preserve">personal de INT </w:t>
      </w:r>
      <w:r w:rsidRPr="007F566A">
        <w:rPr>
          <w:rFonts w:ascii="Times New Roman" w:hAnsi="Times New Roman" w:cs="Times New Roman"/>
          <w:sz w:val="24"/>
          <w:szCs w:val="24"/>
          <w:lang w:val="es-ES_tradnl"/>
        </w:rPr>
        <w:t>con el apoyo técnico de</w:t>
      </w:r>
      <w:r w:rsidR="0012110D" w:rsidRPr="007F566A">
        <w:rPr>
          <w:rFonts w:ascii="Times New Roman" w:hAnsi="Times New Roman" w:cs="Times New Roman"/>
          <w:sz w:val="24"/>
          <w:szCs w:val="24"/>
          <w:lang w:val="es-ES_tradnl"/>
        </w:rPr>
        <w:t xml:space="preserve"> un consultor técnico.</w:t>
      </w:r>
      <w:r w:rsidR="0012110D" w:rsidRPr="007F566A">
        <w:rPr>
          <w:rStyle w:val="FootnoteReference"/>
          <w:rFonts w:ascii="Times New Roman" w:hAnsi="Times New Roman" w:cs="Times New Roman"/>
          <w:sz w:val="24"/>
          <w:szCs w:val="24"/>
          <w:lang w:val="es-ES_tradnl"/>
        </w:rPr>
        <w:footnoteReference w:id="9"/>
      </w:r>
      <w:r w:rsidR="0012110D"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Para apoyar los procesos de recolección y preparación de los datos, procesamiento</w:t>
      </w:r>
      <w:r w:rsidR="007F566A" w:rsidRPr="007F566A">
        <w:rPr>
          <w:rFonts w:ascii="Times New Roman" w:hAnsi="Times New Roman" w:cs="Times New Roman"/>
          <w:sz w:val="24"/>
          <w:szCs w:val="24"/>
          <w:lang w:val="es-ES_tradnl"/>
        </w:rPr>
        <w:t xml:space="preserve">, </w:t>
      </w:r>
      <w:r w:rsidRPr="007F566A">
        <w:rPr>
          <w:rFonts w:ascii="Times New Roman" w:hAnsi="Times New Roman" w:cs="Times New Roman"/>
          <w:sz w:val="24"/>
          <w:szCs w:val="24"/>
          <w:lang w:val="es-ES_tradnl"/>
        </w:rPr>
        <w:t>análisis de resultados</w:t>
      </w:r>
      <w:r w:rsidR="007F566A" w:rsidRPr="007F566A">
        <w:rPr>
          <w:rFonts w:ascii="Times New Roman" w:hAnsi="Times New Roman" w:cs="Times New Roman"/>
          <w:sz w:val="24"/>
          <w:szCs w:val="24"/>
          <w:lang w:val="es-ES_tradnl"/>
        </w:rPr>
        <w:t xml:space="preserve"> y evaluación del informe producido</w:t>
      </w:r>
      <w:r w:rsidRPr="007F566A">
        <w:rPr>
          <w:rFonts w:ascii="Times New Roman" w:hAnsi="Times New Roman" w:cs="Times New Roman"/>
          <w:sz w:val="24"/>
          <w:szCs w:val="24"/>
          <w:lang w:val="es-ES_tradnl"/>
        </w:rPr>
        <w:t xml:space="preserve">, se ha presupuestado un monto de </w:t>
      </w:r>
      <w:r w:rsidR="00A93C0E">
        <w:rPr>
          <w:rFonts w:ascii="Times New Roman" w:hAnsi="Times New Roman" w:cs="Times New Roman"/>
          <w:sz w:val="24"/>
          <w:szCs w:val="24"/>
          <w:lang w:val="es-ES_tradnl"/>
        </w:rPr>
        <w:t>U$30.000</w:t>
      </w:r>
      <w:r w:rsidRPr="007F566A">
        <w:rPr>
          <w:rFonts w:ascii="Times New Roman" w:hAnsi="Times New Roman" w:cs="Times New Roman"/>
          <w:sz w:val="24"/>
          <w:szCs w:val="24"/>
          <w:lang w:val="es-ES_tradnl"/>
        </w:rPr>
        <w:t xml:space="preserve"> con cargo al </w:t>
      </w:r>
      <w:r w:rsidR="00A93C0E">
        <w:rPr>
          <w:rFonts w:ascii="Times New Roman" w:hAnsi="Times New Roman" w:cs="Times New Roman"/>
          <w:sz w:val="24"/>
          <w:szCs w:val="24"/>
          <w:lang w:val="es-ES_tradnl"/>
        </w:rPr>
        <w:t>presupuesto de supervisión de la operación</w:t>
      </w:r>
      <w:r w:rsidR="00A30371">
        <w:rPr>
          <w:rFonts w:ascii="Times New Roman" w:hAnsi="Times New Roman" w:cs="Times New Roman"/>
          <w:sz w:val="24"/>
          <w:szCs w:val="24"/>
          <w:lang w:val="es-ES_tradnl"/>
        </w:rPr>
        <w:t xml:space="preserve"> (ver Tabla 4</w:t>
      </w:r>
      <w:r w:rsidR="0012110D" w:rsidRPr="007F566A">
        <w:rPr>
          <w:rFonts w:ascii="Times New Roman" w:hAnsi="Times New Roman" w:cs="Times New Roman"/>
          <w:sz w:val="24"/>
          <w:szCs w:val="24"/>
          <w:lang w:val="es-ES_tradnl"/>
        </w:rPr>
        <w:t>)</w:t>
      </w:r>
      <w:r w:rsidRPr="007F566A">
        <w:rPr>
          <w:rFonts w:ascii="Times New Roman" w:hAnsi="Times New Roman" w:cs="Times New Roman"/>
          <w:sz w:val="24"/>
          <w:szCs w:val="24"/>
          <w:lang w:val="es-ES_tradnl"/>
        </w:rPr>
        <w:t>.</w:t>
      </w:r>
    </w:p>
    <w:p w:rsidR="002A2779" w:rsidRPr="007F566A" w:rsidRDefault="002A2779" w:rsidP="0012110D">
      <w:pPr>
        <w:spacing w:after="0" w:line="240" w:lineRule="auto"/>
        <w:jc w:val="both"/>
        <w:rPr>
          <w:rFonts w:ascii="Times New Roman" w:hAnsi="Times New Roman" w:cs="Times New Roman"/>
          <w:sz w:val="24"/>
          <w:szCs w:val="24"/>
          <w:lang w:val="es-ES_tradnl"/>
        </w:rPr>
      </w:pPr>
    </w:p>
    <w:p w:rsidR="00A96F65" w:rsidRPr="007F566A" w:rsidRDefault="00A96F65" w:rsidP="00A96F65">
      <w:pPr>
        <w:spacing w:after="0" w:line="240" w:lineRule="auto"/>
        <w:jc w:val="center"/>
        <w:rPr>
          <w:rFonts w:ascii="Times New Roman" w:hAnsi="Times New Roman" w:cs="Times New Roman"/>
          <w:b/>
          <w:lang w:val="en-US"/>
        </w:rPr>
      </w:pPr>
      <w:proofErr w:type="spellStart"/>
      <w:r w:rsidRPr="007F566A">
        <w:rPr>
          <w:rFonts w:ascii="Times New Roman" w:hAnsi="Times New Roman" w:cs="Times New Roman"/>
          <w:b/>
          <w:lang w:val="en-US"/>
        </w:rPr>
        <w:t>Tabla</w:t>
      </w:r>
      <w:proofErr w:type="spellEnd"/>
      <w:r w:rsidRPr="007F566A">
        <w:rPr>
          <w:rFonts w:ascii="Times New Roman" w:hAnsi="Times New Roman" w:cs="Times New Roman"/>
          <w:b/>
          <w:lang w:val="en-US"/>
        </w:rPr>
        <w:t xml:space="preserve"> </w:t>
      </w:r>
      <w:r w:rsidR="00B907F3">
        <w:rPr>
          <w:rFonts w:ascii="Times New Roman" w:hAnsi="Times New Roman" w:cs="Times New Roman"/>
          <w:b/>
          <w:lang w:val="en-US"/>
        </w:rPr>
        <w:t>5</w:t>
      </w:r>
    </w:p>
    <w:p w:rsidR="00A96F65" w:rsidRPr="007F566A" w:rsidRDefault="00A96F65" w:rsidP="00A96F65">
      <w:pPr>
        <w:spacing w:after="0" w:line="240" w:lineRule="auto"/>
        <w:jc w:val="center"/>
        <w:rPr>
          <w:rFonts w:ascii="Times New Roman" w:hAnsi="Times New Roman" w:cs="Times New Roman"/>
          <w:b/>
          <w:lang w:val="en-US"/>
        </w:rPr>
      </w:pPr>
      <w:proofErr w:type="spellStart"/>
      <w:r>
        <w:rPr>
          <w:rFonts w:ascii="Times New Roman" w:hAnsi="Times New Roman" w:cs="Times New Roman"/>
          <w:b/>
          <w:lang w:val="en-US"/>
        </w:rPr>
        <w:t>Actividades</w:t>
      </w:r>
      <w:proofErr w:type="spellEnd"/>
      <w:r>
        <w:rPr>
          <w:rFonts w:ascii="Times New Roman" w:hAnsi="Times New Roman" w:cs="Times New Roman"/>
          <w:b/>
          <w:lang w:val="en-US"/>
        </w:rPr>
        <w:t xml:space="preserve"> y </w:t>
      </w:r>
      <w:proofErr w:type="spellStart"/>
      <w:r>
        <w:rPr>
          <w:rFonts w:ascii="Times New Roman" w:hAnsi="Times New Roman" w:cs="Times New Roman"/>
          <w:b/>
          <w:lang w:val="en-US"/>
        </w:rPr>
        <w:t>presupuesto</w:t>
      </w:r>
      <w:proofErr w:type="spellEnd"/>
    </w:p>
    <w:p w:rsidR="00A96F65" w:rsidRPr="007F566A" w:rsidRDefault="00A96F65" w:rsidP="0012110D">
      <w:pPr>
        <w:spacing w:after="0" w:line="240" w:lineRule="auto"/>
        <w:jc w:val="both"/>
        <w:rPr>
          <w:rFonts w:ascii="Times New Roman" w:hAnsi="Times New Roman" w:cs="Times New Roman"/>
          <w:sz w:val="24"/>
          <w:szCs w:val="24"/>
          <w:lang w:val="es-ES_tradnl"/>
        </w:rPr>
      </w:pPr>
    </w:p>
    <w:tbl>
      <w:tblPr>
        <w:tblStyle w:val="TableGrid"/>
        <w:tblW w:w="0" w:type="auto"/>
        <w:tblInd w:w="198" w:type="dxa"/>
        <w:tblLook w:val="04A0" w:firstRow="1" w:lastRow="0" w:firstColumn="1" w:lastColumn="0" w:noHBand="0" w:noVBand="1"/>
      </w:tblPr>
      <w:tblGrid>
        <w:gridCol w:w="4140"/>
        <w:gridCol w:w="1890"/>
        <w:gridCol w:w="2970"/>
      </w:tblGrid>
      <w:tr w:rsidR="00F010B8" w:rsidRPr="007F566A" w:rsidTr="00F010B8">
        <w:tc>
          <w:tcPr>
            <w:tcW w:w="4140" w:type="dxa"/>
          </w:tcPr>
          <w:p w:rsidR="00F010B8" w:rsidRPr="007F566A" w:rsidRDefault="00F010B8" w:rsidP="007F566A">
            <w:pPr>
              <w:jc w:val="center"/>
              <w:rPr>
                <w:rFonts w:ascii="Times New Roman" w:hAnsi="Times New Roman" w:cs="Times New Roman"/>
                <w:b/>
                <w:sz w:val="20"/>
                <w:szCs w:val="20"/>
                <w:lang w:val="es-ES_tradnl"/>
              </w:rPr>
            </w:pPr>
            <w:r w:rsidRPr="007F566A">
              <w:rPr>
                <w:rFonts w:ascii="Times New Roman" w:hAnsi="Times New Roman" w:cs="Times New Roman"/>
                <w:b/>
                <w:sz w:val="20"/>
                <w:szCs w:val="20"/>
                <w:lang w:val="es-ES_tradnl"/>
              </w:rPr>
              <w:t>Actividad</w:t>
            </w:r>
          </w:p>
        </w:tc>
        <w:tc>
          <w:tcPr>
            <w:tcW w:w="1890" w:type="dxa"/>
          </w:tcPr>
          <w:p w:rsidR="00F010B8" w:rsidRPr="007F566A" w:rsidRDefault="00F010B8" w:rsidP="007F566A">
            <w:pPr>
              <w:jc w:val="center"/>
              <w:rPr>
                <w:rFonts w:ascii="Times New Roman" w:hAnsi="Times New Roman" w:cs="Times New Roman"/>
                <w:b/>
                <w:sz w:val="20"/>
                <w:szCs w:val="20"/>
                <w:lang w:val="es-ES_tradnl"/>
              </w:rPr>
            </w:pPr>
            <w:r w:rsidRPr="007F566A">
              <w:rPr>
                <w:rFonts w:ascii="Times New Roman" w:hAnsi="Times New Roman" w:cs="Times New Roman"/>
                <w:b/>
                <w:sz w:val="20"/>
                <w:szCs w:val="20"/>
                <w:lang w:val="es-ES_tradnl"/>
              </w:rPr>
              <w:t>Costo (US$)</w:t>
            </w:r>
          </w:p>
        </w:tc>
        <w:tc>
          <w:tcPr>
            <w:tcW w:w="2970" w:type="dxa"/>
          </w:tcPr>
          <w:p w:rsidR="00F010B8" w:rsidRPr="007F566A" w:rsidRDefault="00F010B8" w:rsidP="007F566A">
            <w:pPr>
              <w:jc w:val="center"/>
              <w:rPr>
                <w:rFonts w:ascii="Times New Roman" w:hAnsi="Times New Roman" w:cs="Times New Roman"/>
                <w:b/>
                <w:sz w:val="20"/>
                <w:szCs w:val="20"/>
                <w:lang w:val="es-ES_tradnl"/>
              </w:rPr>
            </w:pPr>
            <w:r w:rsidRPr="007F566A">
              <w:rPr>
                <w:rFonts w:ascii="Times New Roman" w:hAnsi="Times New Roman" w:cs="Times New Roman"/>
                <w:b/>
                <w:sz w:val="20"/>
                <w:szCs w:val="20"/>
                <w:lang w:val="es-ES_tradnl"/>
              </w:rPr>
              <w:t>Fuente</w:t>
            </w:r>
          </w:p>
        </w:tc>
      </w:tr>
      <w:tr w:rsidR="00F010B8" w:rsidRPr="007F566A" w:rsidTr="00F010B8">
        <w:tc>
          <w:tcPr>
            <w:tcW w:w="414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Asistente para llevar adelante el monitoreo de resultados y apoyar en la generación de la base de datos para la evaluación</w:t>
            </w:r>
          </w:p>
        </w:tc>
        <w:tc>
          <w:tcPr>
            <w:tcW w:w="1890" w:type="dxa"/>
          </w:tcPr>
          <w:p w:rsidR="00F010B8" w:rsidRPr="007F566A" w:rsidRDefault="00A93C0E" w:rsidP="00A93C0E">
            <w:pPr>
              <w:jc w:val="right"/>
              <w:rPr>
                <w:rFonts w:ascii="Times New Roman" w:hAnsi="Times New Roman" w:cs="Times New Roman"/>
                <w:sz w:val="20"/>
                <w:szCs w:val="20"/>
                <w:lang w:val="es-ES_tradnl"/>
              </w:rPr>
            </w:pPr>
            <w:r>
              <w:rPr>
                <w:rFonts w:ascii="Times New Roman" w:hAnsi="Times New Roman" w:cs="Times New Roman"/>
                <w:sz w:val="20"/>
                <w:szCs w:val="20"/>
                <w:lang w:val="es-ES_tradnl"/>
              </w:rPr>
              <w:t>15</w:t>
            </w:r>
            <w:r w:rsidR="00F010B8" w:rsidRPr="007F566A">
              <w:rPr>
                <w:rFonts w:ascii="Times New Roman" w:hAnsi="Times New Roman" w:cs="Times New Roman"/>
                <w:sz w:val="20"/>
                <w:szCs w:val="20"/>
                <w:lang w:val="es-ES_tradnl"/>
              </w:rPr>
              <w:t>.000</w:t>
            </w:r>
          </w:p>
        </w:tc>
        <w:tc>
          <w:tcPr>
            <w:tcW w:w="297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Presupuesto de supervisión</w:t>
            </w:r>
          </w:p>
        </w:tc>
      </w:tr>
      <w:tr w:rsidR="00F010B8" w:rsidRPr="007F566A" w:rsidTr="00F010B8">
        <w:tc>
          <w:tcPr>
            <w:tcW w:w="414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Evaluación de impacto</w:t>
            </w:r>
          </w:p>
        </w:tc>
        <w:tc>
          <w:tcPr>
            <w:tcW w:w="1890" w:type="dxa"/>
          </w:tcPr>
          <w:p w:rsidR="00F010B8" w:rsidRPr="007F566A" w:rsidRDefault="00F010B8" w:rsidP="007F566A">
            <w:pPr>
              <w:jc w:val="right"/>
              <w:rPr>
                <w:rFonts w:ascii="Times New Roman" w:hAnsi="Times New Roman" w:cs="Times New Roman"/>
                <w:sz w:val="20"/>
                <w:szCs w:val="20"/>
                <w:lang w:val="es-ES_tradnl"/>
              </w:rPr>
            </w:pPr>
          </w:p>
        </w:tc>
        <w:tc>
          <w:tcPr>
            <w:tcW w:w="297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Será realizada internamente por el personal de INT especializado en el tema</w:t>
            </w:r>
          </w:p>
        </w:tc>
      </w:tr>
      <w:tr w:rsidR="00F010B8" w:rsidRPr="007F566A" w:rsidTr="00F010B8">
        <w:tc>
          <w:tcPr>
            <w:tcW w:w="414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Consultor Externo para revisión de calidad de la evaluación</w:t>
            </w:r>
          </w:p>
        </w:tc>
        <w:tc>
          <w:tcPr>
            <w:tcW w:w="1890" w:type="dxa"/>
          </w:tcPr>
          <w:p w:rsidR="00F010B8" w:rsidRPr="007F566A" w:rsidRDefault="00A93C0E" w:rsidP="00A93C0E">
            <w:pPr>
              <w:jc w:val="right"/>
              <w:rPr>
                <w:rFonts w:ascii="Times New Roman" w:hAnsi="Times New Roman" w:cs="Times New Roman"/>
                <w:sz w:val="20"/>
                <w:szCs w:val="20"/>
                <w:lang w:val="es-ES_tradnl"/>
              </w:rPr>
            </w:pPr>
            <w:r>
              <w:rPr>
                <w:rFonts w:ascii="Times New Roman" w:hAnsi="Times New Roman" w:cs="Times New Roman"/>
                <w:sz w:val="20"/>
                <w:szCs w:val="20"/>
                <w:lang w:val="es-ES_tradnl"/>
              </w:rPr>
              <w:t>15</w:t>
            </w:r>
            <w:r w:rsidR="00F010B8" w:rsidRPr="007F566A">
              <w:rPr>
                <w:rFonts w:ascii="Times New Roman" w:hAnsi="Times New Roman" w:cs="Times New Roman"/>
                <w:sz w:val="20"/>
                <w:szCs w:val="20"/>
                <w:lang w:val="es-ES_tradnl"/>
              </w:rPr>
              <w:t>.000</w:t>
            </w:r>
          </w:p>
        </w:tc>
        <w:tc>
          <w:tcPr>
            <w:tcW w:w="2970" w:type="dxa"/>
          </w:tcPr>
          <w:p w:rsidR="00F010B8" w:rsidRPr="007F566A" w:rsidRDefault="00F010B8" w:rsidP="007F566A">
            <w:pPr>
              <w:rPr>
                <w:rFonts w:ascii="Times New Roman" w:hAnsi="Times New Roman" w:cs="Times New Roman"/>
                <w:sz w:val="20"/>
                <w:szCs w:val="20"/>
                <w:lang w:val="es-ES_tradnl"/>
              </w:rPr>
            </w:pPr>
            <w:r w:rsidRPr="007F566A">
              <w:rPr>
                <w:rFonts w:ascii="Times New Roman" w:hAnsi="Times New Roman" w:cs="Times New Roman"/>
                <w:sz w:val="20"/>
                <w:szCs w:val="20"/>
                <w:lang w:val="es-ES_tradnl"/>
              </w:rPr>
              <w:t>Presupuesto de supervisión</w:t>
            </w:r>
          </w:p>
        </w:tc>
      </w:tr>
    </w:tbl>
    <w:p w:rsidR="007761FC" w:rsidRDefault="007761FC" w:rsidP="0012110D">
      <w:pPr>
        <w:pStyle w:val="Paragraph"/>
        <w:keepNext/>
        <w:keepLines/>
        <w:numPr>
          <w:ilvl w:val="0"/>
          <w:numId w:val="0"/>
        </w:numPr>
        <w:spacing w:before="0" w:after="0"/>
        <w:rPr>
          <w:rFonts w:eastAsiaTheme="minorEastAsia"/>
          <w:szCs w:val="24"/>
          <w:lang w:val="es-AR" w:eastAsia="es-AR"/>
        </w:rPr>
      </w:pPr>
    </w:p>
    <w:p w:rsidR="00A96F65" w:rsidRDefault="00A96F65" w:rsidP="00A96F65">
      <w:pPr>
        <w:pStyle w:val="Paragraph"/>
        <w:keepNext/>
        <w:keepLines/>
        <w:numPr>
          <w:ilvl w:val="0"/>
          <w:numId w:val="0"/>
        </w:numPr>
        <w:spacing w:before="0" w:after="0"/>
        <w:jc w:val="center"/>
        <w:rPr>
          <w:rFonts w:eastAsiaTheme="minorEastAsia"/>
          <w:b/>
          <w:sz w:val="22"/>
          <w:szCs w:val="22"/>
          <w:lang w:val="es-AR" w:eastAsia="es-AR"/>
        </w:rPr>
      </w:pPr>
      <w:r>
        <w:rPr>
          <w:rFonts w:eastAsiaTheme="minorEastAsia"/>
          <w:b/>
          <w:sz w:val="22"/>
          <w:szCs w:val="22"/>
          <w:lang w:val="es-AR" w:eastAsia="es-AR"/>
        </w:rPr>
        <w:t>Tabla 5</w:t>
      </w:r>
    </w:p>
    <w:p w:rsidR="00A96F65" w:rsidRDefault="00A96F65" w:rsidP="00A96F65">
      <w:pPr>
        <w:pStyle w:val="Paragraph"/>
        <w:keepNext/>
        <w:keepLines/>
        <w:numPr>
          <w:ilvl w:val="0"/>
          <w:numId w:val="0"/>
        </w:numPr>
        <w:spacing w:before="0" w:after="0"/>
        <w:jc w:val="center"/>
        <w:rPr>
          <w:rFonts w:eastAsiaTheme="minorEastAsia"/>
          <w:b/>
          <w:sz w:val="22"/>
          <w:szCs w:val="22"/>
          <w:lang w:val="es-AR" w:eastAsia="es-AR"/>
        </w:rPr>
      </w:pPr>
      <w:r>
        <w:rPr>
          <w:rFonts w:eastAsiaTheme="minorEastAsia"/>
          <w:b/>
          <w:sz w:val="22"/>
          <w:szCs w:val="22"/>
          <w:lang w:val="es-AR" w:eastAsia="es-AR"/>
        </w:rPr>
        <w:t>Cronograma de las actividades de evaluación</w:t>
      </w:r>
    </w:p>
    <w:p w:rsidR="00235347" w:rsidRPr="00A96F65" w:rsidRDefault="00235347" w:rsidP="00A96F65">
      <w:pPr>
        <w:pStyle w:val="Paragraph"/>
        <w:keepNext/>
        <w:keepLines/>
        <w:numPr>
          <w:ilvl w:val="0"/>
          <w:numId w:val="0"/>
        </w:numPr>
        <w:spacing w:before="0" w:after="0"/>
        <w:jc w:val="center"/>
        <w:rPr>
          <w:b/>
          <w:sz w:val="22"/>
          <w:szCs w:val="22"/>
        </w:rPr>
      </w:pPr>
    </w:p>
    <w:tbl>
      <w:tblPr>
        <w:tblW w:w="9053" w:type="dxa"/>
        <w:jc w:val="center"/>
        <w:tblInd w:w="-34" w:type="dxa"/>
        <w:tblLayout w:type="fixed"/>
        <w:tblLook w:val="04A0" w:firstRow="1" w:lastRow="0" w:firstColumn="1" w:lastColumn="0" w:noHBand="0" w:noVBand="1"/>
      </w:tblPr>
      <w:tblGrid>
        <w:gridCol w:w="2032"/>
        <w:gridCol w:w="391"/>
        <w:gridCol w:w="390"/>
        <w:gridCol w:w="390"/>
        <w:gridCol w:w="390"/>
        <w:gridCol w:w="390"/>
        <w:gridCol w:w="390"/>
        <w:gridCol w:w="390"/>
        <w:gridCol w:w="390"/>
        <w:gridCol w:w="390"/>
        <w:gridCol w:w="390"/>
        <w:gridCol w:w="390"/>
        <w:gridCol w:w="390"/>
        <w:gridCol w:w="390"/>
        <w:gridCol w:w="390"/>
        <w:gridCol w:w="390"/>
        <w:gridCol w:w="390"/>
        <w:gridCol w:w="390"/>
        <w:gridCol w:w="390"/>
      </w:tblGrid>
      <w:tr w:rsidR="007761FC" w:rsidRPr="00133C43" w:rsidTr="00A96F65">
        <w:trPr>
          <w:trHeight w:val="300"/>
          <w:jc w:val="center"/>
        </w:trPr>
        <w:tc>
          <w:tcPr>
            <w:tcW w:w="2032" w:type="dxa"/>
            <w:tcBorders>
              <w:top w:val="single" w:sz="4" w:space="0" w:color="auto"/>
              <w:left w:val="single" w:sz="4" w:space="0" w:color="auto"/>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1561" w:type="dxa"/>
            <w:gridSpan w:val="4"/>
            <w:tcBorders>
              <w:top w:val="single" w:sz="4" w:space="0" w:color="auto"/>
              <w:left w:val="nil"/>
              <w:bottom w:val="single" w:sz="4" w:space="0" w:color="auto"/>
              <w:right w:val="single" w:sz="4" w:space="0" w:color="auto"/>
            </w:tcBorders>
            <w:shd w:val="clear" w:color="auto" w:fill="auto"/>
            <w:noWrap/>
            <w:vAlign w:val="bottom"/>
            <w:hideMark/>
          </w:tcPr>
          <w:p w:rsidR="007761FC" w:rsidRPr="00133C43" w:rsidRDefault="00D603A8" w:rsidP="00D603A8">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0 ( Aprobación del Programa)</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7761FC" w:rsidRPr="00133C43" w:rsidRDefault="00D603A8" w:rsidP="00235347">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1</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7761FC" w:rsidRPr="00133C43" w:rsidRDefault="00D603A8" w:rsidP="00D603A8">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2</w:t>
            </w:r>
          </w:p>
        </w:tc>
        <w:tc>
          <w:tcPr>
            <w:tcW w:w="1560" w:type="dxa"/>
            <w:gridSpan w:val="4"/>
            <w:tcBorders>
              <w:top w:val="single" w:sz="4" w:space="0" w:color="auto"/>
              <w:left w:val="nil"/>
              <w:bottom w:val="single" w:sz="4" w:space="0" w:color="auto"/>
              <w:right w:val="single" w:sz="4" w:space="0" w:color="auto"/>
            </w:tcBorders>
            <w:shd w:val="clear" w:color="auto" w:fill="auto"/>
            <w:noWrap/>
            <w:vAlign w:val="bottom"/>
            <w:hideMark/>
          </w:tcPr>
          <w:p w:rsidR="007761FC" w:rsidRPr="00133C43" w:rsidRDefault="00D603A8" w:rsidP="00D603A8">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3</w:t>
            </w:r>
          </w:p>
        </w:tc>
        <w:tc>
          <w:tcPr>
            <w:tcW w:w="780" w:type="dxa"/>
            <w:gridSpan w:val="2"/>
            <w:tcBorders>
              <w:top w:val="single" w:sz="4" w:space="0" w:color="auto"/>
              <w:left w:val="nil"/>
              <w:bottom w:val="single" w:sz="4" w:space="0" w:color="auto"/>
              <w:right w:val="single" w:sz="4" w:space="0" w:color="auto"/>
            </w:tcBorders>
            <w:shd w:val="clear" w:color="auto" w:fill="auto"/>
            <w:noWrap/>
            <w:vAlign w:val="bottom"/>
            <w:hideMark/>
          </w:tcPr>
          <w:p w:rsidR="007761FC" w:rsidRPr="00133C43" w:rsidRDefault="00D603A8" w:rsidP="00D603A8">
            <w:pPr>
              <w:keepNext/>
              <w:keepLine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Año 4</w:t>
            </w:r>
          </w:p>
        </w:tc>
      </w:tr>
      <w:tr w:rsidR="007761FC" w:rsidRPr="00133C43" w:rsidTr="00A96F65">
        <w:trPr>
          <w:trHeight w:val="300"/>
          <w:jc w:val="center"/>
        </w:trPr>
        <w:tc>
          <w:tcPr>
            <w:tcW w:w="2032" w:type="dxa"/>
            <w:tcBorders>
              <w:top w:val="nil"/>
              <w:left w:val="single" w:sz="4" w:space="0" w:color="auto"/>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1"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3</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4</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1</w:t>
            </w:r>
          </w:p>
        </w:tc>
        <w:tc>
          <w:tcPr>
            <w:tcW w:w="390" w:type="dxa"/>
            <w:tcBorders>
              <w:top w:val="nil"/>
              <w:left w:val="nil"/>
              <w:bottom w:val="nil"/>
              <w:right w:val="single" w:sz="4" w:space="0" w:color="auto"/>
            </w:tcBorders>
            <w:shd w:val="clear" w:color="auto" w:fill="auto"/>
            <w:noWrap/>
            <w:vAlign w:val="bottom"/>
            <w:hideMark/>
          </w:tcPr>
          <w:p w:rsidR="007761FC" w:rsidRPr="00133C43" w:rsidRDefault="007761FC" w:rsidP="00235347">
            <w:pPr>
              <w:keepNext/>
              <w:keepLines/>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2</w:t>
            </w:r>
          </w:p>
        </w:tc>
      </w:tr>
      <w:tr w:rsidR="007761FC" w:rsidRPr="00133C43" w:rsidTr="00A96F65">
        <w:trPr>
          <w:trHeight w:val="300"/>
          <w:jc w:val="center"/>
        </w:trPr>
        <w:tc>
          <w:tcPr>
            <w:tcW w:w="2032" w:type="dxa"/>
            <w:tcBorders>
              <w:top w:val="single" w:sz="4" w:space="0" w:color="auto"/>
              <w:left w:val="single" w:sz="4" w:space="0" w:color="auto"/>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Evaluación de los resultados (Comparación de los avances con los datos de la línea de base)</w:t>
            </w:r>
          </w:p>
        </w:tc>
        <w:tc>
          <w:tcPr>
            <w:tcW w:w="391"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5612A2"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X</w:t>
            </w: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r>
      <w:tr w:rsidR="007761FC" w:rsidRPr="00133C43" w:rsidTr="00A96F65">
        <w:trPr>
          <w:trHeight w:val="300"/>
          <w:jc w:val="center"/>
        </w:trPr>
        <w:tc>
          <w:tcPr>
            <w:tcW w:w="2032" w:type="dxa"/>
            <w:tcBorders>
              <w:top w:val="single" w:sz="4" w:space="0" w:color="auto"/>
              <w:left w:val="single" w:sz="4" w:space="0" w:color="auto"/>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Elaboración de la base de datos para la evaluación del impacto sobre la IED</w:t>
            </w:r>
          </w:p>
        </w:tc>
        <w:tc>
          <w:tcPr>
            <w:tcW w:w="391"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x</w:t>
            </w: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 </w:t>
            </w:r>
          </w:p>
        </w:tc>
      </w:tr>
      <w:tr w:rsidR="007761FC" w:rsidRPr="00133C43" w:rsidTr="00A96F65">
        <w:trPr>
          <w:trHeight w:val="300"/>
          <w:jc w:val="center"/>
        </w:trPr>
        <w:tc>
          <w:tcPr>
            <w:tcW w:w="2032" w:type="dxa"/>
            <w:tcBorders>
              <w:top w:val="nil"/>
              <w:left w:val="single" w:sz="4" w:space="0" w:color="auto"/>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Evaluación del impacto sobre la IED</w:t>
            </w:r>
          </w:p>
        </w:tc>
        <w:tc>
          <w:tcPr>
            <w:tcW w:w="391"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x</w:t>
            </w: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x</w:t>
            </w: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p>
        </w:tc>
      </w:tr>
      <w:tr w:rsidR="007761FC" w:rsidRPr="00133C43" w:rsidTr="00A93C0E">
        <w:trPr>
          <w:trHeight w:val="300"/>
          <w:jc w:val="center"/>
        </w:trPr>
        <w:tc>
          <w:tcPr>
            <w:tcW w:w="2032" w:type="dxa"/>
            <w:tcBorders>
              <w:top w:val="nil"/>
              <w:left w:val="single" w:sz="4" w:space="0" w:color="auto"/>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Evaluación de impacto sobre el comercio</w:t>
            </w:r>
          </w:p>
        </w:tc>
        <w:tc>
          <w:tcPr>
            <w:tcW w:w="391"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x</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 </w:t>
            </w: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p>
        </w:tc>
        <w:tc>
          <w:tcPr>
            <w:tcW w:w="390" w:type="dxa"/>
            <w:tcBorders>
              <w:top w:val="nil"/>
              <w:left w:val="nil"/>
              <w:bottom w:val="single" w:sz="4" w:space="0" w:color="auto"/>
              <w:right w:val="single" w:sz="4" w:space="0" w:color="auto"/>
            </w:tcBorders>
            <w:shd w:val="clear" w:color="auto" w:fill="auto"/>
            <w:noWrap/>
            <w:hideMark/>
          </w:tcPr>
          <w:p w:rsidR="007761FC" w:rsidRPr="00133C43" w:rsidRDefault="007761FC" w:rsidP="00235347">
            <w:pPr>
              <w:spacing w:after="0" w:line="240" w:lineRule="auto"/>
              <w:rPr>
                <w:rFonts w:ascii="Times New Roman" w:hAnsi="Times New Roman" w:cs="Times New Roman"/>
                <w:color w:val="000000"/>
                <w:sz w:val="20"/>
                <w:szCs w:val="20"/>
              </w:rPr>
            </w:pPr>
          </w:p>
        </w:tc>
      </w:tr>
      <w:tr w:rsidR="007761FC" w:rsidRPr="00133C43" w:rsidTr="00A96F65">
        <w:trPr>
          <w:trHeight w:val="300"/>
          <w:jc w:val="center"/>
        </w:trPr>
        <w:tc>
          <w:tcPr>
            <w:tcW w:w="2032" w:type="dxa"/>
            <w:tcBorders>
              <w:top w:val="single" w:sz="4" w:space="0" w:color="auto"/>
              <w:left w:val="single" w:sz="4" w:space="0" w:color="auto"/>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Revisión Externa de las evaluaciones</w:t>
            </w:r>
          </w:p>
        </w:tc>
        <w:tc>
          <w:tcPr>
            <w:tcW w:w="391"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lang w:val="es-ES_tradnl"/>
              </w:rPr>
            </w:pPr>
            <w:r w:rsidRPr="00133C43">
              <w:rPr>
                <w:rFonts w:ascii="Times New Roman" w:hAnsi="Times New Roman" w:cs="Times New Roman"/>
                <w:color w:val="000000"/>
                <w:sz w:val="20"/>
                <w:szCs w:val="20"/>
                <w:lang w:val="es-ES_tradnl"/>
              </w:rPr>
              <w:t>x</w:t>
            </w:r>
          </w:p>
        </w:tc>
        <w:tc>
          <w:tcPr>
            <w:tcW w:w="390" w:type="dxa"/>
            <w:tcBorders>
              <w:top w:val="single" w:sz="4" w:space="0" w:color="auto"/>
              <w:left w:val="nil"/>
              <w:bottom w:val="single" w:sz="4" w:space="0" w:color="auto"/>
              <w:right w:val="single" w:sz="4" w:space="0" w:color="auto"/>
            </w:tcBorders>
            <w:shd w:val="clear" w:color="auto" w:fill="auto"/>
            <w:noWrap/>
          </w:tcPr>
          <w:p w:rsidR="007761FC" w:rsidRPr="00133C43" w:rsidRDefault="007761FC" w:rsidP="00235347">
            <w:pPr>
              <w:spacing w:after="0" w:line="240" w:lineRule="auto"/>
              <w:rPr>
                <w:rFonts w:ascii="Times New Roman" w:hAnsi="Times New Roman" w:cs="Times New Roman"/>
                <w:color w:val="000000"/>
                <w:sz w:val="20"/>
                <w:szCs w:val="20"/>
              </w:rPr>
            </w:pPr>
            <w:r w:rsidRPr="00133C43">
              <w:rPr>
                <w:rFonts w:ascii="Times New Roman" w:hAnsi="Times New Roman" w:cs="Times New Roman"/>
                <w:color w:val="000000"/>
                <w:sz w:val="20"/>
                <w:szCs w:val="20"/>
              </w:rPr>
              <w:t>x</w:t>
            </w:r>
          </w:p>
        </w:tc>
      </w:tr>
    </w:tbl>
    <w:p w:rsidR="007761FC" w:rsidRDefault="007761FC" w:rsidP="00A51A87">
      <w:pPr>
        <w:spacing w:after="0" w:line="240" w:lineRule="auto"/>
        <w:jc w:val="both"/>
        <w:rPr>
          <w:rFonts w:ascii="Times New Roman" w:hAnsi="Times New Roman" w:cs="Times New Roman"/>
          <w:sz w:val="24"/>
          <w:szCs w:val="24"/>
        </w:rPr>
      </w:pPr>
    </w:p>
    <w:sectPr w:rsidR="007761FC" w:rsidSect="005A57C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5BE" w:rsidRDefault="00C345BE" w:rsidP="007B7EE0">
      <w:pPr>
        <w:spacing w:after="0" w:line="240" w:lineRule="auto"/>
      </w:pPr>
      <w:r>
        <w:separator/>
      </w:r>
    </w:p>
  </w:endnote>
  <w:endnote w:type="continuationSeparator" w:id="0">
    <w:p w:rsidR="00C345BE" w:rsidRDefault="00C345BE" w:rsidP="007B7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342676"/>
      <w:docPartObj>
        <w:docPartGallery w:val="Page Numbers (Bottom of Page)"/>
        <w:docPartUnique/>
      </w:docPartObj>
    </w:sdtPr>
    <w:sdtEndPr>
      <w:rPr>
        <w:noProof/>
      </w:rPr>
    </w:sdtEndPr>
    <w:sdtContent>
      <w:p w:rsidR="00B907F3" w:rsidRDefault="00B907F3">
        <w:pPr>
          <w:pStyle w:val="Footer"/>
          <w:jc w:val="center"/>
        </w:pPr>
        <w:r w:rsidRPr="00235347">
          <w:rPr>
            <w:rFonts w:ascii="Times New Roman" w:hAnsi="Times New Roman" w:cs="Times New Roman"/>
            <w:sz w:val="20"/>
            <w:szCs w:val="20"/>
          </w:rPr>
          <w:fldChar w:fldCharType="begin"/>
        </w:r>
        <w:r w:rsidRPr="00235347">
          <w:rPr>
            <w:rFonts w:ascii="Times New Roman" w:hAnsi="Times New Roman" w:cs="Times New Roman"/>
            <w:sz w:val="20"/>
            <w:szCs w:val="20"/>
          </w:rPr>
          <w:instrText xml:space="preserve"> PAGE   \* MERGEFORMAT </w:instrText>
        </w:r>
        <w:r w:rsidRPr="00235347">
          <w:rPr>
            <w:rFonts w:ascii="Times New Roman" w:hAnsi="Times New Roman" w:cs="Times New Roman"/>
            <w:sz w:val="20"/>
            <w:szCs w:val="20"/>
          </w:rPr>
          <w:fldChar w:fldCharType="separate"/>
        </w:r>
        <w:r w:rsidR="00F408F3">
          <w:rPr>
            <w:rFonts w:ascii="Times New Roman" w:hAnsi="Times New Roman" w:cs="Times New Roman"/>
            <w:noProof/>
            <w:sz w:val="20"/>
            <w:szCs w:val="20"/>
          </w:rPr>
          <w:t>1</w:t>
        </w:r>
        <w:r w:rsidRPr="00235347">
          <w:rPr>
            <w:rFonts w:ascii="Times New Roman" w:hAnsi="Times New Roman" w:cs="Times New Roman"/>
            <w:noProof/>
            <w:sz w:val="20"/>
            <w:szCs w:val="20"/>
          </w:rPr>
          <w:fldChar w:fldCharType="end"/>
        </w:r>
      </w:p>
    </w:sdtContent>
  </w:sdt>
  <w:p w:rsidR="00B907F3" w:rsidRDefault="00B907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5BE" w:rsidRDefault="00C345BE" w:rsidP="007B7EE0">
      <w:pPr>
        <w:spacing w:after="0" w:line="240" w:lineRule="auto"/>
      </w:pPr>
      <w:r>
        <w:separator/>
      </w:r>
    </w:p>
  </w:footnote>
  <w:footnote w:type="continuationSeparator" w:id="0">
    <w:p w:rsidR="00C345BE" w:rsidRDefault="00C345BE" w:rsidP="007B7EE0">
      <w:pPr>
        <w:spacing w:after="0" w:line="240" w:lineRule="auto"/>
      </w:pPr>
      <w:r>
        <w:continuationSeparator/>
      </w:r>
    </w:p>
  </w:footnote>
  <w:footnote w:id="1">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Esta sección está basada en Abadie (2012)</w:t>
      </w:r>
      <w:r>
        <w:rPr>
          <w:rFonts w:ascii="Times New Roman" w:hAnsi="Times New Roman" w:cs="Times New Roman"/>
          <w:lang w:val="es-ES_tradnl"/>
        </w:rPr>
        <w:t xml:space="preserve">. Dicho trabajo </w:t>
      </w:r>
      <w:r w:rsidRPr="004E7986">
        <w:rPr>
          <w:rFonts w:ascii="Times New Roman" w:hAnsi="Times New Roman" w:cs="Times New Roman"/>
          <w:lang w:val="es-ES_tradnl"/>
        </w:rPr>
        <w:t>metodológico</w:t>
      </w:r>
      <w:r>
        <w:rPr>
          <w:rFonts w:ascii="Times New Roman" w:hAnsi="Times New Roman" w:cs="Times New Roman"/>
          <w:lang w:val="es-ES_tradnl"/>
        </w:rPr>
        <w:t>,</w:t>
      </w:r>
      <w:r w:rsidRPr="004E7986">
        <w:rPr>
          <w:rFonts w:ascii="Times New Roman" w:hAnsi="Times New Roman" w:cs="Times New Roman"/>
          <w:lang w:val="es-ES_tradnl"/>
        </w:rPr>
        <w:t xml:space="preserve"> </w:t>
      </w:r>
      <w:r>
        <w:rPr>
          <w:rFonts w:ascii="Times New Roman" w:hAnsi="Times New Roman" w:cs="Times New Roman"/>
          <w:lang w:val="es-ES_tradnl"/>
        </w:rPr>
        <w:t xml:space="preserve">que sirve de base </w:t>
      </w:r>
      <w:r w:rsidRPr="004E7986">
        <w:rPr>
          <w:rFonts w:ascii="Times New Roman" w:hAnsi="Times New Roman" w:cs="Times New Roman"/>
          <w:lang w:val="es-ES_tradnl"/>
        </w:rPr>
        <w:t>para la evaluación de la presente operación</w:t>
      </w:r>
      <w:r>
        <w:rPr>
          <w:rFonts w:ascii="Times New Roman" w:hAnsi="Times New Roman" w:cs="Times New Roman"/>
          <w:lang w:val="es-ES_tradnl"/>
        </w:rPr>
        <w:t>,</w:t>
      </w:r>
      <w:r w:rsidRPr="004E7986">
        <w:rPr>
          <w:rFonts w:ascii="Times New Roman" w:hAnsi="Times New Roman" w:cs="Times New Roman"/>
          <w:lang w:val="es-ES_tradnl"/>
        </w:rPr>
        <w:t xml:space="preserve"> se adjunta a la documentación de apoyo de la </w:t>
      </w:r>
      <w:r>
        <w:rPr>
          <w:rFonts w:ascii="Times New Roman" w:hAnsi="Times New Roman" w:cs="Times New Roman"/>
          <w:lang w:val="es-ES_tradnl"/>
        </w:rPr>
        <w:t>misma</w:t>
      </w:r>
      <w:r w:rsidRPr="004E7986">
        <w:rPr>
          <w:rFonts w:ascii="Times New Roman" w:hAnsi="Times New Roman" w:cs="Times New Roman"/>
          <w:lang w:val="es-ES_tradnl"/>
        </w:rPr>
        <w:t>.</w:t>
      </w:r>
    </w:p>
  </w:footnote>
  <w:footnote w:id="2">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Entre otros, </w:t>
      </w:r>
      <w:r>
        <w:rPr>
          <w:rFonts w:ascii="Times New Roman" w:hAnsi="Times New Roman" w:cs="Times New Roman"/>
          <w:lang w:val="es-ES_tradnl"/>
        </w:rPr>
        <w:t>el</w:t>
      </w:r>
      <w:r w:rsidRPr="004E7986">
        <w:rPr>
          <w:rFonts w:ascii="Times New Roman" w:hAnsi="Times New Roman" w:cs="Times New Roman"/>
          <w:lang w:val="es-ES_tradnl"/>
        </w:rPr>
        <w:t xml:space="preserve"> método de control sintético también han sido </w:t>
      </w:r>
      <w:r>
        <w:rPr>
          <w:rFonts w:ascii="Times New Roman" w:hAnsi="Times New Roman" w:cs="Times New Roman"/>
          <w:lang w:val="es-ES_tradnl"/>
        </w:rPr>
        <w:t>usado</w:t>
      </w:r>
      <w:r w:rsidRPr="004E7986">
        <w:rPr>
          <w:rFonts w:ascii="Times New Roman" w:hAnsi="Times New Roman" w:cs="Times New Roman"/>
          <w:lang w:val="es-ES_tradnl"/>
        </w:rPr>
        <w:t xml:space="preserve"> para evaluar el costo económico de </w:t>
      </w:r>
      <w:r>
        <w:rPr>
          <w:rFonts w:ascii="Times New Roman" w:hAnsi="Times New Roman" w:cs="Times New Roman"/>
          <w:lang w:val="es-ES_tradnl"/>
        </w:rPr>
        <w:t xml:space="preserve">los </w:t>
      </w:r>
      <w:r w:rsidRPr="004E7986">
        <w:rPr>
          <w:rFonts w:ascii="Times New Roman" w:hAnsi="Times New Roman" w:cs="Times New Roman"/>
          <w:lang w:val="es-ES_tradnl"/>
        </w:rPr>
        <w:t xml:space="preserve">conflictos (ver </w:t>
      </w:r>
      <w:proofErr w:type="spellStart"/>
      <w:r w:rsidRPr="004E7986">
        <w:rPr>
          <w:rFonts w:ascii="Times New Roman" w:hAnsi="Times New Roman" w:cs="Times New Roman"/>
          <w:lang w:val="es-ES_tradnl"/>
        </w:rPr>
        <w:t>Abadie</w:t>
      </w:r>
      <w:proofErr w:type="spellEnd"/>
      <w:r w:rsidRPr="004E7986">
        <w:rPr>
          <w:rFonts w:ascii="Times New Roman" w:hAnsi="Times New Roman" w:cs="Times New Roman"/>
          <w:lang w:val="es-ES_tradnl"/>
        </w:rPr>
        <w:t xml:space="preserve"> y </w:t>
      </w:r>
      <w:proofErr w:type="spellStart"/>
      <w:r w:rsidRPr="004E7986">
        <w:rPr>
          <w:rFonts w:ascii="Times New Roman" w:hAnsi="Times New Roman" w:cs="Times New Roman"/>
          <w:lang w:val="es-ES_tradnl"/>
        </w:rPr>
        <w:t>Gardeazabal</w:t>
      </w:r>
      <w:proofErr w:type="spellEnd"/>
      <w:r w:rsidRPr="004E7986">
        <w:rPr>
          <w:rFonts w:ascii="Times New Roman" w:hAnsi="Times New Roman" w:cs="Times New Roman"/>
          <w:lang w:val="es-ES_tradnl"/>
        </w:rPr>
        <w:t xml:space="preserve">, 2003), los efectos de un programa de control de tabaco </w:t>
      </w:r>
      <w:r>
        <w:rPr>
          <w:rFonts w:ascii="Times New Roman" w:hAnsi="Times New Roman" w:cs="Times New Roman"/>
          <w:lang w:val="es-ES_tradnl"/>
        </w:rPr>
        <w:t>sobre</w:t>
      </w:r>
      <w:r w:rsidRPr="004E7986">
        <w:rPr>
          <w:rFonts w:ascii="Times New Roman" w:hAnsi="Times New Roman" w:cs="Times New Roman"/>
          <w:lang w:val="es-ES_tradnl"/>
        </w:rPr>
        <w:t xml:space="preserve"> el consumo de cigarrillos en California (</w:t>
      </w:r>
      <w:r>
        <w:rPr>
          <w:rFonts w:ascii="Times New Roman" w:hAnsi="Times New Roman" w:cs="Times New Roman"/>
          <w:lang w:val="es-ES_tradnl"/>
        </w:rPr>
        <w:t>ver</w:t>
      </w:r>
      <w:r w:rsidRPr="004E7986">
        <w:rPr>
          <w:rFonts w:ascii="Times New Roman" w:hAnsi="Times New Roman" w:cs="Times New Roman"/>
          <w:lang w:val="es-ES_tradnl"/>
        </w:rPr>
        <w:t xml:space="preserve"> Abadie et al., 2010), el impacto </w:t>
      </w:r>
      <w:r>
        <w:rPr>
          <w:rFonts w:ascii="Times New Roman" w:hAnsi="Times New Roman" w:cs="Times New Roman"/>
          <w:lang w:val="es-ES_tradnl"/>
        </w:rPr>
        <w:t>de</w:t>
      </w:r>
      <w:r w:rsidRPr="004E7986">
        <w:rPr>
          <w:rFonts w:ascii="Times New Roman" w:hAnsi="Times New Roman" w:cs="Times New Roman"/>
          <w:lang w:val="es-ES_tradnl"/>
        </w:rPr>
        <w:t xml:space="preserve"> largo plazo de </w:t>
      </w:r>
      <w:r>
        <w:rPr>
          <w:rFonts w:ascii="Times New Roman" w:hAnsi="Times New Roman" w:cs="Times New Roman"/>
          <w:lang w:val="es-ES_tradnl"/>
        </w:rPr>
        <w:t xml:space="preserve">los </w:t>
      </w:r>
      <w:r w:rsidRPr="004E7986">
        <w:rPr>
          <w:rFonts w:ascii="Times New Roman" w:hAnsi="Times New Roman" w:cs="Times New Roman"/>
          <w:lang w:val="es-ES_tradnl"/>
        </w:rPr>
        <w:t>desastres naturales (</w:t>
      </w:r>
      <w:r>
        <w:rPr>
          <w:rFonts w:ascii="Times New Roman" w:hAnsi="Times New Roman" w:cs="Times New Roman"/>
          <w:lang w:val="es-ES_tradnl"/>
        </w:rPr>
        <w:t xml:space="preserve">ver </w:t>
      </w:r>
      <w:proofErr w:type="spellStart"/>
      <w:r w:rsidRPr="004E7986">
        <w:rPr>
          <w:rFonts w:ascii="Times New Roman" w:hAnsi="Times New Roman" w:cs="Times New Roman"/>
          <w:lang w:val="es-ES_tradnl"/>
        </w:rPr>
        <w:t>Coffman</w:t>
      </w:r>
      <w:proofErr w:type="spellEnd"/>
      <w:r w:rsidRPr="004E7986">
        <w:rPr>
          <w:rFonts w:ascii="Times New Roman" w:hAnsi="Times New Roman" w:cs="Times New Roman"/>
          <w:lang w:val="es-ES_tradnl"/>
        </w:rPr>
        <w:t xml:space="preserve"> y </w:t>
      </w:r>
      <w:proofErr w:type="spellStart"/>
      <w:r w:rsidRPr="004E7986">
        <w:rPr>
          <w:rFonts w:ascii="Times New Roman" w:hAnsi="Times New Roman" w:cs="Times New Roman"/>
          <w:lang w:val="es-ES_tradnl"/>
        </w:rPr>
        <w:t>Noy</w:t>
      </w:r>
      <w:proofErr w:type="spellEnd"/>
      <w:r w:rsidRPr="004E7986">
        <w:rPr>
          <w:rFonts w:ascii="Times New Roman" w:hAnsi="Times New Roman" w:cs="Times New Roman"/>
          <w:lang w:val="es-ES_tradnl"/>
        </w:rPr>
        <w:t xml:space="preserve">, 2011), y los efectos de los objetivos de emisión del Protocolo de </w:t>
      </w:r>
      <w:proofErr w:type="spellStart"/>
      <w:r w:rsidRPr="004E7986">
        <w:rPr>
          <w:rFonts w:ascii="Times New Roman" w:hAnsi="Times New Roman" w:cs="Times New Roman"/>
          <w:lang w:val="es-ES_tradnl"/>
        </w:rPr>
        <w:t>Kyoto</w:t>
      </w:r>
      <w:proofErr w:type="spellEnd"/>
      <w:r w:rsidRPr="004E7986">
        <w:rPr>
          <w:rFonts w:ascii="Times New Roman" w:hAnsi="Times New Roman" w:cs="Times New Roman"/>
          <w:lang w:val="es-ES_tradnl"/>
        </w:rPr>
        <w:t xml:space="preserve"> </w:t>
      </w:r>
      <w:r>
        <w:rPr>
          <w:rFonts w:ascii="Times New Roman" w:hAnsi="Times New Roman" w:cs="Times New Roman"/>
          <w:lang w:val="es-ES_tradnl"/>
        </w:rPr>
        <w:t>sobre</w:t>
      </w:r>
      <w:r w:rsidRPr="004E7986">
        <w:rPr>
          <w:rFonts w:ascii="Times New Roman" w:hAnsi="Times New Roman" w:cs="Times New Roman"/>
          <w:lang w:val="es-ES_tradnl"/>
        </w:rPr>
        <w:t xml:space="preserve"> la emisión de gases de efecto invernadero (ver </w:t>
      </w:r>
      <w:proofErr w:type="spellStart"/>
      <w:r w:rsidRPr="004E7986">
        <w:rPr>
          <w:rFonts w:ascii="Times New Roman" w:hAnsi="Times New Roman" w:cs="Times New Roman"/>
          <w:lang w:val="es-ES_tradnl"/>
        </w:rPr>
        <w:t>Almer</w:t>
      </w:r>
      <w:proofErr w:type="spellEnd"/>
      <w:r w:rsidRPr="004E7986">
        <w:rPr>
          <w:rFonts w:ascii="Times New Roman" w:hAnsi="Times New Roman" w:cs="Times New Roman"/>
          <w:lang w:val="es-ES_tradnl"/>
        </w:rPr>
        <w:t xml:space="preserve"> and </w:t>
      </w:r>
      <w:proofErr w:type="spellStart"/>
      <w:r w:rsidRPr="004E7986">
        <w:rPr>
          <w:rFonts w:ascii="Times New Roman" w:hAnsi="Times New Roman" w:cs="Times New Roman"/>
          <w:lang w:val="es-ES_tradnl"/>
        </w:rPr>
        <w:t>Winkler</w:t>
      </w:r>
      <w:proofErr w:type="spellEnd"/>
      <w:r w:rsidRPr="004E7986">
        <w:rPr>
          <w:rFonts w:ascii="Times New Roman" w:hAnsi="Times New Roman" w:cs="Times New Roman"/>
          <w:lang w:val="es-ES_tradnl"/>
        </w:rPr>
        <w:t>, 2012).</w:t>
      </w:r>
    </w:p>
  </w:footnote>
  <w:footnote w:id="3">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N</w:t>
      </w:r>
      <w:r>
        <w:rPr>
          <w:rFonts w:ascii="Times New Roman" w:hAnsi="Times New Roman" w:cs="Times New Roman"/>
          <w:lang w:val="es-ES_tradnl"/>
        </w:rPr>
        <w:t>ótese</w:t>
      </w:r>
      <w:r w:rsidRPr="004E7986">
        <w:rPr>
          <w:rFonts w:ascii="Times New Roman" w:hAnsi="Times New Roman" w:cs="Times New Roman"/>
          <w:lang w:val="es-ES_tradnl"/>
        </w:rPr>
        <w:t xml:space="preserve"> que </w:t>
      </w:r>
      <w:r>
        <w:rPr>
          <w:rFonts w:ascii="Times New Roman" w:hAnsi="Times New Roman" w:cs="Times New Roman"/>
          <w:lang w:val="es-ES_tradnl"/>
        </w:rPr>
        <w:t xml:space="preserve">el </w:t>
      </w:r>
      <w:r w:rsidRPr="004E7986">
        <w:rPr>
          <w:rFonts w:ascii="Times New Roman" w:hAnsi="Times New Roman" w:cs="Times New Roman"/>
          <w:lang w:val="es-ES_tradnl"/>
        </w:rPr>
        <w:t xml:space="preserve">método de control sintético </w:t>
      </w:r>
      <w:r>
        <w:rPr>
          <w:rFonts w:ascii="Times New Roman" w:hAnsi="Times New Roman" w:cs="Times New Roman"/>
          <w:lang w:val="es-ES_tradnl"/>
        </w:rPr>
        <w:t xml:space="preserve">se basa en supuesto de </w:t>
      </w:r>
      <w:r w:rsidRPr="004E7986">
        <w:rPr>
          <w:rFonts w:ascii="Times New Roman" w:hAnsi="Times New Roman" w:cs="Times New Roman"/>
          <w:lang w:val="es-ES_tradnl"/>
        </w:rPr>
        <w:t>identificación</w:t>
      </w:r>
      <w:r>
        <w:rPr>
          <w:rFonts w:ascii="Times New Roman" w:hAnsi="Times New Roman" w:cs="Times New Roman"/>
          <w:lang w:val="es-ES_tradnl"/>
        </w:rPr>
        <w:t xml:space="preserve"> </w:t>
      </w:r>
      <w:r w:rsidRPr="004E7986">
        <w:rPr>
          <w:rFonts w:ascii="Times New Roman" w:hAnsi="Times New Roman" w:cs="Times New Roman"/>
          <w:lang w:val="es-ES_tradnl"/>
        </w:rPr>
        <w:t>m</w:t>
      </w:r>
      <w:r>
        <w:rPr>
          <w:rFonts w:ascii="Times New Roman" w:hAnsi="Times New Roman" w:cs="Times New Roman"/>
          <w:lang w:val="es-ES_tradnl"/>
        </w:rPr>
        <w:t>enos restrictivos</w:t>
      </w:r>
      <w:r w:rsidRPr="004E7986">
        <w:rPr>
          <w:rFonts w:ascii="Times New Roman" w:hAnsi="Times New Roman" w:cs="Times New Roman"/>
          <w:lang w:val="es-ES_tradnl"/>
        </w:rPr>
        <w:t xml:space="preserve"> que aquell</w:t>
      </w:r>
      <w:r>
        <w:rPr>
          <w:rFonts w:ascii="Times New Roman" w:hAnsi="Times New Roman" w:cs="Times New Roman"/>
          <w:lang w:val="es-ES_tradnl"/>
        </w:rPr>
        <w:t>o</w:t>
      </w:r>
      <w:r w:rsidRPr="004E7986">
        <w:rPr>
          <w:rFonts w:ascii="Times New Roman" w:hAnsi="Times New Roman" w:cs="Times New Roman"/>
          <w:lang w:val="es-ES_tradnl"/>
        </w:rPr>
        <w:t>s requerid</w:t>
      </w:r>
      <w:r>
        <w:rPr>
          <w:rFonts w:ascii="Times New Roman" w:hAnsi="Times New Roman" w:cs="Times New Roman"/>
          <w:lang w:val="es-ES_tradnl"/>
        </w:rPr>
        <w:t>o</w:t>
      </w:r>
      <w:r w:rsidRPr="004E7986">
        <w:rPr>
          <w:rFonts w:ascii="Times New Roman" w:hAnsi="Times New Roman" w:cs="Times New Roman"/>
          <w:lang w:val="es-ES_tradnl"/>
        </w:rPr>
        <w:t>s por algunos estimadores estándar</w:t>
      </w:r>
      <w:r>
        <w:rPr>
          <w:rFonts w:ascii="Times New Roman" w:hAnsi="Times New Roman" w:cs="Times New Roman"/>
          <w:lang w:val="es-ES_tradnl"/>
        </w:rPr>
        <w:t>es</w:t>
      </w:r>
      <w:r w:rsidRPr="004E7986">
        <w:rPr>
          <w:rFonts w:ascii="Times New Roman" w:hAnsi="Times New Roman" w:cs="Times New Roman"/>
          <w:lang w:val="es-ES_tradnl"/>
        </w:rPr>
        <w:t>. Por ejemplo, mientras que los modelos de paneles sólo controlan factores que son invariables en el tiempo (</w:t>
      </w:r>
      <w:r>
        <w:rPr>
          <w:rFonts w:ascii="Times New Roman" w:hAnsi="Times New Roman" w:cs="Times New Roman"/>
          <w:lang w:val="es-ES_tradnl"/>
        </w:rPr>
        <w:t>e</w:t>
      </w:r>
      <w:r w:rsidRPr="004E7986">
        <w:rPr>
          <w:rFonts w:ascii="Times New Roman" w:hAnsi="Times New Roman" w:cs="Times New Roman"/>
          <w:lang w:val="es-ES_tradnl"/>
        </w:rPr>
        <w:t>fectos fijos) o comparten una tendencia común (diferencia</w:t>
      </w:r>
      <w:r>
        <w:rPr>
          <w:rFonts w:ascii="Times New Roman" w:hAnsi="Times New Roman" w:cs="Times New Roman"/>
          <w:lang w:val="es-ES_tradnl"/>
        </w:rPr>
        <w:t>s</w:t>
      </w:r>
      <w:r w:rsidRPr="004E7986">
        <w:rPr>
          <w:rFonts w:ascii="Times New Roman" w:hAnsi="Times New Roman" w:cs="Times New Roman"/>
          <w:lang w:val="es-ES_tradnl"/>
        </w:rPr>
        <w:t>-en-diferencia</w:t>
      </w:r>
      <w:r>
        <w:rPr>
          <w:rFonts w:ascii="Times New Roman" w:hAnsi="Times New Roman" w:cs="Times New Roman"/>
          <w:lang w:val="es-ES_tradnl"/>
        </w:rPr>
        <w:t>s</w:t>
      </w:r>
      <w:r w:rsidRPr="004E7986">
        <w:rPr>
          <w:rFonts w:ascii="Times New Roman" w:hAnsi="Times New Roman" w:cs="Times New Roman"/>
          <w:lang w:val="es-ES_tradnl"/>
        </w:rPr>
        <w:t xml:space="preserve">), </w:t>
      </w:r>
      <w:r>
        <w:rPr>
          <w:rFonts w:ascii="Times New Roman" w:hAnsi="Times New Roman" w:cs="Times New Roman"/>
          <w:lang w:val="es-ES_tradnl"/>
        </w:rPr>
        <w:t>el método de</w:t>
      </w:r>
      <w:r w:rsidRPr="004E7986">
        <w:rPr>
          <w:rFonts w:ascii="Times New Roman" w:hAnsi="Times New Roman" w:cs="Times New Roman"/>
          <w:lang w:val="es-ES_tradnl"/>
        </w:rPr>
        <w:t xml:space="preserve"> </w:t>
      </w:r>
      <w:r>
        <w:rPr>
          <w:rFonts w:ascii="Times New Roman" w:hAnsi="Times New Roman" w:cs="Times New Roman"/>
          <w:lang w:val="es-ES_tradnl"/>
        </w:rPr>
        <w:t xml:space="preserve">control </w:t>
      </w:r>
      <w:r w:rsidRPr="004E7986">
        <w:rPr>
          <w:rFonts w:ascii="Times New Roman" w:hAnsi="Times New Roman" w:cs="Times New Roman"/>
          <w:lang w:val="es-ES_tradnl"/>
        </w:rPr>
        <w:t xml:space="preserve">sintético  permite que </w:t>
      </w:r>
      <w:r>
        <w:rPr>
          <w:rFonts w:ascii="Times New Roman" w:hAnsi="Times New Roman" w:cs="Times New Roman"/>
          <w:lang w:val="es-ES_tradnl"/>
        </w:rPr>
        <w:t>el efecto</w:t>
      </w:r>
      <w:r w:rsidRPr="004E7986">
        <w:rPr>
          <w:rFonts w:ascii="Times New Roman" w:hAnsi="Times New Roman" w:cs="Times New Roman"/>
          <w:lang w:val="es-ES_tradnl"/>
        </w:rPr>
        <w:t xml:space="preserve"> de los factores no observa</w:t>
      </w:r>
      <w:r>
        <w:rPr>
          <w:rFonts w:ascii="Times New Roman" w:hAnsi="Times New Roman" w:cs="Times New Roman"/>
          <w:lang w:val="es-ES_tradnl"/>
        </w:rPr>
        <w:t>bles</w:t>
      </w:r>
      <w:r w:rsidRPr="004E7986">
        <w:rPr>
          <w:rFonts w:ascii="Times New Roman" w:hAnsi="Times New Roman" w:cs="Times New Roman"/>
          <w:lang w:val="es-ES_tradnl"/>
        </w:rPr>
        <w:t xml:space="preserve"> varíen </w:t>
      </w:r>
      <w:r>
        <w:rPr>
          <w:rFonts w:ascii="Times New Roman" w:hAnsi="Times New Roman" w:cs="Times New Roman"/>
          <w:lang w:val="es-ES_tradnl"/>
        </w:rPr>
        <w:t>en</w:t>
      </w:r>
      <w:r w:rsidRPr="004E7986">
        <w:rPr>
          <w:rFonts w:ascii="Times New Roman" w:hAnsi="Times New Roman" w:cs="Times New Roman"/>
          <w:lang w:val="es-ES_tradnl"/>
        </w:rPr>
        <w:t xml:space="preserve"> el tiempo (ver </w:t>
      </w:r>
      <w:proofErr w:type="spellStart"/>
      <w:r w:rsidRPr="004E7986">
        <w:rPr>
          <w:rFonts w:ascii="Times New Roman" w:hAnsi="Times New Roman" w:cs="Times New Roman"/>
          <w:lang w:val="es-ES_tradnl"/>
        </w:rPr>
        <w:t>Billmeier</w:t>
      </w:r>
      <w:proofErr w:type="spellEnd"/>
      <w:r w:rsidRPr="004E7986">
        <w:rPr>
          <w:rFonts w:ascii="Times New Roman" w:hAnsi="Times New Roman" w:cs="Times New Roman"/>
          <w:lang w:val="es-ES_tradnl"/>
        </w:rPr>
        <w:t xml:space="preserve"> </w:t>
      </w:r>
      <w:r>
        <w:rPr>
          <w:rFonts w:ascii="Times New Roman" w:hAnsi="Times New Roman" w:cs="Times New Roman"/>
          <w:lang w:val="es-ES_tradnl"/>
        </w:rPr>
        <w:t>y</w:t>
      </w:r>
      <w:r w:rsidRPr="004E7986">
        <w:rPr>
          <w:rFonts w:ascii="Times New Roman" w:hAnsi="Times New Roman" w:cs="Times New Roman"/>
          <w:lang w:val="es-ES_tradnl"/>
        </w:rPr>
        <w:t xml:space="preserve"> </w:t>
      </w:r>
      <w:proofErr w:type="spellStart"/>
      <w:r w:rsidRPr="004E7986">
        <w:rPr>
          <w:rFonts w:ascii="Times New Roman" w:hAnsi="Times New Roman" w:cs="Times New Roman"/>
          <w:lang w:val="es-ES_tradnl"/>
        </w:rPr>
        <w:t>Nannicini</w:t>
      </w:r>
      <w:proofErr w:type="spellEnd"/>
      <w:r w:rsidRPr="004E7986">
        <w:rPr>
          <w:rFonts w:ascii="Times New Roman" w:hAnsi="Times New Roman" w:cs="Times New Roman"/>
          <w:lang w:val="es-ES_tradnl"/>
        </w:rPr>
        <w:t>, 2012).</w:t>
      </w:r>
    </w:p>
  </w:footnote>
  <w:footnote w:id="4">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La disponibilidad de un procedimiento bien definido para seleccionar la unidad de comparación, como </w:t>
      </w:r>
      <w:r>
        <w:rPr>
          <w:rFonts w:ascii="Times New Roman" w:hAnsi="Times New Roman" w:cs="Times New Roman"/>
          <w:lang w:val="es-ES_tradnl"/>
        </w:rPr>
        <w:t>el</w:t>
      </w:r>
      <w:r w:rsidRPr="004E7986">
        <w:rPr>
          <w:rFonts w:ascii="Times New Roman" w:hAnsi="Times New Roman" w:cs="Times New Roman"/>
          <w:lang w:val="es-ES_tradnl"/>
        </w:rPr>
        <w:t xml:space="preserve"> que provee el método de control sintético, hace posible la estimación de los efectos de intervenciones placebo. La razón es que, sin un procedimiento formal para elegir unidades de comparación sería difícil volver a aplicar el mismo procedimiento de estimación utilizado para la unidad afectada a las unidades en el grupo </w:t>
      </w:r>
      <w:r>
        <w:rPr>
          <w:rFonts w:ascii="Times New Roman" w:hAnsi="Times New Roman" w:cs="Times New Roman"/>
          <w:lang w:val="es-ES_tradnl"/>
        </w:rPr>
        <w:t>de control</w:t>
      </w:r>
      <w:r w:rsidRPr="004E7986">
        <w:rPr>
          <w:rFonts w:ascii="Times New Roman" w:hAnsi="Times New Roman" w:cs="Times New Roman"/>
          <w:lang w:val="es-ES_tradnl"/>
        </w:rPr>
        <w:t xml:space="preserve">. En este sentido, la formalización de la elección  de la unidad de comparación </w:t>
      </w:r>
      <w:r>
        <w:rPr>
          <w:rFonts w:ascii="Times New Roman" w:hAnsi="Times New Roman" w:cs="Times New Roman"/>
          <w:lang w:val="es-ES_tradnl"/>
        </w:rPr>
        <w:t>que proporciona</w:t>
      </w:r>
      <w:r w:rsidRPr="004E7986">
        <w:rPr>
          <w:rFonts w:ascii="Times New Roman" w:hAnsi="Times New Roman" w:cs="Times New Roman"/>
          <w:lang w:val="es-ES_tradnl"/>
        </w:rPr>
        <w:t xml:space="preserve"> el método de control sintético abre la puerta a una inferencia cuantitativa precisa en el contexto de estudios comparativos de casos.</w:t>
      </w:r>
    </w:p>
  </w:footnote>
  <w:footnote w:id="5">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Abadie (2012)</w:t>
      </w:r>
      <w:r>
        <w:rPr>
          <w:rFonts w:ascii="Times New Roman" w:hAnsi="Times New Roman" w:cs="Times New Roman"/>
          <w:lang w:val="es-ES_tradnl"/>
        </w:rPr>
        <w:t xml:space="preserve"> provee más detalles al respecto</w:t>
      </w:r>
      <w:r w:rsidRPr="004E7986">
        <w:rPr>
          <w:rFonts w:ascii="Times New Roman" w:hAnsi="Times New Roman" w:cs="Times New Roman"/>
          <w:lang w:val="es-ES_tradnl"/>
        </w:rPr>
        <w:t>.</w:t>
      </w:r>
    </w:p>
  </w:footnote>
  <w:footnote w:id="6">
    <w:p w:rsidR="00B907F3" w:rsidRPr="004E7986" w:rsidRDefault="00B907F3" w:rsidP="004E7986">
      <w:pPr>
        <w:pStyle w:val="FootnoteText"/>
        <w:jc w:val="both"/>
        <w:rPr>
          <w:rFonts w:ascii="Times New Roman" w:hAnsi="Times New Roman" w:cs="Times New Roman"/>
          <w:lang w:val="es-ES_tradnl"/>
        </w:rPr>
      </w:pPr>
      <w:r w:rsidRPr="004E7986">
        <w:rPr>
          <w:rStyle w:val="FootnoteReference"/>
          <w:rFonts w:ascii="Times New Roman" w:hAnsi="Times New Roman" w:cs="Times New Roman"/>
        </w:rPr>
        <w:footnoteRef/>
      </w:r>
      <w:r w:rsidRPr="004E7986">
        <w:rPr>
          <w:rFonts w:ascii="Times New Roman" w:hAnsi="Times New Roman" w:cs="Times New Roman"/>
          <w:lang w:val="es-ES_tradnl"/>
        </w:rPr>
        <w:t xml:space="preserve"> Abadie et al. (2011) </w:t>
      </w:r>
      <w:r>
        <w:rPr>
          <w:rFonts w:ascii="Times New Roman" w:hAnsi="Times New Roman" w:cs="Times New Roman"/>
          <w:lang w:val="es-ES_tradnl"/>
        </w:rPr>
        <w:t>de</w:t>
      </w:r>
      <w:r w:rsidRPr="004E7986">
        <w:rPr>
          <w:rFonts w:ascii="Times New Roman" w:hAnsi="Times New Roman" w:cs="Times New Roman"/>
          <w:lang w:val="es-ES_tradnl"/>
        </w:rPr>
        <w:t>muestra que</w:t>
      </w:r>
      <w:r>
        <w:rPr>
          <w:rFonts w:ascii="Times New Roman" w:hAnsi="Times New Roman" w:cs="Times New Roman"/>
          <w:lang w:val="es-ES_tradnl"/>
        </w:rPr>
        <w:t>,</w:t>
      </w:r>
      <w:r w:rsidRPr="004E7986">
        <w:rPr>
          <w:rFonts w:ascii="Times New Roman" w:hAnsi="Times New Roman" w:cs="Times New Roman"/>
          <w:lang w:val="es-ES_tradnl"/>
        </w:rPr>
        <w:t xml:space="preserve"> bajo ciertas condiciones, el sesgo del estimador de control sintético está determinado por una función que alcanza cero siempre que el número de períodos de pre-intervención durante los cuales el control sintético sigue de cerca la trayectoria de la variable de resultado para la unidad afectada aumente.</w:t>
      </w:r>
    </w:p>
  </w:footnote>
  <w:footnote w:id="7">
    <w:p w:rsidR="00B907F3" w:rsidRPr="00270DCF" w:rsidRDefault="00B907F3" w:rsidP="00270DCF">
      <w:pPr>
        <w:pStyle w:val="FootnoteText"/>
        <w:jc w:val="both"/>
        <w:rPr>
          <w:rFonts w:ascii="Times New Roman" w:hAnsi="Times New Roman" w:cs="Times New Roman"/>
        </w:rPr>
      </w:pPr>
      <w:r w:rsidRPr="00270DCF">
        <w:rPr>
          <w:rStyle w:val="FootnoteReference"/>
          <w:rFonts w:ascii="Times New Roman" w:hAnsi="Times New Roman" w:cs="Times New Roman"/>
        </w:rPr>
        <w:footnoteRef/>
      </w:r>
      <w:r w:rsidRPr="00270DCF">
        <w:rPr>
          <w:rFonts w:ascii="Times New Roman" w:hAnsi="Times New Roman" w:cs="Times New Roman"/>
        </w:rPr>
        <w:t xml:space="preserve"> Claramente, la medidas de facilitación comercial pueden contribuir aumentar la inversión de empresas extranjeras que eligen Uruguay como una plataforma de exportación.</w:t>
      </w:r>
    </w:p>
  </w:footnote>
  <w:footnote w:id="8">
    <w:p w:rsidR="00B907F3" w:rsidRPr="00270DCF" w:rsidRDefault="00B907F3" w:rsidP="002F2B91">
      <w:pPr>
        <w:pStyle w:val="FootnoteText"/>
        <w:jc w:val="both"/>
        <w:rPr>
          <w:rFonts w:ascii="Times New Roman" w:hAnsi="Times New Roman" w:cs="Times New Roman"/>
          <w:lang w:val="es-ES_tradnl"/>
        </w:rPr>
      </w:pPr>
      <w:r w:rsidRPr="00270DCF">
        <w:rPr>
          <w:rStyle w:val="FootnoteReference"/>
          <w:rFonts w:ascii="Times New Roman" w:hAnsi="Times New Roman" w:cs="Times New Roman"/>
        </w:rPr>
        <w:footnoteRef/>
      </w:r>
      <w:r w:rsidRPr="00270DCF">
        <w:rPr>
          <w:rFonts w:ascii="Times New Roman" w:hAnsi="Times New Roman" w:cs="Times New Roman"/>
          <w:lang w:val="es-ES_tradnl"/>
        </w:rPr>
        <w:t xml:space="preserve"> Este trabajo también </w:t>
      </w:r>
      <w:r>
        <w:rPr>
          <w:rFonts w:ascii="Times New Roman" w:hAnsi="Times New Roman" w:cs="Times New Roman"/>
          <w:lang w:val="es-ES_tradnl"/>
        </w:rPr>
        <w:t>se</w:t>
      </w:r>
      <w:r w:rsidRPr="00270DCF">
        <w:rPr>
          <w:rFonts w:ascii="Times New Roman" w:hAnsi="Times New Roman" w:cs="Times New Roman"/>
          <w:lang w:val="es-ES_tradnl"/>
        </w:rPr>
        <w:t xml:space="preserve"> adjunt</w:t>
      </w:r>
      <w:r>
        <w:rPr>
          <w:rFonts w:ascii="Times New Roman" w:hAnsi="Times New Roman" w:cs="Times New Roman"/>
          <w:lang w:val="es-ES_tradnl"/>
        </w:rPr>
        <w:t>a</w:t>
      </w:r>
      <w:r w:rsidRPr="00270DCF">
        <w:rPr>
          <w:rFonts w:ascii="Times New Roman" w:hAnsi="Times New Roman" w:cs="Times New Roman"/>
          <w:lang w:val="es-ES_tradnl"/>
        </w:rPr>
        <w:t xml:space="preserve"> a los documentos de apoyo de la operación. </w:t>
      </w:r>
    </w:p>
  </w:footnote>
  <w:footnote w:id="9">
    <w:p w:rsidR="00B907F3" w:rsidRPr="00A96F65" w:rsidRDefault="00B907F3" w:rsidP="004E7986">
      <w:pPr>
        <w:pStyle w:val="FootnoteText"/>
        <w:jc w:val="both"/>
        <w:rPr>
          <w:rFonts w:ascii="Times New Roman" w:hAnsi="Times New Roman" w:cs="Times New Roman"/>
        </w:rPr>
      </w:pPr>
      <w:r w:rsidRPr="004E7986">
        <w:rPr>
          <w:rStyle w:val="FootnoteReference"/>
          <w:rFonts w:ascii="Times New Roman" w:hAnsi="Times New Roman" w:cs="Times New Roman"/>
        </w:rPr>
        <w:footnoteRef/>
      </w:r>
      <w:r w:rsidRPr="004E7986">
        <w:rPr>
          <w:rFonts w:ascii="Times New Roman" w:hAnsi="Times New Roman" w:cs="Times New Roman"/>
        </w:rPr>
        <w:t xml:space="preserve"> La evaluación de impacto de las actividades de promoción comercial y de inversiones es parte integral de la agenda de investigación de INT. Prueba de ello es el reporte institucional “</w:t>
      </w:r>
      <w:r w:rsidRPr="004E7986">
        <w:rPr>
          <w:rFonts w:ascii="Times New Roman" w:hAnsi="Times New Roman" w:cs="Times New Roman"/>
          <w:i/>
        </w:rPr>
        <w:t>Odisea en los mercados internacionales</w:t>
      </w:r>
      <w:r w:rsidRPr="004E7986">
        <w:rPr>
          <w:rFonts w:ascii="Times New Roman" w:hAnsi="Times New Roman" w:cs="Times New Roman"/>
        </w:rPr>
        <w:t>” y los informes de base en que se apoya el mismo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E1ACC"/>
    <w:multiLevelType w:val="hybridMultilevel"/>
    <w:tmpl w:val="92B471F4"/>
    <w:lvl w:ilvl="0" w:tplc="512A12D4">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4FBC2E21"/>
    <w:multiLevelType w:val="hybridMultilevel"/>
    <w:tmpl w:val="92B471F4"/>
    <w:lvl w:ilvl="0" w:tplc="512A12D4">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465FA1"/>
    <w:multiLevelType w:val="hybridMultilevel"/>
    <w:tmpl w:val="81C6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EC5C6F"/>
    <w:multiLevelType w:val="hybridMultilevel"/>
    <w:tmpl w:val="CEC87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AA5796"/>
    <w:multiLevelType w:val="hybridMultilevel"/>
    <w:tmpl w:val="150A5F00"/>
    <w:lvl w:ilvl="0" w:tplc="75629D7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
  </w:num>
  <w:num w:numId="2">
    <w:abstractNumId w:val="4"/>
  </w:num>
  <w:num w:numId="3">
    <w:abstractNumId w:val="6"/>
  </w:num>
  <w:num w:numId="4">
    <w:abstractNumId w:val="6"/>
  </w:num>
  <w:num w:numId="5">
    <w:abstractNumId w:val="3"/>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E0"/>
    <w:rsid w:val="000013B4"/>
    <w:rsid w:val="00020DE6"/>
    <w:rsid w:val="00054231"/>
    <w:rsid w:val="000B269F"/>
    <w:rsid w:val="000B74A0"/>
    <w:rsid w:val="000E1A53"/>
    <w:rsid w:val="0012110D"/>
    <w:rsid w:val="00133C43"/>
    <w:rsid w:val="00155A5F"/>
    <w:rsid w:val="00157A7F"/>
    <w:rsid w:val="00157E7B"/>
    <w:rsid w:val="001824F3"/>
    <w:rsid w:val="00190B9E"/>
    <w:rsid w:val="001A054D"/>
    <w:rsid w:val="001B77FA"/>
    <w:rsid w:val="001E703C"/>
    <w:rsid w:val="00235347"/>
    <w:rsid w:val="00255993"/>
    <w:rsid w:val="00270DCF"/>
    <w:rsid w:val="002908EB"/>
    <w:rsid w:val="0029200F"/>
    <w:rsid w:val="0029668E"/>
    <w:rsid w:val="002A2779"/>
    <w:rsid w:val="002B4414"/>
    <w:rsid w:val="002F2B91"/>
    <w:rsid w:val="003347D8"/>
    <w:rsid w:val="00350D72"/>
    <w:rsid w:val="00373650"/>
    <w:rsid w:val="00375B71"/>
    <w:rsid w:val="0038126E"/>
    <w:rsid w:val="003830DA"/>
    <w:rsid w:val="0043081C"/>
    <w:rsid w:val="004A6145"/>
    <w:rsid w:val="004E7986"/>
    <w:rsid w:val="0051306C"/>
    <w:rsid w:val="00535081"/>
    <w:rsid w:val="00540D68"/>
    <w:rsid w:val="0054179D"/>
    <w:rsid w:val="005612A2"/>
    <w:rsid w:val="005817D8"/>
    <w:rsid w:val="005A1578"/>
    <w:rsid w:val="005A57C8"/>
    <w:rsid w:val="005B43DC"/>
    <w:rsid w:val="005D5DCF"/>
    <w:rsid w:val="00612BA4"/>
    <w:rsid w:val="00680E1A"/>
    <w:rsid w:val="006A6DB5"/>
    <w:rsid w:val="00712AF7"/>
    <w:rsid w:val="0071702B"/>
    <w:rsid w:val="00722E2A"/>
    <w:rsid w:val="00741549"/>
    <w:rsid w:val="007548AF"/>
    <w:rsid w:val="007761FC"/>
    <w:rsid w:val="007926F8"/>
    <w:rsid w:val="007B7EE0"/>
    <w:rsid w:val="007F0409"/>
    <w:rsid w:val="007F566A"/>
    <w:rsid w:val="00821CB7"/>
    <w:rsid w:val="0083104B"/>
    <w:rsid w:val="008378FD"/>
    <w:rsid w:val="008417DD"/>
    <w:rsid w:val="0084220A"/>
    <w:rsid w:val="00864B55"/>
    <w:rsid w:val="00877A19"/>
    <w:rsid w:val="008C2133"/>
    <w:rsid w:val="008F0F36"/>
    <w:rsid w:val="00931F91"/>
    <w:rsid w:val="00951790"/>
    <w:rsid w:val="00976DEF"/>
    <w:rsid w:val="009B5229"/>
    <w:rsid w:val="009F7371"/>
    <w:rsid w:val="00A05E30"/>
    <w:rsid w:val="00A13465"/>
    <w:rsid w:val="00A30371"/>
    <w:rsid w:val="00A311B3"/>
    <w:rsid w:val="00A42E9C"/>
    <w:rsid w:val="00A51A87"/>
    <w:rsid w:val="00A54AEC"/>
    <w:rsid w:val="00A62D59"/>
    <w:rsid w:val="00A65062"/>
    <w:rsid w:val="00A66B18"/>
    <w:rsid w:val="00A93C0E"/>
    <w:rsid w:val="00A96F65"/>
    <w:rsid w:val="00AB5EDE"/>
    <w:rsid w:val="00AB616C"/>
    <w:rsid w:val="00AE4315"/>
    <w:rsid w:val="00AF3B87"/>
    <w:rsid w:val="00B06FA3"/>
    <w:rsid w:val="00B077F7"/>
    <w:rsid w:val="00B22BAA"/>
    <w:rsid w:val="00B23D1D"/>
    <w:rsid w:val="00B54F93"/>
    <w:rsid w:val="00B6378B"/>
    <w:rsid w:val="00B82D3E"/>
    <w:rsid w:val="00B907F3"/>
    <w:rsid w:val="00BB2A4A"/>
    <w:rsid w:val="00BC712D"/>
    <w:rsid w:val="00C22F07"/>
    <w:rsid w:val="00C345BE"/>
    <w:rsid w:val="00C711E3"/>
    <w:rsid w:val="00C90E58"/>
    <w:rsid w:val="00C91FB7"/>
    <w:rsid w:val="00CE41A0"/>
    <w:rsid w:val="00D603A8"/>
    <w:rsid w:val="00D84AFD"/>
    <w:rsid w:val="00E14F0F"/>
    <w:rsid w:val="00E171C8"/>
    <w:rsid w:val="00E23303"/>
    <w:rsid w:val="00E57ADB"/>
    <w:rsid w:val="00E77895"/>
    <w:rsid w:val="00EA1CA9"/>
    <w:rsid w:val="00EC209E"/>
    <w:rsid w:val="00F010B8"/>
    <w:rsid w:val="00F24E96"/>
    <w:rsid w:val="00F300BC"/>
    <w:rsid w:val="00F408F3"/>
    <w:rsid w:val="00F439DF"/>
    <w:rsid w:val="00FC5082"/>
    <w:rsid w:val="00FC677B"/>
    <w:rsid w:val="00FE0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21CB7"/>
    <w:pPr>
      <w:keepNext/>
      <w:numPr>
        <w:numId w:val="3"/>
      </w:numPr>
      <w:spacing w:before="240" w:after="60" w:line="240" w:lineRule="auto"/>
      <w:outlineLvl w:val="0"/>
    </w:pPr>
    <w:rPr>
      <w:rFonts w:ascii="Times New Roman" w:eastAsia="Times New Roman" w:hAnsi="Times New Roman" w:cs="Times New Roman"/>
      <w:b/>
      <w:kern w:val="28"/>
      <w:sz w:val="24"/>
      <w:szCs w:val="20"/>
      <w:lang w:val="en-US" w:eastAsia="en-US"/>
    </w:rPr>
  </w:style>
  <w:style w:type="paragraph" w:styleId="Heading3">
    <w:name w:val="heading 3"/>
    <w:basedOn w:val="Normal"/>
    <w:next w:val="Normal"/>
    <w:link w:val="Heading3Char"/>
    <w:qFormat/>
    <w:rsid w:val="00821CB7"/>
    <w:pPr>
      <w:keepNext/>
      <w:numPr>
        <w:ilvl w:val="2"/>
        <w:numId w:val="3"/>
      </w:numPr>
      <w:spacing w:before="240" w:after="60" w:line="240" w:lineRule="auto"/>
      <w:outlineLvl w:val="2"/>
    </w:pPr>
    <w:rPr>
      <w:rFonts w:ascii="Arial" w:eastAsia="Times New Roman" w:hAnsi="Arial" w:cs="Times New Roman"/>
      <w:sz w:val="24"/>
      <w:szCs w:val="20"/>
      <w:lang w:val="en-US" w:eastAsia="en-US"/>
    </w:rPr>
  </w:style>
  <w:style w:type="paragraph" w:styleId="Heading4">
    <w:name w:val="heading 4"/>
    <w:basedOn w:val="Normal"/>
    <w:next w:val="Normal"/>
    <w:link w:val="Heading4Char"/>
    <w:qFormat/>
    <w:rsid w:val="00821CB7"/>
    <w:pPr>
      <w:keepNext/>
      <w:numPr>
        <w:ilvl w:val="3"/>
        <w:numId w:val="3"/>
      </w:numPr>
      <w:spacing w:before="240" w:after="60" w:line="240" w:lineRule="auto"/>
      <w:outlineLvl w:val="3"/>
    </w:pPr>
    <w:rPr>
      <w:rFonts w:ascii="Arial" w:eastAsia="Times New Roman" w:hAnsi="Arial" w:cs="Times New Roman"/>
      <w:b/>
      <w:sz w:val="24"/>
      <w:szCs w:val="20"/>
      <w:lang w:val="en-US" w:eastAsia="en-US"/>
    </w:rPr>
  </w:style>
  <w:style w:type="paragraph" w:styleId="Heading5">
    <w:name w:val="heading 5"/>
    <w:basedOn w:val="Normal"/>
    <w:next w:val="Normal"/>
    <w:link w:val="Heading5Char"/>
    <w:qFormat/>
    <w:rsid w:val="00821CB7"/>
    <w:pPr>
      <w:numPr>
        <w:ilvl w:val="4"/>
        <w:numId w:val="3"/>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821CB7"/>
    <w:pPr>
      <w:numPr>
        <w:ilvl w:val="5"/>
        <w:numId w:val="3"/>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821CB7"/>
    <w:pPr>
      <w:numPr>
        <w:ilvl w:val="6"/>
        <w:numId w:val="3"/>
      </w:numPr>
      <w:spacing w:before="240" w:after="60" w:line="240" w:lineRule="auto"/>
      <w:outlineLvl w:val="6"/>
    </w:pPr>
    <w:rPr>
      <w:rFonts w:ascii="Arial" w:eastAsia="Times New Roman" w:hAnsi="Arial" w:cs="Times New Roman"/>
      <w:sz w:val="24"/>
      <w:szCs w:val="20"/>
      <w:lang w:val="en-US" w:eastAsia="en-US"/>
    </w:rPr>
  </w:style>
  <w:style w:type="paragraph" w:styleId="Heading8">
    <w:name w:val="heading 8"/>
    <w:basedOn w:val="Normal"/>
    <w:next w:val="Normal"/>
    <w:link w:val="Heading8Char"/>
    <w:qFormat/>
    <w:rsid w:val="00821CB7"/>
    <w:pPr>
      <w:numPr>
        <w:ilvl w:val="7"/>
        <w:numId w:val="3"/>
      </w:numPr>
      <w:spacing w:before="240" w:after="60" w:line="240" w:lineRule="auto"/>
      <w:outlineLvl w:val="7"/>
    </w:pPr>
    <w:rPr>
      <w:rFonts w:ascii="Arial" w:eastAsia="Times New Roman" w:hAnsi="Arial" w:cs="Times New Roman"/>
      <w:i/>
      <w:sz w:val="24"/>
      <w:szCs w:val="20"/>
      <w:lang w:val="en-US" w:eastAsia="en-US"/>
    </w:rPr>
  </w:style>
  <w:style w:type="paragraph" w:styleId="Heading9">
    <w:name w:val="heading 9"/>
    <w:basedOn w:val="Normal"/>
    <w:next w:val="Normal"/>
    <w:link w:val="Heading9Char"/>
    <w:qFormat/>
    <w:rsid w:val="00821CB7"/>
    <w:pPr>
      <w:numPr>
        <w:ilvl w:val="8"/>
        <w:numId w:val="3"/>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EE0"/>
    <w:rPr>
      <w:sz w:val="20"/>
      <w:szCs w:val="20"/>
    </w:rPr>
  </w:style>
  <w:style w:type="character" w:styleId="FootnoteReference">
    <w:name w:val="footnote reference"/>
    <w:basedOn w:val="DefaultParagraphFont"/>
    <w:uiPriority w:val="99"/>
    <w:semiHidden/>
    <w:unhideWhenUsed/>
    <w:rsid w:val="007B7EE0"/>
    <w:rPr>
      <w:vertAlign w:val="superscript"/>
    </w:rPr>
  </w:style>
  <w:style w:type="table" w:styleId="TableGrid">
    <w:name w:val="Table Grid"/>
    <w:basedOn w:val="TableNormal"/>
    <w:uiPriority w:val="59"/>
    <w:rsid w:val="00F0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7761FC"/>
    <w:pPr>
      <w:numPr>
        <w:numId w:val="1"/>
      </w:numPr>
      <w:tabs>
        <w:tab w:val="left" w:pos="1440"/>
      </w:tabs>
      <w:spacing w:after="240" w:line="240" w:lineRule="auto"/>
      <w:jc w:val="center"/>
    </w:pPr>
    <w:rPr>
      <w:rFonts w:ascii="Times New Roman" w:eastAsia="Times New Roman" w:hAnsi="Times New Roman" w:cs="Times New Roman"/>
      <w:b/>
      <w:smallCaps/>
      <w:sz w:val="24"/>
      <w:szCs w:val="20"/>
      <w:lang w:val="es-ES_tradnl" w:eastAsia="en-US"/>
    </w:rPr>
  </w:style>
  <w:style w:type="paragraph" w:customStyle="1" w:styleId="Paragraph">
    <w:name w:val="Paragraph"/>
    <w:basedOn w:val="BodyTextIndent"/>
    <w:link w:val="ParagraphChar"/>
    <w:rsid w:val="007761FC"/>
    <w:pPr>
      <w:numPr>
        <w:ilvl w:val="1"/>
        <w:numId w:val="1"/>
      </w:numPr>
      <w:spacing w:before="120" w:line="240" w:lineRule="auto"/>
      <w:jc w:val="both"/>
      <w:outlineLvl w:val="1"/>
    </w:pPr>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7761FC"/>
    <w:pPr>
      <w:numPr>
        <w:ilvl w:val="2"/>
        <w:numId w:val="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7761FC"/>
    <w:pPr>
      <w:numPr>
        <w:ilvl w:val="3"/>
      </w:numPr>
      <w:tabs>
        <w:tab w:val="clear" w:pos="1584"/>
        <w:tab w:val="left" w:pos="0"/>
        <w:tab w:val="num" w:pos="360"/>
      </w:tabs>
    </w:pPr>
  </w:style>
  <w:style w:type="character" w:customStyle="1" w:styleId="ParagraphChar">
    <w:name w:val="Paragraph Char"/>
    <w:basedOn w:val="BodyTextIndentChar"/>
    <w:link w:val="Paragraph"/>
    <w:rsid w:val="007761FC"/>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7761FC"/>
    <w:pPr>
      <w:spacing w:after="120"/>
      <w:ind w:left="360"/>
    </w:pPr>
  </w:style>
  <w:style w:type="character" w:customStyle="1" w:styleId="BodyTextIndentChar">
    <w:name w:val="Body Text Indent Char"/>
    <w:basedOn w:val="DefaultParagraphFont"/>
    <w:link w:val="BodyTextIndent"/>
    <w:uiPriority w:val="99"/>
    <w:semiHidden/>
    <w:rsid w:val="007761FC"/>
  </w:style>
  <w:style w:type="paragraph" w:styleId="BodyTextIndent3">
    <w:name w:val="Body Text Indent 3"/>
    <w:basedOn w:val="Normal"/>
    <w:link w:val="BodyTextIndent3Char"/>
    <w:uiPriority w:val="99"/>
    <w:semiHidden/>
    <w:unhideWhenUsed/>
    <w:rsid w:val="007761F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761FC"/>
    <w:rPr>
      <w:sz w:val="16"/>
      <w:szCs w:val="16"/>
    </w:rPr>
  </w:style>
  <w:style w:type="paragraph" w:customStyle="1" w:styleId="Regtable">
    <w:name w:val="Regtable"/>
    <w:link w:val="RegtableChar"/>
    <w:rsid w:val="002A2779"/>
    <w:pPr>
      <w:keepLines/>
      <w:spacing w:before="20" w:after="20" w:line="240" w:lineRule="auto"/>
    </w:pPr>
    <w:rPr>
      <w:rFonts w:ascii="Times New Roman" w:eastAsia="Times New Roman" w:hAnsi="Times New Roman" w:cs="Times New Roman"/>
      <w:noProof/>
      <w:sz w:val="20"/>
      <w:szCs w:val="20"/>
      <w:lang w:val="en-US" w:eastAsia="en-US"/>
    </w:rPr>
  </w:style>
  <w:style w:type="character" w:customStyle="1" w:styleId="RegtableChar">
    <w:name w:val="Regtable Char"/>
    <w:link w:val="Regtable"/>
    <w:rsid w:val="002A2779"/>
    <w:rPr>
      <w:rFonts w:ascii="Times New Roman" w:eastAsia="Times New Roman" w:hAnsi="Times New Roman" w:cs="Times New Roman"/>
      <w:noProof/>
      <w:sz w:val="20"/>
      <w:szCs w:val="20"/>
      <w:lang w:val="en-US" w:eastAsia="en-US"/>
    </w:rPr>
  </w:style>
  <w:style w:type="paragraph" w:styleId="BalloonText">
    <w:name w:val="Balloon Text"/>
    <w:basedOn w:val="Normal"/>
    <w:link w:val="BalloonTextChar"/>
    <w:uiPriority w:val="99"/>
    <w:semiHidden/>
    <w:unhideWhenUsed/>
    <w:rsid w:val="002A2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779"/>
    <w:rPr>
      <w:rFonts w:ascii="Tahoma" w:hAnsi="Tahoma" w:cs="Tahoma"/>
      <w:sz w:val="16"/>
      <w:szCs w:val="16"/>
    </w:rPr>
  </w:style>
  <w:style w:type="paragraph" w:styleId="Header">
    <w:name w:val="header"/>
    <w:basedOn w:val="Normal"/>
    <w:link w:val="HeaderChar"/>
    <w:uiPriority w:val="99"/>
    <w:unhideWhenUsed/>
    <w:rsid w:val="00235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347"/>
  </w:style>
  <w:style w:type="paragraph" w:styleId="Footer">
    <w:name w:val="footer"/>
    <w:basedOn w:val="Normal"/>
    <w:link w:val="FooterChar"/>
    <w:uiPriority w:val="99"/>
    <w:unhideWhenUsed/>
    <w:rsid w:val="00235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347"/>
  </w:style>
  <w:style w:type="character" w:customStyle="1" w:styleId="Heading1Char">
    <w:name w:val="Heading 1 Char"/>
    <w:basedOn w:val="DefaultParagraphFont"/>
    <w:link w:val="Heading1"/>
    <w:rsid w:val="00821CB7"/>
    <w:rPr>
      <w:rFonts w:ascii="Times New Roman" w:eastAsia="Times New Roman" w:hAnsi="Times New Roman" w:cs="Times New Roman"/>
      <w:b/>
      <w:kern w:val="28"/>
      <w:sz w:val="24"/>
      <w:szCs w:val="20"/>
      <w:lang w:val="en-US" w:eastAsia="en-US"/>
    </w:rPr>
  </w:style>
  <w:style w:type="character" w:customStyle="1" w:styleId="Heading3Char">
    <w:name w:val="Heading 3 Char"/>
    <w:basedOn w:val="DefaultParagraphFont"/>
    <w:link w:val="Heading3"/>
    <w:rsid w:val="00821CB7"/>
    <w:rPr>
      <w:rFonts w:ascii="Arial" w:eastAsia="Times New Roman" w:hAnsi="Arial" w:cs="Times New Roman"/>
      <w:sz w:val="24"/>
      <w:szCs w:val="20"/>
      <w:lang w:val="en-US" w:eastAsia="en-US"/>
    </w:rPr>
  </w:style>
  <w:style w:type="character" w:customStyle="1" w:styleId="Heading4Char">
    <w:name w:val="Heading 4 Char"/>
    <w:basedOn w:val="DefaultParagraphFont"/>
    <w:link w:val="Heading4"/>
    <w:rsid w:val="00821CB7"/>
    <w:rPr>
      <w:rFonts w:ascii="Arial" w:eastAsia="Times New Roman" w:hAnsi="Arial" w:cs="Times New Roman"/>
      <w:b/>
      <w:sz w:val="24"/>
      <w:szCs w:val="20"/>
      <w:lang w:val="en-US" w:eastAsia="en-US"/>
    </w:rPr>
  </w:style>
  <w:style w:type="character" w:customStyle="1" w:styleId="Heading5Char">
    <w:name w:val="Heading 5 Char"/>
    <w:basedOn w:val="DefaultParagraphFont"/>
    <w:link w:val="Heading5"/>
    <w:rsid w:val="00821CB7"/>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821CB7"/>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821CB7"/>
    <w:rPr>
      <w:rFonts w:ascii="Arial" w:eastAsia="Times New Roman" w:hAnsi="Arial" w:cs="Times New Roman"/>
      <w:sz w:val="24"/>
      <w:szCs w:val="20"/>
      <w:lang w:val="en-US" w:eastAsia="en-US"/>
    </w:rPr>
  </w:style>
  <w:style w:type="character" w:customStyle="1" w:styleId="Heading8Char">
    <w:name w:val="Heading 8 Char"/>
    <w:basedOn w:val="DefaultParagraphFont"/>
    <w:link w:val="Heading8"/>
    <w:rsid w:val="00821CB7"/>
    <w:rPr>
      <w:rFonts w:ascii="Arial" w:eastAsia="Times New Roman" w:hAnsi="Arial" w:cs="Times New Roman"/>
      <w:i/>
      <w:sz w:val="24"/>
      <w:szCs w:val="20"/>
      <w:lang w:val="en-US" w:eastAsia="en-US"/>
    </w:rPr>
  </w:style>
  <w:style w:type="character" w:customStyle="1" w:styleId="Heading9Char">
    <w:name w:val="Heading 9 Char"/>
    <w:basedOn w:val="DefaultParagraphFont"/>
    <w:link w:val="Heading9"/>
    <w:rsid w:val="00821CB7"/>
    <w:rPr>
      <w:rFonts w:ascii="Arial" w:eastAsia="Times New Roman" w:hAnsi="Arial" w:cs="Times New Roman"/>
      <w:b/>
      <w:i/>
      <w:sz w:val="18"/>
      <w:szCs w:val="20"/>
      <w:lang w:val="en-US" w:eastAsia="en-US"/>
    </w:rPr>
  </w:style>
  <w:style w:type="paragraph" w:customStyle="1" w:styleId="Newpage">
    <w:name w:val="Newpage"/>
    <w:basedOn w:val="Normal"/>
    <w:uiPriority w:val="99"/>
    <w:rsid w:val="00821CB7"/>
    <w:pPr>
      <w:tabs>
        <w:tab w:val="left" w:pos="3060"/>
      </w:tabs>
      <w:spacing w:after="0" w:line="240" w:lineRule="auto"/>
      <w:jc w:val="center"/>
    </w:pPr>
    <w:rPr>
      <w:rFonts w:ascii="Times New Roman" w:eastAsia="Times New Roman" w:hAnsi="Times New Roman" w:cs="Times New Roman"/>
      <w:b/>
      <w:smallCaps/>
      <w:sz w:val="24"/>
      <w:szCs w:val="20"/>
      <w:lang w:val="es-ES" w:eastAsia="en-US"/>
    </w:rPr>
  </w:style>
  <w:style w:type="paragraph" w:customStyle="1" w:styleId="Default">
    <w:name w:val="Default"/>
    <w:rsid w:val="003347D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347D8"/>
    <w:pPr>
      <w:ind w:left="720"/>
      <w:contextualSpacing/>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21CB7"/>
    <w:pPr>
      <w:keepNext/>
      <w:numPr>
        <w:numId w:val="3"/>
      </w:numPr>
      <w:spacing w:before="240" w:after="60" w:line="240" w:lineRule="auto"/>
      <w:outlineLvl w:val="0"/>
    </w:pPr>
    <w:rPr>
      <w:rFonts w:ascii="Times New Roman" w:eastAsia="Times New Roman" w:hAnsi="Times New Roman" w:cs="Times New Roman"/>
      <w:b/>
      <w:kern w:val="28"/>
      <w:sz w:val="24"/>
      <w:szCs w:val="20"/>
      <w:lang w:val="en-US" w:eastAsia="en-US"/>
    </w:rPr>
  </w:style>
  <w:style w:type="paragraph" w:styleId="Heading3">
    <w:name w:val="heading 3"/>
    <w:basedOn w:val="Normal"/>
    <w:next w:val="Normal"/>
    <w:link w:val="Heading3Char"/>
    <w:qFormat/>
    <w:rsid w:val="00821CB7"/>
    <w:pPr>
      <w:keepNext/>
      <w:numPr>
        <w:ilvl w:val="2"/>
        <w:numId w:val="3"/>
      </w:numPr>
      <w:spacing w:before="240" w:after="60" w:line="240" w:lineRule="auto"/>
      <w:outlineLvl w:val="2"/>
    </w:pPr>
    <w:rPr>
      <w:rFonts w:ascii="Arial" w:eastAsia="Times New Roman" w:hAnsi="Arial" w:cs="Times New Roman"/>
      <w:sz w:val="24"/>
      <w:szCs w:val="20"/>
      <w:lang w:val="en-US" w:eastAsia="en-US"/>
    </w:rPr>
  </w:style>
  <w:style w:type="paragraph" w:styleId="Heading4">
    <w:name w:val="heading 4"/>
    <w:basedOn w:val="Normal"/>
    <w:next w:val="Normal"/>
    <w:link w:val="Heading4Char"/>
    <w:qFormat/>
    <w:rsid w:val="00821CB7"/>
    <w:pPr>
      <w:keepNext/>
      <w:numPr>
        <w:ilvl w:val="3"/>
        <w:numId w:val="3"/>
      </w:numPr>
      <w:spacing w:before="240" w:after="60" w:line="240" w:lineRule="auto"/>
      <w:outlineLvl w:val="3"/>
    </w:pPr>
    <w:rPr>
      <w:rFonts w:ascii="Arial" w:eastAsia="Times New Roman" w:hAnsi="Arial" w:cs="Times New Roman"/>
      <w:b/>
      <w:sz w:val="24"/>
      <w:szCs w:val="20"/>
      <w:lang w:val="en-US" w:eastAsia="en-US"/>
    </w:rPr>
  </w:style>
  <w:style w:type="paragraph" w:styleId="Heading5">
    <w:name w:val="heading 5"/>
    <w:basedOn w:val="Normal"/>
    <w:next w:val="Normal"/>
    <w:link w:val="Heading5Char"/>
    <w:qFormat/>
    <w:rsid w:val="00821CB7"/>
    <w:pPr>
      <w:numPr>
        <w:ilvl w:val="4"/>
        <w:numId w:val="3"/>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821CB7"/>
    <w:pPr>
      <w:numPr>
        <w:ilvl w:val="5"/>
        <w:numId w:val="3"/>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821CB7"/>
    <w:pPr>
      <w:numPr>
        <w:ilvl w:val="6"/>
        <w:numId w:val="3"/>
      </w:numPr>
      <w:spacing w:before="240" w:after="60" w:line="240" w:lineRule="auto"/>
      <w:outlineLvl w:val="6"/>
    </w:pPr>
    <w:rPr>
      <w:rFonts w:ascii="Arial" w:eastAsia="Times New Roman" w:hAnsi="Arial" w:cs="Times New Roman"/>
      <w:sz w:val="24"/>
      <w:szCs w:val="20"/>
      <w:lang w:val="en-US" w:eastAsia="en-US"/>
    </w:rPr>
  </w:style>
  <w:style w:type="paragraph" w:styleId="Heading8">
    <w:name w:val="heading 8"/>
    <w:basedOn w:val="Normal"/>
    <w:next w:val="Normal"/>
    <w:link w:val="Heading8Char"/>
    <w:qFormat/>
    <w:rsid w:val="00821CB7"/>
    <w:pPr>
      <w:numPr>
        <w:ilvl w:val="7"/>
        <w:numId w:val="3"/>
      </w:numPr>
      <w:spacing w:before="240" w:after="60" w:line="240" w:lineRule="auto"/>
      <w:outlineLvl w:val="7"/>
    </w:pPr>
    <w:rPr>
      <w:rFonts w:ascii="Arial" w:eastAsia="Times New Roman" w:hAnsi="Arial" w:cs="Times New Roman"/>
      <w:i/>
      <w:sz w:val="24"/>
      <w:szCs w:val="20"/>
      <w:lang w:val="en-US" w:eastAsia="en-US"/>
    </w:rPr>
  </w:style>
  <w:style w:type="paragraph" w:styleId="Heading9">
    <w:name w:val="heading 9"/>
    <w:basedOn w:val="Normal"/>
    <w:next w:val="Normal"/>
    <w:link w:val="Heading9Char"/>
    <w:qFormat/>
    <w:rsid w:val="00821CB7"/>
    <w:pPr>
      <w:numPr>
        <w:ilvl w:val="8"/>
        <w:numId w:val="3"/>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EE0"/>
    <w:rPr>
      <w:sz w:val="20"/>
      <w:szCs w:val="20"/>
    </w:rPr>
  </w:style>
  <w:style w:type="character" w:styleId="FootnoteReference">
    <w:name w:val="footnote reference"/>
    <w:basedOn w:val="DefaultParagraphFont"/>
    <w:uiPriority w:val="99"/>
    <w:semiHidden/>
    <w:unhideWhenUsed/>
    <w:rsid w:val="007B7EE0"/>
    <w:rPr>
      <w:vertAlign w:val="superscript"/>
    </w:rPr>
  </w:style>
  <w:style w:type="table" w:styleId="TableGrid">
    <w:name w:val="Table Grid"/>
    <w:basedOn w:val="TableNormal"/>
    <w:uiPriority w:val="59"/>
    <w:rsid w:val="00F0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7761FC"/>
    <w:pPr>
      <w:numPr>
        <w:numId w:val="1"/>
      </w:numPr>
      <w:tabs>
        <w:tab w:val="left" w:pos="1440"/>
      </w:tabs>
      <w:spacing w:after="240" w:line="240" w:lineRule="auto"/>
      <w:jc w:val="center"/>
    </w:pPr>
    <w:rPr>
      <w:rFonts w:ascii="Times New Roman" w:eastAsia="Times New Roman" w:hAnsi="Times New Roman" w:cs="Times New Roman"/>
      <w:b/>
      <w:smallCaps/>
      <w:sz w:val="24"/>
      <w:szCs w:val="20"/>
      <w:lang w:val="es-ES_tradnl" w:eastAsia="en-US"/>
    </w:rPr>
  </w:style>
  <w:style w:type="paragraph" w:customStyle="1" w:styleId="Paragraph">
    <w:name w:val="Paragraph"/>
    <w:basedOn w:val="BodyTextIndent"/>
    <w:link w:val="ParagraphChar"/>
    <w:rsid w:val="007761FC"/>
    <w:pPr>
      <w:numPr>
        <w:ilvl w:val="1"/>
        <w:numId w:val="1"/>
      </w:numPr>
      <w:spacing w:before="120" w:line="240" w:lineRule="auto"/>
      <w:jc w:val="both"/>
      <w:outlineLvl w:val="1"/>
    </w:pPr>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7761FC"/>
    <w:pPr>
      <w:numPr>
        <w:ilvl w:val="2"/>
        <w:numId w:val="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7761FC"/>
    <w:pPr>
      <w:numPr>
        <w:ilvl w:val="3"/>
      </w:numPr>
      <w:tabs>
        <w:tab w:val="clear" w:pos="1584"/>
        <w:tab w:val="left" w:pos="0"/>
        <w:tab w:val="num" w:pos="360"/>
      </w:tabs>
    </w:pPr>
  </w:style>
  <w:style w:type="character" w:customStyle="1" w:styleId="ParagraphChar">
    <w:name w:val="Paragraph Char"/>
    <w:basedOn w:val="BodyTextIndentChar"/>
    <w:link w:val="Paragraph"/>
    <w:rsid w:val="007761FC"/>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7761FC"/>
    <w:pPr>
      <w:spacing w:after="120"/>
      <w:ind w:left="360"/>
    </w:pPr>
  </w:style>
  <w:style w:type="character" w:customStyle="1" w:styleId="BodyTextIndentChar">
    <w:name w:val="Body Text Indent Char"/>
    <w:basedOn w:val="DefaultParagraphFont"/>
    <w:link w:val="BodyTextIndent"/>
    <w:uiPriority w:val="99"/>
    <w:semiHidden/>
    <w:rsid w:val="007761FC"/>
  </w:style>
  <w:style w:type="paragraph" w:styleId="BodyTextIndent3">
    <w:name w:val="Body Text Indent 3"/>
    <w:basedOn w:val="Normal"/>
    <w:link w:val="BodyTextIndent3Char"/>
    <w:uiPriority w:val="99"/>
    <w:semiHidden/>
    <w:unhideWhenUsed/>
    <w:rsid w:val="007761F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761FC"/>
    <w:rPr>
      <w:sz w:val="16"/>
      <w:szCs w:val="16"/>
    </w:rPr>
  </w:style>
  <w:style w:type="paragraph" w:customStyle="1" w:styleId="Regtable">
    <w:name w:val="Regtable"/>
    <w:link w:val="RegtableChar"/>
    <w:rsid w:val="002A2779"/>
    <w:pPr>
      <w:keepLines/>
      <w:spacing w:before="20" w:after="20" w:line="240" w:lineRule="auto"/>
    </w:pPr>
    <w:rPr>
      <w:rFonts w:ascii="Times New Roman" w:eastAsia="Times New Roman" w:hAnsi="Times New Roman" w:cs="Times New Roman"/>
      <w:noProof/>
      <w:sz w:val="20"/>
      <w:szCs w:val="20"/>
      <w:lang w:val="en-US" w:eastAsia="en-US"/>
    </w:rPr>
  </w:style>
  <w:style w:type="character" w:customStyle="1" w:styleId="RegtableChar">
    <w:name w:val="Regtable Char"/>
    <w:link w:val="Regtable"/>
    <w:rsid w:val="002A2779"/>
    <w:rPr>
      <w:rFonts w:ascii="Times New Roman" w:eastAsia="Times New Roman" w:hAnsi="Times New Roman" w:cs="Times New Roman"/>
      <w:noProof/>
      <w:sz w:val="20"/>
      <w:szCs w:val="20"/>
      <w:lang w:val="en-US" w:eastAsia="en-US"/>
    </w:rPr>
  </w:style>
  <w:style w:type="paragraph" w:styleId="BalloonText">
    <w:name w:val="Balloon Text"/>
    <w:basedOn w:val="Normal"/>
    <w:link w:val="BalloonTextChar"/>
    <w:uiPriority w:val="99"/>
    <w:semiHidden/>
    <w:unhideWhenUsed/>
    <w:rsid w:val="002A2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779"/>
    <w:rPr>
      <w:rFonts w:ascii="Tahoma" w:hAnsi="Tahoma" w:cs="Tahoma"/>
      <w:sz w:val="16"/>
      <w:szCs w:val="16"/>
    </w:rPr>
  </w:style>
  <w:style w:type="paragraph" w:styleId="Header">
    <w:name w:val="header"/>
    <w:basedOn w:val="Normal"/>
    <w:link w:val="HeaderChar"/>
    <w:uiPriority w:val="99"/>
    <w:unhideWhenUsed/>
    <w:rsid w:val="00235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347"/>
  </w:style>
  <w:style w:type="paragraph" w:styleId="Footer">
    <w:name w:val="footer"/>
    <w:basedOn w:val="Normal"/>
    <w:link w:val="FooterChar"/>
    <w:uiPriority w:val="99"/>
    <w:unhideWhenUsed/>
    <w:rsid w:val="00235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347"/>
  </w:style>
  <w:style w:type="character" w:customStyle="1" w:styleId="Heading1Char">
    <w:name w:val="Heading 1 Char"/>
    <w:basedOn w:val="DefaultParagraphFont"/>
    <w:link w:val="Heading1"/>
    <w:rsid w:val="00821CB7"/>
    <w:rPr>
      <w:rFonts w:ascii="Times New Roman" w:eastAsia="Times New Roman" w:hAnsi="Times New Roman" w:cs="Times New Roman"/>
      <w:b/>
      <w:kern w:val="28"/>
      <w:sz w:val="24"/>
      <w:szCs w:val="20"/>
      <w:lang w:val="en-US" w:eastAsia="en-US"/>
    </w:rPr>
  </w:style>
  <w:style w:type="character" w:customStyle="1" w:styleId="Heading3Char">
    <w:name w:val="Heading 3 Char"/>
    <w:basedOn w:val="DefaultParagraphFont"/>
    <w:link w:val="Heading3"/>
    <w:rsid w:val="00821CB7"/>
    <w:rPr>
      <w:rFonts w:ascii="Arial" w:eastAsia="Times New Roman" w:hAnsi="Arial" w:cs="Times New Roman"/>
      <w:sz w:val="24"/>
      <w:szCs w:val="20"/>
      <w:lang w:val="en-US" w:eastAsia="en-US"/>
    </w:rPr>
  </w:style>
  <w:style w:type="character" w:customStyle="1" w:styleId="Heading4Char">
    <w:name w:val="Heading 4 Char"/>
    <w:basedOn w:val="DefaultParagraphFont"/>
    <w:link w:val="Heading4"/>
    <w:rsid w:val="00821CB7"/>
    <w:rPr>
      <w:rFonts w:ascii="Arial" w:eastAsia="Times New Roman" w:hAnsi="Arial" w:cs="Times New Roman"/>
      <w:b/>
      <w:sz w:val="24"/>
      <w:szCs w:val="20"/>
      <w:lang w:val="en-US" w:eastAsia="en-US"/>
    </w:rPr>
  </w:style>
  <w:style w:type="character" w:customStyle="1" w:styleId="Heading5Char">
    <w:name w:val="Heading 5 Char"/>
    <w:basedOn w:val="DefaultParagraphFont"/>
    <w:link w:val="Heading5"/>
    <w:rsid w:val="00821CB7"/>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821CB7"/>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821CB7"/>
    <w:rPr>
      <w:rFonts w:ascii="Arial" w:eastAsia="Times New Roman" w:hAnsi="Arial" w:cs="Times New Roman"/>
      <w:sz w:val="24"/>
      <w:szCs w:val="20"/>
      <w:lang w:val="en-US" w:eastAsia="en-US"/>
    </w:rPr>
  </w:style>
  <w:style w:type="character" w:customStyle="1" w:styleId="Heading8Char">
    <w:name w:val="Heading 8 Char"/>
    <w:basedOn w:val="DefaultParagraphFont"/>
    <w:link w:val="Heading8"/>
    <w:rsid w:val="00821CB7"/>
    <w:rPr>
      <w:rFonts w:ascii="Arial" w:eastAsia="Times New Roman" w:hAnsi="Arial" w:cs="Times New Roman"/>
      <w:i/>
      <w:sz w:val="24"/>
      <w:szCs w:val="20"/>
      <w:lang w:val="en-US" w:eastAsia="en-US"/>
    </w:rPr>
  </w:style>
  <w:style w:type="character" w:customStyle="1" w:styleId="Heading9Char">
    <w:name w:val="Heading 9 Char"/>
    <w:basedOn w:val="DefaultParagraphFont"/>
    <w:link w:val="Heading9"/>
    <w:rsid w:val="00821CB7"/>
    <w:rPr>
      <w:rFonts w:ascii="Arial" w:eastAsia="Times New Roman" w:hAnsi="Arial" w:cs="Times New Roman"/>
      <w:b/>
      <w:i/>
      <w:sz w:val="18"/>
      <w:szCs w:val="20"/>
      <w:lang w:val="en-US" w:eastAsia="en-US"/>
    </w:rPr>
  </w:style>
  <w:style w:type="paragraph" w:customStyle="1" w:styleId="Newpage">
    <w:name w:val="Newpage"/>
    <w:basedOn w:val="Normal"/>
    <w:uiPriority w:val="99"/>
    <w:rsid w:val="00821CB7"/>
    <w:pPr>
      <w:tabs>
        <w:tab w:val="left" w:pos="3060"/>
      </w:tabs>
      <w:spacing w:after="0" w:line="240" w:lineRule="auto"/>
      <w:jc w:val="center"/>
    </w:pPr>
    <w:rPr>
      <w:rFonts w:ascii="Times New Roman" w:eastAsia="Times New Roman" w:hAnsi="Times New Roman" w:cs="Times New Roman"/>
      <w:b/>
      <w:smallCaps/>
      <w:sz w:val="24"/>
      <w:szCs w:val="20"/>
      <w:lang w:val="es-ES" w:eastAsia="en-US"/>
    </w:rPr>
  </w:style>
  <w:style w:type="paragraph" w:customStyle="1" w:styleId="Default">
    <w:name w:val="Default"/>
    <w:rsid w:val="003347D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347D8"/>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39115948</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Pablo Marcelo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UR-L1106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CE-APO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87999E84451634A9B164DECBA72C60A" ma:contentTypeVersion="0" ma:contentTypeDescription="A content type to manage public (operations) IDB documents" ma:contentTypeScope="" ma:versionID="d95bbb1026d74b977ce269aea7e5da10">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746AC000-547D-4633-8C1A-BEDEE1C79E67}"/>
</file>

<file path=customXml/itemProps2.xml><?xml version="1.0" encoding="utf-8"?>
<ds:datastoreItem xmlns:ds="http://schemas.openxmlformats.org/officeDocument/2006/customXml" ds:itemID="{F02AFACE-E110-48E0-8144-7597C1689CF0}"/>
</file>

<file path=customXml/itemProps3.xml><?xml version="1.0" encoding="utf-8"?>
<ds:datastoreItem xmlns:ds="http://schemas.openxmlformats.org/officeDocument/2006/customXml" ds:itemID="{830866BA-36E6-4BF4-9A6B-639B8DA55F4C}"/>
</file>

<file path=customXml/itemProps4.xml><?xml version="1.0" encoding="utf-8"?>
<ds:datastoreItem xmlns:ds="http://schemas.openxmlformats.org/officeDocument/2006/customXml" ds:itemID="{853471C4-46B2-4864-82A8-88707B280CDB}"/>
</file>

<file path=customXml/itemProps5.xml><?xml version="1.0" encoding="utf-8"?>
<ds:datastoreItem xmlns:ds="http://schemas.openxmlformats.org/officeDocument/2006/customXml" ds:itemID="{A2141128-612A-4371-9EA7-5B819DA65A80}"/>
</file>

<file path=customXml/itemProps6.xml><?xml version="1.0" encoding="utf-8"?>
<ds:datastoreItem xmlns:ds="http://schemas.openxmlformats.org/officeDocument/2006/customXml" ds:itemID="{C7BCDE09-363E-49B3-BA68-D5E33E3E991B}"/>
</file>

<file path=docProps/app.xml><?xml version="1.0" encoding="utf-8"?>
<Properties xmlns="http://schemas.openxmlformats.org/officeDocument/2006/extended-properties" xmlns:vt="http://schemas.openxmlformats.org/officeDocument/2006/docPropsVTypes">
  <Template>Normal.dotm</Template>
  <TotalTime>2</TotalTime>
  <Pages>12</Pages>
  <Words>4466</Words>
  <Characters>25462</Characters>
  <Application>Microsoft Office Word</Application>
  <DocSecurity>4</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UR-L1106</dc:title>
  <dc:creator>Fiore</dc:creator>
  <cp:lastModifiedBy>Test</cp:lastModifiedBy>
  <cp:revision>2</cp:revision>
  <cp:lastPrinted>2012-11-28T22:08:00Z</cp:lastPrinted>
  <dcterms:created xsi:type="dcterms:W3CDTF">2014-10-06T17:49:00Z</dcterms:created>
  <dcterms:modified xsi:type="dcterms:W3CDTF">2014-10-06T17:49:00Z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0x01010046CF21643EE8D14686A648AA6DAD089200F87999E84451634A9B164DECBA72C60A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