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F0419" w14:textId="77777777" w:rsidR="006D4785" w:rsidRPr="00101CBC" w:rsidRDefault="006D4785" w:rsidP="006D4785">
      <w:pPr>
        <w:rPr>
          <w:rFonts w:ascii="Calibri" w:eastAsia="Calibri" w:hAnsi="Calibri"/>
          <w:noProof/>
          <w:color w:val="000000"/>
        </w:rPr>
      </w:pPr>
      <w:bookmarkStart w:id="0" w:name="_GoBack"/>
      <w:bookmarkEnd w:id="0"/>
      <w:r w:rsidRPr="00101CBC">
        <w:rPr>
          <w:rFonts w:ascii="Calibri" w:eastAsia="Calibri" w:hAnsi="Calibri"/>
          <w:noProof/>
        </w:rPr>
        <w:drawing>
          <wp:anchor distT="0" distB="0" distL="114300" distR="114300" simplePos="0" relativeHeight="251660288" behindDoc="0" locked="0" layoutInCell="1" allowOverlap="1" wp14:anchorId="55590580" wp14:editId="5334D4C4">
            <wp:simplePos x="0" y="0"/>
            <wp:positionH relativeFrom="margin">
              <wp:posOffset>4010025</wp:posOffset>
            </wp:positionH>
            <wp:positionV relativeFrom="margin">
              <wp:posOffset>323850</wp:posOffset>
            </wp:positionV>
            <wp:extent cx="1935480" cy="857250"/>
            <wp:effectExtent l="0" t="0" r="0" b="0"/>
            <wp:wrapSquare wrapText="bothSides"/>
            <wp:docPr id="4" name="Picture 16" descr="Description: C:\Users\bvirtue\AppData\Local\Temp\notes65ABD8\~46814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escription: C:\Users\bvirtue\AppData\Local\Temp\notes65ABD8\~468149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3D23C5" w14:textId="77777777" w:rsidR="006D4785" w:rsidRPr="00101CBC" w:rsidRDefault="006D4785" w:rsidP="006D4785">
      <w:pPr>
        <w:rPr>
          <w:rFonts w:ascii="Calibri" w:eastAsia="Calibri" w:hAnsi="Calibri"/>
          <w:noProof/>
          <w:color w:val="000000"/>
        </w:rPr>
      </w:pPr>
      <w:r w:rsidRPr="00101CBC">
        <w:rPr>
          <w:rFonts w:ascii="Calibri" w:eastAsia="Calibri" w:hAnsi="Calibri"/>
          <w:noProof/>
          <w:color w:val="000000"/>
        </w:rPr>
        <w:t xml:space="preserve">    </w:t>
      </w:r>
      <w:r w:rsidRPr="00101CBC">
        <w:rPr>
          <w:rFonts w:ascii="Calibri" w:eastAsia="Calibri" w:hAnsi="Calibri"/>
          <w:noProof/>
          <w:color w:val="000000"/>
        </w:rPr>
        <w:drawing>
          <wp:inline distT="0" distB="0" distL="0" distR="0" wp14:anchorId="2CD3582B" wp14:editId="42EA31DA">
            <wp:extent cx="1628775" cy="885825"/>
            <wp:effectExtent l="0" t="0" r="0" b="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1CBC">
        <w:rPr>
          <w:rFonts w:ascii="Calibri" w:eastAsia="Calibri" w:hAnsi="Calibri"/>
          <w:noProof/>
          <w:color w:val="000000"/>
        </w:rPr>
        <w:t xml:space="preserve">                </w:t>
      </w:r>
      <w:r w:rsidRPr="00101CBC">
        <w:rPr>
          <w:rFonts w:ascii="Calibri" w:eastAsia="Calibri" w:hAnsi="Calibri"/>
          <w:noProof/>
          <w:color w:val="000000"/>
        </w:rPr>
        <w:drawing>
          <wp:inline distT="0" distB="0" distL="0" distR="0" wp14:anchorId="2D8755EF" wp14:editId="3BF86E38">
            <wp:extent cx="1476375" cy="828675"/>
            <wp:effectExtent l="0" t="0" r="0" b="0"/>
            <wp:docPr id="7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/>
          <w:noProof/>
          <w:color w:val="000000"/>
        </w:rPr>
        <w:t xml:space="preserve">            </w:t>
      </w:r>
    </w:p>
    <w:p w14:paraId="169243F7" w14:textId="77777777" w:rsidR="006D4785" w:rsidRDefault="006D4785" w:rsidP="00706A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4616E7" w14:textId="77777777" w:rsidR="006D4785" w:rsidRDefault="006D4785" w:rsidP="00706A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E949ED" w14:textId="77777777" w:rsidR="00706A04" w:rsidRPr="00706A04" w:rsidRDefault="00E33839" w:rsidP="00706A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GENERAL </w:t>
      </w:r>
      <w:r w:rsidR="00706A04" w:rsidRPr="00706A04">
        <w:rPr>
          <w:rFonts w:ascii="Times New Roman" w:hAnsi="Times New Roman" w:cs="Times New Roman"/>
          <w:b/>
          <w:bCs/>
          <w:sz w:val="24"/>
          <w:szCs w:val="24"/>
        </w:rPr>
        <w:t xml:space="preserve">PROCUREMENT NOTICE </w:t>
      </w:r>
    </w:p>
    <w:p w14:paraId="03C5D0CF" w14:textId="77777777" w:rsidR="00706A04" w:rsidRPr="00706A04" w:rsidRDefault="00706A04" w:rsidP="00706A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6E84228" w14:textId="77777777" w:rsidR="00706A04" w:rsidRPr="00706A04" w:rsidRDefault="00706A04" w:rsidP="00706A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73ED1C6" w14:textId="77777777" w:rsidR="00C55B0D" w:rsidRDefault="00706A04" w:rsidP="00706A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"/>
          <w:sz w:val="24"/>
        </w:rPr>
      </w:pPr>
      <w:r w:rsidRPr="00706A04">
        <w:rPr>
          <w:rFonts w:ascii="Times New Roman" w:hAnsi="Times New Roman" w:cs="Times New Roman"/>
          <w:sz w:val="24"/>
          <w:szCs w:val="24"/>
        </w:rPr>
        <w:t xml:space="preserve">Institution: </w:t>
      </w:r>
      <w:r w:rsidR="00C55B0D">
        <w:rPr>
          <w:rFonts w:ascii="Times New Roman" w:hAnsi="Times New Roman"/>
          <w:spacing w:val="-2"/>
          <w:sz w:val="24"/>
        </w:rPr>
        <w:t xml:space="preserve">Inter-American Development Bank </w:t>
      </w:r>
    </w:p>
    <w:p w14:paraId="30025938" w14:textId="77777777" w:rsidR="00706A04" w:rsidRPr="00706A04" w:rsidRDefault="00706A04" w:rsidP="00706A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A04">
        <w:rPr>
          <w:rFonts w:ascii="Times New Roman" w:hAnsi="Times New Roman" w:cs="Times New Roman"/>
          <w:sz w:val="24"/>
          <w:szCs w:val="24"/>
        </w:rPr>
        <w:t xml:space="preserve">Country: </w:t>
      </w:r>
      <w:r w:rsidR="00C55B0D">
        <w:rPr>
          <w:rFonts w:ascii="Times New Roman" w:hAnsi="Times New Roman" w:cs="Times New Roman"/>
          <w:sz w:val="24"/>
          <w:szCs w:val="24"/>
        </w:rPr>
        <w:t xml:space="preserve">Jamaica </w:t>
      </w:r>
    </w:p>
    <w:p w14:paraId="65258D56" w14:textId="77777777" w:rsidR="00706A04" w:rsidRPr="00C55B0D" w:rsidRDefault="00706A04" w:rsidP="00706A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A04">
        <w:rPr>
          <w:rFonts w:ascii="Times New Roman" w:hAnsi="Times New Roman" w:cs="Times New Roman"/>
          <w:sz w:val="24"/>
          <w:szCs w:val="24"/>
        </w:rPr>
        <w:t xml:space="preserve">Project: </w:t>
      </w:r>
      <w:r w:rsidR="00C55B0D" w:rsidRPr="00C55B0D">
        <w:rPr>
          <w:rFonts w:ascii="Times New Roman" w:hAnsi="Times New Roman" w:cs="Times New Roman"/>
          <w:sz w:val="24"/>
          <w:szCs w:val="24"/>
        </w:rPr>
        <w:t xml:space="preserve">Boosting Innovation Growth and Entrepreneurship Ecosystems (BIGEE) </w:t>
      </w:r>
      <w:r w:rsidR="00C55B0D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="00E31684">
        <w:rPr>
          <w:rFonts w:ascii="Times New Roman" w:hAnsi="Times New Roman" w:cs="Times New Roman"/>
          <w:i/>
          <w:iCs/>
          <w:sz w:val="24"/>
          <w:szCs w:val="24"/>
        </w:rPr>
        <w:t>roject</w:t>
      </w:r>
    </w:p>
    <w:p w14:paraId="6CAC0DD5" w14:textId="77777777" w:rsidR="00706A04" w:rsidRPr="00706A04" w:rsidRDefault="00706A04" w:rsidP="00706A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A04">
        <w:rPr>
          <w:rFonts w:ascii="Times New Roman" w:hAnsi="Times New Roman" w:cs="Times New Roman"/>
          <w:sz w:val="24"/>
          <w:szCs w:val="24"/>
        </w:rPr>
        <w:t>Sector:</w:t>
      </w:r>
      <w:r w:rsidR="004A783C" w:rsidRPr="004A783C">
        <w:rPr>
          <w:rFonts w:ascii="Times New Roman" w:hAnsi="Times New Roman" w:cs="Times New Roman"/>
          <w:sz w:val="24"/>
          <w:szCs w:val="24"/>
        </w:rPr>
        <w:t xml:space="preserve"> </w:t>
      </w:r>
      <w:r w:rsidR="00C55B0D">
        <w:rPr>
          <w:rFonts w:ascii="Times New Roman" w:hAnsi="Times New Roman" w:cs="Times New Roman"/>
          <w:sz w:val="24"/>
          <w:szCs w:val="24"/>
        </w:rPr>
        <w:t xml:space="preserve">Public </w:t>
      </w:r>
    </w:p>
    <w:p w14:paraId="1F9B8C4F" w14:textId="5B1B125C" w:rsidR="00706A04" w:rsidRPr="00706A04" w:rsidRDefault="00706A04" w:rsidP="00706A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A04">
        <w:rPr>
          <w:rFonts w:ascii="Times New Roman" w:hAnsi="Times New Roman" w:cs="Times New Roman"/>
          <w:sz w:val="24"/>
          <w:szCs w:val="24"/>
        </w:rPr>
        <w:t>Abstract:</w:t>
      </w:r>
      <w:r w:rsidR="002A3E00">
        <w:rPr>
          <w:rFonts w:ascii="Times New Roman" w:hAnsi="Times New Roman" w:cs="Times New Roman"/>
          <w:sz w:val="24"/>
          <w:szCs w:val="24"/>
        </w:rPr>
        <w:t xml:space="preserve"> Procurement of Goods, Related Services and Consulting Services under the BIGEE Project </w:t>
      </w:r>
      <w:r w:rsidRPr="00706A0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6263C7" w14:textId="77777777" w:rsidR="00C55B0D" w:rsidRPr="00C55B0D" w:rsidRDefault="00C55B0D" w:rsidP="00C55B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Loan</w:t>
      </w:r>
      <w:r w:rsidR="00706A04" w:rsidRPr="00706A04">
        <w:rPr>
          <w:rFonts w:ascii="Times New Roman" w:hAnsi="Times New Roman" w:cs="Times New Roman"/>
          <w:sz w:val="24"/>
          <w:szCs w:val="24"/>
        </w:rPr>
        <w:t>.</w:t>
      </w:r>
      <w:r w:rsidR="00284B4F">
        <w:rPr>
          <w:rFonts w:ascii="Times New Roman" w:hAnsi="Times New Roman" w:cs="Times New Roman"/>
          <w:sz w:val="24"/>
          <w:szCs w:val="24"/>
        </w:rPr>
        <w:t xml:space="preserve">: </w:t>
      </w:r>
      <w:r w:rsidRPr="00C55B0D">
        <w:rPr>
          <w:rFonts w:ascii="Times New Roman" w:hAnsi="Times New Roman" w:cs="Times New Roman"/>
          <w:b/>
          <w:sz w:val="24"/>
          <w:szCs w:val="24"/>
        </w:rPr>
        <w:t>JA-O0010/JA-L1085</w:t>
      </w:r>
    </w:p>
    <w:p w14:paraId="02795BFF" w14:textId="77777777" w:rsidR="00706A04" w:rsidRPr="00706A04" w:rsidRDefault="00706A04" w:rsidP="00706A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CAE8A2" w14:textId="77777777" w:rsidR="00E33839" w:rsidRDefault="00E33839" w:rsidP="00E33839">
      <w:pPr>
        <w:suppressAutoHyphens/>
        <w:jc w:val="both"/>
        <w:rPr>
          <w:rFonts w:ascii="Times New Roman" w:hAnsi="Times New Roman"/>
          <w:spacing w:val="-2"/>
          <w:sz w:val="24"/>
        </w:rPr>
      </w:pPr>
      <w:r>
        <w:rPr>
          <w:rFonts w:ascii="Times New Roman" w:hAnsi="Times New Roman"/>
          <w:spacing w:val="-2"/>
          <w:sz w:val="24"/>
        </w:rPr>
        <w:t xml:space="preserve">The </w:t>
      </w:r>
      <w:r w:rsidR="00524AA5">
        <w:rPr>
          <w:rFonts w:ascii="Times New Roman" w:hAnsi="Times New Roman"/>
          <w:spacing w:val="-2"/>
          <w:sz w:val="24"/>
        </w:rPr>
        <w:t xml:space="preserve">Development Bank of Jamaica Limited </w:t>
      </w:r>
      <w:r w:rsidRPr="00E31684">
        <w:rPr>
          <w:rFonts w:ascii="Times New Roman" w:hAnsi="Times New Roman"/>
          <w:spacing w:val="-2"/>
          <w:sz w:val="24"/>
        </w:rPr>
        <w:t xml:space="preserve">has </w:t>
      </w:r>
      <w:r w:rsidR="00524AA5" w:rsidRPr="00E31684">
        <w:rPr>
          <w:rFonts w:ascii="Times New Roman" w:hAnsi="Times New Roman"/>
          <w:spacing w:val="-2"/>
          <w:sz w:val="24"/>
        </w:rPr>
        <w:t xml:space="preserve">received </w:t>
      </w:r>
      <w:r>
        <w:rPr>
          <w:rFonts w:ascii="Times New Roman" w:hAnsi="Times New Roman"/>
          <w:spacing w:val="-2"/>
          <w:sz w:val="24"/>
        </w:rPr>
        <w:t xml:space="preserve">financing in the amount equivalent to US </w:t>
      </w:r>
      <w:r w:rsidR="00524AA5">
        <w:rPr>
          <w:rFonts w:ascii="Times New Roman" w:hAnsi="Times New Roman"/>
          <w:spacing w:val="-2"/>
          <w:sz w:val="24"/>
        </w:rPr>
        <w:t xml:space="preserve">$ </w:t>
      </w:r>
      <w:r w:rsidR="00524AA5" w:rsidRPr="00E31684">
        <w:rPr>
          <w:rFonts w:ascii="Times New Roman" w:hAnsi="Times New Roman"/>
          <w:spacing w:val="-2"/>
          <w:sz w:val="24"/>
        </w:rPr>
        <w:t>25</w:t>
      </w:r>
      <w:r w:rsidR="00E31684" w:rsidRPr="00E31684">
        <w:rPr>
          <w:rFonts w:ascii="Times New Roman" w:hAnsi="Times New Roman"/>
          <w:spacing w:val="-2"/>
          <w:sz w:val="24"/>
        </w:rPr>
        <w:t xml:space="preserve"> </w:t>
      </w:r>
      <w:r w:rsidR="00CD4D8E">
        <w:rPr>
          <w:rFonts w:ascii="Times New Roman" w:hAnsi="Times New Roman"/>
          <w:spacing w:val="-2"/>
          <w:sz w:val="24"/>
        </w:rPr>
        <w:t>m</w:t>
      </w:r>
      <w:r w:rsidR="00524AA5" w:rsidRPr="00E31684">
        <w:rPr>
          <w:rFonts w:ascii="Times New Roman" w:hAnsi="Times New Roman"/>
          <w:spacing w:val="-2"/>
          <w:sz w:val="24"/>
        </w:rPr>
        <w:t xml:space="preserve">illion </w:t>
      </w:r>
      <w:r>
        <w:rPr>
          <w:rFonts w:ascii="Times New Roman" w:hAnsi="Times New Roman"/>
          <w:spacing w:val="-2"/>
          <w:sz w:val="24"/>
        </w:rPr>
        <w:t>from</w:t>
      </w:r>
      <w:r w:rsidR="00E31684">
        <w:rPr>
          <w:rFonts w:ascii="Times New Roman" w:hAnsi="Times New Roman"/>
          <w:spacing w:val="-2"/>
          <w:sz w:val="24"/>
        </w:rPr>
        <w:t xml:space="preserve"> </w:t>
      </w:r>
      <w:r w:rsidRPr="00E31684">
        <w:rPr>
          <w:rFonts w:ascii="Times New Roman" w:hAnsi="Times New Roman"/>
          <w:spacing w:val="-2"/>
          <w:sz w:val="24"/>
        </w:rPr>
        <w:t>the Inter-American Development Bank (IDB)</w:t>
      </w:r>
      <w:r>
        <w:rPr>
          <w:rFonts w:ascii="Times New Roman" w:hAnsi="Times New Roman"/>
          <w:spacing w:val="-2"/>
          <w:sz w:val="24"/>
        </w:rPr>
        <w:t xml:space="preserve">, and it intends to apply part of the proceeds to payments for goods, related services and consulting services to be procured under the </w:t>
      </w:r>
      <w:bookmarkStart w:id="1" w:name="_Hlk85791509"/>
      <w:r w:rsidR="00E31684" w:rsidRPr="00E31684">
        <w:rPr>
          <w:rFonts w:ascii="Times New Roman" w:hAnsi="Times New Roman"/>
          <w:spacing w:val="-2"/>
          <w:sz w:val="24"/>
        </w:rPr>
        <w:t xml:space="preserve">Boosting Innovation Growth and Entrepreneurship Ecosystems (BIGEE) project. </w:t>
      </w:r>
      <w:r w:rsidRPr="00E31684">
        <w:rPr>
          <w:rFonts w:ascii="Times New Roman" w:hAnsi="Times New Roman"/>
          <w:spacing w:val="-2"/>
          <w:sz w:val="24"/>
        </w:rPr>
        <w:t xml:space="preserve"> </w:t>
      </w:r>
      <w:bookmarkEnd w:id="1"/>
      <w:r w:rsidRPr="00E31684">
        <w:rPr>
          <w:rFonts w:ascii="Times New Roman" w:hAnsi="Times New Roman"/>
          <w:spacing w:val="-2"/>
          <w:sz w:val="24"/>
        </w:rPr>
        <w:t>Bidding will be governed by the Inter-American Development Bank’s eligibility rules and procedures.</w:t>
      </w:r>
    </w:p>
    <w:p w14:paraId="774B3BA8" w14:textId="1EA79892" w:rsidR="00D50029" w:rsidRPr="00D50029" w:rsidRDefault="00D50029" w:rsidP="00D50029">
      <w:pPr>
        <w:widowControl w:val="0"/>
        <w:overflowPunct w:val="0"/>
        <w:autoSpaceDE w:val="0"/>
        <w:autoSpaceDN w:val="0"/>
        <w:adjustRightInd w:val="0"/>
        <w:spacing w:after="0" w:line="226" w:lineRule="auto"/>
        <w:jc w:val="both"/>
        <w:rPr>
          <w:rFonts w:ascii="Times New Roman" w:hAnsi="Times New Roman"/>
          <w:spacing w:val="-2"/>
          <w:sz w:val="24"/>
        </w:rPr>
      </w:pPr>
      <w:r w:rsidRPr="00D50029">
        <w:rPr>
          <w:rFonts w:ascii="Times New Roman" w:hAnsi="Times New Roman"/>
          <w:spacing w:val="-2"/>
          <w:sz w:val="24"/>
        </w:rPr>
        <w:t>The BIGEE Project will be executed during a period of five years from Sept 2020 to March 2025, with the</w:t>
      </w:r>
      <w:r>
        <w:rPr>
          <w:rFonts w:ascii="Times New Roman" w:hAnsi="Times New Roman"/>
          <w:spacing w:val="-2"/>
          <w:sz w:val="24"/>
        </w:rPr>
        <w:t xml:space="preserve"> main objective, that is</w:t>
      </w:r>
      <w:r w:rsidRPr="00D50029">
        <w:rPr>
          <w:rFonts w:ascii="Times New Roman" w:hAnsi="Times New Roman"/>
          <w:spacing w:val="-2"/>
          <w:sz w:val="24"/>
        </w:rPr>
        <w:t xml:space="preserve"> promoting sustainable and robust growth among startups and Micro, Small and Medium Enterprises (MSMEs) in Jamaica. The implementing agency for this project is the Development Bank of Jamaica </w:t>
      </w:r>
      <w:r w:rsidR="00871AF4">
        <w:rPr>
          <w:rFonts w:ascii="Times New Roman" w:hAnsi="Times New Roman"/>
          <w:spacing w:val="-2"/>
          <w:sz w:val="24"/>
        </w:rPr>
        <w:t xml:space="preserve">Limited </w:t>
      </w:r>
      <w:r w:rsidRPr="00D50029">
        <w:rPr>
          <w:rFonts w:ascii="Times New Roman" w:hAnsi="Times New Roman"/>
          <w:spacing w:val="-2"/>
          <w:sz w:val="24"/>
        </w:rPr>
        <w:t xml:space="preserve">(DBJ). </w:t>
      </w:r>
    </w:p>
    <w:p w14:paraId="1C3CA4B2" w14:textId="77777777" w:rsidR="00CD4D8E" w:rsidRDefault="00CD4D8E" w:rsidP="00CD4D8E">
      <w:pPr>
        <w:widowControl w:val="0"/>
        <w:overflowPunct w:val="0"/>
        <w:autoSpaceDE w:val="0"/>
        <w:autoSpaceDN w:val="0"/>
        <w:adjustRightInd w:val="0"/>
        <w:spacing w:after="0" w:line="226" w:lineRule="auto"/>
        <w:jc w:val="both"/>
        <w:rPr>
          <w:rFonts w:ascii="Calibri" w:hAnsi="Calibri"/>
          <w:b/>
          <w:bCs/>
          <w:color w:val="3366FF"/>
        </w:rPr>
      </w:pPr>
    </w:p>
    <w:p w14:paraId="5D86F0FE" w14:textId="77777777" w:rsidR="00CD4D8E" w:rsidRPr="00CD4D8E" w:rsidRDefault="00CD4D8E" w:rsidP="00CD4D8E">
      <w:pPr>
        <w:suppressAutoHyphens/>
        <w:jc w:val="both"/>
        <w:rPr>
          <w:rFonts w:ascii="Times New Roman" w:hAnsi="Times New Roman"/>
          <w:spacing w:val="-2"/>
          <w:sz w:val="24"/>
        </w:rPr>
      </w:pPr>
      <w:r w:rsidRPr="00CD4D8E">
        <w:rPr>
          <w:rFonts w:ascii="Times New Roman" w:hAnsi="Times New Roman"/>
          <w:spacing w:val="-2"/>
          <w:sz w:val="24"/>
        </w:rPr>
        <w:t>The Project consists of four components:</w:t>
      </w:r>
    </w:p>
    <w:p w14:paraId="1CD8202F" w14:textId="77777777" w:rsidR="00CD4D8E" w:rsidRDefault="00CD4D8E" w:rsidP="00F614A3">
      <w:pPr>
        <w:suppressAutoHyphens/>
        <w:ind w:firstLine="720"/>
        <w:jc w:val="both"/>
        <w:rPr>
          <w:rFonts w:ascii="Times New Roman" w:hAnsi="Times New Roman"/>
          <w:spacing w:val="-2"/>
          <w:sz w:val="24"/>
        </w:rPr>
      </w:pPr>
      <w:r w:rsidRPr="00F614A3">
        <w:rPr>
          <w:rFonts w:ascii="Times New Roman" w:hAnsi="Times New Roman"/>
          <w:b/>
          <w:spacing w:val="-2"/>
          <w:sz w:val="24"/>
        </w:rPr>
        <w:t>Component I – Innovation and Growth for Established MSMEs</w:t>
      </w:r>
      <w:r w:rsidRPr="00CD4D8E">
        <w:rPr>
          <w:rFonts w:ascii="Times New Roman" w:hAnsi="Times New Roman"/>
          <w:spacing w:val="-2"/>
          <w:sz w:val="24"/>
        </w:rPr>
        <w:t xml:space="preserve"> </w:t>
      </w:r>
    </w:p>
    <w:p w14:paraId="2A5771BC" w14:textId="77777777" w:rsidR="00FF0E68" w:rsidRPr="00F614A3" w:rsidRDefault="00FF0E68" w:rsidP="00F614A3">
      <w:pPr>
        <w:pStyle w:val="ListParagraph"/>
        <w:numPr>
          <w:ilvl w:val="0"/>
          <w:numId w:val="3"/>
        </w:numPr>
        <w:suppressAutoHyphens/>
        <w:jc w:val="both"/>
        <w:rPr>
          <w:rFonts w:ascii="Times New Roman" w:hAnsi="Times New Roman"/>
          <w:spacing w:val="-2"/>
          <w:sz w:val="24"/>
        </w:rPr>
      </w:pPr>
      <w:r w:rsidRPr="00F614A3">
        <w:rPr>
          <w:rFonts w:ascii="Times New Roman" w:hAnsi="Times New Roman"/>
          <w:spacing w:val="-2"/>
          <w:sz w:val="24"/>
        </w:rPr>
        <w:t>Subcomponent I.1 Investment in Innovation in SMEs</w:t>
      </w:r>
    </w:p>
    <w:p w14:paraId="77B2F7C9" w14:textId="77777777" w:rsidR="00A14512" w:rsidRDefault="00FF0E68" w:rsidP="00A14512">
      <w:pPr>
        <w:pStyle w:val="ListParagraph"/>
        <w:numPr>
          <w:ilvl w:val="0"/>
          <w:numId w:val="3"/>
        </w:numPr>
        <w:suppressAutoHyphens/>
        <w:jc w:val="both"/>
        <w:rPr>
          <w:rFonts w:ascii="Times New Roman" w:hAnsi="Times New Roman"/>
          <w:bCs/>
          <w:spacing w:val="-2"/>
          <w:sz w:val="24"/>
        </w:rPr>
      </w:pPr>
      <w:r w:rsidRPr="00F614A3">
        <w:rPr>
          <w:rFonts w:ascii="Times New Roman" w:hAnsi="Times New Roman"/>
          <w:bCs/>
          <w:spacing w:val="-2"/>
          <w:sz w:val="24"/>
        </w:rPr>
        <w:t>Subcomponent I.2 Patent Development and Commercialization</w:t>
      </w:r>
    </w:p>
    <w:p w14:paraId="27D8C698" w14:textId="77777777" w:rsidR="00A14512" w:rsidRPr="00A14512" w:rsidRDefault="00A14512" w:rsidP="00A14512">
      <w:pPr>
        <w:pStyle w:val="ListParagraph"/>
        <w:numPr>
          <w:ilvl w:val="0"/>
          <w:numId w:val="3"/>
        </w:numPr>
        <w:suppressAutoHyphens/>
        <w:jc w:val="both"/>
        <w:rPr>
          <w:rFonts w:ascii="Times New Roman" w:hAnsi="Times New Roman"/>
          <w:bCs/>
          <w:spacing w:val="-2"/>
          <w:sz w:val="24"/>
        </w:rPr>
      </w:pPr>
      <w:r w:rsidRPr="00A14512">
        <w:rPr>
          <w:rFonts w:ascii="Times New Roman" w:hAnsi="Times New Roman"/>
          <w:bCs/>
          <w:spacing w:val="-2"/>
          <w:sz w:val="24"/>
        </w:rPr>
        <w:t>Subcomponent I.3: Capacity Building for Technology Extension Centers for SMEs</w:t>
      </w:r>
    </w:p>
    <w:p w14:paraId="42477056" w14:textId="77777777" w:rsidR="00CD4D8E" w:rsidRPr="00A14512" w:rsidRDefault="00CD4D8E" w:rsidP="00A14512">
      <w:pPr>
        <w:suppressAutoHyphens/>
        <w:ind w:firstLine="720"/>
        <w:jc w:val="both"/>
        <w:rPr>
          <w:b/>
        </w:rPr>
      </w:pPr>
      <w:r w:rsidRPr="00A14512">
        <w:rPr>
          <w:b/>
        </w:rPr>
        <w:t xml:space="preserve">Component II – Facilitating Innovation and Growth for Scalable Startups </w:t>
      </w:r>
    </w:p>
    <w:p w14:paraId="49AD7925" w14:textId="77777777" w:rsidR="00FF0E68" w:rsidRPr="00F614A3" w:rsidRDefault="00FF0E68" w:rsidP="00F614A3">
      <w:pPr>
        <w:pStyle w:val="ListParagraph"/>
        <w:numPr>
          <w:ilvl w:val="0"/>
          <w:numId w:val="3"/>
        </w:numPr>
        <w:suppressAutoHyphens/>
        <w:jc w:val="both"/>
        <w:rPr>
          <w:rFonts w:ascii="Times New Roman" w:hAnsi="Times New Roman"/>
          <w:spacing w:val="-2"/>
          <w:sz w:val="24"/>
        </w:rPr>
      </w:pPr>
      <w:r w:rsidRPr="00F614A3">
        <w:rPr>
          <w:rFonts w:ascii="Times New Roman" w:hAnsi="Times New Roman"/>
          <w:spacing w:val="-2"/>
          <w:sz w:val="24"/>
        </w:rPr>
        <w:t>Subcomponent II.1 Stimulating Deal Flow</w:t>
      </w:r>
    </w:p>
    <w:p w14:paraId="1F0D5B7B" w14:textId="77777777" w:rsidR="00FF0E68" w:rsidRPr="00F614A3" w:rsidRDefault="00FF0E68" w:rsidP="00F614A3">
      <w:pPr>
        <w:pStyle w:val="ListParagraph"/>
        <w:numPr>
          <w:ilvl w:val="0"/>
          <w:numId w:val="3"/>
        </w:numPr>
        <w:suppressAutoHyphens/>
        <w:jc w:val="both"/>
        <w:rPr>
          <w:rFonts w:ascii="Times New Roman" w:hAnsi="Times New Roman"/>
          <w:spacing w:val="-2"/>
          <w:sz w:val="24"/>
        </w:rPr>
      </w:pPr>
      <w:r w:rsidRPr="00F614A3">
        <w:rPr>
          <w:rFonts w:ascii="Times New Roman" w:hAnsi="Times New Roman"/>
          <w:spacing w:val="-2"/>
          <w:sz w:val="24"/>
        </w:rPr>
        <w:t>Subcomponent II.2 Facilitating Access to capital for scalable startups</w:t>
      </w:r>
    </w:p>
    <w:p w14:paraId="5E7B4BC2" w14:textId="77777777" w:rsidR="00F614A3" w:rsidRDefault="00F614A3" w:rsidP="00F614A3">
      <w:pPr>
        <w:suppressAutoHyphens/>
        <w:ind w:firstLine="720"/>
        <w:jc w:val="both"/>
        <w:rPr>
          <w:rFonts w:ascii="Times New Roman" w:hAnsi="Times New Roman"/>
          <w:spacing w:val="-2"/>
          <w:sz w:val="24"/>
        </w:rPr>
      </w:pPr>
    </w:p>
    <w:p w14:paraId="3B1635A8" w14:textId="77777777" w:rsidR="00CD4D8E" w:rsidRPr="00F614A3" w:rsidRDefault="00CD4D8E" w:rsidP="00F614A3">
      <w:pPr>
        <w:suppressAutoHyphens/>
        <w:ind w:firstLine="720"/>
        <w:jc w:val="both"/>
        <w:rPr>
          <w:rFonts w:ascii="Times New Roman" w:hAnsi="Times New Roman"/>
          <w:b/>
          <w:spacing w:val="-2"/>
          <w:sz w:val="24"/>
        </w:rPr>
      </w:pPr>
      <w:r w:rsidRPr="00F614A3">
        <w:rPr>
          <w:rFonts w:ascii="Times New Roman" w:hAnsi="Times New Roman"/>
          <w:b/>
          <w:spacing w:val="-2"/>
          <w:sz w:val="24"/>
        </w:rPr>
        <w:lastRenderedPageBreak/>
        <w:t xml:space="preserve">Component III - Facilitating Innovation and Growth for High Potential Startups </w:t>
      </w:r>
    </w:p>
    <w:p w14:paraId="5E154240" w14:textId="77777777" w:rsidR="00FF0E68" w:rsidRPr="00F614A3" w:rsidRDefault="00FF0E68" w:rsidP="00F614A3">
      <w:pPr>
        <w:pStyle w:val="ListParagraph"/>
        <w:numPr>
          <w:ilvl w:val="0"/>
          <w:numId w:val="3"/>
        </w:numPr>
        <w:suppressAutoHyphens/>
        <w:jc w:val="both"/>
        <w:rPr>
          <w:rFonts w:ascii="Times New Roman" w:hAnsi="Times New Roman"/>
          <w:spacing w:val="-2"/>
          <w:sz w:val="24"/>
        </w:rPr>
      </w:pPr>
      <w:r w:rsidRPr="00F614A3">
        <w:rPr>
          <w:rFonts w:ascii="Times New Roman" w:hAnsi="Times New Roman"/>
          <w:spacing w:val="-2"/>
          <w:sz w:val="24"/>
        </w:rPr>
        <w:t>Subcomponent III.1 Technological Transfer</w:t>
      </w:r>
    </w:p>
    <w:p w14:paraId="709B7161" w14:textId="77777777" w:rsidR="00FF0E68" w:rsidRPr="00F614A3" w:rsidRDefault="00FF0E68" w:rsidP="00F614A3">
      <w:pPr>
        <w:pStyle w:val="ListParagraph"/>
        <w:numPr>
          <w:ilvl w:val="0"/>
          <w:numId w:val="3"/>
        </w:numPr>
        <w:suppressAutoHyphens/>
        <w:jc w:val="both"/>
        <w:rPr>
          <w:rFonts w:ascii="Times New Roman" w:hAnsi="Times New Roman"/>
          <w:spacing w:val="-2"/>
          <w:sz w:val="24"/>
        </w:rPr>
      </w:pPr>
      <w:r w:rsidRPr="00F614A3">
        <w:rPr>
          <w:rFonts w:ascii="Times New Roman" w:hAnsi="Times New Roman"/>
          <w:spacing w:val="-2"/>
          <w:sz w:val="24"/>
        </w:rPr>
        <w:t>Subcomponent III.2 Incubator Support</w:t>
      </w:r>
    </w:p>
    <w:p w14:paraId="1659982B" w14:textId="77777777" w:rsidR="00FF0E68" w:rsidRDefault="00CD4D8E" w:rsidP="00A14512">
      <w:pPr>
        <w:suppressAutoHyphens/>
        <w:ind w:firstLine="720"/>
        <w:jc w:val="both"/>
        <w:rPr>
          <w:rFonts w:ascii="Times New Roman" w:hAnsi="Times New Roman"/>
          <w:b/>
          <w:spacing w:val="-2"/>
          <w:sz w:val="24"/>
        </w:rPr>
      </w:pPr>
      <w:r w:rsidRPr="00F614A3">
        <w:rPr>
          <w:rFonts w:ascii="Times New Roman" w:hAnsi="Times New Roman"/>
          <w:b/>
          <w:spacing w:val="-2"/>
          <w:sz w:val="24"/>
        </w:rPr>
        <w:t>Component IV – Project Management</w:t>
      </w:r>
    </w:p>
    <w:p w14:paraId="062F5BE7" w14:textId="77777777" w:rsidR="00A14512" w:rsidRDefault="00A14512" w:rsidP="00321996">
      <w:pPr>
        <w:suppressAutoHyphens/>
        <w:jc w:val="both"/>
        <w:rPr>
          <w:rFonts w:ascii="Times New Roman" w:hAnsi="Times New Roman"/>
          <w:spacing w:val="-2"/>
          <w:sz w:val="24"/>
        </w:rPr>
      </w:pPr>
      <w:r>
        <w:rPr>
          <w:rFonts w:ascii="Times New Roman" w:hAnsi="Times New Roman"/>
          <w:spacing w:val="-2"/>
          <w:sz w:val="24"/>
        </w:rPr>
        <w:t xml:space="preserve">The potential procurement activities for goods, related services and consulting services for the BIGEE Project are stated below: </w:t>
      </w:r>
    </w:p>
    <w:tbl>
      <w:tblPr>
        <w:tblStyle w:val="TableGrid"/>
        <w:tblW w:w="10980" w:type="dxa"/>
        <w:tblInd w:w="-806" w:type="dxa"/>
        <w:tblLook w:val="04A0" w:firstRow="1" w:lastRow="0" w:firstColumn="1" w:lastColumn="0" w:noHBand="0" w:noVBand="1"/>
      </w:tblPr>
      <w:tblGrid>
        <w:gridCol w:w="5670"/>
        <w:gridCol w:w="5310"/>
      </w:tblGrid>
      <w:tr w:rsidR="00FF0E68" w:rsidRPr="002F5601" w14:paraId="37007C41" w14:textId="77777777" w:rsidTr="00F82E82">
        <w:tc>
          <w:tcPr>
            <w:tcW w:w="10980" w:type="dxa"/>
            <w:gridSpan w:val="2"/>
            <w:shd w:val="clear" w:color="auto" w:fill="8DB3E2" w:themeFill="text2" w:themeFillTint="66"/>
          </w:tcPr>
          <w:p w14:paraId="61E55BD2" w14:textId="77777777" w:rsidR="00FF0E68" w:rsidRPr="002F5601" w:rsidRDefault="00FF0E68" w:rsidP="00B40C8E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ascii="Calibri" w:hAnsi="Calibri"/>
                <w:b/>
                <w:bCs/>
                <w:color w:val="000000"/>
                <w:u w:val="single"/>
              </w:rPr>
            </w:pPr>
            <w:r w:rsidRPr="002F5601">
              <w:rPr>
                <w:rFonts w:ascii="Calibri" w:hAnsi="Calibri"/>
                <w:b/>
                <w:bCs/>
                <w:color w:val="000000"/>
                <w:u w:val="single"/>
              </w:rPr>
              <w:t>P</w:t>
            </w:r>
            <w:r>
              <w:rPr>
                <w:rFonts w:ascii="Calibri" w:hAnsi="Calibri"/>
                <w:b/>
                <w:bCs/>
                <w:color w:val="000000"/>
                <w:u w:val="single"/>
              </w:rPr>
              <w:t xml:space="preserve">otential </w:t>
            </w:r>
            <w:r w:rsidRPr="002F5601">
              <w:rPr>
                <w:rFonts w:ascii="Calibri" w:hAnsi="Calibri"/>
                <w:b/>
                <w:bCs/>
                <w:color w:val="000000"/>
                <w:u w:val="single"/>
              </w:rPr>
              <w:t xml:space="preserve"> </w:t>
            </w:r>
            <w:r w:rsidR="00A14512">
              <w:rPr>
                <w:rFonts w:ascii="Calibri" w:hAnsi="Calibri"/>
                <w:b/>
                <w:bCs/>
                <w:color w:val="000000"/>
                <w:u w:val="single"/>
              </w:rPr>
              <w:t xml:space="preserve">Procurement </w:t>
            </w:r>
            <w:r w:rsidRPr="002F5601">
              <w:rPr>
                <w:rFonts w:ascii="Calibri" w:hAnsi="Calibri"/>
                <w:b/>
                <w:bCs/>
                <w:color w:val="000000"/>
                <w:u w:val="single"/>
              </w:rPr>
              <w:t>Activities</w:t>
            </w:r>
          </w:p>
        </w:tc>
      </w:tr>
      <w:tr w:rsidR="00FF0E68" w:rsidRPr="002F5601" w14:paraId="792D52A5" w14:textId="77777777" w:rsidTr="00F82E82">
        <w:tc>
          <w:tcPr>
            <w:tcW w:w="10980" w:type="dxa"/>
            <w:gridSpan w:val="2"/>
            <w:shd w:val="clear" w:color="auto" w:fill="FFFF00"/>
          </w:tcPr>
          <w:p w14:paraId="28AB91D9" w14:textId="77777777" w:rsidR="00A14512" w:rsidRPr="00A14512" w:rsidRDefault="00A14512" w:rsidP="00A14512">
            <w:pPr>
              <w:suppressAutoHyphens/>
              <w:ind w:firstLine="720"/>
              <w:jc w:val="center"/>
              <w:rPr>
                <w:rFonts w:ascii="Times New Roman" w:hAnsi="Times New Roman"/>
                <w:spacing w:val="-2"/>
                <w:sz w:val="24"/>
                <w:u w:val="single"/>
              </w:rPr>
            </w:pPr>
            <w:r w:rsidRPr="00A14512">
              <w:rPr>
                <w:rFonts w:ascii="Times New Roman" w:hAnsi="Times New Roman"/>
                <w:b/>
                <w:spacing w:val="-2"/>
                <w:sz w:val="24"/>
                <w:u w:val="single"/>
              </w:rPr>
              <w:t>Component I – Innovation and Growth for Established MSMEs</w:t>
            </w:r>
          </w:p>
          <w:p w14:paraId="5906E934" w14:textId="77777777" w:rsidR="00FF0E68" w:rsidRPr="002F5601" w:rsidRDefault="00FF0E68" w:rsidP="00B40C8E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ascii="Calibri" w:hAnsi="Calibri"/>
                <w:bCs/>
                <w:color w:val="000000"/>
              </w:rPr>
            </w:pPr>
          </w:p>
        </w:tc>
      </w:tr>
      <w:tr w:rsidR="00FF0E68" w:rsidRPr="002F5601" w14:paraId="115DF533" w14:textId="77777777" w:rsidTr="00F82E82">
        <w:trPr>
          <w:trHeight w:val="530"/>
        </w:trPr>
        <w:tc>
          <w:tcPr>
            <w:tcW w:w="5670" w:type="dxa"/>
            <w:shd w:val="clear" w:color="auto" w:fill="FBD4B4" w:themeFill="accent6" w:themeFillTint="66"/>
          </w:tcPr>
          <w:p w14:paraId="5AC86D37" w14:textId="77777777" w:rsidR="00A14512" w:rsidRPr="00321996" w:rsidRDefault="00A14512" w:rsidP="00321996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rPr>
                <w:rFonts w:ascii="Calibri" w:hAnsi="Calibri"/>
                <w:bCs/>
                <w:color w:val="000000"/>
              </w:rPr>
            </w:pPr>
            <w:r w:rsidRPr="00321996">
              <w:rPr>
                <w:rFonts w:ascii="Calibri" w:hAnsi="Calibri"/>
                <w:b/>
                <w:bCs/>
                <w:color w:val="000000"/>
              </w:rPr>
              <w:t>Subcomponent I.1</w:t>
            </w:r>
            <w:r w:rsidR="00F82E82">
              <w:rPr>
                <w:rFonts w:ascii="Calibri" w:hAnsi="Calibri"/>
                <w:b/>
                <w:bCs/>
                <w:color w:val="000000"/>
              </w:rPr>
              <w:t>:</w:t>
            </w:r>
            <w:r w:rsidRPr="00321996">
              <w:rPr>
                <w:rFonts w:ascii="Calibri" w:hAnsi="Calibri"/>
                <w:bCs/>
                <w:color w:val="000000"/>
              </w:rPr>
              <w:t xml:space="preserve"> Investment in Innovation in SMEs</w:t>
            </w:r>
          </w:p>
          <w:p w14:paraId="5612B8C3" w14:textId="77777777" w:rsidR="00FF0E68" w:rsidRPr="00321996" w:rsidRDefault="00FF0E68" w:rsidP="00B40C8E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jc w:val="both"/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5310" w:type="dxa"/>
            <w:shd w:val="clear" w:color="auto" w:fill="FBD4B4" w:themeFill="accent6" w:themeFillTint="66"/>
          </w:tcPr>
          <w:p w14:paraId="2746EC41" w14:textId="77777777" w:rsidR="00A14512" w:rsidRPr="00321996" w:rsidRDefault="00A14512" w:rsidP="00321996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rPr>
                <w:rFonts w:ascii="Calibri" w:hAnsi="Calibri"/>
                <w:bCs/>
                <w:color w:val="000000"/>
              </w:rPr>
            </w:pPr>
            <w:r w:rsidRPr="00321996">
              <w:rPr>
                <w:rFonts w:ascii="Calibri" w:hAnsi="Calibri"/>
                <w:b/>
                <w:bCs/>
                <w:color w:val="000000"/>
              </w:rPr>
              <w:t>Subcomponent I.2</w:t>
            </w:r>
            <w:r w:rsidR="00F82E82">
              <w:rPr>
                <w:rFonts w:ascii="Calibri" w:hAnsi="Calibri"/>
                <w:b/>
                <w:bCs/>
                <w:color w:val="000000"/>
              </w:rPr>
              <w:t>:</w:t>
            </w:r>
            <w:r w:rsidRPr="00321996">
              <w:rPr>
                <w:rFonts w:ascii="Calibri" w:hAnsi="Calibri"/>
                <w:bCs/>
                <w:color w:val="000000"/>
              </w:rPr>
              <w:t xml:space="preserve"> Patent Development and Commercialization</w:t>
            </w:r>
          </w:p>
          <w:p w14:paraId="66E2442A" w14:textId="77777777" w:rsidR="00FF0E68" w:rsidRPr="00321996" w:rsidRDefault="00FF0E68" w:rsidP="00321996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rPr>
                <w:rFonts w:ascii="Calibri" w:hAnsi="Calibri"/>
                <w:bCs/>
                <w:color w:val="000000"/>
                <w:u w:val="single"/>
              </w:rPr>
            </w:pPr>
          </w:p>
        </w:tc>
      </w:tr>
      <w:tr w:rsidR="00FF0E68" w:rsidRPr="002F5601" w14:paraId="1FC9C55A" w14:textId="77777777" w:rsidTr="00D47C6F">
        <w:trPr>
          <w:trHeight w:val="1385"/>
        </w:trPr>
        <w:tc>
          <w:tcPr>
            <w:tcW w:w="5670" w:type="dxa"/>
          </w:tcPr>
          <w:p w14:paraId="5C945541" w14:textId="77777777" w:rsidR="00FF0E68" w:rsidRPr="00D47C6F" w:rsidRDefault="00FF0E68" w:rsidP="00B40C8E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jc w:val="both"/>
              <w:rPr>
                <w:rFonts w:ascii="Calibri" w:hAnsi="Calibri"/>
                <w:bCs/>
                <w:color w:val="000000"/>
              </w:rPr>
            </w:pPr>
          </w:p>
          <w:p w14:paraId="41979380" w14:textId="77777777" w:rsidR="00FF0E68" w:rsidRPr="00321996" w:rsidRDefault="00D47C6F" w:rsidP="00B40C8E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jc w:val="both"/>
              <w:rPr>
                <w:rFonts w:ascii="Calibri" w:hAnsi="Calibri"/>
                <w:bCs/>
                <w:color w:val="000000"/>
                <w:u w:val="single"/>
              </w:rPr>
            </w:pPr>
            <w:r w:rsidRPr="00D47C6F">
              <w:rPr>
                <w:rFonts w:ascii="Calibri" w:hAnsi="Calibri"/>
                <w:bCs/>
                <w:color w:val="000000"/>
              </w:rPr>
              <w:t>No Applicable procurement activities</w:t>
            </w:r>
            <w:r>
              <w:rPr>
                <w:rFonts w:ascii="Calibri" w:hAnsi="Calibri"/>
                <w:bCs/>
                <w:color w:val="000000"/>
                <w:u w:val="single"/>
              </w:rPr>
              <w:t xml:space="preserve"> </w:t>
            </w:r>
          </w:p>
        </w:tc>
        <w:tc>
          <w:tcPr>
            <w:tcW w:w="5310" w:type="dxa"/>
          </w:tcPr>
          <w:p w14:paraId="6F027D20" w14:textId="77777777" w:rsidR="00FF0E68" w:rsidRPr="00D47C6F" w:rsidRDefault="0036794C" w:rsidP="00321996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ind w:left="360"/>
              <w:rPr>
                <w:rFonts w:ascii="Calibri" w:hAnsi="Calibri"/>
                <w:bCs/>
                <w:color w:val="000000"/>
              </w:rPr>
            </w:pPr>
            <w:r w:rsidRPr="00D47C6F">
              <w:rPr>
                <w:rFonts w:ascii="Calibri" w:hAnsi="Calibri"/>
                <w:bCs/>
                <w:color w:val="000000"/>
              </w:rPr>
              <w:t>1.2.1.1 Technology Prospections /Technology and innovation 1.0 workshops</w:t>
            </w:r>
          </w:p>
          <w:p w14:paraId="4D87167B" w14:textId="77777777" w:rsidR="0036794C" w:rsidRPr="00D47C6F" w:rsidRDefault="0036794C" w:rsidP="00321996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ind w:left="360"/>
              <w:rPr>
                <w:rFonts w:ascii="Calibri" w:hAnsi="Calibri"/>
                <w:bCs/>
                <w:color w:val="000000"/>
              </w:rPr>
            </w:pPr>
            <w:r w:rsidRPr="00D47C6F">
              <w:rPr>
                <w:rFonts w:ascii="Calibri" w:hAnsi="Calibri"/>
                <w:bCs/>
                <w:color w:val="000000"/>
              </w:rPr>
              <w:t>1.2.1.2 Innovation Strategies for MSMEs</w:t>
            </w:r>
          </w:p>
          <w:p w14:paraId="52764F37" w14:textId="77777777" w:rsidR="0036794C" w:rsidRPr="00321996" w:rsidRDefault="0036794C" w:rsidP="00321996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ind w:left="360"/>
              <w:rPr>
                <w:rFonts w:ascii="Calibri" w:hAnsi="Calibri"/>
                <w:bCs/>
                <w:color w:val="000000"/>
                <w:u w:val="single"/>
              </w:rPr>
            </w:pPr>
            <w:r w:rsidRPr="00D47C6F">
              <w:rPr>
                <w:rFonts w:ascii="Calibri" w:hAnsi="Calibri"/>
                <w:bCs/>
                <w:color w:val="000000"/>
              </w:rPr>
              <w:t>1.2.2.1 IP approach designed and implemented (workshops)</w:t>
            </w:r>
          </w:p>
        </w:tc>
      </w:tr>
      <w:tr w:rsidR="00321996" w:rsidRPr="002F5601" w14:paraId="2DE562E7" w14:textId="77777777" w:rsidTr="00F82E82">
        <w:trPr>
          <w:trHeight w:val="350"/>
        </w:trPr>
        <w:tc>
          <w:tcPr>
            <w:tcW w:w="10980" w:type="dxa"/>
            <w:gridSpan w:val="2"/>
            <w:shd w:val="clear" w:color="auto" w:fill="FBD4B4" w:themeFill="accent6" w:themeFillTint="66"/>
          </w:tcPr>
          <w:p w14:paraId="1AA4D567" w14:textId="77777777" w:rsidR="00321996" w:rsidRPr="00321996" w:rsidRDefault="00321996" w:rsidP="00321996">
            <w:pPr>
              <w:suppressAutoHyphens/>
              <w:jc w:val="center"/>
              <w:rPr>
                <w:rFonts w:ascii="Times New Roman" w:hAnsi="Times New Roman"/>
                <w:bCs/>
                <w:spacing w:val="-2"/>
                <w:sz w:val="24"/>
              </w:rPr>
            </w:pPr>
            <w:r w:rsidRPr="00321996">
              <w:rPr>
                <w:rFonts w:ascii="Times New Roman" w:hAnsi="Times New Roman"/>
                <w:b/>
                <w:bCs/>
                <w:spacing w:val="-2"/>
                <w:sz w:val="24"/>
              </w:rPr>
              <w:t>Subcomponent I.3:</w:t>
            </w:r>
            <w:r w:rsidRPr="00321996">
              <w:rPr>
                <w:rFonts w:ascii="Times New Roman" w:hAnsi="Times New Roman"/>
                <w:bCs/>
                <w:spacing w:val="-2"/>
                <w:sz w:val="24"/>
              </w:rPr>
              <w:t xml:space="preserve"> Capacity Building for Technology Extension Centers for SMEs</w:t>
            </w:r>
          </w:p>
          <w:p w14:paraId="409BA3BD" w14:textId="77777777" w:rsidR="00321996" w:rsidRPr="00321996" w:rsidRDefault="00321996" w:rsidP="00321996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ind w:left="360"/>
              <w:rPr>
                <w:rFonts w:ascii="Calibri" w:hAnsi="Calibri"/>
                <w:bCs/>
                <w:color w:val="000000"/>
                <w:u w:val="single"/>
              </w:rPr>
            </w:pPr>
          </w:p>
        </w:tc>
      </w:tr>
      <w:tr w:rsidR="00321996" w:rsidRPr="002F5601" w14:paraId="5981AB7A" w14:textId="77777777" w:rsidTr="00D47C6F">
        <w:trPr>
          <w:trHeight w:val="620"/>
        </w:trPr>
        <w:tc>
          <w:tcPr>
            <w:tcW w:w="10980" w:type="dxa"/>
            <w:gridSpan w:val="2"/>
          </w:tcPr>
          <w:p w14:paraId="540FF835" w14:textId="77777777" w:rsidR="00321996" w:rsidRPr="00D47C6F" w:rsidRDefault="0036794C" w:rsidP="00321996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ind w:left="360"/>
              <w:rPr>
                <w:rFonts w:ascii="Calibri" w:hAnsi="Calibri"/>
                <w:bCs/>
                <w:color w:val="000000"/>
              </w:rPr>
            </w:pPr>
            <w:r w:rsidRPr="00D47C6F">
              <w:rPr>
                <w:rFonts w:ascii="Calibri" w:hAnsi="Calibri"/>
                <w:bCs/>
                <w:color w:val="000000"/>
              </w:rPr>
              <w:t xml:space="preserve">1.3.1.1 Consulting Firm to </w:t>
            </w:r>
            <w:r w:rsidR="00D47C6F" w:rsidRPr="00D47C6F">
              <w:rPr>
                <w:rFonts w:ascii="Calibri" w:hAnsi="Calibri"/>
                <w:bCs/>
                <w:color w:val="000000"/>
              </w:rPr>
              <w:t>execute</w:t>
            </w:r>
            <w:r w:rsidRPr="00D47C6F">
              <w:rPr>
                <w:rFonts w:ascii="Calibri" w:hAnsi="Calibri"/>
                <w:bCs/>
                <w:color w:val="000000"/>
              </w:rPr>
              <w:t xml:space="preserve"> Strengthening of extension centers</w:t>
            </w:r>
          </w:p>
          <w:p w14:paraId="03B1DD41" w14:textId="77777777" w:rsidR="0036794C" w:rsidRPr="002F5601" w:rsidRDefault="0036794C" w:rsidP="00321996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ind w:left="360"/>
              <w:rPr>
                <w:rFonts w:ascii="Calibri" w:hAnsi="Calibri"/>
                <w:b/>
                <w:bCs/>
                <w:color w:val="000000"/>
                <w:u w:val="single"/>
              </w:rPr>
            </w:pPr>
            <w:r w:rsidRPr="00D47C6F">
              <w:rPr>
                <w:rFonts w:ascii="Calibri" w:hAnsi="Calibri"/>
                <w:bCs/>
                <w:color w:val="000000"/>
              </w:rPr>
              <w:t>1.3.3 Training of service providers</w:t>
            </w:r>
          </w:p>
        </w:tc>
      </w:tr>
      <w:tr w:rsidR="00321996" w:rsidRPr="002F5601" w14:paraId="60EBBE82" w14:textId="77777777" w:rsidTr="00F82E82">
        <w:trPr>
          <w:trHeight w:val="467"/>
        </w:trPr>
        <w:tc>
          <w:tcPr>
            <w:tcW w:w="10980" w:type="dxa"/>
            <w:gridSpan w:val="2"/>
            <w:shd w:val="clear" w:color="auto" w:fill="FFFF00"/>
          </w:tcPr>
          <w:p w14:paraId="5E9C4F3F" w14:textId="77777777" w:rsidR="00321996" w:rsidRPr="00321996" w:rsidRDefault="00321996" w:rsidP="00321996">
            <w:pPr>
              <w:suppressAutoHyphens/>
              <w:ind w:firstLine="720"/>
              <w:jc w:val="center"/>
              <w:rPr>
                <w:b/>
                <w:u w:val="single"/>
              </w:rPr>
            </w:pPr>
            <w:r w:rsidRPr="00321996">
              <w:rPr>
                <w:b/>
                <w:u w:val="single"/>
              </w:rPr>
              <w:t>Component II – Facilitating Innovation and Growth for Scalable Startups</w:t>
            </w:r>
          </w:p>
          <w:p w14:paraId="2D98FB41" w14:textId="77777777" w:rsidR="00321996" w:rsidRPr="002F5601" w:rsidRDefault="00321996" w:rsidP="00321996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ind w:left="360"/>
              <w:rPr>
                <w:rFonts w:ascii="Calibri" w:hAnsi="Calibri"/>
                <w:b/>
                <w:bCs/>
                <w:color w:val="000000"/>
                <w:u w:val="single"/>
              </w:rPr>
            </w:pPr>
          </w:p>
        </w:tc>
      </w:tr>
      <w:tr w:rsidR="00321996" w:rsidRPr="002F5601" w14:paraId="19E02A51" w14:textId="77777777" w:rsidTr="00F82E82">
        <w:trPr>
          <w:trHeight w:val="620"/>
        </w:trPr>
        <w:tc>
          <w:tcPr>
            <w:tcW w:w="5670" w:type="dxa"/>
            <w:shd w:val="clear" w:color="auto" w:fill="FBD4B4" w:themeFill="accent6" w:themeFillTint="66"/>
          </w:tcPr>
          <w:p w14:paraId="4EF86F85" w14:textId="77777777" w:rsidR="00321996" w:rsidRPr="00321996" w:rsidRDefault="00321996" w:rsidP="00321996">
            <w:pPr>
              <w:suppressAutoHyphens/>
              <w:jc w:val="both"/>
              <w:rPr>
                <w:rFonts w:ascii="Times New Roman" w:hAnsi="Times New Roman"/>
                <w:spacing w:val="-2"/>
                <w:sz w:val="24"/>
              </w:rPr>
            </w:pPr>
            <w:r w:rsidRPr="00321996">
              <w:rPr>
                <w:rFonts w:ascii="Times New Roman" w:hAnsi="Times New Roman"/>
                <w:b/>
                <w:spacing w:val="-2"/>
                <w:sz w:val="24"/>
              </w:rPr>
              <w:t xml:space="preserve">Subcomponent </w:t>
            </w:r>
            <w:r w:rsidR="00F82E82" w:rsidRPr="00321996">
              <w:rPr>
                <w:rFonts w:ascii="Times New Roman" w:hAnsi="Times New Roman"/>
                <w:b/>
                <w:spacing w:val="-2"/>
                <w:sz w:val="24"/>
              </w:rPr>
              <w:t>II.1</w:t>
            </w:r>
            <w:r w:rsidR="00F82E82" w:rsidRPr="00321996">
              <w:rPr>
                <w:rFonts w:ascii="Times New Roman" w:hAnsi="Times New Roman"/>
                <w:spacing w:val="-2"/>
                <w:sz w:val="24"/>
              </w:rPr>
              <w:t>: Stimulating</w:t>
            </w:r>
            <w:r w:rsidRPr="00321996">
              <w:rPr>
                <w:rFonts w:ascii="Times New Roman" w:hAnsi="Times New Roman"/>
                <w:spacing w:val="-2"/>
                <w:sz w:val="24"/>
              </w:rPr>
              <w:t xml:space="preserve"> Deal Flow</w:t>
            </w:r>
          </w:p>
          <w:p w14:paraId="2BDB298B" w14:textId="77777777" w:rsidR="00321996" w:rsidRPr="002F5601" w:rsidRDefault="00321996" w:rsidP="00B40C8E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jc w:val="both"/>
              <w:rPr>
                <w:rFonts w:ascii="Calibri" w:hAnsi="Calibri"/>
                <w:b/>
                <w:bCs/>
                <w:color w:val="000000"/>
                <w:u w:val="single"/>
              </w:rPr>
            </w:pPr>
          </w:p>
        </w:tc>
        <w:tc>
          <w:tcPr>
            <w:tcW w:w="5310" w:type="dxa"/>
            <w:shd w:val="clear" w:color="auto" w:fill="FBD4B4" w:themeFill="accent6" w:themeFillTint="66"/>
          </w:tcPr>
          <w:p w14:paraId="11D58660" w14:textId="77777777" w:rsidR="00321996" w:rsidRPr="00321996" w:rsidRDefault="00321996" w:rsidP="00321996">
            <w:pPr>
              <w:suppressAutoHyphens/>
              <w:jc w:val="both"/>
              <w:rPr>
                <w:rFonts w:ascii="Times New Roman" w:hAnsi="Times New Roman"/>
                <w:spacing w:val="-2"/>
                <w:sz w:val="24"/>
              </w:rPr>
            </w:pPr>
            <w:r w:rsidRPr="00321996">
              <w:rPr>
                <w:rFonts w:ascii="Times New Roman" w:hAnsi="Times New Roman"/>
                <w:b/>
                <w:spacing w:val="-2"/>
                <w:sz w:val="24"/>
              </w:rPr>
              <w:t xml:space="preserve">Subcomponent </w:t>
            </w:r>
            <w:r w:rsidR="00F82E82" w:rsidRPr="00321996">
              <w:rPr>
                <w:rFonts w:ascii="Times New Roman" w:hAnsi="Times New Roman"/>
                <w:b/>
                <w:spacing w:val="-2"/>
                <w:sz w:val="24"/>
              </w:rPr>
              <w:t>II.2</w:t>
            </w:r>
            <w:r w:rsidR="00F82E82" w:rsidRPr="00321996">
              <w:rPr>
                <w:rFonts w:ascii="Times New Roman" w:hAnsi="Times New Roman"/>
                <w:spacing w:val="-2"/>
                <w:sz w:val="24"/>
              </w:rPr>
              <w:t>:</w:t>
            </w:r>
            <w:r w:rsidR="00F82E82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321996">
              <w:rPr>
                <w:rFonts w:ascii="Times New Roman" w:hAnsi="Times New Roman"/>
                <w:spacing w:val="-2"/>
                <w:sz w:val="24"/>
              </w:rPr>
              <w:t>Facilitating Access to capital for scalable startups</w:t>
            </w:r>
          </w:p>
          <w:p w14:paraId="4790D24A" w14:textId="77777777" w:rsidR="00321996" w:rsidRPr="002F5601" w:rsidRDefault="00321996" w:rsidP="00321996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ind w:left="360"/>
              <w:rPr>
                <w:rFonts w:ascii="Calibri" w:hAnsi="Calibri"/>
                <w:b/>
                <w:bCs/>
                <w:color w:val="000000"/>
                <w:u w:val="single"/>
              </w:rPr>
            </w:pPr>
          </w:p>
        </w:tc>
      </w:tr>
      <w:tr w:rsidR="00321996" w:rsidRPr="002F5601" w14:paraId="728B2792" w14:textId="77777777" w:rsidTr="00321996">
        <w:trPr>
          <w:trHeight w:val="2870"/>
        </w:trPr>
        <w:tc>
          <w:tcPr>
            <w:tcW w:w="5670" w:type="dxa"/>
          </w:tcPr>
          <w:p w14:paraId="47C41933" w14:textId="77777777" w:rsidR="00321996" w:rsidRPr="00D47C6F" w:rsidRDefault="0036794C" w:rsidP="00B40C8E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jc w:val="both"/>
              <w:rPr>
                <w:rFonts w:ascii="Calibri" w:hAnsi="Calibri"/>
                <w:bCs/>
                <w:color w:val="000000"/>
              </w:rPr>
            </w:pPr>
            <w:r w:rsidRPr="00D47C6F">
              <w:rPr>
                <w:rFonts w:ascii="Calibri" w:hAnsi="Calibri"/>
                <w:bCs/>
                <w:color w:val="000000"/>
              </w:rPr>
              <w:t>2.1.1.2 Design of Strengthening of Business Support Intermediaries Programme</w:t>
            </w:r>
          </w:p>
        </w:tc>
        <w:tc>
          <w:tcPr>
            <w:tcW w:w="5310" w:type="dxa"/>
          </w:tcPr>
          <w:p w14:paraId="4907A713" w14:textId="77777777" w:rsidR="00D56BCB" w:rsidRDefault="00D56BCB" w:rsidP="0036794C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ind w:left="360"/>
              <w:rPr>
                <w:rFonts w:ascii="Calibri" w:hAnsi="Calibri"/>
                <w:bCs/>
                <w:color w:val="000000"/>
              </w:rPr>
            </w:pPr>
            <w:r w:rsidRPr="00D56BCB">
              <w:rPr>
                <w:rFonts w:ascii="Calibri" w:hAnsi="Calibri"/>
                <w:bCs/>
                <w:color w:val="000000"/>
              </w:rPr>
              <w:t>2.2.1.2. V</w:t>
            </w:r>
            <w:r>
              <w:rPr>
                <w:rFonts w:ascii="Calibri" w:hAnsi="Calibri"/>
                <w:bCs/>
                <w:color w:val="000000"/>
              </w:rPr>
              <w:t>enture Capital (V</w:t>
            </w:r>
            <w:r w:rsidRPr="00D56BCB">
              <w:rPr>
                <w:rFonts w:ascii="Calibri" w:hAnsi="Calibri"/>
                <w:bCs/>
                <w:color w:val="000000"/>
              </w:rPr>
              <w:t>C</w:t>
            </w:r>
            <w:r>
              <w:rPr>
                <w:rFonts w:ascii="Calibri" w:hAnsi="Calibri"/>
                <w:bCs/>
                <w:color w:val="000000"/>
              </w:rPr>
              <w:t>)</w:t>
            </w:r>
            <w:r w:rsidRPr="00D56BCB">
              <w:rPr>
                <w:rFonts w:ascii="Calibri" w:hAnsi="Calibri"/>
                <w:bCs/>
                <w:color w:val="000000"/>
              </w:rPr>
              <w:t xml:space="preserve"> Fund Manager </w:t>
            </w:r>
          </w:p>
          <w:p w14:paraId="45A14CCF" w14:textId="77777777" w:rsidR="00D56BCB" w:rsidRDefault="00D56BCB" w:rsidP="00D47C6F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rPr>
                <w:rFonts w:ascii="Calibri" w:hAnsi="Calibri"/>
                <w:bCs/>
                <w:color w:val="000000"/>
              </w:rPr>
            </w:pPr>
          </w:p>
          <w:p w14:paraId="580C70EC" w14:textId="77777777" w:rsidR="00D56BCB" w:rsidRDefault="00D56BCB" w:rsidP="00D56BCB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ind w:left="360"/>
              <w:rPr>
                <w:rFonts w:ascii="Calibri" w:hAnsi="Calibri"/>
                <w:bCs/>
                <w:color w:val="000000"/>
              </w:rPr>
            </w:pPr>
            <w:r w:rsidRPr="00D56BCB">
              <w:rPr>
                <w:rFonts w:ascii="Calibri" w:hAnsi="Calibri"/>
                <w:b/>
                <w:bCs/>
                <w:color w:val="000000"/>
              </w:rPr>
              <w:t>NB.</w:t>
            </w:r>
            <w:r>
              <w:rPr>
                <w:rFonts w:ascii="Calibri" w:hAnsi="Calibri"/>
                <w:bCs/>
                <w:color w:val="000000"/>
              </w:rPr>
              <w:t xml:space="preserve"> </w:t>
            </w:r>
            <w:r w:rsidRPr="00D56BCB">
              <w:rPr>
                <w:rFonts w:ascii="Calibri" w:hAnsi="Calibri"/>
                <w:bCs/>
                <w:color w:val="000000"/>
              </w:rPr>
              <w:t xml:space="preserve">See </w:t>
            </w:r>
            <w:r w:rsidRPr="00D47C6F">
              <w:rPr>
                <w:rFonts w:ascii="Calibri" w:hAnsi="Calibri"/>
                <w:b/>
                <w:bCs/>
                <w:color w:val="000000"/>
              </w:rPr>
              <w:t>component IV</w:t>
            </w:r>
            <w:r w:rsidRPr="00D56BCB">
              <w:rPr>
                <w:rFonts w:ascii="Calibri" w:hAnsi="Calibri"/>
                <w:bCs/>
                <w:color w:val="000000"/>
              </w:rPr>
              <w:t xml:space="preserve"> for procurement activities </w:t>
            </w:r>
            <w:r w:rsidRPr="00D56BCB">
              <w:rPr>
                <w:rFonts w:ascii="Calibri" w:hAnsi="Calibri"/>
                <w:b/>
                <w:bCs/>
                <w:color w:val="000000"/>
              </w:rPr>
              <w:t>4.1.6-7</w:t>
            </w:r>
            <w:r w:rsidRPr="00D56BCB">
              <w:rPr>
                <w:rFonts w:ascii="Calibri" w:hAnsi="Calibri"/>
                <w:bCs/>
                <w:color w:val="000000"/>
              </w:rPr>
              <w:t xml:space="preserve"> to support the Establishment &amp; Management of the VC Fund. </w:t>
            </w:r>
          </w:p>
          <w:p w14:paraId="7054F1C3" w14:textId="77777777" w:rsidR="00D56BCB" w:rsidRDefault="00D56BCB" w:rsidP="00D56BCB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ind w:left="360"/>
              <w:rPr>
                <w:rFonts w:ascii="Calibri" w:hAnsi="Calibri"/>
                <w:bCs/>
                <w:color w:val="000000"/>
              </w:rPr>
            </w:pPr>
          </w:p>
          <w:p w14:paraId="05CBB27D" w14:textId="77777777" w:rsidR="00321996" w:rsidRPr="00D56BCB" w:rsidRDefault="00D56BCB" w:rsidP="00D47C6F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ind w:left="36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 xml:space="preserve">In </w:t>
            </w:r>
            <w:r w:rsidR="00D47C6F">
              <w:rPr>
                <w:rFonts w:ascii="Calibri" w:hAnsi="Calibri"/>
                <w:bCs/>
                <w:color w:val="000000"/>
              </w:rPr>
              <w:t>addition,</w:t>
            </w:r>
            <w:r>
              <w:rPr>
                <w:rFonts w:ascii="Calibri" w:hAnsi="Calibri"/>
                <w:bCs/>
                <w:color w:val="000000"/>
              </w:rPr>
              <w:t xml:space="preserve"> </w:t>
            </w:r>
            <w:r w:rsidRPr="00D47C6F">
              <w:rPr>
                <w:rFonts w:ascii="Calibri" w:hAnsi="Calibri"/>
                <w:b/>
                <w:bCs/>
                <w:color w:val="000000"/>
              </w:rPr>
              <w:t xml:space="preserve">component </w:t>
            </w:r>
            <w:r w:rsidR="00D47C6F" w:rsidRPr="00D47C6F">
              <w:rPr>
                <w:rFonts w:ascii="Calibri" w:hAnsi="Calibri"/>
                <w:b/>
                <w:bCs/>
                <w:color w:val="000000"/>
              </w:rPr>
              <w:t>IV</w:t>
            </w:r>
            <w:r w:rsidR="00D47C6F">
              <w:rPr>
                <w:rFonts w:ascii="Calibri" w:hAnsi="Calibri"/>
                <w:bCs/>
                <w:color w:val="000000"/>
              </w:rPr>
              <w:t xml:space="preserve"> will</w:t>
            </w:r>
            <w:r>
              <w:rPr>
                <w:rFonts w:ascii="Calibri" w:hAnsi="Calibri"/>
                <w:bCs/>
                <w:color w:val="000000"/>
              </w:rPr>
              <w:t xml:space="preserve"> also support the </w:t>
            </w:r>
            <w:r w:rsidR="008C1B2B">
              <w:rPr>
                <w:rFonts w:ascii="Calibri" w:hAnsi="Calibri"/>
                <w:bCs/>
                <w:color w:val="000000"/>
              </w:rPr>
              <w:t xml:space="preserve">Establishment &amp; </w:t>
            </w:r>
            <w:r w:rsidRPr="00D56BCB">
              <w:rPr>
                <w:rFonts w:ascii="Calibri" w:hAnsi="Calibri"/>
                <w:bCs/>
                <w:color w:val="000000"/>
              </w:rPr>
              <w:t>Management</w:t>
            </w:r>
            <w:r>
              <w:rPr>
                <w:rFonts w:ascii="Calibri" w:hAnsi="Calibri"/>
                <w:bCs/>
                <w:color w:val="000000"/>
              </w:rPr>
              <w:t xml:space="preserve"> of the Side Car Fund with activities</w:t>
            </w:r>
            <w:r w:rsidR="00D47C6F">
              <w:rPr>
                <w:rFonts w:ascii="Calibri" w:hAnsi="Calibri"/>
                <w:bCs/>
                <w:color w:val="000000"/>
              </w:rPr>
              <w:t xml:space="preserve"> 4.1.5 &amp; 4.1.7. </w:t>
            </w:r>
            <w:r>
              <w:rPr>
                <w:rFonts w:ascii="Calibri" w:hAnsi="Calibri"/>
                <w:bCs/>
                <w:color w:val="000000"/>
              </w:rPr>
              <w:t xml:space="preserve">  </w:t>
            </w:r>
          </w:p>
        </w:tc>
      </w:tr>
    </w:tbl>
    <w:p w14:paraId="5F79F4CA" w14:textId="77777777" w:rsidR="00321996" w:rsidRDefault="00321996" w:rsidP="00E33839">
      <w:pPr>
        <w:suppressAutoHyphens/>
        <w:jc w:val="both"/>
        <w:rPr>
          <w:rFonts w:ascii="Times New Roman" w:hAnsi="Times New Roman"/>
          <w:spacing w:val="-2"/>
          <w:sz w:val="24"/>
        </w:rPr>
      </w:pPr>
    </w:p>
    <w:p w14:paraId="64B0C0D2" w14:textId="77777777" w:rsidR="00D47C6F" w:rsidRDefault="00D47C6F" w:rsidP="00E33839">
      <w:pPr>
        <w:suppressAutoHyphens/>
        <w:jc w:val="both"/>
        <w:rPr>
          <w:rFonts w:ascii="Times New Roman" w:hAnsi="Times New Roman"/>
          <w:spacing w:val="-2"/>
          <w:sz w:val="24"/>
        </w:rPr>
      </w:pPr>
    </w:p>
    <w:p w14:paraId="6BE23784" w14:textId="77777777" w:rsidR="00D47C6F" w:rsidRDefault="00D47C6F" w:rsidP="00E33839">
      <w:pPr>
        <w:suppressAutoHyphens/>
        <w:jc w:val="both"/>
        <w:rPr>
          <w:rFonts w:ascii="Times New Roman" w:hAnsi="Times New Roman"/>
          <w:spacing w:val="-2"/>
          <w:sz w:val="24"/>
        </w:rPr>
      </w:pPr>
    </w:p>
    <w:p w14:paraId="6078AD20" w14:textId="77777777" w:rsidR="00D47C6F" w:rsidRDefault="00D47C6F" w:rsidP="00E33839">
      <w:pPr>
        <w:suppressAutoHyphens/>
        <w:jc w:val="both"/>
        <w:rPr>
          <w:rFonts w:ascii="Times New Roman" w:hAnsi="Times New Roman"/>
          <w:spacing w:val="-2"/>
          <w:sz w:val="24"/>
        </w:rPr>
      </w:pPr>
    </w:p>
    <w:tbl>
      <w:tblPr>
        <w:tblStyle w:val="TableGrid"/>
        <w:tblW w:w="10980" w:type="dxa"/>
        <w:tblInd w:w="-806" w:type="dxa"/>
        <w:tblLook w:val="04A0" w:firstRow="1" w:lastRow="0" w:firstColumn="1" w:lastColumn="0" w:noHBand="0" w:noVBand="1"/>
      </w:tblPr>
      <w:tblGrid>
        <w:gridCol w:w="5670"/>
        <w:gridCol w:w="5310"/>
      </w:tblGrid>
      <w:tr w:rsidR="00F82E82" w:rsidRPr="002F5601" w14:paraId="7AB7934B" w14:textId="77777777" w:rsidTr="00F82E82">
        <w:tc>
          <w:tcPr>
            <w:tcW w:w="10980" w:type="dxa"/>
            <w:gridSpan w:val="2"/>
            <w:shd w:val="clear" w:color="auto" w:fill="8DB3E2" w:themeFill="text2" w:themeFillTint="66"/>
          </w:tcPr>
          <w:p w14:paraId="10968D4E" w14:textId="77777777" w:rsidR="00F82E82" w:rsidRPr="002F5601" w:rsidRDefault="00F82E82" w:rsidP="00B40C8E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ascii="Calibri" w:hAnsi="Calibri"/>
                <w:b/>
                <w:bCs/>
                <w:color w:val="000000"/>
                <w:u w:val="single"/>
              </w:rPr>
            </w:pPr>
            <w:r w:rsidRPr="002F5601">
              <w:rPr>
                <w:rFonts w:ascii="Calibri" w:hAnsi="Calibri"/>
                <w:b/>
                <w:bCs/>
                <w:color w:val="000000"/>
                <w:u w:val="single"/>
              </w:rPr>
              <w:lastRenderedPageBreak/>
              <w:t>P</w:t>
            </w:r>
            <w:r>
              <w:rPr>
                <w:rFonts w:ascii="Calibri" w:hAnsi="Calibri"/>
                <w:b/>
                <w:bCs/>
                <w:color w:val="000000"/>
                <w:u w:val="single"/>
              </w:rPr>
              <w:t xml:space="preserve">otential </w:t>
            </w:r>
            <w:r w:rsidRPr="002F5601">
              <w:rPr>
                <w:rFonts w:ascii="Calibri" w:hAnsi="Calibri"/>
                <w:b/>
                <w:bCs/>
                <w:color w:val="000000"/>
                <w:u w:val="single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u w:val="single"/>
              </w:rPr>
              <w:t xml:space="preserve">Procurement </w:t>
            </w:r>
            <w:r w:rsidRPr="002F5601">
              <w:rPr>
                <w:rFonts w:ascii="Calibri" w:hAnsi="Calibri"/>
                <w:b/>
                <w:bCs/>
                <w:color w:val="000000"/>
                <w:u w:val="single"/>
              </w:rPr>
              <w:t>Activities</w:t>
            </w:r>
            <w:r>
              <w:rPr>
                <w:rFonts w:ascii="Calibri" w:hAnsi="Calibri"/>
                <w:b/>
                <w:bCs/>
                <w:color w:val="000000"/>
                <w:u w:val="single"/>
              </w:rPr>
              <w:t xml:space="preserve"> Cont’d </w:t>
            </w:r>
          </w:p>
        </w:tc>
      </w:tr>
      <w:tr w:rsidR="00F82E82" w:rsidRPr="002F5601" w14:paraId="0ADCE1DC" w14:textId="77777777" w:rsidTr="00F82E82">
        <w:tc>
          <w:tcPr>
            <w:tcW w:w="10980" w:type="dxa"/>
            <w:gridSpan w:val="2"/>
            <w:shd w:val="clear" w:color="auto" w:fill="FFFF00"/>
          </w:tcPr>
          <w:p w14:paraId="6F9A99A8" w14:textId="77777777" w:rsidR="00F82E82" w:rsidRPr="00F82E82" w:rsidRDefault="00F82E82" w:rsidP="00F82E82">
            <w:pPr>
              <w:suppressAutoHyphens/>
              <w:ind w:firstLine="720"/>
              <w:jc w:val="center"/>
              <w:rPr>
                <w:rFonts w:ascii="Times New Roman" w:hAnsi="Times New Roman"/>
                <w:b/>
                <w:spacing w:val="-2"/>
                <w:sz w:val="24"/>
                <w:u w:val="single"/>
              </w:rPr>
            </w:pPr>
            <w:r w:rsidRPr="00F82E82">
              <w:rPr>
                <w:rFonts w:ascii="Times New Roman" w:hAnsi="Times New Roman"/>
                <w:b/>
                <w:spacing w:val="-2"/>
                <w:sz w:val="24"/>
                <w:u w:val="single"/>
              </w:rPr>
              <w:t xml:space="preserve">Component III - Facilitating Innovation and Growth for High Potential Startups </w:t>
            </w:r>
          </w:p>
          <w:p w14:paraId="1905B426" w14:textId="77777777" w:rsidR="00F82E82" w:rsidRPr="002F5601" w:rsidRDefault="00F82E82" w:rsidP="00B40C8E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ascii="Calibri" w:hAnsi="Calibri"/>
                <w:bCs/>
                <w:color w:val="000000"/>
              </w:rPr>
            </w:pPr>
          </w:p>
        </w:tc>
      </w:tr>
      <w:tr w:rsidR="00F82E82" w:rsidRPr="002F5601" w14:paraId="6988E5F9" w14:textId="77777777" w:rsidTr="00F82E82">
        <w:trPr>
          <w:trHeight w:val="530"/>
        </w:trPr>
        <w:tc>
          <w:tcPr>
            <w:tcW w:w="5670" w:type="dxa"/>
            <w:shd w:val="clear" w:color="auto" w:fill="FBD4B4" w:themeFill="accent6" w:themeFillTint="66"/>
          </w:tcPr>
          <w:p w14:paraId="56D17668" w14:textId="77777777" w:rsidR="00F82E82" w:rsidRPr="00F82E82" w:rsidRDefault="00F82E82" w:rsidP="00F82E82">
            <w:pPr>
              <w:suppressAutoHyphens/>
              <w:jc w:val="both"/>
              <w:rPr>
                <w:rFonts w:ascii="Times New Roman" w:hAnsi="Times New Roman"/>
                <w:spacing w:val="-2"/>
                <w:sz w:val="24"/>
              </w:rPr>
            </w:pPr>
            <w:r w:rsidRPr="00F82E82">
              <w:rPr>
                <w:rFonts w:ascii="Times New Roman" w:hAnsi="Times New Roman"/>
                <w:b/>
                <w:spacing w:val="-2"/>
                <w:sz w:val="24"/>
              </w:rPr>
              <w:t>Subcomponent III.1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:</w:t>
            </w:r>
            <w:r w:rsidRPr="00F82E82">
              <w:rPr>
                <w:rFonts w:ascii="Times New Roman" w:hAnsi="Times New Roman"/>
                <w:spacing w:val="-2"/>
                <w:sz w:val="24"/>
              </w:rPr>
              <w:t xml:space="preserve"> Technological Transfer</w:t>
            </w:r>
          </w:p>
          <w:p w14:paraId="3CB86A8B" w14:textId="77777777" w:rsidR="00F82E82" w:rsidRPr="00321996" w:rsidRDefault="00F82E82" w:rsidP="00B40C8E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jc w:val="both"/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5310" w:type="dxa"/>
            <w:shd w:val="clear" w:color="auto" w:fill="FBD4B4" w:themeFill="accent6" w:themeFillTint="66"/>
          </w:tcPr>
          <w:p w14:paraId="09DC2C84" w14:textId="77777777" w:rsidR="00F82E82" w:rsidRPr="00F82E82" w:rsidRDefault="00F82E82" w:rsidP="00F82E82">
            <w:pPr>
              <w:suppressAutoHyphens/>
              <w:jc w:val="both"/>
              <w:rPr>
                <w:rFonts w:ascii="Times New Roman" w:hAnsi="Times New Roman"/>
                <w:spacing w:val="-2"/>
                <w:sz w:val="24"/>
              </w:rPr>
            </w:pPr>
            <w:r w:rsidRPr="00F82E82">
              <w:rPr>
                <w:rFonts w:ascii="Times New Roman" w:hAnsi="Times New Roman"/>
                <w:b/>
                <w:spacing w:val="-2"/>
                <w:sz w:val="24"/>
              </w:rPr>
              <w:t>Subcomponent III.2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:</w:t>
            </w:r>
            <w:r w:rsidRPr="00F82E82">
              <w:rPr>
                <w:rFonts w:ascii="Times New Roman" w:hAnsi="Times New Roman"/>
                <w:spacing w:val="-2"/>
                <w:sz w:val="24"/>
              </w:rPr>
              <w:t xml:space="preserve"> Incubator Support</w:t>
            </w:r>
          </w:p>
          <w:p w14:paraId="5EA48B82" w14:textId="77777777" w:rsidR="00F82E82" w:rsidRPr="00321996" w:rsidRDefault="00F82E82" w:rsidP="00B40C8E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rPr>
                <w:rFonts w:ascii="Calibri" w:hAnsi="Calibri"/>
                <w:bCs/>
                <w:color w:val="000000"/>
                <w:u w:val="single"/>
              </w:rPr>
            </w:pPr>
          </w:p>
        </w:tc>
      </w:tr>
      <w:tr w:rsidR="00F82E82" w:rsidRPr="002F5601" w14:paraId="47B7B290" w14:textId="77777777" w:rsidTr="00D47C6F">
        <w:trPr>
          <w:trHeight w:val="1178"/>
        </w:trPr>
        <w:tc>
          <w:tcPr>
            <w:tcW w:w="5670" w:type="dxa"/>
          </w:tcPr>
          <w:p w14:paraId="43EB62F0" w14:textId="77777777" w:rsidR="00F82E82" w:rsidRPr="00321996" w:rsidRDefault="00F82E82" w:rsidP="00B40C8E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jc w:val="both"/>
              <w:rPr>
                <w:rFonts w:ascii="Calibri" w:hAnsi="Calibri"/>
                <w:bCs/>
                <w:color w:val="000000"/>
                <w:u w:val="single"/>
              </w:rPr>
            </w:pPr>
          </w:p>
          <w:p w14:paraId="383F7717" w14:textId="77777777" w:rsidR="00F82E82" w:rsidRPr="00D47C6F" w:rsidRDefault="0036794C" w:rsidP="00B40C8E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jc w:val="both"/>
              <w:rPr>
                <w:rFonts w:ascii="Calibri" w:hAnsi="Calibri"/>
                <w:bCs/>
                <w:color w:val="000000"/>
              </w:rPr>
            </w:pPr>
            <w:r w:rsidRPr="00D47C6F">
              <w:rPr>
                <w:rFonts w:ascii="Calibri" w:hAnsi="Calibri"/>
                <w:bCs/>
                <w:color w:val="000000"/>
              </w:rPr>
              <w:t>3.1.1.1. Consulting  Firm to execute Strengthening of Tech-Transfer Offices</w:t>
            </w:r>
          </w:p>
        </w:tc>
        <w:tc>
          <w:tcPr>
            <w:tcW w:w="5310" w:type="dxa"/>
          </w:tcPr>
          <w:p w14:paraId="75C88864" w14:textId="77777777" w:rsidR="00F82E82" w:rsidRPr="00D47C6F" w:rsidRDefault="0036794C" w:rsidP="00B40C8E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ind w:left="360"/>
              <w:rPr>
                <w:rFonts w:ascii="Calibri" w:hAnsi="Calibri"/>
                <w:bCs/>
                <w:color w:val="000000"/>
              </w:rPr>
            </w:pPr>
            <w:r w:rsidRPr="00D47C6F">
              <w:rPr>
                <w:rFonts w:ascii="Calibri" w:hAnsi="Calibri"/>
                <w:bCs/>
                <w:color w:val="000000"/>
              </w:rPr>
              <w:t>3.2.1.1. International Accelerator for the Strengthening of Business Support Intermediaries</w:t>
            </w:r>
          </w:p>
          <w:p w14:paraId="292558C5" w14:textId="77777777" w:rsidR="0026027D" w:rsidRPr="00D47C6F" w:rsidRDefault="0026027D" w:rsidP="00B40C8E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ind w:left="360"/>
              <w:rPr>
                <w:rFonts w:ascii="Calibri" w:hAnsi="Calibri"/>
                <w:bCs/>
                <w:color w:val="000000"/>
              </w:rPr>
            </w:pPr>
            <w:r w:rsidRPr="00D47C6F">
              <w:rPr>
                <w:rFonts w:ascii="Calibri" w:hAnsi="Calibri"/>
                <w:bCs/>
                <w:color w:val="000000"/>
              </w:rPr>
              <w:t>3.2.4 Events and Awards</w:t>
            </w:r>
          </w:p>
          <w:p w14:paraId="18CB3B89" w14:textId="77777777" w:rsidR="0026027D" w:rsidRPr="00321996" w:rsidRDefault="0026027D" w:rsidP="00B40C8E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ind w:left="360"/>
              <w:rPr>
                <w:rFonts w:ascii="Calibri" w:hAnsi="Calibri"/>
                <w:bCs/>
                <w:color w:val="000000"/>
                <w:u w:val="single"/>
              </w:rPr>
            </w:pPr>
            <w:r w:rsidRPr="00D47C6F">
              <w:rPr>
                <w:rFonts w:ascii="Calibri" w:hAnsi="Calibri"/>
                <w:bCs/>
                <w:color w:val="000000"/>
              </w:rPr>
              <w:t>3.2.5 Mindset and Culture</w:t>
            </w:r>
          </w:p>
        </w:tc>
      </w:tr>
      <w:tr w:rsidR="00F82E82" w:rsidRPr="002F5601" w14:paraId="6DC88D56" w14:textId="77777777" w:rsidTr="00F82E82">
        <w:trPr>
          <w:trHeight w:val="350"/>
        </w:trPr>
        <w:tc>
          <w:tcPr>
            <w:tcW w:w="10980" w:type="dxa"/>
            <w:gridSpan w:val="2"/>
            <w:shd w:val="clear" w:color="auto" w:fill="FFFF00"/>
          </w:tcPr>
          <w:p w14:paraId="6D4A1633" w14:textId="77777777" w:rsidR="00F82E82" w:rsidRPr="00F82E82" w:rsidRDefault="00F82E82" w:rsidP="00F82E82">
            <w:pPr>
              <w:suppressAutoHyphens/>
              <w:ind w:firstLine="720"/>
              <w:jc w:val="center"/>
              <w:rPr>
                <w:rFonts w:ascii="Times New Roman" w:hAnsi="Times New Roman"/>
                <w:b/>
                <w:spacing w:val="-2"/>
                <w:sz w:val="24"/>
                <w:u w:val="single"/>
              </w:rPr>
            </w:pPr>
            <w:r w:rsidRPr="00F82E82">
              <w:rPr>
                <w:rFonts w:ascii="Times New Roman" w:hAnsi="Times New Roman"/>
                <w:b/>
                <w:spacing w:val="-2"/>
                <w:sz w:val="24"/>
                <w:u w:val="single"/>
              </w:rPr>
              <w:t>Component IV – Project Management</w:t>
            </w:r>
          </w:p>
          <w:p w14:paraId="4E42A534" w14:textId="77777777" w:rsidR="00F82E82" w:rsidRPr="00321996" w:rsidRDefault="00F82E82" w:rsidP="00B40C8E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ind w:left="360"/>
              <w:rPr>
                <w:rFonts w:ascii="Calibri" w:hAnsi="Calibri"/>
                <w:bCs/>
                <w:color w:val="000000"/>
                <w:u w:val="single"/>
              </w:rPr>
            </w:pPr>
          </w:p>
        </w:tc>
      </w:tr>
      <w:tr w:rsidR="00F82E82" w:rsidRPr="002F5601" w14:paraId="20E23956" w14:textId="77777777" w:rsidTr="003035F7">
        <w:trPr>
          <w:trHeight w:val="890"/>
        </w:trPr>
        <w:tc>
          <w:tcPr>
            <w:tcW w:w="10980" w:type="dxa"/>
            <w:gridSpan w:val="2"/>
          </w:tcPr>
          <w:p w14:paraId="41E30717" w14:textId="77777777" w:rsidR="00D56BCB" w:rsidRPr="000A3359" w:rsidRDefault="00D56BCB" w:rsidP="00D56BCB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ind w:left="360"/>
              <w:rPr>
                <w:rFonts w:ascii="Calibri" w:hAnsi="Calibri"/>
                <w:color w:val="000000"/>
              </w:rPr>
            </w:pPr>
            <w:r w:rsidRPr="000A3359">
              <w:rPr>
                <w:rFonts w:ascii="Calibri" w:hAnsi="Calibri"/>
                <w:color w:val="000000"/>
              </w:rPr>
              <w:t>4.1.5 Consultancy to undertake a Risk Assessment (Due Diligence Checks) of Potential Angel Investors for the Side Car Fund.</w:t>
            </w:r>
          </w:p>
          <w:p w14:paraId="3D93D818" w14:textId="77777777" w:rsidR="00D56BCB" w:rsidRPr="000A3359" w:rsidRDefault="00D56BCB" w:rsidP="00D56BCB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ind w:left="360"/>
              <w:rPr>
                <w:rFonts w:ascii="Calibri" w:hAnsi="Calibri"/>
                <w:color w:val="000000"/>
              </w:rPr>
            </w:pPr>
            <w:r w:rsidRPr="000A3359">
              <w:rPr>
                <w:rFonts w:ascii="Calibri" w:hAnsi="Calibri"/>
                <w:color w:val="000000"/>
              </w:rPr>
              <w:t>4.1.6 Consultancy for a Technical Advisor to support the DBJ in the procurement of a Fund Manager for a VC Fund</w:t>
            </w:r>
          </w:p>
          <w:p w14:paraId="6BD5E948" w14:textId="77777777" w:rsidR="00D56BCB" w:rsidRPr="000A3359" w:rsidRDefault="00D56BCB" w:rsidP="00D56BCB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ind w:left="360"/>
              <w:rPr>
                <w:rFonts w:ascii="Calibri" w:hAnsi="Calibri"/>
                <w:color w:val="000000"/>
              </w:rPr>
            </w:pPr>
            <w:r w:rsidRPr="000A3359">
              <w:rPr>
                <w:rFonts w:ascii="Calibri" w:hAnsi="Calibri"/>
                <w:color w:val="000000"/>
              </w:rPr>
              <w:t>4.1.7 Consultancy for a Legal Counsel to the DBJ in finalizing the selection of a Fund Manager and to provide Support during the establishment of the VC Fund</w:t>
            </w:r>
            <w:r w:rsidR="008C1B2B" w:rsidRPr="000A3359">
              <w:rPr>
                <w:rFonts w:ascii="Calibri" w:hAnsi="Calibri"/>
                <w:color w:val="000000"/>
              </w:rPr>
              <w:t xml:space="preserve"> &amp; Side Car Fund </w:t>
            </w:r>
          </w:p>
          <w:p w14:paraId="086363D3" w14:textId="77777777" w:rsidR="00F82E82" w:rsidRPr="003035F7" w:rsidRDefault="003035F7" w:rsidP="00B40C8E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ind w:left="360"/>
              <w:rPr>
                <w:rFonts w:ascii="Calibri" w:hAnsi="Calibri"/>
                <w:bCs/>
                <w:color w:val="000000"/>
              </w:rPr>
            </w:pPr>
            <w:r w:rsidRPr="003035F7">
              <w:rPr>
                <w:rFonts w:ascii="Calibri" w:hAnsi="Calibri"/>
                <w:bCs/>
                <w:color w:val="000000"/>
              </w:rPr>
              <w:t>4.4.3. Hardware Equipment for DBJ</w:t>
            </w:r>
          </w:p>
          <w:p w14:paraId="67F94215" w14:textId="77777777" w:rsidR="003035F7" w:rsidRDefault="003035F7" w:rsidP="00B40C8E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ind w:left="360"/>
              <w:rPr>
                <w:rFonts w:ascii="Calibri" w:hAnsi="Calibri"/>
                <w:bCs/>
                <w:color w:val="000000"/>
              </w:rPr>
            </w:pPr>
            <w:r w:rsidRPr="003035F7">
              <w:rPr>
                <w:rFonts w:ascii="Calibri" w:hAnsi="Calibri"/>
                <w:bCs/>
                <w:color w:val="000000"/>
              </w:rPr>
              <w:t>4.4.4. Software Equipment for DBJ</w:t>
            </w:r>
          </w:p>
          <w:p w14:paraId="606914D1" w14:textId="77777777" w:rsidR="003035F7" w:rsidRDefault="003035F7" w:rsidP="00B40C8E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ind w:left="360"/>
              <w:rPr>
                <w:rFonts w:ascii="Calibri" w:hAnsi="Calibri"/>
                <w:bCs/>
                <w:color w:val="000000"/>
              </w:rPr>
            </w:pPr>
            <w:r w:rsidRPr="0036794C">
              <w:rPr>
                <w:rFonts w:ascii="Calibri" w:hAnsi="Calibri"/>
                <w:bCs/>
                <w:color w:val="000000"/>
              </w:rPr>
              <w:t>4.5.2 Sensitization and Marketing Awareness Raising for BIGEE products</w:t>
            </w:r>
          </w:p>
          <w:p w14:paraId="3A507310" w14:textId="77777777" w:rsidR="0036794C" w:rsidRPr="0036794C" w:rsidRDefault="0036794C" w:rsidP="0036794C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ind w:left="360"/>
              <w:rPr>
                <w:rFonts w:ascii="Calibri" w:hAnsi="Calibri"/>
                <w:bCs/>
                <w:color w:val="000000"/>
              </w:rPr>
            </w:pPr>
            <w:r w:rsidRPr="003035F7">
              <w:rPr>
                <w:rFonts w:ascii="Calibri" w:hAnsi="Calibri"/>
                <w:bCs/>
                <w:color w:val="000000"/>
              </w:rPr>
              <w:t xml:space="preserve">4.4.3.1 Procurement of Laptops and Docking Station </w:t>
            </w:r>
          </w:p>
          <w:p w14:paraId="3B5AFE2F" w14:textId="77777777" w:rsidR="003035F7" w:rsidRPr="0036794C" w:rsidRDefault="003035F7" w:rsidP="00B40C8E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ind w:left="360"/>
              <w:rPr>
                <w:rFonts w:ascii="Calibri" w:hAnsi="Calibri"/>
                <w:bCs/>
                <w:color w:val="000000"/>
              </w:rPr>
            </w:pPr>
            <w:r w:rsidRPr="0036794C">
              <w:rPr>
                <w:rFonts w:ascii="Calibri" w:hAnsi="Calibri"/>
                <w:bCs/>
                <w:color w:val="000000"/>
              </w:rPr>
              <w:t xml:space="preserve">4.4.4.1 Subscription Service for </w:t>
            </w:r>
            <w:r w:rsidR="0036794C" w:rsidRPr="0036794C">
              <w:rPr>
                <w:rFonts w:ascii="Calibri" w:hAnsi="Calibri"/>
                <w:bCs/>
                <w:color w:val="000000"/>
              </w:rPr>
              <w:t>an</w:t>
            </w:r>
            <w:r w:rsidRPr="0036794C">
              <w:rPr>
                <w:rFonts w:ascii="Calibri" w:hAnsi="Calibri"/>
                <w:bCs/>
                <w:color w:val="000000"/>
              </w:rPr>
              <w:t xml:space="preserve"> Application Management Software</w:t>
            </w:r>
          </w:p>
          <w:p w14:paraId="2CD634F5" w14:textId="77777777" w:rsidR="0036794C" w:rsidRPr="0036794C" w:rsidRDefault="0036794C" w:rsidP="00B40C8E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ind w:left="360"/>
              <w:rPr>
                <w:rFonts w:ascii="Calibri" w:hAnsi="Calibri"/>
                <w:bCs/>
                <w:color w:val="000000"/>
              </w:rPr>
            </w:pPr>
            <w:r w:rsidRPr="0036794C">
              <w:rPr>
                <w:rFonts w:ascii="Calibri" w:hAnsi="Calibri"/>
                <w:bCs/>
                <w:color w:val="000000"/>
              </w:rPr>
              <w:t>4.4.4.2. Subscription Service for a Project Management Software</w:t>
            </w:r>
          </w:p>
          <w:p w14:paraId="30BA535A" w14:textId="77777777" w:rsidR="0036794C" w:rsidRPr="0036794C" w:rsidRDefault="0036794C" w:rsidP="00B40C8E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ind w:left="360"/>
              <w:rPr>
                <w:rFonts w:ascii="Calibri" w:hAnsi="Calibri"/>
                <w:bCs/>
                <w:color w:val="000000"/>
              </w:rPr>
            </w:pPr>
            <w:r w:rsidRPr="0036794C">
              <w:rPr>
                <w:rFonts w:ascii="Calibri" w:hAnsi="Calibri"/>
                <w:bCs/>
                <w:color w:val="000000"/>
              </w:rPr>
              <w:t xml:space="preserve">4.4.4.3 Subscription Service for a Business Advisory Software  </w:t>
            </w:r>
          </w:p>
          <w:p w14:paraId="771C6DF2" w14:textId="77777777" w:rsidR="0036794C" w:rsidRDefault="0036794C" w:rsidP="00B40C8E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ind w:left="360"/>
              <w:rPr>
                <w:rFonts w:ascii="Calibri" w:hAnsi="Calibri"/>
                <w:bCs/>
                <w:color w:val="000000"/>
              </w:rPr>
            </w:pPr>
            <w:r w:rsidRPr="0036794C">
              <w:rPr>
                <w:rFonts w:ascii="Calibri" w:hAnsi="Calibri"/>
                <w:bCs/>
                <w:color w:val="000000"/>
              </w:rPr>
              <w:t>4.4.4.4 Subscription Service for a Monitoring &amp; Evaluation Software</w:t>
            </w:r>
          </w:p>
          <w:p w14:paraId="18B2DD58" w14:textId="77777777" w:rsidR="0036794C" w:rsidRPr="002F5601" w:rsidRDefault="0036794C" w:rsidP="00B40C8E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ind w:left="360"/>
              <w:rPr>
                <w:rFonts w:ascii="Calibri" w:hAnsi="Calibri"/>
                <w:b/>
                <w:bCs/>
                <w:color w:val="000000"/>
                <w:u w:val="single"/>
              </w:rPr>
            </w:pPr>
          </w:p>
        </w:tc>
      </w:tr>
    </w:tbl>
    <w:p w14:paraId="21BE4CD8" w14:textId="77777777" w:rsidR="00321996" w:rsidRDefault="00321996" w:rsidP="00E33839">
      <w:pPr>
        <w:suppressAutoHyphens/>
        <w:jc w:val="both"/>
        <w:rPr>
          <w:rFonts w:ascii="Times New Roman" w:hAnsi="Times New Roman"/>
          <w:spacing w:val="-2"/>
          <w:sz w:val="24"/>
        </w:rPr>
      </w:pPr>
    </w:p>
    <w:p w14:paraId="1C96C194" w14:textId="06BD2261" w:rsidR="00E33839" w:rsidRPr="000A3359" w:rsidRDefault="00E33839" w:rsidP="00E33839">
      <w:pPr>
        <w:suppressAutoHyphens/>
        <w:jc w:val="both"/>
        <w:rPr>
          <w:rFonts w:ascii="Times New Roman" w:hAnsi="Times New Roman"/>
          <w:b/>
          <w:bCs/>
          <w:i/>
          <w:iCs/>
          <w:spacing w:val="-2"/>
          <w:sz w:val="24"/>
        </w:rPr>
      </w:pPr>
      <w:r>
        <w:rPr>
          <w:rFonts w:ascii="Times New Roman" w:hAnsi="Times New Roman"/>
          <w:spacing w:val="-2"/>
          <w:sz w:val="24"/>
        </w:rPr>
        <w:t xml:space="preserve">Procurement processes of contracts financed by the Inter-American Development Bank will be conducted in accordance with the </w:t>
      </w:r>
      <w:hyperlink r:id="rId10" w:history="1">
        <w:r w:rsidRPr="000A3359">
          <w:rPr>
            <w:b/>
            <w:bCs/>
            <w:i/>
            <w:iCs/>
          </w:rPr>
          <w:t>Policies for Procurement of Goods and Works financed by the Inter-American Development Bank</w:t>
        </w:r>
      </w:hyperlink>
      <w:r w:rsidRPr="000A3359">
        <w:rPr>
          <w:rFonts w:ascii="Times New Roman" w:hAnsi="Times New Roman"/>
          <w:b/>
          <w:bCs/>
          <w:i/>
          <w:iCs/>
          <w:spacing w:val="-2"/>
          <w:sz w:val="24"/>
        </w:rPr>
        <w:t xml:space="preserve"> (</w:t>
      </w:r>
      <w:r w:rsidR="009D3217" w:rsidRPr="000A3359">
        <w:rPr>
          <w:b/>
          <w:bCs/>
          <w:i/>
          <w:iCs/>
          <w:sz w:val="24"/>
        </w:rPr>
        <w:t>GN-2349-9, March 2011</w:t>
      </w:r>
      <w:r w:rsidRPr="000A3359">
        <w:rPr>
          <w:rFonts w:ascii="Times New Roman" w:hAnsi="Times New Roman"/>
          <w:b/>
          <w:bCs/>
          <w:i/>
          <w:iCs/>
          <w:spacing w:val="-2"/>
          <w:sz w:val="24"/>
        </w:rPr>
        <w:t>)</w:t>
      </w:r>
      <w:r w:rsidRPr="000A3359">
        <w:rPr>
          <w:rFonts w:ascii="Times New Roman" w:hAnsi="Times New Roman"/>
          <w:spacing w:val="-2"/>
          <w:sz w:val="24"/>
        </w:rPr>
        <w:t>,</w:t>
      </w:r>
      <w:r>
        <w:rPr>
          <w:rFonts w:ascii="Times New Roman" w:hAnsi="Times New Roman"/>
          <w:spacing w:val="-2"/>
          <w:sz w:val="24"/>
        </w:rPr>
        <w:t xml:space="preserve"> and is open to all eligible bidders as defined in the policies.</w:t>
      </w:r>
      <w:r w:rsidRPr="000A3359">
        <w:t xml:space="preserve"> </w:t>
      </w:r>
      <w:r>
        <w:rPr>
          <w:rFonts w:ascii="Times New Roman" w:hAnsi="Times New Roman"/>
          <w:spacing w:val="-2"/>
          <w:sz w:val="24"/>
        </w:rPr>
        <w:t xml:space="preserve">Consulting services will be selected and contracted in accordance with the </w:t>
      </w:r>
      <w:hyperlink r:id="rId11" w:history="1">
        <w:r w:rsidRPr="000A3359">
          <w:rPr>
            <w:b/>
            <w:bCs/>
            <w:i/>
            <w:iCs/>
          </w:rPr>
          <w:t>Policies for the Selection and Contracting of Consultants financed by the Inter-American Development Bank</w:t>
        </w:r>
      </w:hyperlink>
      <w:r w:rsidRPr="000A3359">
        <w:rPr>
          <w:rFonts w:ascii="Times New Roman" w:hAnsi="Times New Roman"/>
          <w:b/>
          <w:bCs/>
          <w:i/>
          <w:iCs/>
          <w:spacing w:val="-2"/>
          <w:sz w:val="24"/>
        </w:rPr>
        <w:t xml:space="preserve"> (</w:t>
      </w:r>
      <w:r w:rsidR="009D3217" w:rsidRPr="000A3359">
        <w:rPr>
          <w:rFonts w:ascii="Times New Roman" w:hAnsi="Times New Roman"/>
          <w:b/>
          <w:bCs/>
          <w:i/>
          <w:iCs/>
          <w:spacing w:val="-2"/>
          <w:sz w:val="24"/>
        </w:rPr>
        <w:t>GN-2350-9, March 2011</w:t>
      </w:r>
      <w:r w:rsidRPr="000A3359">
        <w:rPr>
          <w:rFonts w:ascii="Times New Roman" w:hAnsi="Times New Roman"/>
          <w:b/>
          <w:bCs/>
          <w:i/>
          <w:iCs/>
          <w:spacing w:val="-2"/>
          <w:sz w:val="24"/>
        </w:rPr>
        <w:t xml:space="preserve">). </w:t>
      </w:r>
    </w:p>
    <w:p w14:paraId="5E8D0CB3" w14:textId="5662E897" w:rsidR="00E33839" w:rsidRDefault="00E33839" w:rsidP="00F679CF">
      <w:pPr>
        <w:suppressAutoHyphens/>
        <w:jc w:val="both"/>
        <w:rPr>
          <w:rFonts w:ascii="Times New Roman" w:hAnsi="Times New Roman"/>
          <w:spacing w:val="-2"/>
          <w:sz w:val="24"/>
        </w:rPr>
      </w:pPr>
      <w:r>
        <w:rPr>
          <w:rFonts w:ascii="Times New Roman" w:hAnsi="Times New Roman"/>
          <w:spacing w:val="-2"/>
          <w:sz w:val="24"/>
        </w:rPr>
        <w:t xml:space="preserve">Specific procurement notices for contracts to be bid under the Inter-American Development Bank’s international competitive bidding (ICB) procedures, will be published as they become available. For consulting services expected to cost an amount equivalent to US $200.000 or more, a request for expressions of interest contracts will be advertised in </w:t>
      </w:r>
      <w:hyperlink r:id="rId12" w:history="1">
        <w:r w:rsidRPr="000A3359">
          <w:t>UN Development Business</w:t>
        </w:r>
      </w:hyperlink>
      <w:r w:rsidRPr="000A3359">
        <w:rPr>
          <w:rFonts w:ascii="Times New Roman" w:hAnsi="Times New Roman"/>
          <w:sz w:val="24"/>
        </w:rPr>
        <w:endnoteReference w:id="1"/>
      </w:r>
      <w:r w:rsidRPr="000A3359">
        <w:rPr>
          <w:rFonts w:ascii="Times New Roman" w:hAnsi="Times New Roman"/>
          <w:spacing w:val="-2"/>
          <w:sz w:val="24"/>
        </w:rPr>
        <w:t xml:space="preserve"> and </w:t>
      </w:r>
      <w:hyperlink r:id="rId13" w:history="1">
        <w:r w:rsidRPr="000A3359">
          <w:t>Inter-American Development Bank’s</w:t>
        </w:r>
      </w:hyperlink>
      <w:r w:rsidRPr="000A3359"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 xml:space="preserve">Web Site </w:t>
      </w:r>
      <w:r w:rsidR="008C1B2B">
        <w:rPr>
          <w:rFonts w:ascii="Times New Roman" w:hAnsi="Times New Roman"/>
          <w:spacing w:val="-2"/>
          <w:sz w:val="24"/>
        </w:rPr>
        <w:t xml:space="preserve">. In </w:t>
      </w:r>
      <w:r w:rsidR="000A3359">
        <w:rPr>
          <w:rFonts w:ascii="Times New Roman" w:hAnsi="Times New Roman"/>
          <w:spacing w:val="-2"/>
          <w:sz w:val="24"/>
        </w:rPr>
        <w:t>addition, where</w:t>
      </w:r>
      <w:r w:rsidR="0075428D">
        <w:rPr>
          <w:rFonts w:ascii="Times New Roman" w:hAnsi="Times New Roman"/>
          <w:spacing w:val="-2"/>
          <w:sz w:val="24"/>
        </w:rPr>
        <w:t xml:space="preserve"> necessary </w:t>
      </w:r>
      <w:r w:rsidR="008C1B2B">
        <w:rPr>
          <w:rFonts w:ascii="Times New Roman" w:hAnsi="Times New Roman"/>
          <w:spacing w:val="-2"/>
          <w:sz w:val="24"/>
        </w:rPr>
        <w:t>procurement activities for the BIGEE Project will be advertised within the</w:t>
      </w:r>
      <w:r w:rsidR="00F679CF">
        <w:rPr>
          <w:rFonts w:ascii="Times New Roman" w:hAnsi="Times New Roman"/>
          <w:spacing w:val="-2"/>
          <w:sz w:val="24"/>
        </w:rPr>
        <w:t xml:space="preserve"> local newspapers (Gleaner and Observer) through the </w:t>
      </w:r>
      <w:r w:rsidR="008C1B2B">
        <w:rPr>
          <w:rFonts w:ascii="Times New Roman" w:hAnsi="Times New Roman"/>
          <w:spacing w:val="-2"/>
          <w:sz w:val="24"/>
        </w:rPr>
        <w:t xml:space="preserve"> Jamaica Information Service (JIS) , public procurement </w:t>
      </w:r>
      <w:r w:rsidR="00F679CF" w:rsidRPr="000A3359">
        <w:rPr>
          <w:rFonts w:ascii="Times New Roman" w:hAnsi="Times New Roman"/>
          <w:spacing w:val="-2"/>
          <w:sz w:val="24"/>
        </w:rPr>
        <w:t xml:space="preserve">page and on the DBJ Website. </w:t>
      </w:r>
    </w:p>
    <w:p w14:paraId="642D293C" w14:textId="44B6B6A4" w:rsidR="00E33839" w:rsidRPr="000A3359" w:rsidRDefault="00E33839" w:rsidP="00E33839">
      <w:pPr>
        <w:pStyle w:val="BodyText"/>
        <w:jc w:val="both"/>
        <w:rPr>
          <w:rFonts w:ascii="Times New Roman" w:eastAsiaTheme="minorHAnsi" w:hAnsi="Times New Roman" w:cstheme="minorBidi"/>
          <w:szCs w:val="22"/>
        </w:rPr>
      </w:pPr>
      <w:r w:rsidRPr="000A3359">
        <w:rPr>
          <w:rFonts w:ascii="Times New Roman" w:eastAsiaTheme="minorHAnsi" w:hAnsi="Times New Roman" w:cstheme="minorBidi"/>
          <w:szCs w:val="22"/>
        </w:rPr>
        <w:t>Interested eligible bidders and consultants who wish to be included on the mailing list to receive invitations to bid under ICB procedures, and interested consultants who wish to receive a copy of advertisement requesting expressions of interest for consultancy contracts, or those requiring additional information, should contact the address below:</w:t>
      </w:r>
    </w:p>
    <w:p w14:paraId="3393C674" w14:textId="77777777" w:rsidR="00706A04" w:rsidRPr="00706A04" w:rsidRDefault="00706A04" w:rsidP="00706A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3119F2" w14:textId="77777777" w:rsidR="00706A04" w:rsidRPr="000A3359" w:rsidRDefault="00706A04" w:rsidP="00706A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"/>
          <w:sz w:val="24"/>
        </w:rPr>
      </w:pPr>
    </w:p>
    <w:p w14:paraId="41BD2F88" w14:textId="4FAC7B58" w:rsidR="00706A04" w:rsidRPr="000A3359" w:rsidRDefault="00706A04" w:rsidP="00706A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pacing w:val="-2"/>
          <w:sz w:val="24"/>
        </w:rPr>
      </w:pPr>
      <w:r w:rsidRPr="000A3359">
        <w:rPr>
          <w:rFonts w:ascii="Times New Roman" w:hAnsi="Times New Roman"/>
          <w:spacing w:val="-2"/>
          <w:sz w:val="24"/>
        </w:rPr>
        <w:t>Address:</w:t>
      </w:r>
    </w:p>
    <w:p w14:paraId="2704BA3C" w14:textId="4FA4DED0" w:rsidR="000A3359" w:rsidRPr="000A3359" w:rsidRDefault="000A3359" w:rsidP="00706A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pacing w:val="-2"/>
          <w:sz w:val="24"/>
        </w:rPr>
      </w:pPr>
      <w:r w:rsidRPr="000A3359">
        <w:rPr>
          <w:rFonts w:ascii="Times New Roman" w:hAnsi="Times New Roman"/>
          <w:spacing w:val="-2"/>
          <w:sz w:val="24"/>
        </w:rPr>
        <w:t>Development Bank of Jamaica Limited</w:t>
      </w:r>
    </w:p>
    <w:p w14:paraId="5C9A55C9" w14:textId="77777777" w:rsidR="000A3359" w:rsidRDefault="00706A04" w:rsidP="000A335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pacing w:val="-2"/>
          <w:sz w:val="24"/>
        </w:rPr>
      </w:pPr>
      <w:r w:rsidRPr="000A3359">
        <w:rPr>
          <w:rFonts w:ascii="Times New Roman" w:hAnsi="Times New Roman"/>
          <w:spacing w:val="-2"/>
          <w:sz w:val="24"/>
        </w:rPr>
        <w:t xml:space="preserve">Attn: </w:t>
      </w:r>
      <w:r w:rsidR="000A3359" w:rsidRPr="000A3359">
        <w:rPr>
          <w:rFonts w:ascii="Times New Roman" w:hAnsi="Times New Roman"/>
          <w:spacing w:val="-2"/>
          <w:sz w:val="24"/>
        </w:rPr>
        <w:t xml:space="preserve">Project Manager /Procurement Specialist </w:t>
      </w:r>
    </w:p>
    <w:p w14:paraId="59608844" w14:textId="77777777" w:rsidR="00C33E0E" w:rsidRDefault="000A3359" w:rsidP="00C33E0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pacing w:val="-2"/>
          <w:sz w:val="24"/>
        </w:rPr>
      </w:pPr>
      <w:r w:rsidRPr="000A3359">
        <w:rPr>
          <w:rFonts w:ascii="Times New Roman" w:hAnsi="Times New Roman"/>
          <w:spacing w:val="-2"/>
          <w:sz w:val="24"/>
        </w:rPr>
        <w:t xml:space="preserve">Boosting Innovation Growth and Entrepreneurship Ecosystems (BIGEE) project.  </w:t>
      </w:r>
    </w:p>
    <w:p w14:paraId="64C950D3" w14:textId="48BB6D65" w:rsidR="000A3359" w:rsidRPr="000A3359" w:rsidRDefault="000A3359" w:rsidP="00C33E0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pacing w:val="-2"/>
          <w:sz w:val="24"/>
        </w:rPr>
      </w:pPr>
      <w:r w:rsidRPr="000A3359">
        <w:rPr>
          <w:spacing w:val="-2"/>
          <w:sz w:val="24"/>
        </w:rPr>
        <w:t>11a-15 Oxford Road, Kingston 5</w:t>
      </w:r>
    </w:p>
    <w:p w14:paraId="1ED23866" w14:textId="313FFB92" w:rsidR="00706A04" w:rsidRPr="000A3359" w:rsidRDefault="00706A04" w:rsidP="00706A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pacing w:val="-2"/>
          <w:sz w:val="24"/>
        </w:rPr>
      </w:pPr>
      <w:r w:rsidRPr="000A3359">
        <w:rPr>
          <w:rFonts w:ascii="Times New Roman" w:hAnsi="Times New Roman"/>
          <w:spacing w:val="-2"/>
          <w:sz w:val="24"/>
        </w:rPr>
        <w:t xml:space="preserve">Tel: </w:t>
      </w:r>
      <w:hyperlink r:id="rId14" w:history="1">
        <w:r w:rsidR="000A3359" w:rsidRPr="000A3359">
          <w:rPr>
            <w:rFonts w:ascii="Times New Roman" w:hAnsi="Times New Roman"/>
            <w:spacing w:val="-2"/>
            <w:sz w:val="24"/>
          </w:rPr>
          <w:t>(876) 929-4000</w:t>
        </w:r>
      </w:hyperlink>
      <w:r w:rsidR="000A3359" w:rsidRPr="000A3359" w:rsidDel="000A3359">
        <w:rPr>
          <w:rFonts w:ascii="Times New Roman" w:hAnsi="Times New Roman"/>
          <w:spacing w:val="-2"/>
          <w:sz w:val="24"/>
        </w:rPr>
        <w:t xml:space="preserve"> </w:t>
      </w:r>
    </w:p>
    <w:p w14:paraId="01CA70B5" w14:textId="7C7253CD" w:rsidR="00706A04" w:rsidRPr="000A3359" w:rsidRDefault="00706A04" w:rsidP="00706A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pacing w:val="-2"/>
          <w:sz w:val="24"/>
        </w:rPr>
      </w:pPr>
      <w:r w:rsidRPr="000A3359">
        <w:rPr>
          <w:rFonts w:ascii="Times New Roman" w:hAnsi="Times New Roman"/>
          <w:spacing w:val="-2"/>
          <w:sz w:val="24"/>
        </w:rPr>
        <w:t xml:space="preserve">Fax: </w:t>
      </w:r>
      <w:r w:rsidR="000A3359" w:rsidRPr="000A3359">
        <w:rPr>
          <w:rFonts w:ascii="Times New Roman" w:hAnsi="Times New Roman"/>
          <w:spacing w:val="-2"/>
          <w:sz w:val="24"/>
        </w:rPr>
        <w:t>876-960-2790</w:t>
      </w:r>
      <w:r w:rsidR="000A3359" w:rsidRPr="000A3359" w:rsidDel="000A3359">
        <w:rPr>
          <w:rFonts w:ascii="Times New Roman" w:hAnsi="Times New Roman"/>
          <w:spacing w:val="-2"/>
          <w:sz w:val="24"/>
        </w:rPr>
        <w:t xml:space="preserve"> </w:t>
      </w:r>
    </w:p>
    <w:p w14:paraId="4E528673" w14:textId="1423326B" w:rsidR="00706A04" w:rsidRPr="000A3359" w:rsidRDefault="00C33E0E" w:rsidP="00706A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pacing w:val="-2"/>
          <w:sz w:val="24"/>
        </w:rPr>
      </w:pPr>
      <w:r w:rsidRPr="000A3359">
        <w:rPr>
          <w:rFonts w:ascii="Times New Roman" w:hAnsi="Times New Roman"/>
          <w:spacing w:val="-2"/>
          <w:sz w:val="24"/>
        </w:rPr>
        <w:t>E-mail: thinkbigee@dbankjm.com</w:t>
      </w:r>
    </w:p>
    <w:p w14:paraId="3CBEC1D5" w14:textId="56C0F449" w:rsidR="000A3359" w:rsidRPr="000A3359" w:rsidRDefault="00706A04" w:rsidP="000A3359">
      <w:pPr>
        <w:shd w:val="clear" w:color="auto" w:fill="FFFFFF"/>
        <w:contextualSpacing/>
        <w:textAlignment w:val="baseline"/>
        <w:rPr>
          <w:rFonts w:ascii="Times New Roman" w:hAnsi="Times New Roman"/>
          <w:spacing w:val="-2"/>
          <w:sz w:val="24"/>
        </w:rPr>
      </w:pPr>
      <w:r w:rsidRPr="000A3359">
        <w:rPr>
          <w:rFonts w:ascii="Times New Roman" w:hAnsi="Times New Roman"/>
          <w:spacing w:val="-2"/>
          <w:sz w:val="24"/>
        </w:rPr>
        <w:t>Website:</w:t>
      </w:r>
      <w:r w:rsidR="00284B4F" w:rsidRPr="000A3359">
        <w:rPr>
          <w:rFonts w:ascii="Times New Roman" w:hAnsi="Times New Roman"/>
          <w:spacing w:val="-2"/>
          <w:sz w:val="24"/>
        </w:rPr>
        <w:t xml:space="preserve"> </w:t>
      </w:r>
      <w:r w:rsidR="000A3359" w:rsidRPr="000A3359">
        <w:rPr>
          <w:rFonts w:ascii="Times New Roman" w:hAnsi="Times New Roman"/>
          <w:spacing w:val="-2"/>
          <w:sz w:val="24"/>
        </w:rPr>
        <w:t>https://dbankjm.com</w:t>
      </w:r>
    </w:p>
    <w:p w14:paraId="4EFCDA8C" w14:textId="7D1ED5B4" w:rsidR="0025414F" w:rsidRDefault="0025414F" w:rsidP="00706A04">
      <w:pPr>
        <w:rPr>
          <w:rFonts w:ascii="Times New Roman" w:hAnsi="Times New Roman" w:cs="Times New Roman"/>
          <w:iCs/>
          <w:sz w:val="24"/>
          <w:szCs w:val="24"/>
        </w:rPr>
      </w:pPr>
    </w:p>
    <w:p w14:paraId="267CE934" w14:textId="210B40F7" w:rsidR="000A3359" w:rsidRDefault="000A3359" w:rsidP="00706A04">
      <w:pPr>
        <w:rPr>
          <w:rFonts w:ascii="Times New Roman" w:hAnsi="Times New Roman" w:cs="Times New Roman"/>
          <w:iCs/>
          <w:sz w:val="24"/>
          <w:szCs w:val="24"/>
        </w:rPr>
      </w:pPr>
    </w:p>
    <w:p w14:paraId="47C80BBD" w14:textId="77777777" w:rsidR="000A3359" w:rsidRPr="003569E2" w:rsidRDefault="000A3359" w:rsidP="00706A04">
      <w:pPr>
        <w:rPr>
          <w:rFonts w:ascii="Times New Roman" w:hAnsi="Times New Roman" w:cs="Times New Roman"/>
          <w:sz w:val="24"/>
          <w:szCs w:val="24"/>
        </w:rPr>
      </w:pPr>
    </w:p>
    <w:sectPr w:rsidR="000A3359" w:rsidRPr="003569E2" w:rsidSect="002541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56328" w14:textId="77777777" w:rsidR="00E33839" w:rsidRDefault="00E33839" w:rsidP="00E33839">
      <w:pPr>
        <w:spacing w:after="0" w:line="240" w:lineRule="auto"/>
      </w:pPr>
      <w:r>
        <w:separator/>
      </w:r>
    </w:p>
  </w:endnote>
  <w:endnote w:type="continuationSeparator" w:id="0">
    <w:p w14:paraId="4C5CA192" w14:textId="77777777" w:rsidR="00E33839" w:rsidRDefault="00E33839" w:rsidP="00E33839">
      <w:pPr>
        <w:spacing w:after="0" w:line="240" w:lineRule="auto"/>
      </w:pPr>
      <w:r>
        <w:continuationSeparator/>
      </w:r>
    </w:p>
  </w:endnote>
  <w:endnote w:id="1">
    <w:p w14:paraId="5C19EB3C" w14:textId="77777777" w:rsidR="00E33839" w:rsidRDefault="00E33839" w:rsidP="00E33839">
      <w:pPr>
        <w:pStyle w:val="EndnoteText"/>
        <w:ind w:left="120" w:hanging="120"/>
        <w:rPr>
          <w:sz w:val="18"/>
        </w:rPr>
      </w:pPr>
      <w:r>
        <w:rPr>
          <w:rStyle w:val="EndnoteReference"/>
        </w:rPr>
        <w:endnoteRef/>
      </w:r>
      <w:r>
        <w:rPr>
          <w:sz w:val="22"/>
        </w:rPr>
        <w:t xml:space="preserve"> </w:t>
      </w:r>
      <w:r>
        <w:rPr>
          <w:rFonts w:ascii="CG Times" w:hAnsi="CG Times"/>
          <w:spacing w:val="-2"/>
          <w:sz w:val="18"/>
        </w:rPr>
        <w:t xml:space="preserve">The notice must be sent to: </w:t>
      </w:r>
      <w:r>
        <w:rPr>
          <w:sz w:val="18"/>
        </w:rPr>
        <w:t>dbusiness@un.org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A91D41" w14:textId="77777777" w:rsidR="00E33839" w:rsidRDefault="00E33839" w:rsidP="00E33839">
      <w:pPr>
        <w:spacing w:after="0" w:line="240" w:lineRule="auto"/>
      </w:pPr>
      <w:r>
        <w:separator/>
      </w:r>
    </w:p>
  </w:footnote>
  <w:footnote w:type="continuationSeparator" w:id="0">
    <w:p w14:paraId="341BA63C" w14:textId="77777777" w:rsidR="00E33839" w:rsidRDefault="00E33839" w:rsidP="00E338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A24E7"/>
    <w:multiLevelType w:val="hybridMultilevel"/>
    <w:tmpl w:val="A7AE72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96E2068"/>
    <w:multiLevelType w:val="hybridMultilevel"/>
    <w:tmpl w:val="D30ADB9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1330AA"/>
    <w:multiLevelType w:val="hybridMultilevel"/>
    <w:tmpl w:val="633C7DB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6D6028"/>
    <w:multiLevelType w:val="hybridMultilevel"/>
    <w:tmpl w:val="6E28580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A04"/>
    <w:rsid w:val="00066977"/>
    <w:rsid w:val="0007180F"/>
    <w:rsid w:val="000A3359"/>
    <w:rsid w:val="000F224C"/>
    <w:rsid w:val="0011719F"/>
    <w:rsid w:val="00236830"/>
    <w:rsid w:val="00237AEF"/>
    <w:rsid w:val="0025414F"/>
    <w:rsid w:val="0026027D"/>
    <w:rsid w:val="00284B4F"/>
    <w:rsid w:val="002A3E00"/>
    <w:rsid w:val="002D1E1A"/>
    <w:rsid w:val="003035F7"/>
    <w:rsid w:val="00321996"/>
    <w:rsid w:val="003569E2"/>
    <w:rsid w:val="0036794C"/>
    <w:rsid w:val="00441A8A"/>
    <w:rsid w:val="004A3BC9"/>
    <w:rsid w:val="004A783C"/>
    <w:rsid w:val="00524AA5"/>
    <w:rsid w:val="00693D53"/>
    <w:rsid w:val="006D4785"/>
    <w:rsid w:val="00706A04"/>
    <w:rsid w:val="0075428D"/>
    <w:rsid w:val="00760CFF"/>
    <w:rsid w:val="007C1782"/>
    <w:rsid w:val="007F108D"/>
    <w:rsid w:val="00871AF4"/>
    <w:rsid w:val="008727E7"/>
    <w:rsid w:val="00882A9B"/>
    <w:rsid w:val="008C1B2B"/>
    <w:rsid w:val="00914FA0"/>
    <w:rsid w:val="009201CD"/>
    <w:rsid w:val="009B03CD"/>
    <w:rsid w:val="009D3217"/>
    <w:rsid w:val="00A14512"/>
    <w:rsid w:val="00A346DA"/>
    <w:rsid w:val="00B03E2E"/>
    <w:rsid w:val="00B97A39"/>
    <w:rsid w:val="00C264D9"/>
    <w:rsid w:val="00C33E0E"/>
    <w:rsid w:val="00C55B0D"/>
    <w:rsid w:val="00CD4D8E"/>
    <w:rsid w:val="00D06E21"/>
    <w:rsid w:val="00D109CD"/>
    <w:rsid w:val="00D47C6F"/>
    <w:rsid w:val="00D50029"/>
    <w:rsid w:val="00D56BCB"/>
    <w:rsid w:val="00D80671"/>
    <w:rsid w:val="00E061D7"/>
    <w:rsid w:val="00E31684"/>
    <w:rsid w:val="00E33839"/>
    <w:rsid w:val="00EE3A33"/>
    <w:rsid w:val="00F44FFC"/>
    <w:rsid w:val="00F614A3"/>
    <w:rsid w:val="00F679CF"/>
    <w:rsid w:val="00F82E82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EA5C7"/>
  <w15:docId w15:val="{931AA416-EC1F-445D-964E-FB4C7BC04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1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semiHidden/>
    <w:rsid w:val="00E33839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33839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semiHidden/>
    <w:rsid w:val="00E33839"/>
    <w:rPr>
      <w:rFonts w:ascii="CG Times" w:hAnsi="CG Times"/>
      <w:noProof w:val="0"/>
      <w:sz w:val="22"/>
      <w:vertAlign w:val="superscript"/>
      <w:lang w:val="en-US"/>
    </w:rPr>
  </w:style>
  <w:style w:type="paragraph" w:styleId="BodyText">
    <w:name w:val="Body Text"/>
    <w:basedOn w:val="Normal"/>
    <w:link w:val="BodyTextChar"/>
    <w:semiHidden/>
    <w:rsid w:val="00E33839"/>
    <w:pPr>
      <w:suppressAutoHyphens/>
      <w:spacing w:after="0" w:line="240" w:lineRule="auto"/>
    </w:pPr>
    <w:rPr>
      <w:rFonts w:ascii="CG Times" w:eastAsia="Times New Roman" w:hAnsi="CG Times" w:cs="Times New Roman"/>
      <w:spacing w:val="-2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E33839"/>
    <w:rPr>
      <w:rFonts w:ascii="CG Times" w:eastAsia="Times New Roman" w:hAnsi="CG Times" w:cs="Times New Roman"/>
      <w:spacing w:val="-2"/>
      <w:sz w:val="24"/>
      <w:szCs w:val="20"/>
    </w:rPr>
  </w:style>
  <w:style w:type="character" w:styleId="Hyperlink">
    <w:name w:val="Hyperlink"/>
    <w:basedOn w:val="DefaultParagraphFont"/>
    <w:semiHidden/>
    <w:rsid w:val="00E3383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68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FF0E68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F0E68"/>
    <w:pPr>
      <w:ind w:left="720"/>
      <w:contextualSpacing/>
    </w:pPr>
    <w:rPr>
      <w:rFonts w:eastAsiaTheme="minorEastAsia" w:cs="Times New Roman"/>
    </w:rPr>
  </w:style>
  <w:style w:type="paragraph" w:styleId="Header">
    <w:name w:val="header"/>
    <w:basedOn w:val="Normal"/>
    <w:link w:val="HeaderChar"/>
    <w:uiPriority w:val="99"/>
    <w:unhideWhenUsed/>
    <w:rsid w:val="00F614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14A3"/>
  </w:style>
  <w:style w:type="paragraph" w:styleId="Footer">
    <w:name w:val="footer"/>
    <w:basedOn w:val="Normal"/>
    <w:link w:val="FooterChar"/>
    <w:uiPriority w:val="99"/>
    <w:unhideWhenUsed/>
    <w:rsid w:val="00F614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4A3"/>
  </w:style>
  <w:style w:type="paragraph" w:styleId="NormalWeb">
    <w:name w:val="Normal (Web)"/>
    <w:basedOn w:val="Normal"/>
    <w:uiPriority w:val="99"/>
    <w:unhideWhenUsed/>
    <w:rsid w:val="000A33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JM" w:eastAsia="en-J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7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6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condc05.iadb.org/idbppi/aspx/ppProcurement.aspx?pLanguage=ENGLISH" TargetMode="Externa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21" Type="http://schemas.openxmlformats.org/officeDocument/2006/relationships/customXml" Target="../customXml/item5.xml"/><Relationship Id="rId7" Type="http://schemas.openxmlformats.org/officeDocument/2006/relationships/image" Target="media/image1.jpeg"/><Relationship Id="rId12" Type="http://schemas.openxmlformats.org/officeDocument/2006/relationships/hyperlink" Target="http://www.devbusiness.c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20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condc05.iadb.org/idbppis?pLanguage=ENGLISH&amp;pMenuOption=oMenuPolicie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condc05.iadb.org/idbppis?pLanguage=ENGLISH&amp;pMenuOption=oMenuPolicies" TargetMode="Externa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ww.google.com/search?gs_ssp=eJzj4tFP1zcsKKkwKsgxLTJgtFI1qLBITUkyTks0SUpKMTQyNzS1MqhIMTdNSTROS0s2s7BMTjO08JJOSS1LzckvyE3NK1FISszLVshPU8hKzE3MTE4EABaRGmA&amp;q=development+bank+of+jamaica&amp;rlz=1C1GCEU_enJM963JM963&amp;oq=development+&amp;aqs=chrome.2.69i57j35i39j46i175i199i512j0i131i433i512j0i512l6.5953j0j15&amp;sourceid=chrome&amp;ie=UTF-8" TargetMode="External"/><Relationship Id="rId22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13405A1865DD994FB4B522EAA0D5FF01" ma:contentTypeVersion="1781" ma:contentTypeDescription="The base project type from which other project content types inherit their information." ma:contentTypeScope="" ma:versionID="2aef087d2f99ae19fcbe9b2416ee994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d08ff869c760b631c37d14c9a688791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  <xsd:element ref="ns2:Extracted_x0020_Keywords" minOccurs="0"/>
                <xsd:element ref="ns2:Approval_x0020_date" minOccurs="0"/>
                <xsd:element ref="ns2:Transaction_x0020_Type" minOccurs="0"/>
                <xsd:element ref="ns2:Transaction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JA-L1085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47" nillable="true" ma:displayName="Extracted Keywords" ma:internalName="Extracted_x0020_Keyword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ez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Approval_x0020_date" ma:index="48" nillable="true" ma:displayName="Approval date" ma:format="DateOnly" ma:internalName="Approval_x0020_date">
      <xsd:simpleType>
        <xsd:restriction base="dms:DateTime"/>
      </xsd:simpleType>
    </xsd:element>
    <xsd:element name="Transaction_x0020_Type" ma:index="49" nillable="true" ma:displayName="Transaction Type" ma:format="Dropdown" ma:internalName="Transaction_x0020_Type">
      <xsd:simpleType>
        <xsd:restriction base="dms:Choice">
          <xsd:enumeration value="APR"/>
          <xsd:enumeration value="APRR"/>
          <xsd:enumeration value="APRA"/>
          <xsd:enumeration value="API"/>
          <xsd:enumeration value="INC"/>
          <xsd:enumeration value="INCR"/>
          <xsd:enumeration value="BCL"/>
          <xsd:enumeration value="BCC"/>
          <xsd:enumeration value="FCM"/>
          <xsd:enumeration value="FCP"/>
          <xsd:enumeration value="FCPR"/>
          <xsd:enumeration value="FCA"/>
        </xsd:restriction>
      </xsd:simpleType>
    </xsd:element>
    <xsd:element name="Transaction_x0020_Number" ma:index="50" nillable="true" ma:displayName="Transaction Number" ma:internalName="Transaction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C40E5088BFF6D945B6DFF7B624FF65E5" ma:contentTypeVersion="1054" ma:contentTypeDescription="A content type to manage public (operations) IDB documents" ma:contentTypeScope="" ma:versionID="b4979ecda5f20306f637ddca65f5177e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6b4a873a761af0d84082f4f9b12cc1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Extracted_x0020_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JA-L1085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55" nillable="true" ma:displayName="Extracted Keywords" ma:hidden="true" ma:internalName="Extracted_x0020_Keywords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ez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 xsi:nil="true"/>
    <Key_x0020_Document xmlns="cdc7663a-08f0-4737-9e8c-148ce897a09c">false</Key_x0020_Document>
    <Division_x0020_or_x0020_Unit xmlns="cdc7663a-08f0-4737-9e8c-148ce897a09c">CCB/CJA</Division_x0020_or_x0020_Unit>
    <_dlc_DocId xmlns="cdc7663a-08f0-4737-9e8c-148ce897a09c">EZSHARE-84357444-239</_dlc_DocId>
    <Document_x0020_Author xmlns="cdc7663a-08f0-4737-9e8c-148ce897a09c">Blair Sudaney</Document_x0020_Author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Jamaica</TermName>
          <TermId xmlns="http://schemas.microsoft.com/office/infopath/2007/PartnerControls">284b90e7-9693-4db7-a23e-8f79c831fe9a</TermId>
        </TermInfo>
      </Terms>
    </ic46d7e087fd4a108fb86518ca413cc6>
    <b26cdb1da78c4bb4b1c1bac2f6ac5911 xmlns="cdc7663a-08f0-4737-9e8c-148ce897a09c">
      <Terms xmlns="http://schemas.microsoft.com/office/infopath/2007/PartnerControls"/>
    </b26cdb1da78c4bb4b1c1bac2f6ac5911>
    <Extracted_x0020_Keywords xmlns="cdc7663a-08f0-4737-9e8c-148ce897a09c" xsi:nil="true"/>
    <Project_x0020_Number xmlns="cdc7663a-08f0-4737-9e8c-148ce897a09c">JA-L1085</Project_x0020_Number>
    <Migration_x0020_Info xmlns="cdc7663a-08f0-4737-9e8c-148ce897a09c" xsi:nil="true"/>
    <Package_x0020_Code xmlns="cdc7663a-08f0-4737-9e8c-148ce897a09c" xsi:nil="true"/>
    <Related_x0020_SisCor_x0020_Number xmlns="cdc7663a-08f0-4737-9e8c-148ce897a09c" xsi:nil="true"/>
    <Approval_x0020_Number xmlns="cdc7663a-08f0-4737-9e8c-148ce897a09c">4860/OC-JA</Approval_x0020_Number>
    <Business_x0020_Area xmlns="cdc7663a-08f0-4737-9e8c-148ce897a09c">Bussiness Area SGP</Business_x0020_Area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SISCOR_x0020_Number xmlns="cdc7663a-08f0-4737-9e8c-148ce897a09c" xsi:nil="true"/>
    <Access_x0020_to_x0020_Information_x00a0_Policy xmlns="cdc7663a-08f0-4737-9e8c-148ce897a09c">Public</Access_x0020_to_x0020_Information_x00a0_Policy>
    <Identifier xmlns="cdc7663a-08f0-4737-9e8c-148ce897a09c" xsi:nil="true"/>
    <Document_x0020_Language_x0020_IDB xmlns="cdc7663a-08f0-4737-9e8c-148ce897a09c">English</Document_x0020_Language_x0020_IDB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SMALL AND MEDIUM ENTERPRISE</TermName>
          <TermId xmlns="http://schemas.microsoft.com/office/infopath/2007/PartnerControls">dc60e909-07f3-41c5-be67-c26ad544a0ce</TermId>
        </TermInfo>
      </Terms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Url xmlns="cdc7663a-08f0-4737-9e8c-148ce897a09c">
      <Url>https://idbg.sharepoint.com/teams/EZ-JA-LON/JA-L1085/_layouts/15/DocIdRedir.aspx?ID=EZSHARE-84357444-239</Url>
      <Description>EZSHARE-84357444-239</Description>
    </_dlc_DocIdUrl>
    <Phase xmlns="cdc7663a-08f0-4737-9e8c-148ce897a09c">PHASE_IMPLEMENTATION</Phase>
    <Other_x0020_Author xmlns="cdc7663a-08f0-4737-9e8c-148ce897a09c" xsi:nil="true"/>
    <IDBDocs_x0020_Number xmlns="cdc7663a-08f0-4737-9e8c-148ce897a09c" xsi:nil="true"/>
    <TaxCatchAll xmlns="cdc7663a-08f0-4737-9e8c-148ce897a09c">
      <Value>25</Value>
      <Value>9</Value>
      <Value>169</Value>
    </TaxCatchAll>
    <Fiscal_x0020_Year_x0020_IDB xmlns="cdc7663a-08f0-4737-9e8c-148ce897a09c">2021</Fiscal_x0020_Year_x0020_IDB>
    <Operation_x0020_Type xmlns="cdc7663a-08f0-4737-9e8c-148ce897a09c">LON</Operation_x0020_Type>
    <Disclosure_x0020_Activity xmlns="cdc7663a-08f0-4737-9e8c-148ce897a09c">General Procurement Notices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F2A29956-7FA4-4F19-B0BD-708E57BB8E38}"/>
</file>

<file path=customXml/itemProps2.xml><?xml version="1.0" encoding="utf-8"?>
<ds:datastoreItem xmlns:ds="http://schemas.openxmlformats.org/officeDocument/2006/customXml" ds:itemID="{F3EE224D-F2A1-414B-910A-D4EB8B90EDCE}"/>
</file>

<file path=customXml/itemProps3.xml><?xml version="1.0" encoding="utf-8"?>
<ds:datastoreItem xmlns:ds="http://schemas.openxmlformats.org/officeDocument/2006/customXml" ds:itemID="{6691CC50-F5DC-4059-9CCD-B9E2FE510F60}"/>
</file>

<file path=customXml/itemProps4.xml><?xml version="1.0" encoding="utf-8"?>
<ds:datastoreItem xmlns:ds="http://schemas.openxmlformats.org/officeDocument/2006/customXml" ds:itemID="{79734089-D4FE-452B-B59E-E2816BD92EB9}"/>
</file>

<file path=customXml/itemProps5.xml><?xml version="1.0" encoding="utf-8"?>
<ds:datastoreItem xmlns:ds="http://schemas.openxmlformats.org/officeDocument/2006/customXml" ds:itemID="{FBBCAC7E-2753-42EE-A219-1B7011A79782}"/>
</file>

<file path=customXml/itemProps6.xml><?xml version="1.0" encoding="utf-8"?>
<ds:datastoreItem xmlns:ds="http://schemas.openxmlformats.org/officeDocument/2006/customXml" ds:itemID="{3D2DB35E-E94D-45E7-A2B2-F46D4462B2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1037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mariasa</dc:creator>
  <cp:keywords/>
  <dc:description/>
  <cp:lastModifiedBy>Andre Austin</cp:lastModifiedBy>
  <cp:revision>2</cp:revision>
  <dcterms:created xsi:type="dcterms:W3CDTF">2021-10-25T15:04:00Z</dcterms:created>
  <dcterms:modified xsi:type="dcterms:W3CDTF">2021-10-25T15:04:00Z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5" name="TaxKeywordTaxHTField">
    <vt:lpwstr/>
  </property>
  <property fmtid="{D5CDD505-2E9C-101B-9397-08002B2CF9AE}" pid="7" name="Sub-Sector">
    <vt:lpwstr>169;#SMALL AND MEDIUM ENTERPRISE|dc60e909-07f3-41c5-be67-c26ad544a0ce</vt:lpwstr>
  </property>
  <property fmtid="{D5CDD505-2E9C-101B-9397-08002B2CF9AE}" pid="8" name="Country">
    <vt:lpwstr>25;#Jamaica|284b90e7-9693-4db7-a23e-8f79c831fe9a</vt:lpwstr>
  </property>
  <property fmtid="{D5CDD505-2E9C-101B-9397-08002B2CF9AE}" pid="9" name="_dlc_DocIdItemGuid">
    <vt:lpwstr>be666894-05c3-43c7-8800-fe46ff9a5362</vt:lpwstr>
  </property>
  <property fmtid="{D5CDD505-2E9C-101B-9397-08002B2CF9AE}" pid="10" name="Fund IDB">
    <vt:lpwstr/>
  </property>
  <property fmtid="{D5CDD505-2E9C-101B-9397-08002B2CF9AE}" pid="11" name="Fund_x0020_IDB">
    <vt:lpwstr/>
  </property>
  <property fmtid="{D5CDD505-2E9C-101B-9397-08002B2CF9AE}" pid="12" name="Series_x0020_Operations_x0020_IDB">
    <vt:lpwstr/>
  </property>
  <property fmtid="{D5CDD505-2E9C-101B-9397-08002B2CF9AE}" pid="13" name="Sector IDB">
    <vt:lpwstr/>
  </property>
  <property fmtid="{D5CDD505-2E9C-101B-9397-08002B2CF9AE}" pid="14" name="Function Operations IDB">
    <vt:lpwstr>9;#Goods and Services|5bfebf1b-9f1f-4411-b1dd-4c19b807b799</vt:lpwstr>
  </property>
  <property fmtid="{D5CDD505-2E9C-101B-9397-08002B2CF9AE}" pid="15" name="Sector_x0020_IDB">
    <vt:lpwstr/>
  </property>
  <property fmtid="{D5CDD505-2E9C-101B-9397-08002B2CF9AE}" pid="17" name="Disclosure Activity">
    <vt:lpwstr>General Procurement Notices</vt:lpwstr>
  </property>
  <property fmtid="{D5CDD505-2E9C-101B-9397-08002B2CF9AE}" pid="19" name="ContentTypeId">
    <vt:lpwstr>0x0101001A458A224826124E8B45B1D613300CFC00C40E5088BFF6D945B6DFF7B624FF65E5</vt:lpwstr>
  </property>
  <property fmtid="{D5CDD505-2E9C-101B-9397-08002B2CF9AE}" pid="20" name="Series Operations IDB">
    <vt:lpwstr/>
  </property>
</Properties>
</file>