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3" w:type="dxa"/>
        <w:tblInd w:w="-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4"/>
        <w:gridCol w:w="3871"/>
        <w:gridCol w:w="3283"/>
        <w:gridCol w:w="3285"/>
      </w:tblGrid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93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pStyle w:val="Newpage"/>
              <w:tabs>
                <w:tab w:val="clear" w:pos="3060"/>
              </w:tabs>
              <w:spacing w:before="0" w:after="60"/>
              <w:rPr>
                <w:smallCaps w:val="0"/>
                <w:sz w:val="16"/>
              </w:rPr>
            </w:pPr>
            <w:r>
              <w:rPr>
                <w:smallCaps w:val="0"/>
                <w:sz w:val="16"/>
              </w:rPr>
              <w:t>ANEXO I - MATRIZ DEL MARCO LÓGICO</w:t>
            </w:r>
          </w:p>
          <w:p w:rsidR="007E61B3" w:rsidRDefault="007E61B3">
            <w:pPr>
              <w:spacing w:before="60" w:after="60"/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(TC –0303022-CO)</w:t>
            </w:r>
          </w:p>
          <w:p w:rsidR="007E61B3" w:rsidRDefault="007E61B3">
            <w:pPr>
              <w:pStyle w:val="Newpage"/>
              <w:tabs>
                <w:tab w:val="left" w:pos="1440"/>
              </w:tabs>
              <w:spacing w:before="0"/>
              <w:rPr>
                <w:caps/>
                <w:sz w:val="16"/>
              </w:rPr>
            </w:pPr>
            <w:r>
              <w:rPr>
                <w:caps/>
                <w:sz w:val="16"/>
              </w:rPr>
              <w:t xml:space="preserve">Microempresarios en el reciclaje </w:t>
            </w:r>
          </w:p>
          <w:p w:rsidR="007E61B3" w:rsidRDefault="007E61B3">
            <w:pPr>
              <w:pStyle w:val="Heading1"/>
              <w:spacing w:after="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de aceites lubricantes y sus envases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4" w:type="dxa"/>
            <w:tcBorders>
              <w:left w:val="doub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7E61B3" w:rsidRDefault="007E61B3">
            <w:pPr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RESUMEN NARRATIVO DE OBJETIVOS</w:t>
            </w:r>
          </w:p>
        </w:tc>
        <w:tc>
          <w:tcPr>
            <w:tcW w:w="3871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7E61B3" w:rsidRDefault="007E61B3">
            <w:pPr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INDICADORES</w:t>
            </w:r>
          </w:p>
        </w:tc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7E61B3" w:rsidRDefault="007E61B3">
            <w:pPr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MEDIOS DE VERIFICACIÓN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  <w:vAlign w:val="center"/>
          </w:tcPr>
          <w:p w:rsidR="007E61B3" w:rsidRDefault="007E61B3">
            <w:pPr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SUPUESTOS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93" w:type="dxa"/>
            <w:gridSpan w:val="4"/>
            <w:tcBorders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  <w:vAlign w:val="center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FIN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4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Aumentar los ingresos de la población de muy bajos ingresos vinculada al reciclaje informal </w:t>
            </w:r>
          </w:p>
        </w:tc>
        <w:tc>
          <w:tcPr>
            <w:tcW w:w="3871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BodyText2"/>
            </w:pPr>
            <w:r>
              <w:t>260  personas vulnerables capacitadas en cooperativismo y en capacidad de  formar parte de cooperativas de reciclaje.</w:t>
            </w:r>
          </w:p>
          <w:p w:rsidR="007E61B3" w:rsidRDefault="007E61B3">
            <w:pPr>
              <w:spacing w:before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80 beneficiarios vinculados de forma estable a las operaciones del proyecto a través de cooperativa e ingresando al menos US$150/mes. </w:t>
            </w:r>
          </w:p>
        </w:tc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spacing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Informes semestrales</w:t>
            </w:r>
          </w:p>
          <w:p w:rsidR="007E61B3" w:rsidRDefault="007E61B3">
            <w:pPr>
              <w:spacing w:before="6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Evaluación intermedia y final </w:t>
            </w:r>
          </w:p>
          <w:p w:rsidR="007E61B3" w:rsidRDefault="007E61B3">
            <w:pPr>
              <w:spacing w:before="6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Visitas de inspección</w:t>
            </w:r>
          </w:p>
          <w:p w:rsidR="007E61B3" w:rsidRDefault="007E61B3">
            <w:pPr>
              <w:spacing w:before="60" w:after="60"/>
              <w:rPr>
                <w:sz w:val="16"/>
                <w:lang w:val="es-ES"/>
              </w:rPr>
            </w:pPr>
          </w:p>
          <w:p w:rsidR="007E61B3" w:rsidRDefault="007E61B3">
            <w:pPr>
              <w:spacing w:before="60"/>
              <w:rPr>
                <w:sz w:val="16"/>
                <w:lang w:val="es-ES"/>
              </w:rPr>
            </w:pP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la asistencia técnica obtiene los resultados esperados por lo que es un proyecto de una planta piloto cuyo tipo es inexistente en Colombia.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93" w:type="dxa"/>
            <w:gridSpan w:val="4"/>
            <w:tcBorders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PROPOSITO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4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Establecer un modelo operativo eficiente que permita impulsar actividades sostenibles relacionadas con el reciclaje de aceites lubricantes usados y sus envases de plástico.</w:t>
            </w:r>
          </w:p>
        </w:tc>
        <w:tc>
          <w:tcPr>
            <w:tcW w:w="3871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ind w:left="1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Al menos 5 Cooperativas operando en recolección, transporte, acopio y tratamiento de aceites lubricantes y sus envases.</w:t>
            </w:r>
          </w:p>
        </w:tc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spacing w:after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La Planta coordinadora gestiona y documenta las actividades realizadas dentro del proyecto.</w:t>
            </w:r>
          </w:p>
          <w:p w:rsidR="007E61B3" w:rsidRDefault="007E61B3">
            <w:pPr>
              <w:spacing w:before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Informes de la Superintendencia de Economía solidaria.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El proyecto contará con el apoyo de personal con experiencias exitosas en el reciclaje y en la zona utilizando tecnologías similares a las propuestas.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93" w:type="dxa"/>
            <w:gridSpan w:val="4"/>
            <w:tcBorders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COMPONENTES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4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Selección de beneficiarios y consolidación de cooperativas de trabajo asociado</w:t>
            </w:r>
          </w:p>
        </w:tc>
        <w:tc>
          <w:tcPr>
            <w:tcW w:w="3871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numPr>
                <w:ilvl w:val="0"/>
                <w:numId w:val="11"/>
              </w:num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Se consolidan las actividades empresariales de poblaciones de muy bajos ingresos que trabajan en reciclaje y permitir que dichos grupos se constituyan en cooperativas dedicadas a actividades relaciones con el aceite lubricante de forma que vayan alcanzando niveles de sostenibilidad y autonomía operativa.</w:t>
            </w:r>
          </w:p>
          <w:p w:rsidR="007E61B3" w:rsidRDefault="007E61B3">
            <w:pPr>
              <w:ind w:left="1" w:hanging="1"/>
              <w:rPr>
                <w:sz w:val="16"/>
                <w:lang w:val="es-ES"/>
              </w:rPr>
            </w:pPr>
          </w:p>
        </w:tc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spacing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Informes semestrales</w:t>
            </w:r>
          </w:p>
          <w:p w:rsidR="007E61B3" w:rsidRDefault="007E61B3">
            <w:pPr>
              <w:spacing w:before="60" w:after="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Evaluación intermedia y final </w:t>
            </w:r>
          </w:p>
          <w:p w:rsidR="007E61B3" w:rsidRDefault="007E61B3">
            <w:pPr>
              <w:spacing w:before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Visitas de inspección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Existen microempresarios del reciclaje interesados en formar parte de las cooperativas.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/>
        </w:trPr>
        <w:tc>
          <w:tcPr>
            <w:tcW w:w="3954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Transferencia tecnológica a cooperativas de trabajo asociado y otros beneficiarios</w:t>
            </w:r>
          </w:p>
        </w:tc>
        <w:tc>
          <w:tcPr>
            <w:tcW w:w="3871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numPr>
                <w:ilvl w:val="0"/>
                <w:numId w:val="11"/>
              </w:num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Están capacitadas y operativas empresas asociativas vinculadas a las siguientes actividades relacionadas con el aceite lubricante y sus envases: (i) recolección; (ii) transporte; (iii) acopio y tratamiento; (iv) procesamiento de residuos; y (v) comercialización.  </w:t>
            </w:r>
          </w:p>
        </w:tc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Estatutos de conformación de las cooperativas.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Transferencia de propiedad de la PSR a las cooperativas , en cumplimiento de sus metas.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Certificados de capacitación en cooperativismo.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Aumento en los ingresos de otros beneficiarios (comercialización).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Los volúmenes de recolección son similares a los que se pueden procesar y comercializar. 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El mercado de los productos del proyecto no se retrae.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/>
        </w:trPr>
        <w:tc>
          <w:tcPr>
            <w:tcW w:w="3954" w:type="dxa"/>
            <w:tcBorders>
              <w:left w:val="double" w:sz="2" w:space="0" w:color="000000"/>
              <w:bottom w:val="doub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Desarrollo de servicios a las cooperativas de reciclaje</w:t>
            </w:r>
          </w:p>
        </w:tc>
        <w:tc>
          <w:tcPr>
            <w:tcW w:w="3871" w:type="dxa"/>
            <w:tcBorders>
              <w:left w:val="single" w:sz="2" w:space="0" w:color="000000"/>
              <w:bottom w:val="double" w:sz="2" w:space="0" w:color="000000"/>
            </w:tcBorders>
          </w:tcPr>
          <w:p w:rsidR="007E61B3" w:rsidRDefault="007E61B3">
            <w:pPr>
              <w:numPr>
                <w:ilvl w:val="0"/>
                <w:numId w:val="11"/>
              </w:num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Se cuenta con una unidad coordinadora que aglutine los intereses de las cooperativas participantes, y les permita operar</w:t>
            </w:r>
          </w:p>
        </w:tc>
        <w:tc>
          <w:tcPr>
            <w:tcW w:w="3283" w:type="dxa"/>
            <w:tcBorders>
              <w:left w:val="single" w:sz="2" w:space="0" w:color="000000"/>
              <w:bottom w:val="double" w:sz="2" w:space="0" w:color="000000"/>
            </w:tcBorders>
          </w:tcPr>
          <w:p w:rsidR="007E61B3" w:rsidRDefault="007E61B3">
            <w:pPr>
              <w:spacing w:after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Actas de las reuniones de la Planta de Servicios</w:t>
            </w:r>
          </w:p>
          <w:p w:rsidR="007E61B3" w:rsidRDefault="007E61B3">
            <w:pPr>
              <w:spacing w:before="60" w:after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Formatos de acopio completados</w:t>
            </w:r>
          </w:p>
          <w:p w:rsidR="007E61B3" w:rsidRDefault="007E61B3">
            <w:pPr>
              <w:spacing w:before="60" w:after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Formatos de Transporte completados</w:t>
            </w:r>
          </w:p>
          <w:p w:rsidR="007E61B3" w:rsidRDefault="007E61B3">
            <w:pPr>
              <w:spacing w:before="60" w:after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Formatos de Procesamiento completados</w:t>
            </w:r>
          </w:p>
          <w:p w:rsidR="007E61B3" w:rsidRDefault="007E61B3">
            <w:pPr>
              <w:spacing w:before="60"/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Facturas</w:t>
            </w:r>
          </w:p>
        </w:tc>
        <w:tc>
          <w:tcPr>
            <w:tcW w:w="3285" w:type="dxa"/>
            <w:tcBorders>
              <w:left w:val="single" w:sz="2" w:space="0" w:color="000000"/>
              <w:bottom w:val="doub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No se producen demoras en el desembolso de las contrapartidas para la constitución de la Planta de servicios.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</w:tbl>
    <w:p w:rsidR="007E61B3" w:rsidRDefault="007E61B3">
      <w:pPr>
        <w:pStyle w:val="Vieta1"/>
        <w:ind w:left="360" w:hanging="360"/>
        <w:rPr>
          <w:rFonts w:ascii="Times New Roman" w:hAnsi="Times New Roman"/>
          <w:sz w:val="16"/>
        </w:rPr>
      </w:pPr>
    </w:p>
    <w:p w:rsidR="007E61B3" w:rsidRDefault="007E61B3">
      <w:pPr>
        <w:pStyle w:val="Vieta1"/>
        <w:ind w:left="360" w:hanging="36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br w:type="page"/>
      </w:r>
    </w:p>
    <w:tbl>
      <w:tblPr>
        <w:tblW w:w="14485" w:type="dxa"/>
        <w:tblInd w:w="-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47"/>
        <w:gridCol w:w="3688"/>
        <w:gridCol w:w="3360"/>
        <w:gridCol w:w="3361"/>
        <w:gridCol w:w="29"/>
      </w:tblGrid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</w:trPr>
        <w:tc>
          <w:tcPr>
            <w:tcW w:w="14456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ACTIVIDADES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</w:trPr>
        <w:tc>
          <w:tcPr>
            <w:tcW w:w="14456" w:type="dxa"/>
            <w:gridSpan w:val="4"/>
            <w:tcBorders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 xml:space="preserve">Selección de los beneficiarios y consolidación de las cooperativas 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</w:trPr>
        <w:tc>
          <w:tcPr>
            <w:tcW w:w="4047" w:type="dxa"/>
            <w:tcBorders>
              <w:left w:val="double" w:sz="2" w:space="0" w:color="000000"/>
              <w:bottom w:val="single" w:sz="4" w:space="0" w:color="auto"/>
            </w:tcBorders>
          </w:tcPr>
          <w:p w:rsidR="007E61B3" w:rsidRDefault="007E61B3">
            <w:pPr>
              <w:pStyle w:val="Punto1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bCs/>
                <w:sz w:val="16"/>
                <w:lang w:val="es-ES"/>
              </w:rPr>
              <w:t>Selección de beneficiarios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4" w:space="0" w:color="auto"/>
            </w:tcBorders>
          </w:tcPr>
          <w:p w:rsidR="007E61B3" w:rsidRDefault="007E61B3">
            <w:pPr>
              <w:pStyle w:val="Vieta1"/>
              <w:ind w:left="-2" w:firstLine="2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un banco de datos  donde se especifican cuantitativamente y cualitativamente los candidatos a ser seleccionados.</w:t>
            </w:r>
          </w:p>
          <w:p w:rsidR="007E61B3" w:rsidRDefault="007E61B3">
            <w:pPr>
              <w:pStyle w:val="Vieta1"/>
              <w:ind w:left="-2" w:firstLine="2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los perfiles y los criterios de selección de beneficiarios.</w:t>
            </w:r>
          </w:p>
          <w:p w:rsidR="007E61B3" w:rsidRDefault="007E61B3">
            <w:pPr>
              <w:pStyle w:val="Vieta1"/>
              <w:ind w:left="-2" w:firstLine="2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se cuenta con 260 beneficiarios seleccionados por área. </w:t>
            </w:r>
          </w:p>
        </w:tc>
        <w:tc>
          <w:tcPr>
            <w:tcW w:w="3360" w:type="dxa"/>
            <w:tcBorders>
              <w:left w:val="single" w:sz="2" w:space="0" w:color="000000"/>
              <w:bottom w:val="single" w:sz="4" w:space="0" w:color="auto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Sistema de información que abarque a los candidatos y a los beneficiarios seleccionados por área.</w:t>
            </w:r>
          </w:p>
          <w:p w:rsidR="007E61B3" w:rsidRDefault="007E61B3">
            <w:pPr>
              <w:pStyle w:val="Vieta1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un diseño de perfiles y de selección por áreas de beneficiarios.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61" w:type="dxa"/>
            <w:tcBorders>
              <w:left w:val="single" w:sz="2" w:space="0" w:color="000000"/>
              <w:bottom w:val="single" w:sz="4" w:space="0" w:color="auto"/>
              <w:right w:val="doub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Existen microempresarios interesados en entrar en un proceso de selección formal.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9" w:type="dxa"/>
          <w:trHeight w:val="1296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B3" w:rsidRDefault="007E61B3">
            <w:pPr>
              <w:pStyle w:val="Punto1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bCs/>
                <w:sz w:val="16"/>
                <w:lang w:val="es-ES"/>
              </w:rPr>
              <w:t>Consolidación de cooperativas de trabajo asociado.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 5 cooperativas fundadas y funcionando.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195 beneficiarios capacitados en cooperativismo y  formando parte de las cooperativas.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Informe de Ejecución  del proyecto.</w:t>
            </w:r>
          </w:p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Certificados de capacitación en cooperativismo.</w:t>
            </w:r>
          </w:p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Estatutos de conformación de las cooperativas.</w:t>
            </w:r>
          </w:p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Informes de la Superintendencia de Economía solidaria.</w:t>
            </w:r>
          </w:p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Memorias de los talleres de difusión</w:t>
            </w:r>
          </w:p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Visitas de inspección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Existen 5 cooperativas conformadas formalmente y capacitadas en reciclaje de aceites usados y sus envases.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85" w:type="dxa"/>
            <w:gridSpan w:val="5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Transferencia tecnológica a cooperativas de trabajo asociado y otros beneficiarios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Punto1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16"/>
                <w:lang w:val="es-ES"/>
              </w:rPr>
            </w:pPr>
            <w:r>
              <w:rPr>
                <w:rFonts w:ascii="Times New Roman" w:hAnsi="Times New Roman"/>
                <w:b/>
                <w:sz w:val="16"/>
                <w:lang w:val="es-ES"/>
              </w:rPr>
              <w:t>Transferencia tecnológica común a todas las cooperativas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7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5 cooperativas y capacitadas en reciclaje, seguridad industrial, y cooperativismo.</w:t>
            </w:r>
          </w:p>
          <w:p w:rsidR="007E61B3" w:rsidRDefault="007E61B3">
            <w:pPr>
              <w:pStyle w:val="Vieta1"/>
              <w:numPr>
                <w:ilvl w:val="0"/>
                <w:numId w:val="7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han desarrollado formatos de la operación.</w:t>
            </w:r>
          </w:p>
          <w:p w:rsidR="007E61B3" w:rsidRDefault="007E61B3">
            <w:pPr>
              <w:pStyle w:val="Vieta1"/>
              <w:numPr>
                <w:ilvl w:val="0"/>
                <w:numId w:val="7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pilotos de la operación.</w:t>
            </w:r>
          </w:p>
          <w:p w:rsidR="007E61B3" w:rsidRDefault="007E61B3">
            <w:pPr>
              <w:pStyle w:val="Vieta1"/>
              <w:numPr>
                <w:ilvl w:val="0"/>
                <w:numId w:val="7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estudios de viabilidad de nuevos subproductos.</w:t>
            </w:r>
          </w:p>
        </w:tc>
        <w:tc>
          <w:tcPr>
            <w:tcW w:w="3360" w:type="dxa"/>
            <w:vMerge w:val="restart"/>
            <w:tcBorders>
              <w:left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Estudios de viabilidad de nuevos subproductos.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Formatos de operación.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Informales semestrales de la operación de las cooperativas.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Memorias de las capacitaciones y talleres..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Formatos de operación.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Informales semestrales de la operación de las cooperativas.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Memorias de las capacitaciones y talleres..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Visitas de inspección.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Facturas de venta de productos y subproductos.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Informe de clientes, gestión y ventas</w:t>
            </w:r>
          </w:p>
        </w:tc>
        <w:tc>
          <w:tcPr>
            <w:tcW w:w="3390" w:type="dxa"/>
            <w:gridSpan w:val="2"/>
            <w:vMerge w:val="restart"/>
            <w:tcBorders>
              <w:left w:val="single" w:sz="2" w:space="0" w:color="000000"/>
              <w:right w:val="doub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Existe planta en operación.</w:t>
            </w:r>
          </w:p>
          <w:p w:rsidR="007E61B3" w:rsidRDefault="007E61B3">
            <w:pPr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El proyecto contará con el apoyo de personal con experiencias exitosas en el reciclaje y en la zona utilizando tecnologías similares a las propuestas.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Los volúmenes de recolección son similares a los que se pueden procesar y comercializar. 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El mercado no se retrae.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El  proyecto contará con el apoyo de personal con experiencias exitosas en el manejo de clientes y ventas en la zona utilizando tecnologías similares a las propuestas.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bCs/>
                <w:sz w:val="16"/>
                <w:lang w:val="es-ES"/>
              </w:rPr>
              <w:t>Transferencia tecnológica a las cooperativas de recolección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han transferido  usos medioambientalmente seguros y recomendables en la recolección de aceites lubricante usados y envases y apoyar a las unidades en mecanismos de operación sostenibles y rentables.</w:t>
            </w:r>
          </w:p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han capacitado a los socios de las cooperativas de recolección en la operación de recolección, separación y gestión de aceites y envases.</w:t>
            </w:r>
          </w:p>
        </w:tc>
        <w:tc>
          <w:tcPr>
            <w:tcW w:w="3360" w:type="dxa"/>
            <w:vMerge/>
            <w:tcBorders>
              <w:left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90" w:type="dxa"/>
            <w:gridSpan w:val="2"/>
            <w:vMerge/>
            <w:tcBorders>
              <w:left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Transferencia tecnológica a la cooperativa de transporte de aceites y envases.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La(s) cooperativa(s) de transporte podrán estarán contratadas para servicios de recolección de la materia prima o del producto terminado. </w:t>
            </w:r>
          </w:p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Los socios de la cooperativa de transporte habrán recibido capacitación en la adecuación de vehículos y equipo y en el seguimiento del piloto de operación.</w:t>
            </w:r>
          </w:p>
        </w:tc>
        <w:tc>
          <w:tcPr>
            <w:tcW w:w="3360" w:type="dxa"/>
            <w:vMerge/>
            <w:tcBorders>
              <w:left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90" w:type="dxa"/>
            <w:gridSpan w:val="2"/>
            <w:vMerge/>
            <w:tcBorders>
              <w:left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bCs/>
                <w:sz w:val="16"/>
                <w:lang w:val="es-ES"/>
              </w:rPr>
              <w:t>Transferencia tecnológica a la cooperativa de acopio y tratamiento.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Los socios de esta cooperativa estarán capacitados en las operaciones de acopio y tratamiento de aceites lubricantes y en el manejo de la maquinaria y equipo.</w:t>
            </w:r>
          </w:p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Los socios sabe  obtener aceite combustible reciclado y plástico molido y separado por colores.</w:t>
            </w:r>
          </w:p>
          <w:p w:rsidR="007E61B3" w:rsidRDefault="007E61B3">
            <w:pPr>
              <w:pStyle w:val="Vieta1"/>
              <w:rPr>
                <w:rFonts w:ascii="Times New Roman" w:hAnsi="Times New Roman"/>
                <w:sz w:val="16"/>
              </w:rPr>
            </w:pPr>
          </w:p>
        </w:tc>
        <w:tc>
          <w:tcPr>
            <w:tcW w:w="3360" w:type="dxa"/>
            <w:vMerge/>
            <w:tcBorders>
              <w:left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90" w:type="dxa"/>
            <w:gridSpan w:val="2"/>
            <w:vMerge/>
            <w:tcBorders>
              <w:left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bCs/>
                <w:sz w:val="16"/>
                <w:lang w:val="es-ES"/>
              </w:rPr>
              <w:t>Transferencia tecnológica a la cooperativa de procesamiento de residuos.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Estará operando la cooperativa dedicada al procesamiento de los barros que serán ceramizados para fabricar ladrillos. Esta cooperativa operará en la PSR.</w:t>
            </w:r>
          </w:p>
          <w:p w:rsidR="007E61B3" w:rsidRDefault="007E61B3">
            <w:pPr>
              <w:pStyle w:val="Vieta1"/>
              <w:rPr>
                <w:rFonts w:ascii="Times New Roman" w:hAnsi="Times New Roman"/>
                <w:sz w:val="16"/>
              </w:rPr>
            </w:pPr>
          </w:p>
        </w:tc>
        <w:tc>
          <w:tcPr>
            <w:tcW w:w="3360" w:type="dxa"/>
            <w:vMerge/>
            <w:tcBorders>
              <w:left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90" w:type="dxa"/>
            <w:gridSpan w:val="2"/>
            <w:vMerge/>
            <w:tcBorders>
              <w:left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bCs/>
                <w:sz w:val="16"/>
                <w:lang w:val="es-ES"/>
              </w:rPr>
              <w:t>Transferencia tecnológica para la comercialización.</w:t>
            </w: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contará con personal comercializando los productos del proyecto con capacitación constante en el área de comercialización y manejo de clientes.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8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contará con formatos de la operación.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</w:tc>
        <w:tc>
          <w:tcPr>
            <w:tcW w:w="33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</w:tbl>
    <w:p w:rsidR="007E61B3" w:rsidRDefault="007E61B3">
      <w:pPr>
        <w:rPr>
          <w:lang w:val="es-ES"/>
        </w:rPr>
      </w:pPr>
      <w:r>
        <w:rPr>
          <w:lang w:val="es-ES"/>
        </w:rPr>
        <w:br w:type="page"/>
      </w:r>
    </w:p>
    <w:tbl>
      <w:tblPr>
        <w:tblW w:w="14215" w:type="dxa"/>
        <w:tblInd w:w="-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47"/>
        <w:gridCol w:w="3688"/>
        <w:gridCol w:w="3360"/>
        <w:gridCol w:w="3120"/>
      </w:tblGrid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15" w:type="dxa"/>
            <w:gridSpan w:val="4"/>
            <w:tcBorders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FFFFFF" w:fill="C0C0C0"/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Desarrollo de servicios a las cooperativas del reciclaje.</w:t>
            </w: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Constitución planta de servicios.</w:t>
            </w:r>
          </w:p>
          <w:p w:rsidR="007E61B3" w:rsidRDefault="007E61B3">
            <w:pPr>
              <w:rPr>
                <w:b/>
                <w:sz w:val="16"/>
                <w:lang w:val="es-ES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9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la PSR legalmente constituida.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9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el diseño de la planta.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9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las especificaciones para la operación.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9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planta construida y montada.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9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los criterios y normativas ambientales y sociales.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9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un programa de transferencia de propiedad a las cooperativas.</w:t>
            </w:r>
          </w:p>
        </w:tc>
        <w:tc>
          <w:tcPr>
            <w:tcW w:w="3360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Diseño de detalle de la planta.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Programa de transferencia de propiedad a las cooperativas.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Criterios y normativas ambientales y sociales.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Planta construida y montada.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Estatutos de constitución de la PSR.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Certificados de Cámara y comercio.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Numero de Identificación Tributario.(NIT)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visitas de inspección.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Permisos medioambientales por parte de los entes estatales.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No se producen demoras en el desembolso de las contrapartidas para la constitución de la Planta de servicios.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>No se producen demoras en la aceptación legal de la constitución de la PSR.</w:t>
            </w:r>
          </w:p>
          <w:p w:rsidR="007E61B3" w:rsidRDefault="007E61B3">
            <w:pPr>
              <w:ind w:left="360" w:hanging="360"/>
              <w:rPr>
                <w:sz w:val="16"/>
                <w:lang w:val="es-ES"/>
              </w:rPr>
            </w:pPr>
          </w:p>
        </w:tc>
      </w:tr>
      <w:tr w:rsidR="007E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47" w:type="dxa"/>
            <w:tcBorders>
              <w:left w:val="double" w:sz="2" w:space="0" w:color="000000"/>
              <w:bottom w:val="single" w:sz="2" w:space="0" w:color="000000"/>
            </w:tcBorders>
          </w:tcPr>
          <w:p w:rsidR="007E61B3" w:rsidRDefault="007E61B3">
            <w:pPr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Servicios generales para cooperativas</w:t>
            </w:r>
          </w:p>
          <w:p w:rsidR="007E61B3" w:rsidRDefault="007E61B3">
            <w:pPr>
              <w:rPr>
                <w:b/>
                <w:sz w:val="16"/>
                <w:lang w:val="es-ES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numPr>
                <w:ilvl w:val="0"/>
                <w:numId w:val="10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talleres de difusión.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10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tesorería y pagos de participación de beneficios.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10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un ente auditor.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10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seguimiento a la operación de reciclaje.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10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cooperativas constituidas legalmente.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numPr>
                <w:ilvl w:val="0"/>
                <w:numId w:val="10"/>
              </w:num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Se cuenta con licencias ambientales y de operación.</w:t>
            </w:r>
          </w:p>
        </w:tc>
        <w:tc>
          <w:tcPr>
            <w:tcW w:w="3360" w:type="dxa"/>
            <w:tcBorders>
              <w:left w:val="single" w:sz="2" w:space="0" w:color="000000"/>
              <w:bottom w:val="single" w:sz="2" w:space="0" w:color="000000"/>
            </w:tcBorders>
          </w:tcPr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Programa de transferencia de propiedad a las cooperativas.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Criterios y normativas ambientales y sociales.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Estatutos de constitución de las cooperativas.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Certificados de Cámara y comercio.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Certificados de tesorería respecto a pagos y participación de beneficios.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Memorias de los Talleres de difusión.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Compendio de las recomendaciones para la mejora ambiental.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Memorias de seguimiento a las cooperativas.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Auditorias a las cooperativas               (estados financieros y operación.)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Numero de Identificación Tributario.(NIT)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visitas de inspección.</w:t>
            </w: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</w:p>
          <w:p w:rsidR="007E61B3" w:rsidRDefault="007E61B3">
            <w:pPr>
              <w:pStyle w:val="Vieta1"/>
              <w:ind w:left="360" w:hanging="36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Permisos medioambientales por parte de los entes estatales.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double" w:sz="2" w:space="0" w:color="000000"/>
            </w:tcBorders>
          </w:tcPr>
          <w:p w:rsidR="007E61B3" w:rsidRDefault="007E61B3">
            <w:pPr>
              <w:rPr>
                <w:sz w:val="16"/>
                <w:lang w:val="es-ES"/>
              </w:rPr>
            </w:pPr>
            <w:r>
              <w:rPr>
                <w:sz w:val="16"/>
                <w:lang w:val="es-ES"/>
              </w:rPr>
              <w:t xml:space="preserve">Existen beneficiarios haciendo parte de 5 cooperativas dedicadas al reciclaje de aceites usados y sus envases. </w:t>
            </w:r>
          </w:p>
        </w:tc>
      </w:tr>
    </w:tbl>
    <w:p w:rsidR="007E61B3" w:rsidRDefault="007E61B3">
      <w:pPr>
        <w:spacing w:before="60"/>
        <w:rPr>
          <w:sz w:val="16"/>
          <w:lang w:val="es-ES"/>
        </w:rPr>
      </w:pPr>
    </w:p>
    <w:p w:rsidR="007E61B3" w:rsidRDefault="007E61B3">
      <w:pPr>
        <w:rPr>
          <w:sz w:val="16"/>
          <w:lang w:val="es-ES"/>
        </w:rPr>
      </w:pPr>
    </w:p>
    <w:sectPr w:rsidR="007E61B3" w:rsidSect="007E61B3">
      <w:headerReference w:type="default" r:id="rId7"/>
      <w:footnotePr>
        <w:pos w:val="beneathText"/>
      </w:footnotePr>
      <w:pgSz w:w="15840" w:h="12240" w:orient="landscape"/>
      <w:pgMar w:top="1080" w:right="663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B3" w:rsidRDefault="007E61B3">
      <w:r>
        <w:separator/>
      </w:r>
    </w:p>
  </w:endnote>
  <w:endnote w:type="continuationSeparator" w:id="0">
    <w:p w:rsidR="007E61B3" w:rsidRDefault="007E6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B3" w:rsidRDefault="007E61B3">
      <w:r>
        <w:separator/>
      </w:r>
    </w:p>
  </w:footnote>
  <w:footnote w:type="continuationSeparator" w:id="0">
    <w:p w:rsidR="007E61B3" w:rsidRDefault="007E61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1B3" w:rsidRDefault="007E61B3">
    <w:pPr>
      <w:pStyle w:val="Header"/>
      <w:jc w:val="right"/>
      <w:rPr>
        <w:lang w:val="en-US"/>
      </w:rPr>
    </w:pPr>
    <w:r>
      <w:rPr>
        <w:lang w:val="en-US"/>
      </w:rPr>
      <w:t>Anexo I</w:t>
    </w:r>
  </w:p>
  <w:p w:rsidR="007E61B3" w:rsidRDefault="007E61B3">
    <w:pPr>
      <w:pStyle w:val="Header"/>
      <w:jc w:val="right"/>
      <w:rPr>
        <w:lang w:val="es-ES"/>
      </w:rPr>
    </w:pPr>
    <w:r>
      <w:rPr>
        <w:lang w:val="en-US"/>
      </w:rPr>
      <w:t>P</w:t>
    </w:r>
    <w:r>
      <w:rPr>
        <w:lang w:val="es-ES"/>
      </w:rPr>
      <w:t xml:space="preserve">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de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>
    <w:nsid w:val="0DAB7FC9"/>
    <w:multiLevelType w:val="multilevel"/>
    <w:tmpl w:val="2514E0E6"/>
    <w:lvl w:ilvl="0">
      <w:start w:val="1"/>
      <w:numFmt w:val="upperRoman"/>
      <w:lvlText w:val="%1."/>
      <w:lvlJc w:val="center"/>
      <w:pPr>
        <w:tabs>
          <w:tab w:val="num" w:pos="648"/>
        </w:tabs>
        <w:ind w:firstLine="288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198F32F0"/>
    <w:multiLevelType w:val="hybridMultilevel"/>
    <w:tmpl w:val="A4BAF8E0"/>
    <w:lvl w:ilvl="0" w:tplc="AB543018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900005"/>
    <w:multiLevelType w:val="hybridMultilevel"/>
    <w:tmpl w:val="CC3485E2"/>
    <w:lvl w:ilvl="0" w:tplc="AB543018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5F4D36"/>
    <w:multiLevelType w:val="hybridMultilevel"/>
    <w:tmpl w:val="C750EA14"/>
    <w:lvl w:ilvl="0" w:tplc="AB543018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00350A"/>
    <w:multiLevelType w:val="hybridMultilevel"/>
    <w:tmpl w:val="18CA3D1E"/>
    <w:lvl w:ilvl="0" w:tplc="AB543018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B97389"/>
    <w:multiLevelType w:val="hybridMultilevel"/>
    <w:tmpl w:val="51385D54"/>
    <w:lvl w:ilvl="0" w:tplc="AB543018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E61E78"/>
    <w:multiLevelType w:val="hybridMultilevel"/>
    <w:tmpl w:val="31E6B3A2"/>
    <w:lvl w:ilvl="0" w:tplc="BC825CD6">
      <w:start w:val="1"/>
      <w:numFmt w:val="bullet"/>
      <w:lvlText w:val=""/>
      <w:lvlJc w:val="left"/>
      <w:pPr>
        <w:tabs>
          <w:tab w:val="num" w:pos="72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DB3D69"/>
    <w:multiLevelType w:val="hybridMultilevel"/>
    <w:tmpl w:val="56742966"/>
    <w:lvl w:ilvl="0" w:tplc="BC825CD6">
      <w:start w:val="1"/>
      <w:numFmt w:val="bullet"/>
      <w:lvlText w:val=""/>
      <w:lvlJc w:val="left"/>
      <w:pPr>
        <w:tabs>
          <w:tab w:val="num" w:pos="72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95"/>
  <w:doNotTrackMoves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1B3"/>
    <w:rsid w:val="007E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u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60" w:after="60"/>
      <w:jc w:val="center"/>
      <w:outlineLvl w:val="0"/>
    </w:pPr>
    <w:rPr>
      <w:b/>
      <w:caps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1B3"/>
    <w:rPr>
      <w:rFonts w:asciiTheme="majorHAnsi" w:eastAsiaTheme="majorEastAsia" w:hAnsiTheme="majorHAnsi" w:cstheme="majorBidi"/>
      <w:b/>
      <w:bCs/>
      <w:kern w:val="32"/>
      <w:sz w:val="32"/>
      <w:szCs w:val="32"/>
      <w:lang w:val="eu-ES"/>
    </w:rPr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Arial" w:hAnsi="Arial"/>
      <w:color w:val="auto"/>
      <w:position w:val="0"/>
      <w:sz w:val="24"/>
      <w:u w:val="none"/>
      <w:vertAlign w:val="baseline"/>
    </w:rPr>
  </w:style>
  <w:style w:type="character" w:customStyle="1" w:styleId="WW8Num5z0">
    <w:name w:val="WW8Num5z0"/>
    <w:rPr>
      <w:rFonts w:ascii="Symbol" w:hAnsi="Symbol"/>
      <w:color w:val="auto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Arial" w:hAnsi="Arial"/>
      <w:color w:val="auto"/>
      <w:position w:val="0"/>
      <w:sz w:val="24"/>
      <w:u w:val="none"/>
      <w:vertAlign w:val="baseline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Arial" w:hAnsi="Arial"/>
      <w:color w:val="auto"/>
      <w:position w:val="0"/>
      <w:sz w:val="24"/>
      <w:u w:val="none"/>
      <w:vertAlign w:val="baseline"/>
    </w:rPr>
  </w:style>
  <w:style w:type="character" w:customStyle="1" w:styleId="WW8Num17z0">
    <w:name w:val="WW8Num17z0"/>
    <w:rPr>
      <w:rFonts w:ascii="Arial" w:hAnsi="Arial"/>
      <w:color w:val="auto"/>
      <w:position w:val="0"/>
      <w:sz w:val="24"/>
      <w:u w:val="none"/>
      <w:vertAlign w:val="baseline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1z01">
    <w:name w:val="WW8Num1z01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paragraph" w:customStyle="1" w:styleId="Encabezado">
    <w:name w:val="Encabezado"/>
    <w:basedOn w:val="Normal"/>
    <w:next w:val="BodyText"/>
    <w:pPr>
      <w:keepNext/>
      <w:spacing w:before="240" w:after="120"/>
    </w:pPr>
    <w:rPr>
      <w:rFonts w:ascii="Albany" w:hAnsi="Albany"/>
      <w:sz w:val="28"/>
    </w:rPr>
  </w:style>
  <w:style w:type="paragraph" w:styleId="BodyText">
    <w:name w:val="Body Text"/>
    <w:basedOn w:val="Normal"/>
    <w:link w:val="BodyTextChar"/>
    <w:uiPriority w:val="99"/>
    <w:semiHidden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61B3"/>
    <w:rPr>
      <w:lang w:val="eu-ES"/>
    </w:rPr>
  </w:style>
  <w:style w:type="paragraph" w:customStyle="1" w:styleId="Vieta1">
    <w:name w:val="Viñeta 1"/>
    <w:basedOn w:val="Normal"/>
    <w:rPr>
      <w:rFonts w:ascii="Arial" w:hAnsi="Arial"/>
      <w:lang w:val="es-ES"/>
    </w:rPr>
  </w:style>
  <w:style w:type="paragraph" w:customStyle="1" w:styleId="Vieta2">
    <w:name w:val="Viñeta 2"/>
    <w:basedOn w:val="Normal"/>
    <w:pPr>
      <w:spacing w:before="60" w:after="60"/>
    </w:pPr>
    <w:rPr>
      <w:rFonts w:ascii="Arial" w:hAnsi="Arial"/>
      <w:sz w:val="24"/>
      <w:lang w:val="es-ES"/>
    </w:rPr>
  </w:style>
  <w:style w:type="paragraph" w:customStyle="1" w:styleId="Vieta3">
    <w:name w:val="Viñeta 3"/>
    <w:basedOn w:val="Normal"/>
    <w:pPr>
      <w:spacing w:before="60" w:after="60"/>
    </w:pPr>
    <w:rPr>
      <w:rFonts w:ascii="Arial" w:hAnsi="Arial"/>
      <w:sz w:val="24"/>
      <w:lang w:val="es-ES"/>
    </w:rPr>
  </w:style>
  <w:style w:type="paragraph" w:customStyle="1" w:styleId="Punto1">
    <w:name w:val="Punto 1"/>
    <w:basedOn w:val="Normal"/>
    <w:pPr>
      <w:numPr>
        <w:numId w:val="2"/>
      </w:numPr>
    </w:pPr>
    <w:rPr>
      <w:rFonts w:ascii="Arial" w:hAnsi="Arial"/>
    </w:rPr>
  </w:style>
  <w:style w:type="paragraph" w:customStyle="1" w:styleId="Punto2">
    <w:name w:val="Punto 2"/>
    <w:basedOn w:val="Normal"/>
    <w:rPr>
      <w:rFonts w:ascii="Arial" w:hAnsi="Arial"/>
    </w:rPr>
  </w:style>
  <w:style w:type="paragraph" w:customStyle="1" w:styleId="Punto3">
    <w:name w:val="Punto 3"/>
    <w:basedOn w:val="Normal"/>
    <w:rPr>
      <w:rFonts w:ascii="Arial" w:hAnsi="Arial"/>
    </w:rPr>
  </w:style>
  <w:style w:type="paragraph" w:customStyle="1" w:styleId="Newpage">
    <w:name w:val="Newpage"/>
    <w:basedOn w:val="Normal"/>
    <w:pPr>
      <w:tabs>
        <w:tab w:val="left" w:pos="3060"/>
      </w:tabs>
      <w:spacing w:before="240"/>
      <w:jc w:val="center"/>
    </w:pPr>
    <w:rPr>
      <w:b/>
      <w:smallCaps/>
      <w:sz w:val="24"/>
      <w:lang w:val="es-ES"/>
    </w:rPr>
  </w:style>
  <w:style w:type="paragraph" w:customStyle="1" w:styleId="Chapter">
    <w:name w:val="Chapter"/>
    <w:basedOn w:val="Normal"/>
    <w:next w:val="Normal"/>
    <w:pPr>
      <w:tabs>
        <w:tab w:val="left" w:pos="1440"/>
      </w:tabs>
      <w:spacing w:before="240" w:after="240"/>
      <w:jc w:val="center"/>
    </w:pPr>
    <w:rPr>
      <w:b/>
      <w:smallCaps/>
      <w:sz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pPr>
      <w:spacing w:after="120"/>
      <w:ind w:left="360" w:firstLine="1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61B3"/>
    <w:rPr>
      <w:lang w:val="eu-ES"/>
    </w:rPr>
  </w:style>
  <w:style w:type="paragraph" w:customStyle="1" w:styleId="Paragraph">
    <w:name w:val="Paragraph"/>
    <w:basedOn w:val="BodyTextIndent"/>
    <w:pPr>
      <w:spacing w:before="120"/>
      <w:ind w:left="0" w:firstLine="0"/>
      <w:jc w:val="both"/>
    </w:pPr>
    <w:rPr>
      <w:sz w:val="24"/>
      <w:lang w:val="es-ES"/>
    </w:rPr>
  </w:style>
  <w:style w:type="paragraph" w:customStyle="1" w:styleId="WW-BodyTextIndent3">
    <w:name w:val="WW-Body Text Indent 3"/>
    <w:basedOn w:val="Normal"/>
    <w:pPr>
      <w:spacing w:after="120"/>
      <w:ind w:left="360" w:firstLine="1"/>
    </w:pPr>
    <w:rPr>
      <w:sz w:val="16"/>
    </w:rPr>
  </w:style>
  <w:style w:type="paragraph" w:customStyle="1" w:styleId="subpar">
    <w:name w:val="subpar"/>
    <w:basedOn w:val="WW-BodyTextIndent3"/>
    <w:pPr>
      <w:numPr>
        <w:numId w:val="1"/>
      </w:numPr>
      <w:spacing w:before="120"/>
      <w:ind w:left="0" w:firstLine="0"/>
      <w:jc w:val="both"/>
    </w:pPr>
    <w:rPr>
      <w:sz w:val="24"/>
      <w:lang w:val="es-ES_tradnl"/>
    </w:rPr>
  </w:style>
  <w:style w:type="paragraph" w:customStyle="1" w:styleId="SubSubPar">
    <w:name w:val="SubSubPar"/>
    <w:basedOn w:val="subpar"/>
    <w:pPr>
      <w:tabs>
        <w:tab w:val="left" w:pos="0"/>
        <w:tab w:val="left" w:pos="360"/>
      </w:tabs>
    </w:pPr>
  </w:style>
  <w:style w:type="paragraph" w:customStyle="1" w:styleId="Contenidodelatabla">
    <w:name w:val="Contenido de la tabla"/>
    <w:basedOn w:val="BodyText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i/>
    </w:rPr>
  </w:style>
  <w:style w:type="paragraph" w:styleId="TOC4">
    <w:name w:val="toc 4"/>
    <w:basedOn w:val="Normal"/>
    <w:next w:val="Normal"/>
    <w:autoRedefine/>
    <w:uiPriority w:val="39"/>
    <w:semiHidden/>
    <w:pPr>
      <w:suppressAutoHyphens w:val="0"/>
      <w:ind w:left="400"/>
    </w:pPr>
    <w:rPr>
      <w:sz w:val="24"/>
      <w:lang w:val="es-ES_tradnl"/>
    </w:rPr>
  </w:style>
  <w:style w:type="paragraph" w:styleId="BodyText2">
    <w:name w:val="Body Text 2"/>
    <w:basedOn w:val="Normal"/>
    <w:link w:val="BodyText2Char"/>
    <w:uiPriority w:val="99"/>
    <w:semiHidden/>
    <w:pPr>
      <w:tabs>
        <w:tab w:val="left" w:pos="3691"/>
      </w:tabs>
      <w:spacing w:after="60"/>
    </w:pPr>
    <w:rPr>
      <w:sz w:val="16"/>
      <w:lang w:val="es-E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1B3"/>
    <w:rPr>
      <w:lang w:val="eu-ES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61B3"/>
    <w:rPr>
      <w:lang w:val="eu-ES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61B3"/>
    <w:rPr>
      <w:lang w:val="eu-ES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28448C339081546B148616F73E168C2" ma:contentTypeVersion="2853" ma:contentTypeDescription="The base project type from which other project content types inherit their information." ma:contentTypeScope="" ma:versionID="877a245d8ae8f1d499220537a7b5ea2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R0002744654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35149965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>
      <Value>52</Value>
      <Value>11</Value>
      <Value>10</Value>
    </TaxCatchAll>
    <Fiscal_x0020_Year_x0020_IDB xmlns="cdc7663a-08f0-4737-9e8c-148ce897a09c">2010</Fiscal_x0020_Year_x0020_IDB>
    <Project_x0020_Number xmlns="cdc7663a-08f0-4737-9e8c-148ce897a09c">TC0303022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United States of America</TermName>
          <TermId xmlns="http://schemas.microsoft.com/office/infopath/2007/PartnerControls">24b29fed-1348-4600-9869-d4c0cdf7902e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EZSHARE-851291612-276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https://idbg.sharepoint.com/teams/EZ-CO-TCP/TC0303022/_layouts/15/DocIdRedir.aspx?ID=EZSHARE-851291612-276</Url>
      <Description>EZSHARE-851291612-276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2EFEC5C-D33C-4D1A-B3A5-60B5A6095223}"/>
</file>

<file path=customXml/itemProps10.xml><?xml version="1.0" encoding="utf-8"?>
<ds:datastoreItem xmlns:ds="http://schemas.openxmlformats.org/officeDocument/2006/customXml" ds:itemID="{49A304CF-9698-4E7C-8061-4EEC7817C57F}"/>
</file>

<file path=customXml/itemProps11.xml><?xml version="1.0" encoding="utf-8"?>
<ds:datastoreItem xmlns:ds="http://schemas.openxmlformats.org/officeDocument/2006/customXml" ds:itemID="{A91A6A32-B877-4F98-A43A-3B67D8160838}"/>
</file>

<file path=customXml/itemProps2.xml><?xml version="1.0" encoding="utf-8"?>
<ds:datastoreItem xmlns:ds="http://schemas.openxmlformats.org/officeDocument/2006/customXml" ds:itemID="{E304F47A-6564-4D69-B3BD-49FDA97274A1}"/>
</file>

<file path=customXml/itemProps3.xml><?xml version="1.0" encoding="utf-8"?>
<ds:datastoreItem xmlns:ds="http://schemas.openxmlformats.org/officeDocument/2006/customXml" ds:itemID="{CCB1C1C7-0130-42C3-AAEE-2C4D0C095B98}"/>
</file>

<file path=customXml/itemProps4.xml><?xml version="1.0" encoding="utf-8"?>
<ds:datastoreItem xmlns:ds="http://schemas.openxmlformats.org/officeDocument/2006/customXml" ds:itemID="{5F669E2D-AB5F-4954-976A-6654A70E8A8E}"/>
</file>

<file path=customXml/itemProps5.xml><?xml version="1.0" encoding="utf-8"?>
<ds:datastoreItem xmlns:ds="http://schemas.openxmlformats.org/officeDocument/2006/customXml" ds:itemID="{221FB7AD-7E34-4966-B6E2-213FC949DB3C}"/>
</file>

<file path=customXml/itemProps6.xml><?xml version="1.0" encoding="utf-8"?>
<ds:datastoreItem xmlns:ds="http://schemas.openxmlformats.org/officeDocument/2006/customXml" ds:itemID="{6D307B28-2C52-40BC-A985-1B2DADF68FBF}"/>
</file>

<file path=customXml/itemProps7.xml><?xml version="1.0" encoding="utf-8"?>
<ds:datastoreItem xmlns:ds="http://schemas.openxmlformats.org/officeDocument/2006/customXml" ds:itemID="{29E62335-A01D-431E-BF22-04DB6E7FFE3A}"/>
</file>

<file path=customXml/itemProps8.xml><?xml version="1.0" encoding="utf-8"?>
<ds:datastoreItem xmlns:ds="http://schemas.openxmlformats.org/officeDocument/2006/customXml" ds:itemID="{FF95255B-7230-4011-8C86-38F2FB5C8AAE}"/>
</file>

<file path=customXml/itemProps9.xml><?xml version="1.0" encoding="utf-8"?>
<ds:datastoreItem xmlns:ds="http://schemas.openxmlformats.org/officeDocument/2006/customXml" ds:itemID="{74D739EB-80F4-4C0D-A64B-D17ECB68A08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1334</Words>
  <Characters>7608</Characters>
  <Application>Microsoft Office Outlook</Application>
  <DocSecurity>0</DocSecurity>
  <Lines>0</Lines>
  <Paragraphs>0</Paragraphs>
  <ScaleCrop>false</ScaleCrop>
  <Company>Inter-American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IMH</dc:creator>
  <cp:keywords/>
  <dc:description/>
  <cp:lastModifiedBy>Information Center</cp:lastModifiedBy>
  <cp:revision>2</cp:revision>
  <cp:lastPrinted>2003-07-17T21:23:00Z</cp:lastPrinted>
  <dcterms:created xsi:type="dcterms:W3CDTF">2003-07-23T18:30:00Z</dcterms:created>
  <dcterms:modified xsi:type="dcterms:W3CDTF">2003-07-23T18:30:00Z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0x010100ACF722E9F6B0B149B0CD8BE2560A667200528448C339081546B148616F73E168C2</vt:lpwstr>
  </property>
  <property fmtid="{D5CDD505-2E9C-101B-9397-08002B2CF9AE}" pid="5" name="TaxKeywordTaxHTField">
    <vt:lpwstr/>
  </property>
  <property fmtid="{D5CDD505-2E9C-101B-9397-08002B2CF9AE}" pid="6" name="Series Operations IDB">
    <vt:lpwstr>11;#Unclassified|a6dff32e-d477-44cd-a56b-85efe9e0a56c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>52;#United States of America|24b29fed-1348-4600-9869-d4c0cdf7902e</vt:lpwstr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10;#IDBDocs|cca77002-e150-4b2d-ab1f-1d7a7cdcae16</vt:lpwstr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a33762c7-c1c3-45de-bcad-45a5cf9441a8</vt:lpwstr>
  </property>
</Properties>
</file>