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755" w:rsidRPr="001F0C8E" w:rsidRDefault="00EA295C" w:rsidP="00EA295C">
      <w:pPr>
        <w:tabs>
          <w:tab w:val="left" w:pos="4120"/>
          <w:tab w:val="center" w:pos="4680"/>
        </w:tabs>
        <w:contextualSpacing/>
        <w:rPr>
          <w:rFonts w:ascii="Arial" w:hAnsi="Arial" w:cs="Arial"/>
          <w:b/>
          <w:iCs/>
          <w:smallCaps/>
        </w:rPr>
      </w:pPr>
      <w:bookmarkStart w:id="0" w:name="_GoBack"/>
      <w:bookmarkEnd w:id="0"/>
      <w:r>
        <w:rPr>
          <w:rFonts w:ascii="Arial" w:hAnsi="Arial" w:cs="Arial"/>
          <w:b/>
          <w:iCs/>
          <w:smallCaps/>
        </w:rPr>
        <w:tab/>
        <w:t>REGIONAL</w:t>
      </w:r>
    </w:p>
    <w:p w:rsidR="00EA295C" w:rsidRDefault="00EA295C" w:rsidP="00F61D00">
      <w:pPr>
        <w:contextualSpacing/>
        <w:jc w:val="center"/>
        <w:rPr>
          <w:rFonts w:ascii="Arial" w:hAnsi="Arial" w:cs="Arial"/>
          <w:b/>
          <w:iCs/>
          <w:smallCaps/>
        </w:rPr>
      </w:pPr>
      <w:r>
        <w:rPr>
          <w:rFonts w:ascii="Arial" w:hAnsi="Arial" w:cs="Arial"/>
          <w:b/>
          <w:iCs/>
          <w:smallCaps/>
        </w:rPr>
        <w:t>IFD/CTI</w:t>
      </w:r>
    </w:p>
    <w:p w:rsidR="00CE4C42" w:rsidRDefault="00CE4C42" w:rsidP="00CE4C42">
      <w:pPr>
        <w:contextualSpacing/>
        <w:jc w:val="center"/>
        <w:rPr>
          <w:rFonts w:ascii="Arial" w:hAnsi="Arial" w:cs="Arial"/>
          <w:iCs/>
        </w:rPr>
      </w:pPr>
    </w:p>
    <w:p w:rsidR="00CE4C42" w:rsidRPr="001F0C8E" w:rsidRDefault="00CE4C42" w:rsidP="00CE4C42">
      <w:pPr>
        <w:contextualSpacing/>
        <w:jc w:val="center"/>
        <w:rPr>
          <w:rFonts w:ascii="Arial" w:hAnsi="Arial" w:cs="Arial"/>
          <w:lang w:val="en-GB"/>
        </w:rPr>
      </w:pPr>
      <w:r w:rsidRPr="001F0C8E">
        <w:rPr>
          <w:rFonts w:ascii="Arial" w:hAnsi="Arial" w:cs="Arial"/>
          <w:iCs/>
        </w:rPr>
        <w:t>RG-</w:t>
      </w:r>
      <w:r w:rsidRPr="001F0C8E">
        <w:rPr>
          <w:rFonts w:ascii="Arial" w:hAnsi="Arial" w:cs="Arial"/>
        </w:rPr>
        <w:t>T2627</w:t>
      </w:r>
    </w:p>
    <w:p w:rsidR="00CE4C42" w:rsidRPr="001F0C8E" w:rsidRDefault="00CE4C42" w:rsidP="00CE4C42">
      <w:pPr>
        <w:contextualSpacing/>
        <w:jc w:val="center"/>
        <w:rPr>
          <w:rFonts w:ascii="Arial" w:hAnsi="Arial" w:cs="Arial"/>
          <w:iCs/>
          <w:smallCaps/>
        </w:rPr>
      </w:pPr>
      <w:r w:rsidRPr="001F0C8E">
        <w:rPr>
          <w:rFonts w:ascii="Arial" w:hAnsi="Arial" w:cs="Arial"/>
          <w:iCs/>
          <w:smallCaps/>
        </w:rPr>
        <w:t>Broadband as a tool For Creative Industries in Jamaica And Trinidad and Tobago</w:t>
      </w:r>
    </w:p>
    <w:p w:rsidR="00CE4C42" w:rsidRDefault="00CE4C42" w:rsidP="00F61D00">
      <w:pPr>
        <w:contextualSpacing/>
        <w:jc w:val="center"/>
        <w:rPr>
          <w:rFonts w:ascii="Arial" w:hAnsi="Arial" w:cs="Arial"/>
          <w:b/>
          <w:iCs/>
          <w:smallCaps/>
        </w:rPr>
      </w:pPr>
    </w:p>
    <w:p w:rsidR="00713755" w:rsidRPr="001F0C8E" w:rsidRDefault="00255214" w:rsidP="00F61D00">
      <w:pPr>
        <w:contextualSpacing/>
        <w:jc w:val="center"/>
        <w:rPr>
          <w:rFonts w:ascii="Arial" w:hAnsi="Arial" w:cs="Arial"/>
          <w:b/>
          <w:iCs/>
          <w:smallCaps/>
        </w:rPr>
      </w:pPr>
      <w:r w:rsidRPr="001F0C8E">
        <w:rPr>
          <w:rFonts w:ascii="Arial" w:hAnsi="Arial" w:cs="Arial"/>
          <w:b/>
          <w:iCs/>
          <w:smallCaps/>
        </w:rPr>
        <w:t>Interaction with Related IADB Projects</w:t>
      </w:r>
    </w:p>
    <w:p w:rsidR="00797DB4" w:rsidRPr="001F0C8E" w:rsidRDefault="00797DB4" w:rsidP="00F61D00">
      <w:pPr>
        <w:jc w:val="center"/>
        <w:rPr>
          <w:rFonts w:ascii="Arial" w:hAnsi="Arial" w:cs="Arial"/>
        </w:rPr>
      </w:pPr>
    </w:p>
    <w:p w:rsidR="00F61D00" w:rsidRPr="001F0C8E" w:rsidRDefault="00797DB4" w:rsidP="00797DB4">
      <w:pPr>
        <w:jc w:val="both"/>
        <w:rPr>
          <w:rFonts w:ascii="Arial" w:hAnsi="Arial" w:cs="Arial"/>
        </w:rPr>
      </w:pPr>
      <w:r w:rsidRPr="001F0C8E">
        <w:rPr>
          <w:rFonts w:ascii="Arial" w:hAnsi="Arial" w:cs="Arial"/>
        </w:rPr>
        <w:t xml:space="preserve">As expressed in the main TC document, following the establishment of the Broadband Initiative and the Broadband Fund, the Bank has been increasingly involved in programs that seek to improve broadband penetration, quality and regulation in the Caribbean. </w:t>
      </w:r>
      <w:r w:rsidR="005F4507" w:rsidRPr="001F0C8E">
        <w:rPr>
          <w:rFonts w:ascii="Arial" w:hAnsi="Arial" w:cs="Arial"/>
        </w:rPr>
        <w:t>The project shall take special care in avoiding the duplication of work, as well as in sharing its advancements with the projects that are ongoing.</w:t>
      </w:r>
    </w:p>
    <w:p w:rsidR="00797DB4" w:rsidRPr="001F0C8E" w:rsidRDefault="005F4507" w:rsidP="00797DB4">
      <w:pPr>
        <w:jc w:val="both"/>
        <w:rPr>
          <w:rFonts w:ascii="Arial" w:hAnsi="Arial" w:cs="Arial"/>
        </w:rPr>
      </w:pPr>
      <w:r w:rsidRPr="001F0C8E">
        <w:rPr>
          <w:rFonts w:ascii="Arial" w:hAnsi="Arial" w:cs="Arial"/>
        </w:rPr>
        <w:t>Specifically i</w:t>
      </w:r>
      <w:r w:rsidR="00BE0830" w:rsidRPr="001F0C8E">
        <w:rPr>
          <w:rFonts w:ascii="Arial" w:hAnsi="Arial" w:cs="Arial"/>
        </w:rPr>
        <w:t>n relation to the aforesaid programs, t</w:t>
      </w:r>
      <w:r w:rsidR="00797DB4" w:rsidRPr="001F0C8E">
        <w:rPr>
          <w:rFonts w:ascii="Arial" w:hAnsi="Arial" w:cs="Arial"/>
        </w:rPr>
        <w:t>h</w:t>
      </w:r>
      <w:r w:rsidR="00BE0830" w:rsidRPr="001F0C8E">
        <w:rPr>
          <w:rFonts w:ascii="Arial" w:hAnsi="Arial" w:cs="Arial"/>
        </w:rPr>
        <w:t>e</w:t>
      </w:r>
      <w:r w:rsidR="00797DB4" w:rsidRPr="001F0C8E">
        <w:rPr>
          <w:rFonts w:ascii="Arial" w:hAnsi="Arial" w:cs="Arial"/>
        </w:rPr>
        <w:t xml:space="preserve"> project shall</w:t>
      </w:r>
      <w:r w:rsidR="00BE0830" w:rsidRPr="001F0C8E">
        <w:rPr>
          <w:rFonts w:ascii="Arial" w:hAnsi="Arial" w:cs="Arial"/>
        </w:rPr>
        <w:t>:</w:t>
      </w:r>
      <w:r w:rsidR="00797DB4" w:rsidRPr="001F0C8E">
        <w:rPr>
          <w:rFonts w:ascii="Arial" w:hAnsi="Arial" w:cs="Arial"/>
        </w:rPr>
        <w:t xml:space="preserve"> </w:t>
      </w:r>
    </w:p>
    <w:p w:rsidR="00713755" w:rsidRPr="001F0C8E" w:rsidRDefault="00713755" w:rsidP="00184436">
      <w:pPr>
        <w:pStyle w:val="ListParagraph"/>
        <w:numPr>
          <w:ilvl w:val="0"/>
          <w:numId w:val="1"/>
        </w:numPr>
        <w:ind w:left="540" w:hanging="540"/>
        <w:jc w:val="both"/>
        <w:rPr>
          <w:rFonts w:ascii="Arial" w:hAnsi="Arial" w:cs="Arial"/>
        </w:rPr>
      </w:pPr>
      <w:r w:rsidRPr="001F0C8E">
        <w:rPr>
          <w:rFonts w:ascii="Arial" w:hAnsi="Arial" w:cs="Arial"/>
        </w:rPr>
        <w:t>Take into account the execution and results of RG-T2272</w:t>
      </w:r>
      <w:r w:rsidR="00606C47" w:rsidRPr="001F0C8E">
        <w:rPr>
          <w:rFonts w:ascii="Arial" w:hAnsi="Arial" w:cs="Arial"/>
        </w:rPr>
        <w:t>,</w:t>
      </w:r>
      <w:r w:rsidRPr="001F0C8E">
        <w:rPr>
          <w:rFonts w:ascii="Arial" w:hAnsi="Arial" w:cs="Arial"/>
        </w:rPr>
        <w:t xml:space="preserve"> which harmonizes the Caribbean Spectrum Planning and Management, so as to (i) coordinate the technical aspects of broadband provision –spectrum planning- with the regulatory aspects,</w:t>
      </w:r>
      <w:r w:rsidR="00624D6C" w:rsidRPr="001F0C8E">
        <w:rPr>
          <w:rFonts w:ascii="Arial" w:hAnsi="Arial" w:cs="Arial"/>
        </w:rPr>
        <w:t xml:space="preserve"> to the extent pertinent to the</w:t>
      </w:r>
      <w:r w:rsidRPr="001F0C8E">
        <w:rPr>
          <w:rFonts w:ascii="Arial" w:hAnsi="Arial" w:cs="Arial"/>
        </w:rPr>
        <w:t xml:space="preserve"> project, and (ii) correlate the information on spectrum needs with that of access and speed needs for creative industries. </w:t>
      </w:r>
    </w:p>
    <w:p w:rsidR="00FA0B6D" w:rsidRPr="001F0C8E" w:rsidRDefault="00FA0B6D" w:rsidP="00184436">
      <w:pPr>
        <w:pStyle w:val="ListParagraph"/>
        <w:ind w:left="540" w:hanging="540"/>
        <w:jc w:val="both"/>
        <w:rPr>
          <w:rFonts w:ascii="Arial" w:hAnsi="Arial" w:cs="Arial"/>
        </w:rPr>
      </w:pPr>
    </w:p>
    <w:p w:rsidR="00713755" w:rsidRPr="001F0C8E" w:rsidRDefault="00713755" w:rsidP="00184436">
      <w:pPr>
        <w:pStyle w:val="ListParagraph"/>
        <w:numPr>
          <w:ilvl w:val="0"/>
          <w:numId w:val="1"/>
        </w:numPr>
        <w:ind w:left="540" w:hanging="540"/>
        <w:jc w:val="both"/>
        <w:rPr>
          <w:rFonts w:ascii="Arial" w:hAnsi="Arial" w:cs="Arial"/>
        </w:rPr>
      </w:pPr>
      <w:r w:rsidRPr="001F0C8E">
        <w:rPr>
          <w:rFonts w:ascii="Arial" w:hAnsi="Arial" w:cs="Arial"/>
        </w:rPr>
        <w:t xml:space="preserve">Build upon RG-T2212, which creates a broadband infrastructure inventory and public awareness in the Caribbean, in three respects: (i) Utilizing the diagnostic information and conclusions obtained in RG-T2212 on infrastructure inventory and ICT awareness; (ii) providing a continuation to the awareness-raising component of RG-T2212 by way of showing authorities and, now, SMEs, the importance of broadband in the development of the creative industries to their full potential; (iii) continuing the effort of helping the countries develop a national broadband strategy –and one that is consistent with their specific needs and strengths; in particular, the Team Leader shall see that the policy recommendations and roadmap delivered in execution of this project are consistent with those of the Spectrum Management in the aspect of broadband access. </w:t>
      </w:r>
    </w:p>
    <w:p w:rsidR="00FA0B6D" w:rsidRPr="001F0C8E" w:rsidRDefault="00FA0B6D" w:rsidP="00184436">
      <w:pPr>
        <w:pStyle w:val="ListParagraph"/>
        <w:ind w:left="540" w:hanging="540"/>
        <w:jc w:val="both"/>
        <w:rPr>
          <w:rFonts w:ascii="Arial" w:hAnsi="Arial" w:cs="Arial"/>
        </w:rPr>
      </w:pPr>
    </w:p>
    <w:p w:rsidR="00713755" w:rsidRPr="001F0C8E" w:rsidRDefault="00713755" w:rsidP="00184436">
      <w:pPr>
        <w:pStyle w:val="ListParagraph"/>
        <w:numPr>
          <w:ilvl w:val="0"/>
          <w:numId w:val="1"/>
        </w:numPr>
        <w:ind w:left="540" w:hanging="540"/>
        <w:jc w:val="both"/>
        <w:rPr>
          <w:rFonts w:ascii="Arial" w:hAnsi="Arial" w:cs="Arial"/>
        </w:rPr>
      </w:pPr>
      <w:r w:rsidRPr="001F0C8E">
        <w:rPr>
          <w:rFonts w:ascii="Arial" w:hAnsi="Arial" w:cs="Arial"/>
        </w:rPr>
        <w:t xml:space="preserve">Complement the results of JA-T1079, which enhances the ICT regulatory environment in Jamaica by recommending a converged single regulator. </w:t>
      </w:r>
    </w:p>
    <w:p w:rsidR="00FA0B6D" w:rsidRPr="001F0C8E" w:rsidRDefault="00FA0B6D" w:rsidP="00184436">
      <w:pPr>
        <w:pStyle w:val="ListParagraph"/>
        <w:ind w:left="540" w:hanging="540"/>
        <w:jc w:val="both"/>
        <w:rPr>
          <w:rFonts w:ascii="Arial" w:hAnsi="Arial" w:cs="Arial"/>
        </w:rPr>
      </w:pPr>
    </w:p>
    <w:p w:rsidR="00191E86" w:rsidRPr="001F0C8E" w:rsidRDefault="00A442A9" w:rsidP="00203059">
      <w:pPr>
        <w:pStyle w:val="ListParagraph"/>
        <w:numPr>
          <w:ilvl w:val="0"/>
          <w:numId w:val="1"/>
        </w:numPr>
        <w:ind w:left="540" w:hanging="540"/>
        <w:jc w:val="both"/>
        <w:rPr>
          <w:rFonts w:ascii="Arial" w:hAnsi="Arial" w:cs="Arial"/>
        </w:rPr>
      </w:pPr>
      <w:r w:rsidRPr="001F0C8E">
        <w:rPr>
          <w:rFonts w:ascii="Arial" w:hAnsi="Arial" w:cs="Arial"/>
        </w:rPr>
        <w:t>Complement</w:t>
      </w:r>
      <w:r w:rsidR="00713755" w:rsidRPr="001F0C8E">
        <w:rPr>
          <w:rFonts w:ascii="Arial" w:hAnsi="Arial" w:cs="Arial"/>
        </w:rPr>
        <w:t xml:space="preserve"> </w:t>
      </w:r>
      <w:r w:rsidR="00191E86" w:rsidRPr="001F0C8E">
        <w:rPr>
          <w:rFonts w:ascii="Arial" w:hAnsi="Arial" w:cs="Arial"/>
        </w:rPr>
        <w:t xml:space="preserve">the work of </w:t>
      </w:r>
      <w:r w:rsidR="00203059" w:rsidRPr="001F0C8E">
        <w:rPr>
          <w:rFonts w:ascii="Arial" w:hAnsi="Arial" w:cs="Arial"/>
        </w:rPr>
        <w:t xml:space="preserve">TT-M1009, which </w:t>
      </w:r>
      <w:r w:rsidR="00FF3FD7" w:rsidRPr="001F0C8E">
        <w:rPr>
          <w:rFonts w:ascii="Arial" w:hAnsi="Arial" w:cs="Arial"/>
        </w:rPr>
        <w:t>seeks to improve the</w:t>
      </w:r>
      <w:r w:rsidR="00191E86" w:rsidRPr="001F0C8E">
        <w:rPr>
          <w:rFonts w:ascii="Arial" w:hAnsi="Arial" w:cs="Arial"/>
        </w:rPr>
        <w:t xml:space="preserve"> performance of </w:t>
      </w:r>
      <w:r w:rsidR="00FF3FD7" w:rsidRPr="001F0C8E">
        <w:rPr>
          <w:rFonts w:ascii="Arial" w:hAnsi="Arial" w:cs="Arial"/>
        </w:rPr>
        <w:t xml:space="preserve">Trinidadian </w:t>
      </w:r>
      <w:r w:rsidR="00191E86" w:rsidRPr="001F0C8E">
        <w:rPr>
          <w:rFonts w:ascii="Arial" w:hAnsi="Arial" w:cs="Arial"/>
        </w:rPr>
        <w:t>SMEs through the application of ICT</w:t>
      </w:r>
      <w:r w:rsidR="00FF3FD7" w:rsidRPr="001F0C8E">
        <w:rPr>
          <w:rFonts w:ascii="Arial" w:hAnsi="Arial" w:cs="Arial"/>
        </w:rPr>
        <w:t>.</w:t>
      </w:r>
    </w:p>
    <w:p w:rsidR="00191E86" w:rsidRPr="001F0C8E" w:rsidRDefault="00191E86" w:rsidP="00191E86">
      <w:pPr>
        <w:pStyle w:val="ListParagraph"/>
        <w:rPr>
          <w:rFonts w:ascii="Arial" w:hAnsi="Arial" w:cs="Arial"/>
        </w:rPr>
      </w:pPr>
    </w:p>
    <w:p w:rsidR="00706790" w:rsidRPr="001F0C8E" w:rsidRDefault="00706790" w:rsidP="00184436">
      <w:pPr>
        <w:pStyle w:val="ListParagraph"/>
        <w:numPr>
          <w:ilvl w:val="0"/>
          <w:numId w:val="1"/>
        </w:numPr>
        <w:ind w:left="540" w:hanging="540"/>
        <w:jc w:val="both"/>
        <w:rPr>
          <w:rFonts w:ascii="Arial" w:hAnsi="Arial" w:cs="Arial"/>
        </w:rPr>
      </w:pPr>
      <w:r w:rsidRPr="001F0C8E">
        <w:rPr>
          <w:rFonts w:ascii="Arial" w:hAnsi="Arial" w:cs="Arial"/>
        </w:rPr>
        <w:t>Coordinate</w:t>
      </w:r>
      <w:r w:rsidR="0078347A">
        <w:rPr>
          <w:rFonts w:ascii="Arial" w:hAnsi="Arial" w:cs="Arial"/>
        </w:rPr>
        <w:t xml:space="preserve"> </w:t>
      </w:r>
      <w:r w:rsidRPr="001F0C8E">
        <w:rPr>
          <w:rFonts w:ascii="Arial" w:hAnsi="Arial" w:cs="Arial"/>
        </w:rPr>
        <w:t>with TT-L1038, which promotes the internationalization of local SMEs through Global Offshoring Services</w:t>
      </w:r>
      <w:r w:rsidR="00AF05DE" w:rsidRPr="001F0C8E">
        <w:rPr>
          <w:rFonts w:ascii="Arial" w:hAnsi="Arial" w:cs="Arial"/>
        </w:rPr>
        <w:t xml:space="preserve">, </w:t>
      </w:r>
      <w:r w:rsidR="0078347A">
        <w:rPr>
          <w:rFonts w:ascii="Arial" w:hAnsi="Arial" w:cs="Arial"/>
        </w:rPr>
        <w:t xml:space="preserve">by taking advantage of the facilities built through said project, share training programs and experiences, </w:t>
      </w:r>
      <w:r w:rsidR="00A57C50">
        <w:rPr>
          <w:rFonts w:ascii="Arial" w:hAnsi="Arial" w:cs="Arial"/>
        </w:rPr>
        <w:t xml:space="preserve">adding to their pool of services, </w:t>
      </w:r>
      <w:r w:rsidR="0078347A">
        <w:rPr>
          <w:rFonts w:ascii="Arial" w:hAnsi="Arial" w:cs="Arial"/>
        </w:rPr>
        <w:t xml:space="preserve">and </w:t>
      </w:r>
      <w:r w:rsidR="00CE3E8E" w:rsidRPr="001F0C8E">
        <w:rPr>
          <w:rFonts w:ascii="Arial" w:hAnsi="Arial" w:cs="Arial"/>
        </w:rPr>
        <w:t xml:space="preserve">placing the creative firms in the </w:t>
      </w:r>
      <w:r w:rsidR="0078347A">
        <w:rPr>
          <w:rFonts w:ascii="Arial" w:hAnsi="Arial" w:cs="Arial"/>
        </w:rPr>
        <w:t xml:space="preserve">export </w:t>
      </w:r>
      <w:r w:rsidR="00CE3E8E" w:rsidRPr="001F0C8E">
        <w:rPr>
          <w:rFonts w:ascii="Arial" w:hAnsi="Arial" w:cs="Arial"/>
        </w:rPr>
        <w:t xml:space="preserve">platform. </w:t>
      </w:r>
    </w:p>
    <w:p w:rsidR="00706790" w:rsidRPr="001F0C8E" w:rsidRDefault="00706790" w:rsidP="00706790">
      <w:pPr>
        <w:pStyle w:val="ListParagraph"/>
        <w:rPr>
          <w:rFonts w:ascii="Arial" w:hAnsi="Arial" w:cs="Arial"/>
        </w:rPr>
      </w:pPr>
    </w:p>
    <w:p w:rsidR="00843AB8" w:rsidRPr="001F0C8E" w:rsidRDefault="00191E86" w:rsidP="00184436">
      <w:pPr>
        <w:pStyle w:val="ListParagraph"/>
        <w:numPr>
          <w:ilvl w:val="0"/>
          <w:numId w:val="1"/>
        </w:numPr>
        <w:ind w:left="540" w:hanging="540"/>
        <w:jc w:val="both"/>
        <w:rPr>
          <w:rFonts w:ascii="Arial" w:hAnsi="Arial" w:cs="Arial"/>
        </w:rPr>
      </w:pPr>
      <w:r w:rsidRPr="001F0C8E">
        <w:rPr>
          <w:rFonts w:ascii="Arial" w:hAnsi="Arial" w:cs="Arial"/>
        </w:rPr>
        <w:t xml:space="preserve">Complement also </w:t>
      </w:r>
      <w:r w:rsidR="00713755" w:rsidRPr="001F0C8E">
        <w:rPr>
          <w:rFonts w:ascii="Arial" w:hAnsi="Arial" w:cs="Arial"/>
        </w:rPr>
        <w:t>other national programs supporting innovations in segments of the creative industries, such as the Masquerade industry of Trinidad/Tobago (TT-M1021)</w:t>
      </w:r>
      <w:r w:rsidR="0018030E" w:rsidRPr="001F0C8E">
        <w:rPr>
          <w:rFonts w:ascii="Arial" w:hAnsi="Arial" w:cs="Arial"/>
        </w:rPr>
        <w:t xml:space="preserve">, as well as aid with information and capacity to </w:t>
      </w:r>
      <w:r w:rsidR="00713755" w:rsidRPr="001F0C8E">
        <w:rPr>
          <w:rFonts w:ascii="Arial" w:hAnsi="Arial" w:cs="Arial"/>
        </w:rPr>
        <w:t>the preparation of a loan operation on innovation promotion</w:t>
      </w:r>
      <w:r w:rsidR="00F74FF5" w:rsidRPr="001F0C8E">
        <w:rPr>
          <w:rFonts w:ascii="Arial" w:hAnsi="Arial" w:cs="Arial"/>
        </w:rPr>
        <w:t xml:space="preserve"> for Trinidad and Tobago</w:t>
      </w:r>
      <w:r w:rsidR="00713755" w:rsidRPr="001F0C8E">
        <w:rPr>
          <w:rFonts w:ascii="Arial" w:hAnsi="Arial" w:cs="Arial"/>
        </w:rPr>
        <w:t xml:space="preserve"> (TT-L1043).</w:t>
      </w:r>
    </w:p>
    <w:p w:rsidR="00DA39DF" w:rsidRPr="001F0C8E" w:rsidRDefault="00DA39DF" w:rsidP="00DA39DF">
      <w:pPr>
        <w:jc w:val="both"/>
        <w:rPr>
          <w:rFonts w:ascii="Arial" w:hAnsi="Arial" w:cs="Arial"/>
        </w:rPr>
      </w:pPr>
      <w:r w:rsidRPr="001F0C8E">
        <w:rPr>
          <w:rFonts w:ascii="Arial" w:hAnsi="Arial" w:cs="Arial"/>
        </w:rPr>
        <w:t xml:space="preserve">Furthermore, this Technical Cooperation is fully in line with the overarching strategy to develop an innovation ecosystem across the Caribbean through increased intellectual asset commercialization, REACH (RG-T2536). REACH shall not only be a source of valuable experience for the execution of this project, but it shall also provide an operative platform and, later, lend itself as a hub to which the creative SMEs incubated through this project may be anchored. </w:t>
      </w:r>
    </w:p>
    <w:p w:rsidR="00DA39DF" w:rsidRPr="001F0C8E" w:rsidRDefault="00DA39DF" w:rsidP="00DA39DF">
      <w:pPr>
        <w:pStyle w:val="ListParagraph"/>
        <w:ind w:left="540"/>
        <w:jc w:val="both"/>
        <w:rPr>
          <w:rFonts w:ascii="Arial" w:hAnsi="Arial" w:cs="Arial"/>
        </w:rPr>
      </w:pPr>
    </w:p>
    <w:sectPr w:rsidR="00DA39DF" w:rsidRPr="001F0C8E" w:rsidSect="00255214">
      <w:headerReference w:type="default" r:id="rId9"/>
      <w:pgSz w:w="12240" w:h="15840"/>
      <w:pgMar w:top="180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214" w:rsidRDefault="00255214" w:rsidP="00255214">
      <w:pPr>
        <w:spacing w:after="0" w:line="240" w:lineRule="auto"/>
      </w:pPr>
      <w:r>
        <w:separator/>
      </w:r>
    </w:p>
  </w:endnote>
  <w:endnote w:type="continuationSeparator" w:id="0">
    <w:p w:rsidR="00255214" w:rsidRDefault="00255214" w:rsidP="00255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214" w:rsidRDefault="00255214" w:rsidP="00255214">
      <w:pPr>
        <w:spacing w:after="0" w:line="240" w:lineRule="auto"/>
      </w:pPr>
      <w:r>
        <w:separator/>
      </w:r>
    </w:p>
  </w:footnote>
  <w:footnote w:type="continuationSeparator" w:id="0">
    <w:p w:rsidR="00255214" w:rsidRDefault="00255214" w:rsidP="002552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477648756"/>
      <w:docPartObj>
        <w:docPartGallery w:val="Page Numbers (Top of Page)"/>
        <w:docPartUnique/>
      </w:docPartObj>
    </w:sdtPr>
    <w:sdtEndPr/>
    <w:sdtContent>
      <w:p w:rsidR="00EA295C" w:rsidRPr="0078347A" w:rsidRDefault="00EA295C" w:rsidP="00EA295C">
        <w:pPr>
          <w:pStyle w:val="Header"/>
          <w:jc w:val="right"/>
          <w:rPr>
            <w:rFonts w:ascii="Arial" w:hAnsi="Arial" w:cs="Arial"/>
            <w:sz w:val="20"/>
            <w:szCs w:val="20"/>
            <w:lang w:val="fr-FR"/>
          </w:rPr>
        </w:pPr>
        <w:proofErr w:type="spellStart"/>
        <w:r w:rsidRPr="0078347A">
          <w:rPr>
            <w:rFonts w:ascii="Arial" w:hAnsi="Arial" w:cs="Arial"/>
            <w:sz w:val="20"/>
            <w:szCs w:val="20"/>
            <w:lang w:val="fr-FR"/>
          </w:rPr>
          <w:t>Annex</w:t>
        </w:r>
        <w:proofErr w:type="spellEnd"/>
        <w:r w:rsidRPr="0078347A">
          <w:rPr>
            <w:rFonts w:ascii="Arial" w:hAnsi="Arial" w:cs="Arial"/>
            <w:sz w:val="20"/>
            <w:szCs w:val="20"/>
            <w:lang w:val="fr-FR"/>
          </w:rPr>
          <w:t xml:space="preserve"> IV – RG-T2627</w:t>
        </w:r>
      </w:p>
      <w:p w:rsidR="009E4A3E" w:rsidRPr="0078347A" w:rsidRDefault="009E4A3E">
        <w:pPr>
          <w:pStyle w:val="Header"/>
          <w:jc w:val="right"/>
          <w:rPr>
            <w:rFonts w:ascii="Arial" w:hAnsi="Arial" w:cs="Arial"/>
            <w:sz w:val="20"/>
            <w:szCs w:val="20"/>
            <w:lang w:val="fr-FR"/>
          </w:rPr>
        </w:pPr>
        <w:r w:rsidRPr="0078347A">
          <w:rPr>
            <w:rFonts w:ascii="Arial" w:hAnsi="Arial" w:cs="Arial"/>
            <w:sz w:val="20"/>
            <w:szCs w:val="20"/>
            <w:lang w:val="fr-FR"/>
          </w:rPr>
          <w:t xml:space="preserve">Page </w:t>
        </w:r>
        <w:r w:rsidRPr="009E4A3E">
          <w:rPr>
            <w:rFonts w:ascii="Arial" w:hAnsi="Arial" w:cs="Arial"/>
            <w:bCs/>
            <w:sz w:val="20"/>
            <w:szCs w:val="20"/>
          </w:rPr>
          <w:fldChar w:fldCharType="begin"/>
        </w:r>
        <w:r w:rsidRPr="0078347A">
          <w:rPr>
            <w:rFonts w:ascii="Arial" w:hAnsi="Arial" w:cs="Arial"/>
            <w:bCs/>
            <w:sz w:val="20"/>
            <w:szCs w:val="20"/>
            <w:lang w:val="fr-FR"/>
          </w:rPr>
          <w:instrText xml:space="preserve"> PAGE </w:instrText>
        </w:r>
        <w:r w:rsidRPr="009E4A3E">
          <w:rPr>
            <w:rFonts w:ascii="Arial" w:hAnsi="Arial" w:cs="Arial"/>
            <w:bCs/>
            <w:sz w:val="20"/>
            <w:szCs w:val="20"/>
          </w:rPr>
          <w:fldChar w:fldCharType="separate"/>
        </w:r>
        <w:r w:rsidR="006A4B36">
          <w:rPr>
            <w:rFonts w:ascii="Arial" w:hAnsi="Arial" w:cs="Arial"/>
            <w:bCs/>
            <w:noProof/>
            <w:sz w:val="20"/>
            <w:szCs w:val="20"/>
            <w:lang w:val="fr-FR"/>
          </w:rPr>
          <w:t>1</w:t>
        </w:r>
        <w:r w:rsidRPr="009E4A3E">
          <w:rPr>
            <w:rFonts w:ascii="Arial" w:hAnsi="Arial" w:cs="Arial"/>
            <w:bCs/>
            <w:sz w:val="20"/>
            <w:szCs w:val="20"/>
          </w:rPr>
          <w:fldChar w:fldCharType="end"/>
        </w:r>
        <w:r w:rsidRPr="0078347A">
          <w:rPr>
            <w:rFonts w:ascii="Arial" w:hAnsi="Arial" w:cs="Arial"/>
            <w:sz w:val="20"/>
            <w:szCs w:val="20"/>
            <w:lang w:val="fr-FR"/>
          </w:rPr>
          <w:t xml:space="preserve"> of </w:t>
        </w:r>
        <w:r w:rsidRPr="009E4A3E">
          <w:rPr>
            <w:rFonts w:ascii="Arial" w:hAnsi="Arial" w:cs="Arial"/>
            <w:bCs/>
            <w:sz w:val="20"/>
            <w:szCs w:val="20"/>
          </w:rPr>
          <w:fldChar w:fldCharType="begin"/>
        </w:r>
        <w:r w:rsidRPr="0078347A">
          <w:rPr>
            <w:rFonts w:ascii="Arial" w:hAnsi="Arial" w:cs="Arial"/>
            <w:bCs/>
            <w:sz w:val="20"/>
            <w:szCs w:val="20"/>
            <w:lang w:val="fr-FR"/>
          </w:rPr>
          <w:instrText xml:space="preserve"> NUMPAGES  </w:instrText>
        </w:r>
        <w:r w:rsidRPr="009E4A3E">
          <w:rPr>
            <w:rFonts w:ascii="Arial" w:hAnsi="Arial" w:cs="Arial"/>
            <w:bCs/>
            <w:sz w:val="20"/>
            <w:szCs w:val="20"/>
          </w:rPr>
          <w:fldChar w:fldCharType="separate"/>
        </w:r>
        <w:r w:rsidR="006A4B36">
          <w:rPr>
            <w:rFonts w:ascii="Arial" w:hAnsi="Arial" w:cs="Arial"/>
            <w:bCs/>
            <w:noProof/>
            <w:sz w:val="20"/>
            <w:szCs w:val="20"/>
            <w:lang w:val="fr-FR"/>
          </w:rPr>
          <w:t>2</w:t>
        </w:r>
        <w:r w:rsidRPr="009E4A3E">
          <w:rPr>
            <w:rFonts w:ascii="Arial" w:hAnsi="Arial" w:cs="Arial"/>
            <w:bCs/>
            <w:sz w:val="20"/>
            <w:szCs w:val="20"/>
          </w:rPr>
          <w:fldChar w:fldCharType="end"/>
        </w:r>
      </w:p>
    </w:sdtContent>
  </w:sdt>
  <w:p w:rsidR="00EA295C" w:rsidRPr="0078347A" w:rsidRDefault="00EA295C">
    <w:pP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6048F"/>
    <w:multiLevelType w:val="hybridMultilevel"/>
    <w:tmpl w:val="21BED56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CB1212B"/>
    <w:multiLevelType w:val="multilevel"/>
    <w:tmpl w:val="815C14C4"/>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476"/>
        </w:tabs>
        <w:ind w:left="1476" w:hanging="1296"/>
      </w:pPr>
      <w:rPr>
        <w:b w:val="0"/>
        <w:i w:val="0"/>
      </w:rPr>
    </w:lvl>
    <w:lvl w:ilvl="2">
      <w:start w:val="1"/>
      <w:numFmt w:val="lowerLetter"/>
      <w:pStyle w:val="subpar"/>
      <w:lvlText w:val="%3."/>
      <w:lvlJc w:val="left"/>
      <w:pPr>
        <w:tabs>
          <w:tab w:val="num" w:pos="1332"/>
        </w:tabs>
        <w:ind w:left="1332"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755"/>
    <w:rsid w:val="0018030E"/>
    <w:rsid w:val="00184436"/>
    <w:rsid w:val="00191E86"/>
    <w:rsid w:val="001F0C8E"/>
    <w:rsid w:val="001F446A"/>
    <w:rsid w:val="00203059"/>
    <w:rsid w:val="00255214"/>
    <w:rsid w:val="003063BA"/>
    <w:rsid w:val="003E0344"/>
    <w:rsid w:val="0042789B"/>
    <w:rsid w:val="004A282C"/>
    <w:rsid w:val="004A4CAF"/>
    <w:rsid w:val="005950C2"/>
    <w:rsid w:val="005F4507"/>
    <w:rsid w:val="00606C47"/>
    <w:rsid w:val="00624D6C"/>
    <w:rsid w:val="006A4B36"/>
    <w:rsid w:val="00706790"/>
    <w:rsid w:val="00713755"/>
    <w:rsid w:val="0078347A"/>
    <w:rsid w:val="00797DB4"/>
    <w:rsid w:val="007A011F"/>
    <w:rsid w:val="00843AB8"/>
    <w:rsid w:val="00987AC6"/>
    <w:rsid w:val="00990888"/>
    <w:rsid w:val="009E4A3E"/>
    <w:rsid w:val="00A442A9"/>
    <w:rsid w:val="00A57C50"/>
    <w:rsid w:val="00A737DE"/>
    <w:rsid w:val="00AF05DE"/>
    <w:rsid w:val="00B277F8"/>
    <w:rsid w:val="00BB2502"/>
    <w:rsid w:val="00BE0830"/>
    <w:rsid w:val="00CB5067"/>
    <w:rsid w:val="00CE3E8E"/>
    <w:rsid w:val="00CE4C42"/>
    <w:rsid w:val="00DA39DF"/>
    <w:rsid w:val="00DB24F2"/>
    <w:rsid w:val="00E04BC7"/>
    <w:rsid w:val="00E91125"/>
    <w:rsid w:val="00EA295C"/>
    <w:rsid w:val="00F61D00"/>
    <w:rsid w:val="00F74FF5"/>
    <w:rsid w:val="00FA0B6D"/>
    <w:rsid w:val="00FF3F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0B6D"/>
    <w:pPr>
      <w:ind w:left="720"/>
      <w:contextualSpacing/>
    </w:pPr>
  </w:style>
  <w:style w:type="paragraph" w:styleId="Header">
    <w:name w:val="header"/>
    <w:basedOn w:val="Normal"/>
    <w:link w:val="HeaderChar"/>
    <w:uiPriority w:val="99"/>
    <w:unhideWhenUsed/>
    <w:rsid w:val="002552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5214"/>
  </w:style>
  <w:style w:type="paragraph" w:styleId="Footer">
    <w:name w:val="footer"/>
    <w:basedOn w:val="Normal"/>
    <w:link w:val="FooterChar"/>
    <w:uiPriority w:val="99"/>
    <w:unhideWhenUsed/>
    <w:rsid w:val="002552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5214"/>
  </w:style>
  <w:style w:type="paragraph" w:customStyle="1" w:styleId="Chapter">
    <w:name w:val="Chapter"/>
    <w:basedOn w:val="Normal"/>
    <w:next w:val="Normal"/>
    <w:rsid w:val="00DA39DF"/>
    <w:pPr>
      <w:keepNext/>
      <w:numPr>
        <w:numId w:val="2"/>
      </w:numPr>
      <w:tabs>
        <w:tab w:val="clear" w:pos="1800"/>
        <w:tab w:val="num" w:pos="648"/>
        <w:tab w:val="left" w:pos="1440"/>
      </w:tabs>
      <w:spacing w:before="240" w:after="240" w:line="240" w:lineRule="auto"/>
      <w:ind w:left="0"/>
      <w:jc w:val="center"/>
    </w:pPr>
    <w:rPr>
      <w:rFonts w:ascii="Times New Roman" w:eastAsiaTheme="minorEastAsia" w:hAnsi="Times New Roman" w:cs="Times New Roman"/>
      <w:b/>
      <w:smallCaps/>
      <w:sz w:val="24"/>
      <w:lang w:eastAsia="es-ES"/>
    </w:rPr>
  </w:style>
  <w:style w:type="paragraph" w:customStyle="1" w:styleId="Paragraph">
    <w:name w:val="Paragraph"/>
    <w:basedOn w:val="BodyTextIndent"/>
    <w:link w:val="ParagraphChar"/>
    <w:rsid w:val="00DA39DF"/>
    <w:pPr>
      <w:numPr>
        <w:ilvl w:val="1"/>
        <w:numId w:val="2"/>
      </w:numPr>
      <w:spacing w:before="120" w:line="240" w:lineRule="auto"/>
      <w:jc w:val="both"/>
      <w:outlineLvl w:val="1"/>
    </w:pPr>
    <w:rPr>
      <w:rFonts w:ascii="Times New Roman" w:eastAsiaTheme="minorEastAsia" w:hAnsi="Times New Roman" w:cs="Times New Roman"/>
      <w:sz w:val="24"/>
      <w:lang w:eastAsia="es-ES"/>
    </w:rPr>
  </w:style>
  <w:style w:type="character" w:customStyle="1" w:styleId="ParagraphChar">
    <w:name w:val="Paragraph Char"/>
    <w:basedOn w:val="DefaultParagraphFont"/>
    <w:link w:val="Paragraph"/>
    <w:rsid w:val="00DA39DF"/>
    <w:rPr>
      <w:rFonts w:ascii="Times New Roman" w:eastAsiaTheme="minorEastAsia" w:hAnsi="Times New Roman" w:cs="Times New Roman"/>
      <w:sz w:val="24"/>
      <w:lang w:eastAsia="es-ES"/>
    </w:rPr>
  </w:style>
  <w:style w:type="paragraph" w:customStyle="1" w:styleId="subpar">
    <w:name w:val="subpar"/>
    <w:basedOn w:val="BodyTextIndent3"/>
    <w:rsid w:val="00DA39DF"/>
    <w:pPr>
      <w:numPr>
        <w:ilvl w:val="2"/>
        <w:numId w:val="2"/>
      </w:numPr>
      <w:spacing w:before="120" w:line="240" w:lineRule="auto"/>
      <w:jc w:val="both"/>
      <w:outlineLvl w:val="2"/>
    </w:pPr>
    <w:rPr>
      <w:rFonts w:ascii="Times New Roman" w:eastAsiaTheme="minorEastAsia" w:hAnsi="Times New Roman" w:cs="Times New Roman"/>
      <w:sz w:val="24"/>
      <w:lang w:eastAsia="es-ES"/>
    </w:rPr>
  </w:style>
  <w:style w:type="paragraph" w:customStyle="1" w:styleId="SubSubPar">
    <w:name w:val="SubSubPar"/>
    <w:basedOn w:val="subpar"/>
    <w:rsid w:val="00DA39DF"/>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DA39DF"/>
    <w:pPr>
      <w:spacing w:after="120"/>
      <w:ind w:left="360"/>
    </w:pPr>
  </w:style>
  <w:style w:type="character" w:customStyle="1" w:styleId="BodyTextIndentChar">
    <w:name w:val="Body Text Indent Char"/>
    <w:basedOn w:val="DefaultParagraphFont"/>
    <w:link w:val="BodyTextIndent"/>
    <w:uiPriority w:val="99"/>
    <w:semiHidden/>
    <w:rsid w:val="00DA39DF"/>
  </w:style>
  <w:style w:type="paragraph" w:styleId="BodyTextIndent3">
    <w:name w:val="Body Text Indent 3"/>
    <w:basedOn w:val="Normal"/>
    <w:link w:val="BodyTextIndent3Char"/>
    <w:uiPriority w:val="99"/>
    <w:semiHidden/>
    <w:unhideWhenUsed/>
    <w:rsid w:val="00DA39D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A39DF"/>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0B6D"/>
    <w:pPr>
      <w:ind w:left="720"/>
      <w:contextualSpacing/>
    </w:pPr>
  </w:style>
  <w:style w:type="paragraph" w:styleId="Header">
    <w:name w:val="header"/>
    <w:basedOn w:val="Normal"/>
    <w:link w:val="HeaderChar"/>
    <w:uiPriority w:val="99"/>
    <w:unhideWhenUsed/>
    <w:rsid w:val="002552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5214"/>
  </w:style>
  <w:style w:type="paragraph" w:styleId="Footer">
    <w:name w:val="footer"/>
    <w:basedOn w:val="Normal"/>
    <w:link w:val="FooterChar"/>
    <w:uiPriority w:val="99"/>
    <w:unhideWhenUsed/>
    <w:rsid w:val="002552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5214"/>
  </w:style>
  <w:style w:type="paragraph" w:customStyle="1" w:styleId="Chapter">
    <w:name w:val="Chapter"/>
    <w:basedOn w:val="Normal"/>
    <w:next w:val="Normal"/>
    <w:rsid w:val="00DA39DF"/>
    <w:pPr>
      <w:keepNext/>
      <w:numPr>
        <w:numId w:val="2"/>
      </w:numPr>
      <w:tabs>
        <w:tab w:val="clear" w:pos="1800"/>
        <w:tab w:val="num" w:pos="648"/>
        <w:tab w:val="left" w:pos="1440"/>
      </w:tabs>
      <w:spacing w:before="240" w:after="240" w:line="240" w:lineRule="auto"/>
      <w:ind w:left="0"/>
      <w:jc w:val="center"/>
    </w:pPr>
    <w:rPr>
      <w:rFonts w:ascii="Times New Roman" w:eastAsiaTheme="minorEastAsia" w:hAnsi="Times New Roman" w:cs="Times New Roman"/>
      <w:b/>
      <w:smallCaps/>
      <w:sz w:val="24"/>
      <w:lang w:eastAsia="es-ES"/>
    </w:rPr>
  </w:style>
  <w:style w:type="paragraph" w:customStyle="1" w:styleId="Paragraph">
    <w:name w:val="Paragraph"/>
    <w:basedOn w:val="BodyTextIndent"/>
    <w:link w:val="ParagraphChar"/>
    <w:rsid w:val="00DA39DF"/>
    <w:pPr>
      <w:numPr>
        <w:ilvl w:val="1"/>
        <w:numId w:val="2"/>
      </w:numPr>
      <w:spacing w:before="120" w:line="240" w:lineRule="auto"/>
      <w:jc w:val="both"/>
      <w:outlineLvl w:val="1"/>
    </w:pPr>
    <w:rPr>
      <w:rFonts w:ascii="Times New Roman" w:eastAsiaTheme="minorEastAsia" w:hAnsi="Times New Roman" w:cs="Times New Roman"/>
      <w:sz w:val="24"/>
      <w:lang w:eastAsia="es-ES"/>
    </w:rPr>
  </w:style>
  <w:style w:type="character" w:customStyle="1" w:styleId="ParagraphChar">
    <w:name w:val="Paragraph Char"/>
    <w:basedOn w:val="DefaultParagraphFont"/>
    <w:link w:val="Paragraph"/>
    <w:rsid w:val="00DA39DF"/>
    <w:rPr>
      <w:rFonts w:ascii="Times New Roman" w:eastAsiaTheme="minorEastAsia" w:hAnsi="Times New Roman" w:cs="Times New Roman"/>
      <w:sz w:val="24"/>
      <w:lang w:eastAsia="es-ES"/>
    </w:rPr>
  </w:style>
  <w:style w:type="paragraph" w:customStyle="1" w:styleId="subpar">
    <w:name w:val="subpar"/>
    <w:basedOn w:val="BodyTextIndent3"/>
    <w:rsid w:val="00DA39DF"/>
    <w:pPr>
      <w:numPr>
        <w:ilvl w:val="2"/>
        <w:numId w:val="2"/>
      </w:numPr>
      <w:spacing w:before="120" w:line="240" w:lineRule="auto"/>
      <w:jc w:val="both"/>
      <w:outlineLvl w:val="2"/>
    </w:pPr>
    <w:rPr>
      <w:rFonts w:ascii="Times New Roman" w:eastAsiaTheme="minorEastAsia" w:hAnsi="Times New Roman" w:cs="Times New Roman"/>
      <w:sz w:val="24"/>
      <w:lang w:eastAsia="es-ES"/>
    </w:rPr>
  </w:style>
  <w:style w:type="paragraph" w:customStyle="1" w:styleId="SubSubPar">
    <w:name w:val="SubSubPar"/>
    <w:basedOn w:val="subpar"/>
    <w:rsid w:val="00DA39DF"/>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DA39DF"/>
    <w:pPr>
      <w:spacing w:after="120"/>
      <w:ind w:left="360"/>
    </w:pPr>
  </w:style>
  <w:style w:type="character" w:customStyle="1" w:styleId="BodyTextIndentChar">
    <w:name w:val="Body Text Indent Char"/>
    <w:basedOn w:val="DefaultParagraphFont"/>
    <w:link w:val="BodyTextIndent"/>
    <w:uiPriority w:val="99"/>
    <w:semiHidden/>
    <w:rsid w:val="00DA39DF"/>
  </w:style>
  <w:style w:type="paragraph" w:styleId="BodyTextIndent3">
    <w:name w:val="Body Text Indent 3"/>
    <w:basedOn w:val="Normal"/>
    <w:link w:val="BodyTextIndent3Char"/>
    <w:uiPriority w:val="99"/>
    <w:semiHidden/>
    <w:unhideWhenUsed/>
    <w:rsid w:val="00DA39D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A39D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0102ec3d50b4e7ef566a89942b7337f4">
  <xsd:schema xmlns:xsd="http://www.w3.org/2001/XMLSchema" xmlns:xs="http://www.w3.org/2001/XMLSchema" xmlns:p="http://schemas.microsoft.com/office/2006/metadata/properties" xmlns:ns2="cdc7663a-08f0-4737-9e8c-148ce897a09c" targetNamespace="http://schemas.microsoft.com/office/2006/metadata/properties" ma:root="true" ma:fieldsID="4a2b00a3559290db0aee23e76ac17fb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Abstract xmlns="cdc7663a-08f0-4737-9e8c-148ce897a09c" xsi:nil="true"/>
    <Record_x0020_Number xmlns="cdc7663a-08f0-4737-9e8c-148ce897a09c" xsi:nil="true"/>
    <Disclosure_x0020_Activity xmlns="cdc7663a-08f0-4737-9e8c-148ce897a09c">Approved TC document</Disclosure_x0020_Activity>
    <Region xmlns="cdc7663a-08f0-4737-9e8c-148ce897a09c" xsi:nil="true"/>
    <Division_x0020_or_x0020_Unit xmlns="cdc7663a-08f0-4737-9e8c-148ce897a09c">IFD/CTI</Division_x0020_or_x0020_Unit>
    <Other_x0020_Author xmlns="cdc7663a-08f0-4737-9e8c-148ce897a09c" xsi:nil="true"/>
    <Key_x0020_Document xmlns="cdc7663a-08f0-4737-9e8c-148ce897a09c">false</Key_x0020_Document>
    <IDBDocs_x0020_Number xmlns="cdc7663a-08f0-4737-9e8c-148ce897a09c">39734452</IDBDocs_x0020_Number>
    <Publication_x0020_Type xmlns="cdc7663a-08f0-4737-9e8c-148ce897a09c" xsi:nil="true"/>
    <Document_x0020_Author xmlns="cdc7663a-08f0-4737-9e8c-148ce897a09c">De Leon Delgado, Ignacio Luis</Document_x0020_Author>
    <Operation_x0020_Type xmlns="cdc7663a-08f0-4737-9e8c-148ce897a09c" xsi:nil="true"/>
    <TaxCatchAll xmlns="cdc7663a-08f0-4737-9e8c-148ce897a09c">
      <Value>81</Value>
    </TaxCatchAll>
    <Issue_x0020_Date xmlns="cdc7663a-08f0-4737-9e8c-148ce897a09c" xsi:nil="true"/>
    <Fiscal_x0020_Year_x0020_IDB xmlns="cdc7663a-08f0-4737-9e8c-148ce897a09c">2015</Fiscal_x0020_Year_x0020_IDB>
    <TaxKeywordTaxHTField xmlns="cdc7663a-08f0-4737-9e8c-148ce897a09c">
      <Terms xmlns="http://schemas.microsoft.com/office/infopath/2007/PartnerControls"/>
    </TaxKeywordTaxHTField>
    <Project_x0020_Number xmlns="cdc7663a-08f0-4737-9e8c-148ce897a09c">N/A</Project_x0020_Number>
    <Package_x0020_Code xmlns="cdc7663a-08f0-4737-9e8c-148ce897a09c" xsi:nil="true"/>
    <Migration_x0020_Info xmlns="cdc7663a-08f0-4737-9e8c-148ce897a09c">&lt;Data&gt;&lt;APPLICATION&gt;MS WORD&lt;/APPLICATION&gt;&lt;STAGE_CODE&gt;TC-DOCUMENT&lt;/STAGE_CODE&gt;&lt;USER_STAGE&gt;Approved TC document&lt;/USER_STAGE&gt;&lt;PD_OBJ_TYPE&gt;0&lt;/PD_OBJ_TYPE&gt;&lt;MAKERECORD&gt;Y&lt;/MAKERECORD&gt;&lt;/Data&gt;</Migration_x0020_Info>
    <Approval_x0020_Number xmlns="cdc7663a-08f0-4737-9e8c-148ce897a09c" xsi:nil="true"/>
    <Business_x0020_Area xmlns="cdc7663a-08f0-4737-9e8c-148ce897a09c" xsi:nil="true"/>
    <SISCOR_x0020_Number xmlns="cdc7663a-08f0-4737-9e8c-148ce897a09c" xsi:nil="true"/>
    <Webtopic xmlns="cdc7663a-08f0-4737-9e8c-148ce897a09c">Science and Technology</Webtopic>
    <Publishing_x0020_House xmlns="cdc7663a-08f0-4737-9e8c-148ce897a09c" xsi:nil="true"/>
    <Identifier xmlns="cdc7663a-08f0-4737-9e8c-148ce897a09c"> ANNEX</Identifier>
    <Disclosed xmlns="cdc7663a-08f0-4737-9e8c-148ce897a09c">false</Disclosed>
    <KP_x0020_Topics xmlns="cdc7663a-08f0-4737-9e8c-148ce897a09c" xsi:nil="true"/>
    <Document_x0020_Language_x0020_IDB xmlns="cdc7663a-08f0-4737-9e8c-148ce897a09c">English</Document_x0020_Language_x0020_IDB>
    <Phase xmlns="cdc7663a-08f0-4737-9e8c-148ce897a09c" xsi:nil="true"/>
    <Editor1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3F3993E0-4659-4B54-B0AD-7A43B234AAC2}"/>
</file>

<file path=customXml/itemProps2.xml><?xml version="1.0" encoding="utf-8"?>
<ds:datastoreItem xmlns:ds="http://schemas.openxmlformats.org/officeDocument/2006/customXml" ds:itemID="{FBB650D8-7C60-4454-89E5-E9C282B88C0A}"/>
</file>

<file path=customXml/itemProps3.xml><?xml version="1.0" encoding="utf-8"?>
<ds:datastoreItem xmlns:ds="http://schemas.openxmlformats.org/officeDocument/2006/customXml" ds:itemID="{CF8D7F0C-ACF1-4BEB-BDAD-C9461E383F67}"/>
</file>

<file path=customXml/itemProps4.xml><?xml version="1.0" encoding="utf-8"?>
<ds:datastoreItem xmlns:ds="http://schemas.openxmlformats.org/officeDocument/2006/customXml" ds:itemID="{E8632DE8-1418-49E3-8CA7-026F1D2544CB}"/>
</file>

<file path=customXml/itemProps5.xml><?xml version="1.0" encoding="utf-8"?>
<ds:datastoreItem xmlns:ds="http://schemas.openxmlformats.org/officeDocument/2006/customXml" ds:itemID="{F69069DF-77AF-416C-8DA7-C9B14D675755}"/>
</file>

<file path=customXml/itemProps6.xml><?xml version="1.0" encoding="utf-8"?>
<ds:datastoreItem xmlns:ds="http://schemas.openxmlformats.org/officeDocument/2006/customXml" ds:itemID="{9F25B586-8119-4A6E-B58C-A324918B7B44}"/>
</file>

<file path=customXml/itemProps7.xml><?xml version="1.0" encoding="utf-8"?>
<ds:datastoreItem xmlns:ds="http://schemas.openxmlformats.org/officeDocument/2006/customXml" ds:itemID="{E621DAA1-EAD7-4D7B-B333-A76416AFCC50}"/>
</file>

<file path=docProps/app.xml><?xml version="1.0" encoding="utf-8"?>
<Properties xmlns="http://schemas.openxmlformats.org/officeDocument/2006/extended-properties" xmlns:vt="http://schemas.openxmlformats.org/officeDocument/2006/docPropsVTypes">
  <Template>Normal.dotm</Template>
  <TotalTime>2</TotalTime>
  <Pages>2</Pages>
  <Words>481</Words>
  <Characters>2745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IV - Interaction with Related IDB Projects (RG-T2627)</dc:title>
  <dc:creator>IADB - OHC</dc:creator>
  <cp:keywords/>
  <cp:lastModifiedBy>IADB</cp:lastModifiedBy>
  <cp:revision>4</cp:revision>
  <cp:lastPrinted>2015-08-14T19:04:00Z</cp:lastPrinted>
  <dcterms:created xsi:type="dcterms:W3CDTF">2015-07-27T21:49:00Z</dcterms:created>
  <dcterms:modified xsi:type="dcterms:W3CDTF">2015-08-14T19:05:00Z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0x0101001A458A224826124E8B45B1D613300CFC00BCF8896E1841C842949D0F901AA0D771</vt:lpwstr>
  </property>
  <property fmtid="{D5CDD505-2E9C-101B-9397-08002B2CF9AE}" pid="5" name="Series Operations IDB">
    <vt:lpwstr/>
  </property>
  <property fmtid="{D5CDD505-2E9C-101B-9397-08002B2CF9AE}" pid="6" name="Sub-Sector">
    <vt:lpwstr/>
  </property>
  <property fmtid="{D5CDD505-2E9C-101B-9397-08002B2CF9AE}" pid="7" name="Country">
    <vt:lpwstr/>
  </property>
  <property fmtid="{D5CDD505-2E9C-101B-9397-08002B2CF9AE}" pid="8" name="Fund IDB">
    <vt:lpwstr/>
  </property>
  <property fmtid="{D5CDD505-2E9C-101B-9397-08002B2CF9AE}" pid="9" name="Series_x0020_Operations_x0020_IDB">
    <vt:lpwstr/>
  </property>
  <property fmtid="{D5CDD505-2E9C-101B-9397-08002B2CF9AE}" pid="10" name="To:">
    <vt:lpwstr/>
  </property>
  <property fmtid="{D5CDD505-2E9C-101B-9397-08002B2CF9AE}" pid="11" name="From:">
    <vt:lpwstr/>
  </property>
  <property fmtid="{D5CDD505-2E9C-101B-9397-08002B2CF9AE}" pid="12" name="Sector IDB">
    <vt:lpwstr/>
  </property>
  <property fmtid="{D5CDD505-2E9C-101B-9397-08002B2CF9AE}" pid="13" name="Function Operations IDB">
    <vt:lpwstr>81;#IDBDocs|cca77002-e150-4b2d-ab1f-1d7a7cdcae16</vt:lpwstr>
  </property>
</Properties>
</file>