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0D4" w:rsidRDefault="00A260D4" w:rsidP="00A260D4"/>
    <w:p w:rsidR="00A260D4" w:rsidRDefault="00A260D4" w:rsidP="00A260D4">
      <w:pPr>
        <w:sectPr w:rsidR="00A260D4" w:rsidSect="00624DAD">
          <w:type w:val="continuous"/>
          <w:pgSz w:w="12240" w:h="15840"/>
          <w:pgMar w:top="1440" w:right="1440" w:bottom="1440" w:left="1440" w:header="720" w:footer="720" w:gutter="0"/>
          <w:cols w:space="720"/>
          <w:docGrid w:linePitch="360"/>
        </w:sectPr>
      </w:pPr>
    </w:p>
    <w:p w:rsidR="00624DAD" w:rsidRPr="00A260D4" w:rsidRDefault="00624DAD" w:rsidP="00A260D4">
      <w:pPr>
        <w:pStyle w:val="Chapter"/>
        <w:spacing w:before="0"/>
      </w:pPr>
      <w:r w:rsidRPr="00A260D4">
        <w:lastRenderedPageBreak/>
        <w:t>La producción</w:t>
      </w:r>
      <w:r w:rsidRPr="00A260D4">
        <w:rPr>
          <w:vertAlign w:val="superscript"/>
        </w:rPr>
        <w:footnoteReference w:id="1"/>
      </w:r>
      <w:r w:rsidRPr="00A260D4">
        <w:t xml:space="preserve"> de cacao </w:t>
      </w:r>
    </w:p>
    <w:p w:rsidR="00E2193D" w:rsidRDefault="00624DAD" w:rsidP="002237C5">
      <w:pPr>
        <w:pStyle w:val="Paragraph"/>
      </w:pPr>
      <w:r w:rsidRPr="00A260D4">
        <w:t>En Nicaragua es una actividad tradicional que históricamente se ha ubicado en las zonas más boscosas del país, como son los departamentos de la RAAN (Waslala), Río San Juan, Matagalpa y Jinotega. Pero a causa de factores tanto internos (plagas, material genético) como externos (precios), la actividad cayó en crisis provocando el abandono masivo de plantaciones y por ende la disminución de la producción. Solo recientemente se produce una cierta reactivación de la actividad, por fortaleza de la demanda (aumento del 2,9% anual a nivel mund</w:t>
      </w:r>
      <w:r w:rsidR="00B979AD">
        <w:t>ial</w:t>
      </w:r>
      <w:r w:rsidRPr="00A260D4">
        <w:t xml:space="preserve">) </w:t>
      </w:r>
      <w:r w:rsidRPr="00A02240">
        <w:t>y</w:t>
      </w:r>
      <w:r w:rsidRPr="00A02240">
        <w:rPr>
          <w:b/>
        </w:rPr>
        <w:t xml:space="preserve"> precios del cacao de alta calidad que es característico del </w:t>
      </w:r>
      <w:r w:rsidR="00B979AD" w:rsidRPr="00A02240">
        <w:rPr>
          <w:b/>
        </w:rPr>
        <w:t>país</w:t>
      </w:r>
      <w:r w:rsidR="00A02240">
        <w:rPr>
          <w:b/>
        </w:rPr>
        <w:t xml:space="preserve"> (CATIE-RE-1 criollo fino)</w:t>
      </w:r>
      <w:bookmarkStart w:id="0" w:name="_GoBack"/>
      <w:bookmarkEnd w:id="0"/>
      <w:r w:rsidRPr="00A260D4">
        <w:t>. Nicaragua se ubica en el lugar 42 de los países productores de cacao y participa con un 0,03% en el comercio mundial (CETREX, 2010; Mesa Nacional del Cacao, 2010; CATIE-PCC, 2010; Guharay, 2006). En el periodo 2011/2012 se estima se exportaron unos 30.000 quintales, comercializados por un valor de US$3,93 millones (un aumento del 29% del valor en relación al año anterior).</w:t>
      </w:r>
      <w:r w:rsidR="00B979AD">
        <w:t xml:space="preserve"> </w:t>
      </w:r>
      <w:r w:rsidRPr="00A260D4">
        <w:t xml:space="preserve">La superficie dedicada a la plantación de cacao alcanza </w:t>
      </w:r>
      <w:r w:rsidR="00B979AD">
        <w:t xml:space="preserve">alrededor de </w:t>
      </w:r>
      <w:r w:rsidRPr="00A260D4">
        <w:t>15.000 manzanas (CENAGRO, 2011), fundamentalmente concentradas en los departamentos del Atlántico (8.000mz.)y en Matagalpa (4.000mz.). La Mesa Nacional de</w:t>
      </w:r>
      <w:r w:rsidR="00B979AD">
        <w:t>l</w:t>
      </w:r>
      <w:r w:rsidRPr="00A260D4">
        <w:t xml:space="preserve"> Cacao </w:t>
      </w:r>
      <w:r w:rsidR="008E205E">
        <w:t xml:space="preserve">(MNC) </w:t>
      </w:r>
      <w:r w:rsidRPr="00A260D4">
        <w:t>reporta 39 cooperativa</w:t>
      </w:r>
      <w:r w:rsidR="00031CD1">
        <w:t>s</w:t>
      </w:r>
      <w:r w:rsidRPr="00A260D4">
        <w:t xml:space="preserve"> cacaoteras en el país, totalizando </w:t>
      </w:r>
      <w:r w:rsidRPr="00E23F03">
        <w:t>7.500 familias</w:t>
      </w:r>
      <w:r w:rsidR="00E23F03">
        <w:t xml:space="preserve"> (aproximadamente 6,000 PMPs)</w:t>
      </w:r>
      <w:r w:rsidRPr="00E23F03">
        <w:t xml:space="preserve"> que producen 3.000 TM anuales, en</w:t>
      </w:r>
      <w:r w:rsidRPr="00A260D4">
        <w:t xml:space="preserve"> un área promedio de 1,5 a 5 manzanas, con una productividad entre </w:t>
      </w:r>
      <w:r w:rsidR="002237C5">
        <w:t>200</w:t>
      </w:r>
      <w:r w:rsidR="00031CD1">
        <w:t xml:space="preserve"> a</w:t>
      </w:r>
      <w:r w:rsidR="008E205E">
        <w:t>-</w:t>
      </w:r>
      <w:r w:rsidR="00C757AC">
        <w:t>250Kg</w:t>
      </w:r>
      <w:r w:rsidRPr="00A260D4">
        <w:t xml:space="preserve">/ha. </w:t>
      </w:r>
      <w:r w:rsidR="00AB27C6">
        <w:t>En el 2008, la producción promedio mundial por hectárea fue de 496 Kg/ha (</w:t>
      </w:r>
      <w:r w:rsidR="00933CEA">
        <w:t>Mejia 2011)</w:t>
      </w:r>
      <w:r w:rsidR="00AB27C6">
        <w:t>.</w:t>
      </w:r>
      <w:r w:rsidR="00933CEA">
        <w:t xml:space="preserve"> </w:t>
      </w:r>
      <w:r w:rsidR="006E2781">
        <w:t xml:space="preserve">La productividad promedio en Colombia se sitúa entre 400-500 Kg/ha; Ghana 300-400 Kg/ha; Costa de Marfil 600-700 Kg/ha (FAOSTAT). </w:t>
      </w:r>
      <w:r w:rsidR="00933CEA">
        <w:t xml:space="preserve">Con tecnología adecuada se puede aumentar la productividad </w:t>
      </w:r>
      <w:r w:rsidR="00546CCD">
        <w:t xml:space="preserve">con promedios por encima de 1.000 Kg/ha por año (Somarriba y Beer 2011; </w:t>
      </w:r>
      <w:r w:rsidR="00634192">
        <w:t xml:space="preserve">Olaiya, A.O. et al. 2006; Pinzón y Rojas 2005; Ahmed, Kazianga y Sanders 2005). </w:t>
      </w:r>
    </w:p>
    <w:p w:rsidR="00E2193D" w:rsidRPr="00175DF4" w:rsidRDefault="00E2193D" w:rsidP="00E2193D">
      <w:pPr>
        <w:pStyle w:val="Paragraph"/>
      </w:pPr>
      <w:r w:rsidRPr="00175DF4">
        <w:t xml:space="preserve">Existen al menos tres grandes empresas tractoras con conexión con el mercado de exportaciones, las chocolateras </w:t>
      </w:r>
      <w:r w:rsidR="00E23F03" w:rsidRPr="00175DF4">
        <w:t xml:space="preserve">, XOCO, HEMCO, </w:t>
      </w:r>
      <w:r w:rsidRPr="00175DF4">
        <w:t xml:space="preserve">Ritter Sport, Atlantic y Zotter. A nivel nacional hay una fuerte demanda por chocolateras artesanales como Momotombo, El Castillo y otras cinco al menos. Finalmente, las empresas de lácteos y bebidas a base de chocolate como Parmalat y Nestle tambien actúan en los mercados de mayoristas. </w:t>
      </w:r>
    </w:p>
    <w:p w:rsidR="00387261" w:rsidRDefault="00624DAD" w:rsidP="00E2193D">
      <w:pPr>
        <w:pStyle w:val="Paragraph"/>
      </w:pPr>
      <w:r w:rsidRPr="00A260D4">
        <w:t xml:space="preserve">De acuerdo con la Mesa Nacional del Cacao, las grandes extensiones y clima adecuado para la explotación del cacao fino y las grandes empresas presentes en el territorio interesadas en desarrollar la cadena constituyen fortalezas del sector; la demanda mundial de cacao fino, la adaptación del cultivo desde el punto de vista del cambio climático y como diversificación del agro en Nicaragua son asimismo fortalezas de la cadena. </w:t>
      </w:r>
    </w:p>
    <w:p w:rsidR="00387261" w:rsidRDefault="00BF111C" w:rsidP="00BF111C">
      <w:pPr>
        <w:pStyle w:val="Paragraph"/>
      </w:pPr>
      <w:r>
        <w:t>La mayoría de los cacaotales del país provienen de semilla, tienen una baja población de árboles (625 plantas/mz) y los rendimientos son inferiores (menos de 5 qq/ mz) a lo reportado en otras explotaciones agrícolas mejor atendidas en Waslala y Matiguas (700-</w:t>
      </w:r>
      <w:r>
        <w:lastRenderedPageBreak/>
        <w:t>800 plantas/mz, 20-22 qq/mz). Los rendimientos son bajos debido a la pobre composición genética de las plantaciones comerciales; al mal manejo sanitario, al escaso manejo de podas y sombra y a la ausencia de fertilización. A nivel nacional, sólo un 25% del cacao cultivado proviene de programas de selección de material genético y se concentra básicamente en Waslala y Rio San Juan (INTA, 2010). La baja productividad de los cacaotales y dificultad de cumplir con la calidad del grano que exige el mercado, son los principales problemas en el eslabón productivo. Existe una débil asistencia y transferencia tecnológica lo que no mejora los limitados conocimientos que los agricultores tienen sobre técnicas mejoradas de producción y las habilidades de gestión agrícola. Las pocas innovaciones tecnológicas que se promueven (injertos, polinización) aún son poco practicadas en las fincas. En términos generales, tenemos un nutrido número de cacaotales pequeños dispersos por todo el país pero carecemos de una mentalidad cacaotera competitiva.</w:t>
      </w:r>
      <w:r w:rsidR="003C0A5C">
        <w:rPr>
          <w:rStyle w:val="FootnoteReference"/>
        </w:rPr>
        <w:footnoteReference w:id="2"/>
      </w:r>
    </w:p>
    <w:p w:rsidR="00BF111C" w:rsidRDefault="003C0A5C" w:rsidP="00BF111C">
      <w:pPr>
        <w:pStyle w:val="Paragraph"/>
      </w:pPr>
      <w:r>
        <w:t xml:space="preserve">Los objetivos de productividad del Programa que se plantea parecen asequibles, vista la realidad de algunas fincas en Waslala y Rio San Juan y la experiencia reciente en el sector. </w:t>
      </w:r>
      <w:r w:rsidR="00BF111C" w:rsidRPr="00BF111C">
        <w:t>Entre el 2000-2010 se han ejecutado en el país unos 20 proyectos cacaoteros, la mayoría ellos apuntan al fomento de nuevas plantaciones y la rehabilitación de cacaotales existentes. En los últimos 10 años (2000-2010), a raíz de una inversión cercana a los U$5 millones (U$500 mil anuales) y gracias al trabajo conjunto de familias productoras, equipos técnicos, promotores rurales y agencias de cooperación en coordinación con las entidades de Gobierno, la productividad del rubro ha mejorado en un 60%, pasando de 4 qq/mz en el 2004 a 7 qq/mz en el 2010.</w:t>
      </w:r>
    </w:p>
    <w:p w:rsidR="00624DAD" w:rsidRDefault="00624DAD" w:rsidP="00E2193D">
      <w:pPr>
        <w:pStyle w:val="Paragraph"/>
      </w:pPr>
      <w:r w:rsidRPr="00A260D4">
        <w:t>En definitiva, el aumento del cultivo y manejo del cacao, permitiría a Nicaragua la diversificación y agro-industrialización de su producción. Por eso, bajo la coordinación del Gabinete de Producción de Nicaragua, se está elaborando una propuesta para establecer el Programa Nacional del Cacao (PNC), cuyo objetivo es: Fomentar el desarrollo sostenible de la producción, comercialización y agro industrialización de Cacao fino de calidad en sabor y aroma en el periodo 2012/2021 (hasta alcanzar 59.000 mzs. en 2021).</w:t>
      </w:r>
    </w:p>
    <w:p w:rsidR="00175DF4" w:rsidRDefault="00175DF4" w:rsidP="00E2193D">
      <w:pPr>
        <w:pStyle w:val="Paragraph"/>
      </w:pPr>
      <w:r>
        <w:t>De acuerdo con los datos de acceso al crédito del CENAGRO, existen</w:t>
      </w:r>
      <w:r w:rsidRPr="00175DF4">
        <w:t xml:space="preserve"> 8,400 productores </w:t>
      </w:r>
      <w:r>
        <w:t xml:space="preserve">que </w:t>
      </w:r>
      <w:r w:rsidRPr="00175DF4">
        <w:t xml:space="preserve"> no trabajan con crédito</w:t>
      </w:r>
      <w:r>
        <w:t xml:space="preserve">. Se requieren aproximadamente </w:t>
      </w:r>
      <w:r w:rsidRPr="00175DF4">
        <w:t xml:space="preserve">$373 por manzana, para mantenimiento </w:t>
      </w:r>
      <w:r>
        <w:t>(</w:t>
      </w:r>
      <w:r w:rsidRPr="00175DF4">
        <w:t xml:space="preserve">utilizando </w:t>
      </w:r>
      <w:r>
        <w:t>como referencia</w:t>
      </w:r>
      <w:r w:rsidRPr="00175DF4">
        <w:t xml:space="preserve"> un proyecto de financiamiento </w:t>
      </w:r>
      <w:r>
        <w:t>de</w:t>
      </w:r>
      <w:r w:rsidRPr="00175DF4">
        <w:t xml:space="preserve"> la Federación Nacional de Cooperativas Agropecuarias y Agroindustriales FENACOOP)</w:t>
      </w:r>
      <w:r>
        <w:t xml:space="preserve">. Estas cifras nos llevarían a </w:t>
      </w:r>
      <w:r w:rsidRPr="00175DF4">
        <w:t>un estimado de solo $4.7 millones, pero solo toma en cuenta el área sembrada y no la expansión del cultivo. El Plan Nacional de cacao del Gobierno objetiva el cultivo de 40,000 manzanas a un costo de $3,000 por manzana, si consideramos solamente el 10% de este objetivo 4,000 manzanas resulta en una necesidad de $12 millones adicionales</w:t>
      </w:r>
      <w:r w:rsidR="00C85B38">
        <w:t xml:space="preserve"> de crédito. </w:t>
      </w:r>
    </w:p>
    <w:p w:rsidR="00AE065F" w:rsidRPr="00A260D4" w:rsidRDefault="00BD5934" w:rsidP="00AE065F">
      <w:pPr>
        <w:pStyle w:val="Paragraph"/>
      </w:pPr>
      <w:r>
        <w:t xml:space="preserve">Las </w:t>
      </w:r>
      <w:r w:rsidR="00AE065F">
        <w:t xml:space="preserve">mejoras en la productividad, a nivel de los productores se </w:t>
      </w:r>
      <w:r>
        <w:t xml:space="preserve">centran en programas de </w:t>
      </w:r>
      <w:r w:rsidR="00AE065F">
        <w:t>capacitación en Buenas Prácticas Agrícolas y asistencia técnica</w:t>
      </w:r>
      <w:r>
        <w:t xml:space="preserve"> en los siguientes puntos</w:t>
      </w:r>
      <w:r w:rsidR="00AE065F">
        <w:t xml:space="preserve">: </w:t>
      </w:r>
      <w:r w:rsidR="00AE065F">
        <w:lastRenderedPageBreak/>
        <w:t xml:space="preserve">(i) manejo de tejido – propagación vegetativa y agronómico del cultivo; (ii) </w:t>
      </w:r>
      <w:r>
        <w:t xml:space="preserve">acciones preventivas y para el control de </w:t>
      </w:r>
      <w:r w:rsidR="00AE065F">
        <w:t xml:space="preserve">plagas y enfermedades; (iii) </w:t>
      </w:r>
      <w:r w:rsidR="00866B1F">
        <w:t>practicas</w:t>
      </w:r>
      <w:r>
        <w:t xml:space="preserve"> de </w:t>
      </w:r>
      <w:r w:rsidR="00AE065F">
        <w:t>fertilización</w:t>
      </w:r>
      <w:r w:rsidR="00866B1F">
        <w:t>, siembra y podas</w:t>
      </w:r>
      <w:r w:rsidR="00AE065F">
        <w:t xml:space="preserve">; (iv) </w:t>
      </w:r>
      <w:r>
        <w:t xml:space="preserve">mejores </w:t>
      </w:r>
      <w:r w:rsidR="00866B1F">
        <w:t>prácticas</w:t>
      </w:r>
      <w:r>
        <w:t xml:space="preserve"> en cuanto al </w:t>
      </w:r>
      <w:r w:rsidR="00AE065F">
        <w:t>proceso de cosecha y poscosecha - recolección, extracción, fermentación</w:t>
      </w:r>
      <w:r>
        <w:t xml:space="preserve">. El fortalecimiento de las cooperativas y una mejor utilización del </w:t>
      </w:r>
      <w:r w:rsidR="00AE065F">
        <w:t>financiamiento/crédito</w:t>
      </w:r>
      <w:r>
        <w:t xml:space="preserve"> debe conseguir</w:t>
      </w:r>
      <w:r w:rsidR="00866B1F">
        <w:t xml:space="preserve"> que los niveles de productividad se incrementen</w:t>
      </w:r>
      <w:r w:rsidR="00AE065F">
        <w:t>.</w:t>
      </w:r>
    </w:p>
    <w:p w:rsidR="00A260D4" w:rsidRDefault="00A260D4" w:rsidP="00624DAD">
      <w:pPr>
        <w:pStyle w:val="Paragraph"/>
        <w:numPr>
          <w:ilvl w:val="0"/>
          <w:numId w:val="0"/>
        </w:numPr>
        <w:rPr>
          <w:b/>
          <w:lang w:val="es-ES"/>
        </w:rPr>
      </w:pPr>
    </w:p>
    <w:p w:rsidR="00A260D4" w:rsidRDefault="00A260D4" w:rsidP="00624DAD">
      <w:pPr>
        <w:pStyle w:val="Paragraph"/>
        <w:numPr>
          <w:ilvl w:val="0"/>
          <w:numId w:val="0"/>
        </w:numPr>
        <w:rPr>
          <w:b/>
          <w:lang w:val="es-ES"/>
        </w:rPr>
        <w:sectPr w:rsidR="00A260D4" w:rsidSect="00624DAD">
          <w:type w:val="continuous"/>
          <w:pgSz w:w="12240" w:h="15840"/>
          <w:pgMar w:top="1440" w:right="1440" w:bottom="1440" w:left="1440" w:header="720" w:footer="720" w:gutter="0"/>
          <w:cols w:space="720"/>
          <w:docGrid w:linePitch="360"/>
        </w:sectPr>
      </w:pPr>
    </w:p>
    <w:p w:rsidR="00A260D4" w:rsidRDefault="00624DAD" w:rsidP="00A260D4">
      <w:pPr>
        <w:pStyle w:val="Chapter"/>
        <w:spacing w:before="0"/>
      </w:pPr>
      <w:r w:rsidRPr="00A251E0">
        <w:rPr>
          <w:lang w:val="es-ES"/>
        </w:rPr>
        <w:lastRenderedPageBreak/>
        <w:t>L</w:t>
      </w:r>
      <w:r w:rsidRPr="009010AD">
        <w:t xml:space="preserve">eche y derivados lácteos. </w:t>
      </w:r>
    </w:p>
    <w:p w:rsidR="00E2193D" w:rsidRDefault="00624DAD" w:rsidP="00E2193D">
      <w:pPr>
        <w:pStyle w:val="Paragraph"/>
      </w:pPr>
      <w:r w:rsidRPr="009010AD">
        <w:t xml:space="preserve">La producción de leche y derivados para consumo interno y para exportación es una de las prioridades del </w:t>
      </w:r>
      <w:r w:rsidR="00CF036A">
        <w:t>g</w:t>
      </w:r>
      <w:r w:rsidRPr="009010AD">
        <w:t>obierno en el sector agropecuario</w:t>
      </w:r>
      <w:r w:rsidRPr="009010AD">
        <w:rPr>
          <w:rStyle w:val="FootnoteReference"/>
          <w:szCs w:val="24"/>
        </w:rPr>
        <w:footnoteReference w:id="3"/>
      </w:r>
      <w:r w:rsidRPr="009010AD">
        <w:t>, existen una gran cantidad de pequeños ganaderos que se dedican a la producción de leche con bajo</w:t>
      </w:r>
      <w:r w:rsidRPr="00A251E0">
        <w:t xml:space="preserve">s niveles de productividad y </w:t>
      </w:r>
      <w:r w:rsidRPr="00866B84">
        <w:t xml:space="preserve">existe demanda </w:t>
      </w:r>
      <w:r w:rsidRPr="009A20E0">
        <w:t xml:space="preserve">insatisfecha </w:t>
      </w:r>
      <w:r w:rsidRPr="00ED2AA7">
        <w:t>de la industria de lácteos</w:t>
      </w:r>
      <w:r w:rsidRPr="007F6F48">
        <w:t xml:space="preserve"> </w:t>
      </w:r>
      <w:r w:rsidRPr="00714816">
        <w:t>por leche de buena calidad</w:t>
      </w:r>
      <w:r w:rsidRPr="00813538">
        <w:t>.</w:t>
      </w:r>
      <w:r w:rsidRPr="006063CE">
        <w:rPr>
          <w:b/>
          <w:smallCaps/>
        </w:rPr>
        <w:t xml:space="preserve"> </w:t>
      </w:r>
      <w:r w:rsidRPr="00C425E2">
        <w:t xml:space="preserve">La producción de leche en Nicaragua es de unos 807 millones litros </w:t>
      </w:r>
      <w:r w:rsidRPr="00850217">
        <w:t xml:space="preserve">producidos en </w:t>
      </w:r>
      <w:r w:rsidRPr="00232C9B">
        <w:t>2010-2011 (CENAGRO, 2011), la mayor tasa en Centroamérica (CIRAD). La disponibilidad de leche per cápita (115l/persona/año) es la segunda más alta de la región después de Costa Rica (Galetto A., Lopez W., Baumeister E</w:t>
      </w:r>
      <w:r w:rsidRPr="00850217">
        <w:t xml:space="preserve"> 2007). Según info</w:t>
      </w:r>
      <w:r>
        <w:t>rmación del CENAGRO, 2011</w:t>
      </w:r>
      <w:r w:rsidRPr="00850217">
        <w:t>, 137.000 establecimientos productivos (52% del total de los establecimientos en el país) cuentan con ganado bovino, superando los 4 millones de cabezas. El 90% de las explotaciones ganaderas</w:t>
      </w:r>
      <w:r w:rsidRPr="009010AD">
        <w:t xml:space="preserve"> son de doble propósito (carne y leche). El énfasis en carne o leche lo determinan las ventajas comparativas derivadas de la cercanía a mercados e infraestructura de comunicación. </w:t>
      </w:r>
    </w:p>
    <w:p w:rsidR="00E2193D" w:rsidRDefault="00E2193D" w:rsidP="00E2193D">
      <w:pPr>
        <w:pStyle w:val="Paragraph"/>
      </w:pPr>
      <w:r w:rsidRPr="003B2DDC">
        <w:t xml:space="preserve">De acuerdo con el INFOCOOP al 23 de diciembre 2011 existían 55 cooperativas activas en el sector lácteo, cooperativas que agrupaban a 2,086 productores. De entre ellas algunas han crecido hasta convertirse en actores significativos en el mercado, como NICACENTRO o CASANJO. Por otra parte, grandes empresas internacionales como PARMALAT y NESTLE actúan como compradores. Otras empresas domesticas pueden considerarse empresas tractoras, como PROLAC o ESKIMO.  </w:t>
      </w:r>
    </w:p>
    <w:p w:rsidR="003E7F7B" w:rsidRPr="003B2DDC" w:rsidRDefault="003E7F7B" w:rsidP="003E7F7B">
      <w:pPr>
        <w:pStyle w:val="Paragraph"/>
        <w:numPr>
          <w:ilvl w:val="0"/>
          <w:numId w:val="0"/>
        </w:numPr>
        <w:ind w:left="720"/>
      </w:pPr>
    </w:p>
    <w:p w:rsidR="00624DAD" w:rsidRPr="00175DF4" w:rsidRDefault="00624DAD" w:rsidP="00E2193D">
      <w:pPr>
        <w:pStyle w:val="Paragraph"/>
        <w:rPr>
          <w:lang w:val="es-ES"/>
        </w:rPr>
      </w:pPr>
      <w:r w:rsidRPr="009010AD">
        <w:t>La producción de leche de calidad en el país está limitada por la falta de adecuadas prácticas pecuarias y de ordeño limpio, de parte de pequeños productores, que permitan cumplir con los parámetros establecidos para este tipo de leche. Adicionalmente, la ausencia de infraestructura básica para realizar el adecuado ordeño y el poco acceso al crédito para pequeñas inversiones en finca de parte de los productores, afectan drásticamente la calidad de la leche.</w:t>
      </w:r>
      <w:r w:rsidRPr="009010AD">
        <w:rPr>
          <w:lang w:val="es-ES"/>
        </w:rPr>
        <w:t xml:space="preserve"> La presencia de </w:t>
      </w:r>
      <w:r w:rsidRPr="009010AD">
        <w:t>productores organizados en cooperativas con infraestructura de acopio y capacidad institucional, técnicos locales con conocimiento y experiencia en capacitación a productores para el aumento de la productividad</w:t>
      </w:r>
      <w:r w:rsidR="00E2193D">
        <w:t>,</w:t>
      </w:r>
      <w:r w:rsidRPr="009010AD">
        <w:t xml:space="preserve"> constituyen ventajas claras para el sector. </w:t>
      </w:r>
    </w:p>
    <w:p w:rsidR="003E7F7B" w:rsidRDefault="0053363F" w:rsidP="003E7F7B">
      <w:pPr>
        <w:pStyle w:val="Paragraph"/>
      </w:pPr>
      <w:r w:rsidRPr="00107ED0">
        <w:rPr>
          <w:lang w:val="es-ES"/>
        </w:rPr>
        <w:lastRenderedPageBreak/>
        <w:t>L</w:t>
      </w:r>
      <w:r w:rsidRPr="0053363F">
        <w:t>a productividad en Nicaragua es tan baja que con solo la higiene en el ordeño y alimentación más balanceada se puede aumentar la productividad y este aumento puede ser significativo porque se parte de una base muy baja</w:t>
      </w:r>
      <w:r>
        <w:t xml:space="preserve">.  </w:t>
      </w:r>
      <w:r w:rsidRPr="00281805">
        <w:t xml:space="preserve">En el  </w:t>
      </w:r>
      <w:hyperlink r:id="rId9" w:history="1">
        <w:r w:rsidRPr="00281805">
          <w:rPr>
            <w:rStyle w:val="Hyperlink"/>
          </w:rPr>
          <w:t>manual de buenas prácticas ganaderas</w:t>
        </w:r>
      </w:hyperlink>
      <w:r w:rsidRPr="00281805">
        <w:t xml:space="preserve">, se </w:t>
      </w:r>
      <w:r w:rsidR="00107ED0" w:rsidRPr="00281805">
        <w:t xml:space="preserve">establecen </w:t>
      </w:r>
      <w:r w:rsidRPr="00281805">
        <w:t xml:space="preserve">acciones puntuales </w:t>
      </w:r>
      <w:r w:rsidR="00107ED0" w:rsidRPr="00281805">
        <w:t>que</w:t>
      </w:r>
      <w:r w:rsidRPr="00281805">
        <w:t xml:space="preserve"> puede</w:t>
      </w:r>
      <w:r w:rsidR="00107ED0" w:rsidRPr="00281805">
        <w:t>n</w:t>
      </w:r>
      <w:r w:rsidRPr="00281805">
        <w:t xml:space="preserve"> mejor</w:t>
      </w:r>
      <w:r w:rsidR="00107ED0" w:rsidRPr="00281805">
        <w:t>ar</w:t>
      </w:r>
      <w:r w:rsidR="00107ED0">
        <w:t xml:space="preserve"> el  rendimiento sin necesidad de grandes inversiones.</w:t>
      </w:r>
      <w:r w:rsidR="003E7F7B">
        <w:t xml:space="preserve"> (la experiencia pasada acredita que los incrementos de productividad previstos son posibles (ver:</w:t>
      </w:r>
      <w:r w:rsidR="00BD5934">
        <w:t xml:space="preserve"> </w:t>
      </w:r>
      <w:hyperlink r:id="rId10" w:history="1">
        <w:r w:rsidR="003E7F7B" w:rsidRPr="009441EF">
          <w:rPr>
            <w:rStyle w:val="Hyperlink"/>
          </w:rPr>
          <w:t>Modelos de Desarrollo Productivo Ganadero</w:t>
        </w:r>
      </w:hyperlink>
      <w:r w:rsidR="003E7F7B">
        <w:t>.)</w:t>
      </w:r>
    </w:p>
    <w:p w:rsidR="00CE482D" w:rsidRDefault="0053363F" w:rsidP="0053363F">
      <w:pPr>
        <w:pStyle w:val="Paragraph"/>
      </w:pPr>
      <w:r>
        <w:t xml:space="preserve">Algunas de las mejoras </w:t>
      </w:r>
      <w:r w:rsidR="00CE482D" w:rsidRPr="0053363F">
        <w:t>técnicas en lácteos</w:t>
      </w:r>
      <w:r>
        <w:t xml:space="preserve">, </w:t>
      </w:r>
      <w:r w:rsidRPr="00107ED0">
        <w:rPr>
          <w:b/>
        </w:rPr>
        <w:t>c</w:t>
      </w:r>
      <w:r w:rsidR="00CE482D" w:rsidRPr="00107ED0">
        <w:rPr>
          <w:b/>
        </w:rPr>
        <w:t>on los productores de leche directamente</w:t>
      </w:r>
      <w:r>
        <w:t>, son</w:t>
      </w:r>
      <w:r w:rsidR="00CE482D">
        <w:t>:</w:t>
      </w:r>
      <w:r>
        <w:t xml:space="preserve"> </w:t>
      </w:r>
      <w:r w:rsidR="00CE482D">
        <w:t>Para garantizar la productividad y la calidad, mejorar la alimentación del ganado y reducir la incidencia de enfermedades, se capacitará a los productores Buenas Prácticas Pecuarias (BPP), incluyendo: (i) buenas prácticas de ordeño (BPO); (ii) buenas prácticas de alimentación animal (BPAA); y (iii) buenas prácticas de sanidad animal (BPAS). Se apoyará el proceso de inversiones en finca relacionados con la implementación de las BPP, facilitando el acceso al crédito a los beneficiarios. Se realizarán inversiones a lo largo de la cadena en los Centros de Acopio.</w:t>
      </w:r>
    </w:p>
    <w:p w:rsidR="002760BD" w:rsidRDefault="0053363F" w:rsidP="009441EF">
      <w:pPr>
        <w:pStyle w:val="Paragraph"/>
      </w:pPr>
      <w:r w:rsidRPr="0053363F">
        <w:rPr>
          <w:b/>
        </w:rPr>
        <w:t>Con los c</w:t>
      </w:r>
      <w:r w:rsidR="00CE482D" w:rsidRPr="0053363F">
        <w:rPr>
          <w:b/>
        </w:rPr>
        <w:t xml:space="preserve">entros de </w:t>
      </w:r>
      <w:r w:rsidRPr="0053363F">
        <w:rPr>
          <w:b/>
        </w:rPr>
        <w:t>a</w:t>
      </w:r>
      <w:r w:rsidR="00CE482D" w:rsidRPr="0053363F">
        <w:rPr>
          <w:b/>
        </w:rPr>
        <w:t>copio de las asociaciones de productores</w:t>
      </w:r>
      <w:r w:rsidR="00CE482D">
        <w:t>: Fortalecimiento de capacidades de los Centros de Acopio. Se identificarán las necesidades de capacitación y asistencia técnica de los CdA. Se diseñará un paquete de servicios dirigido a mejorar: (i) el manejo y refrigeración de la leche; (ii) implementación del estándar de HACCP; y (iii) los registros y análisis de datos de acopio. Adicionalmente, se prevé el apoyo a los CdA en la elaboración de estudios técnicos y financieros para la realización de inversiones complementarias en sistemas de manejo y refrigeración que permitiera a éstos mejorar la capacidad de atención y de acopio de leche de calidad en sus zonas de influencia.Se capacitará a los transportistas de los Centros de Acopio  de leche refrigerada con el objetivo de brindar el instrumental mínimo para que practiquen autocontrol en manejo de la leche para asegurar que la calidad no se altere entre el punto de compra y el Centro de Acopio.</w:t>
      </w:r>
      <w:r w:rsidR="009441EF">
        <w:t xml:space="preserve"> </w:t>
      </w:r>
    </w:p>
    <w:p w:rsidR="0053363F" w:rsidRPr="00CE482D" w:rsidRDefault="0053363F" w:rsidP="0053363F">
      <w:pPr>
        <w:pStyle w:val="Paragraph"/>
        <w:rPr>
          <w:lang w:val="es-ES"/>
        </w:rPr>
      </w:pPr>
      <w:r w:rsidRPr="00175DF4">
        <w:rPr>
          <w:lang w:val="es-ES"/>
        </w:rPr>
        <w:t>En el caso de la leche hay 32,500 productores que venden al mercado y no reciben crédito</w:t>
      </w:r>
      <w:r>
        <w:rPr>
          <w:lang w:val="es-ES"/>
        </w:rPr>
        <w:t xml:space="preserve"> de acuerdo con los datos del CENAGRO. Una buena referencia de sus necesidades de crédito puede ser </w:t>
      </w:r>
      <w:r w:rsidRPr="00175DF4">
        <w:rPr>
          <w:lang w:val="es-ES"/>
        </w:rPr>
        <w:t xml:space="preserve">los $3,300 de financiamiento promedio, </w:t>
      </w:r>
      <w:r>
        <w:rPr>
          <w:lang w:val="es-ES"/>
        </w:rPr>
        <w:t xml:space="preserve">que </w:t>
      </w:r>
      <w:r w:rsidRPr="00175DF4">
        <w:rPr>
          <w:lang w:val="es-ES"/>
        </w:rPr>
        <w:t xml:space="preserve">incluye capital de trabajo e inversiones, que NICACENTRO </w:t>
      </w:r>
      <w:r>
        <w:rPr>
          <w:lang w:val="es-ES"/>
        </w:rPr>
        <w:t xml:space="preserve">(una importante cooperativa láctea) </w:t>
      </w:r>
      <w:r w:rsidRPr="00175DF4">
        <w:rPr>
          <w:lang w:val="es-ES"/>
        </w:rPr>
        <w:t>ha solicitado a Produzcamos para 150 de sus miembros</w:t>
      </w:r>
      <w:r>
        <w:rPr>
          <w:lang w:val="es-ES"/>
        </w:rPr>
        <w:t>. Se enfrentaría entonces un a demanda potencial de</w:t>
      </w:r>
      <w:r w:rsidRPr="00175DF4">
        <w:rPr>
          <w:lang w:val="es-ES"/>
        </w:rPr>
        <w:t xml:space="preserve"> más de $100 millones</w:t>
      </w:r>
      <w:r>
        <w:rPr>
          <w:lang w:val="es-ES"/>
        </w:rPr>
        <w:t xml:space="preserve"> de dólares. Es previsible que el sector l</w:t>
      </w:r>
      <w:r>
        <w:t xml:space="preserve">ácteo tenga, por tamaño y estructuración, una capacidad de demanda de crédito significativamente mayor que el sector cacaotero. </w:t>
      </w:r>
    </w:p>
    <w:p w:rsidR="00530CEA" w:rsidRPr="0053363F" w:rsidRDefault="00530CEA" w:rsidP="002760BD">
      <w:pPr>
        <w:pStyle w:val="Chapter"/>
        <w:numPr>
          <w:ilvl w:val="0"/>
          <w:numId w:val="0"/>
        </w:numPr>
        <w:ind w:firstLine="288"/>
        <w:jc w:val="left"/>
        <w:rPr>
          <w:lang w:val="es-ES"/>
        </w:rPr>
      </w:pPr>
    </w:p>
    <w:sectPr w:rsidR="00530CEA" w:rsidRPr="0053363F" w:rsidSect="00624DA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242" w:rsidRDefault="00885242" w:rsidP="00624DAD">
      <w:pPr>
        <w:spacing w:before="0" w:after="0"/>
      </w:pPr>
      <w:r>
        <w:separator/>
      </w:r>
    </w:p>
  </w:endnote>
  <w:endnote w:type="continuationSeparator" w:id="0">
    <w:p w:rsidR="00885242" w:rsidRDefault="00885242" w:rsidP="00624D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Lucida Grande">
    <w:altName w:val="Times New Roman"/>
    <w:charset w:val="00"/>
    <w:family w:val="auto"/>
    <w:pitch w:val="variable"/>
    <w:sig w:usb0="00000000"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242" w:rsidRDefault="00885242" w:rsidP="00624DAD">
      <w:pPr>
        <w:spacing w:before="0" w:after="0"/>
      </w:pPr>
      <w:r>
        <w:separator/>
      </w:r>
    </w:p>
  </w:footnote>
  <w:footnote w:type="continuationSeparator" w:id="0">
    <w:p w:rsidR="00885242" w:rsidRDefault="00885242" w:rsidP="00624DAD">
      <w:pPr>
        <w:spacing w:before="0" w:after="0"/>
      </w:pPr>
      <w:r>
        <w:continuationSeparator/>
      </w:r>
    </w:p>
  </w:footnote>
  <w:footnote w:id="1">
    <w:p w:rsidR="00175DF4" w:rsidRPr="001A1170" w:rsidRDefault="00175DF4" w:rsidP="00624DAD">
      <w:pPr>
        <w:pStyle w:val="ListParagraph"/>
        <w:ind w:left="0"/>
        <w:jc w:val="both"/>
        <w:rPr>
          <w:rFonts w:cs="Courier New"/>
          <w:sz w:val="20"/>
          <w:szCs w:val="20"/>
          <w:lang w:val="es-ES_tradnl"/>
        </w:rPr>
      </w:pPr>
      <w:r w:rsidRPr="001A1170">
        <w:rPr>
          <w:rStyle w:val="FootnoteReference"/>
          <w:sz w:val="20"/>
          <w:szCs w:val="20"/>
        </w:rPr>
        <w:footnoteRef/>
      </w:r>
      <w:r w:rsidRPr="001A1170">
        <w:rPr>
          <w:sz w:val="20"/>
          <w:szCs w:val="20"/>
        </w:rPr>
        <w:t xml:space="preserve"> CATIE, </w:t>
      </w:r>
      <w:r w:rsidRPr="001A1170">
        <w:rPr>
          <w:rFonts w:cs="Courier New"/>
          <w:sz w:val="20"/>
          <w:szCs w:val="20"/>
          <w:lang w:val="es-ES_tradnl"/>
        </w:rPr>
        <w:t>Cadena Productiva de Cacao de Nicaragua, Proyecto Cacao Centroamérica</w:t>
      </w:r>
      <w:r>
        <w:rPr>
          <w:rFonts w:cs="Courier New"/>
          <w:sz w:val="20"/>
          <w:szCs w:val="20"/>
          <w:lang w:val="es-ES_tradnl"/>
        </w:rPr>
        <w:t xml:space="preserve">. </w:t>
      </w:r>
    </w:p>
    <w:p w:rsidR="00175DF4" w:rsidRPr="001A1170" w:rsidRDefault="00175DF4" w:rsidP="00624DAD">
      <w:pPr>
        <w:pStyle w:val="FootnoteText"/>
        <w:rPr>
          <w:lang w:val="es-ES_tradnl"/>
        </w:rPr>
      </w:pPr>
    </w:p>
  </w:footnote>
  <w:footnote w:id="2">
    <w:p w:rsidR="003C0A5C" w:rsidRPr="003C0A5C" w:rsidRDefault="003C0A5C">
      <w:pPr>
        <w:pStyle w:val="FootnoteText"/>
        <w:rPr>
          <w:lang w:val="es-ES_tradnl"/>
        </w:rPr>
      </w:pPr>
      <w:r>
        <w:rPr>
          <w:rStyle w:val="FootnoteReference"/>
        </w:rPr>
        <w:footnoteRef/>
      </w:r>
      <w:r w:rsidRPr="003C0A5C">
        <w:rPr>
          <w:lang w:val="es-ES_tradnl"/>
        </w:rPr>
        <w:t xml:space="preserve"> Federacion Nacional de Cooperativas Agropecuarias y Agroindustriales (FENACOOP R.L). </w:t>
      </w:r>
      <w:r>
        <w:rPr>
          <w:lang w:val="es-ES_tradnl"/>
        </w:rPr>
        <w:t xml:space="preserve">El Cacao: promesa de futuro para Nicaragua. Síntesis para decisores. Septiembre 2012 </w:t>
      </w:r>
    </w:p>
  </w:footnote>
  <w:footnote w:id="3">
    <w:p w:rsidR="00175DF4" w:rsidRPr="005D5CBF" w:rsidRDefault="00175DF4" w:rsidP="00624DAD">
      <w:pPr>
        <w:pStyle w:val="FootnoteText"/>
        <w:rPr>
          <w:lang w:val="es-ES_tradnl"/>
        </w:rPr>
      </w:pPr>
      <w:r>
        <w:rPr>
          <w:rStyle w:val="FootnoteReference"/>
        </w:rPr>
        <w:footnoteRef/>
      </w:r>
      <w:r w:rsidRPr="005D5CBF">
        <w:rPr>
          <w:lang w:val="es-ES_tradnl"/>
        </w:rPr>
        <w:t xml:space="preserve"> Programa de Reconversión Ganadera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97B9C"/>
    <w:multiLevelType w:val="multilevel"/>
    <w:tmpl w:val="90CC50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4FD5F42"/>
    <w:multiLevelType w:val="multilevel"/>
    <w:tmpl w:val="267E2DF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5C102358"/>
    <w:multiLevelType w:val="multilevel"/>
    <w:tmpl w:val="2A22B6E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639526B2"/>
    <w:multiLevelType w:val="multilevel"/>
    <w:tmpl w:val="CAF8483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6554228C"/>
    <w:multiLevelType w:val="multilevel"/>
    <w:tmpl w:val="3EF6EA4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6C4861AE"/>
    <w:multiLevelType w:val="multilevel"/>
    <w:tmpl w:val="0E1EE06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nsid w:val="743722CE"/>
    <w:multiLevelType w:val="multilevel"/>
    <w:tmpl w:val="1984534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758C51BD"/>
    <w:multiLevelType w:val="multilevel"/>
    <w:tmpl w:val="33709CB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7FA82E76"/>
    <w:multiLevelType w:val="multilevel"/>
    <w:tmpl w:val="3086F43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DAD"/>
    <w:rsid w:val="000154AA"/>
    <w:rsid w:val="00031CD1"/>
    <w:rsid w:val="00101C58"/>
    <w:rsid w:val="00107ED0"/>
    <w:rsid w:val="00132117"/>
    <w:rsid w:val="00133BF3"/>
    <w:rsid w:val="0015033E"/>
    <w:rsid w:val="00170F59"/>
    <w:rsid w:val="00175DF4"/>
    <w:rsid w:val="002237C5"/>
    <w:rsid w:val="002760BD"/>
    <w:rsid w:val="00281805"/>
    <w:rsid w:val="002C312D"/>
    <w:rsid w:val="003016C1"/>
    <w:rsid w:val="00387261"/>
    <w:rsid w:val="003B2DDC"/>
    <w:rsid w:val="003C0A5C"/>
    <w:rsid w:val="003E7F7B"/>
    <w:rsid w:val="003F2722"/>
    <w:rsid w:val="004216D5"/>
    <w:rsid w:val="00422056"/>
    <w:rsid w:val="00530CEA"/>
    <w:rsid w:val="0053363F"/>
    <w:rsid w:val="00546CCD"/>
    <w:rsid w:val="00624DAD"/>
    <w:rsid w:val="00634192"/>
    <w:rsid w:val="00677AF6"/>
    <w:rsid w:val="006E2781"/>
    <w:rsid w:val="00754993"/>
    <w:rsid w:val="00765317"/>
    <w:rsid w:val="00815B9B"/>
    <w:rsid w:val="00866B1F"/>
    <w:rsid w:val="00885242"/>
    <w:rsid w:val="008E205E"/>
    <w:rsid w:val="00933CEA"/>
    <w:rsid w:val="009441EF"/>
    <w:rsid w:val="009664F8"/>
    <w:rsid w:val="009C3F26"/>
    <w:rsid w:val="009F37D3"/>
    <w:rsid w:val="00A02240"/>
    <w:rsid w:val="00A260D4"/>
    <w:rsid w:val="00A5364E"/>
    <w:rsid w:val="00A81753"/>
    <w:rsid w:val="00A832D1"/>
    <w:rsid w:val="00AB27C6"/>
    <w:rsid w:val="00AE065F"/>
    <w:rsid w:val="00AE312C"/>
    <w:rsid w:val="00B1452E"/>
    <w:rsid w:val="00B457E5"/>
    <w:rsid w:val="00B87921"/>
    <w:rsid w:val="00B979AD"/>
    <w:rsid w:val="00BD5934"/>
    <w:rsid w:val="00BE68DC"/>
    <w:rsid w:val="00BF111C"/>
    <w:rsid w:val="00BF2022"/>
    <w:rsid w:val="00C15845"/>
    <w:rsid w:val="00C41AD6"/>
    <w:rsid w:val="00C757AC"/>
    <w:rsid w:val="00C85B38"/>
    <w:rsid w:val="00CE482D"/>
    <w:rsid w:val="00CF036A"/>
    <w:rsid w:val="00D148B1"/>
    <w:rsid w:val="00D30B8C"/>
    <w:rsid w:val="00DC29BC"/>
    <w:rsid w:val="00E2193D"/>
    <w:rsid w:val="00E23F03"/>
    <w:rsid w:val="00E2506C"/>
    <w:rsid w:val="00E40AD7"/>
    <w:rsid w:val="00E54A65"/>
    <w:rsid w:val="00EA6D1D"/>
    <w:rsid w:val="00F226D1"/>
    <w:rsid w:val="00FC48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CEA"/>
  </w:style>
  <w:style w:type="paragraph" w:styleId="Heading2">
    <w:name w:val="heading 2"/>
    <w:basedOn w:val="Normal"/>
    <w:next w:val="Normal"/>
    <w:link w:val="Heading2Char"/>
    <w:uiPriority w:val="9"/>
    <w:semiHidden/>
    <w:unhideWhenUsed/>
    <w:qFormat/>
    <w:rsid w:val="00A260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60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260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60D4"/>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60D4"/>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260D4"/>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60D4"/>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260D4"/>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A260D4"/>
    <w:pPr>
      <w:keepNext/>
      <w:numPr>
        <w:numId w:val="1"/>
      </w:numPr>
      <w:tabs>
        <w:tab w:val="clear" w:pos="1800"/>
        <w:tab w:val="num" w:pos="648"/>
        <w:tab w:val="left" w:pos="1440"/>
      </w:tabs>
      <w:spacing w:before="240" w:beforeAutospacing="0" w:after="240" w:afterAutospacing="0"/>
      <w:ind w:left="0"/>
      <w:jc w:val="center"/>
    </w:pPr>
    <w:rPr>
      <w:rFonts w:ascii="Times New Roman" w:eastAsia="Times New Roman" w:hAnsi="Times New Roman" w:cs="Times New Roman"/>
      <w:b/>
      <w:smallCaps/>
      <w:sz w:val="24"/>
      <w:szCs w:val="20"/>
      <w:lang w:val="es-ES_tradnl"/>
    </w:rPr>
  </w:style>
  <w:style w:type="paragraph" w:styleId="FootnoteText">
    <w:name w:val="footnote text"/>
    <w:aliases w:val="fn,Texto nota pie IIRSA"/>
    <w:basedOn w:val="Normal"/>
    <w:link w:val="FootnoteTextChar"/>
    <w:uiPriority w:val="99"/>
    <w:rsid w:val="00624DAD"/>
    <w:pPr>
      <w:keepNext/>
      <w:keepLines/>
      <w:spacing w:before="0" w:beforeAutospacing="0" w:after="120" w:afterAutospacing="0"/>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nota pie IIRSA Char"/>
    <w:basedOn w:val="DefaultParagraphFont"/>
    <w:link w:val="FootnoteText"/>
    <w:uiPriority w:val="99"/>
    <w:rsid w:val="00624DAD"/>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har"/>
    <w:rsid w:val="00A260D4"/>
    <w:pPr>
      <w:numPr>
        <w:ilvl w:val="1"/>
        <w:numId w:val="1"/>
      </w:numPr>
      <w:tabs>
        <w:tab w:val="clear" w:pos="2448"/>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A260D4"/>
    <w:pPr>
      <w:numPr>
        <w:ilvl w:val="2"/>
        <w:numId w:val="1"/>
      </w:numPr>
      <w:tabs>
        <w:tab w:val="clear" w:pos="2304"/>
        <w:tab w:val="num" w:pos="1152"/>
      </w:tabs>
      <w:spacing w:before="120"/>
      <w:ind w:left="1152"/>
      <w:jc w:val="both"/>
      <w:outlineLvl w:val="2"/>
    </w:pPr>
    <w:rPr>
      <w:rFonts w:eastAsia="Times New Roman"/>
      <w:szCs w:val="20"/>
      <w:lang w:val="es-ES_tradnl"/>
    </w:rPr>
  </w:style>
  <w:style w:type="paragraph" w:customStyle="1" w:styleId="SubSubPar">
    <w:name w:val="SubSubPar"/>
    <w:basedOn w:val="subpar"/>
    <w:rsid w:val="00A260D4"/>
    <w:pPr>
      <w:numPr>
        <w:ilvl w:val="3"/>
      </w:numPr>
      <w:tabs>
        <w:tab w:val="clear" w:pos="2736"/>
        <w:tab w:val="left" w:pos="0"/>
        <w:tab w:val="num" w:pos="1296"/>
      </w:tabs>
      <w:ind w:left="1296"/>
    </w:pPr>
  </w:style>
  <w:style w:type="character" w:styleId="FootnoteReference">
    <w:name w:val="footnote reference"/>
    <w:aliases w:val="16 Point,Superscript 6 Point,titulo 2"/>
    <w:uiPriority w:val="99"/>
    <w:rsid w:val="00624DAD"/>
    <w:rPr>
      <w:vertAlign w:val="superscript"/>
    </w:rPr>
  </w:style>
  <w:style w:type="character" w:customStyle="1" w:styleId="ParagraphChar">
    <w:name w:val="Paragraph Char"/>
    <w:link w:val="Paragraph"/>
    <w:locked/>
    <w:rsid w:val="00A260D4"/>
    <w:rPr>
      <w:rFonts w:ascii="Times New Roman" w:eastAsia="Times New Roman" w:hAnsi="Times New Roman" w:cs="Times New Roman"/>
      <w:sz w:val="24"/>
      <w:szCs w:val="20"/>
      <w:lang w:val="es-ES_tradnl"/>
    </w:rPr>
  </w:style>
  <w:style w:type="paragraph" w:styleId="ListParagraph">
    <w:name w:val="List Paragraph"/>
    <w:basedOn w:val="Normal"/>
    <w:uiPriority w:val="34"/>
    <w:qFormat/>
    <w:rsid w:val="00624DAD"/>
    <w:pPr>
      <w:spacing w:before="0" w:beforeAutospacing="0" w:after="0" w:afterAutospacing="0"/>
      <w:ind w:left="720"/>
      <w:contextualSpacing/>
    </w:pPr>
    <w:rPr>
      <w:rFonts w:ascii="Times New Roman" w:eastAsia="Times New Roman" w:hAnsi="Times New Roman" w:cs="Times New Roman"/>
      <w:sz w:val="24"/>
      <w:szCs w:val="24"/>
      <w:lang w:val="es-ES" w:eastAsia="es-ES"/>
    </w:rPr>
  </w:style>
  <w:style w:type="paragraph" w:styleId="BodyTextIndent">
    <w:name w:val="Body Text Indent"/>
    <w:basedOn w:val="Normal"/>
    <w:link w:val="BodyTextIndentChar"/>
    <w:uiPriority w:val="99"/>
    <w:semiHidden/>
    <w:unhideWhenUsed/>
    <w:rsid w:val="00624DAD"/>
    <w:pPr>
      <w:spacing w:before="0" w:beforeAutospacing="0" w:after="120" w:afterAutospacing="0"/>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624DA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624DAD"/>
    <w:pPr>
      <w:spacing w:before="0" w:beforeAutospacing="0" w:after="120" w:afterAutospacing="0"/>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624DAD"/>
    <w:rPr>
      <w:rFonts w:ascii="Times New Roman" w:hAnsi="Times New Roman" w:cs="Times New Roman"/>
      <w:sz w:val="24"/>
      <w:szCs w:val="16"/>
    </w:rPr>
  </w:style>
  <w:style w:type="paragraph" w:customStyle="1" w:styleId="FirstHeading">
    <w:name w:val="FirstHeading"/>
    <w:basedOn w:val="Normal"/>
    <w:next w:val="Normal"/>
    <w:link w:val="FirstHeadingChar"/>
    <w:rsid w:val="00A260D4"/>
    <w:pPr>
      <w:keepNext/>
      <w:numPr>
        <w:numId w:val="9"/>
      </w:numPr>
      <w:tabs>
        <w:tab w:val="left" w:pos="0"/>
        <w:tab w:val="left" w:pos="86"/>
      </w:tabs>
      <w:spacing w:before="120" w:beforeAutospacing="0" w:after="120" w:afterAutospacing="0"/>
      <w:ind w:left="720"/>
    </w:pPr>
    <w:rPr>
      <w:rFonts w:ascii="Times New Roman" w:eastAsia="Times New Roman" w:hAnsi="Times New Roman" w:cs="Times New Roman"/>
      <w:b/>
      <w:sz w:val="24"/>
      <w:szCs w:val="20"/>
      <w:lang w:val="es-ES_tradnl"/>
    </w:rPr>
  </w:style>
  <w:style w:type="character" w:customStyle="1" w:styleId="FirstHeadingChar">
    <w:name w:val="FirstHeading Char"/>
    <w:basedOn w:val="ParagraphChar"/>
    <w:link w:val="FirstHeading"/>
    <w:rsid w:val="00A260D4"/>
    <w:rPr>
      <w:rFonts w:ascii="Times New Roman" w:eastAsia="Times New Roman" w:hAnsi="Times New Roman" w:cs="Times New Roman"/>
      <w:b/>
      <w:sz w:val="24"/>
      <w:szCs w:val="20"/>
      <w:lang w:val="es-ES_tradnl"/>
    </w:rPr>
  </w:style>
  <w:style w:type="paragraph" w:customStyle="1" w:styleId="SecHeading">
    <w:name w:val="SecHeading"/>
    <w:basedOn w:val="Normal"/>
    <w:next w:val="Paragraph"/>
    <w:link w:val="SecHeadingChar"/>
    <w:rsid w:val="00A260D4"/>
    <w:pPr>
      <w:keepNext/>
      <w:numPr>
        <w:ilvl w:val="1"/>
        <w:numId w:val="9"/>
      </w:numPr>
      <w:tabs>
        <w:tab w:val="clear" w:pos="5400"/>
        <w:tab w:val="num" w:pos="1296"/>
      </w:tabs>
      <w:spacing w:before="120" w:beforeAutospacing="0" w:after="120" w:afterAutospacing="0"/>
      <w:ind w:left="1296"/>
    </w:pPr>
    <w:rPr>
      <w:rFonts w:ascii="Times New Roman" w:eastAsia="Times New Roman" w:hAnsi="Times New Roman" w:cs="Times New Roman"/>
      <w:b/>
      <w:sz w:val="24"/>
      <w:szCs w:val="20"/>
      <w:lang w:val="es-ES_tradnl"/>
    </w:rPr>
  </w:style>
  <w:style w:type="character" w:customStyle="1" w:styleId="SecHeadingChar">
    <w:name w:val="SecHeading Char"/>
    <w:basedOn w:val="ParagraphChar"/>
    <w:link w:val="SecHeading"/>
    <w:rsid w:val="00A260D4"/>
    <w:rPr>
      <w:rFonts w:ascii="Times New Roman" w:eastAsia="Times New Roman" w:hAnsi="Times New Roman" w:cs="Times New Roman"/>
      <w:b/>
      <w:sz w:val="24"/>
      <w:szCs w:val="20"/>
      <w:lang w:val="es-ES_tradnl"/>
    </w:rPr>
  </w:style>
  <w:style w:type="paragraph" w:customStyle="1" w:styleId="SubHeading1">
    <w:name w:val="SubHeading1"/>
    <w:basedOn w:val="SecHeading"/>
    <w:link w:val="SubHeading1Char"/>
    <w:rsid w:val="00A260D4"/>
    <w:pPr>
      <w:numPr>
        <w:ilvl w:val="2"/>
      </w:numPr>
      <w:tabs>
        <w:tab w:val="clear" w:pos="5976"/>
        <w:tab w:val="num" w:pos="1872"/>
      </w:tabs>
      <w:ind w:left="1872"/>
    </w:pPr>
  </w:style>
  <w:style w:type="character" w:customStyle="1" w:styleId="SubHeading1Char">
    <w:name w:val="SubHeading1 Char"/>
    <w:basedOn w:val="ParagraphChar"/>
    <w:link w:val="SubHeading1"/>
    <w:rsid w:val="00A260D4"/>
    <w:rPr>
      <w:rFonts w:ascii="Times New Roman" w:eastAsia="Times New Roman" w:hAnsi="Times New Roman" w:cs="Times New Roman"/>
      <w:b/>
      <w:sz w:val="24"/>
      <w:szCs w:val="20"/>
      <w:lang w:val="es-ES_tradnl"/>
    </w:rPr>
  </w:style>
  <w:style w:type="paragraph" w:customStyle="1" w:styleId="Subheading2">
    <w:name w:val="Subheading2"/>
    <w:basedOn w:val="SecHeading"/>
    <w:link w:val="Subheading2Char"/>
    <w:rsid w:val="00A260D4"/>
    <w:pPr>
      <w:numPr>
        <w:ilvl w:val="3"/>
      </w:numPr>
      <w:tabs>
        <w:tab w:val="clear" w:pos="6480"/>
        <w:tab w:val="num" w:pos="2376"/>
      </w:tabs>
      <w:ind w:left="2376"/>
    </w:pPr>
  </w:style>
  <w:style w:type="character" w:customStyle="1" w:styleId="Subheading2Char">
    <w:name w:val="Subheading2 Char"/>
    <w:basedOn w:val="ParagraphChar"/>
    <w:link w:val="Subheading2"/>
    <w:rsid w:val="00A260D4"/>
    <w:rPr>
      <w:rFonts w:ascii="Times New Roman" w:eastAsia="Times New Roman" w:hAnsi="Times New Roman" w:cs="Times New Roman"/>
      <w:b/>
      <w:sz w:val="24"/>
      <w:szCs w:val="20"/>
      <w:lang w:val="es-ES_tradnl"/>
    </w:rPr>
  </w:style>
  <w:style w:type="paragraph" w:customStyle="1" w:styleId="Regtable">
    <w:name w:val="Regtable"/>
    <w:basedOn w:val="Normal"/>
    <w:link w:val="RegtableChar"/>
    <w:rsid w:val="00A260D4"/>
    <w:pPr>
      <w:keepLines/>
      <w:framePr w:wrap="around" w:vAnchor="text" w:hAnchor="text" w:y="1"/>
      <w:spacing w:before="20" w:beforeAutospacing="0" w:after="20" w:afterAutospacing="0"/>
    </w:pPr>
    <w:rPr>
      <w:rFonts w:ascii="Times New Roman" w:eastAsia="Times New Roman" w:hAnsi="Times New Roman" w:cs="Times New Roman"/>
      <w:sz w:val="20"/>
      <w:szCs w:val="20"/>
      <w:lang w:val="es-ES_tradnl"/>
    </w:rPr>
  </w:style>
  <w:style w:type="character" w:customStyle="1" w:styleId="RegtableChar">
    <w:name w:val="Regtable Char"/>
    <w:basedOn w:val="ParagraphChar"/>
    <w:link w:val="Regtable"/>
    <w:rsid w:val="00A260D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A260D4"/>
    <w:pPr>
      <w:keepNext/>
      <w:framePr w:wrap="around" w:vAnchor="text" w:hAnchor="text" w:y="1"/>
      <w:spacing w:before="20" w:beforeAutospacing="0" w:after="20" w:afterAutospacing="0"/>
      <w:jc w:val="center"/>
    </w:pPr>
    <w:rPr>
      <w:rFonts w:ascii="Times New Roman Bold" w:eastAsia="Times New Roman" w:hAnsi="Times New Roman Bold" w:cs="Times New Roman Bold"/>
      <w:b/>
      <w:spacing w:val="-3"/>
      <w:sz w:val="20"/>
      <w:szCs w:val="20"/>
      <w:lang w:val="es-ES_tradnl"/>
    </w:rPr>
  </w:style>
  <w:style w:type="character" w:customStyle="1" w:styleId="TableTitleChar">
    <w:name w:val="TableTitle Char"/>
    <w:basedOn w:val="ParagraphChar"/>
    <w:link w:val="TableTitle"/>
    <w:rsid w:val="00A260D4"/>
    <w:rPr>
      <w:rFonts w:ascii="Times New Roman Bold" w:eastAsia="Times New Roman" w:hAnsi="Times New Roman Bold" w:cs="Times New Roman Bold"/>
      <w:b/>
      <w:spacing w:val="-3"/>
      <w:sz w:val="20"/>
      <w:szCs w:val="20"/>
      <w:lang w:val="es-ES_tradnl"/>
    </w:rPr>
  </w:style>
  <w:style w:type="character" w:customStyle="1" w:styleId="Heading2Char">
    <w:name w:val="Heading 2 Char"/>
    <w:basedOn w:val="DefaultParagraphFont"/>
    <w:link w:val="Heading2"/>
    <w:uiPriority w:val="9"/>
    <w:semiHidden/>
    <w:rsid w:val="00624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24DA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24DA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260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260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260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260D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260D4"/>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B979AD"/>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79AD"/>
    <w:rPr>
      <w:rFonts w:ascii="Lucida Grande" w:hAnsi="Lucida Grande" w:cs="Lucida Grande"/>
      <w:sz w:val="18"/>
      <w:szCs w:val="18"/>
    </w:rPr>
  </w:style>
  <w:style w:type="character" w:styleId="Hyperlink">
    <w:name w:val="Hyperlink"/>
    <w:basedOn w:val="DefaultParagraphFont"/>
    <w:uiPriority w:val="99"/>
    <w:unhideWhenUsed/>
    <w:rsid w:val="009441EF"/>
    <w:rPr>
      <w:color w:val="0000FF" w:themeColor="hyperlink"/>
      <w:u w:val="single"/>
    </w:rPr>
  </w:style>
  <w:style w:type="character" w:styleId="FollowedHyperlink">
    <w:name w:val="FollowedHyperlink"/>
    <w:basedOn w:val="DefaultParagraphFont"/>
    <w:uiPriority w:val="99"/>
    <w:semiHidden/>
    <w:unhideWhenUsed/>
    <w:rsid w:val="003E7F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CEA"/>
  </w:style>
  <w:style w:type="paragraph" w:styleId="Heading2">
    <w:name w:val="heading 2"/>
    <w:basedOn w:val="Normal"/>
    <w:next w:val="Normal"/>
    <w:link w:val="Heading2Char"/>
    <w:uiPriority w:val="9"/>
    <w:semiHidden/>
    <w:unhideWhenUsed/>
    <w:qFormat/>
    <w:rsid w:val="00A260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60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260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60D4"/>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60D4"/>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260D4"/>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60D4"/>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260D4"/>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A260D4"/>
    <w:pPr>
      <w:keepNext/>
      <w:numPr>
        <w:numId w:val="1"/>
      </w:numPr>
      <w:tabs>
        <w:tab w:val="clear" w:pos="1800"/>
        <w:tab w:val="num" w:pos="648"/>
        <w:tab w:val="left" w:pos="1440"/>
      </w:tabs>
      <w:spacing w:before="240" w:beforeAutospacing="0" w:after="240" w:afterAutospacing="0"/>
      <w:ind w:left="0"/>
      <w:jc w:val="center"/>
    </w:pPr>
    <w:rPr>
      <w:rFonts w:ascii="Times New Roman" w:eastAsia="Times New Roman" w:hAnsi="Times New Roman" w:cs="Times New Roman"/>
      <w:b/>
      <w:smallCaps/>
      <w:sz w:val="24"/>
      <w:szCs w:val="20"/>
      <w:lang w:val="es-ES_tradnl"/>
    </w:rPr>
  </w:style>
  <w:style w:type="paragraph" w:styleId="FootnoteText">
    <w:name w:val="footnote text"/>
    <w:aliases w:val="fn,Texto nota pie IIRSA"/>
    <w:basedOn w:val="Normal"/>
    <w:link w:val="FootnoteTextChar"/>
    <w:uiPriority w:val="99"/>
    <w:rsid w:val="00624DAD"/>
    <w:pPr>
      <w:keepNext/>
      <w:keepLines/>
      <w:spacing w:before="0" w:beforeAutospacing="0" w:after="120" w:afterAutospacing="0"/>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Texto nota pie IIRSA Char"/>
    <w:basedOn w:val="DefaultParagraphFont"/>
    <w:link w:val="FootnoteText"/>
    <w:uiPriority w:val="99"/>
    <w:rsid w:val="00624DAD"/>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har"/>
    <w:rsid w:val="00A260D4"/>
    <w:pPr>
      <w:numPr>
        <w:ilvl w:val="1"/>
        <w:numId w:val="1"/>
      </w:numPr>
      <w:tabs>
        <w:tab w:val="clear" w:pos="2448"/>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A260D4"/>
    <w:pPr>
      <w:numPr>
        <w:ilvl w:val="2"/>
        <w:numId w:val="1"/>
      </w:numPr>
      <w:tabs>
        <w:tab w:val="clear" w:pos="2304"/>
        <w:tab w:val="num" w:pos="1152"/>
      </w:tabs>
      <w:spacing w:before="120"/>
      <w:ind w:left="1152"/>
      <w:jc w:val="both"/>
      <w:outlineLvl w:val="2"/>
    </w:pPr>
    <w:rPr>
      <w:rFonts w:eastAsia="Times New Roman"/>
      <w:szCs w:val="20"/>
      <w:lang w:val="es-ES_tradnl"/>
    </w:rPr>
  </w:style>
  <w:style w:type="paragraph" w:customStyle="1" w:styleId="SubSubPar">
    <w:name w:val="SubSubPar"/>
    <w:basedOn w:val="subpar"/>
    <w:rsid w:val="00A260D4"/>
    <w:pPr>
      <w:numPr>
        <w:ilvl w:val="3"/>
      </w:numPr>
      <w:tabs>
        <w:tab w:val="clear" w:pos="2736"/>
        <w:tab w:val="left" w:pos="0"/>
        <w:tab w:val="num" w:pos="1296"/>
      </w:tabs>
      <w:ind w:left="1296"/>
    </w:pPr>
  </w:style>
  <w:style w:type="character" w:styleId="FootnoteReference">
    <w:name w:val="footnote reference"/>
    <w:aliases w:val="16 Point,Superscript 6 Point,titulo 2"/>
    <w:uiPriority w:val="99"/>
    <w:rsid w:val="00624DAD"/>
    <w:rPr>
      <w:vertAlign w:val="superscript"/>
    </w:rPr>
  </w:style>
  <w:style w:type="character" w:customStyle="1" w:styleId="ParagraphChar">
    <w:name w:val="Paragraph Char"/>
    <w:link w:val="Paragraph"/>
    <w:locked/>
    <w:rsid w:val="00A260D4"/>
    <w:rPr>
      <w:rFonts w:ascii="Times New Roman" w:eastAsia="Times New Roman" w:hAnsi="Times New Roman" w:cs="Times New Roman"/>
      <w:sz w:val="24"/>
      <w:szCs w:val="20"/>
      <w:lang w:val="es-ES_tradnl"/>
    </w:rPr>
  </w:style>
  <w:style w:type="paragraph" w:styleId="ListParagraph">
    <w:name w:val="List Paragraph"/>
    <w:basedOn w:val="Normal"/>
    <w:uiPriority w:val="34"/>
    <w:qFormat/>
    <w:rsid w:val="00624DAD"/>
    <w:pPr>
      <w:spacing w:before="0" w:beforeAutospacing="0" w:after="0" w:afterAutospacing="0"/>
      <w:ind w:left="720"/>
      <w:contextualSpacing/>
    </w:pPr>
    <w:rPr>
      <w:rFonts w:ascii="Times New Roman" w:eastAsia="Times New Roman" w:hAnsi="Times New Roman" w:cs="Times New Roman"/>
      <w:sz w:val="24"/>
      <w:szCs w:val="24"/>
      <w:lang w:val="es-ES" w:eastAsia="es-ES"/>
    </w:rPr>
  </w:style>
  <w:style w:type="paragraph" w:styleId="BodyTextIndent">
    <w:name w:val="Body Text Indent"/>
    <w:basedOn w:val="Normal"/>
    <w:link w:val="BodyTextIndentChar"/>
    <w:uiPriority w:val="99"/>
    <w:semiHidden/>
    <w:unhideWhenUsed/>
    <w:rsid w:val="00624DAD"/>
    <w:pPr>
      <w:spacing w:before="0" w:beforeAutospacing="0" w:after="120" w:afterAutospacing="0"/>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624DAD"/>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624DAD"/>
    <w:pPr>
      <w:spacing w:before="0" w:beforeAutospacing="0" w:after="120" w:afterAutospacing="0"/>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624DAD"/>
    <w:rPr>
      <w:rFonts w:ascii="Times New Roman" w:hAnsi="Times New Roman" w:cs="Times New Roman"/>
      <w:sz w:val="24"/>
      <w:szCs w:val="16"/>
    </w:rPr>
  </w:style>
  <w:style w:type="paragraph" w:customStyle="1" w:styleId="FirstHeading">
    <w:name w:val="FirstHeading"/>
    <w:basedOn w:val="Normal"/>
    <w:next w:val="Normal"/>
    <w:link w:val="FirstHeadingChar"/>
    <w:rsid w:val="00A260D4"/>
    <w:pPr>
      <w:keepNext/>
      <w:numPr>
        <w:numId w:val="9"/>
      </w:numPr>
      <w:tabs>
        <w:tab w:val="left" w:pos="0"/>
        <w:tab w:val="left" w:pos="86"/>
      </w:tabs>
      <w:spacing w:before="120" w:beforeAutospacing="0" w:after="120" w:afterAutospacing="0"/>
      <w:ind w:left="720"/>
    </w:pPr>
    <w:rPr>
      <w:rFonts w:ascii="Times New Roman" w:eastAsia="Times New Roman" w:hAnsi="Times New Roman" w:cs="Times New Roman"/>
      <w:b/>
      <w:sz w:val="24"/>
      <w:szCs w:val="20"/>
      <w:lang w:val="es-ES_tradnl"/>
    </w:rPr>
  </w:style>
  <w:style w:type="character" w:customStyle="1" w:styleId="FirstHeadingChar">
    <w:name w:val="FirstHeading Char"/>
    <w:basedOn w:val="ParagraphChar"/>
    <w:link w:val="FirstHeading"/>
    <w:rsid w:val="00A260D4"/>
    <w:rPr>
      <w:rFonts w:ascii="Times New Roman" w:eastAsia="Times New Roman" w:hAnsi="Times New Roman" w:cs="Times New Roman"/>
      <w:b/>
      <w:sz w:val="24"/>
      <w:szCs w:val="20"/>
      <w:lang w:val="es-ES_tradnl"/>
    </w:rPr>
  </w:style>
  <w:style w:type="paragraph" w:customStyle="1" w:styleId="SecHeading">
    <w:name w:val="SecHeading"/>
    <w:basedOn w:val="Normal"/>
    <w:next w:val="Paragraph"/>
    <w:link w:val="SecHeadingChar"/>
    <w:rsid w:val="00A260D4"/>
    <w:pPr>
      <w:keepNext/>
      <w:numPr>
        <w:ilvl w:val="1"/>
        <w:numId w:val="9"/>
      </w:numPr>
      <w:tabs>
        <w:tab w:val="clear" w:pos="5400"/>
        <w:tab w:val="num" w:pos="1296"/>
      </w:tabs>
      <w:spacing w:before="120" w:beforeAutospacing="0" w:after="120" w:afterAutospacing="0"/>
      <w:ind w:left="1296"/>
    </w:pPr>
    <w:rPr>
      <w:rFonts w:ascii="Times New Roman" w:eastAsia="Times New Roman" w:hAnsi="Times New Roman" w:cs="Times New Roman"/>
      <w:b/>
      <w:sz w:val="24"/>
      <w:szCs w:val="20"/>
      <w:lang w:val="es-ES_tradnl"/>
    </w:rPr>
  </w:style>
  <w:style w:type="character" w:customStyle="1" w:styleId="SecHeadingChar">
    <w:name w:val="SecHeading Char"/>
    <w:basedOn w:val="ParagraphChar"/>
    <w:link w:val="SecHeading"/>
    <w:rsid w:val="00A260D4"/>
    <w:rPr>
      <w:rFonts w:ascii="Times New Roman" w:eastAsia="Times New Roman" w:hAnsi="Times New Roman" w:cs="Times New Roman"/>
      <w:b/>
      <w:sz w:val="24"/>
      <w:szCs w:val="20"/>
      <w:lang w:val="es-ES_tradnl"/>
    </w:rPr>
  </w:style>
  <w:style w:type="paragraph" w:customStyle="1" w:styleId="SubHeading1">
    <w:name w:val="SubHeading1"/>
    <w:basedOn w:val="SecHeading"/>
    <w:link w:val="SubHeading1Char"/>
    <w:rsid w:val="00A260D4"/>
    <w:pPr>
      <w:numPr>
        <w:ilvl w:val="2"/>
      </w:numPr>
      <w:tabs>
        <w:tab w:val="clear" w:pos="5976"/>
        <w:tab w:val="num" w:pos="1872"/>
      </w:tabs>
      <w:ind w:left="1872"/>
    </w:pPr>
  </w:style>
  <w:style w:type="character" w:customStyle="1" w:styleId="SubHeading1Char">
    <w:name w:val="SubHeading1 Char"/>
    <w:basedOn w:val="ParagraphChar"/>
    <w:link w:val="SubHeading1"/>
    <w:rsid w:val="00A260D4"/>
    <w:rPr>
      <w:rFonts w:ascii="Times New Roman" w:eastAsia="Times New Roman" w:hAnsi="Times New Roman" w:cs="Times New Roman"/>
      <w:b/>
      <w:sz w:val="24"/>
      <w:szCs w:val="20"/>
      <w:lang w:val="es-ES_tradnl"/>
    </w:rPr>
  </w:style>
  <w:style w:type="paragraph" w:customStyle="1" w:styleId="Subheading2">
    <w:name w:val="Subheading2"/>
    <w:basedOn w:val="SecHeading"/>
    <w:link w:val="Subheading2Char"/>
    <w:rsid w:val="00A260D4"/>
    <w:pPr>
      <w:numPr>
        <w:ilvl w:val="3"/>
      </w:numPr>
      <w:tabs>
        <w:tab w:val="clear" w:pos="6480"/>
        <w:tab w:val="num" w:pos="2376"/>
      </w:tabs>
      <w:ind w:left="2376"/>
    </w:pPr>
  </w:style>
  <w:style w:type="character" w:customStyle="1" w:styleId="Subheading2Char">
    <w:name w:val="Subheading2 Char"/>
    <w:basedOn w:val="ParagraphChar"/>
    <w:link w:val="Subheading2"/>
    <w:rsid w:val="00A260D4"/>
    <w:rPr>
      <w:rFonts w:ascii="Times New Roman" w:eastAsia="Times New Roman" w:hAnsi="Times New Roman" w:cs="Times New Roman"/>
      <w:b/>
      <w:sz w:val="24"/>
      <w:szCs w:val="20"/>
      <w:lang w:val="es-ES_tradnl"/>
    </w:rPr>
  </w:style>
  <w:style w:type="paragraph" w:customStyle="1" w:styleId="Regtable">
    <w:name w:val="Regtable"/>
    <w:basedOn w:val="Normal"/>
    <w:link w:val="RegtableChar"/>
    <w:rsid w:val="00A260D4"/>
    <w:pPr>
      <w:keepLines/>
      <w:framePr w:wrap="around" w:vAnchor="text" w:hAnchor="text" w:y="1"/>
      <w:spacing w:before="20" w:beforeAutospacing="0" w:after="20" w:afterAutospacing="0"/>
    </w:pPr>
    <w:rPr>
      <w:rFonts w:ascii="Times New Roman" w:eastAsia="Times New Roman" w:hAnsi="Times New Roman" w:cs="Times New Roman"/>
      <w:sz w:val="20"/>
      <w:szCs w:val="20"/>
      <w:lang w:val="es-ES_tradnl"/>
    </w:rPr>
  </w:style>
  <w:style w:type="character" w:customStyle="1" w:styleId="RegtableChar">
    <w:name w:val="Regtable Char"/>
    <w:basedOn w:val="ParagraphChar"/>
    <w:link w:val="Regtable"/>
    <w:rsid w:val="00A260D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A260D4"/>
    <w:pPr>
      <w:keepNext/>
      <w:framePr w:wrap="around" w:vAnchor="text" w:hAnchor="text" w:y="1"/>
      <w:spacing w:before="20" w:beforeAutospacing="0" w:after="20" w:afterAutospacing="0"/>
      <w:jc w:val="center"/>
    </w:pPr>
    <w:rPr>
      <w:rFonts w:ascii="Times New Roman Bold" w:eastAsia="Times New Roman" w:hAnsi="Times New Roman Bold" w:cs="Times New Roman Bold"/>
      <w:b/>
      <w:spacing w:val="-3"/>
      <w:sz w:val="20"/>
      <w:szCs w:val="20"/>
      <w:lang w:val="es-ES_tradnl"/>
    </w:rPr>
  </w:style>
  <w:style w:type="character" w:customStyle="1" w:styleId="TableTitleChar">
    <w:name w:val="TableTitle Char"/>
    <w:basedOn w:val="ParagraphChar"/>
    <w:link w:val="TableTitle"/>
    <w:rsid w:val="00A260D4"/>
    <w:rPr>
      <w:rFonts w:ascii="Times New Roman Bold" w:eastAsia="Times New Roman" w:hAnsi="Times New Roman Bold" w:cs="Times New Roman Bold"/>
      <w:b/>
      <w:spacing w:val="-3"/>
      <w:sz w:val="20"/>
      <w:szCs w:val="20"/>
      <w:lang w:val="es-ES_tradnl"/>
    </w:rPr>
  </w:style>
  <w:style w:type="character" w:customStyle="1" w:styleId="Heading2Char">
    <w:name w:val="Heading 2 Char"/>
    <w:basedOn w:val="DefaultParagraphFont"/>
    <w:link w:val="Heading2"/>
    <w:uiPriority w:val="9"/>
    <w:semiHidden/>
    <w:rsid w:val="00624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24DA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24DA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260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260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260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260D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260D4"/>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B979AD"/>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79AD"/>
    <w:rPr>
      <w:rFonts w:ascii="Lucida Grande" w:hAnsi="Lucida Grande" w:cs="Lucida Grande"/>
      <w:sz w:val="18"/>
      <w:szCs w:val="18"/>
    </w:rPr>
  </w:style>
  <w:style w:type="character" w:styleId="Hyperlink">
    <w:name w:val="Hyperlink"/>
    <w:basedOn w:val="DefaultParagraphFont"/>
    <w:uiPriority w:val="99"/>
    <w:unhideWhenUsed/>
    <w:rsid w:val="009441EF"/>
    <w:rPr>
      <w:color w:val="0000FF" w:themeColor="hyperlink"/>
      <w:u w:val="single"/>
    </w:rPr>
  </w:style>
  <w:style w:type="character" w:styleId="FollowedHyperlink">
    <w:name w:val="FollowedHyperlink"/>
    <w:basedOn w:val="DefaultParagraphFont"/>
    <w:uiPriority w:val="99"/>
    <w:semiHidden/>
    <w:unhideWhenUsed/>
    <w:rsid w:val="003E7F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6216">
      <w:bodyDiv w:val="1"/>
      <w:marLeft w:val="0"/>
      <w:marRight w:val="0"/>
      <w:marTop w:val="0"/>
      <w:marBottom w:val="0"/>
      <w:divBdr>
        <w:top w:val="none" w:sz="0" w:space="0" w:color="auto"/>
        <w:left w:val="none" w:sz="0" w:space="0" w:color="auto"/>
        <w:bottom w:val="none" w:sz="0" w:space="0" w:color="auto"/>
        <w:right w:val="none" w:sz="0" w:space="0" w:color="auto"/>
      </w:divBdr>
    </w:div>
    <w:div w:id="567544433">
      <w:bodyDiv w:val="1"/>
      <w:marLeft w:val="0"/>
      <w:marRight w:val="0"/>
      <w:marTop w:val="0"/>
      <w:marBottom w:val="0"/>
      <w:divBdr>
        <w:top w:val="none" w:sz="0" w:space="0" w:color="auto"/>
        <w:left w:val="none" w:sz="0" w:space="0" w:color="auto"/>
        <w:bottom w:val="none" w:sz="0" w:space="0" w:color="auto"/>
        <w:right w:val="none" w:sz="0" w:space="0" w:color="auto"/>
      </w:divBdr>
    </w:div>
    <w:div w:id="1034114111">
      <w:bodyDiv w:val="1"/>
      <w:marLeft w:val="0"/>
      <w:marRight w:val="0"/>
      <w:marTop w:val="0"/>
      <w:marBottom w:val="0"/>
      <w:divBdr>
        <w:top w:val="none" w:sz="0" w:space="0" w:color="auto"/>
        <w:left w:val="none" w:sz="0" w:space="0" w:color="auto"/>
        <w:bottom w:val="none" w:sz="0" w:space="0" w:color="auto"/>
        <w:right w:val="none" w:sz="0" w:space="0" w:color="auto"/>
      </w:divBdr>
    </w:div>
    <w:div w:id="1095370934">
      <w:bodyDiv w:val="1"/>
      <w:marLeft w:val="0"/>
      <w:marRight w:val="0"/>
      <w:marTop w:val="0"/>
      <w:marBottom w:val="0"/>
      <w:divBdr>
        <w:top w:val="none" w:sz="0" w:space="0" w:color="auto"/>
        <w:left w:val="none" w:sz="0" w:space="0" w:color="auto"/>
        <w:bottom w:val="none" w:sz="0" w:space="0" w:color="auto"/>
        <w:right w:val="none" w:sz="0" w:space="0" w:color="auto"/>
      </w:divBdr>
    </w:div>
    <w:div w:id="1178495615">
      <w:bodyDiv w:val="1"/>
      <w:marLeft w:val="0"/>
      <w:marRight w:val="0"/>
      <w:marTop w:val="0"/>
      <w:marBottom w:val="0"/>
      <w:divBdr>
        <w:top w:val="none" w:sz="0" w:space="0" w:color="auto"/>
        <w:left w:val="none" w:sz="0" w:space="0" w:color="auto"/>
        <w:bottom w:val="none" w:sz="0" w:space="0" w:color="auto"/>
        <w:right w:val="none" w:sz="0" w:space="0" w:color="auto"/>
      </w:divBdr>
    </w:div>
    <w:div w:id="1178738273">
      <w:bodyDiv w:val="1"/>
      <w:marLeft w:val="0"/>
      <w:marRight w:val="0"/>
      <w:marTop w:val="0"/>
      <w:marBottom w:val="0"/>
      <w:divBdr>
        <w:top w:val="none" w:sz="0" w:space="0" w:color="auto"/>
        <w:left w:val="none" w:sz="0" w:space="0" w:color="auto"/>
        <w:bottom w:val="none" w:sz="0" w:space="0" w:color="auto"/>
        <w:right w:val="none" w:sz="0" w:space="0" w:color="auto"/>
      </w:divBdr>
    </w:div>
    <w:div w:id="179485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idbdocs.iadb.org/WSDocs/getDocument.aspx?DOCNUM=38050949" TargetMode="External"/><Relationship Id="rId4" Type="http://schemas.microsoft.com/office/2007/relationships/stylesWithEffects" Target="stylesWithEffects.xml"/><Relationship Id="rId9" Type="http://schemas.openxmlformats.org/officeDocument/2006/relationships/hyperlink" Target="http://idbdocs.iadb.org/WSDocs/getDocument.aspx?DOCNUM=38051067"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24AEA4F5EEF243BD4F3D3A85E55287" ma:contentTypeVersion="0" ma:contentTypeDescription="A content type to manage public (operations) IDB documents" ma:contentTypeScope="" ma:versionID="15668d615b5a0a47fbc44b6f6428b79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37858413</IDBDocs_x0020_Number>
    <Document_x0020_Author xmlns="9c571b2f-e523-4ab2-ba2e-09e151a03ef4">Guzman Zapater, Ramon</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7463977-FE05-476D-8034-88F9AAF52D8F}"/>
</file>

<file path=customXml/itemProps2.xml><?xml version="1.0" encoding="utf-8"?>
<ds:datastoreItem xmlns:ds="http://schemas.openxmlformats.org/officeDocument/2006/customXml" ds:itemID="{984460E9-A10B-4ADD-9344-8DF44CE6C3CD}"/>
</file>

<file path=customXml/itemProps3.xml><?xml version="1.0" encoding="utf-8"?>
<ds:datastoreItem xmlns:ds="http://schemas.openxmlformats.org/officeDocument/2006/customXml" ds:itemID="{39B8799E-94AF-4C4D-BDD9-4610309BC857}"/>
</file>

<file path=customXml/itemProps4.xml><?xml version="1.0" encoding="utf-8"?>
<ds:datastoreItem xmlns:ds="http://schemas.openxmlformats.org/officeDocument/2006/customXml" ds:itemID="{720272F3-2D28-4573-B47A-843BD35910E7}"/>
</file>

<file path=customXml/itemProps5.xml><?xml version="1.0" encoding="utf-8"?>
<ds:datastoreItem xmlns:ds="http://schemas.openxmlformats.org/officeDocument/2006/customXml" ds:itemID="{ADA65281-9478-422D-9E33-B195EDFAA902}"/>
</file>

<file path=customXml/itemProps6.xml><?xml version="1.0" encoding="utf-8"?>
<ds:datastoreItem xmlns:ds="http://schemas.openxmlformats.org/officeDocument/2006/customXml" ds:itemID="{69CEFAF1-37FF-4BD3-B087-D61B8BABC47A}"/>
</file>

<file path=docProps/app.xml><?xml version="1.0" encoding="utf-8"?>
<Properties xmlns="http://schemas.openxmlformats.org/officeDocument/2006/extended-properties" xmlns:vt="http://schemas.openxmlformats.org/officeDocument/2006/docPropsVTypes">
  <Template>Normal.dotm</Template>
  <TotalTime>50</TotalTime>
  <Pages>4</Pages>
  <Words>1774</Words>
  <Characters>10114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Producción de cacao y lacteos</dc:title>
  <dc:creator>Test</dc:creator>
  <cp:lastModifiedBy>Test</cp:lastModifiedBy>
  <cp:revision>14</cp:revision>
  <dcterms:created xsi:type="dcterms:W3CDTF">2013-08-30T12:03:00Z</dcterms:created>
  <dcterms:modified xsi:type="dcterms:W3CDTF">2013-09-11T22:10:00Z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0x01010046CF21643EE8D14686A648AA6DAD089200B424AEA4F5EEF243BD4F3D3A85E55287</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