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C256D" w14:textId="77777777" w:rsidR="008F67B0" w:rsidRPr="004C04ED" w:rsidRDefault="008F67B0" w:rsidP="004C04ED">
      <w:pPr>
        <w:spacing w:before="120" w:after="120"/>
        <w:jc w:val="center"/>
        <w:rPr>
          <w:b/>
          <w:sz w:val="28"/>
          <w:lang w:val="es-HN"/>
        </w:rPr>
      </w:pPr>
      <w:r w:rsidRPr="004C04ED">
        <w:rPr>
          <w:b/>
          <w:sz w:val="28"/>
          <w:lang w:val="es-HN"/>
        </w:rPr>
        <w:t>Enlace Electrónico No. 2: Cambios en la Matriz de Resultados</w:t>
      </w:r>
    </w:p>
    <w:tbl>
      <w:tblPr>
        <w:tblStyle w:val="TableGrid1"/>
        <w:tblW w:w="14590" w:type="dxa"/>
        <w:tblInd w:w="-851" w:type="dxa"/>
        <w:tblBorders>
          <w:top w:val="single" w:sz="12" w:space="0" w:color="auto"/>
          <w:left w:val="single" w:sz="12" w:space="0" w:color="auto"/>
          <w:bottom w:val="single" w:sz="12" w:space="0" w:color="auto"/>
          <w:right w:val="single" w:sz="12" w:space="0" w:color="auto"/>
          <w:insideV w:val="single" w:sz="2" w:space="0" w:color="auto"/>
        </w:tblBorders>
        <w:tblLook w:val="04A0" w:firstRow="1" w:lastRow="0" w:firstColumn="1" w:lastColumn="0" w:noHBand="0" w:noVBand="1"/>
      </w:tblPr>
      <w:tblGrid>
        <w:gridCol w:w="1027"/>
        <w:gridCol w:w="2644"/>
        <w:gridCol w:w="1047"/>
        <w:gridCol w:w="938"/>
        <w:gridCol w:w="897"/>
        <w:gridCol w:w="1007"/>
        <w:gridCol w:w="4206"/>
        <w:gridCol w:w="1426"/>
        <w:gridCol w:w="1398"/>
      </w:tblGrid>
      <w:tr w:rsidR="00D147D4" w:rsidRPr="002747CA" w14:paraId="1CC94988" w14:textId="77777777" w:rsidTr="0052395A">
        <w:trPr>
          <w:cantSplit/>
          <w:trHeight w:val="283"/>
          <w:tblHeader/>
        </w:trPr>
        <w:tc>
          <w:tcPr>
            <w:tcW w:w="1027" w:type="dxa"/>
            <w:vMerge w:val="restart"/>
            <w:shd w:val="clear" w:color="auto" w:fill="D9D9D9" w:themeFill="background1" w:themeFillShade="D9"/>
            <w:vAlign w:val="center"/>
          </w:tcPr>
          <w:p w14:paraId="63A49EDD" w14:textId="77777777" w:rsidR="00D147D4" w:rsidRPr="002747CA" w:rsidRDefault="00D147D4" w:rsidP="0052395A">
            <w:pPr>
              <w:ind w:left="-108" w:right="-74"/>
              <w:jc w:val="center"/>
              <w:rPr>
                <w:rFonts w:cs="Arial"/>
                <w:b/>
                <w:sz w:val="18"/>
                <w:szCs w:val="18"/>
                <w:lang w:val="es-HN"/>
              </w:rPr>
            </w:pPr>
            <w:r w:rsidRPr="002747CA">
              <w:rPr>
                <w:rFonts w:cs="Arial"/>
                <w:b/>
                <w:sz w:val="18"/>
                <w:szCs w:val="18"/>
                <w:lang w:val="es-HN"/>
              </w:rPr>
              <w:t>Sección de la MdR</w:t>
            </w:r>
          </w:p>
        </w:tc>
        <w:tc>
          <w:tcPr>
            <w:tcW w:w="10739" w:type="dxa"/>
            <w:gridSpan w:val="6"/>
            <w:shd w:val="clear" w:color="auto" w:fill="D9D9D9" w:themeFill="background1" w:themeFillShade="D9"/>
            <w:vAlign w:val="center"/>
          </w:tcPr>
          <w:p w14:paraId="3D6F5D13" w14:textId="77777777" w:rsidR="00D147D4" w:rsidRPr="002747CA" w:rsidRDefault="00D147D4" w:rsidP="00D147D4">
            <w:pPr>
              <w:jc w:val="center"/>
              <w:rPr>
                <w:rFonts w:cs="Arial"/>
                <w:b/>
                <w:sz w:val="18"/>
                <w:szCs w:val="18"/>
                <w:lang w:val="es-HN"/>
              </w:rPr>
            </w:pPr>
            <w:r w:rsidRPr="002747CA">
              <w:rPr>
                <w:rFonts w:cs="Arial"/>
                <w:b/>
                <w:sz w:val="18"/>
                <w:szCs w:val="18"/>
                <w:lang w:val="es-HN"/>
              </w:rPr>
              <w:t>Modificación</w:t>
            </w:r>
          </w:p>
        </w:tc>
        <w:tc>
          <w:tcPr>
            <w:tcW w:w="2824" w:type="dxa"/>
            <w:gridSpan w:val="2"/>
            <w:shd w:val="clear" w:color="auto" w:fill="D9D9D9" w:themeFill="background1" w:themeFillShade="D9"/>
            <w:vAlign w:val="center"/>
          </w:tcPr>
          <w:p w14:paraId="7452851B" w14:textId="77777777" w:rsidR="00D147D4" w:rsidRPr="002747CA" w:rsidRDefault="00D147D4" w:rsidP="00D147D4">
            <w:pPr>
              <w:jc w:val="center"/>
              <w:rPr>
                <w:rFonts w:cs="Arial"/>
                <w:b/>
                <w:sz w:val="18"/>
                <w:szCs w:val="18"/>
                <w:lang w:val="es-HN"/>
              </w:rPr>
            </w:pPr>
            <w:r w:rsidRPr="002747CA">
              <w:rPr>
                <w:rFonts w:cs="Arial"/>
                <w:b/>
                <w:sz w:val="18"/>
                <w:szCs w:val="18"/>
                <w:lang w:val="es-HN"/>
              </w:rPr>
              <w:t>Fecha</w:t>
            </w:r>
          </w:p>
        </w:tc>
      </w:tr>
      <w:tr w:rsidR="0052395A" w:rsidRPr="00984CBC" w14:paraId="17210ACB" w14:textId="77777777" w:rsidTr="0052395A">
        <w:trPr>
          <w:cantSplit/>
          <w:trHeight w:val="70"/>
          <w:tblHeader/>
        </w:trPr>
        <w:tc>
          <w:tcPr>
            <w:tcW w:w="1027" w:type="dxa"/>
            <w:vMerge/>
            <w:shd w:val="clear" w:color="auto" w:fill="D9D9D9" w:themeFill="background1" w:themeFillShade="D9"/>
            <w:vAlign w:val="center"/>
          </w:tcPr>
          <w:p w14:paraId="7116AF75" w14:textId="77777777" w:rsidR="00D147D4" w:rsidRPr="002747CA" w:rsidRDefault="00D147D4" w:rsidP="004C04ED">
            <w:pPr>
              <w:jc w:val="center"/>
              <w:rPr>
                <w:rFonts w:cs="Arial"/>
                <w:b/>
                <w:sz w:val="18"/>
                <w:szCs w:val="18"/>
                <w:lang w:val="es-HN"/>
              </w:rPr>
            </w:pPr>
          </w:p>
        </w:tc>
        <w:tc>
          <w:tcPr>
            <w:tcW w:w="2644" w:type="dxa"/>
            <w:shd w:val="clear" w:color="auto" w:fill="D9D9D9" w:themeFill="background1" w:themeFillShade="D9"/>
            <w:vAlign w:val="center"/>
          </w:tcPr>
          <w:p w14:paraId="0E561F88" w14:textId="77777777" w:rsidR="00D147D4" w:rsidRPr="002747CA" w:rsidRDefault="00D147D4" w:rsidP="004C04ED">
            <w:pPr>
              <w:jc w:val="center"/>
              <w:rPr>
                <w:rFonts w:cs="Arial"/>
                <w:b/>
                <w:sz w:val="18"/>
                <w:szCs w:val="18"/>
                <w:lang w:val="es-HN"/>
              </w:rPr>
            </w:pPr>
            <w:r w:rsidRPr="002747CA">
              <w:rPr>
                <w:rFonts w:cs="Arial"/>
                <w:b/>
                <w:sz w:val="18"/>
                <w:szCs w:val="18"/>
                <w:lang w:val="es-HN"/>
              </w:rPr>
              <w:t>Nombre</w:t>
            </w:r>
          </w:p>
        </w:tc>
        <w:tc>
          <w:tcPr>
            <w:tcW w:w="1047" w:type="dxa"/>
            <w:shd w:val="clear" w:color="auto" w:fill="D9D9D9" w:themeFill="background1" w:themeFillShade="D9"/>
            <w:vAlign w:val="center"/>
          </w:tcPr>
          <w:p w14:paraId="190459FC" w14:textId="77777777" w:rsidR="00D147D4" w:rsidRPr="002747CA" w:rsidRDefault="00D147D4" w:rsidP="004C04ED">
            <w:pPr>
              <w:jc w:val="center"/>
              <w:rPr>
                <w:rFonts w:cs="Arial"/>
                <w:b/>
                <w:sz w:val="18"/>
                <w:szCs w:val="18"/>
                <w:lang w:val="es-HN"/>
              </w:rPr>
            </w:pPr>
            <w:r w:rsidRPr="002747CA">
              <w:rPr>
                <w:rFonts w:cs="Arial"/>
                <w:b/>
                <w:sz w:val="18"/>
                <w:szCs w:val="18"/>
                <w:lang w:val="es-HN"/>
              </w:rPr>
              <w:t>Tipo</w:t>
            </w:r>
          </w:p>
        </w:tc>
        <w:tc>
          <w:tcPr>
            <w:tcW w:w="938" w:type="dxa"/>
            <w:shd w:val="clear" w:color="auto" w:fill="D9D9D9" w:themeFill="background1" w:themeFillShade="D9"/>
            <w:vAlign w:val="center"/>
          </w:tcPr>
          <w:p w14:paraId="56FCC727" w14:textId="77777777" w:rsidR="00D147D4" w:rsidRPr="002747CA" w:rsidRDefault="00D147D4" w:rsidP="004C04ED">
            <w:pPr>
              <w:jc w:val="center"/>
              <w:rPr>
                <w:rFonts w:cs="Arial"/>
                <w:b/>
                <w:sz w:val="18"/>
                <w:szCs w:val="18"/>
                <w:lang w:val="es-HN"/>
              </w:rPr>
            </w:pPr>
            <w:r w:rsidRPr="002747CA">
              <w:rPr>
                <w:rFonts w:cs="Arial"/>
                <w:b/>
                <w:sz w:val="18"/>
                <w:szCs w:val="18"/>
                <w:lang w:val="es-HN"/>
              </w:rPr>
              <w:t>Línea de Base</w:t>
            </w:r>
          </w:p>
        </w:tc>
        <w:tc>
          <w:tcPr>
            <w:tcW w:w="897" w:type="dxa"/>
            <w:shd w:val="clear" w:color="auto" w:fill="D9D9D9" w:themeFill="background1" w:themeFillShade="D9"/>
            <w:vAlign w:val="center"/>
          </w:tcPr>
          <w:p w14:paraId="3A70FC42" w14:textId="77777777" w:rsidR="00D147D4" w:rsidRPr="002747CA" w:rsidRDefault="00D147D4" w:rsidP="004C04ED">
            <w:pPr>
              <w:jc w:val="center"/>
              <w:rPr>
                <w:rFonts w:cs="Arial"/>
                <w:b/>
                <w:sz w:val="18"/>
                <w:szCs w:val="18"/>
                <w:lang w:val="es-HN"/>
              </w:rPr>
            </w:pPr>
            <w:r w:rsidRPr="002747CA">
              <w:rPr>
                <w:rFonts w:cs="Arial"/>
                <w:b/>
                <w:sz w:val="18"/>
                <w:szCs w:val="18"/>
                <w:lang w:val="es-HN"/>
              </w:rPr>
              <w:t>Meta Original</w:t>
            </w:r>
          </w:p>
        </w:tc>
        <w:tc>
          <w:tcPr>
            <w:tcW w:w="1007" w:type="dxa"/>
            <w:shd w:val="clear" w:color="auto" w:fill="D9D9D9" w:themeFill="background1" w:themeFillShade="D9"/>
            <w:vAlign w:val="center"/>
          </w:tcPr>
          <w:p w14:paraId="1B8A48B2" w14:textId="77777777" w:rsidR="00D147D4" w:rsidRPr="002747CA" w:rsidRDefault="00D147D4" w:rsidP="004C04ED">
            <w:pPr>
              <w:jc w:val="center"/>
              <w:rPr>
                <w:rFonts w:cs="Arial"/>
                <w:b/>
                <w:sz w:val="18"/>
                <w:szCs w:val="18"/>
                <w:lang w:val="es-HN"/>
              </w:rPr>
            </w:pPr>
            <w:r w:rsidRPr="002747CA">
              <w:rPr>
                <w:rFonts w:cs="Arial"/>
                <w:b/>
                <w:sz w:val="18"/>
                <w:szCs w:val="18"/>
                <w:lang w:val="es-HN"/>
              </w:rPr>
              <w:t>Meta Revisada</w:t>
            </w:r>
          </w:p>
        </w:tc>
        <w:tc>
          <w:tcPr>
            <w:tcW w:w="4206" w:type="dxa"/>
            <w:shd w:val="clear" w:color="auto" w:fill="D9D9D9" w:themeFill="background1" w:themeFillShade="D9"/>
            <w:vAlign w:val="center"/>
          </w:tcPr>
          <w:p w14:paraId="23138A8A" w14:textId="77777777" w:rsidR="00D147D4" w:rsidRPr="002747CA" w:rsidRDefault="00D147D4" w:rsidP="004C04ED">
            <w:pPr>
              <w:jc w:val="center"/>
              <w:rPr>
                <w:rFonts w:cs="Arial"/>
                <w:b/>
                <w:sz w:val="18"/>
                <w:szCs w:val="18"/>
                <w:lang w:val="es-HN"/>
              </w:rPr>
            </w:pPr>
            <w:r w:rsidRPr="002747CA">
              <w:rPr>
                <w:rFonts w:cs="Arial"/>
                <w:b/>
                <w:sz w:val="18"/>
                <w:szCs w:val="18"/>
                <w:lang w:val="es-HN"/>
              </w:rPr>
              <w:t>Justificación</w:t>
            </w:r>
          </w:p>
        </w:tc>
        <w:tc>
          <w:tcPr>
            <w:tcW w:w="1426" w:type="dxa"/>
            <w:shd w:val="clear" w:color="auto" w:fill="D9D9D9" w:themeFill="background1" w:themeFillShade="D9"/>
            <w:vAlign w:val="center"/>
          </w:tcPr>
          <w:p w14:paraId="3FB69A9D" w14:textId="77777777" w:rsidR="00D147D4" w:rsidRPr="002747CA" w:rsidRDefault="00D147D4" w:rsidP="004C04ED">
            <w:pPr>
              <w:jc w:val="center"/>
              <w:rPr>
                <w:rFonts w:cs="Arial"/>
                <w:b/>
                <w:sz w:val="18"/>
                <w:szCs w:val="18"/>
                <w:lang w:val="es-HN"/>
              </w:rPr>
            </w:pPr>
            <w:r w:rsidRPr="002747CA">
              <w:rPr>
                <w:rFonts w:cs="Arial"/>
                <w:b/>
                <w:sz w:val="18"/>
                <w:szCs w:val="18"/>
                <w:lang w:val="es-HN"/>
              </w:rPr>
              <w:t>Modificación</w:t>
            </w:r>
          </w:p>
        </w:tc>
        <w:tc>
          <w:tcPr>
            <w:tcW w:w="1398" w:type="dxa"/>
            <w:shd w:val="clear" w:color="auto" w:fill="D9D9D9" w:themeFill="background1" w:themeFillShade="D9"/>
            <w:vAlign w:val="center"/>
          </w:tcPr>
          <w:p w14:paraId="5B5641A4" w14:textId="77777777" w:rsidR="00D147D4" w:rsidRPr="002747CA" w:rsidRDefault="00D147D4" w:rsidP="00D147D4">
            <w:pPr>
              <w:jc w:val="center"/>
              <w:rPr>
                <w:rFonts w:cs="Arial"/>
                <w:b/>
                <w:sz w:val="18"/>
                <w:szCs w:val="18"/>
                <w:lang w:val="es-HN"/>
              </w:rPr>
            </w:pPr>
            <w:r w:rsidRPr="002747CA">
              <w:rPr>
                <w:rFonts w:cs="Arial"/>
                <w:b/>
                <w:sz w:val="18"/>
                <w:szCs w:val="18"/>
                <w:lang w:val="es-HN"/>
              </w:rPr>
              <w:t>Acuerdo de con el OE</w:t>
            </w:r>
          </w:p>
        </w:tc>
      </w:tr>
      <w:tr w:rsidR="007F400A" w:rsidRPr="002747CA" w14:paraId="3380AF4F" w14:textId="77777777" w:rsidTr="008E2484">
        <w:trPr>
          <w:cantSplit/>
          <w:trHeight w:val="305"/>
        </w:trPr>
        <w:tc>
          <w:tcPr>
            <w:tcW w:w="1027" w:type="dxa"/>
            <w:vAlign w:val="center"/>
          </w:tcPr>
          <w:p w14:paraId="69A7DBE5" w14:textId="77777777" w:rsidR="004C04ED" w:rsidRPr="002747CA" w:rsidRDefault="004C04ED" w:rsidP="00FB64F9">
            <w:pPr>
              <w:rPr>
                <w:rFonts w:cs="Arial"/>
                <w:sz w:val="18"/>
                <w:szCs w:val="18"/>
                <w:lang w:val="es-HN"/>
              </w:rPr>
            </w:pPr>
            <w:r w:rsidRPr="002747CA">
              <w:rPr>
                <w:rFonts w:cs="Arial"/>
                <w:sz w:val="18"/>
                <w:szCs w:val="18"/>
                <w:lang w:val="es-HN"/>
              </w:rPr>
              <w:t>Resultado</w:t>
            </w:r>
          </w:p>
        </w:tc>
        <w:tc>
          <w:tcPr>
            <w:tcW w:w="2644" w:type="dxa"/>
            <w:vAlign w:val="center"/>
          </w:tcPr>
          <w:p w14:paraId="67ABCB56" w14:textId="77777777" w:rsidR="00FB64F9" w:rsidRPr="002747CA" w:rsidRDefault="00D147D4" w:rsidP="00954A8A">
            <w:pPr>
              <w:rPr>
                <w:rFonts w:cs="Arial"/>
                <w:sz w:val="18"/>
                <w:szCs w:val="18"/>
                <w:lang w:val="es-HN"/>
              </w:rPr>
            </w:pPr>
            <w:r w:rsidRPr="002747CA">
              <w:rPr>
                <w:rFonts w:cs="Arial"/>
                <w:sz w:val="18"/>
                <w:szCs w:val="18"/>
                <w:lang w:val="es-HN"/>
              </w:rPr>
              <w:t xml:space="preserve">Hogares con acceso a servicio adecuado de </w:t>
            </w:r>
            <w:r w:rsidR="00FB64F9" w:rsidRPr="002747CA">
              <w:rPr>
                <w:rFonts w:cs="Arial"/>
                <w:sz w:val="18"/>
                <w:szCs w:val="18"/>
                <w:lang w:val="es-HN"/>
              </w:rPr>
              <w:t>agua en comunidades rurales</w:t>
            </w:r>
          </w:p>
          <w:p w14:paraId="44A498B4" w14:textId="77777777" w:rsidR="004C04ED" w:rsidRPr="002747CA" w:rsidRDefault="00D147D4" w:rsidP="00954A8A">
            <w:pPr>
              <w:rPr>
                <w:rFonts w:cs="Arial"/>
                <w:sz w:val="18"/>
                <w:szCs w:val="18"/>
                <w:lang w:val="es-HN"/>
              </w:rPr>
            </w:pPr>
            <w:r w:rsidRPr="002747CA">
              <w:rPr>
                <w:rFonts w:cs="Arial"/>
                <w:sz w:val="18"/>
                <w:szCs w:val="18"/>
                <w:lang w:val="es-HN"/>
              </w:rPr>
              <w:t>&lt; 2.000 habitantes</w:t>
            </w:r>
          </w:p>
        </w:tc>
        <w:tc>
          <w:tcPr>
            <w:tcW w:w="1047" w:type="dxa"/>
            <w:vAlign w:val="center"/>
          </w:tcPr>
          <w:p w14:paraId="798311E5" w14:textId="77777777" w:rsidR="004C04ED" w:rsidRPr="002747CA" w:rsidRDefault="00D147D4" w:rsidP="0052395A">
            <w:pPr>
              <w:jc w:val="center"/>
              <w:rPr>
                <w:rFonts w:cs="Arial"/>
                <w:sz w:val="18"/>
                <w:szCs w:val="18"/>
                <w:lang w:val="es-HN"/>
              </w:rPr>
            </w:pPr>
            <w:r w:rsidRPr="002747CA">
              <w:rPr>
                <w:rFonts w:cs="Arial"/>
                <w:sz w:val="18"/>
                <w:szCs w:val="18"/>
                <w:lang w:val="es-HN"/>
              </w:rPr>
              <w:t>Meta al final de la Operación</w:t>
            </w:r>
          </w:p>
        </w:tc>
        <w:tc>
          <w:tcPr>
            <w:tcW w:w="938" w:type="dxa"/>
            <w:vAlign w:val="center"/>
          </w:tcPr>
          <w:p w14:paraId="34527C99" w14:textId="718D8BF1" w:rsidR="004C04ED" w:rsidRPr="002747CA" w:rsidRDefault="00D147D4" w:rsidP="00FB64F9">
            <w:pPr>
              <w:pStyle w:val="Default"/>
              <w:jc w:val="center"/>
              <w:rPr>
                <w:rFonts w:ascii="Arial" w:hAnsi="Arial" w:cs="Arial"/>
                <w:color w:val="auto"/>
                <w:sz w:val="18"/>
                <w:szCs w:val="18"/>
                <w:lang w:val="es-HN"/>
              </w:rPr>
            </w:pPr>
            <w:r w:rsidRPr="002747CA">
              <w:rPr>
                <w:rFonts w:ascii="Arial" w:hAnsi="Arial" w:cs="Arial"/>
                <w:sz w:val="18"/>
                <w:szCs w:val="18"/>
                <w:lang w:val="es-HN"/>
              </w:rPr>
              <w:t>639</w:t>
            </w:r>
            <w:r w:rsidR="00984CBC">
              <w:rPr>
                <w:rFonts w:ascii="Arial" w:hAnsi="Arial" w:cs="Arial"/>
                <w:sz w:val="18"/>
                <w:szCs w:val="18"/>
                <w:lang w:val="es-HN"/>
              </w:rPr>
              <w:t>.</w:t>
            </w:r>
            <w:r w:rsidRPr="002747CA">
              <w:rPr>
                <w:rFonts w:ascii="Arial" w:hAnsi="Arial" w:cs="Arial"/>
                <w:sz w:val="18"/>
                <w:szCs w:val="18"/>
                <w:lang w:val="es-HN"/>
              </w:rPr>
              <w:t>974</w:t>
            </w:r>
          </w:p>
        </w:tc>
        <w:tc>
          <w:tcPr>
            <w:tcW w:w="897" w:type="dxa"/>
            <w:vAlign w:val="center"/>
          </w:tcPr>
          <w:p w14:paraId="5B82BD8A" w14:textId="74CE8893" w:rsidR="004C04ED" w:rsidRPr="002747CA" w:rsidRDefault="00D147D4" w:rsidP="00FB64F9">
            <w:pPr>
              <w:pStyle w:val="Default"/>
              <w:jc w:val="center"/>
              <w:rPr>
                <w:rFonts w:ascii="Arial" w:hAnsi="Arial" w:cs="Arial"/>
                <w:color w:val="auto"/>
                <w:sz w:val="18"/>
                <w:szCs w:val="18"/>
                <w:lang w:val="es-HN"/>
              </w:rPr>
            </w:pPr>
            <w:r w:rsidRPr="002747CA">
              <w:rPr>
                <w:rFonts w:ascii="Arial" w:hAnsi="Arial" w:cs="Arial"/>
                <w:sz w:val="18"/>
                <w:szCs w:val="18"/>
                <w:lang w:val="es-HN"/>
              </w:rPr>
              <w:t>655</w:t>
            </w:r>
            <w:r w:rsidR="00984CBC">
              <w:rPr>
                <w:rFonts w:ascii="Arial" w:hAnsi="Arial" w:cs="Arial"/>
                <w:sz w:val="18"/>
                <w:szCs w:val="18"/>
                <w:lang w:val="es-HN"/>
              </w:rPr>
              <w:t>.</w:t>
            </w:r>
            <w:r w:rsidRPr="002747CA">
              <w:rPr>
                <w:rFonts w:ascii="Arial" w:hAnsi="Arial" w:cs="Arial"/>
                <w:sz w:val="18"/>
                <w:szCs w:val="18"/>
                <w:lang w:val="es-HN"/>
              </w:rPr>
              <w:t>874</w:t>
            </w:r>
            <w:r w:rsidRPr="002747CA">
              <w:rPr>
                <w:rFonts w:ascii="Arial" w:hAnsi="Arial" w:cs="Arial"/>
                <w:sz w:val="18"/>
                <w:szCs w:val="18"/>
                <w:lang w:val="es-HN"/>
              </w:rPr>
              <w:br/>
              <w:t>(15</w:t>
            </w:r>
            <w:r w:rsidR="00984CBC">
              <w:rPr>
                <w:rFonts w:ascii="Arial" w:hAnsi="Arial" w:cs="Arial"/>
                <w:sz w:val="18"/>
                <w:szCs w:val="18"/>
                <w:lang w:val="es-HN"/>
              </w:rPr>
              <w:t>.</w:t>
            </w:r>
            <w:r w:rsidRPr="002747CA">
              <w:rPr>
                <w:rFonts w:ascii="Arial" w:hAnsi="Arial" w:cs="Arial"/>
                <w:sz w:val="18"/>
                <w:szCs w:val="18"/>
                <w:lang w:val="es-HN"/>
              </w:rPr>
              <w:t>900)</w:t>
            </w:r>
          </w:p>
        </w:tc>
        <w:tc>
          <w:tcPr>
            <w:tcW w:w="1007" w:type="dxa"/>
            <w:vAlign w:val="center"/>
          </w:tcPr>
          <w:p w14:paraId="41AE4DAB" w14:textId="77777777" w:rsidR="004C04ED" w:rsidRPr="002747CA" w:rsidRDefault="00954A8A" w:rsidP="00954A8A">
            <w:pPr>
              <w:spacing w:before="40" w:after="40"/>
              <w:ind w:left="-48" w:right="-7"/>
              <w:jc w:val="center"/>
              <w:rPr>
                <w:rFonts w:cs="Arial"/>
                <w:color w:val="000000" w:themeColor="text1"/>
                <w:sz w:val="18"/>
                <w:szCs w:val="18"/>
                <w:lang w:val="es-HN"/>
              </w:rPr>
            </w:pPr>
            <w:r w:rsidRPr="002747CA">
              <w:rPr>
                <w:rFonts w:cs="Arial"/>
                <w:color w:val="000000" w:themeColor="text1"/>
                <w:sz w:val="18"/>
                <w:szCs w:val="18"/>
                <w:lang w:val="es-HN"/>
              </w:rPr>
              <w:t>653,756</w:t>
            </w:r>
          </w:p>
        </w:tc>
        <w:tc>
          <w:tcPr>
            <w:tcW w:w="4206" w:type="dxa"/>
            <w:vAlign w:val="center"/>
          </w:tcPr>
          <w:p w14:paraId="56E68099" w14:textId="77777777" w:rsidR="004C04ED" w:rsidRPr="002747CA" w:rsidRDefault="00D147D4" w:rsidP="00D158A3">
            <w:pPr>
              <w:pStyle w:val="Default"/>
              <w:spacing w:before="40" w:after="40"/>
              <w:rPr>
                <w:rFonts w:ascii="Arial" w:hAnsi="Arial" w:cs="Arial"/>
                <w:color w:val="auto"/>
                <w:sz w:val="18"/>
                <w:szCs w:val="18"/>
                <w:lang w:val="es-HN"/>
              </w:rPr>
            </w:pPr>
            <w:r w:rsidRPr="002747CA">
              <w:rPr>
                <w:rFonts w:ascii="Arial" w:hAnsi="Arial" w:cs="Arial"/>
                <w:color w:val="000000" w:themeColor="text1"/>
                <w:sz w:val="18"/>
                <w:szCs w:val="18"/>
                <w:lang w:val="es-HN"/>
              </w:rPr>
              <w:t>La proyección del número de hogares a beneficiar se recalculó a partir de los costos reales y expectativas de numero de sistemas a construir</w:t>
            </w:r>
            <w:r w:rsidR="00954A8A" w:rsidRPr="002747CA">
              <w:rPr>
                <w:rFonts w:ascii="Arial" w:hAnsi="Arial" w:cs="Arial"/>
                <w:color w:val="000000" w:themeColor="text1"/>
                <w:sz w:val="18"/>
                <w:szCs w:val="18"/>
                <w:lang w:val="es-HN"/>
              </w:rPr>
              <w:t>. Originalmente la meta medía no sólo el incremento neto (entre paréntesis) sino también el total tomando el cuenta dicho incremento.</w:t>
            </w:r>
          </w:p>
        </w:tc>
        <w:tc>
          <w:tcPr>
            <w:tcW w:w="1426" w:type="dxa"/>
            <w:vAlign w:val="center"/>
          </w:tcPr>
          <w:p w14:paraId="63E04180" w14:textId="77777777" w:rsidR="004C04ED" w:rsidRPr="002747CA" w:rsidRDefault="001A127E"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2D3DB620" w14:textId="77777777" w:rsidR="004C04ED" w:rsidRPr="002747CA" w:rsidRDefault="001A127E"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1A127E" w:rsidRPr="002747CA" w14:paraId="314DC635" w14:textId="77777777" w:rsidTr="008E2484">
        <w:trPr>
          <w:cantSplit/>
          <w:trHeight w:val="305"/>
        </w:trPr>
        <w:tc>
          <w:tcPr>
            <w:tcW w:w="1027" w:type="dxa"/>
            <w:vAlign w:val="center"/>
          </w:tcPr>
          <w:p w14:paraId="6AD240B0" w14:textId="77777777" w:rsidR="001A127E" w:rsidRPr="002747CA" w:rsidRDefault="001A127E" w:rsidP="001A127E">
            <w:pPr>
              <w:rPr>
                <w:rFonts w:cs="Arial"/>
                <w:sz w:val="18"/>
                <w:szCs w:val="18"/>
                <w:lang w:val="es-HN"/>
              </w:rPr>
            </w:pPr>
            <w:r w:rsidRPr="002747CA">
              <w:rPr>
                <w:rFonts w:cs="Arial"/>
                <w:sz w:val="18"/>
                <w:szCs w:val="18"/>
                <w:lang w:val="es-HN"/>
              </w:rPr>
              <w:t>Resultado</w:t>
            </w:r>
          </w:p>
        </w:tc>
        <w:tc>
          <w:tcPr>
            <w:tcW w:w="2644" w:type="dxa"/>
            <w:vAlign w:val="center"/>
          </w:tcPr>
          <w:p w14:paraId="1F089BB9" w14:textId="77777777" w:rsidR="001A127E" w:rsidRPr="002747CA" w:rsidRDefault="001A127E" w:rsidP="00954A8A">
            <w:pPr>
              <w:spacing w:before="40" w:after="40"/>
              <w:rPr>
                <w:rFonts w:cs="Arial"/>
                <w:sz w:val="18"/>
                <w:szCs w:val="18"/>
                <w:lang w:val="es-HN"/>
              </w:rPr>
            </w:pPr>
            <w:r w:rsidRPr="002747CA">
              <w:rPr>
                <w:rFonts w:cs="Arial"/>
                <w:sz w:val="18"/>
                <w:szCs w:val="18"/>
                <w:lang w:val="es-HN"/>
              </w:rPr>
              <w:t xml:space="preserve">Hogares con solución individual de saneamiento (letrinas, fosas sépticas, etc.) en comunidades rurales </w:t>
            </w:r>
          </w:p>
          <w:p w14:paraId="284ABE62" w14:textId="77777777" w:rsidR="001A127E" w:rsidRPr="002747CA" w:rsidRDefault="001A127E" w:rsidP="00954A8A">
            <w:pPr>
              <w:spacing w:before="40" w:after="40"/>
              <w:rPr>
                <w:rFonts w:cs="Arial"/>
                <w:b/>
                <w:bCs/>
                <w:color w:val="000000"/>
                <w:sz w:val="18"/>
                <w:szCs w:val="18"/>
                <w:lang w:val="es-HN"/>
              </w:rPr>
            </w:pPr>
            <w:r w:rsidRPr="002747CA">
              <w:rPr>
                <w:rFonts w:cs="Arial"/>
                <w:sz w:val="18"/>
                <w:szCs w:val="18"/>
                <w:lang w:val="es-HN"/>
              </w:rPr>
              <w:t>&lt; 2.000 hab.</w:t>
            </w:r>
          </w:p>
        </w:tc>
        <w:tc>
          <w:tcPr>
            <w:tcW w:w="1047" w:type="dxa"/>
            <w:vAlign w:val="center"/>
          </w:tcPr>
          <w:p w14:paraId="56767597" w14:textId="77777777" w:rsidR="001A127E" w:rsidRPr="002747CA" w:rsidRDefault="001A127E" w:rsidP="001A127E">
            <w:pPr>
              <w:jc w:val="center"/>
              <w:rPr>
                <w:rFonts w:cs="Arial"/>
                <w:sz w:val="18"/>
                <w:szCs w:val="18"/>
                <w:lang w:val="es-HN"/>
              </w:rPr>
            </w:pPr>
            <w:r w:rsidRPr="002747CA">
              <w:rPr>
                <w:rFonts w:cs="Arial"/>
                <w:sz w:val="18"/>
                <w:szCs w:val="18"/>
                <w:lang w:val="es-HN"/>
              </w:rPr>
              <w:t>Meta al final de la Operación</w:t>
            </w:r>
          </w:p>
        </w:tc>
        <w:tc>
          <w:tcPr>
            <w:tcW w:w="938" w:type="dxa"/>
            <w:vAlign w:val="center"/>
          </w:tcPr>
          <w:p w14:paraId="198A0058" w14:textId="5280FEBE" w:rsidR="001A127E" w:rsidRPr="002747CA" w:rsidRDefault="001A127E" w:rsidP="001A127E">
            <w:pPr>
              <w:spacing w:before="40" w:after="40"/>
              <w:ind w:left="-48" w:right="-7"/>
              <w:jc w:val="center"/>
              <w:rPr>
                <w:rFonts w:cs="Arial"/>
                <w:color w:val="000000" w:themeColor="text1"/>
                <w:sz w:val="18"/>
                <w:szCs w:val="18"/>
                <w:lang w:val="es-HN"/>
              </w:rPr>
            </w:pPr>
            <w:r w:rsidRPr="002747CA">
              <w:rPr>
                <w:rFonts w:cs="Arial"/>
                <w:sz w:val="18"/>
                <w:szCs w:val="18"/>
                <w:lang w:val="es-HN"/>
              </w:rPr>
              <w:t>660</w:t>
            </w:r>
            <w:r w:rsidR="00984CBC">
              <w:rPr>
                <w:rFonts w:cs="Arial"/>
                <w:sz w:val="18"/>
                <w:szCs w:val="18"/>
                <w:lang w:val="es-HN"/>
              </w:rPr>
              <w:t>.</w:t>
            </w:r>
            <w:r w:rsidRPr="002747CA">
              <w:rPr>
                <w:rFonts w:cs="Arial"/>
                <w:sz w:val="18"/>
                <w:szCs w:val="18"/>
                <w:lang w:val="es-HN"/>
              </w:rPr>
              <w:t>968</w:t>
            </w:r>
          </w:p>
        </w:tc>
        <w:tc>
          <w:tcPr>
            <w:tcW w:w="897" w:type="dxa"/>
            <w:vAlign w:val="center"/>
          </w:tcPr>
          <w:p w14:paraId="5E3BE551" w14:textId="77777777" w:rsidR="001A127E" w:rsidRPr="002747CA" w:rsidRDefault="001A127E" w:rsidP="001A127E">
            <w:pPr>
              <w:spacing w:before="40" w:after="40"/>
              <w:ind w:left="-48" w:right="-7"/>
              <w:jc w:val="center"/>
              <w:rPr>
                <w:rFonts w:cs="Arial"/>
                <w:color w:val="000000" w:themeColor="text1"/>
                <w:sz w:val="18"/>
                <w:szCs w:val="18"/>
                <w:lang w:val="es-HN"/>
              </w:rPr>
            </w:pPr>
            <w:r w:rsidRPr="002747CA">
              <w:rPr>
                <w:rFonts w:cs="Arial"/>
                <w:sz w:val="18"/>
                <w:szCs w:val="18"/>
                <w:lang w:val="es-HN"/>
              </w:rPr>
              <w:t>676,868</w:t>
            </w:r>
            <w:r w:rsidRPr="002747CA">
              <w:rPr>
                <w:rFonts w:cs="Arial"/>
                <w:sz w:val="18"/>
                <w:szCs w:val="18"/>
                <w:lang w:val="es-HN"/>
              </w:rPr>
              <w:br/>
              <w:t>(15,900)</w:t>
            </w:r>
          </w:p>
        </w:tc>
        <w:tc>
          <w:tcPr>
            <w:tcW w:w="1007" w:type="dxa"/>
            <w:vAlign w:val="center"/>
          </w:tcPr>
          <w:p w14:paraId="3AD93ADA" w14:textId="20554605" w:rsidR="001A127E" w:rsidRPr="002747CA" w:rsidRDefault="001A127E" w:rsidP="00954A8A">
            <w:pPr>
              <w:spacing w:before="40" w:after="40"/>
              <w:ind w:left="-48" w:right="-7"/>
              <w:jc w:val="center"/>
              <w:rPr>
                <w:rFonts w:cs="Arial"/>
                <w:color w:val="000000" w:themeColor="text1"/>
                <w:sz w:val="18"/>
                <w:szCs w:val="18"/>
                <w:lang w:val="es-HN"/>
              </w:rPr>
            </w:pPr>
            <w:r w:rsidRPr="002747CA">
              <w:rPr>
                <w:rFonts w:cs="Arial"/>
                <w:color w:val="000000" w:themeColor="text1"/>
                <w:sz w:val="18"/>
                <w:szCs w:val="18"/>
                <w:lang w:val="es-HN"/>
              </w:rPr>
              <w:t>666</w:t>
            </w:r>
            <w:r w:rsidR="00984CBC">
              <w:rPr>
                <w:rFonts w:cs="Arial"/>
                <w:color w:val="000000" w:themeColor="text1"/>
                <w:sz w:val="18"/>
                <w:szCs w:val="18"/>
                <w:lang w:val="es-HN"/>
              </w:rPr>
              <w:t>.</w:t>
            </w:r>
            <w:r w:rsidRPr="002747CA">
              <w:rPr>
                <w:rFonts w:cs="Arial"/>
                <w:color w:val="000000" w:themeColor="text1"/>
                <w:sz w:val="18"/>
                <w:szCs w:val="18"/>
                <w:lang w:val="es-HN"/>
              </w:rPr>
              <w:t>142</w:t>
            </w:r>
          </w:p>
        </w:tc>
        <w:tc>
          <w:tcPr>
            <w:tcW w:w="4206" w:type="dxa"/>
            <w:vAlign w:val="center"/>
          </w:tcPr>
          <w:p w14:paraId="3AB3A2A6" w14:textId="77777777" w:rsidR="001A127E" w:rsidRPr="002747CA" w:rsidRDefault="001A127E" w:rsidP="001A127E">
            <w:pPr>
              <w:spacing w:before="40" w:after="40"/>
              <w:ind w:right="-6"/>
              <w:rPr>
                <w:rFonts w:cs="Arial"/>
                <w:sz w:val="18"/>
                <w:szCs w:val="18"/>
                <w:lang w:val="es-HN"/>
              </w:rPr>
            </w:pPr>
            <w:r w:rsidRPr="002747CA">
              <w:rPr>
                <w:rFonts w:cs="Arial"/>
                <w:color w:val="000000" w:themeColor="text1"/>
                <w:sz w:val="18"/>
                <w:szCs w:val="18"/>
                <w:lang w:val="es-HN"/>
              </w:rPr>
              <w:t>La proyección del número de hogares a beneficiar se recalculó a partir de los costos reales y expectativas de numero de sistemas y soluciones a construir</w:t>
            </w:r>
            <w:r w:rsidR="00954A8A" w:rsidRPr="002747CA">
              <w:rPr>
                <w:rFonts w:cs="Arial"/>
                <w:color w:val="000000" w:themeColor="text1"/>
                <w:sz w:val="18"/>
                <w:szCs w:val="18"/>
                <w:lang w:val="es-HN"/>
              </w:rPr>
              <w:t>. Originalmente la meta medía no sólo el incremento neto (entre paréntesis) sino también el total tomando el cuenta dicho incremento.</w:t>
            </w:r>
          </w:p>
        </w:tc>
        <w:tc>
          <w:tcPr>
            <w:tcW w:w="1426" w:type="dxa"/>
            <w:vAlign w:val="center"/>
          </w:tcPr>
          <w:p w14:paraId="187391E6" w14:textId="77777777" w:rsidR="001A127E" w:rsidRPr="002747CA" w:rsidRDefault="001A127E"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24B0E4FF" w14:textId="77777777" w:rsidR="001A127E" w:rsidRPr="002747CA" w:rsidRDefault="001A127E"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1A127E" w:rsidRPr="002747CA" w14:paraId="3EA89646" w14:textId="77777777" w:rsidTr="008E2484">
        <w:trPr>
          <w:cantSplit/>
          <w:trHeight w:val="1562"/>
        </w:trPr>
        <w:tc>
          <w:tcPr>
            <w:tcW w:w="1027" w:type="dxa"/>
            <w:vAlign w:val="center"/>
          </w:tcPr>
          <w:p w14:paraId="0FB9A23E" w14:textId="77777777" w:rsidR="001A127E" w:rsidRPr="002747CA" w:rsidRDefault="001A127E" w:rsidP="001A127E">
            <w:pPr>
              <w:rPr>
                <w:rFonts w:cs="Arial"/>
                <w:sz w:val="18"/>
                <w:szCs w:val="18"/>
                <w:lang w:val="es-HN"/>
              </w:rPr>
            </w:pPr>
            <w:r w:rsidRPr="002747CA">
              <w:rPr>
                <w:rFonts w:cs="Arial"/>
                <w:sz w:val="18"/>
                <w:szCs w:val="18"/>
                <w:lang w:val="es-HN"/>
              </w:rPr>
              <w:t>Resultado</w:t>
            </w:r>
          </w:p>
        </w:tc>
        <w:tc>
          <w:tcPr>
            <w:tcW w:w="2644" w:type="dxa"/>
            <w:vAlign w:val="center"/>
          </w:tcPr>
          <w:p w14:paraId="5F91E6D5" w14:textId="77777777" w:rsidR="001A127E" w:rsidRPr="002747CA" w:rsidRDefault="001A127E" w:rsidP="00954A8A">
            <w:pPr>
              <w:spacing w:before="40" w:after="40"/>
              <w:rPr>
                <w:rFonts w:cs="Arial"/>
                <w:sz w:val="18"/>
                <w:szCs w:val="18"/>
                <w:lang w:val="es-HN"/>
              </w:rPr>
            </w:pPr>
            <w:r w:rsidRPr="002747CA">
              <w:rPr>
                <w:rFonts w:cs="Arial"/>
                <w:sz w:val="18"/>
                <w:szCs w:val="18"/>
                <w:lang w:val="es-HN"/>
              </w:rPr>
              <w:t>Conexiones domiciliarias de alcantarillado sanitario</w:t>
            </w:r>
          </w:p>
        </w:tc>
        <w:tc>
          <w:tcPr>
            <w:tcW w:w="1047" w:type="dxa"/>
            <w:vAlign w:val="center"/>
          </w:tcPr>
          <w:p w14:paraId="7B517010" w14:textId="77777777" w:rsidR="001A127E" w:rsidRPr="002747CA" w:rsidRDefault="00954A8A" w:rsidP="001A127E">
            <w:pPr>
              <w:jc w:val="center"/>
              <w:rPr>
                <w:rFonts w:cs="Arial"/>
                <w:sz w:val="18"/>
                <w:szCs w:val="18"/>
                <w:lang w:val="es-HN"/>
              </w:rPr>
            </w:pPr>
            <w:r w:rsidRPr="002747CA">
              <w:rPr>
                <w:rFonts w:cs="Arial"/>
                <w:sz w:val="18"/>
                <w:szCs w:val="18"/>
                <w:lang w:val="es-HN"/>
              </w:rPr>
              <w:t>Nuevo indicador</w:t>
            </w:r>
          </w:p>
        </w:tc>
        <w:tc>
          <w:tcPr>
            <w:tcW w:w="938" w:type="dxa"/>
            <w:vAlign w:val="center"/>
          </w:tcPr>
          <w:p w14:paraId="7E450B39" w14:textId="77777777" w:rsidR="001A127E" w:rsidRPr="002747CA" w:rsidRDefault="001A127E" w:rsidP="001A127E">
            <w:pPr>
              <w:pStyle w:val="Default"/>
              <w:rPr>
                <w:rFonts w:ascii="Arial" w:hAnsi="Arial" w:cs="Arial"/>
                <w:color w:val="auto"/>
                <w:sz w:val="18"/>
                <w:szCs w:val="18"/>
                <w:lang w:val="es-HN"/>
              </w:rPr>
            </w:pPr>
          </w:p>
        </w:tc>
        <w:tc>
          <w:tcPr>
            <w:tcW w:w="897" w:type="dxa"/>
            <w:vAlign w:val="center"/>
          </w:tcPr>
          <w:p w14:paraId="39CC7BD3" w14:textId="77777777" w:rsidR="001A127E" w:rsidRPr="002747CA" w:rsidRDefault="001A127E" w:rsidP="001A127E">
            <w:pPr>
              <w:pStyle w:val="Default"/>
              <w:rPr>
                <w:rFonts w:ascii="Arial" w:hAnsi="Arial" w:cs="Arial"/>
                <w:color w:val="auto"/>
                <w:sz w:val="18"/>
                <w:szCs w:val="18"/>
                <w:lang w:val="es-HN"/>
              </w:rPr>
            </w:pPr>
          </w:p>
        </w:tc>
        <w:tc>
          <w:tcPr>
            <w:tcW w:w="1007" w:type="dxa"/>
            <w:vAlign w:val="center"/>
          </w:tcPr>
          <w:p w14:paraId="74B719B4" w14:textId="01D992F6" w:rsidR="001A127E" w:rsidRPr="002747CA" w:rsidRDefault="001A127E" w:rsidP="001A127E">
            <w:pPr>
              <w:spacing w:before="40" w:after="40"/>
              <w:ind w:left="-48" w:right="-7"/>
              <w:jc w:val="center"/>
              <w:rPr>
                <w:rFonts w:cs="Arial"/>
                <w:color w:val="000000" w:themeColor="text1"/>
                <w:sz w:val="18"/>
                <w:szCs w:val="18"/>
                <w:lang w:val="es-HN"/>
              </w:rPr>
            </w:pPr>
            <w:r w:rsidRPr="002747CA">
              <w:rPr>
                <w:rFonts w:cs="Arial"/>
                <w:color w:val="000000" w:themeColor="text1"/>
                <w:sz w:val="18"/>
                <w:szCs w:val="18"/>
                <w:lang w:val="es-HN"/>
              </w:rPr>
              <w:t>1</w:t>
            </w:r>
            <w:r w:rsidR="00984CBC">
              <w:rPr>
                <w:rFonts w:cs="Arial"/>
                <w:color w:val="000000" w:themeColor="text1"/>
                <w:sz w:val="18"/>
                <w:szCs w:val="18"/>
                <w:lang w:val="es-HN"/>
              </w:rPr>
              <w:t>.</w:t>
            </w:r>
            <w:r w:rsidRPr="002747CA">
              <w:rPr>
                <w:rFonts w:cs="Arial"/>
                <w:color w:val="000000" w:themeColor="text1"/>
                <w:sz w:val="18"/>
                <w:szCs w:val="18"/>
                <w:lang w:val="es-HN"/>
              </w:rPr>
              <w:t>414</w:t>
            </w:r>
          </w:p>
        </w:tc>
        <w:tc>
          <w:tcPr>
            <w:tcW w:w="4206" w:type="dxa"/>
            <w:vMerge w:val="restart"/>
            <w:vAlign w:val="center"/>
          </w:tcPr>
          <w:p w14:paraId="2F61F63E" w14:textId="77777777" w:rsidR="001A127E" w:rsidRPr="002747CA" w:rsidRDefault="001A127E" w:rsidP="001A127E">
            <w:pPr>
              <w:pStyle w:val="Default"/>
              <w:numPr>
                <w:ilvl w:val="0"/>
                <w:numId w:val="3"/>
              </w:numPr>
              <w:spacing w:before="40" w:after="40"/>
              <w:ind w:left="114" w:hanging="114"/>
              <w:rPr>
                <w:rFonts w:ascii="Arial" w:hAnsi="Arial" w:cs="Arial"/>
                <w:color w:val="000000" w:themeColor="text1"/>
                <w:sz w:val="18"/>
                <w:szCs w:val="18"/>
                <w:lang w:val="es-HN"/>
              </w:rPr>
            </w:pPr>
            <w:r w:rsidRPr="002747CA">
              <w:rPr>
                <w:rFonts w:ascii="Arial" w:hAnsi="Arial" w:cs="Arial"/>
                <w:color w:val="000000" w:themeColor="text1"/>
                <w:sz w:val="18"/>
                <w:szCs w:val="18"/>
                <w:lang w:val="es-HN"/>
              </w:rPr>
              <w:t>Como producto de la incorporación a la operación de inversiones diferentes a las contemplada</w:t>
            </w:r>
            <w:r w:rsidR="00954A8A" w:rsidRPr="002747CA">
              <w:rPr>
                <w:rFonts w:ascii="Arial" w:hAnsi="Arial" w:cs="Arial"/>
                <w:color w:val="000000" w:themeColor="text1"/>
                <w:sz w:val="18"/>
                <w:szCs w:val="18"/>
                <w:lang w:val="es-HN"/>
              </w:rPr>
              <w:t xml:space="preserve">s en el diseño original, </w:t>
            </w:r>
            <w:r w:rsidRPr="002747CA">
              <w:rPr>
                <w:rFonts w:ascii="Arial" w:hAnsi="Arial" w:cs="Arial"/>
                <w:color w:val="000000" w:themeColor="text1"/>
                <w:sz w:val="18"/>
                <w:szCs w:val="18"/>
                <w:lang w:val="es-HN"/>
              </w:rPr>
              <w:t>cuyo alcance no aportaban a los indicadores previstos,</w:t>
            </w:r>
            <w:r w:rsidR="00954A8A" w:rsidRPr="002747CA">
              <w:rPr>
                <w:rFonts w:ascii="Arial" w:hAnsi="Arial" w:cs="Arial"/>
                <w:color w:val="000000" w:themeColor="text1"/>
                <w:sz w:val="18"/>
                <w:szCs w:val="18"/>
                <w:lang w:val="es-HN"/>
              </w:rPr>
              <w:t xml:space="preserve"> fue necesario incorporar nuevos </w:t>
            </w:r>
            <w:r w:rsidRPr="002747CA">
              <w:rPr>
                <w:rFonts w:ascii="Arial" w:hAnsi="Arial" w:cs="Arial"/>
                <w:color w:val="000000" w:themeColor="text1"/>
                <w:sz w:val="18"/>
                <w:szCs w:val="18"/>
                <w:lang w:val="es-HN"/>
              </w:rPr>
              <w:t>indicadores que recogen los logros de estas nuevas inversiones.</w:t>
            </w:r>
          </w:p>
          <w:p w14:paraId="5C307912" w14:textId="77777777" w:rsidR="001A127E" w:rsidRPr="002747CA" w:rsidRDefault="001A127E" w:rsidP="001A127E">
            <w:pPr>
              <w:pStyle w:val="Default"/>
              <w:numPr>
                <w:ilvl w:val="0"/>
                <w:numId w:val="3"/>
              </w:numPr>
              <w:spacing w:before="40" w:after="40"/>
              <w:ind w:left="114" w:hanging="114"/>
              <w:rPr>
                <w:rFonts w:ascii="Arial" w:hAnsi="Arial" w:cs="Arial"/>
                <w:color w:val="000000" w:themeColor="text1"/>
                <w:sz w:val="18"/>
                <w:szCs w:val="18"/>
                <w:lang w:val="es-HN"/>
              </w:rPr>
            </w:pPr>
            <w:r w:rsidRPr="002747CA">
              <w:rPr>
                <w:rFonts w:ascii="Arial" w:hAnsi="Arial" w:cs="Arial"/>
                <w:color w:val="000000" w:themeColor="text1"/>
                <w:sz w:val="18"/>
                <w:szCs w:val="18"/>
                <w:lang w:val="es-HN"/>
              </w:rPr>
              <w:t>Para estos indicadores las metas se establecieron a partir de los costos reales y la expectativa de proyectos a financiar en la operación.</w:t>
            </w:r>
          </w:p>
        </w:tc>
        <w:tc>
          <w:tcPr>
            <w:tcW w:w="1426" w:type="dxa"/>
            <w:vAlign w:val="center"/>
          </w:tcPr>
          <w:p w14:paraId="4AA18B7E" w14:textId="77777777" w:rsidR="001A127E" w:rsidRPr="002747CA" w:rsidRDefault="008E2484"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32714674" w14:textId="77777777" w:rsidR="001A127E" w:rsidRPr="002747CA" w:rsidRDefault="001A127E"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1A127E" w:rsidRPr="002747CA" w14:paraId="38869353" w14:textId="77777777" w:rsidTr="008E2484">
        <w:trPr>
          <w:cantSplit/>
          <w:trHeight w:val="305"/>
        </w:trPr>
        <w:tc>
          <w:tcPr>
            <w:tcW w:w="1027" w:type="dxa"/>
            <w:vAlign w:val="center"/>
          </w:tcPr>
          <w:p w14:paraId="6499D5DE" w14:textId="77777777" w:rsidR="001A127E" w:rsidRPr="002747CA" w:rsidRDefault="001A127E" w:rsidP="001A127E">
            <w:pPr>
              <w:rPr>
                <w:rFonts w:cs="Arial"/>
                <w:sz w:val="18"/>
                <w:szCs w:val="18"/>
                <w:lang w:val="es-HN"/>
              </w:rPr>
            </w:pPr>
            <w:r w:rsidRPr="002747CA">
              <w:rPr>
                <w:rFonts w:cs="Arial"/>
                <w:sz w:val="18"/>
                <w:szCs w:val="18"/>
                <w:lang w:val="es-HN"/>
              </w:rPr>
              <w:t>Resultado</w:t>
            </w:r>
          </w:p>
        </w:tc>
        <w:tc>
          <w:tcPr>
            <w:tcW w:w="2644" w:type="dxa"/>
            <w:vAlign w:val="center"/>
          </w:tcPr>
          <w:p w14:paraId="7CAE88B3" w14:textId="77777777" w:rsidR="001A127E" w:rsidRPr="002747CA" w:rsidRDefault="001A127E" w:rsidP="00954A8A">
            <w:pPr>
              <w:spacing w:before="40" w:after="40"/>
              <w:rPr>
                <w:rFonts w:cs="Arial"/>
                <w:b/>
                <w:bCs/>
                <w:color w:val="000000"/>
                <w:sz w:val="18"/>
                <w:szCs w:val="18"/>
                <w:lang w:val="es-HN"/>
              </w:rPr>
            </w:pPr>
            <w:r w:rsidRPr="002747CA">
              <w:rPr>
                <w:rFonts w:cs="Arial"/>
                <w:sz w:val="18"/>
                <w:szCs w:val="18"/>
                <w:lang w:val="es-HN"/>
              </w:rPr>
              <w:t>Hogares cuyas aguas residuales son tratadas</w:t>
            </w:r>
          </w:p>
        </w:tc>
        <w:tc>
          <w:tcPr>
            <w:tcW w:w="1047" w:type="dxa"/>
            <w:vAlign w:val="center"/>
          </w:tcPr>
          <w:p w14:paraId="4EBF402D" w14:textId="77777777" w:rsidR="001A127E" w:rsidRPr="002747CA" w:rsidRDefault="00954A8A" w:rsidP="001A127E">
            <w:pPr>
              <w:jc w:val="center"/>
              <w:rPr>
                <w:rFonts w:cs="Arial"/>
                <w:sz w:val="18"/>
                <w:szCs w:val="18"/>
                <w:lang w:val="es-HN"/>
              </w:rPr>
            </w:pPr>
            <w:r w:rsidRPr="002747CA">
              <w:rPr>
                <w:rFonts w:cs="Arial"/>
                <w:sz w:val="18"/>
                <w:szCs w:val="18"/>
                <w:lang w:val="es-HN"/>
              </w:rPr>
              <w:t>Nuevo indicador</w:t>
            </w:r>
          </w:p>
        </w:tc>
        <w:tc>
          <w:tcPr>
            <w:tcW w:w="938" w:type="dxa"/>
          </w:tcPr>
          <w:p w14:paraId="1A0DCFA6" w14:textId="77777777" w:rsidR="001A127E" w:rsidRPr="002747CA" w:rsidRDefault="001A127E" w:rsidP="001A127E">
            <w:pPr>
              <w:pStyle w:val="Default"/>
              <w:rPr>
                <w:rFonts w:ascii="Arial" w:hAnsi="Arial" w:cs="Arial"/>
                <w:color w:val="auto"/>
                <w:sz w:val="18"/>
                <w:szCs w:val="18"/>
                <w:lang w:val="es-HN"/>
              </w:rPr>
            </w:pPr>
          </w:p>
        </w:tc>
        <w:tc>
          <w:tcPr>
            <w:tcW w:w="897" w:type="dxa"/>
          </w:tcPr>
          <w:p w14:paraId="1EE3C9DB" w14:textId="77777777" w:rsidR="001A127E" w:rsidRPr="002747CA" w:rsidRDefault="001A127E" w:rsidP="001A127E">
            <w:pPr>
              <w:pStyle w:val="Default"/>
              <w:rPr>
                <w:rFonts w:ascii="Arial" w:hAnsi="Arial" w:cs="Arial"/>
                <w:color w:val="auto"/>
                <w:sz w:val="18"/>
                <w:szCs w:val="18"/>
                <w:lang w:val="es-HN"/>
              </w:rPr>
            </w:pPr>
          </w:p>
        </w:tc>
        <w:tc>
          <w:tcPr>
            <w:tcW w:w="1007" w:type="dxa"/>
            <w:vAlign w:val="center"/>
          </w:tcPr>
          <w:p w14:paraId="23C39307" w14:textId="5BA4C832" w:rsidR="001A127E" w:rsidRPr="002747CA" w:rsidRDefault="001A127E" w:rsidP="001A127E">
            <w:pPr>
              <w:spacing w:before="40" w:after="40"/>
              <w:ind w:left="-48" w:right="-7"/>
              <w:jc w:val="center"/>
              <w:rPr>
                <w:rFonts w:cs="Arial"/>
                <w:color w:val="000000" w:themeColor="text1"/>
                <w:sz w:val="18"/>
                <w:szCs w:val="18"/>
                <w:lang w:val="es-HN"/>
              </w:rPr>
            </w:pPr>
            <w:r w:rsidRPr="002747CA">
              <w:rPr>
                <w:rFonts w:cs="Arial"/>
                <w:color w:val="000000" w:themeColor="text1"/>
                <w:sz w:val="18"/>
                <w:szCs w:val="18"/>
                <w:lang w:val="es-HN"/>
              </w:rPr>
              <w:t>2</w:t>
            </w:r>
            <w:r w:rsidR="00984CBC">
              <w:rPr>
                <w:rFonts w:cs="Arial"/>
                <w:color w:val="000000" w:themeColor="text1"/>
                <w:sz w:val="18"/>
                <w:szCs w:val="18"/>
                <w:lang w:val="es-HN"/>
              </w:rPr>
              <w:t>.</w:t>
            </w:r>
            <w:r w:rsidRPr="002747CA">
              <w:rPr>
                <w:rFonts w:cs="Arial"/>
                <w:color w:val="000000" w:themeColor="text1"/>
                <w:sz w:val="18"/>
                <w:szCs w:val="18"/>
                <w:lang w:val="es-HN"/>
              </w:rPr>
              <w:t>054</w:t>
            </w:r>
          </w:p>
        </w:tc>
        <w:tc>
          <w:tcPr>
            <w:tcW w:w="4206" w:type="dxa"/>
            <w:vMerge/>
            <w:vAlign w:val="center"/>
          </w:tcPr>
          <w:p w14:paraId="20EC3D6D" w14:textId="77777777" w:rsidR="001A127E" w:rsidRPr="002747CA" w:rsidRDefault="001A127E" w:rsidP="001A127E">
            <w:pPr>
              <w:spacing w:before="40" w:after="40"/>
              <w:ind w:right="-6"/>
              <w:rPr>
                <w:rFonts w:cs="Arial"/>
                <w:color w:val="000000" w:themeColor="text1"/>
                <w:sz w:val="18"/>
                <w:szCs w:val="18"/>
                <w:lang w:val="es-HN"/>
              </w:rPr>
            </w:pPr>
          </w:p>
        </w:tc>
        <w:tc>
          <w:tcPr>
            <w:tcW w:w="1426" w:type="dxa"/>
            <w:vAlign w:val="center"/>
          </w:tcPr>
          <w:p w14:paraId="21FD35D2" w14:textId="77777777" w:rsidR="001A127E" w:rsidRPr="002747CA" w:rsidRDefault="001A127E"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0A068E1D" w14:textId="77777777" w:rsidR="001A127E" w:rsidRPr="002747CA" w:rsidRDefault="001A127E"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954A8A" w:rsidRPr="002747CA" w14:paraId="2B1C71DD" w14:textId="77777777" w:rsidTr="00954A8A">
        <w:trPr>
          <w:cantSplit/>
          <w:trHeight w:val="305"/>
        </w:trPr>
        <w:tc>
          <w:tcPr>
            <w:tcW w:w="1027" w:type="dxa"/>
            <w:vAlign w:val="center"/>
          </w:tcPr>
          <w:p w14:paraId="1DCEB81D" w14:textId="77777777" w:rsidR="00954A8A" w:rsidRPr="002747CA" w:rsidRDefault="00954A8A" w:rsidP="001A127E">
            <w:pPr>
              <w:rPr>
                <w:rFonts w:cs="Arial"/>
                <w:sz w:val="18"/>
                <w:szCs w:val="18"/>
                <w:lang w:val="es-HN"/>
              </w:rPr>
            </w:pPr>
            <w:r w:rsidRPr="002747CA">
              <w:rPr>
                <w:rFonts w:cs="Arial"/>
                <w:sz w:val="18"/>
                <w:szCs w:val="18"/>
                <w:lang w:val="es-HN"/>
              </w:rPr>
              <w:t>Resultado</w:t>
            </w:r>
          </w:p>
        </w:tc>
        <w:tc>
          <w:tcPr>
            <w:tcW w:w="2644" w:type="dxa"/>
            <w:vAlign w:val="center"/>
          </w:tcPr>
          <w:p w14:paraId="1E79E5A9" w14:textId="77777777" w:rsidR="00954A8A" w:rsidRPr="002747CA" w:rsidRDefault="00954A8A" w:rsidP="00954A8A">
            <w:pPr>
              <w:spacing w:before="40" w:after="40"/>
              <w:rPr>
                <w:rFonts w:cs="Arial"/>
                <w:sz w:val="18"/>
                <w:szCs w:val="18"/>
                <w:lang w:val="es-HN"/>
              </w:rPr>
            </w:pPr>
            <w:r w:rsidRPr="002747CA">
              <w:rPr>
                <w:rFonts w:cs="Arial"/>
                <w:sz w:val="18"/>
                <w:szCs w:val="18"/>
                <w:lang w:val="es-HN"/>
              </w:rPr>
              <w:t xml:space="preserve">Incremento </w:t>
            </w:r>
            <w:r w:rsidRPr="002747CA">
              <w:rPr>
                <w:sz w:val="18"/>
                <w:szCs w:val="18"/>
                <w:lang w:val="es-HN"/>
              </w:rPr>
              <w:t>en el consumo de agua para hogares rurales con soluciones de agua financiadas por el programa (litros/persona/día)</w:t>
            </w:r>
          </w:p>
        </w:tc>
        <w:tc>
          <w:tcPr>
            <w:tcW w:w="1047" w:type="dxa"/>
            <w:vAlign w:val="center"/>
          </w:tcPr>
          <w:p w14:paraId="456C55EB" w14:textId="77777777" w:rsidR="00954A8A" w:rsidRPr="002747CA" w:rsidRDefault="00954A8A" w:rsidP="001A127E">
            <w:pPr>
              <w:jc w:val="center"/>
              <w:rPr>
                <w:rFonts w:cs="Arial"/>
                <w:sz w:val="18"/>
                <w:szCs w:val="18"/>
                <w:lang w:val="es-HN"/>
              </w:rPr>
            </w:pPr>
            <w:r w:rsidRPr="002747CA">
              <w:rPr>
                <w:rFonts w:cs="Arial"/>
                <w:sz w:val="18"/>
                <w:szCs w:val="18"/>
                <w:lang w:val="es-HN"/>
              </w:rPr>
              <w:t>Meta al final de la Operación</w:t>
            </w:r>
          </w:p>
        </w:tc>
        <w:tc>
          <w:tcPr>
            <w:tcW w:w="938" w:type="dxa"/>
            <w:vAlign w:val="center"/>
          </w:tcPr>
          <w:p w14:paraId="6828E3D2" w14:textId="77777777" w:rsidR="00954A8A" w:rsidRPr="002747CA" w:rsidRDefault="00954A8A" w:rsidP="00954A8A">
            <w:pPr>
              <w:pStyle w:val="Default"/>
              <w:jc w:val="center"/>
              <w:rPr>
                <w:rFonts w:ascii="Arial" w:hAnsi="Arial" w:cs="Arial"/>
                <w:color w:val="auto"/>
                <w:sz w:val="18"/>
                <w:szCs w:val="18"/>
              </w:rPr>
            </w:pPr>
            <w:r w:rsidRPr="002747CA">
              <w:rPr>
                <w:rFonts w:ascii="Arial" w:hAnsi="Arial" w:cs="Arial"/>
                <w:color w:val="auto"/>
                <w:sz w:val="18"/>
                <w:szCs w:val="18"/>
              </w:rPr>
              <w:t>95/132</w:t>
            </w:r>
          </w:p>
        </w:tc>
        <w:tc>
          <w:tcPr>
            <w:tcW w:w="897" w:type="dxa"/>
          </w:tcPr>
          <w:p w14:paraId="03B8EC20" w14:textId="77777777" w:rsidR="00954A8A" w:rsidRPr="002747CA" w:rsidRDefault="00954A8A" w:rsidP="001A127E">
            <w:pPr>
              <w:pStyle w:val="Default"/>
              <w:rPr>
                <w:rFonts w:ascii="Arial" w:hAnsi="Arial" w:cs="Arial"/>
                <w:color w:val="auto"/>
                <w:sz w:val="18"/>
                <w:szCs w:val="18"/>
              </w:rPr>
            </w:pPr>
          </w:p>
        </w:tc>
        <w:tc>
          <w:tcPr>
            <w:tcW w:w="1007" w:type="dxa"/>
            <w:vAlign w:val="center"/>
          </w:tcPr>
          <w:p w14:paraId="68472C43" w14:textId="77777777" w:rsidR="00954A8A" w:rsidRPr="002747CA" w:rsidRDefault="00954A8A" w:rsidP="001A127E">
            <w:pPr>
              <w:spacing w:before="40" w:after="40"/>
              <w:ind w:left="-48" w:right="-7"/>
              <w:jc w:val="center"/>
              <w:rPr>
                <w:rFonts w:cs="Arial"/>
                <w:color w:val="000000" w:themeColor="text1"/>
                <w:sz w:val="18"/>
                <w:szCs w:val="18"/>
                <w:lang w:val="es-HN"/>
              </w:rPr>
            </w:pPr>
          </w:p>
        </w:tc>
        <w:tc>
          <w:tcPr>
            <w:tcW w:w="4206" w:type="dxa"/>
            <w:vAlign w:val="center"/>
          </w:tcPr>
          <w:p w14:paraId="0D79FFBA" w14:textId="77777777" w:rsidR="00954A8A" w:rsidRPr="002747CA" w:rsidRDefault="00954A8A" w:rsidP="00954A8A">
            <w:pPr>
              <w:rPr>
                <w:rFonts w:cs="Arial"/>
                <w:sz w:val="18"/>
                <w:szCs w:val="18"/>
                <w:lang w:val="es-HN"/>
              </w:rPr>
            </w:pPr>
            <w:r w:rsidRPr="002747CA">
              <w:rPr>
                <w:rFonts w:cs="Arial"/>
                <w:sz w:val="18"/>
                <w:szCs w:val="18"/>
                <w:lang w:val="es-HN"/>
              </w:rPr>
              <w:t>La meta original para el indicador de consumo de agua se describió originalmmente como rango (95-132 l/p/d). Sin embargo, a partir de la matriz de elegibilidad+60 días se indica solamente el valor inferior del rango, dando lugar a una definición inadecuada de la meta (si se lograran consumos mayores a 132 l/p/d el logro del indicador sería mayor al 100% cuando en realidad sería algo negativo</w:t>
            </w:r>
          </w:p>
        </w:tc>
        <w:tc>
          <w:tcPr>
            <w:tcW w:w="1426" w:type="dxa"/>
            <w:vAlign w:val="center"/>
          </w:tcPr>
          <w:p w14:paraId="1C543FF0" w14:textId="77777777" w:rsidR="00954A8A" w:rsidRPr="002747CA" w:rsidRDefault="00954A8A" w:rsidP="008E2484">
            <w:pPr>
              <w:pStyle w:val="Default"/>
              <w:jc w:val="center"/>
              <w:rPr>
                <w:rFonts w:ascii="Arial" w:hAnsi="Arial" w:cs="Arial"/>
                <w:color w:val="auto"/>
                <w:sz w:val="18"/>
                <w:szCs w:val="18"/>
              </w:rPr>
            </w:pPr>
            <w:r w:rsidRPr="002747CA">
              <w:rPr>
                <w:rFonts w:ascii="Arial" w:hAnsi="Arial" w:cs="Arial"/>
                <w:color w:val="auto"/>
                <w:sz w:val="18"/>
                <w:szCs w:val="18"/>
              </w:rPr>
              <w:t>Mar-2012</w:t>
            </w:r>
          </w:p>
        </w:tc>
        <w:tc>
          <w:tcPr>
            <w:tcW w:w="1398" w:type="dxa"/>
            <w:vAlign w:val="center"/>
          </w:tcPr>
          <w:p w14:paraId="6725AAF5" w14:textId="77777777" w:rsidR="00954A8A" w:rsidRPr="002747CA" w:rsidRDefault="00954A8A" w:rsidP="008E2484">
            <w:pPr>
              <w:pStyle w:val="Default"/>
              <w:jc w:val="center"/>
              <w:rPr>
                <w:rFonts w:ascii="Arial" w:hAnsi="Arial" w:cs="Arial"/>
                <w:color w:val="auto"/>
                <w:sz w:val="18"/>
                <w:szCs w:val="18"/>
              </w:rPr>
            </w:pPr>
            <w:r w:rsidRPr="002747CA">
              <w:rPr>
                <w:rFonts w:ascii="Arial" w:hAnsi="Arial" w:cs="Arial"/>
                <w:color w:val="auto"/>
                <w:sz w:val="18"/>
                <w:szCs w:val="18"/>
              </w:rPr>
              <w:t>Mar-2012</w:t>
            </w:r>
          </w:p>
        </w:tc>
      </w:tr>
      <w:tr w:rsidR="002747CA" w:rsidRPr="002747CA" w14:paraId="3E9459CA" w14:textId="77777777" w:rsidTr="00954A8A">
        <w:trPr>
          <w:cantSplit/>
          <w:trHeight w:val="305"/>
        </w:trPr>
        <w:tc>
          <w:tcPr>
            <w:tcW w:w="1027" w:type="dxa"/>
            <w:vAlign w:val="center"/>
          </w:tcPr>
          <w:p w14:paraId="7D490499" w14:textId="77777777" w:rsidR="002747CA" w:rsidRPr="002747CA" w:rsidRDefault="002747CA" w:rsidP="00954A8A">
            <w:pPr>
              <w:rPr>
                <w:rFonts w:cs="Arial"/>
                <w:sz w:val="18"/>
                <w:szCs w:val="18"/>
                <w:lang w:val="es-HN"/>
              </w:rPr>
            </w:pPr>
            <w:r w:rsidRPr="002747CA">
              <w:rPr>
                <w:rFonts w:cs="Arial"/>
                <w:sz w:val="18"/>
                <w:szCs w:val="18"/>
                <w:lang w:val="es-HN"/>
              </w:rPr>
              <w:lastRenderedPageBreak/>
              <w:t>Resultado</w:t>
            </w:r>
          </w:p>
        </w:tc>
        <w:tc>
          <w:tcPr>
            <w:tcW w:w="2644" w:type="dxa"/>
            <w:vAlign w:val="center"/>
          </w:tcPr>
          <w:p w14:paraId="75424F33" w14:textId="77777777" w:rsidR="002747CA" w:rsidRPr="002747CA" w:rsidRDefault="002747CA" w:rsidP="00954A8A">
            <w:pPr>
              <w:spacing w:before="40" w:after="40"/>
              <w:rPr>
                <w:rFonts w:cs="Arial"/>
                <w:sz w:val="18"/>
                <w:szCs w:val="18"/>
                <w:lang w:val="es-HN"/>
              </w:rPr>
            </w:pPr>
            <w:r w:rsidRPr="002747CA">
              <w:rPr>
                <w:rFonts w:cs="Arial"/>
                <w:sz w:val="18"/>
                <w:szCs w:val="18"/>
                <w:lang w:val="es-HN"/>
              </w:rPr>
              <w:t>Sistemas de AP funcionando según especificaciones de diseño</w:t>
            </w:r>
          </w:p>
        </w:tc>
        <w:tc>
          <w:tcPr>
            <w:tcW w:w="1047" w:type="dxa"/>
            <w:vAlign w:val="center"/>
          </w:tcPr>
          <w:p w14:paraId="0BE54DD8" w14:textId="77777777" w:rsidR="002747CA" w:rsidRPr="002747CA" w:rsidRDefault="002747CA" w:rsidP="001A127E">
            <w:pPr>
              <w:jc w:val="center"/>
              <w:rPr>
                <w:rFonts w:cs="Arial"/>
                <w:sz w:val="18"/>
                <w:szCs w:val="18"/>
                <w:lang w:val="es-HN"/>
              </w:rPr>
            </w:pPr>
            <w:r w:rsidRPr="002747CA">
              <w:rPr>
                <w:rFonts w:cs="Arial"/>
                <w:sz w:val="18"/>
                <w:szCs w:val="18"/>
                <w:lang w:val="es-HN"/>
              </w:rPr>
              <w:t>Linea de base</w:t>
            </w:r>
          </w:p>
        </w:tc>
        <w:tc>
          <w:tcPr>
            <w:tcW w:w="938" w:type="dxa"/>
            <w:vAlign w:val="center"/>
          </w:tcPr>
          <w:p w14:paraId="76E803C0" w14:textId="4D4DD02B" w:rsidR="002747CA" w:rsidRPr="002747CA" w:rsidRDefault="002747CA" w:rsidP="00954A8A">
            <w:pPr>
              <w:pStyle w:val="Default"/>
              <w:jc w:val="center"/>
              <w:rPr>
                <w:rFonts w:ascii="Arial" w:hAnsi="Arial" w:cs="Arial"/>
                <w:color w:val="auto"/>
                <w:sz w:val="18"/>
                <w:szCs w:val="18"/>
              </w:rPr>
            </w:pPr>
            <w:r w:rsidRPr="002747CA">
              <w:rPr>
                <w:rFonts w:ascii="Arial" w:hAnsi="Arial" w:cs="Arial"/>
                <w:color w:val="auto"/>
                <w:sz w:val="18"/>
                <w:szCs w:val="18"/>
              </w:rPr>
              <w:t>1</w:t>
            </w:r>
            <w:r w:rsidR="00984CBC">
              <w:rPr>
                <w:rFonts w:ascii="Arial" w:hAnsi="Arial" w:cs="Arial"/>
                <w:color w:val="auto"/>
                <w:sz w:val="18"/>
                <w:szCs w:val="18"/>
              </w:rPr>
              <w:t>.</w:t>
            </w:r>
            <w:r w:rsidRPr="002747CA">
              <w:rPr>
                <w:rFonts w:ascii="Arial" w:hAnsi="Arial" w:cs="Arial"/>
                <w:color w:val="auto"/>
                <w:sz w:val="18"/>
                <w:szCs w:val="18"/>
              </w:rPr>
              <w:t>855</w:t>
            </w:r>
          </w:p>
        </w:tc>
        <w:tc>
          <w:tcPr>
            <w:tcW w:w="897" w:type="dxa"/>
          </w:tcPr>
          <w:p w14:paraId="3DE4C400" w14:textId="77777777" w:rsidR="002747CA" w:rsidRPr="002747CA" w:rsidRDefault="002747CA" w:rsidP="001A127E">
            <w:pPr>
              <w:pStyle w:val="Default"/>
              <w:rPr>
                <w:rFonts w:ascii="Arial" w:hAnsi="Arial" w:cs="Arial"/>
                <w:color w:val="auto"/>
                <w:sz w:val="18"/>
                <w:szCs w:val="18"/>
              </w:rPr>
            </w:pPr>
          </w:p>
        </w:tc>
        <w:tc>
          <w:tcPr>
            <w:tcW w:w="1007" w:type="dxa"/>
            <w:vAlign w:val="center"/>
          </w:tcPr>
          <w:p w14:paraId="0C401988" w14:textId="77777777" w:rsidR="002747CA" w:rsidRPr="002747CA" w:rsidRDefault="002747CA" w:rsidP="001A127E">
            <w:pPr>
              <w:spacing w:before="40" w:after="40"/>
              <w:ind w:left="-48" w:right="-7"/>
              <w:jc w:val="center"/>
              <w:rPr>
                <w:rFonts w:cs="Arial"/>
                <w:color w:val="000000" w:themeColor="text1"/>
                <w:sz w:val="18"/>
                <w:szCs w:val="18"/>
                <w:lang w:val="es-HN"/>
              </w:rPr>
            </w:pPr>
          </w:p>
        </w:tc>
        <w:tc>
          <w:tcPr>
            <w:tcW w:w="4206" w:type="dxa"/>
            <w:vAlign w:val="center"/>
          </w:tcPr>
          <w:p w14:paraId="12202E9B" w14:textId="77777777" w:rsidR="002747CA" w:rsidRPr="002747CA" w:rsidRDefault="002747CA" w:rsidP="002747CA">
            <w:pPr>
              <w:rPr>
                <w:rFonts w:cs="Arial"/>
                <w:sz w:val="18"/>
                <w:szCs w:val="18"/>
                <w:lang w:val="es-HN"/>
              </w:rPr>
            </w:pPr>
            <w:r w:rsidRPr="002747CA">
              <w:rPr>
                <w:rFonts w:cs="Arial"/>
                <w:color w:val="000000" w:themeColor="text1"/>
                <w:sz w:val="18"/>
                <w:szCs w:val="18"/>
                <w:lang w:val="es-HN"/>
              </w:rPr>
              <w:t>La linea de base en la aprobación se refiere a los sistemas que ya funcionaban según especificaciones de diseño inicialmente. La meta tendría que haberse indicado, como línea de base + nuevos (sistemas). A partir de la matriz en elegibilidad+60 días se modifica adecuadamente la LB a 0,</w:t>
            </w:r>
          </w:p>
        </w:tc>
        <w:tc>
          <w:tcPr>
            <w:tcW w:w="1426" w:type="dxa"/>
            <w:vAlign w:val="center"/>
          </w:tcPr>
          <w:p w14:paraId="77A8AC9F" w14:textId="77777777" w:rsidR="002747CA" w:rsidRPr="002747CA" w:rsidRDefault="002747CA" w:rsidP="002747CA">
            <w:pPr>
              <w:pStyle w:val="Default"/>
              <w:jc w:val="center"/>
              <w:rPr>
                <w:rFonts w:ascii="Arial" w:hAnsi="Arial" w:cs="Arial"/>
                <w:color w:val="auto"/>
                <w:sz w:val="18"/>
                <w:szCs w:val="18"/>
              </w:rPr>
            </w:pPr>
            <w:r w:rsidRPr="002747CA">
              <w:rPr>
                <w:rFonts w:ascii="Arial" w:hAnsi="Arial" w:cs="Arial"/>
                <w:color w:val="auto"/>
                <w:sz w:val="18"/>
                <w:szCs w:val="18"/>
              </w:rPr>
              <w:t>Mar-2012</w:t>
            </w:r>
          </w:p>
        </w:tc>
        <w:tc>
          <w:tcPr>
            <w:tcW w:w="1398" w:type="dxa"/>
            <w:vAlign w:val="center"/>
          </w:tcPr>
          <w:p w14:paraId="1CF3586F" w14:textId="77777777" w:rsidR="002747CA" w:rsidRPr="002747CA" w:rsidRDefault="002747CA" w:rsidP="002747CA">
            <w:pPr>
              <w:pStyle w:val="Default"/>
              <w:jc w:val="center"/>
              <w:rPr>
                <w:rFonts w:ascii="Arial" w:hAnsi="Arial" w:cs="Arial"/>
                <w:color w:val="auto"/>
                <w:sz w:val="18"/>
                <w:szCs w:val="18"/>
              </w:rPr>
            </w:pPr>
            <w:r w:rsidRPr="002747CA">
              <w:rPr>
                <w:rFonts w:ascii="Arial" w:hAnsi="Arial" w:cs="Arial"/>
                <w:color w:val="auto"/>
                <w:sz w:val="18"/>
                <w:szCs w:val="18"/>
              </w:rPr>
              <w:t>Mar-2012</w:t>
            </w:r>
          </w:p>
        </w:tc>
      </w:tr>
      <w:tr w:rsidR="002747CA" w:rsidRPr="002747CA" w14:paraId="0A206BE8" w14:textId="77777777" w:rsidTr="00954A8A">
        <w:trPr>
          <w:cantSplit/>
          <w:trHeight w:val="305"/>
        </w:trPr>
        <w:tc>
          <w:tcPr>
            <w:tcW w:w="1027" w:type="dxa"/>
            <w:vAlign w:val="center"/>
          </w:tcPr>
          <w:p w14:paraId="5C456E73" w14:textId="77777777" w:rsidR="002747CA" w:rsidRPr="002747CA" w:rsidRDefault="002747CA" w:rsidP="002747CA">
            <w:pPr>
              <w:rPr>
                <w:rFonts w:cs="Arial"/>
                <w:sz w:val="18"/>
                <w:szCs w:val="18"/>
                <w:lang w:val="es-HN"/>
              </w:rPr>
            </w:pPr>
            <w:r w:rsidRPr="002747CA">
              <w:rPr>
                <w:rFonts w:cs="Arial"/>
                <w:sz w:val="18"/>
                <w:szCs w:val="18"/>
                <w:lang w:val="es-HN"/>
              </w:rPr>
              <w:t>Resultado</w:t>
            </w:r>
          </w:p>
        </w:tc>
        <w:tc>
          <w:tcPr>
            <w:tcW w:w="2644" w:type="dxa"/>
            <w:vAlign w:val="center"/>
          </w:tcPr>
          <w:p w14:paraId="6EAB2A56" w14:textId="77777777" w:rsidR="002747CA" w:rsidRPr="002747CA" w:rsidRDefault="002747CA" w:rsidP="002747CA">
            <w:pPr>
              <w:spacing w:before="40" w:after="40"/>
              <w:rPr>
                <w:rFonts w:cs="Arial"/>
                <w:sz w:val="18"/>
                <w:szCs w:val="18"/>
                <w:lang w:val="es-HN"/>
              </w:rPr>
            </w:pPr>
            <w:r w:rsidRPr="002747CA">
              <w:rPr>
                <w:rFonts w:cs="Arial"/>
                <w:sz w:val="18"/>
                <w:szCs w:val="18"/>
                <w:lang w:val="es-HN"/>
              </w:rPr>
              <w:t>Juntas de Agua financieramente sostenibles</w:t>
            </w:r>
          </w:p>
        </w:tc>
        <w:tc>
          <w:tcPr>
            <w:tcW w:w="1047" w:type="dxa"/>
            <w:vAlign w:val="center"/>
          </w:tcPr>
          <w:p w14:paraId="3784090C" w14:textId="77777777" w:rsidR="002747CA" w:rsidRPr="002747CA" w:rsidRDefault="002747CA" w:rsidP="001A127E">
            <w:pPr>
              <w:jc w:val="center"/>
              <w:rPr>
                <w:rFonts w:cs="Arial"/>
                <w:sz w:val="18"/>
                <w:szCs w:val="18"/>
                <w:lang w:val="es-HN"/>
              </w:rPr>
            </w:pPr>
            <w:r w:rsidRPr="002747CA">
              <w:rPr>
                <w:rFonts w:cs="Arial"/>
                <w:sz w:val="18"/>
                <w:szCs w:val="18"/>
                <w:lang w:val="es-HN"/>
              </w:rPr>
              <w:t>Línea de base</w:t>
            </w:r>
          </w:p>
        </w:tc>
        <w:tc>
          <w:tcPr>
            <w:tcW w:w="938" w:type="dxa"/>
            <w:vAlign w:val="center"/>
          </w:tcPr>
          <w:p w14:paraId="5F5BE919" w14:textId="25BC8F15" w:rsidR="002747CA" w:rsidRPr="002747CA" w:rsidRDefault="002747CA" w:rsidP="00954A8A">
            <w:pPr>
              <w:pStyle w:val="Default"/>
              <w:jc w:val="center"/>
              <w:rPr>
                <w:rFonts w:ascii="Arial" w:hAnsi="Arial" w:cs="Arial"/>
                <w:color w:val="auto"/>
                <w:sz w:val="18"/>
                <w:szCs w:val="18"/>
              </w:rPr>
            </w:pPr>
            <w:r w:rsidRPr="002747CA">
              <w:rPr>
                <w:rFonts w:ascii="Arial" w:hAnsi="Arial" w:cs="Arial"/>
                <w:color w:val="auto"/>
                <w:sz w:val="18"/>
                <w:szCs w:val="18"/>
              </w:rPr>
              <w:t>3</w:t>
            </w:r>
            <w:r w:rsidR="00984CBC">
              <w:rPr>
                <w:rFonts w:ascii="Arial" w:hAnsi="Arial" w:cs="Arial"/>
                <w:color w:val="auto"/>
                <w:sz w:val="18"/>
                <w:szCs w:val="18"/>
              </w:rPr>
              <w:t>.</w:t>
            </w:r>
            <w:r w:rsidRPr="002747CA">
              <w:rPr>
                <w:rFonts w:ascii="Arial" w:hAnsi="Arial" w:cs="Arial"/>
                <w:color w:val="auto"/>
                <w:sz w:val="18"/>
                <w:szCs w:val="18"/>
              </w:rPr>
              <w:t>425</w:t>
            </w:r>
          </w:p>
        </w:tc>
        <w:tc>
          <w:tcPr>
            <w:tcW w:w="897" w:type="dxa"/>
          </w:tcPr>
          <w:p w14:paraId="640A58D2" w14:textId="77777777" w:rsidR="002747CA" w:rsidRPr="002747CA" w:rsidRDefault="002747CA" w:rsidP="001A127E">
            <w:pPr>
              <w:pStyle w:val="Default"/>
              <w:rPr>
                <w:rFonts w:ascii="Arial" w:hAnsi="Arial" w:cs="Arial"/>
                <w:color w:val="auto"/>
                <w:sz w:val="18"/>
                <w:szCs w:val="18"/>
              </w:rPr>
            </w:pPr>
          </w:p>
        </w:tc>
        <w:tc>
          <w:tcPr>
            <w:tcW w:w="1007" w:type="dxa"/>
            <w:vAlign w:val="center"/>
          </w:tcPr>
          <w:p w14:paraId="7BFE49FA" w14:textId="77777777" w:rsidR="002747CA" w:rsidRPr="002747CA" w:rsidRDefault="002747CA" w:rsidP="001A127E">
            <w:pPr>
              <w:spacing w:before="40" w:after="40"/>
              <w:ind w:left="-48" w:right="-7"/>
              <w:jc w:val="center"/>
              <w:rPr>
                <w:rFonts w:cs="Arial"/>
                <w:color w:val="000000" w:themeColor="text1"/>
                <w:sz w:val="18"/>
                <w:szCs w:val="18"/>
                <w:lang w:val="es-HN"/>
              </w:rPr>
            </w:pPr>
          </w:p>
        </w:tc>
        <w:tc>
          <w:tcPr>
            <w:tcW w:w="4206" w:type="dxa"/>
            <w:vAlign w:val="center"/>
          </w:tcPr>
          <w:p w14:paraId="6568E5EB" w14:textId="77777777" w:rsidR="002747CA" w:rsidRPr="002747CA" w:rsidRDefault="002747CA" w:rsidP="002747CA">
            <w:pPr>
              <w:rPr>
                <w:rFonts w:cs="Arial"/>
                <w:sz w:val="18"/>
                <w:szCs w:val="18"/>
                <w:lang w:val="es-HN"/>
              </w:rPr>
            </w:pPr>
            <w:r w:rsidRPr="002747CA">
              <w:rPr>
                <w:rFonts w:cs="Arial"/>
                <w:color w:val="000000" w:themeColor="text1"/>
                <w:sz w:val="18"/>
                <w:szCs w:val="18"/>
                <w:lang w:val="es-HN"/>
              </w:rPr>
              <w:t>La linea de base en la aprobación se refiere a las Junta que ya eran financieramente sostenibles. La meta tendría que haberse indicado, como línea de base + nuevos (juntas). A partir de la matriz en elegibilidad+60 días se modifica adecuadamente la LB a 0,</w:t>
            </w:r>
          </w:p>
        </w:tc>
        <w:tc>
          <w:tcPr>
            <w:tcW w:w="1426" w:type="dxa"/>
            <w:vAlign w:val="center"/>
          </w:tcPr>
          <w:p w14:paraId="04494A02" w14:textId="77777777" w:rsidR="002747CA" w:rsidRPr="002747CA" w:rsidRDefault="002747CA" w:rsidP="002747CA">
            <w:pPr>
              <w:pStyle w:val="Default"/>
              <w:jc w:val="center"/>
              <w:rPr>
                <w:rFonts w:ascii="Arial" w:hAnsi="Arial" w:cs="Arial"/>
                <w:color w:val="auto"/>
                <w:sz w:val="18"/>
                <w:szCs w:val="18"/>
              </w:rPr>
            </w:pPr>
            <w:r w:rsidRPr="002747CA">
              <w:rPr>
                <w:rFonts w:ascii="Arial" w:hAnsi="Arial" w:cs="Arial"/>
                <w:color w:val="auto"/>
                <w:sz w:val="18"/>
                <w:szCs w:val="18"/>
              </w:rPr>
              <w:t>Mar-2012</w:t>
            </w:r>
          </w:p>
        </w:tc>
        <w:tc>
          <w:tcPr>
            <w:tcW w:w="1398" w:type="dxa"/>
            <w:vAlign w:val="center"/>
          </w:tcPr>
          <w:p w14:paraId="0AA8D5D8" w14:textId="77777777" w:rsidR="002747CA" w:rsidRPr="002747CA" w:rsidRDefault="002747CA" w:rsidP="002747CA">
            <w:pPr>
              <w:pStyle w:val="Default"/>
              <w:jc w:val="center"/>
              <w:rPr>
                <w:rFonts w:ascii="Arial" w:hAnsi="Arial" w:cs="Arial"/>
                <w:color w:val="auto"/>
                <w:sz w:val="18"/>
                <w:szCs w:val="18"/>
              </w:rPr>
            </w:pPr>
            <w:r w:rsidRPr="002747CA">
              <w:rPr>
                <w:rFonts w:ascii="Arial" w:hAnsi="Arial" w:cs="Arial"/>
                <w:color w:val="auto"/>
                <w:sz w:val="18"/>
                <w:szCs w:val="18"/>
              </w:rPr>
              <w:t>Mar-2012</w:t>
            </w:r>
          </w:p>
        </w:tc>
      </w:tr>
      <w:tr w:rsidR="002747CA" w:rsidRPr="002747CA" w14:paraId="29E37785" w14:textId="77777777" w:rsidTr="008E2484">
        <w:trPr>
          <w:cantSplit/>
          <w:trHeight w:val="305"/>
        </w:trPr>
        <w:tc>
          <w:tcPr>
            <w:tcW w:w="1027" w:type="dxa"/>
            <w:vAlign w:val="center"/>
          </w:tcPr>
          <w:p w14:paraId="18D84BBF" w14:textId="77777777" w:rsidR="002747CA" w:rsidRPr="002747CA" w:rsidRDefault="002747CA" w:rsidP="001A127E">
            <w:pPr>
              <w:rPr>
                <w:rFonts w:cs="Arial"/>
                <w:sz w:val="18"/>
                <w:szCs w:val="18"/>
                <w:lang w:val="es-HN"/>
              </w:rPr>
            </w:pPr>
            <w:r w:rsidRPr="002747CA">
              <w:rPr>
                <w:rFonts w:cs="Arial"/>
                <w:sz w:val="18"/>
                <w:szCs w:val="18"/>
                <w:lang w:val="es-HN"/>
              </w:rPr>
              <w:t>Resultado</w:t>
            </w:r>
          </w:p>
        </w:tc>
        <w:tc>
          <w:tcPr>
            <w:tcW w:w="2644" w:type="dxa"/>
            <w:vAlign w:val="center"/>
          </w:tcPr>
          <w:p w14:paraId="3CDE9529" w14:textId="77777777" w:rsidR="002747CA" w:rsidRPr="002747CA" w:rsidRDefault="002747CA" w:rsidP="00954A8A">
            <w:pPr>
              <w:spacing w:before="40" w:after="40"/>
              <w:rPr>
                <w:rFonts w:cs="Arial"/>
                <w:sz w:val="18"/>
                <w:szCs w:val="18"/>
                <w:lang w:val="es-HN"/>
              </w:rPr>
            </w:pPr>
            <w:r w:rsidRPr="002747CA">
              <w:rPr>
                <w:rFonts w:cs="Arial"/>
                <w:sz w:val="18"/>
                <w:szCs w:val="18"/>
                <w:lang w:val="es-HN"/>
              </w:rPr>
              <w:t>Sistemas de AP funcionando según especificaciones de diseño</w:t>
            </w:r>
          </w:p>
        </w:tc>
        <w:tc>
          <w:tcPr>
            <w:tcW w:w="1047" w:type="dxa"/>
            <w:vAlign w:val="center"/>
          </w:tcPr>
          <w:p w14:paraId="420D1744" w14:textId="77777777" w:rsidR="002747CA" w:rsidRPr="002747CA" w:rsidRDefault="002747CA" w:rsidP="001A127E">
            <w:pPr>
              <w:jc w:val="center"/>
              <w:rPr>
                <w:rFonts w:cs="Arial"/>
                <w:sz w:val="18"/>
                <w:szCs w:val="18"/>
                <w:lang w:val="es-HN"/>
              </w:rPr>
            </w:pPr>
            <w:r w:rsidRPr="002747CA">
              <w:rPr>
                <w:rFonts w:cs="Arial"/>
                <w:sz w:val="18"/>
                <w:szCs w:val="18"/>
                <w:lang w:val="es-HN"/>
              </w:rPr>
              <w:t>Meta al final de la Operación</w:t>
            </w:r>
          </w:p>
        </w:tc>
        <w:tc>
          <w:tcPr>
            <w:tcW w:w="938" w:type="dxa"/>
            <w:vAlign w:val="center"/>
          </w:tcPr>
          <w:p w14:paraId="0B426F96" w14:textId="77777777" w:rsidR="002747CA" w:rsidRPr="002747CA" w:rsidRDefault="002747CA" w:rsidP="001A127E">
            <w:pPr>
              <w:spacing w:before="40" w:after="40"/>
              <w:ind w:left="-48" w:right="-7"/>
              <w:jc w:val="center"/>
              <w:rPr>
                <w:rFonts w:cs="Arial"/>
                <w:sz w:val="18"/>
                <w:szCs w:val="18"/>
                <w:lang w:val="es-HN"/>
              </w:rPr>
            </w:pPr>
          </w:p>
        </w:tc>
        <w:tc>
          <w:tcPr>
            <w:tcW w:w="897" w:type="dxa"/>
            <w:vAlign w:val="center"/>
          </w:tcPr>
          <w:p w14:paraId="0EBF85D7" w14:textId="77777777" w:rsidR="002747CA" w:rsidRPr="002747CA" w:rsidRDefault="002747CA" w:rsidP="001A127E">
            <w:pPr>
              <w:spacing w:before="40" w:after="40"/>
              <w:ind w:left="-48" w:right="-7"/>
              <w:jc w:val="center"/>
              <w:rPr>
                <w:rFonts w:cs="Arial"/>
                <w:sz w:val="18"/>
                <w:szCs w:val="18"/>
                <w:lang w:val="es-HN"/>
              </w:rPr>
            </w:pPr>
            <w:r w:rsidRPr="002747CA">
              <w:rPr>
                <w:rFonts w:cs="Arial"/>
                <w:sz w:val="18"/>
                <w:szCs w:val="18"/>
                <w:lang w:val="es-HN"/>
              </w:rPr>
              <w:t>143</w:t>
            </w:r>
          </w:p>
        </w:tc>
        <w:tc>
          <w:tcPr>
            <w:tcW w:w="1007" w:type="dxa"/>
            <w:vAlign w:val="center"/>
          </w:tcPr>
          <w:p w14:paraId="647E535C" w14:textId="77777777" w:rsidR="002747CA" w:rsidRPr="002747CA" w:rsidRDefault="002747CA" w:rsidP="001A127E">
            <w:pPr>
              <w:spacing w:before="40" w:after="40"/>
              <w:ind w:left="-48" w:right="-7"/>
              <w:jc w:val="center"/>
              <w:rPr>
                <w:rFonts w:cs="Arial"/>
                <w:color w:val="000000" w:themeColor="text1"/>
                <w:sz w:val="18"/>
                <w:szCs w:val="18"/>
                <w:lang w:val="es-HN"/>
              </w:rPr>
            </w:pPr>
            <w:r w:rsidRPr="002747CA">
              <w:rPr>
                <w:rFonts w:cs="Arial"/>
                <w:color w:val="000000" w:themeColor="text1"/>
                <w:sz w:val="18"/>
                <w:szCs w:val="18"/>
                <w:lang w:val="es-HN"/>
              </w:rPr>
              <w:t>76</w:t>
            </w:r>
          </w:p>
        </w:tc>
        <w:tc>
          <w:tcPr>
            <w:tcW w:w="4206" w:type="dxa"/>
            <w:vMerge w:val="restart"/>
            <w:vAlign w:val="center"/>
          </w:tcPr>
          <w:p w14:paraId="5D50CA7C" w14:textId="77777777" w:rsidR="002747CA" w:rsidRPr="002747CA" w:rsidRDefault="002747CA" w:rsidP="002747CA">
            <w:pPr>
              <w:pStyle w:val="Default"/>
              <w:rPr>
                <w:rFonts w:ascii="Arial" w:hAnsi="Arial" w:cs="Arial"/>
                <w:color w:val="auto"/>
                <w:sz w:val="18"/>
                <w:szCs w:val="18"/>
                <w:lang w:val="es-HN"/>
              </w:rPr>
            </w:pPr>
            <w:r w:rsidRPr="002747CA">
              <w:rPr>
                <w:rFonts w:ascii="Arial" w:hAnsi="Arial" w:cs="Arial"/>
                <w:color w:val="000000" w:themeColor="text1"/>
                <w:sz w:val="18"/>
                <w:szCs w:val="18"/>
                <w:lang w:val="es-HN"/>
              </w:rPr>
              <w:t>La meta originalmente prevista, estaba relacionada directamente al número de sistemas a construir, por lo que al reducir dicho valor, automáticamente se reduce el número de sistemas a los cuales se evalúa la sostenibilidad.  La linea de base en la aprobación se refiere a los sistemas que ya funcionaban según especificaciones de diseño inicialmente, y las Junta que ya eran financieramente sostenibles. La meta tendría que haberse indicado, como línea de base + nuevos (sistemas, juntas). A partir de la matriz en elegibilidad+60 días se modifica adecuadamente la LB a 0,</w:t>
            </w:r>
          </w:p>
        </w:tc>
        <w:tc>
          <w:tcPr>
            <w:tcW w:w="1426" w:type="dxa"/>
            <w:vAlign w:val="center"/>
          </w:tcPr>
          <w:p w14:paraId="7F74DD9F"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41671027"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200990E5" w14:textId="77777777" w:rsidTr="008E2484">
        <w:trPr>
          <w:cantSplit/>
          <w:trHeight w:val="305"/>
        </w:trPr>
        <w:tc>
          <w:tcPr>
            <w:tcW w:w="1027" w:type="dxa"/>
            <w:vAlign w:val="center"/>
          </w:tcPr>
          <w:p w14:paraId="166CEA82" w14:textId="77777777" w:rsidR="002747CA" w:rsidRPr="002747CA" w:rsidRDefault="002747CA" w:rsidP="001A127E">
            <w:pPr>
              <w:rPr>
                <w:rFonts w:cs="Arial"/>
                <w:sz w:val="18"/>
                <w:szCs w:val="18"/>
                <w:lang w:val="es-HN"/>
              </w:rPr>
            </w:pPr>
            <w:r w:rsidRPr="002747CA">
              <w:rPr>
                <w:rFonts w:cs="Arial"/>
                <w:sz w:val="18"/>
                <w:szCs w:val="18"/>
                <w:lang w:val="es-HN"/>
              </w:rPr>
              <w:t>Resultado</w:t>
            </w:r>
          </w:p>
        </w:tc>
        <w:tc>
          <w:tcPr>
            <w:tcW w:w="2644" w:type="dxa"/>
            <w:vAlign w:val="center"/>
          </w:tcPr>
          <w:p w14:paraId="6B6D31C0" w14:textId="77777777" w:rsidR="002747CA" w:rsidRPr="002747CA" w:rsidRDefault="002747CA" w:rsidP="00954A8A">
            <w:pPr>
              <w:spacing w:before="40" w:after="40"/>
              <w:rPr>
                <w:rFonts w:cs="Arial"/>
                <w:sz w:val="18"/>
                <w:szCs w:val="18"/>
                <w:lang w:val="es-HN"/>
              </w:rPr>
            </w:pPr>
            <w:r w:rsidRPr="002747CA">
              <w:rPr>
                <w:rFonts w:cs="Arial"/>
                <w:sz w:val="18"/>
                <w:szCs w:val="18"/>
                <w:lang w:val="es-HN"/>
              </w:rPr>
              <w:t>Juntas de Agua financieramente sostenibles</w:t>
            </w:r>
          </w:p>
        </w:tc>
        <w:tc>
          <w:tcPr>
            <w:tcW w:w="1047" w:type="dxa"/>
            <w:vAlign w:val="center"/>
          </w:tcPr>
          <w:p w14:paraId="571A7940" w14:textId="77777777" w:rsidR="002747CA" w:rsidRPr="002747CA" w:rsidRDefault="002747CA" w:rsidP="001A127E">
            <w:pPr>
              <w:jc w:val="center"/>
              <w:rPr>
                <w:rFonts w:cs="Arial"/>
                <w:sz w:val="18"/>
                <w:szCs w:val="18"/>
                <w:lang w:val="es-HN"/>
              </w:rPr>
            </w:pPr>
            <w:r w:rsidRPr="002747CA">
              <w:rPr>
                <w:rFonts w:cs="Arial"/>
                <w:sz w:val="18"/>
                <w:szCs w:val="18"/>
                <w:lang w:val="es-HN"/>
              </w:rPr>
              <w:t>Meta al final de la Operación</w:t>
            </w:r>
          </w:p>
        </w:tc>
        <w:tc>
          <w:tcPr>
            <w:tcW w:w="938" w:type="dxa"/>
            <w:vAlign w:val="center"/>
          </w:tcPr>
          <w:p w14:paraId="2DAA78AC" w14:textId="77777777" w:rsidR="002747CA" w:rsidRPr="002747CA" w:rsidRDefault="002747CA" w:rsidP="001A127E">
            <w:pPr>
              <w:spacing w:before="40" w:after="40"/>
              <w:ind w:left="-48" w:right="-7"/>
              <w:jc w:val="center"/>
              <w:rPr>
                <w:rFonts w:cs="Arial"/>
                <w:sz w:val="18"/>
                <w:szCs w:val="18"/>
                <w:lang w:val="es-HN"/>
              </w:rPr>
            </w:pPr>
          </w:p>
        </w:tc>
        <w:tc>
          <w:tcPr>
            <w:tcW w:w="897" w:type="dxa"/>
            <w:vAlign w:val="center"/>
          </w:tcPr>
          <w:p w14:paraId="7FE431F3" w14:textId="77777777" w:rsidR="002747CA" w:rsidRPr="002747CA" w:rsidRDefault="002747CA" w:rsidP="002747CA">
            <w:pPr>
              <w:spacing w:before="40" w:after="40"/>
              <w:ind w:left="-48" w:right="-7"/>
              <w:jc w:val="center"/>
              <w:rPr>
                <w:rFonts w:cs="Arial"/>
                <w:sz w:val="18"/>
                <w:szCs w:val="18"/>
                <w:lang w:val="es-HN"/>
              </w:rPr>
            </w:pPr>
            <w:r w:rsidRPr="002747CA">
              <w:rPr>
                <w:rFonts w:cs="Arial"/>
                <w:sz w:val="18"/>
                <w:szCs w:val="18"/>
                <w:lang w:val="es-HN"/>
              </w:rPr>
              <w:t>143</w:t>
            </w:r>
          </w:p>
        </w:tc>
        <w:tc>
          <w:tcPr>
            <w:tcW w:w="1007" w:type="dxa"/>
            <w:vAlign w:val="center"/>
          </w:tcPr>
          <w:p w14:paraId="705D44D0" w14:textId="77777777" w:rsidR="002747CA" w:rsidRPr="002747CA" w:rsidRDefault="002747CA" w:rsidP="001A127E">
            <w:pPr>
              <w:spacing w:before="40" w:after="40"/>
              <w:ind w:left="-48" w:right="-7"/>
              <w:jc w:val="center"/>
              <w:rPr>
                <w:rFonts w:cs="Arial"/>
                <w:color w:val="000000" w:themeColor="text1"/>
                <w:sz w:val="18"/>
                <w:szCs w:val="18"/>
                <w:lang w:val="es-HN"/>
              </w:rPr>
            </w:pPr>
            <w:r w:rsidRPr="002747CA">
              <w:rPr>
                <w:rFonts w:cs="Arial"/>
                <w:color w:val="000000" w:themeColor="text1"/>
                <w:sz w:val="18"/>
                <w:szCs w:val="18"/>
                <w:lang w:val="es-HN"/>
              </w:rPr>
              <w:t>80</w:t>
            </w:r>
          </w:p>
        </w:tc>
        <w:tc>
          <w:tcPr>
            <w:tcW w:w="4206" w:type="dxa"/>
            <w:vMerge/>
            <w:vAlign w:val="center"/>
          </w:tcPr>
          <w:p w14:paraId="4525E469" w14:textId="77777777" w:rsidR="002747CA" w:rsidRPr="002747CA" w:rsidRDefault="002747CA" w:rsidP="001A127E">
            <w:pPr>
              <w:pStyle w:val="Default"/>
              <w:rPr>
                <w:rFonts w:ascii="Arial" w:hAnsi="Arial" w:cs="Arial"/>
                <w:color w:val="auto"/>
                <w:sz w:val="18"/>
                <w:szCs w:val="18"/>
                <w:lang w:val="es-HN"/>
              </w:rPr>
            </w:pPr>
          </w:p>
        </w:tc>
        <w:tc>
          <w:tcPr>
            <w:tcW w:w="1426" w:type="dxa"/>
            <w:vAlign w:val="center"/>
          </w:tcPr>
          <w:p w14:paraId="59B86BEE"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131176DC"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5C973C49" w14:textId="77777777" w:rsidTr="008E2484">
        <w:trPr>
          <w:cantSplit/>
          <w:trHeight w:val="305"/>
        </w:trPr>
        <w:tc>
          <w:tcPr>
            <w:tcW w:w="1027" w:type="dxa"/>
            <w:vAlign w:val="center"/>
          </w:tcPr>
          <w:p w14:paraId="2A0852CC" w14:textId="77777777" w:rsidR="002747CA" w:rsidRPr="002747CA" w:rsidRDefault="002747CA" w:rsidP="001A127E">
            <w:pPr>
              <w:rPr>
                <w:rFonts w:cs="Arial"/>
                <w:sz w:val="18"/>
                <w:szCs w:val="18"/>
                <w:lang w:val="es-HN"/>
              </w:rPr>
            </w:pPr>
            <w:r w:rsidRPr="002747CA">
              <w:rPr>
                <w:rFonts w:cs="Arial"/>
                <w:sz w:val="18"/>
                <w:szCs w:val="18"/>
                <w:lang w:val="es-HN"/>
              </w:rPr>
              <w:t>Resultado</w:t>
            </w:r>
          </w:p>
        </w:tc>
        <w:tc>
          <w:tcPr>
            <w:tcW w:w="2644" w:type="dxa"/>
            <w:vAlign w:val="center"/>
          </w:tcPr>
          <w:p w14:paraId="1C5D1907" w14:textId="77777777" w:rsidR="002747CA" w:rsidRPr="002747CA" w:rsidRDefault="002747CA" w:rsidP="00954A8A">
            <w:pPr>
              <w:spacing w:before="40" w:after="40"/>
              <w:rPr>
                <w:rFonts w:cs="Arial"/>
                <w:sz w:val="18"/>
                <w:szCs w:val="18"/>
                <w:lang w:val="es-HN"/>
              </w:rPr>
            </w:pPr>
            <w:proofErr w:type="spellStart"/>
            <w:r w:rsidRPr="002747CA">
              <w:rPr>
                <w:rFonts w:cs="Arial"/>
                <w:color w:val="333333"/>
              </w:rPr>
              <w:t>Tasa</w:t>
            </w:r>
            <w:proofErr w:type="spellEnd"/>
            <w:r w:rsidRPr="002747CA">
              <w:rPr>
                <w:rFonts w:cs="Arial"/>
                <w:color w:val="333333"/>
              </w:rPr>
              <w:t xml:space="preserve"> </w:t>
            </w:r>
            <w:proofErr w:type="spellStart"/>
            <w:r w:rsidRPr="002747CA">
              <w:rPr>
                <w:rFonts w:cs="Arial"/>
                <w:color w:val="333333"/>
              </w:rPr>
              <w:t>interna</w:t>
            </w:r>
            <w:proofErr w:type="spellEnd"/>
            <w:r w:rsidRPr="002747CA">
              <w:rPr>
                <w:rFonts w:cs="Arial"/>
                <w:color w:val="333333"/>
              </w:rPr>
              <w:t xml:space="preserve"> de </w:t>
            </w:r>
            <w:proofErr w:type="spellStart"/>
            <w:r w:rsidRPr="002747CA">
              <w:rPr>
                <w:rFonts w:cs="Arial"/>
                <w:color w:val="333333"/>
              </w:rPr>
              <w:t>retorno</w:t>
            </w:r>
            <w:proofErr w:type="spellEnd"/>
            <w:r w:rsidRPr="002747CA">
              <w:rPr>
                <w:rFonts w:cs="Arial"/>
                <w:color w:val="333333"/>
              </w:rPr>
              <w:t xml:space="preserve"> </w:t>
            </w:r>
            <w:proofErr w:type="spellStart"/>
            <w:r w:rsidRPr="002747CA">
              <w:rPr>
                <w:rFonts w:cs="Arial"/>
                <w:color w:val="333333"/>
              </w:rPr>
              <w:t>económico</w:t>
            </w:r>
            <w:proofErr w:type="spellEnd"/>
          </w:p>
        </w:tc>
        <w:tc>
          <w:tcPr>
            <w:tcW w:w="1047" w:type="dxa"/>
            <w:vAlign w:val="center"/>
          </w:tcPr>
          <w:p w14:paraId="3A95EEDF" w14:textId="77777777" w:rsidR="002747CA" w:rsidRPr="002747CA" w:rsidRDefault="002747CA" w:rsidP="001A127E">
            <w:pPr>
              <w:jc w:val="center"/>
              <w:rPr>
                <w:rFonts w:cs="Arial"/>
                <w:sz w:val="18"/>
                <w:szCs w:val="18"/>
                <w:lang w:val="es-HN"/>
              </w:rPr>
            </w:pPr>
          </w:p>
        </w:tc>
        <w:tc>
          <w:tcPr>
            <w:tcW w:w="938" w:type="dxa"/>
            <w:vAlign w:val="center"/>
          </w:tcPr>
          <w:p w14:paraId="24F9A5DF" w14:textId="77777777" w:rsidR="002747CA" w:rsidRPr="002747CA" w:rsidRDefault="002747CA" w:rsidP="001A127E">
            <w:pPr>
              <w:spacing w:before="40" w:after="40"/>
              <w:ind w:left="-48" w:right="-7"/>
              <w:jc w:val="center"/>
              <w:rPr>
                <w:rFonts w:cs="Arial"/>
                <w:sz w:val="18"/>
                <w:szCs w:val="18"/>
                <w:lang w:val="es-HN"/>
              </w:rPr>
            </w:pPr>
          </w:p>
        </w:tc>
        <w:tc>
          <w:tcPr>
            <w:tcW w:w="897" w:type="dxa"/>
            <w:vAlign w:val="center"/>
          </w:tcPr>
          <w:p w14:paraId="185D3315" w14:textId="77777777" w:rsidR="002747CA" w:rsidRPr="002747CA" w:rsidRDefault="002747CA" w:rsidP="002747CA">
            <w:pPr>
              <w:spacing w:before="40" w:after="40"/>
              <w:ind w:left="-48" w:right="-7"/>
              <w:jc w:val="center"/>
              <w:rPr>
                <w:rFonts w:cs="Arial"/>
                <w:sz w:val="18"/>
                <w:szCs w:val="18"/>
                <w:lang w:val="es-HN"/>
              </w:rPr>
            </w:pPr>
            <w:r w:rsidRPr="002747CA">
              <w:rPr>
                <w:sz w:val="18"/>
                <w:szCs w:val="18"/>
                <w:lang w:val="es-HN"/>
              </w:rPr>
              <w:t>&gt;=12%</w:t>
            </w:r>
          </w:p>
        </w:tc>
        <w:tc>
          <w:tcPr>
            <w:tcW w:w="1007" w:type="dxa"/>
            <w:vAlign w:val="center"/>
          </w:tcPr>
          <w:p w14:paraId="4A7D62A7" w14:textId="77777777" w:rsidR="002747CA" w:rsidRPr="002747CA" w:rsidRDefault="002747CA" w:rsidP="001A127E">
            <w:pPr>
              <w:spacing w:before="40" w:after="40"/>
              <w:ind w:left="-48" w:right="-7"/>
              <w:jc w:val="center"/>
              <w:rPr>
                <w:rFonts w:cs="Arial"/>
                <w:color w:val="000000" w:themeColor="text1"/>
                <w:sz w:val="18"/>
                <w:szCs w:val="18"/>
                <w:lang w:val="es-HN"/>
              </w:rPr>
            </w:pPr>
            <w:r w:rsidRPr="002747CA">
              <w:rPr>
                <w:rFonts w:cs="Arial"/>
                <w:color w:val="000000" w:themeColor="text1"/>
                <w:sz w:val="18"/>
                <w:szCs w:val="18"/>
                <w:lang w:val="es-HN"/>
              </w:rPr>
              <w:t>12</w:t>
            </w:r>
          </w:p>
        </w:tc>
        <w:tc>
          <w:tcPr>
            <w:tcW w:w="4206" w:type="dxa"/>
            <w:vAlign w:val="center"/>
          </w:tcPr>
          <w:p w14:paraId="473E7915" w14:textId="77777777" w:rsidR="002747CA" w:rsidRPr="00984CBC" w:rsidRDefault="002747CA" w:rsidP="001A127E">
            <w:pPr>
              <w:pStyle w:val="Default"/>
              <w:rPr>
                <w:rFonts w:ascii="Arial" w:hAnsi="Arial" w:cs="Arial"/>
                <w:color w:val="auto"/>
                <w:sz w:val="18"/>
                <w:szCs w:val="18"/>
                <w:lang w:val="es-ES_tradnl"/>
              </w:rPr>
            </w:pPr>
            <w:r w:rsidRPr="002747CA">
              <w:rPr>
                <w:rFonts w:cs="Arial"/>
                <w:color w:val="000000" w:themeColor="text1"/>
                <w:sz w:val="18"/>
                <w:szCs w:val="18"/>
                <w:lang w:val="es-HN"/>
              </w:rPr>
              <w:t xml:space="preserve">La meta modificada está mal concebida y definida (12%) y no expresa con claridad el propósito de </w:t>
            </w:r>
            <w:proofErr w:type="gramStart"/>
            <w:r w:rsidRPr="002747CA">
              <w:rPr>
                <w:rFonts w:cs="Arial"/>
                <w:color w:val="000000" w:themeColor="text1"/>
                <w:sz w:val="18"/>
                <w:szCs w:val="18"/>
                <w:lang w:val="es-HN"/>
              </w:rPr>
              <w:t>la misma</w:t>
            </w:r>
            <w:proofErr w:type="gramEnd"/>
            <w:r w:rsidRPr="002747CA">
              <w:rPr>
                <w:rFonts w:cs="Arial"/>
                <w:color w:val="000000" w:themeColor="text1"/>
                <w:sz w:val="18"/>
                <w:szCs w:val="18"/>
                <w:lang w:val="es-HN"/>
              </w:rPr>
              <w:t xml:space="preserve"> (mayor o igual a 12); sin embargo, el sistema no permite medir de esa manera el indicador</w:t>
            </w:r>
          </w:p>
        </w:tc>
        <w:tc>
          <w:tcPr>
            <w:tcW w:w="1426" w:type="dxa"/>
            <w:vAlign w:val="center"/>
          </w:tcPr>
          <w:p w14:paraId="42B8015B" w14:textId="77777777" w:rsidR="002747CA" w:rsidRPr="002747CA" w:rsidRDefault="002747CA" w:rsidP="008E2484">
            <w:pPr>
              <w:pStyle w:val="Default"/>
              <w:jc w:val="center"/>
              <w:rPr>
                <w:rFonts w:ascii="Arial" w:hAnsi="Arial" w:cs="Arial"/>
                <w:color w:val="auto"/>
                <w:sz w:val="18"/>
                <w:szCs w:val="18"/>
              </w:rPr>
            </w:pPr>
            <w:r w:rsidRPr="002747CA">
              <w:rPr>
                <w:rFonts w:ascii="Arial" w:hAnsi="Arial" w:cs="Arial"/>
                <w:color w:val="auto"/>
                <w:sz w:val="18"/>
                <w:szCs w:val="18"/>
              </w:rPr>
              <w:t>Mar-2012</w:t>
            </w:r>
          </w:p>
        </w:tc>
        <w:tc>
          <w:tcPr>
            <w:tcW w:w="1398" w:type="dxa"/>
            <w:vAlign w:val="center"/>
          </w:tcPr>
          <w:p w14:paraId="2818DB06" w14:textId="77777777" w:rsidR="002747CA" w:rsidRPr="002747CA" w:rsidRDefault="002747CA" w:rsidP="008E2484">
            <w:pPr>
              <w:pStyle w:val="Default"/>
              <w:jc w:val="center"/>
              <w:rPr>
                <w:rFonts w:ascii="Arial" w:hAnsi="Arial" w:cs="Arial"/>
                <w:color w:val="auto"/>
                <w:sz w:val="18"/>
                <w:szCs w:val="18"/>
              </w:rPr>
            </w:pPr>
            <w:r w:rsidRPr="002747CA">
              <w:rPr>
                <w:rFonts w:ascii="Arial" w:hAnsi="Arial" w:cs="Arial"/>
                <w:color w:val="auto"/>
                <w:sz w:val="18"/>
                <w:szCs w:val="18"/>
              </w:rPr>
              <w:t>Mar-2012</w:t>
            </w:r>
          </w:p>
        </w:tc>
      </w:tr>
      <w:tr w:rsidR="002747CA" w:rsidRPr="002747CA" w14:paraId="3034982E" w14:textId="77777777" w:rsidTr="008E2484">
        <w:trPr>
          <w:cantSplit/>
          <w:trHeight w:val="305"/>
        </w:trPr>
        <w:tc>
          <w:tcPr>
            <w:tcW w:w="1027" w:type="dxa"/>
            <w:vAlign w:val="center"/>
          </w:tcPr>
          <w:p w14:paraId="30F0A4D2"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1AEFE023" w14:textId="77777777" w:rsidR="002747CA" w:rsidRPr="002747CA" w:rsidRDefault="002747CA" w:rsidP="00954A8A">
            <w:pPr>
              <w:rPr>
                <w:rFonts w:cs="Arial"/>
                <w:color w:val="000000"/>
                <w:sz w:val="18"/>
                <w:szCs w:val="18"/>
                <w:lang w:val="es-HN"/>
              </w:rPr>
            </w:pPr>
            <w:r w:rsidRPr="002747CA">
              <w:rPr>
                <w:rFonts w:cs="Arial"/>
                <w:color w:val="000000"/>
                <w:sz w:val="18"/>
                <w:szCs w:val="18"/>
                <w:lang w:val="es-HN"/>
              </w:rPr>
              <w:t>Sistema de agua potable nuevos construidos en comunidades rurales menores a 2.000 habitantes construidos</w:t>
            </w:r>
          </w:p>
        </w:tc>
        <w:tc>
          <w:tcPr>
            <w:tcW w:w="1047" w:type="dxa"/>
            <w:vAlign w:val="center"/>
          </w:tcPr>
          <w:p w14:paraId="7F765C01"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7AB48287" w14:textId="77777777" w:rsidR="002747CA" w:rsidRPr="002747CA" w:rsidRDefault="002747CA" w:rsidP="001A127E">
            <w:pPr>
              <w:jc w:val="center"/>
              <w:rPr>
                <w:rFonts w:cs="Arial"/>
                <w:color w:val="000000"/>
                <w:sz w:val="18"/>
                <w:szCs w:val="18"/>
                <w:lang w:val="es-HN"/>
              </w:rPr>
            </w:pPr>
          </w:p>
        </w:tc>
        <w:tc>
          <w:tcPr>
            <w:tcW w:w="897" w:type="dxa"/>
            <w:vAlign w:val="center"/>
          </w:tcPr>
          <w:p w14:paraId="7A007218" w14:textId="77777777" w:rsidR="002747CA" w:rsidRPr="002747CA" w:rsidRDefault="002747CA" w:rsidP="001A127E">
            <w:pPr>
              <w:jc w:val="center"/>
              <w:rPr>
                <w:rFonts w:cs="Arial"/>
                <w:color w:val="000000"/>
                <w:sz w:val="18"/>
                <w:szCs w:val="18"/>
              </w:rPr>
            </w:pPr>
            <w:r w:rsidRPr="002747CA">
              <w:rPr>
                <w:rFonts w:cs="Arial"/>
                <w:color w:val="000000"/>
                <w:sz w:val="18"/>
                <w:szCs w:val="18"/>
              </w:rPr>
              <w:t>123</w:t>
            </w:r>
          </w:p>
        </w:tc>
        <w:tc>
          <w:tcPr>
            <w:tcW w:w="1007" w:type="dxa"/>
            <w:vAlign w:val="center"/>
          </w:tcPr>
          <w:p w14:paraId="7E260910" w14:textId="77777777" w:rsidR="002747CA" w:rsidRPr="002747CA" w:rsidRDefault="002747CA" w:rsidP="001A127E">
            <w:pPr>
              <w:jc w:val="center"/>
              <w:rPr>
                <w:rFonts w:cs="Arial"/>
                <w:color w:val="000000"/>
                <w:sz w:val="18"/>
                <w:szCs w:val="18"/>
              </w:rPr>
            </w:pPr>
            <w:r w:rsidRPr="002747CA">
              <w:rPr>
                <w:rFonts w:cs="Arial"/>
                <w:color w:val="000000"/>
                <w:sz w:val="18"/>
                <w:szCs w:val="18"/>
              </w:rPr>
              <w:t>57</w:t>
            </w:r>
          </w:p>
        </w:tc>
        <w:tc>
          <w:tcPr>
            <w:tcW w:w="4206" w:type="dxa"/>
            <w:vAlign w:val="center"/>
          </w:tcPr>
          <w:p w14:paraId="14369EE1" w14:textId="77777777" w:rsidR="002747CA" w:rsidRPr="002747CA" w:rsidRDefault="002747CA" w:rsidP="001A127E">
            <w:pPr>
              <w:spacing w:before="40" w:after="40"/>
              <w:rPr>
                <w:rFonts w:cs="Arial"/>
                <w:color w:val="000000" w:themeColor="text1"/>
                <w:sz w:val="18"/>
                <w:szCs w:val="18"/>
                <w:lang w:val="es-HN"/>
              </w:rPr>
            </w:pPr>
            <w:r w:rsidRPr="002747CA">
              <w:rPr>
                <w:rFonts w:cs="Arial"/>
                <w:color w:val="000000" w:themeColor="text1"/>
                <w:sz w:val="18"/>
                <w:szCs w:val="18"/>
                <w:lang w:val="es-HN"/>
              </w:rPr>
              <w:t>La meta al final del proyecto y lo ejecutado en la operación se modificó debido a:</w:t>
            </w:r>
          </w:p>
          <w:p w14:paraId="0E79DF27" w14:textId="77777777" w:rsidR="002747CA" w:rsidRPr="002747CA" w:rsidRDefault="002747CA" w:rsidP="001A127E">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Se incorporaron inversiones diferentes a las previstas inicialmente, reduciendo el monto disponible para la construcción de sistemas</w:t>
            </w:r>
          </w:p>
          <w:p w14:paraId="7472A498" w14:textId="77777777" w:rsidR="002747CA" w:rsidRPr="002747CA" w:rsidRDefault="002747CA" w:rsidP="001A127E">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Los costos promedios se incrementaron, reduciendo el número sistemas construidos</w:t>
            </w:r>
            <w:r w:rsidRPr="002747CA">
              <w:rPr>
                <w:rFonts w:cs="Arial"/>
                <w:color w:val="000000"/>
                <w:sz w:val="18"/>
                <w:szCs w:val="18"/>
                <w:lang w:val="es-HN" w:eastAsia="es-HN"/>
              </w:rPr>
              <w:t> </w:t>
            </w:r>
          </w:p>
        </w:tc>
        <w:tc>
          <w:tcPr>
            <w:tcW w:w="1426" w:type="dxa"/>
            <w:vAlign w:val="center"/>
          </w:tcPr>
          <w:p w14:paraId="6D215BB8"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33C88F77"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5F840A67" w14:textId="77777777" w:rsidTr="008E2484">
        <w:trPr>
          <w:cantSplit/>
          <w:trHeight w:val="305"/>
        </w:trPr>
        <w:tc>
          <w:tcPr>
            <w:tcW w:w="1027" w:type="dxa"/>
            <w:vAlign w:val="center"/>
          </w:tcPr>
          <w:p w14:paraId="6CBEEF48"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73EE7D70" w14:textId="77777777" w:rsidR="002747CA" w:rsidRPr="002747CA" w:rsidRDefault="002747CA" w:rsidP="003D559C">
            <w:pPr>
              <w:rPr>
                <w:rFonts w:cs="Arial"/>
                <w:color w:val="000000"/>
                <w:sz w:val="18"/>
                <w:szCs w:val="18"/>
                <w:lang w:val="es-HN"/>
              </w:rPr>
            </w:pPr>
            <w:r w:rsidRPr="002747CA">
              <w:rPr>
                <w:rFonts w:cs="Arial"/>
                <w:color w:val="000000"/>
                <w:sz w:val="18"/>
                <w:szCs w:val="18"/>
                <w:lang w:val="es-HN"/>
              </w:rPr>
              <w:t xml:space="preserve">Sistema de agua potable mejorados en comunidades rurales menores a 2.000 habitantes </w:t>
            </w:r>
          </w:p>
        </w:tc>
        <w:tc>
          <w:tcPr>
            <w:tcW w:w="1047" w:type="dxa"/>
            <w:vAlign w:val="center"/>
          </w:tcPr>
          <w:p w14:paraId="1F4F1B44"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38D5B0A2" w14:textId="77777777" w:rsidR="002747CA" w:rsidRPr="002747CA" w:rsidRDefault="002747CA" w:rsidP="001A127E">
            <w:pPr>
              <w:jc w:val="center"/>
              <w:rPr>
                <w:rFonts w:cs="Arial"/>
                <w:color w:val="000000"/>
                <w:sz w:val="18"/>
                <w:szCs w:val="18"/>
                <w:lang w:val="es-HN"/>
              </w:rPr>
            </w:pPr>
          </w:p>
        </w:tc>
        <w:tc>
          <w:tcPr>
            <w:tcW w:w="897" w:type="dxa"/>
            <w:vAlign w:val="center"/>
          </w:tcPr>
          <w:p w14:paraId="78E601C7" w14:textId="77777777" w:rsidR="002747CA" w:rsidRPr="002747CA" w:rsidRDefault="002747CA" w:rsidP="001A127E">
            <w:pPr>
              <w:jc w:val="center"/>
              <w:rPr>
                <w:rFonts w:cs="Arial"/>
                <w:color w:val="000000"/>
                <w:sz w:val="18"/>
                <w:szCs w:val="18"/>
              </w:rPr>
            </w:pPr>
            <w:r w:rsidRPr="002747CA">
              <w:rPr>
                <w:rFonts w:cs="Arial"/>
                <w:color w:val="000000"/>
                <w:sz w:val="18"/>
                <w:szCs w:val="18"/>
              </w:rPr>
              <w:t>20</w:t>
            </w:r>
          </w:p>
        </w:tc>
        <w:tc>
          <w:tcPr>
            <w:tcW w:w="1007" w:type="dxa"/>
            <w:vAlign w:val="center"/>
          </w:tcPr>
          <w:p w14:paraId="2ADF21B6" w14:textId="77777777" w:rsidR="002747CA" w:rsidRPr="002747CA" w:rsidRDefault="002747CA" w:rsidP="001A127E">
            <w:pPr>
              <w:jc w:val="center"/>
              <w:rPr>
                <w:rFonts w:cs="Arial"/>
                <w:color w:val="000000"/>
                <w:sz w:val="18"/>
                <w:szCs w:val="18"/>
              </w:rPr>
            </w:pPr>
            <w:r w:rsidRPr="002747CA">
              <w:rPr>
                <w:rFonts w:cs="Arial"/>
                <w:color w:val="000000"/>
                <w:sz w:val="18"/>
                <w:szCs w:val="18"/>
              </w:rPr>
              <w:t>17</w:t>
            </w:r>
          </w:p>
        </w:tc>
        <w:tc>
          <w:tcPr>
            <w:tcW w:w="4206" w:type="dxa"/>
            <w:vAlign w:val="center"/>
          </w:tcPr>
          <w:p w14:paraId="4D1D04AE" w14:textId="77777777" w:rsidR="002747CA" w:rsidRPr="002747CA" w:rsidRDefault="002747CA" w:rsidP="001A127E">
            <w:pPr>
              <w:spacing w:before="40" w:after="40"/>
              <w:rPr>
                <w:rFonts w:cs="Arial"/>
                <w:color w:val="000000" w:themeColor="text1"/>
                <w:sz w:val="18"/>
                <w:szCs w:val="18"/>
                <w:lang w:val="es-HN"/>
              </w:rPr>
            </w:pPr>
            <w:r w:rsidRPr="002747CA">
              <w:rPr>
                <w:rFonts w:cs="Arial"/>
                <w:color w:val="000000" w:themeColor="text1"/>
                <w:sz w:val="18"/>
                <w:szCs w:val="18"/>
                <w:lang w:val="es-HN"/>
              </w:rPr>
              <w:t>La meta al final del proyecto y lo ejecutado en la operación se modificó debido a:</w:t>
            </w:r>
          </w:p>
          <w:p w14:paraId="6D495E93" w14:textId="77777777" w:rsidR="002747CA" w:rsidRPr="002747CA" w:rsidRDefault="002747CA" w:rsidP="001A127E">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Se incorporaron inversiones diferentes a las previstas inicialmente, reduciendo el monto disponible para la construcción de sistemas</w:t>
            </w:r>
          </w:p>
          <w:p w14:paraId="32BE25AA" w14:textId="77777777" w:rsidR="002747CA" w:rsidRPr="002747CA" w:rsidRDefault="002747CA" w:rsidP="001A127E">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Los costos promedios se incrementaron, reduciendo el número sistemas construidos.</w:t>
            </w:r>
          </w:p>
          <w:p w14:paraId="43B7B2C4" w14:textId="77777777" w:rsidR="002747CA" w:rsidRPr="002747CA" w:rsidRDefault="002747CA" w:rsidP="001A127E">
            <w:pPr>
              <w:pStyle w:val="ListParagraph"/>
              <w:numPr>
                <w:ilvl w:val="0"/>
                <w:numId w:val="4"/>
              </w:numPr>
              <w:spacing w:before="40" w:after="40"/>
              <w:ind w:left="187" w:hanging="187"/>
              <w:contextualSpacing w:val="0"/>
              <w:rPr>
                <w:rFonts w:cs="Arial"/>
                <w:color w:val="000000" w:themeColor="text1"/>
                <w:sz w:val="18"/>
                <w:szCs w:val="18"/>
                <w:lang w:val="es-HN"/>
              </w:rPr>
            </w:pPr>
            <w:r w:rsidRPr="002747CA">
              <w:rPr>
                <w:rFonts w:cs="Arial"/>
                <w:sz w:val="18"/>
                <w:szCs w:val="14"/>
                <w:lang w:val="es-HN"/>
              </w:rPr>
              <w:t>Las característica de los sistemas construidos cambiaron con respecto a las características inicialmente previstas, por lo que se redujo el número de sistemas identificados como “mejorados”</w:t>
            </w:r>
          </w:p>
        </w:tc>
        <w:tc>
          <w:tcPr>
            <w:tcW w:w="1426" w:type="dxa"/>
            <w:vAlign w:val="center"/>
          </w:tcPr>
          <w:p w14:paraId="7951D208"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52F36C06"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6E792910" w14:textId="77777777" w:rsidTr="008E2484">
        <w:trPr>
          <w:cantSplit/>
          <w:trHeight w:val="305"/>
        </w:trPr>
        <w:tc>
          <w:tcPr>
            <w:tcW w:w="1027" w:type="dxa"/>
            <w:vAlign w:val="center"/>
          </w:tcPr>
          <w:p w14:paraId="679004A8"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1B0F88CF" w14:textId="77777777" w:rsidR="002747CA" w:rsidRPr="002747CA" w:rsidRDefault="002747CA" w:rsidP="003D559C">
            <w:pPr>
              <w:rPr>
                <w:rFonts w:cs="Arial"/>
                <w:color w:val="000000"/>
                <w:sz w:val="18"/>
                <w:szCs w:val="18"/>
                <w:lang w:val="es-HN"/>
              </w:rPr>
            </w:pPr>
            <w:r w:rsidRPr="002747CA">
              <w:rPr>
                <w:rFonts w:cs="Arial"/>
                <w:color w:val="000000"/>
                <w:sz w:val="18"/>
                <w:szCs w:val="18"/>
                <w:lang w:val="es-HN"/>
              </w:rPr>
              <w:t xml:space="preserve">Talleres de capacitación en participación comunitaria realizados </w:t>
            </w:r>
          </w:p>
        </w:tc>
        <w:tc>
          <w:tcPr>
            <w:tcW w:w="1047" w:type="dxa"/>
            <w:vAlign w:val="center"/>
          </w:tcPr>
          <w:p w14:paraId="3E0036A1"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293C98A1" w14:textId="77777777" w:rsidR="002747CA" w:rsidRPr="002747CA" w:rsidRDefault="002747CA" w:rsidP="001A127E">
            <w:pPr>
              <w:jc w:val="center"/>
              <w:rPr>
                <w:rFonts w:cs="Arial"/>
                <w:color w:val="000000"/>
                <w:sz w:val="18"/>
                <w:szCs w:val="18"/>
                <w:lang w:val="es-HN"/>
              </w:rPr>
            </w:pPr>
          </w:p>
        </w:tc>
        <w:tc>
          <w:tcPr>
            <w:tcW w:w="897" w:type="dxa"/>
            <w:vAlign w:val="center"/>
          </w:tcPr>
          <w:p w14:paraId="14B81FAC" w14:textId="77777777" w:rsidR="002747CA" w:rsidRPr="002747CA" w:rsidRDefault="002747CA" w:rsidP="001A127E">
            <w:pPr>
              <w:jc w:val="center"/>
              <w:rPr>
                <w:rFonts w:cs="Arial"/>
                <w:color w:val="000000"/>
                <w:sz w:val="18"/>
                <w:szCs w:val="18"/>
              </w:rPr>
            </w:pPr>
            <w:r w:rsidRPr="002747CA">
              <w:rPr>
                <w:rFonts w:cs="Arial"/>
                <w:color w:val="000000"/>
                <w:sz w:val="18"/>
                <w:szCs w:val="18"/>
              </w:rPr>
              <w:t>286</w:t>
            </w:r>
          </w:p>
        </w:tc>
        <w:tc>
          <w:tcPr>
            <w:tcW w:w="1007" w:type="dxa"/>
            <w:vAlign w:val="center"/>
          </w:tcPr>
          <w:p w14:paraId="76A3D263" w14:textId="77777777" w:rsidR="002747CA" w:rsidRPr="002747CA" w:rsidRDefault="002747CA" w:rsidP="001A127E">
            <w:pPr>
              <w:jc w:val="center"/>
              <w:rPr>
                <w:rFonts w:cs="Arial"/>
                <w:color w:val="000000"/>
                <w:sz w:val="18"/>
                <w:szCs w:val="18"/>
              </w:rPr>
            </w:pPr>
            <w:r w:rsidRPr="002747CA">
              <w:rPr>
                <w:rFonts w:cs="Arial"/>
                <w:color w:val="000000"/>
                <w:sz w:val="18"/>
                <w:szCs w:val="18"/>
              </w:rPr>
              <w:t>267</w:t>
            </w:r>
          </w:p>
        </w:tc>
        <w:tc>
          <w:tcPr>
            <w:tcW w:w="4206" w:type="dxa"/>
            <w:vAlign w:val="center"/>
          </w:tcPr>
          <w:p w14:paraId="05CB160E" w14:textId="77777777" w:rsidR="002747CA" w:rsidRPr="002747CA" w:rsidRDefault="002747CA" w:rsidP="003D559C">
            <w:pPr>
              <w:spacing w:before="40" w:after="40"/>
              <w:rPr>
                <w:rFonts w:cs="Arial"/>
                <w:color w:val="000000" w:themeColor="text1"/>
                <w:sz w:val="18"/>
                <w:szCs w:val="18"/>
                <w:lang w:val="es-HN"/>
              </w:rPr>
            </w:pPr>
            <w:r w:rsidRPr="002747CA">
              <w:rPr>
                <w:rFonts w:cs="Arial"/>
                <w:color w:val="000000" w:themeColor="text1"/>
                <w:sz w:val="18"/>
                <w:szCs w:val="18"/>
                <w:lang w:val="es-HN"/>
              </w:rPr>
              <w:t xml:space="preserve">Si bien es cierto el número de sistemas construidos se redujo, el número de capacitaciones por junta de junta de agua se incrementó, como resultado de la programación de actividades con la comunidad. </w:t>
            </w:r>
          </w:p>
        </w:tc>
        <w:tc>
          <w:tcPr>
            <w:tcW w:w="1426" w:type="dxa"/>
            <w:vAlign w:val="center"/>
          </w:tcPr>
          <w:p w14:paraId="5B19D4C0"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0903B666"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02F4EEDD" w14:textId="77777777" w:rsidTr="008E2484">
        <w:trPr>
          <w:cantSplit/>
          <w:trHeight w:val="305"/>
        </w:trPr>
        <w:tc>
          <w:tcPr>
            <w:tcW w:w="1027" w:type="dxa"/>
            <w:vAlign w:val="center"/>
          </w:tcPr>
          <w:p w14:paraId="39294BFD"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00550873" w14:textId="77777777" w:rsidR="002747CA" w:rsidRPr="002747CA" w:rsidRDefault="002747CA" w:rsidP="003D559C">
            <w:pPr>
              <w:rPr>
                <w:rFonts w:cs="Arial"/>
                <w:color w:val="000000"/>
                <w:sz w:val="18"/>
                <w:szCs w:val="18"/>
                <w:lang w:val="es-HN"/>
              </w:rPr>
            </w:pPr>
            <w:r w:rsidRPr="002747CA">
              <w:rPr>
                <w:rFonts w:cs="Arial"/>
                <w:color w:val="000000"/>
                <w:sz w:val="18"/>
                <w:szCs w:val="18"/>
                <w:lang w:val="es-HN"/>
              </w:rPr>
              <w:t>Talleres de capacitación sobre leyes y reglamentación de Juntas de Agua realizados (Para juntas de agua)</w:t>
            </w:r>
          </w:p>
        </w:tc>
        <w:tc>
          <w:tcPr>
            <w:tcW w:w="1047" w:type="dxa"/>
            <w:vAlign w:val="center"/>
          </w:tcPr>
          <w:p w14:paraId="5931C798"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65C2E550" w14:textId="77777777" w:rsidR="002747CA" w:rsidRPr="002747CA" w:rsidRDefault="002747CA" w:rsidP="001A127E">
            <w:pPr>
              <w:jc w:val="center"/>
              <w:rPr>
                <w:rFonts w:cs="Arial"/>
                <w:color w:val="000000"/>
                <w:sz w:val="18"/>
                <w:szCs w:val="18"/>
                <w:lang w:val="es-HN"/>
              </w:rPr>
            </w:pPr>
          </w:p>
        </w:tc>
        <w:tc>
          <w:tcPr>
            <w:tcW w:w="897" w:type="dxa"/>
            <w:vAlign w:val="center"/>
          </w:tcPr>
          <w:p w14:paraId="00E42727" w14:textId="77777777" w:rsidR="002747CA" w:rsidRPr="002747CA" w:rsidRDefault="002747CA" w:rsidP="001A127E">
            <w:pPr>
              <w:jc w:val="center"/>
              <w:rPr>
                <w:rFonts w:cs="Arial"/>
                <w:color w:val="000000"/>
                <w:sz w:val="18"/>
                <w:szCs w:val="18"/>
              </w:rPr>
            </w:pPr>
            <w:r w:rsidRPr="002747CA">
              <w:rPr>
                <w:rFonts w:cs="Arial"/>
                <w:color w:val="000000"/>
                <w:sz w:val="18"/>
                <w:szCs w:val="18"/>
              </w:rPr>
              <w:t>286</w:t>
            </w:r>
          </w:p>
        </w:tc>
        <w:tc>
          <w:tcPr>
            <w:tcW w:w="1007" w:type="dxa"/>
            <w:vAlign w:val="center"/>
          </w:tcPr>
          <w:p w14:paraId="4BBEA4A9" w14:textId="77777777" w:rsidR="002747CA" w:rsidRPr="002747CA" w:rsidRDefault="002747CA" w:rsidP="001A127E">
            <w:pPr>
              <w:jc w:val="center"/>
              <w:rPr>
                <w:rFonts w:cs="Arial"/>
                <w:color w:val="000000"/>
                <w:sz w:val="18"/>
                <w:szCs w:val="18"/>
              </w:rPr>
            </w:pPr>
            <w:r w:rsidRPr="002747CA">
              <w:rPr>
                <w:rFonts w:cs="Arial"/>
                <w:color w:val="000000"/>
                <w:sz w:val="18"/>
                <w:szCs w:val="18"/>
              </w:rPr>
              <w:t>110</w:t>
            </w:r>
          </w:p>
        </w:tc>
        <w:tc>
          <w:tcPr>
            <w:tcW w:w="4206" w:type="dxa"/>
            <w:vMerge w:val="restart"/>
            <w:vAlign w:val="center"/>
          </w:tcPr>
          <w:p w14:paraId="6BBFC8A6" w14:textId="77777777" w:rsidR="002747CA" w:rsidRPr="002747CA" w:rsidRDefault="002747CA" w:rsidP="001A127E">
            <w:pPr>
              <w:pStyle w:val="Default"/>
              <w:spacing w:before="40" w:after="40"/>
              <w:rPr>
                <w:rFonts w:ascii="Arial" w:hAnsi="Arial" w:cs="Arial"/>
                <w:color w:val="auto"/>
                <w:sz w:val="18"/>
                <w:szCs w:val="18"/>
                <w:lang w:val="es-HN"/>
              </w:rPr>
            </w:pPr>
            <w:r w:rsidRPr="002747CA">
              <w:rPr>
                <w:rFonts w:ascii="Arial" w:hAnsi="Arial" w:cs="Arial"/>
                <w:color w:val="000000" w:themeColor="text1"/>
                <w:sz w:val="18"/>
                <w:szCs w:val="18"/>
                <w:lang w:val="es-HN"/>
              </w:rPr>
              <w:t>Al reducir el número de sistemas construidos, directamente se reduce el número de juntas de agua a ser capacitadas y el número de talleres dirigidos a las juntas de agua con posibilidad de ser impartidos</w:t>
            </w:r>
          </w:p>
        </w:tc>
        <w:tc>
          <w:tcPr>
            <w:tcW w:w="1426" w:type="dxa"/>
            <w:vAlign w:val="center"/>
          </w:tcPr>
          <w:p w14:paraId="37818B21"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7FC35085"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744E41FD" w14:textId="77777777" w:rsidTr="008E2484">
        <w:trPr>
          <w:cantSplit/>
          <w:trHeight w:val="305"/>
        </w:trPr>
        <w:tc>
          <w:tcPr>
            <w:tcW w:w="1027" w:type="dxa"/>
            <w:vAlign w:val="center"/>
          </w:tcPr>
          <w:p w14:paraId="097C412C"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7EDCE0E4" w14:textId="77777777" w:rsidR="002747CA" w:rsidRPr="002747CA" w:rsidRDefault="002747CA" w:rsidP="003D559C">
            <w:pPr>
              <w:rPr>
                <w:rFonts w:cs="Arial"/>
                <w:color w:val="000000"/>
                <w:sz w:val="18"/>
                <w:szCs w:val="18"/>
                <w:lang w:val="es-HN"/>
              </w:rPr>
            </w:pPr>
            <w:r w:rsidRPr="002747CA">
              <w:rPr>
                <w:rFonts w:cs="Arial"/>
                <w:color w:val="000000"/>
                <w:sz w:val="18"/>
                <w:szCs w:val="18"/>
                <w:lang w:val="es-HN"/>
              </w:rPr>
              <w:t>Talleres de capacitación en administración de sistemas realizados (para Juntas Administradoras de Agua)</w:t>
            </w:r>
          </w:p>
        </w:tc>
        <w:tc>
          <w:tcPr>
            <w:tcW w:w="1047" w:type="dxa"/>
            <w:vAlign w:val="center"/>
          </w:tcPr>
          <w:p w14:paraId="7AAC8C97"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489A8500" w14:textId="77777777" w:rsidR="002747CA" w:rsidRPr="002747CA" w:rsidRDefault="002747CA" w:rsidP="001A127E">
            <w:pPr>
              <w:jc w:val="center"/>
              <w:rPr>
                <w:rFonts w:cs="Arial"/>
                <w:color w:val="000000"/>
                <w:sz w:val="18"/>
                <w:szCs w:val="18"/>
                <w:lang w:val="es-HN"/>
              </w:rPr>
            </w:pPr>
          </w:p>
        </w:tc>
        <w:tc>
          <w:tcPr>
            <w:tcW w:w="897" w:type="dxa"/>
            <w:vAlign w:val="center"/>
          </w:tcPr>
          <w:p w14:paraId="6AED2C7C" w14:textId="77777777" w:rsidR="002747CA" w:rsidRPr="002747CA" w:rsidRDefault="002747CA" w:rsidP="001A127E">
            <w:pPr>
              <w:jc w:val="center"/>
              <w:rPr>
                <w:rFonts w:cs="Arial"/>
                <w:color w:val="000000"/>
                <w:sz w:val="18"/>
                <w:szCs w:val="18"/>
              </w:rPr>
            </w:pPr>
            <w:r w:rsidRPr="002747CA">
              <w:rPr>
                <w:rFonts w:cs="Arial"/>
                <w:color w:val="000000"/>
                <w:sz w:val="18"/>
                <w:szCs w:val="18"/>
              </w:rPr>
              <w:t>286</w:t>
            </w:r>
          </w:p>
        </w:tc>
        <w:tc>
          <w:tcPr>
            <w:tcW w:w="1007" w:type="dxa"/>
            <w:vAlign w:val="center"/>
          </w:tcPr>
          <w:p w14:paraId="27D088EF" w14:textId="77777777" w:rsidR="002747CA" w:rsidRPr="002747CA" w:rsidRDefault="002747CA" w:rsidP="001A127E">
            <w:pPr>
              <w:jc w:val="center"/>
              <w:rPr>
                <w:rFonts w:cs="Arial"/>
                <w:color w:val="000000"/>
                <w:sz w:val="18"/>
                <w:szCs w:val="18"/>
              </w:rPr>
            </w:pPr>
            <w:r w:rsidRPr="002747CA">
              <w:rPr>
                <w:rFonts w:cs="Arial"/>
                <w:color w:val="000000"/>
                <w:sz w:val="18"/>
                <w:szCs w:val="18"/>
              </w:rPr>
              <w:t>116</w:t>
            </w:r>
          </w:p>
        </w:tc>
        <w:tc>
          <w:tcPr>
            <w:tcW w:w="4206" w:type="dxa"/>
            <w:vMerge/>
            <w:vAlign w:val="center"/>
          </w:tcPr>
          <w:p w14:paraId="06220448" w14:textId="77777777" w:rsidR="002747CA" w:rsidRPr="002747CA" w:rsidRDefault="002747CA" w:rsidP="001A127E">
            <w:pPr>
              <w:pStyle w:val="Default"/>
              <w:spacing w:before="40" w:after="40"/>
              <w:rPr>
                <w:rFonts w:ascii="Arial" w:hAnsi="Arial" w:cs="Arial"/>
                <w:color w:val="auto"/>
                <w:sz w:val="18"/>
                <w:szCs w:val="18"/>
                <w:lang w:val="es-HN"/>
              </w:rPr>
            </w:pPr>
          </w:p>
        </w:tc>
        <w:tc>
          <w:tcPr>
            <w:tcW w:w="1426" w:type="dxa"/>
            <w:vAlign w:val="center"/>
          </w:tcPr>
          <w:p w14:paraId="620AEE42"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58634B58"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07EF93E8" w14:textId="77777777" w:rsidTr="008E2484">
        <w:trPr>
          <w:cantSplit/>
          <w:trHeight w:val="305"/>
        </w:trPr>
        <w:tc>
          <w:tcPr>
            <w:tcW w:w="1027" w:type="dxa"/>
            <w:vAlign w:val="center"/>
          </w:tcPr>
          <w:p w14:paraId="79466AA3"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1D75E66E" w14:textId="77777777" w:rsidR="002747CA" w:rsidRPr="002747CA" w:rsidRDefault="002747CA" w:rsidP="003D559C">
            <w:pPr>
              <w:rPr>
                <w:rFonts w:cs="Arial"/>
                <w:color w:val="000000"/>
                <w:sz w:val="18"/>
                <w:szCs w:val="18"/>
                <w:lang w:val="es-HN"/>
              </w:rPr>
            </w:pPr>
            <w:r w:rsidRPr="002747CA">
              <w:rPr>
                <w:rFonts w:cs="Arial"/>
                <w:color w:val="000000"/>
                <w:sz w:val="18"/>
                <w:szCs w:val="18"/>
                <w:lang w:val="es-HN"/>
              </w:rPr>
              <w:t xml:space="preserve">Talleres de capacitación ambiental y comunitaria realizados </w:t>
            </w:r>
          </w:p>
        </w:tc>
        <w:tc>
          <w:tcPr>
            <w:tcW w:w="1047" w:type="dxa"/>
            <w:vAlign w:val="center"/>
          </w:tcPr>
          <w:p w14:paraId="4F15BD23"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1005C3E1" w14:textId="77777777" w:rsidR="002747CA" w:rsidRPr="002747CA" w:rsidRDefault="002747CA" w:rsidP="001A127E">
            <w:pPr>
              <w:jc w:val="center"/>
              <w:rPr>
                <w:rFonts w:cs="Arial"/>
                <w:color w:val="000000"/>
                <w:sz w:val="18"/>
                <w:szCs w:val="18"/>
                <w:lang w:val="es-HN"/>
              </w:rPr>
            </w:pPr>
          </w:p>
        </w:tc>
        <w:tc>
          <w:tcPr>
            <w:tcW w:w="897" w:type="dxa"/>
            <w:vAlign w:val="center"/>
          </w:tcPr>
          <w:p w14:paraId="48385240" w14:textId="77777777" w:rsidR="002747CA" w:rsidRPr="002747CA" w:rsidRDefault="002747CA" w:rsidP="001A127E">
            <w:pPr>
              <w:jc w:val="center"/>
              <w:rPr>
                <w:rFonts w:cs="Arial"/>
                <w:color w:val="000000"/>
                <w:sz w:val="18"/>
                <w:szCs w:val="18"/>
              </w:rPr>
            </w:pPr>
            <w:r w:rsidRPr="002747CA">
              <w:rPr>
                <w:rFonts w:cs="Arial"/>
                <w:color w:val="000000"/>
                <w:sz w:val="18"/>
                <w:szCs w:val="18"/>
              </w:rPr>
              <w:t>429</w:t>
            </w:r>
          </w:p>
        </w:tc>
        <w:tc>
          <w:tcPr>
            <w:tcW w:w="1007" w:type="dxa"/>
            <w:vAlign w:val="center"/>
          </w:tcPr>
          <w:p w14:paraId="33B82DFA" w14:textId="77777777" w:rsidR="002747CA" w:rsidRPr="002747CA" w:rsidRDefault="002747CA" w:rsidP="001A127E">
            <w:pPr>
              <w:jc w:val="center"/>
              <w:rPr>
                <w:rFonts w:cs="Arial"/>
                <w:color w:val="000000"/>
                <w:sz w:val="18"/>
                <w:szCs w:val="18"/>
              </w:rPr>
            </w:pPr>
            <w:r w:rsidRPr="002747CA">
              <w:rPr>
                <w:rFonts w:cs="Arial"/>
                <w:color w:val="000000"/>
                <w:sz w:val="18"/>
                <w:szCs w:val="18"/>
              </w:rPr>
              <w:t>222</w:t>
            </w:r>
          </w:p>
        </w:tc>
        <w:tc>
          <w:tcPr>
            <w:tcW w:w="4206" w:type="dxa"/>
            <w:vMerge/>
            <w:vAlign w:val="center"/>
          </w:tcPr>
          <w:p w14:paraId="3BC8A9A9" w14:textId="77777777" w:rsidR="002747CA" w:rsidRPr="002747CA" w:rsidRDefault="002747CA" w:rsidP="001A127E">
            <w:pPr>
              <w:pStyle w:val="Default"/>
              <w:spacing w:before="40" w:after="40"/>
              <w:rPr>
                <w:rFonts w:ascii="Arial" w:hAnsi="Arial" w:cs="Arial"/>
                <w:color w:val="auto"/>
                <w:sz w:val="18"/>
                <w:szCs w:val="18"/>
                <w:lang w:val="es-HN"/>
              </w:rPr>
            </w:pPr>
          </w:p>
        </w:tc>
        <w:tc>
          <w:tcPr>
            <w:tcW w:w="1426" w:type="dxa"/>
            <w:vAlign w:val="center"/>
          </w:tcPr>
          <w:p w14:paraId="1C218A12"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4DBA8791"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Sept. - 2012</w:t>
            </w:r>
          </w:p>
        </w:tc>
      </w:tr>
      <w:tr w:rsidR="002747CA" w:rsidRPr="002747CA" w14:paraId="683590DD" w14:textId="77777777" w:rsidTr="008E2484">
        <w:trPr>
          <w:cantSplit/>
          <w:trHeight w:val="305"/>
        </w:trPr>
        <w:tc>
          <w:tcPr>
            <w:tcW w:w="1027" w:type="dxa"/>
            <w:vAlign w:val="center"/>
          </w:tcPr>
          <w:p w14:paraId="0D09D0AD"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4C972276" w14:textId="77777777" w:rsidR="002747CA" w:rsidRPr="002747CA" w:rsidRDefault="002747CA" w:rsidP="003D559C">
            <w:pPr>
              <w:rPr>
                <w:rFonts w:cs="Arial"/>
                <w:color w:val="000000"/>
                <w:sz w:val="18"/>
                <w:szCs w:val="18"/>
                <w:lang w:val="es-HN"/>
              </w:rPr>
            </w:pPr>
            <w:r w:rsidRPr="002747CA">
              <w:rPr>
                <w:rFonts w:cs="Arial"/>
                <w:color w:val="000000"/>
                <w:sz w:val="18"/>
                <w:szCs w:val="18"/>
                <w:lang w:val="es-HN"/>
              </w:rPr>
              <w:t>Soluciones individuales de saneamiento (Letrinas) construidas en comunidades rurales menores a 2,000 habitantes</w:t>
            </w:r>
          </w:p>
        </w:tc>
        <w:tc>
          <w:tcPr>
            <w:tcW w:w="1047" w:type="dxa"/>
            <w:vAlign w:val="center"/>
          </w:tcPr>
          <w:p w14:paraId="5D11E9BF"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13413F46" w14:textId="77777777" w:rsidR="002747CA" w:rsidRPr="002747CA" w:rsidRDefault="002747CA" w:rsidP="001A127E">
            <w:pPr>
              <w:jc w:val="center"/>
              <w:rPr>
                <w:rFonts w:cs="Arial"/>
                <w:color w:val="000000"/>
                <w:sz w:val="18"/>
                <w:szCs w:val="18"/>
                <w:lang w:val="es-HN"/>
              </w:rPr>
            </w:pPr>
          </w:p>
        </w:tc>
        <w:tc>
          <w:tcPr>
            <w:tcW w:w="897" w:type="dxa"/>
            <w:vAlign w:val="center"/>
          </w:tcPr>
          <w:p w14:paraId="49250FB6" w14:textId="51CD57CC" w:rsidR="002747CA" w:rsidRPr="002747CA" w:rsidRDefault="002747CA" w:rsidP="001A127E">
            <w:pPr>
              <w:jc w:val="center"/>
              <w:rPr>
                <w:rFonts w:cs="Arial"/>
                <w:color w:val="000000"/>
                <w:sz w:val="18"/>
                <w:szCs w:val="18"/>
              </w:rPr>
            </w:pPr>
            <w:r w:rsidRPr="002747CA">
              <w:rPr>
                <w:rFonts w:cs="Arial"/>
                <w:color w:val="000000"/>
                <w:sz w:val="18"/>
                <w:szCs w:val="18"/>
              </w:rPr>
              <w:t>15</w:t>
            </w:r>
            <w:r w:rsidR="00984CBC">
              <w:rPr>
                <w:rFonts w:cs="Arial"/>
                <w:color w:val="000000"/>
                <w:sz w:val="18"/>
                <w:szCs w:val="18"/>
              </w:rPr>
              <w:t>.</w:t>
            </w:r>
            <w:r w:rsidRPr="002747CA">
              <w:rPr>
                <w:rFonts w:cs="Arial"/>
                <w:color w:val="000000"/>
                <w:sz w:val="18"/>
                <w:szCs w:val="18"/>
              </w:rPr>
              <w:t>900</w:t>
            </w:r>
          </w:p>
        </w:tc>
        <w:tc>
          <w:tcPr>
            <w:tcW w:w="1007" w:type="dxa"/>
            <w:vAlign w:val="center"/>
          </w:tcPr>
          <w:p w14:paraId="2DD88432" w14:textId="77777777" w:rsidR="002747CA" w:rsidRPr="002747CA" w:rsidRDefault="002747CA" w:rsidP="001A127E">
            <w:pPr>
              <w:jc w:val="center"/>
              <w:rPr>
                <w:rFonts w:cs="Arial"/>
                <w:color w:val="000000"/>
                <w:sz w:val="18"/>
                <w:szCs w:val="18"/>
              </w:rPr>
            </w:pPr>
            <w:r>
              <w:rPr>
                <w:rFonts w:cs="Arial"/>
                <w:color w:val="000000"/>
                <w:sz w:val="18"/>
                <w:szCs w:val="18"/>
              </w:rPr>
              <w:t>4,998</w:t>
            </w:r>
          </w:p>
        </w:tc>
        <w:tc>
          <w:tcPr>
            <w:tcW w:w="4206" w:type="dxa"/>
            <w:vAlign w:val="center"/>
          </w:tcPr>
          <w:p w14:paraId="66544C27" w14:textId="77777777" w:rsidR="002747CA" w:rsidRPr="002747CA" w:rsidRDefault="002747CA" w:rsidP="003D559C">
            <w:pPr>
              <w:spacing w:before="120" w:after="120"/>
              <w:rPr>
                <w:rFonts w:cs="Arial"/>
                <w:color w:val="000000" w:themeColor="text1"/>
                <w:sz w:val="18"/>
                <w:szCs w:val="18"/>
                <w:lang w:val="es-HN"/>
              </w:rPr>
            </w:pPr>
            <w:r w:rsidRPr="002747CA">
              <w:rPr>
                <w:rFonts w:cs="Arial"/>
                <w:color w:val="000000" w:themeColor="text1"/>
                <w:sz w:val="18"/>
                <w:szCs w:val="18"/>
                <w:lang w:val="es-HN"/>
              </w:rPr>
              <w:t>Las condiciones de los sistemas encontrados durante la ejecución, presentaron diferencias con respecto a lo previsto inicialmente en:</w:t>
            </w:r>
          </w:p>
          <w:p w14:paraId="4AFA53C7" w14:textId="77777777" w:rsidR="002747CA" w:rsidRPr="002747CA" w:rsidRDefault="002747CA" w:rsidP="003D559C">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Menos letrinas (soluciones individuales de saneamiento) por sistema (67.5 letrinas/sistema) que lo previsto (111.2 letrinas /sistema), esta reducción en el número de letrinas, impacto en el número total de letrinas a construir.</w:t>
            </w:r>
          </w:p>
          <w:p w14:paraId="006CCA72" w14:textId="77777777" w:rsidR="002747CA" w:rsidRPr="002747CA" w:rsidRDefault="002747CA" w:rsidP="003D559C">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Se financiaron sistemas en los cuales las comunidades ya habían sido beneficiarias con servicios de saneamiento individual por parte de otros programas.</w:t>
            </w:r>
          </w:p>
          <w:p w14:paraId="689F2006" w14:textId="77777777" w:rsidR="002747CA" w:rsidRPr="002747CA" w:rsidRDefault="002747CA" w:rsidP="003D559C">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El costo por solución individual se incrementó en un promedio del 46%</w:t>
            </w:r>
          </w:p>
        </w:tc>
        <w:tc>
          <w:tcPr>
            <w:tcW w:w="1426" w:type="dxa"/>
            <w:vAlign w:val="center"/>
          </w:tcPr>
          <w:p w14:paraId="3B9C7141"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7BB19F34" w14:textId="77777777" w:rsidR="002747CA" w:rsidRPr="002747CA" w:rsidRDefault="002747CA" w:rsidP="008E2484">
            <w:pPr>
              <w:jc w:val="center"/>
            </w:pPr>
            <w:r w:rsidRPr="002747CA">
              <w:rPr>
                <w:rFonts w:cs="Arial"/>
                <w:sz w:val="18"/>
                <w:szCs w:val="18"/>
                <w:lang w:val="es-HN"/>
              </w:rPr>
              <w:t>Sept. - 2012</w:t>
            </w:r>
          </w:p>
        </w:tc>
      </w:tr>
      <w:tr w:rsidR="002747CA" w:rsidRPr="002747CA" w14:paraId="789B856D" w14:textId="77777777" w:rsidTr="008E2484">
        <w:trPr>
          <w:cantSplit/>
          <w:trHeight w:val="305"/>
        </w:trPr>
        <w:tc>
          <w:tcPr>
            <w:tcW w:w="1027" w:type="dxa"/>
            <w:vAlign w:val="center"/>
          </w:tcPr>
          <w:p w14:paraId="6A035B9A"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1DDE23AD" w14:textId="77777777" w:rsidR="002747CA" w:rsidRPr="002747CA" w:rsidRDefault="002747CA" w:rsidP="001A127E">
            <w:pPr>
              <w:jc w:val="both"/>
              <w:rPr>
                <w:rFonts w:cs="Arial"/>
                <w:color w:val="000000"/>
                <w:sz w:val="18"/>
                <w:szCs w:val="18"/>
                <w:lang w:val="es-HN"/>
              </w:rPr>
            </w:pPr>
            <w:r w:rsidRPr="002747CA">
              <w:rPr>
                <w:rFonts w:cs="Arial"/>
                <w:color w:val="000000"/>
                <w:sz w:val="18"/>
                <w:szCs w:val="18"/>
                <w:lang w:val="es-HN"/>
              </w:rPr>
              <w:t>Módulos escolares de agua y saneamiento construidos</w:t>
            </w:r>
          </w:p>
        </w:tc>
        <w:tc>
          <w:tcPr>
            <w:tcW w:w="1047" w:type="dxa"/>
            <w:vAlign w:val="center"/>
          </w:tcPr>
          <w:p w14:paraId="6E0B5992"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447818F2" w14:textId="77777777" w:rsidR="002747CA" w:rsidRPr="002747CA" w:rsidRDefault="002747CA" w:rsidP="001A127E">
            <w:pPr>
              <w:jc w:val="center"/>
              <w:rPr>
                <w:rFonts w:cs="Arial"/>
                <w:color w:val="000000"/>
                <w:sz w:val="18"/>
                <w:szCs w:val="18"/>
                <w:lang w:val="es-HN"/>
              </w:rPr>
            </w:pPr>
          </w:p>
        </w:tc>
        <w:tc>
          <w:tcPr>
            <w:tcW w:w="897" w:type="dxa"/>
            <w:vAlign w:val="center"/>
          </w:tcPr>
          <w:p w14:paraId="4E61CCC3" w14:textId="77777777" w:rsidR="002747CA" w:rsidRPr="002747CA" w:rsidRDefault="002747CA" w:rsidP="001A127E">
            <w:pPr>
              <w:jc w:val="center"/>
              <w:rPr>
                <w:rFonts w:cs="Arial"/>
                <w:color w:val="000000"/>
                <w:sz w:val="18"/>
                <w:szCs w:val="18"/>
              </w:rPr>
            </w:pPr>
            <w:r w:rsidRPr="002747CA">
              <w:rPr>
                <w:rFonts w:cs="Arial"/>
                <w:color w:val="000000"/>
                <w:sz w:val="18"/>
                <w:szCs w:val="18"/>
              </w:rPr>
              <w:t>210</w:t>
            </w:r>
          </w:p>
        </w:tc>
        <w:tc>
          <w:tcPr>
            <w:tcW w:w="1007" w:type="dxa"/>
            <w:vAlign w:val="center"/>
          </w:tcPr>
          <w:p w14:paraId="18F92E4F" w14:textId="77777777" w:rsidR="002747CA" w:rsidRPr="002747CA" w:rsidRDefault="002747CA" w:rsidP="001A127E">
            <w:pPr>
              <w:jc w:val="center"/>
              <w:rPr>
                <w:rFonts w:cs="Arial"/>
                <w:color w:val="000000"/>
                <w:sz w:val="18"/>
                <w:szCs w:val="18"/>
              </w:rPr>
            </w:pPr>
            <w:r w:rsidRPr="002747CA">
              <w:rPr>
                <w:rFonts w:cs="Arial"/>
                <w:color w:val="000000"/>
                <w:sz w:val="18"/>
                <w:szCs w:val="18"/>
              </w:rPr>
              <w:t>85</w:t>
            </w:r>
          </w:p>
        </w:tc>
        <w:tc>
          <w:tcPr>
            <w:tcW w:w="4206" w:type="dxa"/>
            <w:vAlign w:val="center"/>
          </w:tcPr>
          <w:p w14:paraId="2A723B88" w14:textId="77777777" w:rsidR="002747CA" w:rsidRPr="002747CA" w:rsidRDefault="002747CA" w:rsidP="003D559C">
            <w:pPr>
              <w:pStyle w:val="ListParagraph"/>
              <w:numPr>
                <w:ilvl w:val="0"/>
                <w:numId w:val="4"/>
              </w:numPr>
              <w:spacing w:before="40" w:after="40"/>
              <w:ind w:left="187" w:hanging="187"/>
              <w:contextualSpacing w:val="0"/>
              <w:rPr>
                <w:rFonts w:cs="Arial"/>
                <w:color w:val="000000"/>
                <w:sz w:val="18"/>
                <w:szCs w:val="18"/>
                <w:lang w:val="es-HN" w:eastAsia="es-HN"/>
              </w:rPr>
            </w:pPr>
            <w:r w:rsidRPr="002747CA">
              <w:rPr>
                <w:rFonts w:cs="Arial"/>
                <w:sz w:val="18"/>
                <w:szCs w:val="14"/>
                <w:lang w:val="es-HN"/>
              </w:rPr>
              <w:t xml:space="preserve">Al reducir el número de sistemas construidos, directamente se reduce el número módulos escolares de agua y saneamiento con posibilidad de ser construidos. </w:t>
            </w:r>
          </w:p>
          <w:p w14:paraId="7B629809" w14:textId="77777777" w:rsidR="002747CA" w:rsidRPr="002747CA" w:rsidRDefault="002747CA" w:rsidP="003D559C">
            <w:pPr>
              <w:pStyle w:val="Default"/>
              <w:rPr>
                <w:rFonts w:ascii="Arial" w:hAnsi="Arial" w:cs="Arial"/>
                <w:color w:val="auto"/>
                <w:sz w:val="18"/>
                <w:szCs w:val="18"/>
                <w:lang w:val="es-HN"/>
              </w:rPr>
            </w:pPr>
            <w:r w:rsidRPr="002747CA">
              <w:rPr>
                <w:rFonts w:ascii="Arial" w:hAnsi="Arial" w:cs="Arial"/>
                <w:sz w:val="18"/>
                <w:szCs w:val="14"/>
                <w:lang w:val="es-HN"/>
              </w:rPr>
              <w:t>El costo por solución individual se incrementó en un promedio del 181%</w:t>
            </w:r>
            <w:r w:rsidRPr="002747CA">
              <w:rPr>
                <w:rFonts w:ascii="Arial" w:hAnsi="Arial" w:cs="Arial"/>
                <w:sz w:val="18"/>
                <w:szCs w:val="18"/>
                <w:lang w:val="es-HN" w:eastAsia="es-HN"/>
              </w:rPr>
              <w:t> </w:t>
            </w:r>
          </w:p>
        </w:tc>
        <w:tc>
          <w:tcPr>
            <w:tcW w:w="1426" w:type="dxa"/>
            <w:vAlign w:val="center"/>
          </w:tcPr>
          <w:p w14:paraId="106F83FD"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212737FC" w14:textId="77777777" w:rsidR="002747CA" w:rsidRPr="002747CA" w:rsidRDefault="002747CA" w:rsidP="008E2484">
            <w:pPr>
              <w:jc w:val="center"/>
            </w:pPr>
            <w:r w:rsidRPr="002747CA">
              <w:rPr>
                <w:rFonts w:cs="Arial"/>
                <w:sz w:val="18"/>
                <w:szCs w:val="18"/>
                <w:lang w:val="es-HN"/>
              </w:rPr>
              <w:t>Sept. - 2012</w:t>
            </w:r>
          </w:p>
        </w:tc>
      </w:tr>
      <w:tr w:rsidR="002747CA" w:rsidRPr="002747CA" w14:paraId="0337C6F2" w14:textId="77777777" w:rsidTr="008E2484">
        <w:trPr>
          <w:cantSplit/>
          <w:trHeight w:val="305"/>
        </w:trPr>
        <w:tc>
          <w:tcPr>
            <w:tcW w:w="1027" w:type="dxa"/>
            <w:vAlign w:val="center"/>
          </w:tcPr>
          <w:p w14:paraId="015AA05C"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0CC6A358" w14:textId="77777777" w:rsidR="002747CA" w:rsidRPr="002747CA" w:rsidRDefault="002747CA" w:rsidP="002747CA">
            <w:pPr>
              <w:rPr>
                <w:rFonts w:cs="Arial"/>
                <w:color w:val="000000"/>
                <w:sz w:val="18"/>
                <w:szCs w:val="18"/>
                <w:lang w:val="es-HN"/>
              </w:rPr>
            </w:pPr>
            <w:r w:rsidRPr="002747CA">
              <w:rPr>
                <w:rFonts w:cs="Arial"/>
                <w:color w:val="000000"/>
                <w:sz w:val="18"/>
                <w:szCs w:val="18"/>
                <w:lang w:val="es-HN"/>
              </w:rPr>
              <w:t xml:space="preserve">Talleres de capacitación en operación y mantenimiento (Para fontaneros) </w:t>
            </w:r>
          </w:p>
        </w:tc>
        <w:tc>
          <w:tcPr>
            <w:tcW w:w="1047" w:type="dxa"/>
            <w:vAlign w:val="center"/>
          </w:tcPr>
          <w:p w14:paraId="3B752A1B"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18DD2990" w14:textId="77777777" w:rsidR="002747CA" w:rsidRPr="002747CA" w:rsidRDefault="002747CA" w:rsidP="001A127E">
            <w:pPr>
              <w:jc w:val="center"/>
              <w:rPr>
                <w:rFonts w:cs="Arial"/>
                <w:color w:val="000000"/>
                <w:sz w:val="18"/>
                <w:szCs w:val="18"/>
                <w:lang w:val="es-HN"/>
              </w:rPr>
            </w:pPr>
          </w:p>
        </w:tc>
        <w:tc>
          <w:tcPr>
            <w:tcW w:w="897" w:type="dxa"/>
            <w:vAlign w:val="center"/>
          </w:tcPr>
          <w:p w14:paraId="779029B7" w14:textId="77777777" w:rsidR="002747CA" w:rsidRPr="002747CA" w:rsidRDefault="002747CA" w:rsidP="001A127E">
            <w:pPr>
              <w:jc w:val="center"/>
              <w:rPr>
                <w:rFonts w:cs="Arial"/>
                <w:color w:val="000000"/>
                <w:sz w:val="18"/>
                <w:szCs w:val="18"/>
              </w:rPr>
            </w:pPr>
            <w:r w:rsidRPr="002747CA">
              <w:rPr>
                <w:rFonts w:cs="Arial"/>
                <w:color w:val="000000"/>
                <w:sz w:val="18"/>
                <w:szCs w:val="18"/>
              </w:rPr>
              <w:t>286</w:t>
            </w:r>
          </w:p>
        </w:tc>
        <w:tc>
          <w:tcPr>
            <w:tcW w:w="1007" w:type="dxa"/>
            <w:vAlign w:val="center"/>
          </w:tcPr>
          <w:p w14:paraId="709D385B" w14:textId="77777777" w:rsidR="002747CA" w:rsidRPr="002747CA" w:rsidRDefault="002747CA" w:rsidP="001A127E">
            <w:pPr>
              <w:jc w:val="center"/>
              <w:rPr>
                <w:rFonts w:cs="Arial"/>
                <w:color w:val="000000"/>
                <w:sz w:val="18"/>
                <w:szCs w:val="18"/>
              </w:rPr>
            </w:pPr>
            <w:r w:rsidRPr="002747CA">
              <w:rPr>
                <w:rFonts w:cs="Arial"/>
                <w:color w:val="000000"/>
                <w:sz w:val="18"/>
                <w:szCs w:val="18"/>
              </w:rPr>
              <w:t>111</w:t>
            </w:r>
          </w:p>
        </w:tc>
        <w:tc>
          <w:tcPr>
            <w:tcW w:w="4206" w:type="dxa"/>
            <w:vAlign w:val="center"/>
          </w:tcPr>
          <w:p w14:paraId="5A87E408" w14:textId="77777777" w:rsidR="002747CA" w:rsidRPr="002747CA" w:rsidRDefault="002747CA" w:rsidP="003D559C">
            <w:pPr>
              <w:spacing w:before="40" w:after="40"/>
              <w:rPr>
                <w:rFonts w:cs="Arial"/>
                <w:color w:val="000000" w:themeColor="text1"/>
                <w:sz w:val="18"/>
                <w:szCs w:val="18"/>
                <w:lang w:val="es-HN"/>
              </w:rPr>
            </w:pPr>
            <w:r w:rsidRPr="002747CA">
              <w:rPr>
                <w:rFonts w:cs="Arial"/>
                <w:color w:val="000000" w:themeColor="text1"/>
                <w:sz w:val="18"/>
                <w:szCs w:val="18"/>
                <w:lang w:val="es-HN"/>
              </w:rPr>
              <w:t>Al reducir el número de sistemas construidos, directamente se reduce el número de fontaneros a ser capacitados y el número de talleres dirigidos fontaneros con posibilidad de ser impartidos  </w:t>
            </w:r>
          </w:p>
        </w:tc>
        <w:tc>
          <w:tcPr>
            <w:tcW w:w="1426" w:type="dxa"/>
            <w:vAlign w:val="center"/>
          </w:tcPr>
          <w:p w14:paraId="2A43F32E"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0BD4F13F" w14:textId="77777777" w:rsidR="002747CA" w:rsidRPr="002747CA" w:rsidRDefault="002747CA" w:rsidP="008E2484">
            <w:pPr>
              <w:jc w:val="center"/>
            </w:pPr>
            <w:r w:rsidRPr="002747CA">
              <w:rPr>
                <w:rFonts w:cs="Arial"/>
                <w:sz w:val="18"/>
                <w:szCs w:val="18"/>
                <w:lang w:val="es-HN"/>
              </w:rPr>
              <w:t>Sept. - 2012</w:t>
            </w:r>
          </w:p>
        </w:tc>
      </w:tr>
      <w:tr w:rsidR="002747CA" w:rsidRPr="002747CA" w14:paraId="739ED224" w14:textId="77777777" w:rsidTr="008E2484">
        <w:trPr>
          <w:cantSplit/>
          <w:trHeight w:val="305"/>
        </w:trPr>
        <w:tc>
          <w:tcPr>
            <w:tcW w:w="1027" w:type="dxa"/>
            <w:vAlign w:val="center"/>
          </w:tcPr>
          <w:p w14:paraId="0DD7E937"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2F1A9868" w14:textId="77777777" w:rsidR="002747CA" w:rsidRPr="002747CA" w:rsidRDefault="002747CA" w:rsidP="002747CA">
            <w:pPr>
              <w:rPr>
                <w:rFonts w:cs="Arial"/>
                <w:color w:val="000000"/>
                <w:sz w:val="18"/>
                <w:szCs w:val="18"/>
                <w:lang w:val="es-HN"/>
              </w:rPr>
            </w:pPr>
            <w:r w:rsidRPr="002747CA">
              <w:rPr>
                <w:rFonts w:cs="Arial"/>
                <w:color w:val="000000"/>
                <w:sz w:val="18"/>
                <w:szCs w:val="18"/>
                <w:lang w:val="es-HN"/>
              </w:rPr>
              <w:t>Soluciones de Tratamiento Sanitario Construidas</w:t>
            </w:r>
          </w:p>
        </w:tc>
        <w:tc>
          <w:tcPr>
            <w:tcW w:w="1047" w:type="dxa"/>
            <w:vAlign w:val="center"/>
          </w:tcPr>
          <w:p w14:paraId="2A55ABD1" w14:textId="77777777" w:rsidR="002747CA" w:rsidRPr="002747CA" w:rsidRDefault="002747CA" w:rsidP="001A127E">
            <w:pPr>
              <w:jc w:val="center"/>
              <w:rPr>
                <w:lang w:val="es-HN"/>
              </w:rPr>
            </w:pPr>
            <w:r w:rsidRPr="002747CA">
              <w:rPr>
                <w:rFonts w:cs="Arial"/>
                <w:sz w:val="18"/>
                <w:szCs w:val="18"/>
                <w:lang w:val="es-HN"/>
              </w:rPr>
              <w:t>Nuevo indicador</w:t>
            </w:r>
          </w:p>
        </w:tc>
        <w:tc>
          <w:tcPr>
            <w:tcW w:w="938" w:type="dxa"/>
            <w:vAlign w:val="center"/>
          </w:tcPr>
          <w:p w14:paraId="33AD4931" w14:textId="77777777" w:rsidR="002747CA" w:rsidRPr="002747CA" w:rsidRDefault="002747CA" w:rsidP="001A127E">
            <w:pPr>
              <w:jc w:val="center"/>
              <w:rPr>
                <w:rFonts w:cs="Arial"/>
                <w:color w:val="000000"/>
                <w:sz w:val="18"/>
                <w:szCs w:val="18"/>
                <w:lang w:val="es-HN"/>
              </w:rPr>
            </w:pPr>
          </w:p>
        </w:tc>
        <w:tc>
          <w:tcPr>
            <w:tcW w:w="897" w:type="dxa"/>
            <w:vAlign w:val="center"/>
          </w:tcPr>
          <w:p w14:paraId="19DDB598" w14:textId="77777777" w:rsidR="002747CA" w:rsidRPr="002747CA" w:rsidRDefault="002747CA" w:rsidP="001A127E">
            <w:pPr>
              <w:jc w:val="center"/>
              <w:rPr>
                <w:rFonts w:cs="Arial"/>
                <w:color w:val="000000"/>
                <w:sz w:val="18"/>
                <w:szCs w:val="18"/>
              </w:rPr>
            </w:pPr>
            <w:r w:rsidRPr="002747CA">
              <w:rPr>
                <w:rFonts w:cs="Arial"/>
                <w:color w:val="000000"/>
                <w:sz w:val="18"/>
                <w:szCs w:val="18"/>
              </w:rPr>
              <w:t>0</w:t>
            </w:r>
          </w:p>
        </w:tc>
        <w:tc>
          <w:tcPr>
            <w:tcW w:w="1007" w:type="dxa"/>
            <w:vAlign w:val="center"/>
          </w:tcPr>
          <w:p w14:paraId="698C450F" w14:textId="77777777" w:rsidR="002747CA" w:rsidRPr="002747CA" w:rsidRDefault="002747CA" w:rsidP="001A127E">
            <w:pPr>
              <w:jc w:val="center"/>
              <w:rPr>
                <w:rFonts w:cs="Arial"/>
                <w:color w:val="000000"/>
                <w:sz w:val="18"/>
                <w:szCs w:val="18"/>
              </w:rPr>
            </w:pPr>
            <w:r w:rsidRPr="002747CA">
              <w:rPr>
                <w:rFonts w:cs="Arial"/>
                <w:color w:val="000000"/>
                <w:sz w:val="18"/>
                <w:szCs w:val="18"/>
              </w:rPr>
              <w:t>4</w:t>
            </w:r>
          </w:p>
        </w:tc>
        <w:tc>
          <w:tcPr>
            <w:tcW w:w="4206" w:type="dxa"/>
            <w:vAlign w:val="center"/>
          </w:tcPr>
          <w:p w14:paraId="45423D2C" w14:textId="77777777" w:rsidR="002747CA" w:rsidRPr="002747CA" w:rsidRDefault="002747CA" w:rsidP="001A127E">
            <w:pPr>
              <w:pStyle w:val="Default"/>
              <w:rPr>
                <w:rFonts w:ascii="Arial" w:hAnsi="Arial" w:cs="Arial"/>
                <w:color w:val="auto"/>
                <w:sz w:val="18"/>
                <w:szCs w:val="18"/>
                <w:lang w:val="es-HN"/>
              </w:rPr>
            </w:pPr>
            <w:r w:rsidRPr="002747CA">
              <w:rPr>
                <w:rFonts w:ascii="Arial" w:hAnsi="Arial" w:cs="Arial"/>
                <w:sz w:val="18"/>
                <w:szCs w:val="18"/>
                <w:lang w:val="es-HN" w:eastAsia="es-HN"/>
              </w:rPr>
              <w:t>Producto nuevo . La falta de diseños de AP supuso la necesidad de incluir nuevas actividades, prioritarias para SANAA</w:t>
            </w:r>
          </w:p>
        </w:tc>
        <w:tc>
          <w:tcPr>
            <w:tcW w:w="1426" w:type="dxa"/>
            <w:vAlign w:val="center"/>
          </w:tcPr>
          <w:p w14:paraId="193189F8"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1C869F6D" w14:textId="77777777" w:rsidR="002747CA" w:rsidRPr="002747CA" w:rsidRDefault="002747CA" w:rsidP="008E2484">
            <w:pPr>
              <w:jc w:val="center"/>
            </w:pPr>
            <w:r w:rsidRPr="002747CA">
              <w:rPr>
                <w:rFonts w:cs="Arial"/>
                <w:sz w:val="18"/>
                <w:szCs w:val="18"/>
                <w:lang w:val="es-HN"/>
              </w:rPr>
              <w:t>Sept. - 2012</w:t>
            </w:r>
          </w:p>
        </w:tc>
      </w:tr>
      <w:tr w:rsidR="002747CA" w:rsidRPr="002747CA" w14:paraId="47B126DE" w14:textId="77777777" w:rsidTr="008E2484">
        <w:trPr>
          <w:cantSplit/>
          <w:trHeight w:val="305"/>
        </w:trPr>
        <w:tc>
          <w:tcPr>
            <w:tcW w:w="1027" w:type="dxa"/>
            <w:vAlign w:val="center"/>
          </w:tcPr>
          <w:p w14:paraId="2EF09C1A"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5FA15002" w14:textId="77777777" w:rsidR="002747CA" w:rsidRPr="002747CA" w:rsidRDefault="002747CA" w:rsidP="002747CA">
            <w:pPr>
              <w:rPr>
                <w:rFonts w:cs="Arial"/>
                <w:color w:val="000000"/>
                <w:sz w:val="18"/>
                <w:szCs w:val="18"/>
                <w:lang w:val="es-HN"/>
              </w:rPr>
            </w:pPr>
            <w:r w:rsidRPr="002747CA">
              <w:rPr>
                <w:rFonts w:cs="Arial"/>
                <w:color w:val="000000"/>
                <w:sz w:val="18"/>
                <w:szCs w:val="18"/>
                <w:lang w:val="es-HN"/>
              </w:rPr>
              <w:t>Planta potabilizadora Rehabilitada en Amapala</w:t>
            </w:r>
          </w:p>
        </w:tc>
        <w:tc>
          <w:tcPr>
            <w:tcW w:w="1047" w:type="dxa"/>
            <w:vAlign w:val="center"/>
          </w:tcPr>
          <w:p w14:paraId="4A875044" w14:textId="77777777" w:rsidR="002747CA" w:rsidRPr="002747CA" w:rsidRDefault="002747CA" w:rsidP="001A127E">
            <w:pPr>
              <w:jc w:val="center"/>
              <w:rPr>
                <w:lang w:val="es-HN"/>
              </w:rPr>
            </w:pPr>
            <w:r w:rsidRPr="002747CA">
              <w:rPr>
                <w:rFonts w:cs="Arial"/>
                <w:sz w:val="18"/>
                <w:szCs w:val="18"/>
                <w:lang w:val="es-HN"/>
              </w:rPr>
              <w:t>Nuevo indicador</w:t>
            </w:r>
          </w:p>
        </w:tc>
        <w:tc>
          <w:tcPr>
            <w:tcW w:w="938" w:type="dxa"/>
            <w:vAlign w:val="center"/>
          </w:tcPr>
          <w:p w14:paraId="441F1DFD" w14:textId="77777777" w:rsidR="002747CA" w:rsidRPr="002747CA" w:rsidRDefault="002747CA" w:rsidP="001A127E">
            <w:pPr>
              <w:jc w:val="center"/>
              <w:rPr>
                <w:rFonts w:cs="Arial"/>
                <w:color w:val="000000"/>
                <w:sz w:val="18"/>
                <w:szCs w:val="18"/>
                <w:lang w:val="es-HN"/>
              </w:rPr>
            </w:pPr>
          </w:p>
        </w:tc>
        <w:tc>
          <w:tcPr>
            <w:tcW w:w="897" w:type="dxa"/>
            <w:vAlign w:val="center"/>
          </w:tcPr>
          <w:p w14:paraId="78CE5237" w14:textId="77777777" w:rsidR="002747CA" w:rsidRPr="002747CA" w:rsidRDefault="002747CA" w:rsidP="001A127E">
            <w:pPr>
              <w:jc w:val="center"/>
              <w:rPr>
                <w:rFonts w:cs="Arial"/>
                <w:color w:val="000000"/>
                <w:sz w:val="18"/>
                <w:szCs w:val="18"/>
              </w:rPr>
            </w:pPr>
            <w:r w:rsidRPr="002747CA">
              <w:rPr>
                <w:rFonts w:cs="Arial"/>
                <w:color w:val="000000"/>
                <w:sz w:val="18"/>
                <w:szCs w:val="18"/>
              </w:rPr>
              <w:t>0</w:t>
            </w:r>
          </w:p>
        </w:tc>
        <w:tc>
          <w:tcPr>
            <w:tcW w:w="1007" w:type="dxa"/>
            <w:vAlign w:val="center"/>
          </w:tcPr>
          <w:p w14:paraId="1E3509FC" w14:textId="77777777" w:rsidR="002747CA" w:rsidRPr="002747CA" w:rsidRDefault="002747CA" w:rsidP="001A127E">
            <w:pPr>
              <w:jc w:val="center"/>
              <w:rPr>
                <w:rFonts w:cs="Arial"/>
                <w:color w:val="000000"/>
                <w:sz w:val="18"/>
                <w:szCs w:val="18"/>
              </w:rPr>
            </w:pPr>
            <w:r w:rsidRPr="002747CA">
              <w:rPr>
                <w:rFonts w:cs="Arial"/>
                <w:color w:val="000000"/>
                <w:sz w:val="18"/>
                <w:szCs w:val="18"/>
              </w:rPr>
              <w:t>1</w:t>
            </w:r>
          </w:p>
        </w:tc>
        <w:tc>
          <w:tcPr>
            <w:tcW w:w="4206" w:type="dxa"/>
            <w:vAlign w:val="center"/>
          </w:tcPr>
          <w:p w14:paraId="73CCC1B7" w14:textId="77777777" w:rsidR="002747CA" w:rsidRPr="002747CA" w:rsidRDefault="002747CA" w:rsidP="001A127E">
            <w:pPr>
              <w:pStyle w:val="Default"/>
              <w:rPr>
                <w:rFonts w:ascii="Arial" w:hAnsi="Arial" w:cs="Arial"/>
                <w:color w:val="auto"/>
                <w:sz w:val="18"/>
                <w:szCs w:val="18"/>
                <w:lang w:val="es-HN"/>
              </w:rPr>
            </w:pPr>
            <w:r w:rsidRPr="002747CA">
              <w:rPr>
                <w:rFonts w:ascii="Arial" w:hAnsi="Arial" w:cs="Arial"/>
                <w:sz w:val="18"/>
                <w:szCs w:val="18"/>
                <w:lang w:val="es-HN" w:eastAsia="es-HN"/>
              </w:rPr>
              <w:t>Producto nuevo. La falta de diseños de AP supuso la necesidad de incluir nuevas actividades, prioritarias para SANAA </w:t>
            </w:r>
          </w:p>
        </w:tc>
        <w:tc>
          <w:tcPr>
            <w:tcW w:w="1426" w:type="dxa"/>
            <w:vAlign w:val="center"/>
          </w:tcPr>
          <w:p w14:paraId="11307A07"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0BC60B6E" w14:textId="77777777" w:rsidR="002747CA" w:rsidRPr="002747CA" w:rsidRDefault="002747CA" w:rsidP="008E2484">
            <w:pPr>
              <w:jc w:val="center"/>
            </w:pPr>
            <w:r w:rsidRPr="002747CA">
              <w:rPr>
                <w:rFonts w:cs="Arial"/>
                <w:sz w:val="18"/>
                <w:szCs w:val="18"/>
                <w:lang w:val="es-HN"/>
              </w:rPr>
              <w:t>Sept. - 2012</w:t>
            </w:r>
          </w:p>
        </w:tc>
      </w:tr>
      <w:tr w:rsidR="002747CA" w:rsidRPr="002747CA" w14:paraId="0CEAD2EB" w14:textId="77777777" w:rsidTr="008E2484">
        <w:trPr>
          <w:cantSplit/>
          <w:trHeight w:val="305"/>
        </w:trPr>
        <w:tc>
          <w:tcPr>
            <w:tcW w:w="1027" w:type="dxa"/>
            <w:vAlign w:val="center"/>
          </w:tcPr>
          <w:p w14:paraId="722CFD6B"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4302EBDB" w14:textId="77777777" w:rsidR="002747CA" w:rsidRPr="002747CA" w:rsidRDefault="002747CA" w:rsidP="001A127E">
            <w:pPr>
              <w:jc w:val="both"/>
              <w:rPr>
                <w:rFonts w:cs="Arial"/>
                <w:color w:val="000000"/>
                <w:sz w:val="18"/>
                <w:szCs w:val="18"/>
                <w:lang w:val="es-HN"/>
              </w:rPr>
            </w:pPr>
            <w:r w:rsidRPr="002747CA">
              <w:rPr>
                <w:rFonts w:cs="Arial"/>
                <w:color w:val="000000"/>
                <w:sz w:val="18"/>
                <w:szCs w:val="18"/>
                <w:lang w:val="es-HN"/>
              </w:rPr>
              <w:t xml:space="preserve">Asociaciones Municipales de Juntas de Agua creadas </w:t>
            </w:r>
          </w:p>
        </w:tc>
        <w:tc>
          <w:tcPr>
            <w:tcW w:w="1047" w:type="dxa"/>
            <w:vAlign w:val="center"/>
          </w:tcPr>
          <w:p w14:paraId="621EFF4E" w14:textId="77777777" w:rsidR="002747CA" w:rsidRPr="002747CA" w:rsidRDefault="00D8532C" w:rsidP="001A127E">
            <w:pPr>
              <w:jc w:val="center"/>
              <w:rPr>
                <w:lang w:val="es-HN"/>
              </w:rPr>
            </w:pPr>
            <w:r>
              <w:rPr>
                <w:rFonts w:cs="Arial"/>
                <w:sz w:val="18"/>
                <w:szCs w:val="18"/>
                <w:lang w:val="es-HN"/>
              </w:rPr>
              <w:t>Eliminado</w:t>
            </w:r>
          </w:p>
        </w:tc>
        <w:tc>
          <w:tcPr>
            <w:tcW w:w="938" w:type="dxa"/>
            <w:vAlign w:val="center"/>
          </w:tcPr>
          <w:p w14:paraId="5A354FDE" w14:textId="77777777" w:rsidR="002747CA" w:rsidRPr="002747CA" w:rsidRDefault="002747CA" w:rsidP="001A127E">
            <w:pPr>
              <w:jc w:val="center"/>
              <w:rPr>
                <w:rFonts w:cs="Arial"/>
                <w:color w:val="000000"/>
                <w:sz w:val="18"/>
                <w:szCs w:val="18"/>
                <w:lang w:val="es-HN"/>
              </w:rPr>
            </w:pPr>
          </w:p>
        </w:tc>
        <w:tc>
          <w:tcPr>
            <w:tcW w:w="897" w:type="dxa"/>
            <w:vAlign w:val="center"/>
          </w:tcPr>
          <w:p w14:paraId="4A45CD24" w14:textId="77777777" w:rsidR="002747CA" w:rsidRPr="002747CA" w:rsidRDefault="002747CA" w:rsidP="001A127E">
            <w:pPr>
              <w:jc w:val="center"/>
              <w:rPr>
                <w:rFonts w:cs="Arial"/>
                <w:color w:val="000000"/>
                <w:sz w:val="18"/>
                <w:szCs w:val="18"/>
              </w:rPr>
            </w:pPr>
            <w:r w:rsidRPr="002747CA">
              <w:rPr>
                <w:rFonts w:cs="Arial"/>
                <w:color w:val="000000"/>
                <w:sz w:val="18"/>
                <w:szCs w:val="18"/>
              </w:rPr>
              <w:t>70</w:t>
            </w:r>
          </w:p>
        </w:tc>
        <w:tc>
          <w:tcPr>
            <w:tcW w:w="1007" w:type="dxa"/>
            <w:vAlign w:val="center"/>
          </w:tcPr>
          <w:p w14:paraId="72DBC195" w14:textId="77777777" w:rsidR="002747CA" w:rsidRPr="002747CA" w:rsidRDefault="002747CA" w:rsidP="001A127E">
            <w:pPr>
              <w:jc w:val="center"/>
              <w:rPr>
                <w:rFonts w:cs="Arial"/>
                <w:color w:val="000000"/>
                <w:sz w:val="18"/>
                <w:szCs w:val="18"/>
              </w:rPr>
            </w:pPr>
            <w:r w:rsidRPr="002747CA">
              <w:rPr>
                <w:rFonts w:cs="Arial"/>
                <w:color w:val="000000"/>
                <w:sz w:val="18"/>
                <w:szCs w:val="18"/>
              </w:rPr>
              <w:t>48</w:t>
            </w:r>
          </w:p>
        </w:tc>
        <w:tc>
          <w:tcPr>
            <w:tcW w:w="4206" w:type="dxa"/>
            <w:vAlign w:val="center"/>
          </w:tcPr>
          <w:p w14:paraId="739E535B" w14:textId="77777777" w:rsidR="002747CA" w:rsidRPr="002747CA" w:rsidRDefault="002747CA" w:rsidP="00D8532C">
            <w:pPr>
              <w:pStyle w:val="Default"/>
              <w:rPr>
                <w:rFonts w:ascii="Arial" w:hAnsi="Arial" w:cs="Arial"/>
                <w:color w:val="auto"/>
                <w:sz w:val="18"/>
                <w:szCs w:val="18"/>
                <w:lang w:val="es-HN"/>
              </w:rPr>
            </w:pPr>
            <w:r w:rsidRPr="002747CA">
              <w:rPr>
                <w:rFonts w:ascii="Arial" w:hAnsi="Arial" w:cs="Arial"/>
                <w:color w:val="000000" w:themeColor="text1"/>
                <w:sz w:val="18"/>
                <w:szCs w:val="18"/>
                <w:lang w:val="es-HN"/>
              </w:rPr>
              <w:t>El número Asociaciones de Juntas de Agua a crear estaba directamente relacionado al número de sistemas a construir y la ubicación geográfica de los mismos, por lo que al reducirse el número de sistemas, se redujo el número Asociaciones a crear, modificándose la meta al final del proyecto y realmente ejecutado en la operación</w:t>
            </w:r>
            <w:r w:rsidRPr="002747CA">
              <w:rPr>
                <w:rFonts w:ascii="Arial" w:hAnsi="Arial" w:cs="Arial"/>
                <w:sz w:val="18"/>
                <w:szCs w:val="18"/>
                <w:lang w:val="es-HN" w:eastAsia="es-HN"/>
              </w:rPr>
              <w:t> </w:t>
            </w:r>
            <w:r w:rsidR="00D8532C">
              <w:rPr>
                <w:rFonts w:ascii="Arial" w:hAnsi="Arial" w:cs="Arial"/>
                <w:sz w:val="18"/>
                <w:szCs w:val="18"/>
                <w:lang w:val="es-HN" w:eastAsia="es-HN"/>
              </w:rPr>
              <w:t>. Finalmente se decide eliminar el indicador.</w:t>
            </w:r>
            <w:r w:rsidRPr="002747CA">
              <w:rPr>
                <w:rFonts w:ascii="Arial" w:hAnsi="Arial" w:cs="Arial"/>
                <w:sz w:val="18"/>
                <w:szCs w:val="18"/>
                <w:lang w:val="es-HN" w:eastAsia="es-HN"/>
              </w:rPr>
              <w:t> </w:t>
            </w:r>
          </w:p>
        </w:tc>
        <w:tc>
          <w:tcPr>
            <w:tcW w:w="1426" w:type="dxa"/>
            <w:vAlign w:val="center"/>
          </w:tcPr>
          <w:p w14:paraId="1BF0CF5C"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004FB54C" w14:textId="77777777" w:rsidR="002747CA" w:rsidRPr="002747CA" w:rsidRDefault="002747CA" w:rsidP="008E2484">
            <w:pPr>
              <w:jc w:val="center"/>
            </w:pPr>
            <w:r w:rsidRPr="002747CA">
              <w:rPr>
                <w:rFonts w:cs="Arial"/>
                <w:sz w:val="18"/>
                <w:szCs w:val="18"/>
                <w:lang w:val="es-HN"/>
              </w:rPr>
              <w:t>Sept. - 2012</w:t>
            </w:r>
          </w:p>
        </w:tc>
      </w:tr>
      <w:tr w:rsidR="002747CA" w:rsidRPr="002747CA" w14:paraId="6F628294" w14:textId="77777777" w:rsidTr="008E2484">
        <w:trPr>
          <w:cantSplit/>
          <w:trHeight w:val="305"/>
        </w:trPr>
        <w:tc>
          <w:tcPr>
            <w:tcW w:w="1027" w:type="dxa"/>
            <w:vAlign w:val="center"/>
          </w:tcPr>
          <w:p w14:paraId="27AA3E97"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492FF811" w14:textId="77777777" w:rsidR="002747CA" w:rsidRPr="002747CA" w:rsidRDefault="002747CA" w:rsidP="001A127E">
            <w:pPr>
              <w:jc w:val="both"/>
              <w:rPr>
                <w:rFonts w:cs="Arial"/>
                <w:color w:val="000000"/>
                <w:sz w:val="18"/>
                <w:szCs w:val="18"/>
                <w:lang w:val="es-HN"/>
              </w:rPr>
            </w:pPr>
            <w:r w:rsidRPr="002747CA">
              <w:rPr>
                <w:rFonts w:cs="Arial"/>
                <w:color w:val="000000"/>
                <w:sz w:val="18"/>
                <w:szCs w:val="18"/>
                <w:lang w:val="es-HN"/>
              </w:rPr>
              <w:t>Municipios cumpliendo con la norma nacional de regulación</w:t>
            </w:r>
          </w:p>
        </w:tc>
        <w:tc>
          <w:tcPr>
            <w:tcW w:w="1047" w:type="dxa"/>
            <w:vAlign w:val="center"/>
          </w:tcPr>
          <w:p w14:paraId="504C913C"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246C7FEB" w14:textId="77777777" w:rsidR="002747CA" w:rsidRPr="002747CA" w:rsidRDefault="002747CA" w:rsidP="001A127E">
            <w:pPr>
              <w:jc w:val="center"/>
              <w:rPr>
                <w:rFonts w:cs="Arial"/>
                <w:color w:val="000000"/>
                <w:sz w:val="18"/>
                <w:szCs w:val="18"/>
                <w:lang w:val="es-HN"/>
              </w:rPr>
            </w:pPr>
          </w:p>
        </w:tc>
        <w:tc>
          <w:tcPr>
            <w:tcW w:w="897" w:type="dxa"/>
            <w:vAlign w:val="center"/>
          </w:tcPr>
          <w:p w14:paraId="71741B08" w14:textId="77777777" w:rsidR="002747CA" w:rsidRPr="002747CA" w:rsidRDefault="002747CA" w:rsidP="001A127E">
            <w:pPr>
              <w:jc w:val="center"/>
              <w:rPr>
                <w:rFonts w:cs="Arial"/>
                <w:color w:val="000000"/>
                <w:sz w:val="18"/>
                <w:szCs w:val="18"/>
              </w:rPr>
            </w:pPr>
            <w:r w:rsidRPr="002747CA">
              <w:rPr>
                <w:rFonts w:cs="Arial"/>
                <w:color w:val="000000"/>
                <w:sz w:val="18"/>
                <w:szCs w:val="18"/>
              </w:rPr>
              <w:t>70</w:t>
            </w:r>
          </w:p>
        </w:tc>
        <w:tc>
          <w:tcPr>
            <w:tcW w:w="1007" w:type="dxa"/>
            <w:vAlign w:val="center"/>
          </w:tcPr>
          <w:p w14:paraId="0E3DF8BF" w14:textId="77777777" w:rsidR="002747CA" w:rsidRPr="002747CA" w:rsidRDefault="002747CA" w:rsidP="001A127E">
            <w:pPr>
              <w:jc w:val="center"/>
              <w:rPr>
                <w:rFonts w:cs="Arial"/>
                <w:color w:val="000000"/>
                <w:sz w:val="18"/>
                <w:szCs w:val="18"/>
              </w:rPr>
            </w:pPr>
            <w:r w:rsidRPr="002747CA">
              <w:rPr>
                <w:rFonts w:cs="Arial"/>
                <w:color w:val="000000"/>
                <w:sz w:val="18"/>
                <w:szCs w:val="18"/>
              </w:rPr>
              <w:t>28</w:t>
            </w:r>
          </w:p>
        </w:tc>
        <w:tc>
          <w:tcPr>
            <w:tcW w:w="4206" w:type="dxa"/>
            <w:vAlign w:val="center"/>
          </w:tcPr>
          <w:p w14:paraId="7A7C6E28" w14:textId="77777777" w:rsidR="002747CA" w:rsidRPr="002747CA" w:rsidRDefault="002747CA" w:rsidP="003D559C">
            <w:pPr>
              <w:spacing w:before="40" w:after="40"/>
              <w:rPr>
                <w:rFonts w:cs="Arial"/>
                <w:color w:val="000000"/>
                <w:sz w:val="18"/>
                <w:szCs w:val="18"/>
                <w:lang w:val="es-HN" w:eastAsia="es-HN"/>
              </w:rPr>
            </w:pPr>
            <w:r w:rsidRPr="002747CA">
              <w:rPr>
                <w:rFonts w:cs="Arial"/>
                <w:color w:val="000000" w:themeColor="text1"/>
                <w:sz w:val="18"/>
                <w:szCs w:val="18"/>
                <w:lang w:val="es-HN"/>
              </w:rPr>
              <w:t>El número de municipios a intervenir estaba directamente relacionado al número de sistemas a construir y la ubicación geográfica de los mismos, por lo que al reducirse el número de sistemas, se redujo el número de municipios a intervenir, modificándose la meta al final del proyecto y realmente ejecutado en la operación</w:t>
            </w:r>
            <w:r w:rsidRPr="002747CA">
              <w:rPr>
                <w:rFonts w:cs="Arial"/>
                <w:color w:val="000000"/>
                <w:sz w:val="18"/>
                <w:szCs w:val="18"/>
                <w:lang w:val="es-HN" w:eastAsia="es-HN"/>
              </w:rPr>
              <w:t> </w:t>
            </w:r>
          </w:p>
        </w:tc>
        <w:tc>
          <w:tcPr>
            <w:tcW w:w="1426" w:type="dxa"/>
            <w:vAlign w:val="center"/>
          </w:tcPr>
          <w:p w14:paraId="129AEC45"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5C66D0BB" w14:textId="77777777" w:rsidR="002747CA" w:rsidRPr="002747CA" w:rsidRDefault="002747CA" w:rsidP="008E2484">
            <w:pPr>
              <w:jc w:val="center"/>
            </w:pPr>
            <w:r w:rsidRPr="002747CA">
              <w:rPr>
                <w:rFonts w:cs="Arial"/>
                <w:sz w:val="18"/>
                <w:szCs w:val="18"/>
                <w:lang w:val="es-HN"/>
              </w:rPr>
              <w:t>Sept. - 2012</w:t>
            </w:r>
          </w:p>
        </w:tc>
      </w:tr>
      <w:tr w:rsidR="002747CA" w:rsidRPr="002747CA" w14:paraId="6B613F62" w14:textId="77777777" w:rsidTr="008E2484">
        <w:trPr>
          <w:cantSplit/>
          <w:trHeight w:val="305"/>
        </w:trPr>
        <w:tc>
          <w:tcPr>
            <w:tcW w:w="1027" w:type="dxa"/>
            <w:vAlign w:val="center"/>
          </w:tcPr>
          <w:p w14:paraId="31385024"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58674FF7" w14:textId="77777777" w:rsidR="002747CA" w:rsidRPr="002747CA" w:rsidRDefault="002747CA" w:rsidP="003D559C">
            <w:pPr>
              <w:rPr>
                <w:rFonts w:cs="Arial"/>
                <w:color w:val="000000"/>
                <w:sz w:val="18"/>
                <w:szCs w:val="18"/>
                <w:lang w:val="es-HN"/>
              </w:rPr>
            </w:pPr>
            <w:r w:rsidRPr="002747CA">
              <w:rPr>
                <w:rFonts w:cs="Arial"/>
                <w:color w:val="000000"/>
                <w:sz w:val="18"/>
                <w:szCs w:val="18"/>
                <w:lang w:val="es-HN"/>
              </w:rPr>
              <w:t xml:space="preserve">Metodología Trabajo Capacitación Comunitaria y de Juntas de Agua Mejorada </w:t>
            </w:r>
          </w:p>
        </w:tc>
        <w:tc>
          <w:tcPr>
            <w:tcW w:w="1047" w:type="dxa"/>
            <w:vAlign w:val="center"/>
          </w:tcPr>
          <w:p w14:paraId="0E739D3C" w14:textId="77777777" w:rsidR="002747CA" w:rsidRPr="002747CA" w:rsidRDefault="002747CA" w:rsidP="001A127E">
            <w:pPr>
              <w:jc w:val="center"/>
              <w:rPr>
                <w:lang w:val="es-HN"/>
              </w:rPr>
            </w:pPr>
            <w:r w:rsidRPr="002747CA">
              <w:rPr>
                <w:rFonts w:cs="Arial"/>
                <w:sz w:val="18"/>
                <w:szCs w:val="18"/>
                <w:lang w:val="es-HN"/>
              </w:rPr>
              <w:t>Meta al final de la Operación</w:t>
            </w:r>
          </w:p>
        </w:tc>
        <w:tc>
          <w:tcPr>
            <w:tcW w:w="938" w:type="dxa"/>
            <w:vAlign w:val="center"/>
          </w:tcPr>
          <w:p w14:paraId="0463CCDC" w14:textId="77777777" w:rsidR="002747CA" w:rsidRPr="002747CA" w:rsidRDefault="002747CA" w:rsidP="001A127E">
            <w:pPr>
              <w:jc w:val="center"/>
              <w:rPr>
                <w:rFonts w:cs="Arial"/>
                <w:color w:val="000000"/>
                <w:sz w:val="18"/>
                <w:szCs w:val="18"/>
                <w:lang w:val="es-HN"/>
              </w:rPr>
            </w:pPr>
          </w:p>
        </w:tc>
        <w:tc>
          <w:tcPr>
            <w:tcW w:w="897" w:type="dxa"/>
            <w:vAlign w:val="center"/>
          </w:tcPr>
          <w:p w14:paraId="03B6C108" w14:textId="77777777" w:rsidR="002747CA" w:rsidRPr="002747CA" w:rsidRDefault="002747CA" w:rsidP="001A127E">
            <w:pPr>
              <w:jc w:val="center"/>
              <w:rPr>
                <w:rFonts w:cs="Arial"/>
                <w:color w:val="000000"/>
                <w:sz w:val="18"/>
                <w:szCs w:val="18"/>
              </w:rPr>
            </w:pPr>
            <w:r w:rsidRPr="002747CA">
              <w:rPr>
                <w:rFonts w:cs="Arial"/>
                <w:color w:val="000000"/>
                <w:sz w:val="18"/>
                <w:szCs w:val="18"/>
              </w:rPr>
              <w:t>0</w:t>
            </w:r>
          </w:p>
        </w:tc>
        <w:tc>
          <w:tcPr>
            <w:tcW w:w="1007" w:type="dxa"/>
            <w:vAlign w:val="center"/>
          </w:tcPr>
          <w:p w14:paraId="151810B9" w14:textId="77777777" w:rsidR="002747CA" w:rsidRPr="002747CA" w:rsidRDefault="002747CA" w:rsidP="001A127E">
            <w:pPr>
              <w:jc w:val="center"/>
              <w:rPr>
                <w:rFonts w:cs="Arial"/>
                <w:color w:val="000000"/>
                <w:sz w:val="18"/>
                <w:szCs w:val="18"/>
              </w:rPr>
            </w:pPr>
            <w:r w:rsidRPr="002747CA">
              <w:rPr>
                <w:rFonts w:cs="Arial"/>
                <w:color w:val="000000"/>
                <w:sz w:val="18"/>
                <w:szCs w:val="18"/>
              </w:rPr>
              <w:t>1</w:t>
            </w:r>
          </w:p>
        </w:tc>
        <w:tc>
          <w:tcPr>
            <w:tcW w:w="4206" w:type="dxa"/>
            <w:vAlign w:val="center"/>
          </w:tcPr>
          <w:p w14:paraId="57464141" w14:textId="77777777" w:rsidR="002747CA" w:rsidRPr="002747CA" w:rsidRDefault="002747CA" w:rsidP="001A127E">
            <w:pPr>
              <w:pStyle w:val="Default"/>
              <w:rPr>
                <w:rFonts w:ascii="Arial" w:hAnsi="Arial" w:cs="Arial"/>
                <w:color w:val="auto"/>
                <w:sz w:val="18"/>
                <w:szCs w:val="18"/>
                <w:lang w:val="es-HN"/>
              </w:rPr>
            </w:pPr>
            <w:r w:rsidRPr="002747CA">
              <w:rPr>
                <w:rFonts w:ascii="Arial" w:hAnsi="Arial" w:cs="Arial"/>
                <w:sz w:val="18"/>
                <w:szCs w:val="18"/>
                <w:lang w:val="es-HN" w:eastAsia="es-HN"/>
              </w:rPr>
              <w:t>Producto nuevo  </w:t>
            </w:r>
          </w:p>
        </w:tc>
        <w:tc>
          <w:tcPr>
            <w:tcW w:w="1426" w:type="dxa"/>
            <w:vAlign w:val="center"/>
          </w:tcPr>
          <w:p w14:paraId="3D422F5C"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2F1FA09C" w14:textId="77777777" w:rsidR="002747CA" w:rsidRPr="002747CA" w:rsidRDefault="002747CA" w:rsidP="008E2484">
            <w:pPr>
              <w:jc w:val="center"/>
            </w:pPr>
            <w:r w:rsidRPr="002747CA">
              <w:rPr>
                <w:rFonts w:cs="Arial"/>
                <w:sz w:val="18"/>
                <w:szCs w:val="18"/>
                <w:lang w:val="es-HN"/>
              </w:rPr>
              <w:t>Sept. - 2012</w:t>
            </w:r>
          </w:p>
        </w:tc>
      </w:tr>
      <w:tr w:rsidR="002747CA" w:rsidRPr="002747CA" w14:paraId="74548505" w14:textId="77777777" w:rsidTr="008E2484">
        <w:trPr>
          <w:cantSplit/>
          <w:trHeight w:val="305"/>
        </w:trPr>
        <w:tc>
          <w:tcPr>
            <w:tcW w:w="1027" w:type="dxa"/>
            <w:vAlign w:val="center"/>
          </w:tcPr>
          <w:p w14:paraId="0CC99415" w14:textId="77777777" w:rsidR="002747CA" w:rsidRPr="002747CA" w:rsidRDefault="002747CA" w:rsidP="001A127E">
            <w:pPr>
              <w:rPr>
                <w:rFonts w:cs="Arial"/>
                <w:sz w:val="18"/>
                <w:szCs w:val="18"/>
                <w:lang w:val="es-HN"/>
              </w:rPr>
            </w:pPr>
            <w:r w:rsidRPr="002747CA">
              <w:rPr>
                <w:rFonts w:cs="Arial"/>
                <w:sz w:val="18"/>
                <w:szCs w:val="18"/>
                <w:lang w:val="es-HN"/>
              </w:rPr>
              <w:t>Producto</w:t>
            </w:r>
          </w:p>
        </w:tc>
        <w:tc>
          <w:tcPr>
            <w:tcW w:w="2644" w:type="dxa"/>
            <w:vAlign w:val="center"/>
          </w:tcPr>
          <w:p w14:paraId="2C429850" w14:textId="77777777" w:rsidR="002747CA" w:rsidRPr="002747CA" w:rsidRDefault="002747CA" w:rsidP="001A127E">
            <w:pPr>
              <w:jc w:val="both"/>
              <w:rPr>
                <w:rFonts w:cs="Arial"/>
                <w:color w:val="000000"/>
                <w:sz w:val="18"/>
                <w:szCs w:val="18"/>
                <w:lang w:val="es-HN"/>
              </w:rPr>
            </w:pPr>
            <w:r w:rsidRPr="002747CA">
              <w:rPr>
                <w:rFonts w:cs="Arial"/>
                <w:color w:val="000000"/>
                <w:sz w:val="18"/>
                <w:szCs w:val="18"/>
                <w:lang w:val="es-HN"/>
              </w:rPr>
              <w:t>Manuales de prefactibilidad de Sistemas actualizado</w:t>
            </w:r>
          </w:p>
        </w:tc>
        <w:tc>
          <w:tcPr>
            <w:tcW w:w="1047" w:type="dxa"/>
            <w:vAlign w:val="center"/>
          </w:tcPr>
          <w:p w14:paraId="11D9EEC3" w14:textId="77777777" w:rsidR="002747CA" w:rsidRPr="002747CA" w:rsidRDefault="00D8532C" w:rsidP="001A127E">
            <w:pPr>
              <w:jc w:val="center"/>
              <w:rPr>
                <w:lang w:val="es-HN"/>
              </w:rPr>
            </w:pPr>
            <w:r>
              <w:rPr>
                <w:rFonts w:cs="Arial"/>
                <w:sz w:val="18"/>
                <w:szCs w:val="18"/>
                <w:lang w:val="es-HN"/>
              </w:rPr>
              <w:t>Eliminado</w:t>
            </w:r>
          </w:p>
        </w:tc>
        <w:tc>
          <w:tcPr>
            <w:tcW w:w="938" w:type="dxa"/>
            <w:vAlign w:val="center"/>
          </w:tcPr>
          <w:p w14:paraId="70A95D11" w14:textId="77777777" w:rsidR="002747CA" w:rsidRPr="002747CA" w:rsidRDefault="002747CA" w:rsidP="001A127E">
            <w:pPr>
              <w:jc w:val="center"/>
              <w:rPr>
                <w:rFonts w:cs="Arial"/>
                <w:color w:val="000000"/>
                <w:sz w:val="18"/>
                <w:szCs w:val="18"/>
                <w:lang w:val="es-HN"/>
              </w:rPr>
            </w:pPr>
          </w:p>
        </w:tc>
        <w:tc>
          <w:tcPr>
            <w:tcW w:w="897" w:type="dxa"/>
            <w:vAlign w:val="center"/>
          </w:tcPr>
          <w:p w14:paraId="2C645827" w14:textId="77777777" w:rsidR="002747CA" w:rsidRPr="002747CA" w:rsidRDefault="002747CA" w:rsidP="001A127E">
            <w:pPr>
              <w:jc w:val="center"/>
              <w:rPr>
                <w:rFonts w:cs="Arial"/>
                <w:color w:val="000000"/>
                <w:sz w:val="18"/>
                <w:szCs w:val="18"/>
              </w:rPr>
            </w:pPr>
            <w:r w:rsidRPr="002747CA">
              <w:rPr>
                <w:rFonts w:cs="Arial"/>
                <w:color w:val="000000"/>
                <w:sz w:val="18"/>
                <w:szCs w:val="18"/>
              </w:rPr>
              <w:t>1</w:t>
            </w:r>
          </w:p>
        </w:tc>
        <w:tc>
          <w:tcPr>
            <w:tcW w:w="1007" w:type="dxa"/>
            <w:vAlign w:val="center"/>
          </w:tcPr>
          <w:p w14:paraId="20969721" w14:textId="77777777" w:rsidR="002747CA" w:rsidRPr="002747CA" w:rsidRDefault="002747CA" w:rsidP="001A127E">
            <w:pPr>
              <w:jc w:val="center"/>
              <w:rPr>
                <w:rFonts w:cs="Arial"/>
                <w:color w:val="000000"/>
                <w:sz w:val="18"/>
                <w:szCs w:val="18"/>
              </w:rPr>
            </w:pPr>
            <w:r w:rsidRPr="002747CA">
              <w:rPr>
                <w:rFonts w:cs="Arial"/>
                <w:color w:val="000000"/>
                <w:sz w:val="18"/>
                <w:szCs w:val="18"/>
              </w:rPr>
              <w:t>0</w:t>
            </w:r>
          </w:p>
        </w:tc>
        <w:tc>
          <w:tcPr>
            <w:tcW w:w="4206" w:type="dxa"/>
            <w:vAlign w:val="center"/>
          </w:tcPr>
          <w:p w14:paraId="4C3080FD" w14:textId="77777777" w:rsidR="002747CA" w:rsidRPr="002747CA" w:rsidRDefault="002747CA" w:rsidP="001A127E">
            <w:pPr>
              <w:autoSpaceDE w:val="0"/>
              <w:autoSpaceDN w:val="0"/>
              <w:adjustRightInd w:val="0"/>
              <w:rPr>
                <w:rFonts w:cs="Arial"/>
                <w:sz w:val="14"/>
                <w:szCs w:val="14"/>
                <w:lang w:val="es-HN"/>
              </w:rPr>
            </w:pPr>
            <w:r w:rsidRPr="002747CA">
              <w:rPr>
                <w:rFonts w:cs="Arial"/>
                <w:sz w:val="18"/>
                <w:szCs w:val="14"/>
                <w:lang w:val="es-HN"/>
              </w:rPr>
              <w:t>Se eliminó debido a que:</w:t>
            </w:r>
          </w:p>
          <w:p w14:paraId="7BD145FE" w14:textId="77777777" w:rsidR="002747CA" w:rsidRPr="002747CA" w:rsidRDefault="002747CA" w:rsidP="003D559C">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La Cooperación Suiza (COSUDE) produjo junto a CONASA la normativa aplicable a A.P. en el Medio Rural.</w:t>
            </w:r>
          </w:p>
          <w:p w14:paraId="26772A8B" w14:textId="77777777" w:rsidR="002747CA" w:rsidRPr="002747CA" w:rsidRDefault="002747CA" w:rsidP="003D559C">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La División WSA se encuentra en proceso de formular una Guía Regional sobre Saneamiento Rural, que posteriormente será adaptada al caso particular de Honduras</w:t>
            </w:r>
          </w:p>
          <w:p w14:paraId="44A7E758" w14:textId="77777777" w:rsidR="002747CA" w:rsidRPr="002747CA" w:rsidRDefault="002747CA" w:rsidP="003D559C">
            <w:pPr>
              <w:pStyle w:val="ListParagraph"/>
              <w:numPr>
                <w:ilvl w:val="0"/>
                <w:numId w:val="4"/>
              </w:numPr>
              <w:spacing w:before="40" w:after="40"/>
              <w:ind w:left="187" w:hanging="187"/>
              <w:contextualSpacing w:val="0"/>
              <w:rPr>
                <w:rFonts w:cs="Arial"/>
                <w:sz w:val="18"/>
                <w:szCs w:val="14"/>
                <w:lang w:val="es-HN"/>
              </w:rPr>
            </w:pPr>
            <w:r w:rsidRPr="002747CA">
              <w:rPr>
                <w:rFonts w:cs="Arial"/>
                <w:sz w:val="18"/>
                <w:szCs w:val="14"/>
                <w:lang w:val="es-HN"/>
              </w:rPr>
              <w:t>Tomando en cuenta que el SANAA, está en proceso de restructuración interna, está pendiente la definición de la institución del Estado que llevará el liderazgo de la infraestructura sanitaria rural.</w:t>
            </w:r>
          </w:p>
        </w:tc>
        <w:tc>
          <w:tcPr>
            <w:tcW w:w="1426" w:type="dxa"/>
            <w:vAlign w:val="center"/>
          </w:tcPr>
          <w:p w14:paraId="7862F46E" w14:textId="77777777" w:rsidR="002747CA" w:rsidRPr="002747CA" w:rsidRDefault="002747CA" w:rsidP="008E2484">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07481B85" w14:textId="77777777" w:rsidR="002747CA" w:rsidRPr="002747CA" w:rsidRDefault="002747CA" w:rsidP="008E2484">
            <w:pPr>
              <w:jc w:val="center"/>
            </w:pPr>
            <w:r w:rsidRPr="002747CA">
              <w:rPr>
                <w:rFonts w:cs="Arial"/>
                <w:sz w:val="18"/>
                <w:szCs w:val="18"/>
                <w:lang w:val="es-HN"/>
              </w:rPr>
              <w:t>Sept. - 2012</w:t>
            </w:r>
          </w:p>
        </w:tc>
      </w:tr>
      <w:tr w:rsidR="002747CA" w:rsidRPr="002747CA" w14:paraId="1E2F9F11" w14:textId="77777777" w:rsidTr="008E2484">
        <w:trPr>
          <w:cantSplit/>
          <w:trHeight w:val="305"/>
        </w:trPr>
        <w:tc>
          <w:tcPr>
            <w:tcW w:w="1027" w:type="dxa"/>
            <w:vAlign w:val="center"/>
          </w:tcPr>
          <w:p w14:paraId="69800A7F" w14:textId="77777777" w:rsidR="002747CA" w:rsidRPr="002747CA" w:rsidRDefault="002747CA" w:rsidP="001A127E">
            <w:pPr>
              <w:rPr>
                <w:rFonts w:cs="Arial"/>
                <w:sz w:val="18"/>
                <w:szCs w:val="18"/>
                <w:lang w:val="es-HN"/>
              </w:rPr>
            </w:pPr>
            <w:r w:rsidRPr="002747CA">
              <w:rPr>
                <w:rFonts w:cs="Arial"/>
                <w:sz w:val="18"/>
                <w:szCs w:val="18"/>
                <w:lang w:val="es-HN"/>
              </w:rPr>
              <w:t>Productos</w:t>
            </w:r>
          </w:p>
        </w:tc>
        <w:tc>
          <w:tcPr>
            <w:tcW w:w="2644" w:type="dxa"/>
            <w:vAlign w:val="center"/>
          </w:tcPr>
          <w:p w14:paraId="701FA9BD" w14:textId="77777777" w:rsidR="002747CA" w:rsidRPr="002747CA" w:rsidRDefault="002747CA" w:rsidP="001A127E">
            <w:pPr>
              <w:jc w:val="both"/>
              <w:rPr>
                <w:rFonts w:cs="Arial"/>
                <w:color w:val="000000"/>
                <w:sz w:val="18"/>
                <w:szCs w:val="18"/>
                <w:lang w:val="es-HN"/>
              </w:rPr>
            </w:pPr>
            <w:r w:rsidRPr="002747CA">
              <w:rPr>
                <w:rFonts w:cs="Arial"/>
                <w:color w:val="000000"/>
                <w:sz w:val="18"/>
                <w:szCs w:val="18"/>
                <w:lang w:val="es-HN" w:eastAsia="es-HN"/>
              </w:rPr>
              <w:t>Municipios cumpliendo con la norma nacional de regulación</w:t>
            </w:r>
          </w:p>
        </w:tc>
        <w:tc>
          <w:tcPr>
            <w:tcW w:w="1047" w:type="dxa"/>
            <w:vAlign w:val="center"/>
          </w:tcPr>
          <w:p w14:paraId="09BF9E51" w14:textId="77777777" w:rsidR="002747CA" w:rsidRPr="002747CA" w:rsidRDefault="002747CA" w:rsidP="001A127E">
            <w:pPr>
              <w:jc w:val="center"/>
              <w:rPr>
                <w:rFonts w:cs="Arial"/>
                <w:sz w:val="18"/>
                <w:szCs w:val="18"/>
                <w:lang w:val="es-HN"/>
              </w:rPr>
            </w:pPr>
            <w:r w:rsidRPr="002747CA">
              <w:rPr>
                <w:rFonts w:cs="Arial"/>
                <w:sz w:val="18"/>
                <w:szCs w:val="18"/>
                <w:lang w:val="es-HN"/>
              </w:rPr>
              <w:t>Nuevo indicador</w:t>
            </w:r>
          </w:p>
        </w:tc>
        <w:tc>
          <w:tcPr>
            <w:tcW w:w="938" w:type="dxa"/>
            <w:vAlign w:val="center"/>
          </w:tcPr>
          <w:p w14:paraId="17293736" w14:textId="77777777" w:rsidR="002747CA" w:rsidRPr="002747CA" w:rsidRDefault="002747CA" w:rsidP="001A127E">
            <w:pPr>
              <w:jc w:val="center"/>
              <w:rPr>
                <w:rFonts w:cs="Arial"/>
                <w:color w:val="000000"/>
                <w:sz w:val="18"/>
                <w:szCs w:val="18"/>
                <w:lang w:val="es-HN"/>
              </w:rPr>
            </w:pPr>
          </w:p>
        </w:tc>
        <w:tc>
          <w:tcPr>
            <w:tcW w:w="897" w:type="dxa"/>
            <w:vAlign w:val="center"/>
          </w:tcPr>
          <w:p w14:paraId="2337C56C" w14:textId="77777777" w:rsidR="002747CA" w:rsidRPr="002747CA" w:rsidRDefault="002747CA" w:rsidP="001A127E">
            <w:pPr>
              <w:jc w:val="center"/>
              <w:rPr>
                <w:rFonts w:cs="Arial"/>
                <w:color w:val="000000"/>
                <w:sz w:val="18"/>
                <w:szCs w:val="18"/>
              </w:rPr>
            </w:pPr>
          </w:p>
        </w:tc>
        <w:tc>
          <w:tcPr>
            <w:tcW w:w="1007" w:type="dxa"/>
            <w:vAlign w:val="center"/>
          </w:tcPr>
          <w:p w14:paraId="2D9D798E" w14:textId="77777777" w:rsidR="002747CA" w:rsidRPr="002747CA" w:rsidRDefault="002747CA" w:rsidP="001A127E">
            <w:pPr>
              <w:jc w:val="center"/>
              <w:rPr>
                <w:rFonts w:cs="Arial"/>
                <w:color w:val="000000"/>
                <w:sz w:val="18"/>
                <w:szCs w:val="18"/>
              </w:rPr>
            </w:pPr>
          </w:p>
        </w:tc>
        <w:tc>
          <w:tcPr>
            <w:tcW w:w="4206" w:type="dxa"/>
            <w:vAlign w:val="center"/>
          </w:tcPr>
          <w:p w14:paraId="0D4D14B4" w14:textId="77777777" w:rsidR="002747CA" w:rsidRPr="002747CA" w:rsidRDefault="002747CA" w:rsidP="001A127E">
            <w:pPr>
              <w:autoSpaceDE w:val="0"/>
              <w:autoSpaceDN w:val="0"/>
              <w:adjustRightInd w:val="0"/>
              <w:rPr>
                <w:rFonts w:cs="Arial"/>
                <w:sz w:val="18"/>
                <w:szCs w:val="14"/>
                <w:lang w:val="es-HN"/>
              </w:rPr>
            </w:pPr>
            <w:r w:rsidRPr="002747CA">
              <w:rPr>
                <w:rFonts w:cs="Arial"/>
                <w:color w:val="000000" w:themeColor="text1"/>
                <w:sz w:val="18"/>
                <w:szCs w:val="18"/>
                <w:lang w:val="es-HN"/>
              </w:rPr>
              <w:t>Producto nuevo en la matriz de elegibilidad + 60 días (no en la matriz original)</w:t>
            </w:r>
            <w:bookmarkStart w:id="0" w:name="_GoBack"/>
            <w:bookmarkEnd w:id="0"/>
          </w:p>
        </w:tc>
        <w:tc>
          <w:tcPr>
            <w:tcW w:w="1426" w:type="dxa"/>
            <w:vAlign w:val="center"/>
          </w:tcPr>
          <w:p w14:paraId="6120083E" w14:textId="77777777" w:rsidR="002747CA" w:rsidRPr="002747CA" w:rsidRDefault="002747CA" w:rsidP="002747CA">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24E91DF9" w14:textId="77777777" w:rsidR="002747CA" w:rsidRPr="002747CA" w:rsidRDefault="002747CA" w:rsidP="002747CA">
            <w:pPr>
              <w:jc w:val="center"/>
            </w:pPr>
            <w:r w:rsidRPr="002747CA">
              <w:rPr>
                <w:rFonts w:cs="Arial"/>
                <w:sz w:val="18"/>
                <w:szCs w:val="18"/>
                <w:lang w:val="es-HN"/>
              </w:rPr>
              <w:t>Sept. - 2012</w:t>
            </w:r>
          </w:p>
        </w:tc>
      </w:tr>
      <w:tr w:rsidR="002747CA" w:rsidRPr="001A127E" w14:paraId="765D1959" w14:textId="77777777" w:rsidTr="008E2484">
        <w:trPr>
          <w:cantSplit/>
          <w:trHeight w:val="305"/>
        </w:trPr>
        <w:tc>
          <w:tcPr>
            <w:tcW w:w="1027" w:type="dxa"/>
            <w:vAlign w:val="center"/>
          </w:tcPr>
          <w:p w14:paraId="23F61F34" w14:textId="77777777" w:rsidR="002747CA" w:rsidRPr="002747CA" w:rsidRDefault="002747CA" w:rsidP="001A127E">
            <w:pPr>
              <w:rPr>
                <w:rFonts w:cs="Arial"/>
                <w:sz w:val="18"/>
                <w:szCs w:val="18"/>
                <w:lang w:val="es-HN"/>
              </w:rPr>
            </w:pPr>
            <w:r w:rsidRPr="002747CA">
              <w:rPr>
                <w:rFonts w:cs="Arial"/>
                <w:sz w:val="18"/>
                <w:szCs w:val="18"/>
                <w:lang w:val="es-HN"/>
              </w:rPr>
              <w:t>Productos</w:t>
            </w:r>
          </w:p>
        </w:tc>
        <w:tc>
          <w:tcPr>
            <w:tcW w:w="2644" w:type="dxa"/>
            <w:vAlign w:val="center"/>
          </w:tcPr>
          <w:p w14:paraId="3417C111" w14:textId="77777777" w:rsidR="002747CA" w:rsidRPr="002747CA" w:rsidRDefault="002747CA" w:rsidP="001A127E">
            <w:pPr>
              <w:jc w:val="both"/>
              <w:rPr>
                <w:rFonts w:cs="Arial"/>
                <w:color w:val="000000"/>
                <w:sz w:val="18"/>
                <w:szCs w:val="18"/>
                <w:lang w:val="es-HN" w:eastAsia="es-HN"/>
              </w:rPr>
            </w:pPr>
            <w:r w:rsidRPr="002747CA">
              <w:rPr>
                <w:rFonts w:cs="Arial"/>
                <w:color w:val="000000"/>
                <w:sz w:val="18"/>
                <w:szCs w:val="18"/>
                <w:lang w:val="es-HN" w:eastAsia="es-HN"/>
              </w:rPr>
              <w:t>Municipios cumpliendo con la norma nacional de regulación</w:t>
            </w:r>
          </w:p>
        </w:tc>
        <w:tc>
          <w:tcPr>
            <w:tcW w:w="1047" w:type="dxa"/>
            <w:vAlign w:val="center"/>
          </w:tcPr>
          <w:p w14:paraId="0E568557" w14:textId="77777777" w:rsidR="002747CA" w:rsidRPr="002747CA" w:rsidRDefault="002747CA" w:rsidP="001A127E">
            <w:pPr>
              <w:jc w:val="center"/>
              <w:rPr>
                <w:rFonts w:cs="Arial"/>
                <w:sz w:val="18"/>
                <w:szCs w:val="18"/>
                <w:lang w:val="es-HN"/>
              </w:rPr>
            </w:pPr>
            <w:r w:rsidRPr="002747CA">
              <w:rPr>
                <w:rFonts w:cs="Arial"/>
                <w:sz w:val="18"/>
                <w:szCs w:val="18"/>
                <w:lang w:val="es-HN"/>
              </w:rPr>
              <w:t>Cambios meta</w:t>
            </w:r>
          </w:p>
        </w:tc>
        <w:tc>
          <w:tcPr>
            <w:tcW w:w="938" w:type="dxa"/>
            <w:vAlign w:val="center"/>
          </w:tcPr>
          <w:p w14:paraId="28461E1E" w14:textId="77777777" w:rsidR="002747CA" w:rsidRPr="002747CA" w:rsidRDefault="002747CA" w:rsidP="001A127E">
            <w:pPr>
              <w:jc w:val="center"/>
              <w:rPr>
                <w:rFonts w:cs="Arial"/>
                <w:color w:val="000000"/>
                <w:sz w:val="18"/>
                <w:szCs w:val="18"/>
                <w:lang w:val="es-HN"/>
              </w:rPr>
            </w:pPr>
          </w:p>
        </w:tc>
        <w:tc>
          <w:tcPr>
            <w:tcW w:w="897" w:type="dxa"/>
            <w:vAlign w:val="center"/>
          </w:tcPr>
          <w:p w14:paraId="24FE31A1" w14:textId="77777777" w:rsidR="002747CA" w:rsidRPr="002747CA" w:rsidRDefault="002747CA" w:rsidP="002747CA">
            <w:pPr>
              <w:jc w:val="center"/>
              <w:rPr>
                <w:rFonts w:cs="Arial"/>
                <w:color w:val="000000"/>
                <w:sz w:val="18"/>
                <w:szCs w:val="18"/>
              </w:rPr>
            </w:pPr>
            <w:r w:rsidRPr="002747CA">
              <w:rPr>
                <w:rFonts w:cs="Arial"/>
                <w:color w:val="000000"/>
                <w:sz w:val="18"/>
                <w:szCs w:val="18"/>
              </w:rPr>
              <w:t>70</w:t>
            </w:r>
          </w:p>
        </w:tc>
        <w:tc>
          <w:tcPr>
            <w:tcW w:w="1007" w:type="dxa"/>
            <w:vAlign w:val="center"/>
          </w:tcPr>
          <w:p w14:paraId="46C2A0F7" w14:textId="77777777" w:rsidR="002747CA" w:rsidRPr="002747CA" w:rsidRDefault="002747CA" w:rsidP="002747CA">
            <w:pPr>
              <w:jc w:val="center"/>
              <w:rPr>
                <w:rFonts w:cs="Arial"/>
                <w:color w:val="000000"/>
                <w:sz w:val="18"/>
                <w:szCs w:val="18"/>
              </w:rPr>
            </w:pPr>
            <w:r w:rsidRPr="002747CA">
              <w:rPr>
                <w:rFonts w:cs="Arial"/>
                <w:color w:val="000000"/>
                <w:sz w:val="18"/>
                <w:szCs w:val="18"/>
              </w:rPr>
              <w:t>28</w:t>
            </w:r>
          </w:p>
        </w:tc>
        <w:tc>
          <w:tcPr>
            <w:tcW w:w="4206" w:type="dxa"/>
            <w:vAlign w:val="center"/>
          </w:tcPr>
          <w:p w14:paraId="33A5F567" w14:textId="77777777" w:rsidR="002747CA" w:rsidRPr="002747CA" w:rsidRDefault="002747CA" w:rsidP="002747CA">
            <w:pPr>
              <w:autoSpaceDE w:val="0"/>
              <w:autoSpaceDN w:val="0"/>
              <w:adjustRightInd w:val="0"/>
              <w:rPr>
                <w:rFonts w:cs="Arial"/>
                <w:color w:val="000000" w:themeColor="text1"/>
                <w:sz w:val="18"/>
                <w:szCs w:val="18"/>
                <w:lang w:val="es-HN"/>
              </w:rPr>
            </w:pPr>
            <w:r w:rsidRPr="002747CA">
              <w:rPr>
                <w:rFonts w:cs="Arial"/>
                <w:color w:val="000000" w:themeColor="text1"/>
                <w:sz w:val="18"/>
                <w:szCs w:val="18"/>
                <w:lang w:val="es-HN"/>
              </w:rPr>
              <w:t>Se redujo el alcance de los municipios intervenidos, por el programa</w:t>
            </w:r>
          </w:p>
        </w:tc>
        <w:tc>
          <w:tcPr>
            <w:tcW w:w="1426" w:type="dxa"/>
            <w:vAlign w:val="center"/>
          </w:tcPr>
          <w:p w14:paraId="00C449D0" w14:textId="77777777" w:rsidR="002747CA" w:rsidRPr="002747CA" w:rsidRDefault="002747CA" w:rsidP="002747CA">
            <w:pPr>
              <w:pStyle w:val="Default"/>
              <w:jc w:val="center"/>
              <w:rPr>
                <w:rFonts w:ascii="Arial" w:hAnsi="Arial" w:cs="Arial"/>
                <w:color w:val="auto"/>
                <w:sz w:val="18"/>
                <w:szCs w:val="18"/>
                <w:lang w:val="es-HN"/>
              </w:rPr>
            </w:pPr>
            <w:r w:rsidRPr="002747CA">
              <w:rPr>
                <w:rFonts w:ascii="Arial" w:hAnsi="Arial" w:cs="Arial"/>
                <w:color w:val="auto"/>
                <w:sz w:val="18"/>
                <w:szCs w:val="18"/>
                <w:lang w:val="es-HN"/>
              </w:rPr>
              <w:t>Oct.-2015</w:t>
            </w:r>
          </w:p>
        </w:tc>
        <w:tc>
          <w:tcPr>
            <w:tcW w:w="1398" w:type="dxa"/>
            <w:vAlign w:val="center"/>
          </w:tcPr>
          <w:p w14:paraId="0550586E" w14:textId="77777777" w:rsidR="002747CA" w:rsidRDefault="002747CA" w:rsidP="002747CA">
            <w:pPr>
              <w:jc w:val="center"/>
            </w:pPr>
            <w:r w:rsidRPr="002747CA">
              <w:rPr>
                <w:rFonts w:cs="Arial"/>
                <w:sz w:val="18"/>
                <w:szCs w:val="18"/>
                <w:lang w:val="es-HN"/>
              </w:rPr>
              <w:t>Sept. - 2012</w:t>
            </w:r>
          </w:p>
        </w:tc>
      </w:tr>
    </w:tbl>
    <w:p w14:paraId="6CA2692B" w14:textId="77777777" w:rsidR="00A85970" w:rsidRPr="00D147D4" w:rsidRDefault="00A85970" w:rsidP="00D147D4">
      <w:pPr>
        <w:rPr>
          <w:lang w:val="es-HN"/>
        </w:rPr>
      </w:pPr>
    </w:p>
    <w:sectPr w:rsidR="00A85970" w:rsidRPr="00D147D4" w:rsidSect="00FB64F9">
      <w:pgSz w:w="15840" w:h="12240" w:orient="landscape"/>
      <w:pgMar w:top="170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CE579F"/>
    <w:multiLevelType w:val="hybridMultilevel"/>
    <w:tmpl w:val="38A6A634"/>
    <w:lvl w:ilvl="0" w:tplc="480A0001">
      <w:start w:val="1"/>
      <w:numFmt w:val="bullet"/>
      <w:lvlText w:val=""/>
      <w:lvlJc w:val="left"/>
      <w:pPr>
        <w:ind w:left="786" w:hanging="360"/>
      </w:pPr>
      <w:rPr>
        <w:rFonts w:ascii="Symbol" w:hAnsi="Symbol" w:hint="default"/>
      </w:rPr>
    </w:lvl>
    <w:lvl w:ilvl="1" w:tplc="480A000D">
      <w:start w:val="1"/>
      <w:numFmt w:val="bullet"/>
      <w:lvlText w:val=""/>
      <w:lvlJc w:val="left"/>
      <w:pPr>
        <w:ind w:left="1506" w:hanging="360"/>
      </w:pPr>
      <w:rPr>
        <w:rFonts w:ascii="Wingdings" w:hAnsi="Wingdings" w:hint="default"/>
      </w:rPr>
    </w:lvl>
    <w:lvl w:ilvl="2" w:tplc="480A0005" w:tentative="1">
      <w:start w:val="1"/>
      <w:numFmt w:val="bullet"/>
      <w:lvlText w:val=""/>
      <w:lvlJc w:val="left"/>
      <w:pPr>
        <w:ind w:left="2226" w:hanging="360"/>
      </w:pPr>
      <w:rPr>
        <w:rFonts w:ascii="Wingdings" w:hAnsi="Wingdings" w:hint="default"/>
      </w:rPr>
    </w:lvl>
    <w:lvl w:ilvl="3" w:tplc="480A0001" w:tentative="1">
      <w:start w:val="1"/>
      <w:numFmt w:val="bullet"/>
      <w:lvlText w:val=""/>
      <w:lvlJc w:val="left"/>
      <w:pPr>
        <w:ind w:left="2946" w:hanging="360"/>
      </w:pPr>
      <w:rPr>
        <w:rFonts w:ascii="Symbol" w:hAnsi="Symbol" w:hint="default"/>
      </w:rPr>
    </w:lvl>
    <w:lvl w:ilvl="4" w:tplc="480A0003" w:tentative="1">
      <w:start w:val="1"/>
      <w:numFmt w:val="bullet"/>
      <w:lvlText w:val="o"/>
      <w:lvlJc w:val="left"/>
      <w:pPr>
        <w:ind w:left="3666" w:hanging="360"/>
      </w:pPr>
      <w:rPr>
        <w:rFonts w:ascii="Courier New" w:hAnsi="Courier New" w:cs="Courier New" w:hint="default"/>
      </w:rPr>
    </w:lvl>
    <w:lvl w:ilvl="5" w:tplc="480A0005" w:tentative="1">
      <w:start w:val="1"/>
      <w:numFmt w:val="bullet"/>
      <w:lvlText w:val=""/>
      <w:lvlJc w:val="left"/>
      <w:pPr>
        <w:ind w:left="4386" w:hanging="360"/>
      </w:pPr>
      <w:rPr>
        <w:rFonts w:ascii="Wingdings" w:hAnsi="Wingdings" w:hint="default"/>
      </w:rPr>
    </w:lvl>
    <w:lvl w:ilvl="6" w:tplc="480A0001" w:tentative="1">
      <w:start w:val="1"/>
      <w:numFmt w:val="bullet"/>
      <w:lvlText w:val=""/>
      <w:lvlJc w:val="left"/>
      <w:pPr>
        <w:ind w:left="5106" w:hanging="360"/>
      </w:pPr>
      <w:rPr>
        <w:rFonts w:ascii="Symbol" w:hAnsi="Symbol" w:hint="default"/>
      </w:rPr>
    </w:lvl>
    <w:lvl w:ilvl="7" w:tplc="480A0003" w:tentative="1">
      <w:start w:val="1"/>
      <w:numFmt w:val="bullet"/>
      <w:lvlText w:val="o"/>
      <w:lvlJc w:val="left"/>
      <w:pPr>
        <w:ind w:left="5826" w:hanging="360"/>
      </w:pPr>
      <w:rPr>
        <w:rFonts w:ascii="Courier New" w:hAnsi="Courier New" w:cs="Courier New" w:hint="default"/>
      </w:rPr>
    </w:lvl>
    <w:lvl w:ilvl="8" w:tplc="480A0005" w:tentative="1">
      <w:start w:val="1"/>
      <w:numFmt w:val="bullet"/>
      <w:lvlText w:val=""/>
      <w:lvlJc w:val="left"/>
      <w:pPr>
        <w:ind w:left="6546" w:hanging="360"/>
      </w:pPr>
      <w:rPr>
        <w:rFonts w:ascii="Wingdings" w:hAnsi="Wingdings" w:hint="default"/>
      </w:rPr>
    </w:lvl>
  </w:abstractNum>
  <w:abstractNum w:abstractNumId="1" w15:restartNumberingAfterBreak="0">
    <w:nsid w:val="371E2B27"/>
    <w:multiLevelType w:val="hybridMultilevel"/>
    <w:tmpl w:val="5B4C047E"/>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 w15:restartNumberingAfterBreak="0">
    <w:nsid w:val="78F8181A"/>
    <w:multiLevelType w:val="hybridMultilevel"/>
    <w:tmpl w:val="891C5DE2"/>
    <w:lvl w:ilvl="0" w:tplc="7B96C770">
      <w:start w:val="1"/>
      <w:numFmt w:val="decimal"/>
      <w:lvlText w:val="%1."/>
      <w:lvlJc w:val="left"/>
      <w:pPr>
        <w:ind w:left="312" w:hanging="360"/>
      </w:pPr>
      <w:rPr>
        <w:rFonts w:hint="default"/>
      </w:rPr>
    </w:lvl>
    <w:lvl w:ilvl="1" w:tplc="480A0019" w:tentative="1">
      <w:start w:val="1"/>
      <w:numFmt w:val="lowerLetter"/>
      <w:lvlText w:val="%2."/>
      <w:lvlJc w:val="left"/>
      <w:pPr>
        <w:ind w:left="1032" w:hanging="360"/>
      </w:pPr>
    </w:lvl>
    <w:lvl w:ilvl="2" w:tplc="480A001B" w:tentative="1">
      <w:start w:val="1"/>
      <w:numFmt w:val="lowerRoman"/>
      <w:lvlText w:val="%3."/>
      <w:lvlJc w:val="right"/>
      <w:pPr>
        <w:ind w:left="1752" w:hanging="180"/>
      </w:pPr>
    </w:lvl>
    <w:lvl w:ilvl="3" w:tplc="480A000F" w:tentative="1">
      <w:start w:val="1"/>
      <w:numFmt w:val="decimal"/>
      <w:lvlText w:val="%4."/>
      <w:lvlJc w:val="left"/>
      <w:pPr>
        <w:ind w:left="2472" w:hanging="360"/>
      </w:pPr>
    </w:lvl>
    <w:lvl w:ilvl="4" w:tplc="480A0019" w:tentative="1">
      <w:start w:val="1"/>
      <w:numFmt w:val="lowerLetter"/>
      <w:lvlText w:val="%5."/>
      <w:lvlJc w:val="left"/>
      <w:pPr>
        <w:ind w:left="3192" w:hanging="360"/>
      </w:pPr>
    </w:lvl>
    <w:lvl w:ilvl="5" w:tplc="480A001B" w:tentative="1">
      <w:start w:val="1"/>
      <w:numFmt w:val="lowerRoman"/>
      <w:lvlText w:val="%6."/>
      <w:lvlJc w:val="right"/>
      <w:pPr>
        <w:ind w:left="3912" w:hanging="180"/>
      </w:pPr>
    </w:lvl>
    <w:lvl w:ilvl="6" w:tplc="480A000F" w:tentative="1">
      <w:start w:val="1"/>
      <w:numFmt w:val="decimal"/>
      <w:lvlText w:val="%7."/>
      <w:lvlJc w:val="left"/>
      <w:pPr>
        <w:ind w:left="4632" w:hanging="360"/>
      </w:pPr>
    </w:lvl>
    <w:lvl w:ilvl="7" w:tplc="480A0019" w:tentative="1">
      <w:start w:val="1"/>
      <w:numFmt w:val="lowerLetter"/>
      <w:lvlText w:val="%8."/>
      <w:lvlJc w:val="left"/>
      <w:pPr>
        <w:ind w:left="5352" w:hanging="360"/>
      </w:pPr>
    </w:lvl>
    <w:lvl w:ilvl="8" w:tplc="480A001B" w:tentative="1">
      <w:start w:val="1"/>
      <w:numFmt w:val="lowerRoman"/>
      <w:lvlText w:val="%9."/>
      <w:lvlJc w:val="right"/>
      <w:pPr>
        <w:ind w:left="6072" w:hanging="180"/>
      </w:pPr>
    </w:lvl>
  </w:abstractNum>
  <w:abstractNum w:abstractNumId="3" w15:restartNumberingAfterBreak="0">
    <w:nsid w:val="792A0201"/>
    <w:multiLevelType w:val="hybridMultilevel"/>
    <w:tmpl w:val="3C8A0D1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7B0"/>
    <w:rsid w:val="001A127E"/>
    <w:rsid w:val="001E37A9"/>
    <w:rsid w:val="002747CA"/>
    <w:rsid w:val="003D559C"/>
    <w:rsid w:val="004C04ED"/>
    <w:rsid w:val="0052395A"/>
    <w:rsid w:val="00685C84"/>
    <w:rsid w:val="0072796F"/>
    <w:rsid w:val="00730FF4"/>
    <w:rsid w:val="007F400A"/>
    <w:rsid w:val="008D5EFE"/>
    <w:rsid w:val="008E2484"/>
    <w:rsid w:val="008F67B0"/>
    <w:rsid w:val="00954A8A"/>
    <w:rsid w:val="00984CBC"/>
    <w:rsid w:val="00A85970"/>
    <w:rsid w:val="00D147D4"/>
    <w:rsid w:val="00D158A3"/>
    <w:rsid w:val="00D8532C"/>
    <w:rsid w:val="00FB64F9"/>
  </w:rsids>
  <m:mathPr>
    <m:mathFont m:val="Cambria Math"/>
    <m:brkBin m:val="before"/>
    <m:brkBinSub m:val="--"/>
    <m:smallFrac m:val="0"/>
    <m:dispDef/>
    <m:lMargin m:val="0"/>
    <m:rMargin m:val="0"/>
    <m:defJc m:val="centerGroup"/>
    <m:wrapIndent m:val="1440"/>
    <m:intLim m:val="subSup"/>
    <m:naryLim m:val="undOvr"/>
  </m:mathPr>
  <w:themeFontLang w:val="es-H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68984D"/>
  <w15:docId w15:val="{F16D7110-1503-4B2E-ABD4-8F44C05E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67B0"/>
    <w:pPr>
      <w:spacing w:after="0" w:line="240" w:lineRule="auto"/>
    </w:pPr>
    <w:rPr>
      <w:rFonts w:ascii="Arial" w:hAnsi="Arial"/>
      <w:lang w:val="en-US"/>
    </w:rPr>
  </w:style>
  <w:style w:type="paragraph" w:styleId="Heading2">
    <w:name w:val="heading 2"/>
    <w:basedOn w:val="Normal"/>
    <w:next w:val="Normal"/>
    <w:link w:val="Heading2Char"/>
    <w:uiPriority w:val="9"/>
    <w:unhideWhenUsed/>
    <w:qFormat/>
    <w:rsid w:val="00D147D4"/>
    <w:pPr>
      <w:keepNext/>
      <w:keepLines/>
      <w:spacing w:before="120" w:after="120"/>
      <w:outlineLvl w:val="1"/>
    </w:pPr>
    <w:rPr>
      <w:rFonts w:eastAsiaTheme="majorEastAsia" w:cstheme="majorBidi"/>
      <w:b/>
      <w:bCs/>
      <w:noProo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Char">
    <w:name w:val="Default Char"/>
    <w:basedOn w:val="DefaultParagraphFont"/>
    <w:link w:val="Default"/>
    <w:locked/>
    <w:rsid w:val="008F67B0"/>
    <w:rPr>
      <w:rFonts w:ascii="Calibri" w:eastAsia="Times New Roman" w:hAnsi="Calibri" w:cs="Times New Roman"/>
      <w:color w:val="000000"/>
      <w:sz w:val="24"/>
      <w:szCs w:val="24"/>
    </w:rPr>
  </w:style>
  <w:style w:type="paragraph" w:customStyle="1" w:styleId="Default">
    <w:name w:val="Default"/>
    <w:link w:val="DefaultChar"/>
    <w:rsid w:val="008F67B0"/>
    <w:pPr>
      <w:autoSpaceDE w:val="0"/>
      <w:autoSpaceDN w:val="0"/>
      <w:adjustRightInd w:val="0"/>
      <w:spacing w:after="0" w:line="240" w:lineRule="auto"/>
    </w:pPr>
    <w:rPr>
      <w:rFonts w:ascii="Calibri" w:eastAsia="Times New Roman" w:hAnsi="Calibri" w:cs="Times New Roman"/>
      <w:color w:val="000000"/>
      <w:sz w:val="24"/>
      <w:szCs w:val="24"/>
    </w:rPr>
  </w:style>
  <w:style w:type="table" w:customStyle="1" w:styleId="TableGrid1">
    <w:name w:val="Table Grid1"/>
    <w:basedOn w:val="TableNormal"/>
    <w:uiPriority w:val="59"/>
    <w:rsid w:val="008F67B0"/>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47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7D4"/>
    <w:rPr>
      <w:rFonts w:ascii="Segoe UI" w:hAnsi="Segoe UI" w:cs="Segoe UI"/>
      <w:sz w:val="18"/>
      <w:szCs w:val="18"/>
      <w:lang w:val="en-US"/>
    </w:rPr>
  </w:style>
  <w:style w:type="character" w:customStyle="1" w:styleId="Heading2Char">
    <w:name w:val="Heading 2 Char"/>
    <w:basedOn w:val="DefaultParagraphFont"/>
    <w:link w:val="Heading2"/>
    <w:uiPriority w:val="9"/>
    <w:rsid w:val="00D147D4"/>
    <w:rPr>
      <w:rFonts w:ascii="Arial" w:eastAsiaTheme="majorEastAsia" w:hAnsi="Arial" w:cstheme="majorBidi"/>
      <w:b/>
      <w:bCs/>
      <w:noProof/>
      <w:szCs w:val="26"/>
      <w:lang w:val="en-US"/>
    </w:rPr>
  </w:style>
  <w:style w:type="paragraph" w:styleId="ListParagraph">
    <w:name w:val="List Paragraph"/>
    <w:basedOn w:val="Normal"/>
    <w:uiPriority w:val="34"/>
    <w:qFormat/>
    <w:rsid w:val="00D147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87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9C35F-2FFA-4902-A9BE-DEAA2897A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1538</Words>
  <Characters>8768</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Galaz, Yolanda</cp:lastModifiedBy>
  <cp:revision>4</cp:revision>
  <dcterms:created xsi:type="dcterms:W3CDTF">2018-08-03T03:40:00Z</dcterms:created>
  <dcterms:modified xsi:type="dcterms:W3CDTF">2018-12-19T17:48:00Z</dcterms:modified>
</cp:coreProperties>
</file>