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439" w:rsidRPr="005162CB" w:rsidRDefault="005A2439" w:rsidP="005A2439">
      <w:pPr>
        <w:spacing w:before="240" w:after="240"/>
        <w:ind w:left="360"/>
        <w:jc w:val="center"/>
        <w:rPr>
          <w:rFonts w:ascii="Arial" w:hAnsi="Arial" w:cs="Arial"/>
          <w:b/>
          <w:noProof w:val="0"/>
          <w:lang w:val="pt-BR"/>
        </w:rPr>
      </w:pPr>
      <w:r w:rsidRPr="005162CB">
        <w:rPr>
          <w:rFonts w:ascii="Arial" w:hAnsi="Arial" w:cs="Arial"/>
          <w:b/>
          <w:noProof w:val="0"/>
          <w:lang w:val="pt-BR"/>
        </w:rPr>
        <w:t>Nota Técnica</w:t>
      </w:r>
    </w:p>
    <w:p w:rsidR="005A2439" w:rsidRPr="005162CB" w:rsidRDefault="00567A79" w:rsidP="005A2439">
      <w:pPr>
        <w:tabs>
          <w:tab w:val="left" w:pos="1440"/>
          <w:tab w:val="left" w:pos="3060"/>
        </w:tabs>
        <w:jc w:val="center"/>
        <w:rPr>
          <w:rFonts w:ascii="Arial" w:hAnsi="Arial" w:cs="Arial"/>
          <w:b/>
          <w:smallCaps/>
          <w:color w:val="000000" w:themeColor="text1"/>
          <w:lang w:val="pt-BR"/>
        </w:rPr>
      </w:pPr>
      <w:r w:rsidRPr="005162CB">
        <w:rPr>
          <w:rFonts w:ascii="Arial" w:hAnsi="Arial" w:cs="Arial"/>
          <w:b/>
          <w:smallCaps/>
          <w:color w:val="000000" w:themeColor="text1"/>
          <w:lang w:val="pt-BR"/>
        </w:rPr>
        <w:t>Brasil</w:t>
      </w:r>
    </w:p>
    <w:p w:rsidR="005A2439" w:rsidRPr="005162CB" w:rsidRDefault="005A2439" w:rsidP="005A2439">
      <w:pPr>
        <w:tabs>
          <w:tab w:val="left" w:pos="1440"/>
          <w:tab w:val="left" w:pos="3060"/>
        </w:tabs>
        <w:jc w:val="center"/>
        <w:rPr>
          <w:rFonts w:ascii="Arial" w:hAnsi="Arial" w:cs="Arial"/>
          <w:smallCaps/>
          <w:lang w:val="pt-BR"/>
        </w:rPr>
      </w:pPr>
    </w:p>
    <w:p w:rsidR="00A8532C" w:rsidRDefault="00A8532C" w:rsidP="00A8532C">
      <w:pPr>
        <w:spacing w:before="240"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  <w:lang w:val="pt-BR"/>
        </w:rPr>
      </w:pPr>
      <w:r>
        <w:rPr>
          <w:rFonts w:ascii="Times New Roman" w:hAnsi="Times New Roman"/>
          <w:b/>
          <w:bCs/>
          <w:sz w:val="24"/>
          <w:szCs w:val="24"/>
          <w:lang w:val="pt-BR"/>
        </w:rPr>
        <w:t>Programa de Modernização e Fortalecimento da Gestão Fiscal do Estado do Amazonas (PROFISCO AM) BR-L1388</w:t>
      </w:r>
    </w:p>
    <w:p w:rsidR="00F05D26" w:rsidRPr="005162CB" w:rsidRDefault="00567A79" w:rsidP="00F05D26">
      <w:pPr>
        <w:spacing w:before="240" w:after="0" w:line="240" w:lineRule="auto"/>
        <w:ind w:left="360"/>
        <w:jc w:val="center"/>
        <w:rPr>
          <w:rFonts w:ascii="Arial" w:hAnsi="Arial" w:cs="Arial"/>
          <w:b/>
          <w:noProof w:val="0"/>
          <w:color w:val="FF0000"/>
          <w:lang w:val="pt-BR"/>
        </w:rPr>
      </w:pPr>
      <w:r w:rsidRPr="005162CB">
        <w:rPr>
          <w:rFonts w:ascii="Arial" w:hAnsi="Arial" w:cs="Arial"/>
          <w:b/>
          <w:noProof w:val="0"/>
          <w:lang w:val="pt-BR"/>
        </w:rPr>
        <w:t xml:space="preserve">Titulo da Nota </w:t>
      </w:r>
      <w:r w:rsidR="00F05D26" w:rsidRPr="005162CB">
        <w:rPr>
          <w:rFonts w:ascii="Arial" w:hAnsi="Arial" w:cs="Arial"/>
          <w:b/>
          <w:noProof w:val="0"/>
          <w:lang w:val="pt-BR"/>
        </w:rPr>
        <w:t>Técnica</w:t>
      </w:r>
      <w:r w:rsidR="00F05D26" w:rsidRPr="005162CB">
        <w:rPr>
          <w:rFonts w:ascii="Arial" w:hAnsi="Arial" w:cs="Arial"/>
          <w:b/>
          <w:noProof w:val="0"/>
          <w:color w:val="FF0000"/>
          <w:lang w:val="pt-BR"/>
        </w:rPr>
        <w:t>:</w:t>
      </w:r>
    </w:p>
    <w:p w:rsidR="00622E73" w:rsidRPr="005162CB" w:rsidRDefault="00DF4870" w:rsidP="00622E73">
      <w:pPr>
        <w:spacing w:before="240" w:after="240"/>
        <w:ind w:left="360"/>
        <w:jc w:val="center"/>
        <w:rPr>
          <w:rFonts w:ascii="Arial" w:hAnsi="Arial" w:cs="Arial"/>
          <w:b/>
          <w:noProof w:val="0"/>
          <w:color w:val="000000"/>
          <w:lang w:val="pt-BR"/>
        </w:rPr>
      </w:pPr>
      <w:r>
        <w:rPr>
          <w:rFonts w:ascii="Arial" w:hAnsi="Arial" w:cs="Arial"/>
          <w:b/>
          <w:lang w:val="pt-BR"/>
        </w:rPr>
        <w:t>Subcomponente 4: Melhoria da eficiência e eficácia da administração do contencioso fiscal.</w:t>
      </w:r>
    </w:p>
    <w:p w:rsidR="005A2439" w:rsidRPr="005162CB" w:rsidRDefault="00567A79" w:rsidP="00970FC7">
      <w:pPr>
        <w:spacing w:before="240" w:after="240"/>
        <w:ind w:left="360"/>
        <w:jc w:val="both"/>
        <w:rPr>
          <w:rFonts w:ascii="Arial" w:hAnsi="Arial" w:cs="Arial"/>
          <w:color w:val="000000"/>
          <w:lang w:val="pt-BR"/>
        </w:rPr>
      </w:pPr>
      <w:r w:rsidRPr="005162CB">
        <w:rPr>
          <w:rFonts w:ascii="Arial" w:hAnsi="Arial" w:cs="Arial"/>
          <w:b/>
          <w:noProof w:val="0"/>
          <w:color w:val="000000"/>
          <w:lang w:val="pt-BR"/>
        </w:rPr>
        <w:t>A presente nota técnica foi preparada por:</w:t>
      </w:r>
      <w:r w:rsidR="00F05D26" w:rsidRPr="005162CB">
        <w:rPr>
          <w:rFonts w:ascii="Arial" w:hAnsi="Arial" w:cs="Arial"/>
          <w:b/>
          <w:noProof w:val="0"/>
          <w:color w:val="000000"/>
          <w:lang w:val="pt-BR"/>
        </w:rPr>
        <w:t xml:space="preserve"> </w:t>
      </w:r>
      <w:r w:rsidR="00F923B8">
        <w:rPr>
          <w:rFonts w:ascii="Arial" w:hAnsi="Arial" w:cs="Arial"/>
          <w:b/>
          <w:noProof w:val="0"/>
          <w:color w:val="000000"/>
          <w:lang w:val="pt-BR"/>
        </w:rPr>
        <w:t>Benedito Evaldo de Lima Moreno</w:t>
      </w:r>
      <w:r w:rsidR="00970FC7" w:rsidRPr="005162CB">
        <w:rPr>
          <w:rFonts w:ascii="Arial" w:hAnsi="Arial" w:cs="Arial"/>
          <w:b/>
          <w:noProof w:val="0"/>
          <w:color w:val="000000"/>
          <w:lang w:val="pt-BR"/>
        </w:rPr>
        <w:t xml:space="preserve">, Procurador do Estado do Amazonas, Chefe da Procuradoria </w:t>
      </w:r>
      <w:r w:rsidR="00F923B8">
        <w:rPr>
          <w:rFonts w:ascii="Arial" w:hAnsi="Arial" w:cs="Arial"/>
          <w:b/>
          <w:noProof w:val="0"/>
          <w:color w:val="000000"/>
          <w:lang w:val="pt-BR"/>
        </w:rPr>
        <w:t>da Dívida Ativa e da Cobrança Extrajudicial</w:t>
      </w:r>
      <w:r w:rsidR="00970FC7" w:rsidRPr="005162CB">
        <w:rPr>
          <w:rFonts w:ascii="Arial" w:hAnsi="Arial" w:cs="Arial"/>
          <w:b/>
          <w:noProof w:val="0"/>
          <w:color w:val="000000"/>
          <w:lang w:val="pt-BR"/>
        </w:rPr>
        <w:t xml:space="preserve"> da Procuradoria Geral do Estado. </w:t>
      </w:r>
    </w:p>
    <w:p w:rsidR="005A2439" w:rsidRPr="00A74088" w:rsidRDefault="00567A79" w:rsidP="00F05D26">
      <w:pPr>
        <w:spacing w:before="240" w:after="240"/>
        <w:ind w:left="360"/>
        <w:jc w:val="both"/>
        <w:rPr>
          <w:rFonts w:ascii="Arial" w:hAnsi="Arial" w:cs="Arial"/>
          <w:noProof w:val="0"/>
          <w:lang w:val="pt-BR"/>
        </w:rPr>
      </w:pPr>
      <w:r w:rsidRPr="005162CB">
        <w:rPr>
          <w:rFonts w:ascii="Arial" w:hAnsi="Arial" w:cs="Arial"/>
          <w:b/>
          <w:noProof w:val="0"/>
          <w:color w:val="000000"/>
          <w:lang w:val="pt-BR"/>
        </w:rPr>
        <w:t>Informação para contato</w:t>
      </w:r>
      <w:r w:rsidR="005A2439" w:rsidRPr="005162CB">
        <w:rPr>
          <w:rFonts w:ascii="Arial" w:hAnsi="Arial" w:cs="Arial"/>
          <w:b/>
          <w:noProof w:val="0"/>
          <w:color w:val="000000"/>
          <w:lang w:val="pt-BR"/>
        </w:rPr>
        <w:t>:</w:t>
      </w:r>
      <w:r w:rsidR="005A2439" w:rsidRPr="005162CB">
        <w:rPr>
          <w:rFonts w:ascii="Arial" w:hAnsi="Arial" w:cs="Arial"/>
          <w:noProof w:val="0"/>
          <w:color w:val="000000"/>
          <w:lang w:val="pt-BR"/>
        </w:rPr>
        <w:t xml:space="preserve"> </w:t>
      </w:r>
      <w:r w:rsidRPr="00A74088">
        <w:rPr>
          <w:rFonts w:ascii="Arial" w:hAnsi="Arial" w:cs="Arial"/>
          <w:noProof w:val="0"/>
          <w:lang w:val="pt-BR"/>
        </w:rPr>
        <w:t>E-mail</w:t>
      </w:r>
      <w:r w:rsidR="00970FC7" w:rsidRPr="00A74088">
        <w:rPr>
          <w:rFonts w:ascii="Arial" w:hAnsi="Arial" w:cs="Arial"/>
          <w:noProof w:val="0"/>
          <w:lang w:val="pt-BR"/>
        </w:rPr>
        <w:t xml:space="preserve">: </w:t>
      </w:r>
      <w:r w:rsidR="00A74088">
        <w:rPr>
          <w:rFonts w:ascii="Arial" w:hAnsi="Arial" w:cs="Arial"/>
          <w:noProof w:val="0"/>
          <w:lang w:val="pt-BR"/>
        </w:rPr>
        <w:t>drbeneditoevaldo</w:t>
      </w:r>
      <w:r w:rsidR="00970FC7" w:rsidRPr="00A74088">
        <w:rPr>
          <w:rFonts w:ascii="Arial" w:hAnsi="Arial" w:cs="Arial"/>
          <w:noProof w:val="0"/>
          <w:lang w:val="pt-BR"/>
        </w:rPr>
        <w:t>@</w:t>
      </w:r>
      <w:r w:rsidR="00A74088">
        <w:rPr>
          <w:rFonts w:ascii="Arial" w:hAnsi="Arial" w:cs="Arial"/>
          <w:noProof w:val="0"/>
          <w:lang w:val="pt-BR"/>
        </w:rPr>
        <w:t>hotmail.com</w:t>
      </w:r>
      <w:r w:rsidR="00970FC7" w:rsidRPr="00A74088">
        <w:rPr>
          <w:rFonts w:ascii="Arial" w:hAnsi="Arial" w:cs="Arial"/>
          <w:noProof w:val="0"/>
          <w:lang w:val="pt-BR"/>
        </w:rPr>
        <w:t xml:space="preserve">, </w:t>
      </w:r>
      <w:r w:rsidRPr="00A74088">
        <w:rPr>
          <w:rFonts w:ascii="Arial" w:hAnsi="Arial" w:cs="Arial"/>
          <w:noProof w:val="0"/>
          <w:lang w:val="pt-BR"/>
        </w:rPr>
        <w:t>e telefone</w:t>
      </w:r>
      <w:r w:rsidR="00970FC7" w:rsidRPr="00A74088">
        <w:rPr>
          <w:rFonts w:ascii="Arial" w:hAnsi="Arial" w:cs="Arial"/>
          <w:noProof w:val="0"/>
          <w:lang w:val="pt-BR"/>
        </w:rPr>
        <w:t xml:space="preserve"> (36</w:t>
      </w:r>
      <w:r w:rsidR="00A74088">
        <w:rPr>
          <w:rFonts w:ascii="Arial" w:hAnsi="Arial" w:cs="Arial"/>
          <w:noProof w:val="0"/>
          <w:lang w:val="pt-BR"/>
        </w:rPr>
        <w:t>331412</w:t>
      </w:r>
      <w:r w:rsidR="00970FC7" w:rsidRPr="00A74088">
        <w:rPr>
          <w:rFonts w:ascii="Arial" w:hAnsi="Arial" w:cs="Arial"/>
          <w:noProof w:val="0"/>
          <w:lang w:val="pt-BR"/>
        </w:rPr>
        <w:t xml:space="preserve">, </w:t>
      </w:r>
      <w:r w:rsidR="00A74088">
        <w:rPr>
          <w:rFonts w:ascii="Arial" w:hAnsi="Arial" w:cs="Arial"/>
          <w:noProof w:val="0"/>
          <w:lang w:val="pt-BR"/>
        </w:rPr>
        <w:t>91529002</w:t>
      </w:r>
      <w:r w:rsidR="00D93C1A" w:rsidRPr="00A74088">
        <w:rPr>
          <w:rFonts w:ascii="Arial" w:hAnsi="Arial" w:cs="Arial"/>
          <w:noProof w:val="0"/>
          <w:lang w:val="pt-BR"/>
        </w:rPr>
        <w:t>)</w:t>
      </w:r>
      <w:r w:rsidRPr="00A74088">
        <w:rPr>
          <w:rFonts w:ascii="Arial" w:hAnsi="Arial" w:cs="Arial"/>
          <w:noProof w:val="0"/>
          <w:lang w:val="pt-BR"/>
        </w:rPr>
        <w:t xml:space="preserve"> do</w:t>
      </w:r>
      <w:r w:rsidR="00D93C1A" w:rsidRPr="00A74088">
        <w:rPr>
          <w:rFonts w:ascii="Arial" w:hAnsi="Arial" w:cs="Arial"/>
          <w:noProof w:val="0"/>
          <w:lang w:val="pt-BR"/>
        </w:rPr>
        <w:t>(s)</w:t>
      </w:r>
      <w:r w:rsidRPr="00A74088">
        <w:rPr>
          <w:rFonts w:ascii="Arial" w:hAnsi="Arial" w:cs="Arial"/>
          <w:noProof w:val="0"/>
          <w:lang w:val="pt-BR"/>
        </w:rPr>
        <w:t xml:space="preserve"> técnico</w:t>
      </w:r>
      <w:r w:rsidR="00D93C1A" w:rsidRPr="00A74088">
        <w:rPr>
          <w:rFonts w:ascii="Arial" w:hAnsi="Arial" w:cs="Arial"/>
          <w:noProof w:val="0"/>
          <w:lang w:val="pt-BR"/>
        </w:rPr>
        <w:t xml:space="preserve">(s) </w:t>
      </w:r>
      <w:r w:rsidR="00F868E7" w:rsidRPr="00A74088">
        <w:rPr>
          <w:rFonts w:ascii="Arial" w:hAnsi="Arial" w:cs="Arial"/>
          <w:noProof w:val="0"/>
          <w:lang w:val="pt-BR"/>
        </w:rPr>
        <w:t>para</w:t>
      </w:r>
      <w:r w:rsidRPr="00A74088">
        <w:rPr>
          <w:rFonts w:ascii="Arial" w:hAnsi="Arial" w:cs="Arial"/>
          <w:noProof w:val="0"/>
          <w:lang w:val="pt-BR"/>
        </w:rPr>
        <w:t xml:space="preserve"> contato </w:t>
      </w:r>
      <w:r w:rsidR="00F868E7" w:rsidRPr="00A74088">
        <w:rPr>
          <w:rFonts w:ascii="Arial" w:hAnsi="Arial" w:cs="Arial"/>
          <w:noProof w:val="0"/>
          <w:lang w:val="pt-BR"/>
        </w:rPr>
        <w:t>dos</w:t>
      </w:r>
      <w:r w:rsidRPr="00A74088">
        <w:rPr>
          <w:rFonts w:ascii="Arial" w:hAnsi="Arial" w:cs="Arial"/>
          <w:noProof w:val="0"/>
          <w:lang w:val="pt-BR"/>
        </w:rPr>
        <w:t xml:space="preserve"> especialistas do </w:t>
      </w:r>
      <w:r w:rsidR="00F05D26" w:rsidRPr="00A74088">
        <w:rPr>
          <w:rFonts w:ascii="Arial" w:hAnsi="Arial" w:cs="Arial"/>
          <w:noProof w:val="0"/>
          <w:lang w:val="pt-BR"/>
        </w:rPr>
        <w:t>BID</w:t>
      </w:r>
      <w:r w:rsidRPr="00A74088">
        <w:rPr>
          <w:rFonts w:ascii="Arial" w:hAnsi="Arial" w:cs="Arial"/>
          <w:noProof w:val="0"/>
          <w:lang w:val="pt-BR"/>
        </w:rPr>
        <w:t xml:space="preserve"> para eventuais </w:t>
      </w:r>
      <w:r w:rsidR="00F05D26" w:rsidRPr="00A74088">
        <w:rPr>
          <w:rFonts w:ascii="Arial" w:hAnsi="Arial" w:cs="Arial"/>
          <w:noProof w:val="0"/>
          <w:lang w:val="pt-BR"/>
        </w:rPr>
        <w:t>esclarecimentos</w:t>
      </w:r>
      <w:r w:rsidRPr="00A74088">
        <w:rPr>
          <w:rFonts w:ascii="Arial" w:hAnsi="Arial" w:cs="Arial"/>
          <w:noProof w:val="0"/>
          <w:lang w:val="pt-BR"/>
        </w:rPr>
        <w:t>.</w:t>
      </w:r>
    </w:p>
    <w:p w:rsidR="003F6EEA" w:rsidRPr="005162CB" w:rsidRDefault="003F6EEA" w:rsidP="003F6EEA">
      <w:pPr>
        <w:spacing w:before="240" w:after="240"/>
        <w:ind w:left="360"/>
        <w:jc w:val="center"/>
        <w:rPr>
          <w:rFonts w:ascii="Arial" w:hAnsi="Arial" w:cs="Arial"/>
          <w:b/>
          <w:noProof w:val="0"/>
          <w:color w:val="000000"/>
          <w:lang w:val="pt-BR"/>
        </w:rPr>
      </w:pPr>
    </w:p>
    <w:p w:rsidR="003F6EEA" w:rsidRPr="00A74088" w:rsidRDefault="003F6EEA" w:rsidP="003F6EEA">
      <w:pPr>
        <w:spacing w:before="240" w:after="240"/>
        <w:ind w:left="360"/>
        <w:jc w:val="center"/>
        <w:rPr>
          <w:rFonts w:ascii="Arial" w:hAnsi="Arial" w:cs="Arial"/>
          <w:b/>
          <w:noProof w:val="0"/>
          <w:lang w:val="pt-BR"/>
        </w:rPr>
      </w:pPr>
      <w:r w:rsidRPr="005F5240">
        <w:rPr>
          <w:rFonts w:ascii="Arial" w:hAnsi="Arial" w:cs="Arial"/>
          <w:b/>
          <w:noProof w:val="0"/>
          <w:color w:val="000000"/>
          <w:lang w:val="pt-BR"/>
        </w:rPr>
        <w:t xml:space="preserve">Data versão: </w:t>
      </w:r>
      <w:r w:rsidR="005F5240" w:rsidRPr="005F5240">
        <w:rPr>
          <w:rFonts w:ascii="Arial" w:hAnsi="Arial" w:cs="Arial"/>
          <w:b/>
          <w:noProof w:val="0"/>
          <w:lang w:val="pt-BR"/>
        </w:rPr>
        <w:t>02/</w:t>
      </w:r>
      <w:proofErr w:type="spellStart"/>
      <w:r w:rsidR="005F5240" w:rsidRPr="005F5240">
        <w:rPr>
          <w:rFonts w:ascii="Arial" w:hAnsi="Arial" w:cs="Arial"/>
          <w:b/>
          <w:noProof w:val="0"/>
          <w:lang w:val="pt-BR"/>
        </w:rPr>
        <w:t>Abr</w:t>
      </w:r>
      <w:proofErr w:type="spellEnd"/>
      <w:r w:rsidR="005F5240" w:rsidRPr="005F5240">
        <w:rPr>
          <w:rFonts w:ascii="Arial" w:hAnsi="Arial" w:cs="Arial"/>
          <w:b/>
          <w:noProof w:val="0"/>
          <w:lang w:val="pt-BR"/>
        </w:rPr>
        <w:t>/2014</w:t>
      </w:r>
    </w:p>
    <w:p w:rsidR="00F05D26" w:rsidRPr="005162CB" w:rsidRDefault="00F05D26">
      <w:pPr>
        <w:spacing w:after="0" w:line="240" w:lineRule="auto"/>
        <w:jc w:val="both"/>
        <w:rPr>
          <w:rFonts w:ascii="Arial" w:hAnsi="Arial" w:cs="Arial"/>
          <w:b/>
          <w:noProof w:val="0"/>
          <w:lang w:val="pt-BR"/>
        </w:rPr>
      </w:pPr>
      <w:r w:rsidRPr="005162CB">
        <w:rPr>
          <w:rFonts w:ascii="Arial" w:hAnsi="Arial" w:cs="Arial"/>
          <w:b/>
          <w:noProof w:val="0"/>
          <w:lang w:val="pt-BR"/>
        </w:rPr>
        <w:br w:type="page"/>
      </w:r>
    </w:p>
    <w:p w:rsidR="00F923B8" w:rsidRPr="005162CB" w:rsidRDefault="00F923B8" w:rsidP="00F923B8">
      <w:pPr>
        <w:pStyle w:val="PargrafodaLista"/>
        <w:numPr>
          <w:ilvl w:val="1"/>
          <w:numId w:val="19"/>
        </w:numPr>
        <w:spacing w:before="120" w:after="120"/>
        <w:ind w:left="720" w:hanging="720"/>
        <w:jc w:val="both"/>
        <w:rPr>
          <w:rFonts w:ascii="Arial" w:hAnsi="Arial" w:cs="Arial"/>
          <w:noProof w:val="0"/>
          <w:color w:val="000000"/>
          <w:lang w:val="pt-BR"/>
        </w:rPr>
      </w:pPr>
      <w:r w:rsidRPr="005162CB">
        <w:rPr>
          <w:rFonts w:ascii="Arial" w:hAnsi="Arial" w:cs="Arial"/>
          <w:b/>
          <w:noProof w:val="0"/>
          <w:color w:val="000000"/>
          <w:lang w:val="pt-BR"/>
        </w:rPr>
        <w:lastRenderedPageBreak/>
        <w:t>CONTEXTO</w:t>
      </w:r>
    </w:p>
    <w:p w:rsidR="00F923B8" w:rsidRDefault="00F923B8" w:rsidP="00F923B8">
      <w:pPr>
        <w:spacing w:before="120" w:after="120"/>
        <w:jc w:val="both"/>
        <w:rPr>
          <w:rFonts w:ascii="Arial" w:hAnsi="Arial" w:cs="Arial"/>
          <w:noProof w:val="0"/>
          <w:lang w:val="pt-BR"/>
        </w:rPr>
      </w:pPr>
      <w:r>
        <w:rPr>
          <w:rFonts w:ascii="Arial" w:hAnsi="Arial" w:cs="Arial"/>
          <w:noProof w:val="0"/>
          <w:lang w:val="pt-BR"/>
        </w:rPr>
        <w:t xml:space="preserve">A Procuradoria Geral do </w:t>
      </w:r>
      <w:proofErr w:type="gramStart"/>
      <w:r>
        <w:rPr>
          <w:rFonts w:ascii="Arial" w:hAnsi="Arial" w:cs="Arial"/>
          <w:noProof w:val="0"/>
          <w:lang w:val="pt-BR"/>
        </w:rPr>
        <w:t>Estado(</w:t>
      </w:r>
      <w:proofErr w:type="gramEnd"/>
      <w:r>
        <w:rPr>
          <w:rFonts w:ascii="Arial" w:hAnsi="Arial" w:cs="Arial"/>
          <w:noProof w:val="0"/>
          <w:lang w:val="pt-BR"/>
        </w:rPr>
        <w:t xml:space="preserve">PGE) promove a execução fiscal para a cobrança de débitos tributários e não-tributários que não foram adimplidos voluntariamente pelos devedores ou corresponsáveis (contencioso fiscal). No transcurso dos processos executivos fiscais, há execuções em que não são localizados bens </w:t>
      </w:r>
      <w:proofErr w:type="spellStart"/>
      <w:r>
        <w:rPr>
          <w:rFonts w:ascii="Arial" w:hAnsi="Arial" w:cs="Arial"/>
          <w:noProof w:val="0"/>
          <w:lang w:val="pt-BR"/>
        </w:rPr>
        <w:t>excutíveis</w:t>
      </w:r>
      <w:proofErr w:type="spellEnd"/>
      <w:r>
        <w:rPr>
          <w:rFonts w:ascii="Arial" w:hAnsi="Arial" w:cs="Arial"/>
          <w:noProof w:val="0"/>
          <w:lang w:val="pt-BR"/>
        </w:rPr>
        <w:t xml:space="preserve"> dos devedores ou corresponsáveis, ocasionando a suspensão destes processos executivos. Atingido o prazo quinquenal de suspensão, os processos executivos são extintos por prescrição intercorrente, ocasionando a perda da possibilidade de recuperação do débito.</w:t>
      </w:r>
    </w:p>
    <w:p w:rsidR="00F923B8" w:rsidRDefault="00F923B8" w:rsidP="00F923B8">
      <w:pPr>
        <w:spacing w:before="120" w:after="120"/>
        <w:jc w:val="both"/>
        <w:rPr>
          <w:rFonts w:ascii="Arial" w:hAnsi="Arial" w:cs="Arial"/>
          <w:noProof w:val="0"/>
          <w:lang w:val="pt-BR"/>
        </w:rPr>
      </w:pPr>
      <w:proofErr w:type="gramStart"/>
      <w:r>
        <w:rPr>
          <w:rFonts w:ascii="Arial" w:hAnsi="Arial" w:cs="Arial"/>
          <w:noProof w:val="0"/>
          <w:lang w:val="pt-BR"/>
        </w:rPr>
        <w:t>O produto/solução pretendida objetiva</w:t>
      </w:r>
      <w:proofErr w:type="gramEnd"/>
      <w:r>
        <w:rPr>
          <w:rFonts w:ascii="Arial" w:hAnsi="Arial" w:cs="Arial"/>
          <w:noProof w:val="0"/>
          <w:lang w:val="pt-BR"/>
        </w:rPr>
        <w:t xml:space="preserve"> melhorar a eficiência e a eficácia da administração do contencioso fiscal, aprimorando as técnicas e procedimentos para a identificação e localização de bens dos devedores ou corresponsáveis antes da decretação judicial da prescrição intercorrente, de forma a minimizar a perda dos débitos decorrentes da intercorrência aludida.</w:t>
      </w:r>
    </w:p>
    <w:p w:rsidR="00A4057D" w:rsidRPr="00E01CE5" w:rsidRDefault="00A4057D" w:rsidP="00F923B8">
      <w:pPr>
        <w:spacing w:before="120" w:after="120"/>
        <w:jc w:val="both"/>
        <w:rPr>
          <w:rFonts w:ascii="Arial" w:hAnsi="Arial" w:cs="Arial"/>
          <w:noProof w:val="0"/>
          <w:lang w:val="pt-BR"/>
        </w:rPr>
      </w:pPr>
    </w:p>
    <w:p w:rsidR="00F923B8" w:rsidRPr="005162CB" w:rsidRDefault="00F923B8" w:rsidP="00F923B8">
      <w:pPr>
        <w:pStyle w:val="PargrafodaLista"/>
        <w:numPr>
          <w:ilvl w:val="1"/>
          <w:numId w:val="19"/>
        </w:numPr>
        <w:spacing w:before="120" w:after="120"/>
        <w:ind w:left="720" w:hanging="720"/>
        <w:jc w:val="both"/>
        <w:rPr>
          <w:rFonts w:ascii="Arial" w:hAnsi="Arial" w:cs="Arial"/>
          <w:b/>
          <w:noProof w:val="0"/>
          <w:color w:val="000000"/>
          <w:lang w:val="pt-BR"/>
        </w:rPr>
      </w:pPr>
      <w:r w:rsidRPr="005162CB">
        <w:rPr>
          <w:rFonts w:ascii="Arial" w:hAnsi="Arial" w:cs="Arial"/>
          <w:b/>
          <w:noProof w:val="0"/>
          <w:color w:val="000000"/>
          <w:lang w:val="pt-BR"/>
        </w:rPr>
        <w:t>SITUAÇÃO ATUAL</w:t>
      </w:r>
    </w:p>
    <w:tbl>
      <w:tblPr>
        <w:tblW w:w="6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0"/>
        <w:gridCol w:w="2140"/>
        <w:gridCol w:w="1900"/>
        <w:gridCol w:w="960"/>
      </w:tblGrid>
      <w:tr w:rsidR="002927AC" w:rsidRPr="002927AC" w:rsidTr="002927AC">
        <w:trPr>
          <w:trHeight w:val="34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AC" w:rsidRPr="002927AC" w:rsidRDefault="002927AC" w:rsidP="002927AC">
            <w:pPr>
              <w:spacing w:after="0" w:line="240" w:lineRule="auto"/>
              <w:rPr>
                <w:rFonts w:ascii="Comic Sans MS" w:eastAsia="Times New Roman" w:hAnsi="Comic Sans MS" w:cs="Calibri"/>
                <w:noProof w:val="0"/>
                <w:color w:val="000000"/>
                <w:lang w:val="pt-BR" w:eastAsia="pt-BR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AC" w:rsidRPr="002927AC" w:rsidRDefault="002927AC" w:rsidP="002927AC">
            <w:pPr>
              <w:spacing w:after="0" w:line="240" w:lineRule="auto"/>
              <w:rPr>
                <w:rFonts w:ascii="Comic Sans MS" w:eastAsia="Times New Roman" w:hAnsi="Comic Sans MS" w:cs="Calibri"/>
                <w:noProof w:val="0"/>
                <w:color w:val="000000"/>
                <w:lang w:val="pt-BR" w:eastAsia="pt-BR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7AC" w:rsidRPr="002927AC" w:rsidRDefault="002927AC" w:rsidP="002927AC">
            <w:pPr>
              <w:spacing w:after="0" w:line="240" w:lineRule="auto"/>
              <w:rPr>
                <w:rFonts w:ascii="Comic Sans MS" w:eastAsia="Times New Roman" w:hAnsi="Comic Sans MS" w:cs="Calibri"/>
                <w:noProof w:val="0"/>
                <w:color w:val="000000"/>
                <w:lang w:val="pt-BR"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C0C0C0"/>
              <w:right w:val="nil"/>
            </w:tcBorders>
            <w:shd w:val="clear" w:color="auto" w:fill="auto"/>
            <w:noWrap/>
            <w:vAlign w:val="bottom"/>
            <w:hideMark/>
          </w:tcPr>
          <w:p w:rsidR="002927AC" w:rsidRPr="002927AC" w:rsidRDefault="002927AC" w:rsidP="002927AC">
            <w:pPr>
              <w:spacing w:after="0" w:line="240" w:lineRule="auto"/>
              <w:jc w:val="right"/>
              <w:rPr>
                <w:rFonts w:ascii="Cambria" w:eastAsia="Times New Roman" w:hAnsi="Cambria" w:cs="Calibri"/>
                <w:b/>
                <w:bCs/>
                <w:noProof w:val="0"/>
                <w:color w:val="808080"/>
                <w:sz w:val="18"/>
                <w:szCs w:val="18"/>
                <w:lang w:val="pt-BR" w:eastAsia="pt-BR"/>
              </w:rPr>
            </w:pPr>
            <w:r w:rsidRPr="002927AC">
              <w:rPr>
                <w:rFonts w:ascii="Cambria" w:eastAsia="Times New Roman" w:hAnsi="Cambria" w:cs="Calibri"/>
                <w:b/>
                <w:bCs/>
                <w:noProof w:val="0"/>
                <w:color w:val="808080"/>
                <w:sz w:val="18"/>
                <w:szCs w:val="18"/>
                <w:lang w:val="pt-BR" w:eastAsia="pt-BR"/>
              </w:rPr>
              <w:t>Valores em R$</w:t>
            </w:r>
          </w:p>
        </w:tc>
      </w:tr>
      <w:tr w:rsidR="002927AC" w:rsidRPr="002927AC" w:rsidTr="002927AC">
        <w:trPr>
          <w:trHeight w:val="315"/>
        </w:trPr>
        <w:tc>
          <w:tcPr>
            <w:tcW w:w="6520" w:type="dxa"/>
            <w:gridSpan w:val="4"/>
            <w:tcBorders>
              <w:top w:val="double" w:sz="6" w:space="0" w:color="C0C0C0"/>
              <w:left w:val="double" w:sz="6" w:space="0" w:color="C0C0C0"/>
              <w:bottom w:val="single" w:sz="4" w:space="0" w:color="C0C0C0"/>
              <w:right w:val="double" w:sz="6" w:space="0" w:color="C0C0C0"/>
            </w:tcBorders>
            <w:shd w:val="clear" w:color="000000" w:fill="003366"/>
            <w:noWrap/>
            <w:vAlign w:val="center"/>
            <w:hideMark/>
          </w:tcPr>
          <w:p w:rsidR="002927AC" w:rsidRPr="002927AC" w:rsidRDefault="002927AC" w:rsidP="002927A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noProof w:val="0"/>
                <w:color w:val="FFFFFF"/>
                <w:sz w:val="20"/>
                <w:szCs w:val="20"/>
                <w:lang w:val="pt-BR" w:eastAsia="pt-BR"/>
              </w:rPr>
            </w:pPr>
            <w:r w:rsidRPr="002927AC">
              <w:rPr>
                <w:rFonts w:ascii="Cambria" w:eastAsia="Times New Roman" w:hAnsi="Cambria" w:cs="Calibri"/>
                <w:b/>
                <w:bCs/>
                <w:noProof w:val="0"/>
                <w:color w:val="FFFFFF"/>
                <w:sz w:val="20"/>
                <w:szCs w:val="20"/>
                <w:lang w:val="pt-BR" w:eastAsia="pt-BR"/>
              </w:rPr>
              <w:t xml:space="preserve">ESTOQUE DA DÍVIDA ATIVA </w:t>
            </w:r>
          </w:p>
        </w:tc>
      </w:tr>
      <w:tr w:rsidR="002927AC" w:rsidRPr="002927AC" w:rsidTr="002927AC">
        <w:trPr>
          <w:trHeight w:val="300"/>
        </w:trPr>
        <w:tc>
          <w:tcPr>
            <w:tcW w:w="1520" w:type="dxa"/>
            <w:vMerge w:val="restart"/>
            <w:tcBorders>
              <w:top w:val="nil"/>
              <w:left w:val="double" w:sz="6" w:space="0" w:color="C0C0C0"/>
              <w:bottom w:val="single" w:sz="4" w:space="0" w:color="C0C0C0"/>
              <w:right w:val="single" w:sz="4" w:space="0" w:color="C0C0C0"/>
            </w:tcBorders>
            <w:shd w:val="clear" w:color="000000" w:fill="800000"/>
            <w:noWrap/>
            <w:vAlign w:val="center"/>
            <w:hideMark/>
          </w:tcPr>
          <w:p w:rsidR="002927AC" w:rsidRPr="002927AC" w:rsidRDefault="002927AC" w:rsidP="002927A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noProof w:val="0"/>
                <w:color w:val="FFFFFF"/>
                <w:sz w:val="20"/>
                <w:szCs w:val="20"/>
                <w:lang w:val="pt-BR" w:eastAsia="pt-BR"/>
              </w:rPr>
            </w:pPr>
            <w:r w:rsidRPr="002927AC">
              <w:rPr>
                <w:rFonts w:ascii="Cambria" w:eastAsia="Times New Roman" w:hAnsi="Cambria" w:cs="Calibri"/>
                <w:b/>
                <w:bCs/>
                <w:noProof w:val="0"/>
                <w:color w:val="FFFFFF"/>
                <w:sz w:val="20"/>
                <w:szCs w:val="20"/>
                <w:lang w:val="pt-BR" w:eastAsia="pt-BR"/>
              </w:rPr>
              <w:t>Descrição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00000"/>
            <w:noWrap/>
            <w:vAlign w:val="center"/>
            <w:hideMark/>
          </w:tcPr>
          <w:p w:rsidR="002927AC" w:rsidRPr="002927AC" w:rsidRDefault="002927AC" w:rsidP="002927A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noProof w:val="0"/>
                <w:color w:val="FFFFFF"/>
                <w:sz w:val="20"/>
                <w:szCs w:val="20"/>
                <w:lang w:val="pt-BR" w:eastAsia="pt-BR"/>
              </w:rPr>
            </w:pPr>
            <w:r w:rsidRPr="002927AC">
              <w:rPr>
                <w:rFonts w:ascii="Cambria" w:eastAsia="Times New Roman" w:hAnsi="Cambria" w:cs="Calibri"/>
                <w:b/>
                <w:bCs/>
                <w:noProof w:val="0"/>
                <w:color w:val="FFFFFF"/>
                <w:sz w:val="20"/>
                <w:szCs w:val="20"/>
                <w:lang w:val="pt-BR" w:eastAsia="pt-BR"/>
              </w:rPr>
              <w:t>Arrecadação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800000"/>
            <w:noWrap/>
            <w:vAlign w:val="center"/>
            <w:hideMark/>
          </w:tcPr>
          <w:p w:rsidR="002927AC" w:rsidRPr="002927AC" w:rsidRDefault="002927AC" w:rsidP="002927A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noProof w:val="0"/>
                <w:color w:val="FFFFFF"/>
                <w:sz w:val="20"/>
                <w:szCs w:val="20"/>
                <w:lang w:val="pt-BR" w:eastAsia="pt-BR"/>
              </w:rPr>
            </w:pPr>
            <w:r w:rsidRPr="002927AC">
              <w:rPr>
                <w:rFonts w:ascii="Cambria" w:eastAsia="Times New Roman" w:hAnsi="Cambria" w:cs="Calibri"/>
                <w:b/>
                <w:bCs/>
                <w:noProof w:val="0"/>
                <w:color w:val="FFFFFF"/>
                <w:sz w:val="20"/>
                <w:szCs w:val="20"/>
                <w:lang w:val="pt-BR" w:eastAsia="pt-BR"/>
              </w:rPr>
              <w:t>Estoque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C0C0C0"/>
              <w:bottom w:val="single" w:sz="4" w:space="0" w:color="C0C0C0"/>
              <w:right w:val="double" w:sz="6" w:space="0" w:color="C0C0C0"/>
            </w:tcBorders>
            <w:shd w:val="clear" w:color="000000" w:fill="800000"/>
            <w:noWrap/>
            <w:vAlign w:val="center"/>
            <w:hideMark/>
          </w:tcPr>
          <w:p w:rsidR="002927AC" w:rsidRPr="002927AC" w:rsidRDefault="002927AC" w:rsidP="002927A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noProof w:val="0"/>
                <w:color w:val="FFFFFF"/>
                <w:sz w:val="20"/>
                <w:szCs w:val="20"/>
                <w:lang w:val="pt-BR" w:eastAsia="pt-BR"/>
              </w:rPr>
            </w:pPr>
            <w:r w:rsidRPr="002927AC">
              <w:rPr>
                <w:rFonts w:ascii="Cambria" w:eastAsia="Times New Roman" w:hAnsi="Cambria" w:cs="Calibri"/>
                <w:b/>
                <w:bCs/>
                <w:noProof w:val="0"/>
                <w:color w:val="FFFFFF"/>
                <w:sz w:val="20"/>
                <w:szCs w:val="20"/>
                <w:lang w:val="pt-BR" w:eastAsia="pt-BR"/>
              </w:rPr>
              <w:t>Variação</w:t>
            </w:r>
          </w:p>
        </w:tc>
      </w:tr>
      <w:tr w:rsidR="002927AC" w:rsidRPr="002927AC" w:rsidTr="002927AC">
        <w:trPr>
          <w:trHeight w:val="300"/>
        </w:trPr>
        <w:tc>
          <w:tcPr>
            <w:tcW w:w="1520" w:type="dxa"/>
            <w:vMerge/>
            <w:tcBorders>
              <w:top w:val="nil"/>
              <w:left w:val="double" w:sz="6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2927AC" w:rsidRPr="002927AC" w:rsidRDefault="002927AC" w:rsidP="002927AC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noProof w:val="0"/>
                <w:color w:val="FFFFFF"/>
                <w:sz w:val="20"/>
                <w:szCs w:val="20"/>
                <w:lang w:val="pt-BR"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2927AC" w:rsidRPr="002927AC" w:rsidRDefault="002927AC" w:rsidP="002927AC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noProof w:val="0"/>
                <w:color w:val="FFFFFF"/>
                <w:sz w:val="20"/>
                <w:szCs w:val="20"/>
                <w:lang w:val="pt-BR" w:eastAsia="pt-BR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2927AC" w:rsidRPr="002927AC" w:rsidRDefault="002927AC" w:rsidP="002927AC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noProof w:val="0"/>
                <w:color w:val="FFFFFF"/>
                <w:sz w:val="20"/>
                <w:szCs w:val="20"/>
                <w:lang w:val="pt-BR" w:eastAsia="pt-BR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C0C0C0"/>
              <w:bottom w:val="single" w:sz="4" w:space="0" w:color="C0C0C0"/>
              <w:right w:val="double" w:sz="6" w:space="0" w:color="C0C0C0"/>
            </w:tcBorders>
            <w:vAlign w:val="center"/>
            <w:hideMark/>
          </w:tcPr>
          <w:p w:rsidR="002927AC" w:rsidRPr="002927AC" w:rsidRDefault="002927AC" w:rsidP="002927AC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noProof w:val="0"/>
                <w:color w:val="FFFFFF"/>
                <w:sz w:val="20"/>
                <w:szCs w:val="20"/>
                <w:lang w:val="pt-BR" w:eastAsia="pt-BR"/>
              </w:rPr>
            </w:pPr>
          </w:p>
        </w:tc>
      </w:tr>
      <w:tr w:rsidR="002927AC" w:rsidRPr="002927AC" w:rsidTr="002927AC">
        <w:trPr>
          <w:trHeight w:val="300"/>
        </w:trPr>
        <w:tc>
          <w:tcPr>
            <w:tcW w:w="1520" w:type="dxa"/>
            <w:tcBorders>
              <w:top w:val="nil"/>
              <w:left w:val="double" w:sz="6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vAlign w:val="center"/>
            <w:hideMark/>
          </w:tcPr>
          <w:p w:rsidR="002927AC" w:rsidRPr="002927AC" w:rsidRDefault="002927AC" w:rsidP="002927A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noProof w:val="0"/>
                <w:sz w:val="16"/>
                <w:szCs w:val="16"/>
                <w:lang w:val="pt-BR" w:eastAsia="pt-BR"/>
              </w:rPr>
            </w:pPr>
            <w:r w:rsidRPr="002927AC">
              <w:rPr>
                <w:rFonts w:ascii="Cambria" w:eastAsia="Times New Roman" w:hAnsi="Cambria" w:cs="Calibri"/>
                <w:b/>
                <w:bCs/>
                <w:noProof w:val="0"/>
                <w:sz w:val="16"/>
                <w:szCs w:val="16"/>
                <w:lang w:val="pt-BR" w:eastAsia="pt-BR"/>
              </w:rPr>
              <w:t>2013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2927AC" w:rsidRPr="002927AC" w:rsidRDefault="002927AC" w:rsidP="002927A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noProof w:val="0"/>
                <w:sz w:val="16"/>
                <w:szCs w:val="16"/>
                <w:lang w:val="pt-BR" w:eastAsia="pt-BR"/>
              </w:rPr>
            </w:pPr>
            <w:r w:rsidRPr="002927AC">
              <w:rPr>
                <w:rFonts w:ascii="Cambria" w:eastAsia="Times New Roman" w:hAnsi="Cambria" w:cs="Calibri"/>
                <w:noProof w:val="0"/>
                <w:sz w:val="16"/>
                <w:szCs w:val="16"/>
                <w:lang w:val="pt-BR" w:eastAsia="pt-BR"/>
              </w:rPr>
              <w:t>61.299.266,40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2927AC" w:rsidRPr="002927AC" w:rsidRDefault="002927AC" w:rsidP="002927A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noProof w:val="0"/>
                <w:sz w:val="16"/>
                <w:szCs w:val="16"/>
                <w:lang w:val="pt-BR" w:eastAsia="pt-BR"/>
              </w:rPr>
            </w:pPr>
            <w:r w:rsidRPr="002927AC">
              <w:rPr>
                <w:rFonts w:ascii="Cambria" w:eastAsia="Times New Roman" w:hAnsi="Cambria" w:cs="Calibri"/>
                <w:b/>
                <w:bCs/>
                <w:noProof w:val="0"/>
                <w:sz w:val="16"/>
                <w:szCs w:val="16"/>
                <w:lang w:val="pt-BR" w:eastAsia="pt-BR"/>
              </w:rPr>
              <w:t>2.141.857.963,04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double" w:sz="6" w:space="0" w:color="C0C0C0"/>
            </w:tcBorders>
            <w:shd w:val="clear" w:color="auto" w:fill="auto"/>
            <w:noWrap/>
            <w:vAlign w:val="bottom"/>
            <w:hideMark/>
          </w:tcPr>
          <w:p w:rsidR="002927AC" w:rsidRPr="002927AC" w:rsidRDefault="004D0FB1" w:rsidP="002927A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noProof w:val="0"/>
                <w:sz w:val="16"/>
                <w:szCs w:val="16"/>
                <w:lang w:val="pt-BR" w:eastAsia="pt-BR"/>
              </w:rPr>
            </w:pPr>
            <w:r w:rsidRPr="004D0FB1">
              <w:rPr>
                <w:rFonts w:ascii="Cambria" w:eastAsia="Times New Roman" w:hAnsi="Cambria" w:cs="Calibri"/>
                <w:b/>
                <w:noProof w:val="0"/>
                <w:sz w:val="16"/>
                <w:szCs w:val="16"/>
                <w:lang w:val="pt-BR" w:eastAsia="pt-BR"/>
              </w:rPr>
              <w:t>0,67</w:t>
            </w:r>
            <w:r>
              <w:rPr>
                <w:rFonts w:ascii="Cambria" w:eastAsia="Times New Roman" w:hAnsi="Cambria" w:cs="Calibri"/>
                <w:b/>
                <w:noProof w:val="0"/>
                <w:sz w:val="16"/>
                <w:szCs w:val="16"/>
                <w:lang w:val="pt-BR" w:eastAsia="pt-BR"/>
              </w:rPr>
              <w:t>%</w:t>
            </w:r>
            <w:r w:rsidRPr="004D0FB1">
              <w:rPr>
                <w:rFonts w:ascii="Cambria" w:eastAsia="Times New Roman" w:hAnsi="Cambria" w:cs="Calibri"/>
                <w:b/>
                <w:noProof w:val="0"/>
                <w:sz w:val="16"/>
                <w:szCs w:val="16"/>
                <w:lang w:val="pt-BR" w:eastAsia="pt-BR"/>
              </w:rPr>
              <w:t xml:space="preserve"> (Expurgo)</w:t>
            </w:r>
          </w:p>
        </w:tc>
      </w:tr>
      <w:tr w:rsidR="002927AC" w:rsidRPr="004D0FB1" w:rsidTr="004D0FB1">
        <w:trPr>
          <w:trHeight w:val="300"/>
        </w:trPr>
        <w:tc>
          <w:tcPr>
            <w:tcW w:w="1520" w:type="dxa"/>
            <w:tcBorders>
              <w:top w:val="nil"/>
              <w:left w:val="double" w:sz="6" w:space="0" w:color="C0C0C0"/>
              <w:bottom w:val="nil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2927AC" w:rsidRPr="004D0FB1" w:rsidRDefault="002927AC" w:rsidP="002927A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noProof w:val="0"/>
                <w:sz w:val="16"/>
                <w:szCs w:val="16"/>
                <w:lang w:val="pt-BR" w:eastAsia="pt-BR"/>
              </w:rPr>
            </w:pPr>
            <w:r w:rsidRPr="004D0FB1">
              <w:rPr>
                <w:rFonts w:ascii="Cambria" w:eastAsia="Times New Roman" w:hAnsi="Cambria" w:cs="Calibri"/>
                <w:b/>
                <w:bCs/>
                <w:noProof w:val="0"/>
                <w:sz w:val="16"/>
                <w:szCs w:val="16"/>
                <w:lang w:val="pt-BR" w:eastAsia="pt-BR"/>
              </w:rPr>
              <w:t>2012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2927AC" w:rsidRPr="004D0FB1" w:rsidRDefault="002927AC" w:rsidP="002927A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noProof w:val="0"/>
                <w:sz w:val="16"/>
                <w:szCs w:val="16"/>
                <w:lang w:val="pt-BR" w:eastAsia="pt-BR"/>
              </w:rPr>
            </w:pPr>
            <w:r w:rsidRPr="004D0FB1">
              <w:rPr>
                <w:rFonts w:ascii="Cambria" w:eastAsia="Times New Roman" w:hAnsi="Cambria" w:cs="Calibri"/>
                <w:noProof w:val="0"/>
                <w:sz w:val="16"/>
                <w:szCs w:val="16"/>
                <w:lang w:val="pt-BR" w:eastAsia="pt-BR"/>
              </w:rPr>
              <w:t>19.956.502,73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2927AC" w:rsidRPr="004D0FB1" w:rsidRDefault="002927AC" w:rsidP="002927A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noProof w:val="0"/>
                <w:sz w:val="16"/>
                <w:szCs w:val="16"/>
                <w:lang w:val="pt-BR" w:eastAsia="pt-BR"/>
              </w:rPr>
            </w:pPr>
            <w:r w:rsidRPr="004D0FB1">
              <w:rPr>
                <w:rFonts w:ascii="Cambria" w:eastAsia="Times New Roman" w:hAnsi="Cambria" w:cs="Calibri"/>
                <w:b/>
                <w:bCs/>
                <w:noProof w:val="0"/>
                <w:sz w:val="16"/>
                <w:szCs w:val="16"/>
                <w:lang w:val="pt-BR" w:eastAsia="pt-BR"/>
              </w:rPr>
              <w:t>2.075.653.484,77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C0C0C0"/>
            </w:tcBorders>
            <w:shd w:val="clear" w:color="auto" w:fill="auto"/>
            <w:noWrap/>
            <w:vAlign w:val="bottom"/>
            <w:hideMark/>
          </w:tcPr>
          <w:p w:rsidR="002927AC" w:rsidRPr="004D0FB1" w:rsidRDefault="002927AC" w:rsidP="002927A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noProof w:val="0"/>
                <w:sz w:val="16"/>
                <w:szCs w:val="16"/>
                <w:lang w:val="pt-BR" w:eastAsia="pt-BR"/>
              </w:rPr>
            </w:pPr>
            <w:r w:rsidRPr="004D0FB1">
              <w:rPr>
                <w:rFonts w:ascii="Cambria" w:eastAsia="Times New Roman" w:hAnsi="Cambria" w:cs="Calibri"/>
                <w:noProof w:val="0"/>
                <w:sz w:val="16"/>
                <w:szCs w:val="16"/>
                <w:lang w:val="pt-BR" w:eastAsia="pt-BR"/>
              </w:rPr>
              <w:t>0,96%</w:t>
            </w:r>
          </w:p>
        </w:tc>
      </w:tr>
      <w:tr w:rsidR="002927AC" w:rsidRPr="002927AC" w:rsidTr="002927AC">
        <w:trPr>
          <w:trHeight w:val="300"/>
        </w:trPr>
        <w:tc>
          <w:tcPr>
            <w:tcW w:w="1520" w:type="dxa"/>
            <w:tcBorders>
              <w:top w:val="single" w:sz="4" w:space="0" w:color="C0C0C0"/>
              <w:left w:val="double" w:sz="6" w:space="0" w:color="C0C0C0"/>
              <w:bottom w:val="nil"/>
              <w:right w:val="single" w:sz="4" w:space="0" w:color="C0C0C0"/>
            </w:tcBorders>
            <w:shd w:val="clear" w:color="000000" w:fill="FFFFFF"/>
            <w:noWrap/>
            <w:vAlign w:val="center"/>
            <w:hideMark/>
          </w:tcPr>
          <w:p w:rsidR="002927AC" w:rsidRPr="004D0FB1" w:rsidRDefault="002927AC" w:rsidP="002927A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noProof w:val="0"/>
                <w:sz w:val="16"/>
                <w:szCs w:val="16"/>
                <w:lang w:val="pt-BR" w:eastAsia="pt-BR"/>
              </w:rPr>
            </w:pPr>
            <w:r w:rsidRPr="004D0FB1">
              <w:rPr>
                <w:rFonts w:ascii="Cambria" w:eastAsia="Times New Roman" w:hAnsi="Cambria" w:cs="Calibri"/>
                <w:b/>
                <w:bCs/>
                <w:noProof w:val="0"/>
                <w:sz w:val="16"/>
                <w:szCs w:val="16"/>
                <w:lang w:val="pt-BR" w:eastAsia="pt-BR"/>
              </w:rPr>
              <w:t>2011</w:t>
            </w:r>
          </w:p>
        </w:tc>
        <w:tc>
          <w:tcPr>
            <w:tcW w:w="2140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2927AC" w:rsidRPr="004D0FB1" w:rsidRDefault="002927AC" w:rsidP="002927A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noProof w:val="0"/>
                <w:sz w:val="16"/>
                <w:szCs w:val="16"/>
                <w:lang w:val="pt-BR" w:eastAsia="pt-BR"/>
              </w:rPr>
            </w:pPr>
            <w:r w:rsidRPr="004D0FB1">
              <w:rPr>
                <w:rFonts w:ascii="Cambria" w:eastAsia="Times New Roman" w:hAnsi="Cambria" w:cs="Calibri"/>
                <w:noProof w:val="0"/>
                <w:sz w:val="16"/>
                <w:szCs w:val="16"/>
                <w:lang w:val="pt-BR" w:eastAsia="pt-BR"/>
              </w:rPr>
              <w:t>7.909.844,79</w:t>
            </w:r>
          </w:p>
        </w:tc>
        <w:tc>
          <w:tcPr>
            <w:tcW w:w="1900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2927AC" w:rsidRPr="004D0FB1" w:rsidRDefault="002927AC" w:rsidP="002927A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noProof w:val="0"/>
                <w:sz w:val="16"/>
                <w:szCs w:val="16"/>
                <w:lang w:val="pt-BR" w:eastAsia="pt-BR"/>
              </w:rPr>
            </w:pPr>
            <w:r w:rsidRPr="004D0FB1">
              <w:rPr>
                <w:rFonts w:ascii="Cambria" w:eastAsia="Times New Roman" w:hAnsi="Cambria" w:cs="Calibri"/>
                <w:b/>
                <w:bCs/>
                <w:noProof w:val="0"/>
                <w:sz w:val="16"/>
                <w:szCs w:val="16"/>
                <w:lang w:val="pt-BR" w:eastAsia="pt-BR"/>
              </w:rPr>
              <w:t>1.619.388.830,73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nil"/>
              <w:right w:val="double" w:sz="6" w:space="0" w:color="C0C0C0"/>
            </w:tcBorders>
            <w:shd w:val="clear" w:color="auto" w:fill="auto"/>
            <w:noWrap/>
            <w:vAlign w:val="bottom"/>
            <w:hideMark/>
          </w:tcPr>
          <w:p w:rsidR="002927AC" w:rsidRPr="002927AC" w:rsidRDefault="002927AC" w:rsidP="002927A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noProof w:val="0"/>
                <w:sz w:val="16"/>
                <w:szCs w:val="16"/>
                <w:lang w:val="pt-BR" w:eastAsia="pt-BR"/>
              </w:rPr>
            </w:pPr>
            <w:r w:rsidRPr="004D0FB1">
              <w:rPr>
                <w:rFonts w:ascii="Cambria" w:eastAsia="Times New Roman" w:hAnsi="Cambria" w:cs="Calibri"/>
                <w:noProof w:val="0"/>
                <w:sz w:val="16"/>
                <w:szCs w:val="16"/>
                <w:lang w:val="pt-BR" w:eastAsia="pt-BR"/>
              </w:rPr>
              <w:t>0,49%</w:t>
            </w:r>
          </w:p>
        </w:tc>
      </w:tr>
      <w:tr w:rsidR="002927AC" w:rsidRPr="002927AC" w:rsidTr="002927AC">
        <w:trPr>
          <w:trHeight w:val="300"/>
        </w:trPr>
        <w:tc>
          <w:tcPr>
            <w:tcW w:w="1520" w:type="dxa"/>
            <w:tcBorders>
              <w:top w:val="single" w:sz="4" w:space="0" w:color="C0C0C0"/>
              <w:left w:val="double" w:sz="6" w:space="0" w:color="C0C0C0"/>
              <w:bottom w:val="nil"/>
              <w:right w:val="single" w:sz="4" w:space="0" w:color="C0C0C0"/>
            </w:tcBorders>
            <w:shd w:val="clear" w:color="000000" w:fill="FFFFFF"/>
            <w:noWrap/>
            <w:vAlign w:val="center"/>
            <w:hideMark/>
          </w:tcPr>
          <w:p w:rsidR="002927AC" w:rsidRPr="002927AC" w:rsidRDefault="002927AC" w:rsidP="002927A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noProof w:val="0"/>
                <w:sz w:val="16"/>
                <w:szCs w:val="16"/>
                <w:lang w:val="pt-BR" w:eastAsia="pt-BR"/>
              </w:rPr>
            </w:pPr>
            <w:r w:rsidRPr="002927AC">
              <w:rPr>
                <w:rFonts w:ascii="Cambria" w:eastAsia="Times New Roman" w:hAnsi="Cambria" w:cs="Calibri"/>
                <w:b/>
                <w:bCs/>
                <w:noProof w:val="0"/>
                <w:sz w:val="16"/>
                <w:szCs w:val="16"/>
                <w:lang w:val="pt-BR" w:eastAsia="pt-BR"/>
              </w:rPr>
              <w:t>2010</w:t>
            </w:r>
          </w:p>
        </w:tc>
        <w:tc>
          <w:tcPr>
            <w:tcW w:w="2140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2927AC" w:rsidRPr="002927AC" w:rsidRDefault="002927AC" w:rsidP="002927A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noProof w:val="0"/>
                <w:sz w:val="16"/>
                <w:szCs w:val="16"/>
                <w:lang w:val="pt-BR" w:eastAsia="pt-BR"/>
              </w:rPr>
            </w:pPr>
            <w:r w:rsidRPr="002927AC">
              <w:rPr>
                <w:rFonts w:ascii="Cambria" w:eastAsia="Times New Roman" w:hAnsi="Cambria" w:cs="Calibri"/>
                <w:noProof w:val="0"/>
                <w:sz w:val="16"/>
                <w:szCs w:val="16"/>
                <w:lang w:val="pt-BR" w:eastAsia="pt-BR"/>
              </w:rPr>
              <w:t>6.500.169,75</w:t>
            </w:r>
          </w:p>
        </w:tc>
        <w:tc>
          <w:tcPr>
            <w:tcW w:w="1900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2927AC" w:rsidRPr="002927AC" w:rsidRDefault="002927AC" w:rsidP="002927A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noProof w:val="0"/>
                <w:sz w:val="16"/>
                <w:szCs w:val="16"/>
                <w:lang w:val="pt-BR" w:eastAsia="pt-BR"/>
              </w:rPr>
            </w:pPr>
            <w:r w:rsidRPr="002927AC">
              <w:rPr>
                <w:rFonts w:ascii="Cambria" w:eastAsia="Times New Roman" w:hAnsi="Cambria" w:cs="Calibri"/>
                <w:b/>
                <w:bCs/>
                <w:noProof w:val="0"/>
                <w:sz w:val="16"/>
                <w:szCs w:val="16"/>
                <w:lang w:val="pt-BR" w:eastAsia="pt-BR"/>
              </w:rPr>
              <w:t>1.519.191.525,89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nil"/>
              <w:right w:val="double" w:sz="6" w:space="0" w:color="C0C0C0"/>
            </w:tcBorders>
            <w:shd w:val="clear" w:color="auto" w:fill="auto"/>
            <w:noWrap/>
            <w:vAlign w:val="bottom"/>
            <w:hideMark/>
          </w:tcPr>
          <w:p w:rsidR="002927AC" w:rsidRPr="002927AC" w:rsidRDefault="002927AC" w:rsidP="002927A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noProof w:val="0"/>
                <w:sz w:val="16"/>
                <w:szCs w:val="16"/>
                <w:lang w:val="pt-BR" w:eastAsia="pt-BR"/>
              </w:rPr>
            </w:pPr>
            <w:r w:rsidRPr="002927AC">
              <w:rPr>
                <w:rFonts w:ascii="Cambria" w:eastAsia="Times New Roman" w:hAnsi="Cambria" w:cs="Calibri"/>
                <w:noProof w:val="0"/>
                <w:sz w:val="16"/>
                <w:szCs w:val="16"/>
                <w:lang w:val="pt-BR" w:eastAsia="pt-BR"/>
              </w:rPr>
              <w:t>0,43%</w:t>
            </w:r>
          </w:p>
        </w:tc>
      </w:tr>
      <w:tr w:rsidR="002927AC" w:rsidRPr="002927AC" w:rsidTr="00726D31">
        <w:trPr>
          <w:trHeight w:val="315"/>
        </w:trPr>
        <w:tc>
          <w:tcPr>
            <w:tcW w:w="1520" w:type="dxa"/>
            <w:tcBorders>
              <w:top w:val="single" w:sz="4" w:space="0" w:color="C0C0C0"/>
              <w:left w:val="double" w:sz="6" w:space="0" w:color="C0C0C0"/>
              <w:bottom w:val="double" w:sz="6" w:space="0" w:color="C0C0C0"/>
              <w:right w:val="single" w:sz="4" w:space="0" w:color="C0C0C0"/>
            </w:tcBorders>
            <w:shd w:val="clear" w:color="auto" w:fill="FFFF00"/>
            <w:vAlign w:val="center"/>
            <w:hideMark/>
          </w:tcPr>
          <w:p w:rsidR="002927AC" w:rsidRPr="002927AC" w:rsidRDefault="002927AC" w:rsidP="002927A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noProof w:val="0"/>
                <w:sz w:val="16"/>
                <w:szCs w:val="16"/>
                <w:lang w:val="pt-BR" w:eastAsia="pt-BR"/>
              </w:rPr>
            </w:pPr>
            <w:r w:rsidRPr="002927AC">
              <w:rPr>
                <w:rFonts w:ascii="Cambria" w:eastAsia="Times New Roman" w:hAnsi="Cambria" w:cs="Calibri"/>
                <w:b/>
                <w:bCs/>
                <w:noProof w:val="0"/>
                <w:sz w:val="16"/>
                <w:szCs w:val="16"/>
                <w:lang w:val="pt-BR" w:eastAsia="pt-BR"/>
              </w:rPr>
              <w:t>2009</w:t>
            </w:r>
          </w:p>
        </w:tc>
        <w:tc>
          <w:tcPr>
            <w:tcW w:w="2140" w:type="dxa"/>
            <w:tcBorders>
              <w:top w:val="single" w:sz="4" w:space="0" w:color="C0C0C0"/>
              <w:left w:val="nil"/>
              <w:bottom w:val="double" w:sz="6" w:space="0" w:color="C0C0C0"/>
              <w:right w:val="single" w:sz="4" w:space="0" w:color="C0C0C0"/>
            </w:tcBorders>
            <w:shd w:val="clear" w:color="auto" w:fill="FFFF00"/>
            <w:noWrap/>
            <w:vAlign w:val="bottom"/>
            <w:hideMark/>
          </w:tcPr>
          <w:p w:rsidR="002927AC" w:rsidRPr="002927AC" w:rsidRDefault="002927AC" w:rsidP="002927A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noProof w:val="0"/>
                <w:sz w:val="16"/>
                <w:szCs w:val="16"/>
                <w:lang w:val="pt-BR" w:eastAsia="pt-BR"/>
              </w:rPr>
            </w:pPr>
            <w:r w:rsidRPr="002927AC">
              <w:rPr>
                <w:rFonts w:ascii="Cambria" w:eastAsia="Times New Roman" w:hAnsi="Cambria" w:cs="Calibri"/>
                <w:noProof w:val="0"/>
                <w:sz w:val="16"/>
                <w:szCs w:val="16"/>
                <w:lang w:val="pt-BR" w:eastAsia="pt-BR"/>
              </w:rPr>
              <w:t>88.846.774</w:t>
            </w:r>
          </w:p>
        </w:tc>
        <w:tc>
          <w:tcPr>
            <w:tcW w:w="1900" w:type="dxa"/>
            <w:tcBorders>
              <w:top w:val="single" w:sz="4" w:space="0" w:color="C0C0C0"/>
              <w:left w:val="nil"/>
              <w:bottom w:val="double" w:sz="6" w:space="0" w:color="C0C0C0"/>
              <w:right w:val="single" w:sz="4" w:space="0" w:color="C0C0C0"/>
            </w:tcBorders>
            <w:shd w:val="clear" w:color="auto" w:fill="FFFF00"/>
            <w:noWrap/>
            <w:vAlign w:val="bottom"/>
            <w:hideMark/>
          </w:tcPr>
          <w:p w:rsidR="002927AC" w:rsidRPr="002927AC" w:rsidRDefault="002927AC" w:rsidP="002927A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noProof w:val="0"/>
                <w:sz w:val="16"/>
                <w:szCs w:val="16"/>
                <w:lang w:val="pt-BR" w:eastAsia="pt-BR"/>
              </w:rPr>
            </w:pPr>
            <w:r w:rsidRPr="002927AC">
              <w:rPr>
                <w:rFonts w:ascii="Cambria" w:eastAsia="Times New Roman" w:hAnsi="Cambria" w:cs="Calibri"/>
                <w:b/>
                <w:bCs/>
                <w:noProof w:val="0"/>
                <w:sz w:val="16"/>
                <w:szCs w:val="16"/>
                <w:lang w:val="pt-BR" w:eastAsia="pt-BR"/>
              </w:rPr>
              <w:t>1.409.352.659</w:t>
            </w:r>
          </w:p>
        </w:tc>
        <w:tc>
          <w:tcPr>
            <w:tcW w:w="960" w:type="dxa"/>
            <w:tcBorders>
              <w:top w:val="single" w:sz="4" w:space="0" w:color="C0C0C0"/>
              <w:left w:val="nil"/>
              <w:bottom w:val="double" w:sz="6" w:space="0" w:color="C0C0C0"/>
              <w:right w:val="double" w:sz="6" w:space="0" w:color="C0C0C0"/>
            </w:tcBorders>
            <w:shd w:val="clear" w:color="auto" w:fill="FFFF00"/>
            <w:noWrap/>
            <w:vAlign w:val="bottom"/>
            <w:hideMark/>
          </w:tcPr>
          <w:p w:rsidR="002927AC" w:rsidRPr="002927AC" w:rsidRDefault="002927AC" w:rsidP="002927A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noProof w:val="0"/>
                <w:sz w:val="16"/>
                <w:szCs w:val="16"/>
                <w:lang w:val="pt-BR" w:eastAsia="pt-BR"/>
              </w:rPr>
            </w:pPr>
            <w:r w:rsidRPr="002927AC">
              <w:rPr>
                <w:rFonts w:ascii="Cambria" w:eastAsia="Times New Roman" w:hAnsi="Cambria" w:cs="Calibri"/>
                <w:noProof w:val="0"/>
                <w:sz w:val="16"/>
                <w:szCs w:val="16"/>
                <w:lang w:val="pt-BR" w:eastAsia="pt-BR"/>
              </w:rPr>
              <w:t>6,30%</w:t>
            </w:r>
          </w:p>
        </w:tc>
      </w:tr>
    </w:tbl>
    <w:p w:rsidR="002927AC" w:rsidRDefault="002927AC" w:rsidP="00397D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 w:val="0"/>
          <w:lang w:val="pt-BR"/>
        </w:rPr>
      </w:pPr>
    </w:p>
    <w:p w:rsidR="00F923B8" w:rsidRPr="00397DC9" w:rsidRDefault="00397DC9" w:rsidP="00397D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 w:val="0"/>
          <w:lang w:val="pt-BR"/>
        </w:rPr>
      </w:pPr>
      <w:r w:rsidRPr="00397DC9">
        <w:rPr>
          <w:rFonts w:ascii="Arial" w:hAnsi="Arial" w:cs="Arial"/>
          <w:noProof w:val="0"/>
          <w:lang w:val="pt-BR"/>
        </w:rPr>
        <w:t xml:space="preserve">Em </w:t>
      </w:r>
      <w:r w:rsidR="00896674">
        <w:rPr>
          <w:rFonts w:ascii="Arial" w:hAnsi="Arial" w:cs="Arial"/>
          <w:noProof w:val="0"/>
          <w:lang w:val="pt-BR"/>
        </w:rPr>
        <w:t>dezembro</w:t>
      </w:r>
      <w:r w:rsidRPr="00397DC9">
        <w:rPr>
          <w:rFonts w:ascii="Arial" w:hAnsi="Arial" w:cs="Arial"/>
          <w:noProof w:val="0"/>
          <w:lang w:val="pt-BR"/>
        </w:rPr>
        <w:t xml:space="preserve"> de </w:t>
      </w:r>
      <w:r w:rsidRPr="00226ABA">
        <w:rPr>
          <w:rFonts w:ascii="Arial" w:hAnsi="Arial" w:cs="Arial"/>
          <w:b/>
          <w:noProof w:val="0"/>
          <w:lang w:val="pt-BR"/>
        </w:rPr>
        <w:t>201</w:t>
      </w:r>
      <w:r w:rsidR="00896674" w:rsidRPr="00226ABA">
        <w:rPr>
          <w:rFonts w:ascii="Arial" w:hAnsi="Arial" w:cs="Arial"/>
          <w:b/>
          <w:noProof w:val="0"/>
          <w:lang w:val="pt-BR"/>
        </w:rPr>
        <w:t>3</w:t>
      </w:r>
      <w:r w:rsidR="00F923B8" w:rsidRPr="00397DC9">
        <w:rPr>
          <w:rFonts w:ascii="Arial" w:hAnsi="Arial" w:cs="Arial"/>
          <w:noProof w:val="0"/>
          <w:lang w:val="pt-BR"/>
        </w:rPr>
        <w:t xml:space="preserve"> a Dívida Ativa Estadual possui um estoque de débitos no montante consolidado de </w:t>
      </w:r>
      <w:proofErr w:type="gramStart"/>
      <w:r w:rsidRPr="005A5599">
        <w:rPr>
          <w:rFonts w:ascii="Arial" w:hAnsi="Arial" w:cs="Arial"/>
          <w:b/>
          <w:noProof w:val="0"/>
          <w:lang w:val="pt-BR"/>
        </w:rPr>
        <w:t>R$ 2.1</w:t>
      </w:r>
      <w:r w:rsidR="00896674" w:rsidRPr="005A5599">
        <w:rPr>
          <w:rFonts w:ascii="Arial" w:hAnsi="Arial" w:cs="Arial"/>
          <w:b/>
          <w:noProof w:val="0"/>
          <w:lang w:val="pt-BR"/>
        </w:rPr>
        <w:t>41.857.963,04</w:t>
      </w:r>
      <w:r>
        <w:rPr>
          <w:rFonts w:ascii="Arial" w:hAnsi="Arial" w:cs="Arial"/>
          <w:noProof w:val="0"/>
          <w:lang w:val="pt-BR"/>
        </w:rPr>
        <w:t xml:space="preserve"> </w:t>
      </w:r>
      <w:r w:rsidR="00F923B8" w:rsidRPr="00397DC9">
        <w:rPr>
          <w:rFonts w:ascii="Arial" w:hAnsi="Arial" w:cs="Arial"/>
          <w:noProof w:val="0"/>
          <w:lang w:val="pt-BR"/>
        </w:rPr>
        <w:t>representa</w:t>
      </w:r>
      <w:r>
        <w:rPr>
          <w:rFonts w:ascii="Arial" w:hAnsi="Arial" w:cs="Arial"/>
          <w:noProof w:val="0"/>
          <w:lang w:val="pt-BR"/>
        </w:rPr>
        <w:t>do</w:t>
      </w:r>
      <w:proofErr w:type="gramEnd"/>
      <w:r>
        <w:rPr>
          <w:rFonts w:ascii="Arial" w:hAnsi="Arial" w:cs="Arial"/>
          <w:noProof w:val="0"/>
          <w:lang w:val="pt-BR"/>
        </w:rPr>
        <w:t xml:space="preserve"> por 25.</w:t>
      </w:r>
      <w:r w:rsidR="00896674">
        <w:rPr>
          <w:rFonts w:ascii="Arial" w:hAnsi="Arial" w:cs="Arial"/>
          <w:noProof w:val="0"/>
          <w:lang w:val="pt-BR"/>
        </w:rPr>
        <w:t>895</w:t>
      </w:r>
      <w:r>
        <w:rPr>
          <w:rFonts w:ascii="Arial" w:hAnsi="Arial" w:cs="Arial"/>
          <w:noProof w:val="0"/>
          <w:lang w:val="pt-BR"/>
        </w:rPr>
        <w:t xml:space="preserve"> débitos inscritos</w:t>
      </w:r>
      <w:r w:rsidR="00F923B8" w:rsidRPr="00397DC9">
        <w:rPr>
          <w:rFonts w:ascii="Arial" w:hAnsi="Arial" w:cs="Arial"/>
          <w:noProof w:val="0"/>
          <w:lang w:val="pt-BR"/>
        </w:rPr>
        <w:t xml:space="preserve">. </w:t>
      </w:r>
    </w:p>
    <w:p w:rsidR="00F923B8" w:rsidRDefault="00F923B8" w:rsidP="00397DC9">
      <w:pPr>
        <w:spacing w:before="120" w:after="120"/>
        <w:jc w:val="both"/>
        <w:rPr>
          <w:rFonts w:ascii="Cambria,Bold" w:hAnsi="Cambria,Bold" w:cs="Cambria,Bold"/>
          <w:bCs/>
          <w:noProof w:val="0"/>
          <w:sz w:val="23"/>
          <w:szCs w:val="23"/>
          <w:lang w:val="pt-BR"/>
        </w:rPr>
      </w:pPr>
      <w:r w:rsidRPr="00397DC9">
        <w:rPr>
          <w:rFonts w:ascii="Arial" w:hAnsi="Arial" w:cs="Arial"/>
          <w:noProof w:val="0"/>
          <w:lang w:val="pt-BR"/>
        </w:rPr>
        <w:t xml:space="preserve">A PGE </w:t>
      </w:r>
      <w:r w:rsidRPr="007166B9">
        <w:rPr>
          <w:rFonts w:ascii="Arial" w:hAnsi="Arial" w:cs="Arial"/>
          <w:noProof w:val="0"/>
          <w:lang w:val="pt-BR"/>
        </w:rPr>
        <w:t xml:space="preserve">obteve em </w:t>
      </w:r>
      <w:r w:rsidRPr="00226ABA">
        <w:rPr>
          <w:rFonts w:ascii="Arial" w:hAnsi="Arial" w:cs="Arial"/>
          <w:b/>
          <w:noProof w:val="0"/>
          <w:lang w:val="pt-BR"/>
        </w:rPr>
        <w:t>2012</w:t>
      </w:r>
      <w:r w:rsidRPr="00397DC9">
        <w:rPr>
          <w:rFonts w:ascii="Arial" w:hAnsi="Arial" w:cs="Arial"/>
          <w:noProof w:val="0"/>
          <w:lang w:val="pt-BR"/>
        </w:rPr>
        <w:t xml:space="preserve"> a recuperação de R$ </w:t>
      </w:r>
      <w:r w:rsidR="00896674">
        <w:rPr>
          <w:rFonts w:ascii="Arial" w:hAnsi="Arial" w:cs="Arial"/>
          <w:noProof w:val="0"/>
          <w:lang w:val="pt-BR"/>
        </w:rPr>
        <w:t>19.956.502,73</w:t>
      </w:r>
      <w:r w:rsidRPr="00397DC9">
        <w:rPr>
          <w:rFonts w:ascii="Arial" w:hAnsi="Arial" w:cs="Arial"/>
          <w:noProof w:val="0"/>
          <w:lang w:val="pt-BR"/>
        </w:rPr>
        <w:t xml:space="preserve"> em relação ao estoque consolidado da Dívida Ativa Estadual, logo representando</w:t>
      </w:r>
      <w:r>
        <w:rPr>
          <w:rFonts w:ascii="Arial" w:hAnsi="Arial" w:cs="Arial"/>
          <w:noProof w:val="0"/>
          <w:lang w:val="pt-BR"/>
        </w:rPr>
        <w:t xml:space="preserve"> </w:t>
      </w:r>
      <w:r w:rsidR="00896674" w:rsidRPr="00226ABA">
        <w:rPr>
          <w:rFonts w:ascii="Arial" w:hAnsi="Arial" w:cs="Arial"/>
          <w:b/>
          <w:noProof w:val="0"/>
          <w:lang w:val="pt-BR"/>
        </w:rPr>
        <w:t>0,96</w:t>
      </w:r>
      <w:r w:rsidRPr="00226ABA">
        <w:rPr>
          <w:rFonts w:ascii="Arial" w:hAnsi="Arial" w:cs="Arial"/>
          <w:b/>
          <w:noProof w:val="0"/>
          <w:lang w:val="pt-BR"/>
        </w:rPr>
        <w:t>%</w:t>
      </w:r>
      <w:r>
        <w:rPr>
          <w:rFonts w:ascii="Arial" w:hAnsi="Arial" w:cs="Arial"/>
          <w:noProof w:val="0"/>
          <w:lang w:val="pt-BR"/>
        </w:rPr>
        <w:t xml:space="preserve"> do montante total.</w:t>
      </w:r>
      <w:r w:rsidR="00223C2A">
        <w:rPr>
          <w:rFonts w:ascii="Arial" w:hAnsi="Arial" w:cs="Arial"/>
          <w:noProof w:val="0"/>
          <w:lang w:val="pt-BR"/>
        </w:rPr>
        <w:t xml:space="preserve"> No entanto, considerando a existência de </w:t>
      </w:r>
      <w:r w:rsidR="00223C2A" w:rsidRPr="00226ABA">
        <w:rPr>
          <w:rFonts w:ascii="Arial" w:hAnsi="Arial" w:cs="Arial"/>
          <w:b/>
          <w:noProof w:val="0"/>
          <w:lang w:val="pt-BR"/>
        </w:rPr>
        <w:t>renúncia fiscal</w:t>
      </w:r>
      <w:r w:rsidR="00223C2A">
        <w:rPr>
          <w:rFonts w:ascii="Arial" w:hAnsi="Arial" w:cs="Arial"/>
          <w:noProof w:val="0"/>
          <w:lang w:val="pt-BR"/>
        </w:rPr>
        <w:t xml:space="preserve"> por conta de concessão de anistia por Lei Estadual que implicou na ordem de </w:t>
      </w:r>
      <w:r w:rsidR="00223C2A" w:rsidRPr="00226ABA">
        <w:rPr>
          <w:rFonts w:ascii="Arial" w:hAnsi="Arial" w:cs="Arial"/>
          <w:b/>
          <w:noProof w:val="0"/>
          <w:lang w:val="pt-BR"/>
        </w:rPr>
        <w:t xml:space="preserve">R$ </w:t>
      </w:r>
      <w:r w:rsidR="00223C2A" w:rsidRPr="00226ABA">
        <w:rPr>
          <w:rFonts w:ascii="Cambria,Bold" w:hAnsi="Cambria,Bold" w:cs="Cambria,Bold"/>
          <w:b/>
          <w:bCs/>
          <w:noProof w:val="0"/>
          <w:sz w:val="23"/>
          <w:szCs w:val="23"/>
          <w:lang w:val="pt-BR"/>
        </w:rPr>
        <w:t>25.547.595,31</w:t>
      </w:r>
      <w:r w:rsidR="00223C2A" w:rsidRPr="00223C2A">
        <w:rPr>
          <w:rFonts w:ascii="Cambria,Bold" w:hAnsi="Cambria,Bold" w:cs="Cambria,Bold"/>
          <w:bCs/>
          <w:noProof w:val="0"/>
          <w:sz w:val="23"/>
          <w:szCs w:val="23"/>
          <w:lang w:val="pt-BR"/>
        </w:rPr>
        <w:t xml:space="preserve"> </w:t>
      </w:r>
      <w:r w:rsidR="005A5599">
        <w:rPr>
          <w:rFonts w:ascii="Cambria,Bold" w:hAnsi="Cambria,Bold" w:cs="Cambria,Bold"/>
          <w:bCs/>
          <w:noProof w:val="0"/>
          <w:sz w:val="23"/>
          <w:szCs w:val="23"/>
          <w:lang w:val="pt-BR"/>
        </w:rPr>
        <w:t xml:space="preserve">recomenda-se </w:t>
      </w:r>
      <w:r w:rsidR="00223C2A" w:rsidRPr="00223C2A">
        <w:rPr>
          <w:rFonts w:ascii="Cambria,Bold" w:hAnsi="Cambria,Bold" w:cs="Cambria,Bold"/>
          <w:bCs/>
          <w:noProof w:val="0"/>
          <w:sz w:val="23"/>
          <w:szCs w:val="23"/>
          <w:lang w:val="pt-BR"/>
        </w:rPr>
        <w:t>expurga</w:t>
      </w:r>
      <w:r w:rsidR="005A5599">
        <w:rPr>
          <w:rFonts w:ascii="Cambria,Bold" w:hAnsi="Cambria,Bold" w:cs="Cambria,Bold"/>
          <w:bCs/>
          <w:noProof w:val="0"/>
          <w:sz w:val="23"/>
          <w:szCs w:val="23"/>
          <w:lang w:val="pt-BR"/>
        </w:rPr>
        <w:t>r</w:t>
      </w:r>
      <w:r w:rsidR="00223C2A" w:rsidRPr="00223C2A">
        <w:rPr>
          <w:rFonts w:ascii="Cambria,Bold" w:hAnsi="Cambria,Bold" w:cs="Cambria,Bold"/>
          <w:bCs/>
          <w:noProof w:val="0"/>
          <w:sz w:val="23"/>
          <w:szCs w:val="23"/>
          <w:lang w:val="pt-BR"/>
        </w:rPr>
        <w:t xml:space="preserve"> </w:t>
      </w:r>
      <w:r w:rsidR="005A5599">
        <w:rPr>
          <w:rFonts w:ascii="Cambria,Bold" w:hAnsi="Cambria,Bold" w:cs="Cambria,Bold"/>
          <w:bCs/>
          <w:noProof w:val="0"/>
          <w:sz w:val="23"/>
          <w:szCs w:val="23"/>
          <w:lang w:val="pt-BR"/>
        </w:rPr>
        <w:t>esse</w:t>
      </w:r>
      <w:r w:rsidR="00223C2A" w:rsidRPr="00223C2A">
        <w:rPr>
          <w:rFonts w:ascii="Cambria,Bold" w:hAnsi="Cambria,Bold" w:cs="Cambria,Bold"/>
          <w:bCs/>
          <w:noProof w:val="0"/>
          <w:sz w:val="23"/>
          <w:szCs w:val="23"/>
          <w:lang w:val="pt-BR"/>
        </w:rPr>
        <w:t xml:space="preserve"> período da base comparativa para escala evolutiva.</w:t>
      </w:r>
      <w:r w:rsidR="005A5599">
        <w:rPr>
          <w:rFonts w:ascii="Cambria,Bold" w:hAnsi="Cambria,Bold" w:cs="Cambria,Bold"/>
          <w:bCs/>
          <w:noProof w:val="0"/>
          <w:sz w:val="23"/>
          <w:szCs w:val="23"/>
          <w:lang w:val="pt-BR"/>
        </w:rPr>
        <w:t xml:space="preserve"> Por igual motivo de renúncia de receita por concessão de anistia, </w:t>
      </w:r>
      <w:r w:rsidR="005A5599" w:rsidRPr="00226ABA">
        <w:rPr>
          <w:rFonts w:ascii="Cambria,Bold" w:hAnsi="Cambria,Bold" w:cs="Cambria,Bold"/>
          <w:b/>
          <w:bCs/>
          <w:noProof w:val="0"/>
          <w:sz w:val="23"/>
          <w:szCs w:val="23"/>
          <w:lang w:val="pt-BR"/>
        </w:rPr>
        <w:t>recomenda-se expurgar da base comparativa a recuperação do ano de 2009</w:t>
      </w:r>
      <w:r w:rsidR="005A5599">
        <w:rPr>
          <w:rFonts w:ascii="Cambria,Bold" w:hAnsi="Cambria,Bold" w:cs="Cambria,Bold"/>
          <w:bCs/>
          <w:noProof w:val="0"/>
          <w:sz w:val="23"/>
          <w:szCs w:val="23"/>
          <w:lang w:val="pt-BR"/>
        </w:rPr>
        <w:t>.</w:t>
      </w:r>
    </w:p>
    <w:p w:rsidR="005A5599" w:rsidRPr="00223C2A" w:rsidRDefault="005A5599" w:rsidP="00397DC9">
      <w:pPr>
        <w:spacing w:before="120" w:after="120"/>
        <w:jc w:val="both"/>
        <w:rPr>
          <w:rFonts w:ascii="Arial" w:hAnsi="Arial" w:cs="Arial"/>
          <w:noProof w:val="0"/>
          <w:lang w:val="pt-BR"/>
        </w:rPr>
      </w:pPr>
      <w:r>
        <w:rPr>
          <w:rFonts w:ascii="Cambria,Bold" w:hAnsi="Cambria,Bold" w:cs="Cambria,Bold"/>
          <w:bCs/>
          <w:noProof w:val="0"/>
          <w:sz w:val="23"/>
          <w:szCs w:val="23"/>
          <w:lang w:val="pt-BR"/>
        </w:rPr>
        <w:t>Assim, impende considerar</w:t>
      </w:r>
      <w:r w:rsidR="002927AC">
        <w:rPr>
          <w:rFonts w:ascii="Cambria,Bold" w:hAnsi="Cambria,Bold" w:cs="Cambria,Bold"/>
          <w:bCs/>
          <w:noProof w:val="0"/>
          <w:sz w:val="23"/>
          <w:szCs w:val="23"/>
          <w:lang w:val="pt-BR"/>
        </w:rPr>
        <w:t>,</w:t>
      </w:r>
      <w:r>
        <w:rPr>
          <w:rFonts w:ascii="Cambria,Bold" w:hAnsi="Cambria,Bold" w:cs="Cambria,Bold"/>
          <w:bCs/>
          <w:noProof w:val="0"/>
          <w:sz w:val="23"/>
          <w:szCs w:val="23"/>
          <w:lang w:val="pt-BR"/>
        </w:rPr>
        <w:t xml:space="preserve"> </w:t>
      </w:r>
      <w:r w:rsidR="002927AC">
        <w:rPr>
          <w:rFonts w:ascii="Cambria,Bold" w:hAnsi="Cambria,Bold" w:cs="Cambria,Bold"/>
          <w:bCs/>
          <w:noProof w:val="0"/>
          <w:sz w:val="23"/>
          <w:szCs w:val="23"/>
          <w:lang w:val="pt-BR"/>
        </w:rPr>
        <w:t xml:space="preserve">como bases comparativas, </w:t>
      </w:r>
      <w:r>
        <w:rPr>
          <w:rFonts w:ascii="Cambria,Bold" w:hAnsi="Cambria,Bold" w:cs="Cambria,Bold"/>
          <w:bCs/>
          <w:noProof w:val="0"/>
          <w:sz w:val="23"/>
          <w:szCs w:val="23"/>
          <w:lang w:val="pt-BR"/>
        </w:rPr>
        <w:t xml:space="preserve">o percentual de recuperação de </w:t>
      </w:r>
      <w:r w:rsidRPr="005A5599">
        <w:rPr>
          <w:rFonts w:ascii="Cambria,Bold" w:hAnsi="Cambria,Bold" w:cs="Cambria,Bold"/>
          <w:b/>
          <w:bCs/>
          <w:noProof w:val="0"/>
          <w:sz w:val="23"/>
          <w:szCs w:val="23"/>
          <w:lang w:val="pt-BR"/>
        </w:rPr>
        <w:t>0,49% em 2011</w:t>
      </w:r>
      <w:r>
        <w:rPr>
          <w:rFonts w:ascii="Cambria,Bold" w:hAnsi="Cambria,Bold" w:cs="Cambria,Bold"/>
          <w:bCs/>
          <w:noProof w:val="0"/>
          <w:sz w:val="23"/>
          <w:szCs w:val="23"/>
          <w:lang w:val="pt-BR"/>
        </w:rPr>
        <w:t xml:space="preserve"> e de </w:t>
      </w:r>
      <w:r w:rsidRPr="005A5599">
        <w:rPr>
          <w:rFonts w:ascii="Cambria,Bold" w:hAnsi="Cambria,Bold" w:cs="Cambria,Bold"/>
          <w:b/>
          <w:bCs/>
          <w:noProof w:val="0"/>
          <w:sz w:val="23"/>
          <w:szCs w:val="23"/>
          <w:lang w:val="pt-BR"/>
        </w:rPr>
        <w:t>0,43% no ano de 2010</w:t>
      </w:r>
      <w:r>
        <w:rPr>
          <w:rFonts w:ascii="Cambria,Bold" w:hAnsi="Cambria,Bold" w:cs="Cambria,Bold"/>
          <w:bCs/>
          <w:noProof w:val="0"/>
          <w:sz w:val="23"/>
          <w:szCs w:val="23"/>
          <w:lang w:val="pt-BR"/>
        </w:rPr>
        <w:t>.</w:t>
      </w:r>
    </w:p>
    <w:p w:rsidR="00397DC9" w:rsidRDefault="00397DC9" w:rsidP="00397DC9">
      <w:pPr>
        <w:spacing w:before="120" w:after="120"/>
        <w:jc w:val="both"/>
        <w:rPr>
          <w:rFonts w:ascii="Arial" w:hAnsi="Arial" w:cs="Arial"/>
          <w:noProof w:val="0"/>
          <w:lang w:val="pt-BR"/>
        </w:rPr>
      </w:pPr>
      <w:r>
        <w:rPr>
          <w:rFonts w:ascii="Arial" w:hAnsi="Arial" w:cs="Arial"/>
          <w:noProof w:val="0"/>
          <w:lang w:val="pt-BR"/>
        </w:rPr>
        <w:lastRenderedPageBreak/>
        <w:t xml:space="preserve">Em </w:t>
      </w:r>
      <w:r w:rsidRPr="005A5599">
        <w:rPr>
          <w:rFonts w:ascii="Arial" w:hAnsi="Arial" w:cs="Arial"/>
          <w:b/>
          <w:noProof w:val="0"/>
          <w:lang w:val="pt-BR"/>
        </w:rPr>
        <w:t>2013</w:t>
      </w:r>
      <w:r>
        <w:rPr>
          <w:rFonts w:ascii="Arial" w:hAnsi="Arial" w:cs="Arial"/>
          <w:noProof w:val="0"/>
          <w:lang w:val="pt-BR"/>
        </w:rPr>
        <w:t xml:space="preserve"> a recuperação obtida pela PGE atingiu o valor de </w:t>
      </w:r>
      <w:r w:rsidRPr="00226ABA">
        <w:rPr>
          <w:rFonts w:ascii="Arial" w:hAnsi="Arial" w:cs="Arial"/>
          <w:b/>
          <w:noProof w:val="0"/>
          <w:lang w:val="pt-BR"/>
        </w:rPr>
        <w:t>R$ 61.299.266,40</w:t>
      </w:r>
      <w:r>
        <w:rPr>
          <w:rFonts w:ascii="Arial" w:hAnsi="Arial" w:cs="Arial"/>
          <w:noProof w:val="0"/>
          <w:lang w:val="pt-BR"/>
        </w:rPr>
        <w:t xml:space="preserve">. Porém desse valor, expurgando uma única entrada de um </w:t>
      </w:r>
      <w:r w:rsidRPr="00726D31">
        <w:rPr>
          <w:rFonts w:ascii="Arial" w:hAnsi="Arial" w:cs="Arial"/>
          <w:b/>
          <w:noProof w:val="0"/>
          <w:lang w:val="pt-BR"/>
        </w:rPr>
        <w:t>crédito não definitivo de R$ 46</w:t>
      </w:r>
      <w:r w:rsidR="00223C2A" w:rsidRPr="00726D31">
        <w:rPr>
          <w:rFonts w:ascii="Arial" w:hAnsi="Arial" w:cs="Arial"/>
          <w:b/>
          <w:noProof w:val="0"/>
          <w:lang w:val="pt-BR"/>
        </w:rPr>
        <w:t>.</w:t>
      </w:r>
      <w:r w:rsidR="00896674" w:rsidRPr="00726D31">
        <w:rPr>
          <w:rFonts w:ascii="Arial" w:hAnsi="Arial" w:cs="Arial"/>
          <w:b/>
          <w:noProof w:val="0"/>
          <w:lang w:val="pt-BR"/>
        </w:rPr>
        <w:t>887.428,37</w:t>
      </w:r>
      <w:r>
        <w:rPr>
          <w:rFonts w:ascii="Arial" w:hAnsi="Arial" w:cs="Arial"/>
          <w:noProof w:val="0"/>
          <w:lang w:val="pt-BR"/>
        </w:rPr>
        <w:t>(com mérito sendo discutido em juízo, logo com possibilidade de reversão do ingresso)</w:t>
      </w:r>
      <w:r w:rsidR="00DB329D">
        <w:rPr>
          <w:rFonts w:ascii="Arial" w:hAnsi="Arial" w:cs="Arial"/>
          <w:noProof w:val="0"/>
          <w:lang w:val="pt-BR"/>
        </w:rPr>
        <w:t xml:space="preserve"> obtém-se um </w:t>
      </w:r>
      <w:r w:rsidR="00DB329D" w:rsidRPr="00226ABA">
        <w:rPr>
          <w:rFonts w:ascii="Arial" w:hAnsi="Arial" w:cs="Arial"/>
          <w:b/>
          <w:noProof w:val="0"/>
          <w:lang w:val="pt-BR"/>
        </w:rPr>
        <w:t xml:space="preserve">ingresso regular de R$ </w:t>
      </w:r>
      <w:r w:rsidR="00896674" w:rsidRPr="00226ABA">
        <w:rPr>
          <w:rFonts w:ascii="Arial" w:hAnsi="Arial" w:cs="Arial"/>
          <w:b/>
          <w:noProof w:val="0"/>
          <w:lang w:val="pt-BR"/>
        </w:rPr>
        <w:t>14.411.838,03</w:t>
      </w:r>
      <w:r w:rsidR="00DB329D" w:rsidRPr="00226ABA">
        <w:rPr>
          <w:rFonts w:ascii="Arial" w:hAnsi="Arial" w:cs="Arial"/>
          <w:b/>
          <w:noProof w:val="0"/>
          <w:lang w:val="pt-BR"/>
        </w:rPr>
        <w:t xml:space="preserve"> correspondendo, portanto, a uma recuperação de</w:t>
      </w:r>
      <w:proofErr w:type="gramStart"/>
      <w:r w:rsidR="00DB329D" w:rsidRPr="00226ABA">
        <w:rPr>
          <w:rFonts w:ascii="Arial" w:hAnsi="Arial" w:cs="Arial"/>
          <w:b/>
          <w:noProof w:val="0"/>
          <w:lang w:val="pt-BR"/>
        </w:rPr>
        <w:t xml:space="preserve">  </w:t>
      </w:r>
      <w:proofErr w:type="gramEnd"/>
      <w:r w:rsidR="00896674" w:rsidRPr="00226ABA">
        <w:rPr>
          <w:rFonts w:ascii="Arial" w:hAnsi="Arial" w:cs="Arial"/>
          <w:b/>
          <w:noProof w:val="0"/>
          <w:lang w:val="pt-BR"/>
        </w:rPr>
        <w:t>0,67% em relação à dívida ativa total</w:t>
      </w:r>
      <w:r w:rsidR="00DB329D">
        <w:rPr>
          <w:rFonts w:ascii="Arial" w:hAnsi="Arial" w:cs="Arial"/>
          <w:noProof w:val="0"/>
          <w:lang w:val="pt-BR"/>
        </w:rPr>
        <w:t>.</w:t>
      </w:r>
    </w:p>
    <w:p w:rsidR="00F923B8" w:rsidRDefault="00F923B8" w:rsidP="00F923B8">
      <w:pPr>
        <w:spacing w:before="120" w:after="120"/>
        <w:jc w:val="both"/>
        <w:rPr>
          <w:rFonts w:ascii="Arial" w:hAnsi="Arial" w:cs="Arial"/>
          <w:noProof w:val="0"/>
          <w:lang w:val="pt-BR"/>
        </w:rPr>
      </w:pPr>
      <w:r>
        <w:rPr>
          <w:rFonts w:ascii="Arial" w:hAnsi="Arial" w:cs="Arial"/>
          <w:noProof w:val="0"/>
          <w:lang w:val="pt-BR"/>
        </w:rPr>
        <w:t xml:space="preserve">No ano de </w:t>
      </w:r>
      <w:r w:rsidRPr="005A5599">
        <w:rPr>
          <w:rFonts w:ascii="Arial" w:hAnsi="Arial" w:cs="Arial"/>
          <w:b/>
          <w:noProof w:val="0"/>
          <w:lang w:val="pt-BR"/>
        </w:rPr>
        <w:t>2013</w:t>
      </w:r>
      <w:r>
        <w:rPr>
          <w:rFonts w:ascii="Arial" w:hAnsi="Arial" w:cs="Arial"/>
          <w:noProof w:val="0"/>
          <w:lang w:val="pt-BR"/>
        </w:rPr>
        <w:t xml:space="preserve">, foram decretadas </w:t>
      </w:r>
      <w:r w:rsidR="005A5599" w:rsidRPr="005A5599">
        <w:rPr>
          <w:rFonts w:ascii="Arial" w:hAnsi="Arial" w:cs="Arial"/>
          <w:b/>
          <w:noProof w:val="0"/>
          <w:lang w:val="pt-BR"/>
        </w:rPr>
        <w:t>870</w:t>
      </w:r>
      <w:r w:rsidRPr="005A5599">
        <w:rPr>
          <w:rFonts w:ascii="Arial" w:hAnsi="Arial" w:cs="Arial"/>
          <w:b/>
          <w:noProof w:val="0"/>
          <w:lang w:val="pt-BR"/>
        </w:rPr>
        <w:t xml:space="preserve"> prescrições intercorrentes</w:t>
      </w:r>
      <w:r>
        <w:rPr>
          <w:rFonts w:ascii="Arial" w:hAnsi="Arial" w:cs="Arial"/>
          <w:noProof w:val="0"/>
          <w:lang w:val="pt-BR"/>
        </w:rPr>
        <w:t xml:space="preserve"> que perfizeram o valor total de </w:t>
      </w:r>
      <w:r w:rsidRPr="005A5599">
        <w:rPr>
          <w:rFonts w:ascii="Arial" w:hAnsi="Arial" w:cs="Arial"/>
          <w:b/>
          <w:noProof w:val="0"/>
          <w:lang w:val="pt-BR"/>
        </w:rPr>
        <w:t xml:space="preserve">R$ </w:t>
      </w:r>
      <w:r w:rsidR="005A5599" w:rsidRPr="005A5599">
        <w:rPr>
          <w:rFonts w:ascii="Arial" w:hAnsi="Arial" w:cs="Arial"/>
          <w:b/>
          <w:noProof w:val="0"/>
          <w:lang w:val="pt-BR"/>
        </w:rPr>
        <w:t>32.251.193,61</w:t>
      </w:r>
      <w:r>
        <w:rPr>
          <w:rFonts w:ascii="Arial" w:hAnsi="Arial" w:cs="Arial"/>
          <w:noProof w:val="0"/>
          <w:lang w:val="pt-BR"/>
        </w:rPr>
        <w:t xml:space="preserve"> a representar a equivalência a </w:t>
      </w:r>
      <w:r w:rsidR="005A5599" w:rsidRPr="005A5599">
        <w:rPr>
          <w:rFonts w:ascii="Arial" w:hAnsi="Arial" w:cs="Arial"/>
          <w:b/>
          <w:noProof w:val="0"/>
          <w:lang w:val="pt-BR"/>
        </w:rPr>
        <w:t>1,51</w:t>
      </w:r>
      <w:r w:rsidRPr="005A5599">
        <w:rPr>
          <w:rFonts w:ascii="Arial" w:hAnsi="Arial" w:cs="Arial"/>
          <w:b/>
          <w:noProof w:val="0"/>
          <w:lang w:val="pt-BR"/>
        </w:rPr>
        <w:t>%</w:t>
      </w:r>
      <w:r>
        <w:rPr>
          <w:rFonts w:ascii="Arial" w:hAnsi="Arial" w:cs="Arial"/>
          <w:noProof w:val="0"/>
          <w:lang w:val="pt-BR"/>
        </w:rPr>
        <w:t xml:space="preserve"> do estoque total da dívida ativa estadual consolidada.</w:t>
      </w:r>
    </w:p>
    <w:p w:rsidR="00F923B8" w:rsidRPr="005162CB" w:rsidRDefault="00F923B8" w:rsidP="00F923B8">
      <w:pPr>
        <w:pStyle w:val="PargrafodaLista"/>
        <w:numPr>
          <w:ilvl w:val="1"/>
          <w:numId w:val="19"/>
        </w:numPr>
        <w:spacing w:before="120" w:after="120"/>
        <w:ind w:left="720" w:hanging="720"/>
        <w:jc w:val="both"/>
        <w:rPr>
          <w:rFonts w:ascii="Arial" w:hAnsi="Arial" w:cs="Arial"/>
          <w:b/>
          <w:noProof w:val="0"/>
          <w:color w:val="000000"/>
          <w:lang w:val="pt-BR"/>
        </w:rPr>
      </w:pPr>
      <w:r w:rsidRPr="005162CB">
        <w:rPr>
          <w:rFonts w:ascii="Arial" w:hAnsi="Arial" w:cs="Arial"/>
          <w:b/>
          <w:noProof w:val="0"/>
          <w:color w:val="000000"/>
          <w:lang w:val="pt-BR"/>
        </w:rPr>
        <w:t>DESCRIÇÃO DO PROBLEMA</w:t>
      </w:r>
    </w:p>
    <w:p w:rsidR="00F923B8" w:rsidRDefault="00F923B8" w:rsidP="00F923B8">
      <w:pPr>
        <w:spacing w:before="120" w:after="120"/>
        <w:jc w:val="both"/>
        <w:rPr>
          <w:rFonts w:ascii="Arial" w:hAnsi="Arial" w:cs="Arial"/>
          <w:noProof w:val="0"/>
          <w:lang w:val="pt-BR"/>
        </w:rPr>
      </w:pPr>
      <w:r>
        <w:rPr>
          <w:rFonts w:ascii="Arial" w:hAnsi="Arial" w:cs="Arial"/>
          <w:noProof w:val="0"/>
          <w:lang w:val="pt-BR"/>
        </w:rPr>
        <w:t xml:space="preserve">A gênese do problema de redução da eficiência e eficácia da administração do contencioso fiscal para a tempestiva identificação e localização de bens </w:t>
      </w:r>
      <w:proofErr w:type="spellStart"/>
      <w:r>
        <w:rPr>
          <w:rFonts w:ascii="Arial" w:hAnsi="Arial" w:cs="Arial"/>
          <w:noProof w:val="0"/>
          <w:lang w:val="pt-BR"/>
        </w:rPr>
        <w:t>excutíveis</w:t>
      </w:r>
      <w:proofErr w:type="spellEnd"/>
      <w:r>
        <w:rPr>
          <w:rFonts w:ascii="Arial" w:hAnsi="Arial" w:cs="Arial"/>
          <w:noProof w:val="0"/>
          <w:lang w:val="pt-BR"/>
        </w:rPr>
        <w:t xml:space="preserve"> pode ser materializada pelas seguintes causas essenciais: baixa autonomia da PGE para realizar atividades nos sistemas informatizados, como a possibilidade de alteração cadastral autônoma e imediata; ausência ou insuficiência de ferramentas estruturais do sistema informatizado atual para tratamento dos dados existentes; ausência de integração dos sistemas informatizados administrativos e do contencioso fiscal; grande extensão temporal do processo administrativo tributário, de forma a prejudicar a obtenção de provas necessárias à instrução do processo executivo fiscal; dicotomia entre a execução administrativa da Dívida Ativa pela SEFAZ e a competência legal da PGE quanto à responsabilidade pela gestão da Dívida Ativa.</w:t>
      </w:r>
    </w:p>
    <w:p w:rsidR="00A4057D" w:rsidRPr="002239BD" w:rsidRDefault="00A4057D" w:rsidP="00F923B8">
      <w:pPr>
        <w:spacing w:before="120" w:after="120"/>
        <w:jc w:val="both"/>
        <w:rPr>
          <w:rFonts w:ascii="Arial" w:hAnsi="Arial" w:cs="Arial"/>
          <w:noProof w:val="0"/>
          <w:lang w:val="pt-BR"/>
        </w:rPr>
      </w:pPr>
    </w:p>
    <w:p w:rsidR="00F923B8" w:rsidRPr="005162CB" w:rsidRDefault="00F923B8" w:rsidP="00F923B8">
      <w:pPr>
        <w:pStyle w:val="PargrafodaLista"/>
        <w:numPr>
          <w:ilvl w:val="1"/>
          <w:numId w:val="19"/>
        </w:numPr>
        <w:spacing w:before="120" w:after="120"/>
        <w:ind w:left="720" w:hanging="720"/>
        <w:jc w:val="both"/>
        <w:rPr>
          <w:rFonts w:ascii="Arial" w:hAnsi="Arial" w:cs="Arial"/>
          <w:b/>
          <w:lang w:val="pt-BR"/>
        </w:rPr>
      </w:pPr>
      <w:r w:rsidRPr="005162CB">
        <w:rPr>
          <w:rFonts w:ascii="Arial" w:hAnsi="Arial" w:cs="Arial"/>
          <w:b/>
          <w:lang w:val="pt-BR"/>
        </w:rPr>
        <w:t>DESCRIÇÃO DOS AVANÇOS</w:t>
      </w:r>
    </w:p>
    <w:p w:rsidR="00F923B8" w:rsidRDefault="00F923B8" w:rsidP="00F923B8">
      <w:pPr>
        <w:spacing w:before="120" w:after="120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O exemplo prático e efetivo da implantação do Processo Tributário Administrativo Eletrônico pela SEFAZ e por meio do sistema informatizado SIGED</w:t>
      </w:r>
      <w:r w:rsidR="00E447CB">
        <w:rPr>
          <w:rFonts w:ascii="Arial" w:hAnsi="Arial" w:cs="Arial"/>
          <w:lang w:val="pt-BR"/>
        </w:rPr>
        <w:t xml:space="preserve"> em 2013</w:t>
      </w:r>
      <w:r>
        <w:rPr>
          <w:rFonts w:ascii="Arial" w:hAnsi="Arial" w:cs="Arial"/>
          <w:lang w:val="pt-BR"/>
        </w:rPr>
        <w:t>, propiciando a diminuição do tempo de duração do processo administrativo e consequente aumento da arrecadação da Dívida Ativa, demonstra a patente possibilidade de melhoria da eficiência e eficácia administrativa quando aprimorados os sistemas informatizados de gestão e controle.</w:t>
      </w:r>
    </w:p>
    <w:p w:rsidR="00E447CB" w:rsidRDefault="00E447CB" w:rsidP="00F923B8">
      <w:pPr>
        <w:spacing w:before="120" w:after="120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O aumento do percentual expurgado da arrecadação (0,67%) em relação aos percentuais dos anos de 2010 e 2011, demonstra objetivamente </w:t>
      </w:r>
      <w:r w:rsidR="0090252B">
        <w:rPr>
          <w:rFonts w:ascii="Arial" w:hAnsi="Arial" w:cs="Arial"/>
          <w:lang w:val="pt-BR"/>
        </w:rPr>
        <w:t>o acréscimo de receita quando implementada a redução do prazo de tramitação processual, que pode ser otimizado em decorrência do aprimoramento de procedimentos e instrumentos a serem implantados por meio das soluções  previstas e agora apresentadas.</w:t>
      </w:r>
    </w:p>
    <w:p w:rsidR="00E447CB" w:rsidRDefault="00E447CB" w:rsidP="00F923B8">
      <w:pPr>
        <w:spacing w:before="120" w:after="120"/>
        <w:jc w:val="both"/>
        <w:rPr>
          <w:rFonts w:ascii="Arial" w:hAnsi="Arial" w:cs="Arial"/>
          <w:lang w:val="pt-BR"/>
        </w:rPr>
      </w:pPr>
    </w:p>
    <w:p w:rsidR="00F923B8" w:rsidRPr="0090252B" w:rsidRDefault="00F923B8" w:rsidP="00F923B8">
      <w:pPr>
        <w:pStyle w:val="PargrafodaLista"/>
        <w:numPr>
          <w:ilvl w:val="1"/>
          <w:numId w:val="19"/>
        </w:numPr>
        <w:spacing w:before="120" w:after="120"/>
        <w:ind w:left="720" w:hanging="720"/>
        <w:jc w:val="both"/>
        <w:rPr>
          <w:rFonts w:ascii="Arial" w:hAnsi="Arial" w:cs="Arial"/>
          <w:b/>
          <w:lang w:val="pt-BR"/>
        </w:rPr>
      </w:pPr>
      <w:r w:rsidRPr="0090252B">
        <w:rPr>
          <w:rFonts w:ascii="Arial" w:hAnsi="Arial" w:cs="Arial"/>
          <w:b/>
          <w:noProof w:val="0"/>
          <w:color w:val="000000"/>
          <w:lang w:val="pt-BR"/>
        </w:rPr>
        <w:t>DESCRIÇÃO DA SOLUÇÃO</w:t>
      </w:r>
    </w:p>
    <w:p w:rsidR="00F923B8" w:rsidRDefault="00F923B8" w:rsidP="00F923B8">
      <w:pPr>
        <w:spacing w:before="120" w:after="120"/>
        <w:jc w:val="both"/>
        <w:rPr>
          <w:rFonts w:ascii="Arial" w:hAnsi="Arial" w:cs="Arial"/>
          <w:noProof w:val="0"/>
          <w:lang w:val="pt-BR"/>
        </w:rPr>
      </w:pPr>
      <w:r w:rsidRPr="005F5240">
        <w:rPr>
          <w:rFonts w:ascii="Arial" w:hAnsi="Arial" w:cs="Arial"/>
          <w:noProof w:val="0"/>
          <w:lang w:val="pt-BR"/>
        </w:rPr>
        <w:t>Como medidas efetivas a consistir</w:t>
      </w:r>
      <w:r w:rsidR="0090252B" w:rsidRPr="005F5240">
        <w:rPr>
          <w:rFonts w:ascii="Arial" w:hAnsi="Arial" w:cs="Arial"/>
          <w:noProof w:val="0"/>
          <w:lang w:val="pt-BR"/>
        </w:rPr>
        <w:t>em</w:t>
      </w:r>
      <w:r w:rsidRPr="005F5240">
        <w:rPr>
          <w:rFonts w:ascii="Arial" w:hAnsi="Arial" w:cs="Arial"/>
          <w:noProof w:val="0"/>
          <w:lang w:val="pt-BR"/>
        </w:rPr>
        <w:t xml:space="preserve"> soluç</w:t>
      </w:r>
      <w:r w:rsidR="0090252B" w:rsidRPr="005F5240">
        <w:rPr>
          <w:rFonts w:ascii="Arial" w:hAnsi="Arial" w:cs="Arial"/>
          <w:noProof w:val="0"/>
          <w:lang w:val="pt-BR"/>
        </w:rPr>
        <w:t>ões</w:t>
      </w:r>
      <w:r w:rsidRPr="005F5240">
        <w:rPr>
          <w:rFonts w:ascii="Arial" w:hAnsi="Arial" w:cs="Arial"/>
          <w:noProof w:val="0"/>
          <w:lang w:val="pt-BR"/>
        </w:rPr>
        <w:t xml:space="preserve"> ao problema, evidenciam-se as seguintes atividades: necessária revisão do modelo de gestão da Dívida Ativa e de sua interface com as </w:t>
      </w:r>
      <w:r w:rsidRPr="005F5240">
        <w:rPr>
          <w:rFonts w:ascii="Arial" w:hAnsi="Arial" w:cs="Arial"/>
          <w:noProof w:val="0"/>
          <w:lang w:val="pt-BR"/>
        </w:rPr>
        <w:lastRenderedPageBreak/>
        <w:t>atividades da SEFAZ; a realização do diagnóstico do perfil da Execução Fiscal quanto ao respectivo potencial de recuperação e arrecadação; desenvolvimento de Sistema ou Módulo de Gestão da Dívida Ativa integrado ao Sistema da SEFAZ, incluindo o sistema de protestos das Certidões de Dívida Ativa a serem implantados pelo PRODAM; desenvolvimento ou aquisição de ferramenta informatizada que propicie a operacionalização do CADIN estadual; melhoria da integração entre os sistemas geridos pela SE</w:t>
      </w:r>
      <w:r w:rsidR="00E65379" w:rsidRPr="005F5240">
        <w:rPr>
          <w:rFonts w:ascii="Arial" w:hAnsi="Arial" w:cs="Arial"/>
          <w:noProof w:val="0"/>
          <w:lang w:val="pt-BR"/>
        </w:rPr>
        <w:t xml:space="preserve">FAZ e o PGE-Net ou similares, </w:t>
      </w:r>
      <w:r w:rsidR="0090252B" w:rsidRPr="005F5240">
        <w:rPr>
          <w:rFonts w:ascii="Arial" w:hAnsi="Arial" w:cs="Arial"/>
          <w:noProof w:val="0"/>
          <w:lang w:val="pt-BR"/>
        </w:rPr>
        <w:t xml:space="preserve">interação com sistemas de pesquisas de órgãos públicos ou entes privados localizados em </w:t>
      </w:r>
      <w:proofErr w:type="gramStart"/>
      <w:r w:rsidR="0090252B" w:rsidRPr="005F5240">
        <w:rPr>
          <w:rFonts w:ascii="Arial" w:hAnsi="Arial" w:cs="Arial"/>
          <w:noProof w:val="0"/>
          <w:lang w:val="pt-BR"/>
        </w:rPr>
        <w:t>todas</w:t>
      </w:r>
      <w:proofErr w:type="gramEnd"/>
      <w:r w:rsidR="0090252B" w:rsidRPr="005F5240">
        <w:rPr>
          <w:rFonts w:ascii="Arial" w:hAnsi="Arial" w:cs="Arial"/>
          <w:noProof w:val="0"/>
          <w:lang w:val="pt-BR"/>
        </w:rPr>
        <w:t xml:space="preserve"> unidades federativas.</w:t>
      </w:r>
    </w:p>
    <w:p w:rsidR="00117F78" w:rsidRPr="005F5240" w:rsidRDefault="00117F78" w:rsidP="00F923B8">
      <w:pPr>
        <w:spacing w:before="120" w:after="120"/>
        <w:jc w:val="both"/>
        <w:rPr>
          <w:rFonts w:ascii="Arial" w:hAnsi="Arial" w:cs="Arial"/>
          <w:noProof w:val="0"/>
          <w:lang w:val="pt-BR"/>
        </w:rPr>
      </w:pPr>
      <w:r>
        <w:rPr>
          <w:rFonts w:ascii="Arial" w:hAnsi="Arial" w:cs="Arial"/>
          <w:noProof w:val="0"/>
          <w:lang w:val="pt-BR"/>
        </w:rPr>
        <w:t xml:space="preserve">Demandas de </w:t>
      </w:r>
      <w:r w:rsidR="0048097A">
        <w:rPr>
          <w:rFonts w:ascii="Arial" w:hAnsi="Arial" w:cs="Arial"/>
          <w:noProof w:val="0"/>
          <w:lang w:val="pt-BR"/>
        </w:rPr>
        <w:t xml:space="preserve">contratação direta de </w:t>
      </w:r>
      <w:bookmarkStart w:id="0" w:name="_GoBack"/>
      <w:bookmarkEnd w:id="0"/>
      <w:r>
        <w:rPr>
          <w:rFonts w:ascii="Arial" w:hAnsi="Arial" w:cs="Arial"/>
          <w:noProof w:val="0"/>
          <w:lang w:val="pt-BR"/>
        </w:rPr>
        <w:t>sistemas:</w:t>
      </w:r>
    </w:p>
    <w:p w:rsidR="007F0062" w:rsidRPr="005F5240" w:rsidRDefault="005F5240" w:rsidP="00F923B8">
      <w:pPr>
        <w:spacing w:before="120" w:after="120"/>
        <w:jc w:val="both"/>
        <w:rPr>
          <w:rFonts w:ascii="Arial" w:hAnsi="Arial" w:cs="Arial"/>
          <w:noProof w:val="0"/>
          <w:lang w:val="pt-BR"/>
        </w:rPr>
      </w:pPr>
      <w:proofErr w:type="gramStart"/>
      <w:r w:rsidRPr="005F5240">
        <w:rPr>
          <w:rFonts w:ascii="Arial" w:hAnsi="Arial" w:cs="Arial"/>
          <w:noProof w:val="0"/>
          <w:lang w:val="pt-BR"/>
        </w:rPr>
        <w:t>1</w:t>
      </w:r>
      <w:proofErr w:type="gramEnd"/>
      <w:r w:rsidRPr="005F5240">
        <w:rPr>
          <w:rFonts w:ascii="Arial" w:hAnsi="Arial" w:cs="Arial"/>
          <w:noProof w:val="0"/>
          <w:lang w:val="pt-BR"/>
        </w:rPr>
        <w:t xml:space="preserve">, </w:t>
      </w:r>
      <w:r w:rsidRPr="005F5240">
        <w:rPr>
          <w:rFonts w:ascii="Arial" w:hAnsi="Arial" w:cs="Arial"/>
          <w:b/>
          <w:noProof w:val="0"/>
          <w:lang w:val="pt-BR"/>
        </w:rPr>
        <w:t>PRODAM (R$700.000</w:t>
      </w:r>
      <w:r w:rsidR="007F0062" w:rsidRPr="005F5240">
        <w:rPr>
          <w:rFonts w:ascii="Arial" w:hAnsi="Arial" w:cs="Arial"/>
          <w:b/>
          <w:noProof w:val="0"/>
          <w:lang w:val="pt-BR"/>
        </w:rPr>
        <w:t>)</w:t>
      </w:r>
      <w:r w:rsidRPr="005F5240">
        <w:rPr>
          <w:rFonts w:ascii="Arial" w:hAnsi="Arial" w:cs="Arial"/>
          <w:b/>
          <w:noProof w:val="0"/>
          <w:lang w:val="pt-BR"/>
        </w:rPr>
        <w:t>:</w:t>
      </w:r>
      <w:r w:rsidRPr="005F5240">
        <w:rPr>
          <w:rFonts w:ascii="Arial" w:hAnsi="Arial" w:cs="Arial"/>
          <w:noProof w:val="0"/>
          <w:lang w:val="pt-BR"/>
        </w:rPr>
        <w:t xml:space="preserve"> (a) desenvolvimento de Sistema ou Módulo de Gestão da Dívida Ativa integrado ao Sistema da SEFAZ, incluindo o sistema de protestos das Certidões de Dívida; e (b) </w:t>
      </w:r>
      <w:r w:rsidRPr="005F5240">
        <w:rPr>
          <w:rFonts w:ascii="Arial" w:hAnsi="Arial" w:cs="Arial"/>
          <w:lang w:val="pt-BR"/>
        </w:rPr>
        <w:t>desenvolvimento ou aquisição de ferramenta informatizada que propicie a operacionalização do CADIN estadual</w:t>
      </w:r>
    </w:p>
    <w:p w:rsidR="007F0062" w:rsidRPr="005F5240" w:rsidRDefault="00E65379" w:rsidP="00F923B8">
      <w:pPr>
        <w:spacing w:before="120" w:after="120"/>
        <w:jc w:val="both"/>
        <w:rPr>
          <w:rFonts w:ascii="Arial" w:hAnsi="Arial" w:cs="Arial"/>
          <w:noProof w:val="0"/>
          <w:lang w:val="pt-BR"/>
        </w:rPr>
      </w:pPr>
      <w:r w:rsidRPr="005F5240">
        <w:rPr>
          <w:rFonts w:ascii="Arial" w:hAnsi="Arial" w:cs="Arial"/>
          <w:noProof w:val="0"/>
          <w:lang w:val="pt-BR"/>
        </w:rPr>
        <w:t xml:space="preserve">2. </w:t>
      </w:r>
      <w:r w:rsidRPr="005F5240">
        <w:rPr>
          <w:rFonts w:ascii="Arial" w:hAnsi="Arial" w:cs="Arial"/>
          <w:b/>
          <w:noProof w:val="0"/>
          <w:lang w:val="pt-BR"/>
        </w:rPr>
        <w:t xml:space="preserve">EMPRESA </w:t>
      </w:r>
      <w:r w:rsidR="005F5240" w:rsidRPr="005F5240">
        <w:rPr>
          <w:rFonts w:ascii="Arial" w:hAnsi="Arial" w:cs="Arial"/>
          <w:b/>
          <w:noProof w:val="0"/>
          <w:lang w:val="pt-BR"/>
        </w:rPr>
        <w:t xml:space="preserve">SOFTPLAN </w:t>
      </w:r>
      <w:r w:rsidRPr="005F5240">
        <w:rPr>
          <w:rFonts w:ascii="Arial" w:hAnsi="Arial" w:cs="Arial"/>
          <w:b/>
          <w:noProof w:val="0"/>
          <w:lang w:val="pt-BR"/>
        </w:rPr>
        <w:t>(</w:t>
      </w:r>
      <w:proofErr w:type="gramStart"/>
      <w:r w:rsidR="005F5240" w:rsidRPr="005F5240">
        <w:rPr>
          <w:rFonts w:ascii="Arial" w:hAnsi="Arial" w:cs="Arial"/>
          <w:b/>
          <w:noProof w:val="0"/>
          <w:lang w:val="pt-BR"/>
        </w:rPr>
        <w:t>R</w:t>
      </w:r>
      <w:r w:rsidRPr="005F5240">
        <w:rPr>
          <w:rFonts w:ascii="Arial" w:hAnsi="Arial" w:cs="Arial"/>
          <w:b/>
          <w:noProof w:val="0"/>
          <w:lang w:val="pt-BR"/>
        </w:rPr>
        <w:t>2.</w:t>
      </w:r>
      <w:proofErr w:type="gramEnd"/>
      <w:r w:rsidRPr="005F5240">
        <w:rPr>
          <w:rFonts w:ascii="Arial" w:hAnsi="Arial" w:cs="Arial"/>
          <w:b/>
          <w:noProof w:val="0"/>
          <w:lang w:val="pt-BR"/>
        </w:rPr>
        <w:t>55</w:t>
      </w:r>
      <w:r w:rsidR="007F0062" w:rsidRPr="005F5240">
        <w:rPr>
          <w:rFonts w:ascii="Arial" w:hAnsi="Arial" w:cs="Arial"/>
          <w:b/>
          <w:noProof w:val="0"/>
          <w:lang w:val="pt-BR"/>
        </w:rPr>
        <w:t>0.000)</w:t>
      </w:r>
      <w:r w:rsidR="005F5240">
        <w:rPr>
          <w:rFonts w:ascii="Arial" w:hAnsi="Arial" w:cs="Arial"/>
          <w:b/>
          <w:noProof w:val="0"/>
          <w:lang w:val="pt-BR"/>
        </w:rPr>
        <w:t xml:space="preserve"> – Ver Nota técnica específica sobre o tema para fins de contratação direta.</w:t>
      </w:r>
    </w:p>
    <w:p w:rsidR="00E65379" w:rsidRPr="005F5240" w:rsidRDefault="00E65379" w:rsidP="00F923B8">
      <w:pPr>
        <w:spacing w:before="120" w:after="120"/>
        <w:jc w:val="both"/>
        <w:rPr>
          <w:rFonts w:ascii="Arial" w:hAnsi="Arial" w:cs="Arial"/>
          <w:noProof w:val="0"/>
          <w:lang w:val="pt-BR"/>
        </w:rPr>
      </w:pPr>
      <w:r w:rsidRPr="005F5240">
        <w:rPr>
          <w:rFonts w:ascii="Arial" w:hAnsi="Arial" w:cs="Arial"/>
          <w:noProof w:val="0"/>
          <w:lang w:val="pt-BR"/>
        </w:rPr>
        <w:t xml:space="preserve">Objeto da contratação: expansão do programa </w:t>
      </w:r>
      <w:proofErr w:type="gramStart"/>
      <w:r w:rsidRPr="005F5240">
        <w:rPr>
          <w:rFonts w:ascii="Arial" w:hAnsi="Arial" w:cs="Arial"/>
          <w:noProof w:val="0"/>
          <w:lang w:val="pt-BR"/>
        </w:rPr>
        <w:t>pge.</w:t>
      </w:r>
      <w:proofErr w:type="gramEnd"/>
      <w:r w:rsidRPr="005F5240">
        <w:rPr>
          <w:rFonts w:ascii="Arial" w:hAnsi="Arial" w:cs="Arial"/>
          <w:noProof w:val="0"/>
          <w:lang w:val="pt-BR"/>
        </w:rPr>
        <w:t xml:space="preserve">net nos módulos contencioso e consultivo para toda a Procuradoria Geral do Estado, incluindo o licenciamento dos módulos referidos, configuração, implantação e capacitação dos usuários do sistema. </w:t>
      </w:r>
    </w:p>
    <w:p w:rsidR="005F5240" w:rsidRPr="005F5240" w:rsidRDefault="005F5240" w:rsidP="00F923B8">
      <w:pPr>
        <w:spacing w:before="120" w:after="120"/>
        <w:jc w:val="both"/>
        <w:rPr>
          <w:rFonts w:ascii="Arial" w:hAnsi="Arial" w:cs="Arial"/>
          <w:noProof w:val="0"/>
          <w:lang w:val="pt-BR"/>
        </w:rPr>
      </w:pPr>
      <w:r w:rsidRPr="005F5240">
        <w:rPr>
          <w:rFonts w:ascii="Arial" w:hAnsi="Arial" w:cs="Arial"/>
          <w:noProof w:val="0"/>
          <w:color w:val="000000"/>
          <w:lang w:val="pt-BR"/>
        </w:rPr>
        <w:t xml:space="preserve">Aquisição dos módulos contencioso e consultivo da empresa </w:t>
      </w:r>
      <w:proofErr w:type="spellStart"/>
      <w:r w:rsidRPr="005F5240">
        <w:rPr>
          <w:rFonts w:ascii="Arial" w:hAnsi="Arial" w:cs="Arial"/>
          <w:noProof w:val="0"/>
          <w:color w:val="000000"/>
          <w:lang w:val="pt-BR"/>
        </w:rPr>
        <w:t>Softplan</w:t>
      </w:r>
      <w:proofErr w:type="spellEnd"/>
      <w:r w:rsidRPr="005F5240">
        <w:rPr>
          <w:rFonts w:ascii="Arial" w:hAnsi="Arial" w:cs="Arial"/>
          <w:noProof w:val="0"/>
          <w:color w:val="000000"/>
          <w:lang w:val="pt-BR"/>
        </w:rPr>
        <w:t>, visando possibilitar o acesso de todos os Procuradores do Estado aos processos virtuais, bem como</w:t>
      </w:r>
      <w:proofErr w:type="gramStart"/>
      <w:r w:rsidRPr="005F5240">
        <w:rPr>
          <w:rFonts w:ascii="Arial" w:hAnsi="Arial" w:cs="Arial"/>
          <w:noProof w:val="0"/>
          <w:color w:val="000000"/>
          <w:lang w:val="pt-BR"/>
        </w:rPr>
        <w:t xml:space="preserve">  </w:t>
      </w:r>
      <w:proofErr w:type="gramEnd"/>
      <w:r w:rsidRPr="005F5240">
        <w:rPr>
          <w:rFonts w:ascii="Arial" w:hAnsi="Arial" w:cs="Arial"/>
          <w:noProof w:val="0"/>
          <w:color w:val="000000"/>
          <w:lang w:val="pt-BR"/>
        </w:rPr>
        <w:t>a produção dos prazos, recebimento de intimações e a elaboração de relatórios de controle de processos.</w:t>
      </w:r>
    </w:p>
    <w:p w:rsidR="00F923B8" w:rsidRPr="002927AC" w:rsidRDefault="00F923B8" w:rsidP="00F923B8">
      <w:pPr>
        <w:pStyle w:val="PargrafodaLista"/>
        <w:numPr>
          <w:ilvl w:val="1"/>
          <w:numId w:val="19"/>
        </w:numPr>
        <w:spacing w:before="120" w:after="120"/>
        <w:ind w:left="720" w:hanging="720"/>
        <w:jc w:val="both"/>
        <w:rPr>
          <w:rFonts w:ascii="Arial" w:hAnsi="Arial" w:cs="Arial"/>
          <w:b/>
          <w:noProof w:val="0"/>
          <w:color w:val="FF0000"/>
          <w:lang w:val="pt-BR"/>
        </w:rPr>
      </w:pPr>
      <w:r w:rsidRPr="002927AC">
        <w:rPr>
          <w:rFonts w:ascii="Arial" w:hAnsi="Arial" w:cs="Arial"/>
          <w:b/>
          <w:noProof w:val="0"/>
          <w:color w:val="000000"/>
          <w:lang w:val="pt-BR"/>
        </w:rPr>
        <w:t>CÁLCULO DO BENEFICIO</w:t>
      </w:r>
    </w:p>
    <w:p w:rsidR="00F923B8" w:rsidRDefault="00F923B8" w:rsidP="00F923B8">
      <w:pPr>
        <w:spacing w:before="120" w:after="120"/>
        <w:jc w:val="both"/>
        <w:rPr>
          <w:rFonts w:ascii="Arial" w:hAnsi="Arial" w:cs="Arial"/>
          <w:noProof w:val="0"/>
          <w:lang w:val="pt-BR"/>
        </w:rPr>
      </w:pPr>
      <w:r>
        <w:rPr>
          <w:rFonts w:ascii="Arial" w:hAnsi="Arial" w:cs="Arial"/>
          <w:noProof w:val="0"/>
          <w:lang w:val="pt-BR"/>
        </w:rPr>
        <w:t xml:space="preserve">Propiciar o aumento da recuperação do estoque da Dívida Ativa e consequente melhoria da arrecadação estadual, bem como reduzir a perda do estoque como corolário da redução da prescrição intercorrente, </w:t>
      </w:r>
      <w:r w:rsidRPr="000A7A79">
        <w:rPr>
          <w:rFonts w:ascii="Arial" w:hAnsi="Arial" w:cs="Arial"/>
          <w:b/>
          <w:noProof w:val="0"/>
          <w:lang w:val="pt-BR"/>
        </w:rPr>
        <w:t xml:space="preserve">adotando-se como meta o aumento de </w:t>
      </w:r>
      <w:r w:rsidR="0090252B" w:rsidRPr="000A7A79">
        <w:rPr>
          <w:rFonts w:ascii="Arial" w:hAnsi="Arial" w:cs="Arial"/>
          <w:b/>
          <w:noProof w:val="0"/>
          <w:lang w:val="pt-BR"/>
        </w:rPr>
        <w:t>0,67%</w:t>
      </w:r>
      <w:r w:rsidR="00974BB5" w:rsidRPr="000A7A79">
        <w:rPr>
          <w:rFonts w:ascii="Arial" w:hAnsi="Arial" w:cs="Arial"/>
          <w:b/>
          <w:noProof w:val="0"/>
          <w:lang w:val="pt-BR"/>
        </w:rPr>
        <w:t xml:space="preserve"> para 1,5</w:t>
      </w:r>
      <w:r w:rsidRPr="000A7A79">
        <w:rPr>
          <w:rFonts w:ascii="Arial" w:hAnsi="Arial" w:cs="Arial"/>
          <w:b/>
          <w:noProof w:val="0"/>
          <w:lang w:val="pt-BR"/>
        </w:rPr>
        <w:t>% do percentual da relação recuperação/estoque da Dívida Ativa</w:t>
      </w:r>
      <w:r w:rsidRPr="000A7A79">
        <w:rPr>
          <w:rFonts w:ascii="Arial" w:hAnsi="Arial" w:cs="Arial"/>
          <w:noProof w:val="0"/>
          <w:lang w:val="pt-BR"/>
        </w:rPr>
        <w:t>.</w:t>
      </w:r>
    </w:p>
    <w:p w:rsidR="00A4057D" w:rsidRPr="00E154D0" w:rsidRDefault="00A4057D" w:rsidP="00F923B8">
      <w:pPr>
        <w:spacing w:before="120" w:after="120"/>
        <w:jc w:val="both"/>
        <w:rPr>
          <w:rFonts w:ascii="Arial" w:hAnsi="Arial" w:cs="Arial"/>
          <w:noProof w:val="0"/>
          <w:lang w:val="pt-BR"/>
        </w:rPr>
      </w:pPr>
    </w:p>
    <w:p w:rsidR="00F923B8" w:rsidRPr="005162CB" w:rsidRDefault="00F923B8" w:rsidP="00F923B8">
      <w:pPr>
        <w:pStyle w:val="PargrafodaLista"/>
        <w:numPr>
          <w:ilvl w:val="1"/>
          <w:numId w:val="19"/>
        </w:numPr>
        <w:spacing w:before="120" w:after="120"/>
        <w:ind w:left="720" w:hanging="720"/>
        <w:jc w:val="both"/>
        <w:rPr>
          <w:rFonts w:ascii="Arial" w:hAnsi="Arial" w:cs="Arial"/>
          <w:b/>
          <w:lang w:val="pt-BR"/>
        </w:rPr>
      </w:pPr>
      <w:r w:rsidRPr="005162CB">
        <w:rPr>
          <w:rFonts w:ascii="Arial" w:hAnsi="Arial" w:cs="Arial"/>
          <w:b/>
          <w:noProof w:val="0"/>
          <w:color w:val="000000"/>
          <w:lang w:val="pt-BR"/>
        </w:rPr>
        <w:t>CONCLUSÃO</w:t>
      </w:r>
    </w:p>
    <w:p w:rsidR="00F923B8" w:rsidRPr="008A58C8" w:rsidRDefault="00F923B8" w:rsidP="00F923B8">
      <w:pPr>
        <w:spacing w:before="120" w:after="120"/>
        <w:jc w:val="both"/>
        <w:rPr>
          <w:rFonts w:ascii="Arial" w:hAnsi="Arial" w:cs="Arial"/>
          <w:noProof w:val="0"/>
          <w:lang w:val="pt-BR"/>
        </w:rPr>
      </w:pPr>
      <w:r>
        <w:rPr>
          <w:rFonts w:ascii="Arial" w:hAnsi="Arial" w:cs="Arial"/>
          <w:noProof w:val="0"/>
          <w:lang w:val="pt-BR"/>
        </w:rPr>
        <w:t>A revisão e o aprimoramento do modelo de gestão da Dívida Ativa Estadual efetivamente representará significativa melhora dos níveis de eficiência e eficácia na administração do contencioso fiscal, consequentemente de maneira a gerar um efetivo acréscimo na recuperação financeira de débitos inscritos na Dívida Ativa Estadual e de diminuição da perda definitiva do montante desses débitos inscritos.</w:t>
      </w:r>
    </w:p>
    <w:p w:rsidR="00E77C7B" w:rsidRPr="007166B9" w:rsidRDefault="00E77C7B" w:rsidP="0090252B">
      <w:pPr>
        <w:pStyle w:val="PargrafodaLista"/>
        <w:spacing w:before="120" w:after="120"/>
        <w:jc w:val="both"/>
        <w:rPr>
          <w:rFonts w:ascii="Arial" w:hAnsi="Arial" w:cs="Arial"/>
          <w:b/>
          <w:lang w:val="pt-BR"/>
        </w:rPr>
      </w:pPr>
    </w:p>
    <w:sectPr w:rsidR="00E77C7B" w:rsidRPr="007166B9" w:rsidSect="008B03C6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15C" w:rsidRDefault="008C615C" w:rsidP="00335BEB">
      <w:pPr>
        <w:spacing w:after="0" w:line="240" w:lineRule="auto"/>
      </w:pPr>
      <w:r>
        <w:separator/>
      </w:r>
    </w:p>
  </w:endnote>
  <w:endnote w:type="continuationSeparator" w:id="0">
    <w:p w:rsidR="008C615C" w:rsidRDefault="008C615C" w:rsidP="00335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3082514"/>
      <w:docPartObj>
        <w:docPartGallery w:val="Page Numbers (Bottom of Page)"/>
        <w:docPartUnique/>
      </w:docPartObj>
    </w:sdtPr>
    <w:sdtEndPr/>
    <w:sdtContent>
      <w:p w:rsidR="00E447CB" w:rsidRDefault="00E447CB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97A" w:rsidRPr="0048097A">
          <w:rPr>
            <w:lang w:val="pt-BR"/>
          </w:rPr>
          <w:t>4</w:t>
        </w:r>
        <w:r>
          <w:fldChar w:fldCharType="end"/>
        </w:r>
      </w:p>
    </w:sdtContent>
  </w:sdt>
  <w:p w:rsidR="00E447CB" w:rsidRDefault="00E447C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15C" w:rsidRDefault="008C615C" w:rsidP="00335BEB">
      <w:pPr>
        <w:spacing w:after="0" w:line="240" w:lineRule="auto"/>
      </w:pPr>
      <w:r>
        <w:separator/>
      </w:r>
    </w:p>
  </w:footnote>
  <w:footnote w:type="continuationSeparator" w:id="0">
    <w:p w:rsidR="008C615C" w:rsidRDefault="008C615C" w:rsidP="00335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7CB" w:rsidRDefault="00E447CB" w:rsidP="0020142B">
    <w:pPr>
      <w:pStyle w:val="Cabealho"/>
      <w:jc w:val="center"/>
      <w:rPr>
        <w:rFonts w:ascii="Monotype Corsiva" w:hAnsi="Monotype Corsiva"/>
        <w:i/>
      </w:rPr>
    </w:pPr>
    <w:r>
      <w:rPr>
        <w:lang w:val="en-US"/>
      </w:rPr>
      <w:drawing>
        <wp:inline distT="0" distB="0" distL="0" distR="0" wp14:anchorId="1F672753" wp14:editId="535C59DE">
          <wp:extent cx="485775" cy="723900"/>
          <wp:effectExtent l="0" t="0" r="952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47CB" w:rsidRPr="007166B9" w:rsidRDefault="00E447CB" w:rsidP="0020142B">
    <w:pPr>
      <w:pStyle w:val="Cabealho"/>
      <w:jc w:val="center"/>
      <w:rPr>
        <w:rFonts w:ascii="Monotype Corsiva" w:hAnsi="Monotype Corsiva"/>
        <w:i/>
        <w:sz w:val="32"/>
        <w:szCs w:val="32"/>
        <w:lang w:val="pt-BR"/>
      </w:rPr>
    </w:pPr>
    <w:r w:rsidRPr="007166B9">
      <w:rPr>
        <w:rFonts w:ascii="Monotype Corsiva" w:hAnsi="Monotype Corsiva"/>
        <w:i/>
        <w:sz w:val="32"/>
        <w:szCs w:val="32"/>
        <w:lang w:val="pt-BR"/>
      </w:rPr>
      <w:t>Estado do Amazonas</w:t>
    </w:r>
  </w:p>
  <w:p w:rsidR="00E447CB" w:rsidRPr="007166B9" w:rsidRDefault="00E447CB" w:rsidP="0020142B">
    <w:pPr>
      <w:pStyle w:val="Cabealho"/>
      <w:jc w:val="center"/>
      <w:rPr>
        <w:rFonts w:ascii="Monotype Corsiva" w:hAnsi="Monotype Corsiva"/>
        <w:i/>
        <w:sz w:val="32"/>
        <w:szCs w:val="32"/>
        <w:lang w:val="pt-BR"/>
      </w:rPr>
    </w:pPr>
    <w:r w:rsidRPr="007166B9">
      <w:rPr>
        <w:rFonts w:ascii="Monotype Corsiva" w:hAnsi="Monotype Corsiva"/>
        <w:i/>
        <w:sz w:val="32"/>
        <w:szCs w:val="32"/>
        <w:lang w:val="pt-BR"/>
      </w:rPr>
      <w:t>Procuradoria Geral do Estado</w:t>
    </w:r>
  </w:p>
  <w:p w:rsidR="00E447CB" w:rsidRPr="007166B9" w:rsidRDefault="00E447CB" w:rsidP="0020142B">
    <w:pPr>
      <w:pStyle w:val="Cabealho"/>
      <w:jc w:val="center"/>
      <w:rPr>
        <w:rFonts w:ascii="Monotype Corsiva" w:hAnsi="Monotype Corsiva"/>
        <w:i/>
        <w:sz w:val="32"/>
        <w:szCs w:val="32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  <w:b/>
        <w:i w:val="0"/>
        <w:color w:val="00000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19"/>
    <w:multiLevelType w:val="multilevel"/>
    <w:tmpl w:val="000000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E277FBA"/>
    <w:multiLevelType w:val="hybridMultilevel"/>
    <w:tmpl w:val="D286F8DC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7867B8"/>
    <w:multiLevelType w:val="multilevel"/>
    <w:tmpl w:val="336ABD72"/>
    <w:lvl w:ilvl="0">
      <w:start w:val="1"/>
      <w:numFmt w:val="decimal"/>
      <w:pStyle w:val="Ttulo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AA53F33"/>
    <w:multiLevelType w:val="hybridMultilevel"/>
    <w:tmpl w:val="0F42CE2C"/>
    <w:lvl w:ilvl="0" w:tplc="C23E353E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F12CB9"/>
    <w:multiLevelType w:val="hybridMultilevel"/>
    <w:tmpl w:val="F462D672"/>
    <w:lvl w:ilvl="0" w:tplc="04160001">
      <w:start w:val="1"/>
      <w:numFmt w:val="bullet"/>
      <w:lvlText w:val=""/>
      <w:lvlJc w:val="left"/>
      <w:pPr>
        <w:ind w:left="44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6">
    <w:nsid w:val="520418FB"/>
    <w:multiLevelType w:val="multilevel"/>
    <w:tmpl w:val="BC0EF7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870" w:hanging="360"/>
      </w:pPr>
      <w:rPr>
        <w:rFonts w:ascii="Times New Roman" w:eastAsia="Calibri" w:hAnsi="Times New Roman" w:cs="Times New Roman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6"/>
  </w:num>
  <w:num w:numId="20">
    <w:abstractNumId w:val="4"/>
  </w:num>
  <w:num w:numId="21">
    <w:abstractNumId w:val="0"/>
  </w:num>
  <w:num w:numId="22">
    <w:abstractNumId w:val="1"/>
  </w:num>
  <w:num w:numId="23">
    <w:abstractNumId w:val="2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39"/>
    <w:rsid w:val="000035E7"/>
    <w:rsid w:val="00003876"/>
    <w:rsid w:val="00004356"/>
    <w:rsid w:val="00013877"/>
    <w:rsid w:val="000317C9"/>
    <w:rsid w:val="00032BDC"/>
    <w:rsid w:val="00032E45"/>
    <w:rsid w:val="000412B7"/>
    <w:rsid w:val="00053E0A"/>
    <w:rsid w:val="00054182"/>
    <w:rsid w:val="000545AC"/>
    <w:rsid w:val="0006289C"/>
    <w:rsid w:val="00067238"/>
    <w:rsid w:val="000723D6"/>
    <w:rsid w:val="000758CD"/>
    <w:rsid w:val="00075ABB"/>
    <w:rsid w:val="000950AA"/>
    <w:rsid w:val="000A5031"/>
    <w:rsid w:val="000A7A79"/>
    <w:rsid w:val="000B2BE5"/>
    <w:rsid w:val="000B350D"/>
    <w:rsid w:val="000D3B8E"/>
    <w:rsid w:val="000E18EA"/>
    <w:rsid w:val="000E4586"/>
    <w:rsid w:val="00104950"/>
    <w:rsid w:val="001070E6"/>
    <w:rsid w:val="00117F78"/>
    <w:rsid w:val="0012100B"/>
    <w:rsid w:val="00135E0F"/>
    <w:rsid w:val="00164257"/>
    <w:rsid w:val="00183368"/>
    <w:rsid w:val="001873ED"/>
    <w:rsid w:val="00193A23"/>
    <w:rsid w:val="001963C5"/>
    <w:rsid w:val="001A7BBD"/>
    <w:rsid w:val="001E282F"/>
    <w:rsid w:val="001E60D8"/>
    <w:rsid w:val="001F68D3"/>
    <w:rsid w:val="0020142B"/>
    <w:rsid w:val="00201C46"/>
    <w:rsid w:val="00211A1B"/>
    <w:rsid w:val="0021788D"/>
    <w:rsid w:val="00223C2A"/>
    <w:rsid w:val="00226ABA"/>
    <w:rsid w:val="00235EAE"/>
    <w:rsid w:val="002451D7"/>
    <w:rsid w:val="00273689"/>
    <w:rsid w:val="002927AC"/>
    <w:rsid w:val="002C3645"/>
    <w:rsid w:val="002D4D9E"/>
    <w:rsid w:val="002E1FA2"/>
    <w:rsid w:val="002F0D54"/>
    <w:rsid w:val="00302A8C"/>
    <w:rsid w:val="0030436B"/>
    <w:rsid w:val="00312CB7"/>
    <w:rsid w:val="00314C92"/>
    <w:rsid w:val="00321A84"/>
    <w:rsid w:val="00326262"/>
    <w:rsid w:val="00335BEB"/>
    <w:rsid w:val="00337A8A"/>
    <w:rsid w:val="00345241"/>
    <w:rsid w:val="00350337"/>
    <w:rsid w:val="003606BD"/>
    <w:rsid w:val="00365F64"/>
    <w:rsid w:val="00366189"/>
    <w:rsid w:val="003721FA"/>
    <w:rsid w:val="00382A92"/>
    <w:rsid w:val="00397DC9"/>
    <w:rsid w:val="003A12D8"/>
    <w:rsid w:val="003D3985"/>
    <w:rsid w:val="003F0164"/>
    <w:rsid w:val="003F6EEA"/>
    <w:rsid w:val="004043BC"/>
    <w:rsid w:val="0043363F"/>
    <w:rsid w:val="004437CE"/>
    <w:rsid w:val="004452B9"/>
    <w:rsid w:val="004551D1"/>
    <w:rsid w:val="004571FE"/>
    <w:rsid w:val="004631A7"/>
    <w:rsid w:val="004651A2"/>
    <w:rsid w:val="0046711B"/>
    <w:rsid w:val="0048097A"/>
    <w:rsid w:val="004A3D6F"/>
    <w:rsid w:val="004D01AE"/>
    <w:rsid w:val="004D0FB1"/>
    <w:rsid w:val="004D1C40"/>
    <w:rsid w:val="004D1EA5"/>
    <w:rsid w:val="004F0E1F"/>
    <w:rsid w:val="004F2111"/>
    <w:rsid w:val="0050065C"/>
    <w:rsid w:val="0050398A"/>
    <w:rsid w:val="00505E76"/>
    <w:rsid w:val="00514D0B"/>
    <w:rsid w:val="005162CB"/>
    <w:rsid w:val="00517D26"/>
    <w:rsid w:val="00537EF7"/>
    <w:rsid w:val="00552CE7"/>
    <w:rsid w:val="00563E14"/>
    <w:rsid w:val="00567A79"/>
    <w:rsid w:val="0058243B"/>
    <w:rsid w:val="00586F55"/>
    <w:rsid w:val="0059004A"/>
    <w:rsid w:val="005A1F89"/>
    <w:rsid w:val="005A2439"/>
    <w:rsid w:val="005A5599"/>
    <w:rsid w:val="005B5C97"/>
    <w:rsid w:val="005B66CA"/>
    <w:rsid w:val="005C0718"/>
    <w:rsid w:val="005C3D8C"/>
    <w:rsid w:val="005C4225"/>
    <w:rsid w:val="005F51AD"/>
    <w:rsid w:val="005F5240"/>
    <w:rsid w:val="00622E73"/>
    <w:rsid w:val="0062441E"/>
    <w:rsid w:val="006246A1"/>
    <w:rsid w:val="00645951"/>
    <w:rsid w:val="00664F0C"/>
    <w:rsid w:val="006740B6"/>
    <w:rsid w:val="00690743"/>
    <w:rsid w:val="006A0500"/>
    <w:rsid w:val="006B2CA7"/>
    <w:rsid w:val="006B402F"/>
    <w:rsid w:val="006C50E6"/>
    <w:rsid w:val="006D4DFE"/>
    <w:rsid w:val="006F2CFD"/>
    <w:rsid w:val="00711D85"/>
    <w:rsid w:val="007147F7"/>
    <w:rsid w:val="007166B9"/>
    <w:rsid w:val="00721095"/>
    <w:rsid w:val="00726D31"/>
    <w:rsid w:val="00744366"/>
    <w:rsid w:val="0074727B"/>
    <w:rsid w:val="00755A61"/>
    <w:rsid w:val="007962A4"/>
    <w:rsid w:val="00796319"/>
    <w:rsid w:val="007A0812"/>
    <w:rsid w:val="007B7378"/>
    <w:rsid w:val="007C43E1"/>
    <w:rsid w:val="007C4BA8"/>
    <w:rsid w:val="007E4049"/>
    <w:rsid w:val="007E5272"/>
    <w:rsid w:val="007E5DC5"/>
    <w:rsid w:val="007F0062"/>
    <w:rsid w:val="007F2860"/>
    <w:rsid w:val="007F702E"/>
    <w:rsid w:val="00814BC8"/>
    <w:rsid w:val="008203E9"/>
    <w:rsid w:val="0082310E"/>
    <w:rsid w:val="00831E60"/>
    <w:rsid w:val="0083209B"/>
    <w:rsid w:val="00850136"/>
    <w:rsid w:val="0085194A"/>
    <w:rsid w:val="008603B9"/>
    <w:rsid w:val="008626EC"/>
    <w:rsid w:val="00862D51"/>
    <w:rsid w:val="00863CA9"/>
    <w:rsid w:val="008744DB"/>
    <w:rsid w:val="00880FA1"/>
    <w:rsid w:val="00893A59"/>
    <w:rsid w:val="00896674"/>
    <w:rsid w:val="008B03C6"/>
    <w:rsid w:val="008B77AE"/>
    <w:rsid w:val="008C2EB5"/>
    <w:rsid w:val="008C615C"/>
    <w:rsid w:val="008C741F"/>
    <w:rsid w:val="008D5166"/>
    <w:rsid w:val="008E104E"/>
    <w:rsid w:val="008F11D6"/>
    <w:rsid w:val="00900A03"/>
    <w:rsid w:val="0090252B"/>
    <w:rsid w:val="00910860"/>
    <w:rsid w:val="00925C98"/>
    <w:rsid w:val="00934E3D"/>
    <w:rsid w:val="00940765"/>
    <w:rsid w:val="00942505"/>
    <w:rsid w:val="00945FE6"/>
    <w:rsid w:val="009464F1"/>
    <w:rsid w:val="00946A6B"/>
    <w:rsid w:val="00956F17"/>
    <w:rsid w:val="00965327"/>
    <w:rsid w:val="00970FC7"/>
    <w:rsid w:val="00971F2D"/>
    <w:rsid w:val="009737FF"/>
    <w:rsid w:val="00974BB5"/>
    <w:rsid w:val="009841EF"/>
    <w:rsid w:val="00992E39"/>
    <w:rsid w:val="009A63DF"/>
    <w:rsid w:val="009C1BE8"/>
    <w:rsid w:val="009C305F"/>
    <w:rsid w:val="009D6E86"/>
    <w:rsid w:val="009F34BF"/>
    <w:rsid w:val="009F5930"/>
    <w:rsid w:val="00A066C3"/>
    <w:rsid w:val="00A22923"/>
    <w:rsid w:val="00A3240E"/>
    <w:rsid w:val="00A4057D"/>
    <w:rsid w:val="00A43A69"/>
    <w:rsid w:val="00A50E66"/>
    <w:rsid w:val="00A5563B"/>
    <w:rsid w:val="00A74088"/>
    <w:rsid w:val="00A74B4F"/>
    <w:rsid w:val="00A76624"/>
    <w:rsid w:val="00A7683A"/>
    <w:rsid w:val="00A81E29"/>
    <w:rsid w:val="00A8532C"/>
    <w:rsid w:val="00A945B3"/>
    <w:rsid w:val="00AA67B4"/>
    <w:rsid w:val="00AB1373"/>
    <w:rsid w:val="00AC0871"/>
    <w:rsid w:val="00AC16D4"/>
    <w:rsid w:val="00AD5B5D"/>
    <w:rsid w:val="00AD7662"/>
    <w:rsid w:val="00AD7997"/>
    <w:rsid w:val="00AF48A9"/>
    <w:rsid w:val="00AF773F"/>
    <w:rsid w:val="00B04F49"/>
    <w:rsid w:val="00B07DFF"/>
    <w:rsid w:val="00B13F13"/>
    <w:rsid w:val="00B329D7"/>
    <w:rsid w:val="00B47B89"/>
    <w:rsid w:val="00B52210"/>
    <w:rsid w:val="00B52579"/>
    <w:rsid w:val="00B52937"/>
    <w:rsid w:val="00B70AD6"/>
    <w:rsid w:val="00B77ECD"/>
    <w:rsid w:val="00B803F9"/>
    <w:rsid w:val="00B819AE"/>
    <w:rsid w:val="00B82037"/>
    <w:rsid w:val="00B825DA"/>
    <w:rsid w:val="00B93585"/>
    <w:rsid w:val="00B96E33"/>
    <w:rsid w:val="00BA4555"/>
    <w:rsid w:val="00BC5F0B"/>
    <w:rsid w:val="00BD4430"/>
    <w:rsid w:val="00BD6B4B"/>
    <w:rsid w:val="00BD7714"/>
    <w:rsid w:val="00C02CFB"/>
    <w:rsid w:val="00C07591"/>
    <w:rsid w:val="00C169DB"/>
    <w:rsid w:val="00C20744"/>
    <w:rsid w:val="00C33ECF"/>
    <w:rsid w:val="00C40C10"/>
    <w:rsid w:val="00C4741D"/>
    <w:rsid w:val="00C702DB"/>
    <w:rsid w:val="00C74714"/>
    <w:rsid w:val="00C865CD"/>
    <w:rsid w:val="00C93E8F"/>
    <w:rsid w:val="00CB2280"/>
    <w:rsid w:val="00CB41DA"/>
    <w:rsid w:val="00CC3B07"/>
    <w:rsid w:val="00CC6364"/>
    <w:rsid w:val="00CD02BF"/>
    <w:rsid w:val="00CD7B99"/>
    <w:rsid w:val="00CE1DBB"/>
    <w:rsid w:val="00CF64D3"/>
    <w:rsid w:val="00D26DC3"/>
    <w:rsid w:val="00D5072A"/>
    <w:rsid w:val="00D55684"/>
    <w:rsid w:val="00D824FF"/>
    <w:rsid w:val="00D866D1"/>
    <w:rsid w:val="00D93C1A"/>
    <w:rsid w:val="00D96E34"/>
    <w:rsid w:val="00DB329D"/>
    <w:rsid w:val="00DB7A84"/>
    <w:rsid w:val="00DC7DF0"/>
    <w:rsid w:val="00DD45FA"/>
    <w:rsid w:val="00DF4870"/>
    <w:rsid w:val="00E370B7"/>
    <w:rsid w:val="00E376BE"/>
    <w:rsid w:val="00E447CB"/>
    <w:rsid w:val="00E50CC2"/>
    <w:rsid w:val="00E65379"/>
    <w:rsid w:val="00E654C4"/>
    <w:rsid w:val="00E72017"/>
    <w:rsid w:val="00E77C7B"/>
    <w:rsid w:val="00E860B1"/>
    <w:rsid w:val="00E95AA4"/>
    <w:rsid w:val="00EC05B5"/>
    <w:rsid w:val="00ED2F72"/>
    <w:rsid w:val="00EF6A75"/>
    <w:rsid w:val="00F0536C"/>
    <w:rsid w:val="00F05408"/>
    <w:rsid w:val="00F05D26"/>
    <w:rsid w:val="00F171BC"/>
    <w:rsid w:val="00F417CD"/>
    <w:rsid w:val="00F42408"/>
    <w:rsid w:val="00F521AC"/>
    <w:rsid w:val="00F60EAA"/>
    <w:rsid w:val="00F64E44"/>
    <w:rsid w:val="00F6724D"/>
    <w:rsid w:val="00F80DAF"/>
    <w:rsid w:val="00F868E7"/>
    <w:rsid w:val="00F923B8"/>
    <w:rsid w:val="00FA4202"/>
    <w:rsid w:val="00FB304E"/>
    <w:rsid w:val="00FB6C87"/>
    <w:rsid w:val="00FD3FFA"/>
    <w:rsid w:val="00FF0147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439"/>
    <w:pPr>
      <w:spacing w:after="200" w:line="276" w:lineRule="auto"/>
      <w:jc w:val="left"/>
    </w:pPr>
    <w:rPr>
      <w:noProof/>
      <w:sz w:val="22"/>
      <w:szCs w:val="22"/>
      <w:lang w:val="es-ES"/>
    </w:rPr>
  </w:style>
  <w:style w:type="paragraph" w:styleId="Ttulo1">
    <w:name w:val="heading 1"/>
    <w:aliases w:val="Heading 1-Agriteam"/>
    <w:basedOn w:val="Normal"/>
    <w:next w:val="Normal"/>
    <w:link w:val="Ttulo1Char"/>
    <w:qFormat/>
    <w:rsid w:val="00C865CD"/>
    <w:pPr>
      <w:keepNext/>
      <w:numPr>
        <w:numId w:val="18"/>
      </w:numPr>
      <w:pBdr>
        <w:bottom w:val="single" w:sz="12" w:space="12" w:color="auto"/>
      </w:pBdr>
      <w:spacing w:after="240" w:line="240" w:lineRule="auto"/>
      <w:outlineLvl w:val="0"/>
    </w:pPr>
    <w:rPr>
      <w:rFonts w:eastAsia="Times New Roman"/>
      <w:b/>
      <w:caps/>
      <w:sz w:val="32"/>
    </w:rPr>
  </w:style>
  <w:style w:type="paragraph" w:styleId="Ttulo2">
    <w:name w:val="heading 2"/>
    <w:aliases w:val="Heading 2-Agriteam"/>
    <w:basedOn w:val="Normal"/>
    <w:next w:val="Normal"/>
    <w:link w:val="Ttulo2Char"/>
    <w:qFormat/>
    <w:rsid w:val="00C865CD"/>
    <w:pPr>
      <w:keepNext/>
      <w:numPr>
        <w:ilvl w:val="1"/>
        <w:numId w:val="18"/>
      </w:numPr>
      <w:spacing w:before="120" w:after="120"/>
      <w:outlineLvl w:val="1"/>
    </w:pPr>
    <w:rPr>
      <w:rFonts w:eastAsia="Times New Roman"/>
      <w:b/>
      <w:sz w:val="26"/>
    </w:rPr>
  </w:style>
  <w:style w:type="paragraph" w:styleId="Ttulo3">
    <w:name w:val="heading 3"/>
    <w:aliases w:val="Heading 3-Agriteam"/>
    <w:basedOn w:val="Normal"/>
    <w:next w:val="Normal"/>
    <w:link w:val="Ttulo3Char"/>
    <w:qFormat/>
    <w:rsid w:val="00C865CD"/>
    <w:pPr>
      <w:keepNext/>
      <w:numPr>
        <w:ilvl w:val="2"/>
        <w:numId w:val="18"/>
      </w:numPr>
      <w:spacing w:before="120"/>
      <w:outlineLvl w:val="2"/>
    </w:pPr>
    <w:rPr>
      <w:rFonts w:eastAsia="Times New Roman"/>
      <w:b/>
      <w:snapToGrid w:val="0"/>
      <w:color w:val="000000"/>
    </w:rPr>
  </w:style>
  <w:style w:type="paragraph" w:styleId="Ttulo4">
    <w:name w:val="heading 4"/>
    <w:basedOn w:val="Normal"/>
    <w:next w:val="Normal"/>
    <w:link w:val="Ttulo4Char"/>
    <w:qFormat/>
    <w:rsid w:val="00C865CD"/>
    <w:pPr>
      <w:keepNext/>
      <w:numPr>
        <w:ilvl w:val="3"/>
        <w:numId w:val="18"/>
      </w:numPr>
      <w:spacing w:before="120"/>
      <w:outlineLvl w:val="3"/>
    </w:pPr>
    <w:rPr>
      <w:rFonts w:eastAsia="Times New Roman"/>
      <w:b/>
      <w:i/>
    </w:rPr>
  </w:style>
  <w:style w:type="paragraph" w:styleId="Ttulo5">
    <w:name w:val="heading 5"/>
    <w:basedOn w:val="Normal"/>
    <w:next w:val="Normal"/>
    <w:link w:val="Ttulo5Char"/>
    <w:qFormat/>
    <w:rsid w:val="00C865CD"/>
    <w:pPr>
      <w:keepNext/>
      <w:numPr>
        <w:ilvl w:val="4"/>
        <w:numId w:val="18"/>
      </w:numPr>
      <w:outlineLvl w:val="4"/>
    </w:pPr>
    <w:rPr>
      <w:rFonts w:eastAsia="Times New Roman"/>
    </w:rPr>
  </w:style>
  <w:style w:type="paragraph" w:styleId="Ttulo6">
    <w:name w:val="heading 6"/>
    <w:basedOn w:val="Normal"/>
    <w:next w:val="Normal"/>
    <w:link w:val="Ttulo6Char"/>
    <w:qFormat/>
    <w:rsid w:val="00C865CD"/>
    <w:pPr>
      <w:numPr>
        <w:ilvl w:val="5"/>
        <w:numId w:val="18"/>
      </w:numPr>
      <w:spacing w:before="240" w:after="60"/>
      <w:outlineLvl w:val="5"/>
    </w:pPr>
    <w:rPr>
      <w:rFonts w:eastAsia="Times New Roman"/>
      <w:i/>
    </w:rPr>
  </w:style>
  <w:style w:type="paragraph" w:styleId="Ttulo7">
    <w:name w:val="heading 7"/>
    <w:basedOn w:val="Normal"/>
    <w:next w:val="Normal"/>
    <w:link w:val="Ttulo7Char"/>
    <w:qFormat/>
    <w:rsid w:val="00C865CD"/>
    <w:pPr>
      <w:numPr>
        <w:ilvl w:val="6"/>
        <w:numId w:val="18"/>
      </w:numPr>
      <w:spacing w:before="240" w:after="60"/>
      <w:outlineLvl w:val="6"/>
    </w:pPr>
    <w:rPr>
      <w:rFonts w:eastAsia="Times New Roman"/>
      <w:sz w:val="20"/>
    </w:rPr>
  </w:style>
  <w:style w:type="paragraph" w:styleId="Ttulo8">
    <w:name w:val="heading 8"/>
    <w:basedOn w:val="Normal"/>
    <w:next w:val="Normal"/>
    <w:link w:val="Ttulo8Char"/>
    <w:qFormat/>
    <w:rsid w:val="00C865CD"/>
    <w:pPr>
      <w:numPr>
        <w:ilvl w:val="7"/>
        <w:numId w:val="18"/>
      </w:numPr>
      <w:spacing w:before="240" w:after="60"/>
      <w:outlineLvl w:val="7"/>
    </w:pPr>
    <w:rPr>
      <w:rFonts w:eastAsia="Times New Roman"/>
      <w:i/>
      <w:sz w:val="20"/>
    </w:rPr>
  </w:style>
  <w:style w:type="paragraph" w:styleId="Ttulo9">
    <w:name w:val="heading 9"/>
    <w:basedOn w:val="Normal"/>
    <w:next w:val="Normal"/>
    <w:link w:val="Ttulo9Char"/>
    <w:qFormat/>
    <w:rsid w:val="00C865CD"/>
    <w:pPr>
      <w:numPr>
        <w:ilvl w:val="8"/>
        <w:numId w:val="18"/>
      </w:numPr>
      <w:spacing w:before="240" w:after="60"/>
      <w:outlineLvl w:val="8"/>
    </w:pPr>
    <w:rPr>
      <w:rFonts w:eastAsia="Times New Roman"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Heading 1-Agriteam Char"/>
    <w:basedOn w:val="Fontepargpadro"/>
    <w:link w:val="Ttulo1"/>
    <w:rsid w:val="00C865CD"/>
    <w:rPr>
      <w:rFonts w:ascii="Times New Roman" w:eastAsia="Times New Roman" w:hAnsi="Times New Roman"/>
      <w:b/>
      <w:caps/>
      <w:sz w:val="32"/>
    </w:rPr>
  </w:style>
  <w:style w:type="character" w:customStyle="1" w:styleId="Ttulo2Char">
    <w:name w:val="Título 2 Char"/>
    <w:aliases w:val="Heading 2-Agriteam Char"/>
    <w:basedOn w:val="Fontepargpadro"/>
    <w:link w:val="Ttulo2"/>
    <w:rsid w:val="00C865CD"/>
    <w:rPr>
      <w:rFonts w:ascii="Times New Roman" w:eastAsia="Times New Roman" w:hAnsi="Times New Roman"/>
      <w:b/>
      <w:sz w:val="26"/>
    </w:rPr>
  </w:style>
  <w:style w:type="character" w:customStyle="1" w:styleId="Ttulo3Char">
    <w:name w:val="Título 3 Char"/>
    <w:aliases w:val="Heading 3-Agriteam Char"/>
    <w:basedOn w:val="Fontepargpadro"/>
    <w:link w:val="Ttulo3"/>
    <w:rsid w:val="00C865CD"/>
    <w:rPr>
      <w:rFonts w:ascii="Times New Roman" w:eastAsia="Times New Roman" w:hAnsi="Times New Roman"/>
      <w:b/>
      <w:snapToGrid w:val="0"/>
      <w:color w:val="000000"/>
      <w:sz w:val="22"/>
    </w:rPr>
  </w:style>
  <w:style w:type="character" w:customStyle="1" w:styleId="Ttulo4Char">
    <w:name w:val="Título 4 Char"/>
    <w:basedOn w:val="Fontepargpadro"/>
    <w:link w:val="Ttulo4"/>
    <w:rsid w:val="00C865CD"/>
    <w:rPr>
      <w:rFonts w:ascii="Times New Roman" w:eastAsia="Times New Roman" w:hAnsi="Times New Roman"/>
      <w:b/>
      <w:i/>
      <w:sz w:val="22"/>
    </w:rPr>
  </w:style>
  <w:style w:type="character" w:customStyle="1" w:styleId="Ttulo5Char">
    <w:name w:val="Título 5 Char"/>
    <w:basedOn w:val="Fontepargpadro"/>
    <w:link w:val="Ttulo5"/>
    <w:rsid w:val="00C865CD"/>
    <w:rPr>
      <w:rFonts w:ascii="Times New Roman" w:eastAsia="Times New Roman" w:hAnsi="Times New Roman"/>
      <w:sz w:val="22"/>
    </w:rPr>
  </w:style>
  <w:style w:type="character" w:customStyle="1" w:styleId="Ttulo6Char">
    <w:name w:val="Título 6 Char"/>
    <w:basedOn w:val="Fontepargpadro"/>
    <w:link w:val="Ttulo6"/>
    <w:rsid w:val="00C865CD"/>
    <w:rPr>
      <w:rFonts w:ascii="Times New Roman" w:eastAsia="Times New Roman" w:hAnsi="Times New Roman"/>
      <w:i/>
      <w:sz w:val="22"/>
    </w:rPr>
  </w:style>
  <w:style w:type="character" w:customStyle="1" w:styleId="Ttulo7Char">
    <w:name w:val="Título 7 Char"/>
    <w:basedOn w:val="Fontepargpadro"/>
    <w:link w:val="Ttulo7"/>
    <w:rsid w:val="00C865CD"/>
    <w:rPr>
      <w:rFonts w:ascii="Times New Roman" w:eastAsia="Times New Roman" w:hAnsi="Times New Roman"/>
    </w:rPr>
  </w:style>
  <w:style w:type="character" w:customStyle="1" w:styleId="Ttulo8Char">
    <w:name w:val="Título 8 Char"/>
    <w:basedOn w:val="Fontepargpadro"/>
    <w:link w:val="Ttulo8"/>
    <w:rsid w:val="00C865CD"/>
    <w:rPr>
      <w:rFonts w:ascii="Times New Roman" w:eastAsia="Times New Roman" w:hAnsi="Times New Roman"/>
      <w:i/>
    </w:rPr>
  </w:style>
  <w:style w:type="character" w:customStyle="1" w:styleId="Ttulo9Char">
    <w:name w:val="Título 9 Char"/>
    <w:basedOn w:val="Fontepargpadro"/>
    <w:link w:val="Ttulo9"/>
    <w:rsid w:val="00C865CD"/>
    <w:rPr>
      <w:rFonts w:ascii="Times New Roman" w:eastAsia="Times New Roman" w:hAnsi="Times New Roman"/>
      <w:i/>
      <w:sz w:val="18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C865CD"/>
    <w:pPr>
      <w:spacing w:after="100"/>
    </w:pPr>
    <w:rPr>
      <w:rFonts w:asciiTheme="minorHAnsi" w:eastAsiaTheme="minorEastAsia" w:hAnsiTheme="minorHAnsi" w:cstheme="minorBidi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C865CD"/>
    <w:pPr>
      <w:spacing w:after="100"/>
      <w:ind w:left="220"/>
    </w:pPr>
    <w:rPr>
      <w:rFonts w:asciiTheme="minorHAnsi" w:eastAsiaTheme="minorEastAsia" w:hAnsiTheme="minorHAnsi" w:cstheme="minorBidi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C865CD"/>
    <w:pPr>
      <w:spacing w:after="100"/>
      <w:ind w:left="440"/>
    </w:pPr>
    <w:rPr>
      <w:rFonts w:asciiTheme="minorHAnsi" w:eastAsiaTheme="minorEastAsia" w:hAnsiTheme="minorHAnsi" w:cstheme="minorBidi"/>
    </w:rPr>
  </w:style>
  <w:style w:type="character" w:styleId="Forte">
    <w:name w:val="Strong"/>
    <w:basedOn w:val="Fontepargpadro"/>
    <w:uiPriority w:val="22"/>
    <w:qFormat/>
    <w:rsid w:val="00C865CD"/>
    <w:rPr>
      <w:b/>
      <w:bCs/>
    </w:rPr>
  </w:style>
  <w:style w:type="paragraph" w:styleId="SemEspaamento">
    <w:name w:val="No Spacing"/>
    <w:link w:val="SemEspaamentoChar"/>
    <w:uiPriority w:val="1"/>
    <w:qFormat/>
    <w:rsid w:val="00C865CD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CA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C865CD"/>
    <w:rPr>
      <w:rFonts w:ascii="Times New Roman" w:eastAsia="Times New Roman" w:hAnsi="Times New Roman"/>
      <w:lang w:val="en-CA" w:eastAsia="en-US" w:bidi="ar-SA"/>
    </w:rPr>
  </w:style>
  <w:style w:type="paragraph" w:styleId="PargrafodaLista">
    <w:name w:val="List Paragraph"/>
    <w:basedOn w:val="Normal"/>
    <w:uiPriority w:val="34"/>
    <w:qFormat/>
    <w:rsid w:val="00C865CD"/>
    <w:pPr>
      <w:ind w:left="720"/>
    </w:pPr>
    <w:rPr>
      <w:rFonts w:eastAsia="Times New Roman"/>
    </w:rPr>
  </w:style>
  <w:style w:type="paragraph" w:styleId="CabealhodoSumrio">
    <w:name w:val="TOC Heading"/>
    <w:basedOn w:val="Ttulo1"/>
    <w:next w:val="Normal"/>
    <w:uiPriority w:val="39"/>
    <w:unhideWhenUsed/>
    <w:qFormat/>
    <w:rsid w:val="00C865CD"/>
    <w:pPr>
      <w:keepLines/>
      <w:numPr>
        <w:numId w:val="0"/>
      </w:numPr>
      <w:pBdr>
        <w:bottom w:val="none" w:sz="0" w:space="0" w:color="auto"/>
      </w:pBd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</w:rPr>
  </w:style>
  <w:style w:type="paragraph" w:customStyle="1" w:styleId="ColorfulList-Accent11">
    <w:name w:val="Colorful List - Accent 11"/>
    <w:basedOn w:val="Normal"/>
    <w:uiPriority w:val="34"/>
    <w:qFormat/>
    <w:rsid w:val="00C865CD"/>
    <w:pPr>
      <w:spacing w:line="240" w:lineRule="auto"/>
      <w:ind w:left="720"/>
    </w:pPr>
    <w:rPr>
      <w:rFonts w:eastAsia="Times New Roman"/>
      <w:sz w:val="24"/>
      <w:szCs w:val="24"/>
    </w:rPr>
  </w:style>
  <w:style w:type="paragraph" w:styleId="Ttulo">
    <w:name w:val="Title"/>
    <w:basedOn w:val="Normal"/>
    <w:link w:val="TtuloChar"/>
    <w:qFormat/>
    <w:rsid w:val="005A2439"/>
    <w:pPr>
      <w:tabs>
        <w:tab w:val="left" w:pos="1440"/>
        <w:tab w:val="left" w:pos="3060"/>
      </w:tabs>
      <w:spacing w:after="0" w:line="240" w:lineRule="auto"/>
      <w:jc w:val="center"/>
      <w:outlineLvl w:val="0"/>
    </w:pPr>
    <w:rPr>
      <w:rFonts w:ascii="Times New Roman" w:eastAsia="Times New Roman" w:hAnsi="Times New Roman"/>
      <w:noProof w:val="0"/>
      <w:sz w:val="24"/>
      <w:szCs w:val="24"/>
    </w:rPr>
  </w:style>
  <w:style w:type="character" w:customStyle="1" w:styleId="TtuloChar">
    <w:name w:val="Título Char"/>
    <w:basedOn w:val="Fontepargpadro"/>
    <w:link w:val="Ttulo"/>
    <w:rsid w:val="005A2439"/>
    <w:rPr>
      <w:rFonts w:ascii="Times New Roman" w:eastAsia="Times New Roman" w:hAnsi="Times New Roman"/>
      <w:sz w:val="24"/>
      <w:szCs w:val="24"/>
      <w:lang w:val="es-E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55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55684"/>
    <w:rPr>
      <w:rFonts w:ascii="Tahoma" w:hAnsi="Tahoma" w:cs="Tahoma"/>
      <w:noProof/>
      <w:sz w:val="16"/>
      <w:szCs w:val="16"/>
      <w:lang w:val="es-ES"/>
    </w:rPr>
  </w:style>
  <w:style w:type="character" w:styleId="Hyperlink">
    <w:name w:val="Hyperlink"/>
    <w:basedOn w:val="Fontepargpadro"/>
    <w:uiPriority w:val="99"/>
    <w:unhideWhenUsed/>
    <w:rsid w:val="00970FC7"/>
    <w:rPr>
      <w:color w:val="0000FF" w:themeColor="hyperlink"/>
      <w:u w:val="single"/>
    </w:rPr>
  </w:style>
  <w:style w:type="character" w:customStyle="1" w:styleId="tituloprodutos">
    <w:name w:val="titulo_produtos"/>
    <w:rsid w:val="00956F17"/>
  </w:style>
  <w:style w:type="paragraph" w:customStyle="1" w:styleId="Contedodatabela">
    <w:name w:val="Conteúdo da tabela"/>
    <w:basedOn w:val="Normal"/>
    <w:uiPriority w:val="99"/>
    <w:rsid w:val="002D4D9E"/>
    <w:pPr>
      <w:suppressLineNumbers/>
      <w:suppressAutoHyphens/>
      <w:spacing w:after="0" w:line="240" w:lineRule="auto"/>
    </w:pPr>
    <w:rPr>
      <w:rFonts w:ascii="Times New Roman" w:eastAsia="Times New Roman" w:hAnsi="Times New Roman"/>
      <w:noProof w:val="0"/>
      <w:sz w:val="24"/>
      <w:szCs w:val="24"/>
      <w:lang w:val="pt-BR" w:eastAsia="ar-SA"/>
    </w:rPr>
  </w:style>
  <w:style w:type="paragraph" w:customStyle="1" w:styleId="Ttulodatabela">
    <w:name w:val="Título da tabela"/>
    <w:basedOn w:val="Contedodatabela"/>
    <w:uiPriority w:val="99"/>
    <w:rsid w:val="002D4D9E"/>
    <w:pPr>
      <w:jc w:val="center"/>
    </w:pPr>
    <w:rPr>
      <w:b/>
      <w:bCs/>
      <w:i/>
      <w:iCs/>
    </w:rPr>
  </w:style>
  <w:style w:type="character" w:styleId="nfase">
    <w:name w:val="Emphasis"/>
    <w:basedOn w:val="Fontepargpadro"/>
    <w:uiPriority w:val="20"/>
    <w:qFormat/>
    <w:rsid w:val="002D4D9E"/>
    <w:rPr>
      <w:i/>
      <w:iCs/>
    </w:rPr>
  </w:style>
  <w:style w:type="table" w:styleId="Tabelacomgrade">
    <w:name w:val="Table Grid"/>
    <w:basedOn w:val="Tabelanormal"/>
    <w:uiPriority w:val="59"/>
    <w:rsid w:val="00A768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nhideWhenUsed/>
    <w:rsid w:val="00335B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35BEB"/>
    <w:rPr>
      <w:noProof/>
      <w:sz w:val="22"/>
      <w:szCs w:val="22"/>
      <w:lang w:val="es-ES"/>
    </w:rPr>
  </w:style>
  <w:style w:type="paragraph" w:styleId="Rodap">
    <w:name w:val="footer"/>
    <w:basedOn w:val="Normal"/>
    <w:link w:val="RodapChar"/>
    <w:uiPriority w:val="99"/>
    <w:unhideWhenUsed/>
    <w:rsid w:val="00335B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5BEB"/>
    <w:rPr>
      <w:noProof/>
      <w:sz w:val="22"/>
      <w:szCs w:val="22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439"/>
    <w:pPr>
      <w:spacing w:after="200" w:line="276" w:lineRule="auto"/>
      <w:jc w:val="left"/>
    </w:pPr>
    <w:rPr>
      <w:noProof/>
      <w:sz w:val="22"/>
      <w:szCs w:val="22"/>
      <w:lang w:val="es-ES"/>
    </w:rPr>
  </w:style>
  <w:style w:type="paragraph" w:styleId="Ttulo1">
    <w:name w:val="heading 1"/>
    <w:aliases w:val="Heading 1-Agriteam"/>
    <w:basedOn w:val="Normal"/>
    <w:next w:val="Normal"/>
    <w:link w:val="Ttulo1Char"/>
    <w:qFormat/>
    <w:rsid w:val="00C865CD"/>
    <w:pPr>
      <w:keepNext/>
      <w:numPr>
        <w:numId w:val="18"/>
      </w:numPr>
      <w:pBdr>
        <w:bottom w:val="single" w:sz="12" w:space="12" w:color="auto"/>
      </w:pBdr>
      <w:spacing w:after="240" w:line="240" w:lineRule="auto"/>
      <w:outlineLvl w:val="0"/>
    </w:pPr>
    <w:rPr>
      <w:rFonts w:eastAsia="Times New Roman"/>
      <w:b/>
      <w:caps/>
      <w:sz w:val="32"/>
    </w:rPr>
  </w:style>
  <w:style w:type="paragraph" w:styleId="Ttulo2">
    <w:name w:val="heading 2"/>
    <w:aliases w:val="Heading 2-Agriteam"/>
    <w:basedOn w:val="Normal"/>
    <w:next w:val="Normal"/>
    <w:link w:val="Ttulo2Char"/>
    <w:qFormat/>
    <w:rsid w:val="00C865CD"/>
    <w:pPr>
      <w:keepNext/>
      <w:numPr>
        <w:ilvl w:val="1"/>
        <w:numId w:val="18"/>
      </w:numPr>
      <w:spacing w:before="120" w:after="120"/>
      <w:outlineLvl w:val="1"/>
    </w:pPr>
    <w:rPr>
      <w:rFonts w:eastAsia="Times New Roman"/>
      <w:b/>
      <w:sz w:val="26"/>
    </w:rPr>
  </w:style>
  <w:style w:type="paragraph" w:styleId="Ttulo3">
    <w:name w:val="heading 3"/>
    <w:aliases w:val="Heading 3-Agriteam"/>
    <w:basedOn w:val="Normal"/>
    <w:next w:val="Normal"/>
    <w:link w:val="Ttulo3Char"/>
    <w:qFormat/>
    <w:rsid w:val="00C865CD"/>
    <w:pPr>
      <w:keepNext/>
      <w:numPr>
        <w:ilvl w:val="2"/>
        <w:numId w:val="18"/>
      </w:numPr>
      <w:spacing w:before="120"/>
      <w:outlineLvl w:val="2"/>
    </w:pPr>
    <w:rPr>
      <w:rFonts w:eastAsia="Times New Roman"/>
      <w:b/>
      <w:snapToGrid w:val="0"/>
      <w:color w:val="000000"/>
    </w:rPr>
  </w:style>
  <w:style w:type="paragraph" w:styleId="Ttulo4">
    <w:name w:val="heading 4"/>
    <w:basedOn w:val="Normal"/>
    <w:next w:val="Normal"/>
    <w:link w:val="Ttulo4Char"/>
    <w:qFormat/>
    <w:rsid w:val="00C865CD"/>
    <w:pPr>
      <w:keepNext/>
      <w:numPr>
        <w:ilvl w:val="3"/>
        <w:numId w:val="18"/>
      </w:numPr>
      <w:spacing w:before="120"/>
      <w:outlineLvl w:val="3"/>
    </w:pPr>
    <w:rPr>
      <w:rFonts w:eastAsia="Times New Roman"/>
      <w:b/>
      <w:i/>
    </w:rPr>
  </w:style>
  <w:style w:type="paragraph" w:styleId="Ttulo5">
    <w:name w:val="heading 5"/>
    <w:basedOn w:val="Normal"/>
    <w:next w:val="Normal"/>
    <w:link w:val="Ttulo5Char"/>
    <w:qFormat/>
    <w:rsid w:val="00C865CD"/>
    <w:pPr>
      <w:keepNext/>
      <w:numPr>
        <w:ilvl w:val="4"/>
        <w:numId w:val="18"/>
      </w:numPr>
      <w:outlineLvl w:val="4"/>
    </w:pPr>
    <w:rPr>
      <w:rFonts w:eastAsia="Times New Roman"/>
    </w:rPr>
  </w:style>
  <w:style w:type="paragraph" w:styleId="Ttulo6">
    <w:name w:val="heading 6"/>
    <w:basedOn w:val="Normal"/>
    <w:next w:val="Normal"/>
    <w:link w:val="Ttulo6Char"/>
    <w:qFormat/>
    <w:rsid w:val="00C865CD"/>
    <w:pPr>
      <w:numPr>
        <w:ilvl w:val="5"/>
        <w:numId w:val="18"/>
      </w:numPr>
      <w:spacing w:before="240" w:after="60"/>
      <w:outlineLvl w:val="5"/>
    </w:pPr>
    <w:rPr>
      <w:rFonts w:eastAsia="Times New Roman"/>
      <w:i/>
    </w:rPr>
  </w:style>
  <w:style w:type="paragraph" w:styleId="Ttulo7">
    <w:name w:val="heading 7"/>
    <w:basedOn w:val="Normal"/>
    <w:next w:val="Normal"/>
    <w:link w:val="Ttulo7Char"/>
    <w:qFormat/>
    <w:rsid w:val="00C865CD"/>
    <w:pPr>
      <w:numPr>
        <w:ilvl w:val="6"/>
        <w:numId w:val="18"/>
      </w:numPr>
      <w:spacing w:before="240" w:after="60"/>
      <w:outlineLvl w:val="6"/>
    </w:pPr>
    <w:rPr>
      <w:rFonts w:eastAsia="Times New Roman"/>
      <w:sz w:val="20"/>
    </w:rPr>
  </w:style>
  <w:style w:type="paragraph" w:styleId="Ttulo8">
    <w:name w:val="heading 8"/>
    <w:basedOn w:val="Normal"/>
    <w:next w:val="Normal"/>
    <w:link w:val="Ttulo8Char"/>
    <w:qFormat/>
    <w:rsid w:val="00C865CD"/>
    <w:pPr>
      <w:numPr>
        <w:ilvl w:val="7"/>
        <w:numId w:val="18"/>
      </w:numPr>
      <w:spacing w:before="240" w:after="60"/>
      <w:outlineLvl w:val="7"/>
    </w:pPr>
    <w:rPr>
      <w:rFonts w:eastAsia="Times New Roman"/>
      <w:i/>
      <w:sz w:val="20"/>
    </w:rPr>
  </w:style>
  <w:style w:type="paragraph" w:styleId="Ttulo9">
    <w:name w:val="heading 9"/>
    <w:basedOn w:val="Normal"/>
    <w:next w:val="Normal"/>
    <w:link w:val="Ttulo9Char"/>
    <w:qFormat/>
    <w:rsid w:val="00C865CD"/>
    <w:pPr>
      <w:numPr>
        <w:ilvl w:val="8"/>
        <w:numId w:val="18"/>
      </w:numPr>
      <w:spacing w:before="240" w:after="60"/>
      <w:outlineLvl w:val="8"/>
    </w:pPr>
    <w:rPr>
      <w:rFonts w:eastAsia="Times New Roman"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Heading 1-Agriteam Char"/>
    <w:basedOn w:val="Fontepargpadro"/>
    <w:link w:val="Ttulo1"/>
    <w:rsid w:val="00C865CD"/>
    <w:rPr>
      <w:rFonts w:ascii="Times New Roman" w:eastAsia="Times New Roman" w:hAnsi="Times New Roman"/>
      <w:b/>
      <w:caps/>
      <w:sz w:val="32"/>
    </w:rPr>
  </w:style>
  <w:style w:type="character" w:customStyle="1" w:styleId="Ttulo2Char">
    <w:name w:val="Título 2 Char"/>
    <w:aliases w:val="Heading 2-Agriteam Char"/>
    <w:basedOn w:val="Fontepargpadro"/>
    <w:link w:val="Ttulo2"/>
    <w:rsid w:val="00C865CD"/>
    <w:rPr>
      <w:rFonts w:ascii="Times New Roman" w:eastAsia="Times New Roman" w:hAnsi="Times New Roman"/>
      <w:b/>
      <w:sz w:val="26"/>
    </w:rPr>
  </w:style>
  <w:style w:type="character" w:customStyle="1" w:styleId="Ttulo3Char">
    <w:name w:val="Título 3 Char"/>
    <w:aliases w:val="Heading 3-Agriteam Char"/>
    <w:basedOn w:val="Fontepargpadro"/>
    <w:link w:val="Ttulo3"/>
    <w:rsid w:val="00C865CD"/>
    <w:rPr>
      <w:rFonts w:ascii="Times New Roman" w:eastAsia="Times New Roman" w:hAnsi="Times New Roman"/>
      <w:b/>
      <w:snapToGrid w:val="0"/>
      <w:color w:val="000000"/>
      <w:sz w:val="22"/>
    </w:rPr>
  </w:style>
  <w:style w:type="character" w:customStyle="1" w:styleId="Ttulo4Char">
    <w:name w:val="Título 4 Char"/>
    <w:basedOn w:val="Fontepargpadro"/>
    <w:link w:val="Ttulo4"/>
    <w:rsid w:val="00C865CD"/>
    <w:rPr>
      <w:rFonts w:ascii="Times New Roman" w:eastAsia="Times New Roman" w:hAnsi="Times New Roman"/>
      <w:b/>
      <w:i/>
      <w:sz w:val="22"/>
    </w:rPr>
  </w:style>
  <w:style w:type="character" w:customStyle="1" w:styleId="Ttulo5Char">
    <w:name w:val="Título 5 Char"/>
    <w:basedOn w:val="Fontepargpadro"/>
    <w:link w:val="Ttulo5"/>
    <w:rsid w:val="00C865CD"/>
    <w:rPr>
      <w:rFonts w:ascii="Times New Roman" w:eastAsia="Times New Roman" w:hAnsi="Times New Roman"/>
      <w:sz w:val="22"/>
    </w:rPr>
  </w:style>
  <w:style w:type="character" w:customStyle="1" w:styleId="Ttulo6Char">
    <w:name w:val="Título 6 Char"/>
    <w:basedOn w:val="Fontepargpadro"/>
    <w:link w:val="Ttulo6"/>
    <w:rsid w:val="00C865CD"/>
    <w:rPr>
      <w:rFonts w:ascii="Times New Roman" w:eastAsia="Times New Roman" w:hAnsi="Times New Roman"/>
      <w:i/>
      <w:sz w:val="22"/>
    </w:rPr>
  </w:style>
  <w:style w:type="character" w:customStyle="1" w:styleId="Ttulo7Char">
    <w:name w:val="Título 7 Char"/>
    <w:basedOn w:val="Fontepargpadro"/>
    <w:link w:val="Ttulo7"/>
    <w:rsid w:val="00C865CD"/>
    <w:rPr>
      <w:rFonts w:ascii="Times New Roman" w:eastAsia="Times New Roman" w:hAnsi="Times New Roman"/>
    </w:rPr>
  </w:style>
  <w:style w:type="character" w:customStyle="1" w:styleId="Ttulo8Char">
    <w:name w:val="Título 8 Char"/>
    <w:basedOn w:val="Fontepargpadro"/>
    <w:link w:val="Ttulo8"/>
    <w:rsid w:val="00C865CD"/>
    <w:rPr>
      <w:rFonts w:ascii="Times New Roman" w:eastAsia="Times New Roman" w:hAnsi="Times New Roman"/>
      <w:i/>
    </w:rPr>
  </w:style>
  <w:style w:type="character" w:customStyle="1" w:styleId="Ttulo9Char">
    <w:name w:val="Título 9 Char"/>
    <w:basedOn w:val="Fontepargpadro"/>
    <w:link w:val="Ttulo9"/>
    <w:rsid w:val="00C865CD"/>
    <w:rPr>
      <w:rFonts w:ascii="Times New Roman" w:eastAsia="Times New Roman" w:hAnsi="Times New Roman"/>
      <w:i/>
      <w:sz w:val="18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C865CD"/>
    <w:pPr>
      <w:spacing w:after="100"/>
    </w:pPr>
    <w:rPr>
      <w:rFonts w:asciiTheme="minorHAnsi" w:eastAsiaTheme="minorEastAsia" w:hAnsiTheme="minorHAnsi" w:cstheme="minorBidi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C865CD"/>
    <w:pPr>
      <w:spacing w:after="100"/>
      <w:ind w:left="220"/>
    </w:pPr>
    <w:rPr>
      <w:rFonts w:asciiTheme="minorHAnsi" w:eastAsiaTheme="minorEastAsia" w:hAnsiTheme="minorHAnsi" w:cstheme="minorBidi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C865CD"/>
    <w:pPr>
      <w:spacing w:after="100"/>
      <w:ind w:left="440"/>
    </w:pPr>
    <w:rPr>
      <w:rFonts w:asciiTheme="minorHAnsi" w:eastAsiaTheme="minorEastAsia" w:hAnsiTheme="minorHAnsi" w:cstheme="minorBidi"/>
    </w:rPr>
  </w:style>
  <w:style w:type="character" w:styleId="Forte">
    <w:name w:val="Strong"/>
    <w:basedOn w:val="Fontepargpadro"/>
    <w:uiPriority w:val="22"/>
    <w:qFormat/>
    <w:rsid w:val="00C865CD"/>
    <w:rPr>
      <w:b/>
      <w:bCs/>
    </w:rPr>
  </w:style>
  <w:style w:type="paragraph" w:styleId="SemEspaamento">
    <w:name w:val="No Spacing"/>
    <w:link w:val="SemEspaamentoChar"/>
    <w:uiPriority w:val="1"/>
    <w:qFormat/>
    <w:rsid w:val="00C865CD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CA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C865CD"/>
    <w:rPr>
      <w:rFonts w:ascii="Times New Roman" w:eastAsia="Times New Roman" w:hAnsi="Times New Roman"/>
      <w:lang w:val="en-CA" w:eastAsia="en-US" w:bidi="ar-SA"/>
    </w:rPr>
  </w:style>
  <w:style w:type="paragraph" w:styleId="PargrafodaLista">
    <w:name w:val="List Paragraph"/>
    <w:basedOn w:val="Normal"/>
    <w:uiPriority w:val="34"/>
    <w:qFormat/>
    <w:rsid w:val="00C865CD"/>
    <w:pPr>
      <w:ind w:left="720"/>
    </w:pPr>
    <w:rPr>
      <w:rFonts w:eastAsia="Times New Roman"/>
    </w:rPr>
  </w:style>
  <w:style w:type="paragraph" w:styleId="CabealhodoSumrio">
    <w:name w:val="TOC Heading"/>
    <w:basedOn w:val="Ttulo1"/>
    <w:next w:val="Normal"/>
    <w:uiPriority w:val="39"/>
    <w:unhideWhenUsed/>
    <w:qFormat/>
    <w:rsid w:val="00C865CD"/>
    <w:pPr>
      <w:keepLines/>
      <w:numPr>
        <w:numId w:val="0"/>
      </w:numPr>
      <w:pBdr>
        <w:bottom w:val="none" w:sz="0" w:space="0" w:color="auto"/>
      </w:pBd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</w:rPr>
  </w:style>
  <w:style w:type="paragraph" w:customStyle="1" w:styleId="ColorfulList-Accent11">
    <w:name w:val="Colorful List - Accent 11"/>
    <w:basedOn w:val="Normal"/>
    <w:uiPriority w:val="34"/>
    <w:qFormat/>
    <w:rsid w:val="00C865CD"/>
    <w:pPr>
      <w:spacing w:line="240" w:lineRule="auto"/>
      <w:ind w:left="720"/>
    </w:pPr>
    <w:rPr>
      <w:rFonts w:eastAsia="Times New Roman"/>
      <w:sz w:val="24"/>
      <w:szCs w:val="24"/>
    </w:rPr>
  </w:style>
  <w:style w:type="paragraph" w:styleId="Ttulo">
    <w:name w:val="Title"/>
    <w:basedOn w:val="Normal"/>
    <w:link w:val="TtuloChar"/>
    <w:qFormat/>
    <w:rsid w:val="005A2439"/>
    <w:pPr>
      <w:tabs>
        <w:tab w:val="left" w:pos="1440"/>
        <w:tab w:val="left" w:pos="3060"/>
      </w:tabs>
      <w:spacing w:after="0" w:line="240" w:lineRule="auto"/>
      <w:jc w:val="center"/>
      <w:outlineLvl w:val="0"/>
    </w:pPr>
    <w:rPr>
      <w:rFonts w:ascii="Times New Roman" w:eastAsia="Times New Roman" w:hAnsi="Times New Roman"/>
      <w:noProof w:val="0"/>
      <w:sz w:val="24"/>
      <w:szCs w:val="24"/>
    </w:rPr>
  </w:style>
  <w:style w:type="character" w:customStyle="1" w:styleId="TtuloChar">
    <w:name w:val="Título Char"/>
    <w:basedOn w:val="Fontepargpadro"/>
    <w:link w:val="Ttulo"/>
    <w:rsid w:val="005A2439"/>
    <w:rPr>
      <w:rFonts w:ascii="Times New Roman" w:eastAsia="Times New Roman" w:hAnsi="Times New Roman"/>
      <w:sz w:val="24"/>
      <w:szCs w:val="24"/>
      <w:lang w:val="es-E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55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55684"/>
    <w:rPr>
      <w:rFonts w:ascii="Tahoma" w:hAnsi="Tahoma" w:cs="Tahoma"/>
      <w:noProof/>
      <w:sz w:val="16"/>
      <w:szCs w:val="16"/>
      <w:lang w:val="es-ES"/>
    </w:rPr>
  </w:style>
  <w:style w:type="character" w:styleId="Hyperlink">
    <w:name w:val="Hyperlink"/>
    <w:basedOn w:val="Fontepargpadro"/>
    <w:uiPriority w:val="99"/>
    <w:unhideWhenUsed/>
    <w:rsid w:val="00970FC7"/>
    <w:rPr>
      <w:color w:val="0000FF" w:themeColor="hyperlink"/>
      <w:u w:val="single"/>
    </w:rPr>
  </w:style>
  <w:style w:type="character" w:customStyle="1" w:styleId="tituloprodutos">
    <w:name w:val="titulo_produtos"/>
    <w:rsid w:val="00956F17"/>
  </w:style>
  <w:style w:type="paragraph" w:customStyle="1" w:styleId="Contedodatabela">
    <w:name w:val="Conteúdo da tabela"/>
    <w:basedOn w:val="Normal"/>
    <w:uiPriority w:val="99"/>
    <w:rsid w:val="002D4D9E"/>
    <w:pPr>
      <w:suppressLineNumbers/>
      <w:suppressAutoHyphens/>
      <w:spacing w:after="0" w:line="240" w:lineRule="auto"/>
    </w:pPr>
    <w:rPr>
      <w:rFonts w:ascii="Times New Roman" w:eastAsia="Times New Roman" w:hAnsi="Times New Roman"/>
      <w:noProof w:val="0"/>
      <w:sz w:val="24"/>
      <w:szCs w:val="24"/>
      <w:lang w:val="pt-BR" w:eastAsia="ar-SA"/>
    </w:rPr>
  </w:style>
  <w:style w:type="paragraph" w:customStyle="1" w:styleId="Ttulodatabela">
    <w:name w:val="Título da tabela"/>
    <w:basedOn w:val="Contedodatabela"/>
    <w:uiPriority w:val="99"/>
    <w:rsid w:val="002D4D9E"/>
    <w:pPr>
      <w:jc w:val="center"/>
    </w:pPr>
    <w:rPr>
      <w:b/>
      <w:bCs/>
      <w:i/>
      <w:iCs/>
    </w:rPr>
  </w:style>
  <w:style w:type="character" w:styleId="nfase">
    <w:name w:val="Emphasis"/>
    <w:basedOn w:val="Fontepargpadro"/>
    <w:uiPriority w:val="20"/>
    <w:qFormat/>
    <w:rsid w:val="002D4D9E"/>
    <w:rPr>
      <w:i/>
      <w:iCs/>
    </w:rPr>
  </w:style>
  <w:style w:type="table" w:styleId="Tabelacomgrade">
    <w:name w:val="Table Grid"/>
    <w:basedOn w:val="Tabelanormal"/>
    <w:uiPriority w:val="59"/>
    <w:rsid w:val="00A768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nhideWhenUsed/>
    <w:rsid w:val="00335B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35BEB"/>
    <w:rPr>
      <w:noProof/>
      <w:sz w:val="22"/>
      <w:szCs w:val="22"/>
      <w:lang w:val="es-ES"/>
    </w:rPr>
  </w:style>
  <w:style w:type="paragraph" w:styleId="Rodap">
    <w:name w:val="footer"/>
    <w:basedOn w:val="Normal"/>
    <w:link w:val="RodapChar"/>
    <w:uiPriority w:val="99"/>
    <w:unhideWhenUsed/>
    <w:rsid w:val="00335B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5BEB"/>
    <w:rPr>
      <w:noProof/>
      <w:sz w:val="22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2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6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9CCDCE7696ABCD44A2A9450B2C88A94D" ma:contentTypeVersion="0" ma:contentTypeDescription="A content type to manage public (operations) IDB documents" ma:contentTypeScope="" ma:versionID="103c2a5a01d458bcd64b8c9c22cd3c7a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Project Profile</Disclosure_x0020_Activity>
    <Key_x0020_Document xmlns="9c571b2f-e523-4ab2-ba2e-09e151a03ef4">false</Key_x0020_Document>
    <Division_x0020_or_x0020_Unit xmlns="9c571b2f-e523-4ab2-ba2e-09e151a03ef4">IFD/FMM</Division_x0020_or_x0020_Unit>
    <Other_x0020_Author xmlns="9c571b2f-e523-4ab2-ba2e-09e151a03ef4" xsi:nil="true"/>
    <Region xmlns="9c571b2f-e523-4ab2-ba2e-09e151a03ef4" xsi:nil="true"/>
    <IDBDocs_x0020_Number xmlns="9c571b2f-e523-4ab2-ba2e-09e151a03ef4">38669649</IDBDocs_x0020_Number>
    <Document_x0020_Author xmlns="9c571b2f-e523-4ab2-ba2e-09e151a03ef4">Pimenta, Carlos Cesar</Document_x0020_Author>
    <Publication_x0020_Type xmlns="9c571b2f-e523-4ab2-ba2e-09e151a03ef4" xsi:nil="true"/>
    <Operation_x0020_Type xmlns="9c571b2f-e523-4ab2-ba2e-09e151a03ef4" xsi:nil="true"/>
    <TaxCatchAll xmlns="9c571b2f-e523-4ab2-ba2e-09e151a03ef4">
      <Value>11</Value>
      <Value>10</Value>
    </TaxCatchAll>
    <Fiscal_x0020_Year_x0020_IDB xmlns="9c571b2f-e523-4ab2-ba2e-09e151a03ef4">2014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BR-L1388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WORD&lt;/APPLICATION&gt;&lt;USER_STAGE&gt;Project Profile&lt;/USER_STAGE&gt;&lt;PD_OBJ_TYPE&gt;0&lt;/PD_OBJ_TYPE&gt;&lt;MAKERECORD&gt;N&lt;/MAKERECORD&gt;&lt;PD_FILEPT_NO&gt;PO-BR-L1388-Anl&lt;/PD_FILEPT_NO&gt;&lt;/Data&gt;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RM-FIS</Webtopic>
    <Identifier xmlns="9c571b2f-e523-4ab2-ba2e-09e151a03ef4"> TECFILE</Identifier>
    <Publishing_x0020_House xmlns="9c571b2f-e523-4ab2-ba2e-09e151a03ef4" xsi:nil="true"/>
    <Document_x0020_Language_x0020_IDB xmlns="9c571b2f-e523-4ab2-ba2e-09e151a03ef4">Portuguese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50563652-503C-4AFE-9EC9-0466E5753302}"/>
</file>

<file path=customXml/itemProps2.xml><?xml version="1.0" encoding="utf-8"?>
<ds:datastoreItem xmlns:ds="http://schemas.openxmlformats.org/officeDocument/2006/customXml" ds:itemID="{708B474D-BFB4-4E5A-986C-C9DB44176528}"/>
</file>

<file path=customXml/itemProps3.xml><?xml version="1.0" encoding="utf-8"?>
<ds:datastoreItem xmlns:ds="http://schemas.openxmlformats.org/officeDocument/2006/customXml" ds:itemID="{60311B67-E605-4FBD-BC98-4EF706E8C22A}"/>
</file>

<file path=customXml/itemProps4.xml><?xml version="1.0" encoding="utf-8"?>
<ds:datastoreItem xmlns:ds="http://schemas.openxmlformats.org/officeDocument/2006/customXml" ds:itemID="{C3F7614D-28D3-43C6-B8F6-1EA093D73ECC}"/>
</file>

<file path=customXml/itemProps5.xml><?xml version="1.0" encoding="utf-8"?>
<ds:datastoreItem xmlns:ds="http://schemas.openxmlformats.org/officeDocument/2006/customXml" ds:itemID="{E5BFFCC0-7A86-4720-AAB4-8A6C2600AD03}"/>
</file>

<file path=customXml/itemProps6.xml><?xml version="1.0" encoding="utf-8"?>
<ds:datastoreItem xmlns:ds="http://schemas.openxmlformats.org/officeDocument/2006/customXml" ds:itemID="{7C546976-B102-4839-9DEA-8C36258F4B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1141</Words>
  <Characters>6509</Characters>
  <Application>Microsoft Office Word</Application>
  <DocSecurity>0</DocSecurity>
  <Lines>54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Técnica_ Procaduria General del Estado - Dívida Ativa </dc:title>
  <dc:creator>Familia Cracel</dc:creator>
  <cp:lastModifiedBy>Luciana</cp:lastModifiedBy>
  <cp:revision>9</cp:revision>
  <cp:lastPrinted>2013-08-01T18:46:00Z</cp:lastPrinted>
  <dcterms:created xsi:type="dcterms:W3CDTF">2014-04-01T18:18:00Z</dcterms:created>
  <dcterms:modified xsi:type="dcterms:W3CDTF">2014-04-02T20:32:00Z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0x01010046CF21643EE8D14686A648AA6DAD0892009CCDCE7696ABCD44A2A9450B2C88A94D</vt:lpwstr>
  </property>
  <property fmtid="{D5CDD505-2E9C-101B-9397-08002B2CF9AE}" pid="5" name="TaxKeywordTaxHTField">
    <vt:lpwstr/>
  </property>
  <property fmtid="{D5CDD505-2E9C-101B-9397-08002B2CF9AE}" pid="6" name="Series Operations IDB">
    <vt:lpwstr>10;#Loan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10;#Loan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11;#Project Preparation, Planning and Design|29ca0c72-1fc4-435f-a09c-28585cb5eac9</vt:lpwstr>
  </property>
</Properties>
</file>