
<file path=[Content_Types].xml><?xml version="1.0" encoding="utf-8"?>
<Types xmlns="http://schemas.openxmlformats.org/package/2006/content-types">
  <Default Extension="bin" ContentType="application/vnd.openxmlformats-officedocument.wordprocessingml.printerSetting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A6019" w:rsidRDefault="000A6019" w:rsidP="00C43EB0">
      <w:pPr>
        <w:spacing w:before="240" w:after="240"/>
        <w:ind w:left="360"/>
        <w:jc w:val="center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Nota Técnica</w:t>
      </w:r>
    </w:p>
    <w:p w:rsidR="000A6019" w:rsidRDefault="000A6019">
      <w:pPr>
        <w:tabs>
          <w:tab w:val="left" w:pos="1440"/>
          <w:tab w:val="left" w:pos="3060"/>
        </w:tabs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</w:rPr>
        <w:t>Brasil</w:t>
      </w:r>
    </w:p>
    <w:p w:rsidR="000A6019" w:rsidRDefault="000A6019">
      <w:pPr>
        <w:spacing w:before="240" w:after="0" w:line="100" w:lineRule="atLeast"/>
        <w:ind w:left="36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Programa de Modernização e Fortalecimento da Gestão Fiscal do Estado do Amazonas (PROFISCO AM)</w:t>
      </w:r>
    </w:p>
    <w:p w:rsidR="000A6019" w:rsidRDefault="000A6019" w:rsidP="00C43EB0">
      <w:pPr>
        <w:spacing w:before="240" w:after="0" w:line="100" w:lineRule="atLeast"/>
        <w:ind w:left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Atualização da Plataforma Tecnológica</w:t>
      </w:r>
      <w:r w:rsidR="00AB6EDE">
        <w:rPr>
          <w:rFonts w:ascii="Times New Roman" w:hAnsi="Times New Roman" w:cs="Times New Roman"/>
          <w:b/>
          <w:bCs/>
          <w:sz w:val="24"/>
          <w:szCs w:val="24"/>
        </w:rPr>
        <w:t>/SPED</w:t>
      </w:r>
    </w:p>
    <w:p w:rsidR="000A6019" w:rsidRDefault="000A6019">
      <w:pPr>
        <w:spacing w:before="240" w:after="240"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presente nota técnica foi preparada por: César Henrique Goersch Andrade, Analista de Tecnologia da Fazenda Estadual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 e por Alexandre Siqueira de Medeiros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 Analista de Tecnologia da Fazenda Estadual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0A6019" w:rsidRDefault="000A6019" w:rsidP="00C43EB0">
      <w:pPr>
        <w:spacing w:before="240" w:after="240"/>
        <w:ind w:left="360"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Informação para contato: </w:t>
      </w:r>
    </w:p>
    <w:p w:rsidR="000A6019" w:rsidRDefault="000A6019">
      <w:pPr>
        <w:spacing w:before="240" w:after="240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e-mail: </w:t>
      </w:r>
      <w:hyperlink r:id="rId6" w:history="1">
        <w:r>
          <w:rPr>
            <w:rStyle w:val="Hyperlink"/>
            <w:rFonts w:ascii="Times New Roman" w:hAnsi="Times New Roman"/>
          </w:rPr>
          <w:t>cesar@sefaz.am.gov.br</w:t>
        </w:r>
      </w:hyperlink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 fone: (92)-2121-1909</w:t>
      </w:r>
    </w:p>
    <w:p w:rsidR="000A6019" w:rsidRDefault="000A6019">
      <w:pPr>
        <w:spacing w:before="240" w:after="240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e-mail: alexandre.siqueira</w:t>
      </w:r>
      <w:hyperlink r:id="rId7" w:history="1">
        <w:r>
          <w:rPr>
            <w:rStyle w:val="Hyperlink"/>
            <w:rFonts w:ascii="Times New Roman" w:hAnsi="Times New Roman"/>
          </w:rPr>
          <w:t>@sefaz.am.gov.br</w:t>
        </w:r>
      </w:hyperlink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 fone: (92)-2121-1609</w:t>
      </w:r>
    </w:p>
    <w:p w:rsidR="000A6019" w:rsidRDefault="000A6019">
      <w:pPr>
        <w:spacing w:before="240" w:after="240"/>
        <w:ind w:left="360"/>
        <w:jc w:val="both"/>
      </w:pPr>
    </w:p>
    <w:p w:rsidR="000A6019" w:rsidRDefault="000A6019">
      <w:pPr>
        <w:spacing w:before="240" w:after="24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A6019" w:rsidRPr="00277507" w:rsidRDefault="000A6019" w:rsidP="00C43EB0">
      <w:pPr>
        <w:spacing w:before="240" w:after="240"/>
        <w:ind w:left="360"/>
        <w:jc w:val="center"/>
        <w:outlineLvl w:val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7750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Data versão: </w:t>
      </w:r>
      <w:r w:rsidR="00277507" w:rsidRPr="00277507">
        <w:rPr>
          <w:rFonts w:ascii="Times New Roman" w:hAnsi="Times New Roman" w:cs="Times New Roman"/>
          <w:b/>
          <w:bCs/>
          <w:color w:val="FF0000"/>
          <w:sz w:val="24"/>
          <w:szCs w:val="24"/>
        </w:rPr>
        <w:t>v19Fev2014</w:t>
      </w:r>
    </w:p>
    <w:p w:rsidR="000A6019" w:rsidRDefault="000A6019">
      <w:pPr>
        <w:pStyle w:val="PargrafodaLista1"/>
        <w:pageBreakBefore/>
        <w:numPr>
          <w:ilvl w:val="1"/>
          <w:numId w:val="3"/>
        </w:numPr>
        <w:spacing w:before="120" w:after="120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CONTEXTO</w:t>
      </w:r>
    </w:p>
    <w:p w:rsidR="000A6019" w:rsidRDefault="008B3F07">
      <w:pPr>
        <w:pStyle w:val="PargrafodaLista1"/>
        <w:spacing w:before="120" w:after="1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Secretaria de Estado da Fazenda ao longo dos anos tem sistemática e historicamente, investido em recursos de tecnologia da informação  que dão suporte aos serviços informatizados e  disponibilizados aos contribuintes, órgãos, colaboradores e publico em geral, seja por meio de recursos próprios ou de recursos captados em projetos de modernização.  Entretanto, a </w:t>
      </w:r>
      <w:r w:rsidR="000A6019">
        <w:rPr>
          <w:rFonts w:ascii="Times New Roman" w:hAnsi="Times New Roman" w:cs="Times New Roman"/>
          <w:color w:val="000000"/>
        </w:rPr>
        <w:t>crescente demanda por mais recurso</w:t>
      </w:r>
      <w:r>
        <w:rPr>
          <w:rFonts w:ascii="Times New Roman" w:hAnsi="Times New Roman" w:cs="Times New Roman"/>
          <w:color w:val="000000"/>
        </w:rPr>
        <w:t>s</w:t>
      </w:r>
      <w:r w:rsidR="000A6019">
        <w:rPr>
          <w:rFonts w:ascii="Times New Roman" w:hAnsi="Times New Roman" w:cs="Times New Roman"/>
          <w:color w:val="000000"/>
        </w:rPr>
        <w:t xml:space="preserve">, a exemplo da </w:t>
      </w:r>
      <w:r>
        <w:rPr>
          <w:rFonts w:ascii="Times New Roman" w:hAnsi="Times New Roman" w:cs="Times New Roman"/>
          <w:color w:val="000000"/>
        </w:rPr>
        <w:t xml:space="preserve">NF-e (Nota Fiscal Eletrônica), EFD (Escrituração Fiscal Digital), </w:t>
      </w:r>
      <w:r w:rsidR="000A6019">
        <w:rPr>
          <w:rFonts w:ascii="Times New Roman" w:hAnsi="Times New Roman" w:cs="Times New Roman"/>
          <w:color w:val="000000"/>
        </w:rPr>
        <w:t xml:space="preserve">NFC-e (Nota Fiscal </w:t>
      </w:r>
      <w:r>
        <w:rPr>
          <w:rFonts w:ascii="Times New Roman" w:hAnsi="Times New Roman" w:cs="Times New Roman"/>
          <w:color w:val="000000"/>
        </w:rPr>
        <w:t xml:space="preserve">Eletrônica para </w:t>
      </w:r>
      <w:r w:rsidR="000A6019">
        <w:rPr>
          <w:rFonts w:ascii="Times New Roman" w:hAnsi="Times New Roman" w:cs="Times New Roman"/>
          <w:color w:val="000000"/>
        </w:rPr>
        <w:t>Consumidor eletrônica),</w:t>
      </w:r>
      <w:r>
        <w:rPr>
          <w:rFonts w:ascii="Times New Roman" w:hAnsi="Times New Roman" w:cs="Times New Roman"/>
          <w:color w:val="000000"/>
        </w:rPr>
        <w:t xml:space="preserve"> MDF-e (Manifesto Eletrônico de Documentos Fiscais), CT-e (Conhecimento de Transporte Eletrônico), </w:t>
      </w:r>
      <w:r w:rsidR="000A6019">
        <w:rPr>
          <w:rFonts w:ascii="Times New Roman" w:hAnsi="Times New Roman" w:cs="Times New Roman"/>
          <w:color w:val="000000"/>
        </w:rPr>
        <w:t>PTA-e (Processo Tributário Administrativo eletrônico), Processo Digital de Compras e por novos sistemas tem obrigado a renovação continua da infraestrutura para que possamos atender com qualidade aos usuários de nosso parque tecnológico.</w:t>
      </w:r>
    </w:p>
    <w:p w:rsidR="000A6019" w:rsidRDefault="000A6019">
      <w:pPr>
        <w:pStyle w:val="PargrafodaLista1"/>
        <w:spacing w:before="120" w:after="120"/>
        <w:jc w:val="both"/>
        <w:rPr>
          <w:rFonts w:ascii="Times New Roman" w:hAnsi="Times New Roman" w:cs="Times New Roman"/>
          <w:color w:val="000000"/>
        </w:rPr>
      </w:pPr>
    </w:p>
    <w:p w:rsidR="000A6019" w:rsidRDefault="000A6019">
      <w:pPr>
        <w:pStyle w:val="PargrafodaLista1"/>
        <w:numPr>
          <w:ilvl w:val="1"/>
          <w:numId w:val="3"/>
        </w:numPr>
        <w:spacing w:before="120" w:after="120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SITUAÇÃO ATUAL</w:t>
      </w:r>
    </w:p>
    <w:p w:rsidR="008B3F07" w:rsidRDefault="008B3F07" w:rsidP="008B3F07">
      <w:pPr>
        <w:pStyle w:val="PargrafodaLista1"/>
        <w:spacing w:before="120" w:after="1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situação atual do parque tecnológico existente no datacenter da SEFAZ - AM é de pleno funcionamento. No entanto, com limitada capacidade de expansão e problemas de desempenho no processamento das informações</w:t>
      </w:r>
      <w:r w:rsidR="00585D04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 xml:space="preserve">Os </w:t>
      </w:r>
      <w:r w:rsidR="00585D04">
        <w:rPr>
          <w:rFonts w:ascii="Times New Roman" w:hAnsi="Times New Roman" w:cs="Times New Roman"/>
          <w:color w:val="000000"/>
        </w:rPr>
        <w:t xml:space="preserve">servidores de dados e os </w:t>
      </w:r>
      <w:r>
        <w:rPr>
          <w:rFonts w:ascii="Times New Roman" w:hAnsi="Times New Roman" w:cs="Times New Roman"/>
          <w:color w:val="000000"/>
        </w:rPr>
        <w:t>computadores desktop utilizados por nossos colaboradores nos processos internos estão obsoletos e com tempo de vida útil esgotado. O sistema de rede sem fio cobre menos de 50% da área que deveria abranger, além de ser incompatível com algumas novas plataformas de tabletes e smartphones. Na área de dispositivos móveis e monitoramento remoto, a falta de investimentos gerou uma deficiência muita grande. E por tratar-se de tecnologia moderna que proporciona maior mobilidade é que, queremos utilizá-la na criação de novas possibilidades e num salto tecnológico a ser oferecido aos nossos usuários.</w:t>
      </w:r>
    </w:p>
    <w:p w:rsidR="000A6019" w:rsidRDefault="000A6019">
      <w:pPr>
        <w:pStyle w:val="PargrafodaLista1"/>
        <w:spacing w:before="120" w:after="1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Em contraponto a esta realidade de infraestrutura, temos um nov</w:t>
      </w:r>
      <w:r w:rsidR="00585D04">
        <w:rPr>
          <w:rFonts w:ascii="Times New Roman" w:hAnsi="Times New Roman" w:cs="Times New Roman"/>
          <w:color w:val="000000"/>
        </w:rPr>
        <w:t>o desafio que é a implantação do projeto NFC-e, MDF-e, CT-e e a consolidação da EFD</w:t>
      </w:r>
      <w:r w:rsidR="006E79FB">
        <w:rPr>
          <w:rFonts w:ascii="Times New Roman" w:hAnsi="Times New Roman" w:cs="Times New Roman"/>
          <w:color w:val="000000"/>
        </w:rPr>
        <w:t xml:space="preserve">. </w:t>
      </w:r>
      <w:r w:rsidR="00EC5F42">
        <w:rPr>
          <w:rFonts w:ascii="Times New Roman" w:hAnsi="Times New Roman" w:cs="Times New Roman"/>
          <w:color w:val="000000"/>
        </w:rPr>
        <w:t>Tais projetos têm</w:t>
      </w:r>
      <w:r w:rsidR="006E79FB">
        <w:rPr>
          <w:rFonts w:ascii="Times New Roman" w:hAnsi="Times New Roman" w:cs="Times New Roman"/>
          <w:color w:val="000000"/>
        </w:rPr>
        <w:t xml:space="preserve"> a nec</w:t>
      </w:r>
      <w:r w:rsidR="00EC5F42">
        <w:rPr>
          <w:rFonts w:ascii="Times New Roman" w:hAnsi="Times New Roman" w:cs="Times New Roman"/>
          <w:color w:val="000000"/>
        </w:rPr>
        <w:t>e</w:t>
      </w:r>
      <w:r w:rsidR="006E79FB">
        <w:rPr>
          <w:rFonts w:ascii="Times New Roman" w:hAnsi="Times New Roman" w:cs="Times New Roman"/>
          <w:color w:val="000000"/>
        </w:rPr>
        <w:t>ssidade d</w:t>
      </w:r>
      <w:r w:rsidR="00585D04">
        <w:rPr>
          <w:rFonts w:ascii="Times New Roman" w:hAnsi="Times New Roman" w:cs="Times New Roman"/>
          <w:color w:val="000000"/>
        </w:rPr>
        <w:t>e alta performance e disponibilidade</w:t>
      </w:r>
      <w:r w:rsidR="006E79FB">
        <w:rPr>
          <w:rFonts w:ascii="Times New Roman" w:hAnsi="Times New Roman" w:cs="Times New Roman"/>
          <w:color w:val="000000"/>
        </w:rPr>
        <w:t>,</w:t>
      </w:r>
      <w:r w:rsidR="00EC5F4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necessitando para atender às suas premissas que implantemos um ambiente de </w:t>
      </w:r>
      <w:r w:rsidR="002F6B0D">
        <w:rPr>
          <w:rFonts w:ascii="Times New Roman" w:hAnsi="Times New Roman" w:cs="Times New Roman"/>
          <w:color w:val="000000"/>
        </w:rPr>
        <w:t>contingência</w:t>
      </w:r>
      <w:r>
        <w:rPr>
          <w:rFonts w:ascii="Times New Roman" w:hAnsi="Times New Roman" w:cs="Times New Roman"/>
          <w:color w:val="000000"/>
        </w:rPr>
        <w:t xml:space="preserve"> </w:t>
      </w:r>
      <w:r w:rsidR="002F6B0D">
        <w:rPr>
          <w:rFonts w:ascii="Times New Roman" w:hAnsi="Times New Roman" w:cs="Times New Roman"/>
          <w:color w:val="000000"/>
        </w:rPr>
        <w:t>através</w:t>
      </w:r>
      <w:r>
        <w:rPr>
          <w:rFonts w:ascii="Times New Roman" w:hAnsi="Times New Roman" w:cs="Times New Roman"/>
          <w:color w:val="000000"/>
        </w:rPr>
        <w:t xml:space="preserve"> da implantação de um site backup.</w:t>
      </w:r>
    </w:p>
    <w:p w:rsidR="000A6019" w:rsidRDefault="000A6019">
      <w:pPr>
        <w:pStyle w:val="PargrafodaLista1"/>
        <w:spacing w:before="120" w:after="12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A6019" w:rsidRDefault="000A6019" w:rsidP="00C43EB0">
      <w:pPr>
        <w:pStyle w:val="PargrafodaLista1"/>
        <w:spacing w:before="120" w:after="120"/>
        <w:jc w:val="both"/>
        <w:outlineLvl w:val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DESCRIÇÃO DO PROBLEMA</w:t>
      </w:r>
    </w:p>
    <w:p w:rsidR="006F423B" w:rsidRDefault="000A6019" w:rsidP="002F6B0D">
      <w:pPr>
        <w:pStyle w:val="PargrafodaLista1"/>
        <w:spacing w:before="120" w:after="120"/>
        <w:jc w:val="both"/>
        <w:rPr>
          <w:rFonts w:ascii="Times New Roman" w:hAnsi="Times New Roman" w:cs="Times New Roman"/>
          <w:color w:val="000000"/>
        </w:rPr>
      </w:pPr>
      <w:r w:rsidRPr="002F6B0D">
        <w:rPr>
          <w:rFonts w:ascii="Times New Roman" w:hAnsi="Times New Roman" w:cs="Times New Roman"/>
          <w:color w:val="000000"/>
        </w:rPr>
        <w:t xml:space="preserve">Problema 01: Numa </w:t>
      </w:r>
      <w:r w:rsidR="002F6B0D" w:rsidRPr="002F6B0D">
        <w:rPr>
          <w:rFonts w:ascii="Times New Roman" w:hAnsi="Times New Roman" w:cs="Times New Roman"/>
          <w:color w:val="000000"/>
        </w:rPr>
        <w:t>perspectiva</w:t>
      </w:r>
      <w:r w:rsidRPr="002F6B0D">
        <w:rPr>
          <w:rFonts w:ascii="Times New Roman" w:hAnsi="Times New Roman" w:cs="Times New Roman"/>
          <w:color w:val="000000"/>
        </w:rPr>
        <w:t xml:space="preserve"> de implantação da NFC-e e antevendo uma tendência de estrangulamento da capacidade de processamento e armazenamento de informações, visto que atualmente já temos como realidade um elevado t</w:t>
      </w:r>
      <w:r>
        <w:rPr>
          <w:rFonts w:ascii="Times New Roman" w:hAnsi="Times New Roman" w:cs="Times New Roman"/>
          <w:color w:val="000000"/>
        </w:rPr>
        <w:t>empo de resposta para c</w:t>
      </w:r>
      <w:r w:rsidR="006F423B">
        <w:rPr>
          <w:rFonts w:ascii="Times New Roman" w:hAnsi="Times New Roman" w:cs="Times New Roman"/>
          <w:color w:val="000000"/>
        </w:rPr>
        <w:t xml:space="preserve">onsultas da base da NF-e, </w:t>
      </w:r>
      <w:r>
        <w:rPr>
          <w:rFonts w:ascii="Times New Roman" w:hAnsi="Times New Roman" w:cs="Times New Roman"/>
          <w:color w:val="000000"/>
        </w:rPr>
        <w:t xml:space="preserve"> não </w:t>
      </w:r>
      <w:r w:rsidR="006F423B">
        <w:rPr>
          <w:rFonts w:ascii="Times New Roman" w:hAnsi="Times New Roman" w:cs="Times New Roman"/>
          <w:color w:val="000000"/>
        </w:rPr>
        <w:t>teremos recursos computacionais suficientes para</w:t>
      </w:r>
      <w:r>
        <w:rPr>
          <w:rFonts w:ascii="Times New Roman" w:hAnsi="Times New Roman" w:cs="Times New Roman"/>
          <w:color w:val="000000"/>
        </w:rPr>
        <w:t xml:space="preserve"> atender a carga </w:t>
      </w:r>
      <w:r w:rsidR="006F423B">
        <w:rPr>
          <w:rFonts w:ascii="Times New Roman" w:hAnsi="Times New Roman" w:cs="Times New Roman"/>
          <w:color w:val="000000"/>
        </w:rPr>
        <w:t xml:space="preserve">e o tempo </w:t>
      </w:r>
      <w:r>
        <w:rPr>
          <w:rFonts w:ascii="Times New Roman" w:hAnsi="Times New Roman" w:cs="Times New Roman"/>
          <w:color w:val="000000"/>
        </w:rPr>
        <w:t>de processamento</w:t>
      </w:r>
      <w:r w:rsidR="006F423B">
        <w:rPr>
          <w:rFonts w:ascii="Times New Roman" w:hAnsi="Times New Roman" w:cs="Times New Roman"/>
          <w:color w:val="000000"/>
        </w:rPr>
        <w:t xml:space="preserve"> das informações.</w:t>
      </w:r>
    </w:p>
    <w:p w:rsidR="000A6019" w:rsidRDefault="000A6019">
      <w:pPr>
        <w:spacing w:before="120" w:after="120"/>
        <w:jc w:val="both"/>
      </w:pPr>
      <w:r>
        <w:t>Causas:</w:t>
      </w:r>
    </w:p>
    <w:p w:rsidR="000A6019" w:rsidRPr="002F6B0D" w:rsidRDefault="000A6019">
      <w:pPr>
        <w:numPr>
          <w:ilvl w:val="0"/>
          <w:numId w:val="4"/>
        </w:numPr>
        <w:spacing w:before="120" w:after="120"/>
        <w:jc w:val="both"/>
      </w:pPr>
      <w:r w:rsidRPr="002F6B0D">
        <w:t>Grande volume</w:t>
      </w:r>
      <w:r w:rsidR="002F6B0D" w:rsidRPr="002F6B0D">
        <w:t xml:space="preserve"> de dados, capacidade </w:t>
      </w:r>
      <w:r w:rsidRPr="002F6B0D">
        <w:t>limitada de processamento e equipamentos de datacenter obsoletos;</w:t>
      </w:r>
    </w:p>
    <w:p w:rsidR="000A6019" w:rsidRPr="002F6B0D" w:rsidRDefault="000A6019">
      <w:pPr>
        <w:numPr>
          <w:ilvl w:val="0"/>
          <w:numId w:val="4"/>
        </w:numPr>
        <w:spacing w:before="120" w:after="120"/>
        <w:jc w:val="both"/>
      </w:pPr>
      <w:r w:rsidRPr="002F6B0D">
        <w:t>Massificação da utilização do serviço NFC-e;</w:t>
      </w:r>
    </w:p>
    <w:p w:rsidR="000A6019" w:rsidRDefault="000A6019">
      <w:pPr>
        <w:numPr>
          <w:ilvl w:val="0"/>
          <w:numId w:val="4"/>
        </w:numPr>
        <w:spacing w:before="120" w:after="120"/>
        <w:jc w:val="both"/>
      </w:pPr>
      <w:r w:rsidRPr="002F6B0D">
        <w:t>Não existência de ambiente de contingência para cobrir paradas do datacenter principal</w:t>
      </w:r>
      <w:r>
        <w:t>;</w:t>
      </w:r>
    </w:p>
    <w:p w:rsidR="000A6019" w:rsidRDefault="000A6019">
      <w:pPr>
        <w:numPr>
          <w:ilvl w:val="0"/>
          <w:numId w:val="4"/>
        </w:numPr>
        <w:spacing w:before="120" w:after="120"/>
        <w:jc w:val="both"/>
      </w:pPr>
      <w:r w:rsidRPr="002F6B0D">
        <w:t>Baixa</w:t>
      </w:r>
      <w:r>
        <w:t xml:space="preserve"> </w:t>
      </w:r>
      <w:r w:rsidRPr="002F6B0D">
        <w:t xml:space="preserve">capacidade de processamento </w:t>
      </w:r>
      <w:r w:rsidR="00461855" w:rsidRPr="002F6B0D">
        <w:t>dos micros</w:t>
      </w:r>
      <w:r w:rsidRPr="002F6B0D">
        <w:t xml:space="preserve"> computadores atuais</w:t>
      </w:r>
      <w:r>
        <w:t>;</w:t>
      </w:r>
    </w:p>
    <w:p w:rsidR="000A6019" w:rsidRDefault="000A6019">
      <w:pPr>
        <w:numPr>
          <w:ilvl w:val="0"/>
          <w:numId w:val="4"/>
        </w:numPr>
        <w:spacing w:before="120" w:after="120"/>
        <w:jc w:val="both"/>
      </w:pPr>
      <w:r>
        <w:t xml:space="preserve">Drivers de </w:t>
      </w:r>
      <w:r w:rsidRPr="002F6B0D">
        <w:t xml:space="preserve">backup não suportam </w:t>
      </w:r>
      <w:r>
        <w:t xml:space="preserve">demanda </w:t>
      </w:r>
      <w:r w:rsidRPr="002F6B0D">
        <w:t>atual</w:t>
      </w:r>
      <w:r>
        <w:t xml:space="preserve">, torna tempo de </w:t>
      </w:r>
      <w:r w:rsidRPr="002F6B0D">
        <w:t>execução</w:t>
      </w:r>
      <w:r>
        <w:t xml:space="preserve"> de </w:t>
      </w:r>
      <w:r w:rsidRPr="002F6B0D">
        <w:t>backup</w:t>
      </w:r>
      <w:r>
        <w:t xml:space="preserve"> </w:t>
      </w:r>
      <w:r w:rsidR="00461855">
        <w:t>dos bancos</w:t>
      </w:r>
      <w:r>
        <w:t xml:space="preserve"> e dados </w:t>
      </w:r>
      <w:r w:rsidRPr="002F6B0D">
        <w:t>muito</w:t>
      </w:r>
      <w:r>
        <w:t xml:space="preserve"> grande;</w:t>
      </w:r>
    </w:p>
    <w:p w:rsidR="000A6019" w:rsidRDefault="000A6019">
      <w:pPr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Baixa capacidade de expansão dos serviços (</w:t>
      </w:r>
      <w:r w:rsidR="002F6B0D" w:rsidRPr="002F6B0D">
        <w:rPr>
          <w:rFonts w:ascii="Times New Roman" w:hAnsi="Times New Roman" w:cs="Times New Roman"/>
          <w:color w:val="000000"/>
        </w:rPr>
        <w:t>expansão</w:t>
      </w:r>
      <w:r>
        <w:rPr>
          <w:rFonts w:ascii="Times New Roman" w:hAnsi="Times New Roman" w:cs="Times New Roman"/>
          <w:color w:val="000000"/>
        </w:rPr>
        <w:t xml:space="preserve"> de equipamentos).</w:t>
      </w:r>
    </w:p>
    <w:p w:rsidR="000A6019" w:rsidRDefault="000A6019">
      <w:pPr>
        <w:spacing w:before="120" w:after="120"/>
        <w:jc w:val="both"/>
      </w:pPr>
    </w:p>
    <w:p w:rsidR="000A6019" w:rsidRDefault="000A6019">
      <w:pPr>
        <w:pStyle w:val="PargrafodaLista1"/>
        <w:numPr>
          <w:ilvl w:val="1"/>
          <w:numId w:val="3"/>
        </w:numPr>
        <w:spacing w:before="120" w:after="120"/>
        <w:ind w:left="720" w:hanging="7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DESCRIÇÃO DOS AVANÇOS</w:t>
      </w:r>
    </w:p>
    <w:p w:rsidR="000A6019" w:rsidRDefault="000A6019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Sefaz tem ao longo dos anos investido para aumentar sua capacidade de processamento dos dados e tentando atender a uma demanda sempre crescente. Abaixo segue um detalhamento dos investimentos ao longo dos anos:</w:t>
      </w:r>
    </w:p>
    <w:p w:rsidR="000A6019" w:rsidRDefault="000A6019">
      <w:pPr>
        <w:numPr>
          <w:ilvl w:val="0"/>
          <w:numId w:val="6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No período entre 2002 e 2006 tivemos um avançado plano que visava modernizar todo o parque computacional da Sefaz, denominado “SEFAZ MELHOR”, e que teve uma ampla abrangência e propiciou uma renovação total da estrutura do datacenter: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de SunFire, servidor de dados que trouxe grande capacidade de processamento que deu suporte a implantação dos inúmeros sistemas que estavam no escopo do projeto;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de firewall Checkpoint, principal equipamento de rede responsável pela segurança dos dados estavam disponibilizados pela Internet;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Reforma do datacenter e aquisição de nobreaks, efetuada com objetivo de estruturar uma antiga estrutura obsoleta para receber os novos equipamentos que estavam chegando;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de licenças de banco de dados, com o objetivo de administrar os dados da Sefaz com maior segurança e robustez, estruturando para um crescimento contínuo que se se projetava aquele momento;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de 250 Pcs;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Desenvolvimento de inúmeros sistemas coorporativos, tais como AFI, ABP, COF;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Aquisição de </w:t>
      </w:r>
      <w:r w:rsidR="002F6B0D">
        <w:rPr>
          <w:rFonts w:ascii="Times New Roman" w:eastAsia="Times New Roman" w:hAnsi="Times New Roman" w:cs="Times New Roman"/>
          <w:color w:val="000000"/>
        </w:rPr>
        <w:t>Switches (</w:t>
      </w:r>
      <w:r>
        <w:rPr>
          <w:rFonts w:ascii="Times New Roman" w:eastAsia="Times New Roman" w:hAnsi="Times New Roman" w:cs="Times New Roman"/>
          <w:color w:val="000000"/>
        </w:rPr>
        <w:t>2002), para modernizar a estrutura de rede também obsoleta;</w:t>
      </w:r>
    </w:p>
    <w:p w:rsidR="000A6019" w:rsidRDefault="000A6019">
      <w:pPr>
        <w:spacing w:before="120" w:after="120"/>
        <w:ind w:left="1080"/>
        <w:jc w:val="both"/>
        <w:rPr>
          <w:rFonts w:ascii="Times New Roman" w:eastAsia="Times New Roman" w:hAnsi="Times New Roman" w:cs="Times New Roman"/>
          <w:color w:val="000000"/>
        </w:rPr>
      </w:pPr>
    </w:p>
    <w:p w:rsidR="000A6019" w:rsidRDefault="000A6019">
      <w:pPr>
        <w:numPr>
          <w:ilvl w:val="0"/>
          <w:numId w:val="6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No período entre 2007 e 2013, tivemos um segundo plano de investimento principalmente com o objetivo de estruturar a Sefaz para recepcionar o Projeto NFE (Nota Fiscal Eletrônica) e inúmeros outros projetos nacionais, tais como EFD (Escrituração Fiscal Digital), CLE (Capa de Lote Eletrônica) e outros,  que demandariam novos recursos que precisariam ser adquiridos. Quanto a NFE, este sistema trazia grande expectativa face sua amplitude nacional e exigência de um ambiente de alta disponibilidade, e trazer um novo modelo de trabalho onde teríamos de trabalhar em um ambiente 24X7. Para atender a este novo desafio foi criado inclusive um novo datacenter e que obviamente trouxe investimentos em nobreak, geradores, switches de rede, além de todos estes outros investimentos descritos abaixo: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de modernos servidores de dados, para melhorar a capacidade de processamento em nossos servidores;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Aquisição e posterior ampliação de Storage para atender a demanda sempre crescente por capacidade de armazenamento de inúmeros projetos de abrangência nacional e ao crescimento contínuo do volume de dados armazenados, bem como </w:t>
      </w:r>
      <w:r w:rsidR="002F6B0D">
        <w:rPr>
          <w:rFonts w:ascii="Times New Roman" w:eastAsia="Times New Roman" w:hAnsi="Times New Roman" w:cs="Times New Roman"/>
          <w:color w:val="000000"/>
        </w:rPr>
        <w:t>sistema</w:t>
      </w:r>
      <w:r>
        <w:rPr>
          <w:rFonts w:ascii="Times New Roman" w:eastAsia="Times New Roman" w:hAnsi="Times New Roman" w:cs="Times New Roman"/>
          <w:color w:val="000000"/>
        </w:rPr>
        <w:t xml:space="preserve"> de backup;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de novo firewall (2007) e detectores de intrusão de rede, para modernizar a estrutura de segurança de rede para um novo cenário mundial, onde novas técnicas de invasões e ataques de rede se desenhavam;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de licenças de softwares ligados a banco de dados e BI, objetivando uma ampliação no número de servidores de banco de dados para atender aos novos sistemas e num segundo momento estruturar uma base de dados para tarefas de mineração de dados de inteligência de negócio;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1000 de Pcs, renovando 100 % do parque computacional;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Aquisição rede wireless, para atender demanda crescente de acesso a rede sem fio;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Recebimento de equipamentos de storage, servidores, leitores óticos, switches e micro computadores doados pela Receita Federal;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Implantação da replicação dos dados Sefaz/Prodam, com o objetivo de garantir que todos os dados armazenados em nosso storage sejam automaticamente copiados para </w:t>
      </w:r>
      <w:r w:rsidR="00461855">
        <w:rPr>
          <w:rFonts w:ascii="Times New Roman" w:eastAsia="Times New Roman" w:hAnsi="Times New Roman" w:cs="Times New Roman"/>
          <w:color w:val="000000"/>
        </w:rPr>
        <w:t>outro</w:t>
      </w:r>
      <w:r>
        <w:rPr>
          <w:rFonts w:ascii="Times New Roman" w:eastAsia="Times New Roman" w:hAnsi="Times New Roman" w:cs="Times New Roman"/>
          <w:color w:val="000000"/>
        </w:rPr>
        <w:t xml:space="preserve"> storage desta secretaria e que está instalado no datacenter da Prodam.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Desenvolvimento de sistemas para apoio aos processos de negócio da Secretaria: Gestão de Contratos, Controle de Adiantamentos, Gestão da Ação Fiscal, Gestão da Arrecadação, Gestão de Desembaraço de Documentos Nacionais e Importados, Protocolo, Ponto Eletrônico, Gestão Orçamentária, Gestão da Tributação, Gestão de Cadastro de Contribuintes, etc.</w:t>
      </w:r>
    </w:p>
    <w:p w:rsidR="000A6019" w:rsidRDefault="000A6019">
      <w:pPr>
        <w:numPr>
          <w:ilvl w:val="1"/>
          <w:numId w:val="2"/>
        </w:num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Substituição do gerador elétrico, com o objetivo de adequar a carga e instalar equipamento redundante de modo a diminuir número de falhas devido a problemas em sistema elétrico;</w:t>
      </w:r>
    </w:p>
    <w:p w:rsidR="000A6019" w:rsidRDefault="000A6019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</w:p>
    <w:p w:rsidR="000A6019" w:rsidRDefault="000A6019">
      <w:pPr>
        <w:pStyle w:val="PargrafodaLista1"/>
        <w:numPr>
          <w:ilvl w:val="1"/>
          <w:numId w:val="3"/>
        </w:numPr>
        <w:spacing w:before="120" w:after="120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DESCRIÇÃO DA SOLUÇÃO</w:t>
      </w:r>
    </w:p>
    <w:p w:rsidR="00C43EB0" w:rsidRDefault="000A6019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Como parte de uma renovação cíclica que podemos observar ao longo dos anos devido </w:t>
      </w:r>
      <w:r w:rsidR="00461855">
        <w:rPr>
          <w:rFonts w:ascii="Times New Roman" w:eastAsia="Times New Roman" w:hAnsi="Times New Roman" w:cs="Times New Roman"/>
          <w:color w:val="000000"/>
        </w:rPr>
        <w:t>à</w:t>
      </w:r>
      <w:r>
        <w:rPr>
          <w:rFonts w:ascii="Times New Roman" w:eastAsia="Times New Roman" w:hAnsi="Times New Roman" w:cs="Times New Roman"/>
          <w:color w:val="000000"/>
        </w:rPr>
        <w:t xml:space="preserve"> obsolescência dos equipamentos e natural ampliação da demanda de processamento. Temos ainda</w:t>
      </w:r>
      <w:r w:rsidR="0046185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 necessidade de estruturarmos um ambiente de alta disponibilidade por meio da implantação de uma estrutura de site backup, objetivando garantir maior segurança dos dados e maior disponibilidade dos serviços computacionais prestados por esta secretaria.</w:t>
      </w:r>
    </w:p>
    <w:p w:rsidR="00C43EB0" w:rsidRDefault="00C43EB0" w:rsidP="00C43EB0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 w:rsidP="00C43EB0">
      <w:pPr>
        <w:pStyle w:val="PargrafodaLista1"/>
        <w:numPr>
          <w:ilvl w:val="1"/>
          <w:numId w:val="3"/>
        </w:numPr>
        <w:spacing w:before="120" w:after="120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CÁLCULO DO BENEFICIO</w:t>
      </w:r>
    </w:p>
    <w:p w:rsidR="00C43EB0" w:rsidRDefault="00C43EB0" w:rsidP="00C43EB0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Definir benefício do ponto de vista de retorno financeiro que investimentos em TI podem proporcionar não é tarefa fácil, de outro modo podemos mensurar benefícios tangíveis quanto a melhora de desempenho e ampliação de capacidade de processamento e armazenamento de dados, em dados como:</w:t>
      </w:r>
    </w:p>
    <w:p w:rsidR="00C43EB0" w:rsidRDefault="00C43EB0" w:rsidP="00C43EB0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Ampliar capacidade de armazenamento de 40 TB de dados para 115 TB, ou melhorar uma das análises da base de dados da NFE conforme teste efetuado onde o tempo de processamento caiu de 2 horas e dezoito minutos para 30 segundos. Esta expansão da capacidade de processamento possibilitará a execução de uma maior quantidade de consultas para mineração de informações das bases de dados.</w:t>
      </w:r>
    </w:p>
    <w:p w:rsidR="00C43EB0" w:rsidRDefault="00C43EB0" w:rsidP="00C43EB0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Entretanto os ganhos intangíveis são mais fáceis de enumerar:</w:t>
      </w:r>
    </w:p>
    <w:p w:rsidR="00C43EB0" w:rsidRDefault="00C43EB0" w:rsidP="00C43EB0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Maior disponibilidade do datacenter implica em melhor produtividade para sistemas como e-Compras, NF-e, NFC-e, AFI, entre outros trazendo benefícios diretos para o estado e para os contribuintes;</w:t>
      </w:r>
    </w:p>
    <w:p w:rsidR="00C43EB0" w:rsidRDefault="00C43EB0" w:rsidP="00C43EB0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Melhor desempenho para processamento de análise dos sistemas de arrecadação, banco de preço, orçamento, etc.</w:t>
      </w:r>
    </w:p>
    <w:p w:rsidR="00C43EB0" w:rsidRDefault="00C43EB0" w:rsidP="00C43EB0">
      <w:pPr>
        <w:pStyle w:val="PargrafodaLista1"/>
        <w:ind w:firstLine="720"/>
        <w:jc w:val="both"/>
        <w:rPr>
          <w:rFonts w:ascii="Times New Roman" w:hAnsi="Times New Roman" w:cs="Times New Roman"/>
        </w:rPr>
      </w:pPr>
    </w:p>
    <w:p w:rsidR="00C43EB0" w:rsidRDefault="00C43EB0" w:rsidP="00C43EB0">
      <w:pPr>
        <w:pStyle w:val="PargrafodaLista1"/>
        <w:numPr>
          <w:ilvl w:val="1"/>
          <w:numId w:val="3"/>
        </w:numPr>
        <w:spacing w:before="120" w:after="120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CONCLUSÃO</w:t>
      </w:r>
    </w:p>
    <w:p w:rsidR="00C43EB0" w:rsidRDefault="00C43EB0" w:rsidP="00C43EB0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Com a atualização do parque tecnológico da Secretaria de Fazenda, serão obtidas maiores capacidades de armazenamento e processamento de informações que irão beneficiar as ações executadas pelas áreas da Receita para viabilizar o incremento da Arrecadação, do Tesouro  e da Administração.</w:t>
      </w: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 w:rsidP="00C43EB0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9574C" w:rsidRDefault="0009574C">
      <w:pPr>
        <w:suppressAutoHyphens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574C">
          <w:pgSz w:w="12240" w:h="15840"/>
          <w:pgMar w:top="1417" w:right="1440" w:bottom="1417" w:left="1440" w:gutter="0"/>
          <w:docGrid w:linePitch="240" w:charSpace="36864"/>
        </w:sectPr>
      </w:pPr>
    </w:p>
    <w:p w:rsidR="00C43EB0" w:rsidRPr="00C43EB0" w:rsidRDefault="00C43EB0" w:rsidP="0009574C">
      <w:pPr>
        <w:pStyle w:val="PargrafodaLista1"/>
        <w:numPr>
          <w:ilvl w:val="1"/>
          <w:numId w:val="3"/>
        </w:numPr>
        <w:spacing w:before="120" w:after="120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COMPOSIÇÃO DOS CUSTOS</w:t>
      </w:r>
    </w:p>
    <w:tbl>
      <w:tblPr>
        <w:tblW w:w="15096" w:type="dxa"/>
        <w:tblInd w:w="88" w:type="dxa"/>
        <w:tblLook w:val="0000"/>
      </w:tblPr>
      <w:tblGrid>
        <w:gridCol w:w="2572"/>
        <w:gridCol w:w="2693"/>
        <w:gridCol w:w="2835"/>
        <w:gridCol w:w="641"/>
        <w:gridCol w:w="3753"/>
        <w:gridCol w:w="993"/>
        <w:gridCol w:w="1609"/>
      </w:tblGrid>
      <w:tr w:rsidR="0009574C" w:rsidRPr="00C43EB0">
        <w:trPr>
          <w:trHeight w:val="2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18"/>
                <w:szCs w:val="20"/>
                <w:lang w:eastAsia="en-US"/>
              </w:rPr>
            </w:pPr>
            <w:r w:rsidRPr="008909E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18"/>
                <w:szCs w:val="20"/>
                <w:lang w:eastAsia="en-US"/>
              </w:rPr>
              <w:t>AQUISIÇÃO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18"/>
                <w:szCs w:val="20"/>
                <w:lang w:eastAsia="en-US"/>
              </w:rPr>
            </w:pPr>
            <w:r w:rsidRPr="008909E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18"/>
                <w:szCs w:val="20"/>
                <w:lang w:eastAsia="en-US"/>
              </w:rPr>
              <w:t>JUSTIFICATIVA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18"/>
                <w:szCs w:val="20"/>
                <w:lang w:eastAsia="en-US"/>
              </w:rPr>
            </w:pPr>
            <w:r w:rsidRPr="008909E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18"/>
                <w:szCs w:val="20"/>
                <w:lang w:eastAsia="en-US"/>
              </w:rPr>
              <w:t>ÁREA BENEFICIADA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en-US"/>
              </w:rPr>
              <w:t>ITEM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en-US"/>
              </w:rPr>
              <w:t>DESCRIÇÃO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en-US"/>
              </w:rPr>
              <w:t>QUANT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lang w:eastAsia="en-US"/>
              </w:rPr>
              <w:t>VALOR</w:t>
            </w:r>
          </w:p>
        </w:tc>
      </w:tr>
      <w:tr w:rsidR="0009574C" w:rsidRPr="00C43EB0">
        <w:trPr>
          <w:trHeight w:val="200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  <w:t>SERVIDORES ATUALIZAÇÃO DO SPED (SOLUÇÃO INTEGRADA PARA ARMAZENAMENTO E PROCESSAMENTO DE DADOS)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lang w:eastAsia="en-US"/>
              </w:rPr>
              <w:t>AMPLIAR NÚMERO DE SERVIDORES DE BANCO DE DADOS E AMPLIAR A PERFORMANCE DOS MESMOS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lang w:eastAsia="en-US"/>
              </w:rPr>
              <w:t>SISTEMAS DA ÁREA DA RECEITA: NFC-E, NF-E, ARRECADAÇÃO, FISCALIZAÇÃO, CADASTRO DE CONTRIBUINTES, PTA-E E DEMAIS SISTEMAS.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SOLUÇÃO INTEGRADA PARA ARMAZENAMENTO E PROCESSAMENTO DE BANCO DE DADOS, TODOS COM GARANTIA DE 01 ANO DE SUPORTE DO FORNECEDOR E INCLUINDO: 01 RACK PARA MONTAGEM DOS EQUIPAMENTOS, 07 SERVIDORES DE ARMAZENAMENTO, 04 SERVIDORES DE BANCO DE DADOS, 02 SWITCHES INFINITBAND PARA INTERCONEÃO DOS SERVIDORES.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$4.200.000,00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  <w:t>CONJ. SERVIDORES DE APLICAÇÃO (SPED)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  <w:t>MODERNIZAR PARQUE COMPUTACIONAL DOS SERVIDORES E IMPLANTAR SITE BACKUP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  <w:t>SISTEMAS DA ÁREA DA RECEITA: NFC-E, NF-E, ARRECADAÇÃO, FISCALIZAÇÃO, CADASTRO DE CONTRIBUINTES, PTA-E E DEMAIS SISTEMAS.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MAINFRAME 15 IFL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$4.500.000,00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CHASSIS PARA SERVIDORES BLADE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$420.000,00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4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SERVIDORES BLADE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$840.000,00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SVC STRETCHED CLUSTER(50TB)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$600.000,00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6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LICENÇAS VMWARE ENTERPRISE PLUS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$228.000,00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7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UPGRADE TS3500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$431.000,00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8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CARTUCHOS JAGUAR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120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$144.000,00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9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V7000 QUORUM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$65.000,00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RACK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$40.000,00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DIRECTOR SWITCH SAN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$632.000,00</w:t>
            </w:r>
          </w:p>
        </w:tc>
      </w:tr>
      <w:tr w:rsidR="0009574C" w:rsidRPr="00C43EB0">
        <w:trPr>
          <w:trHeight w:val="159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$7.900.000,00</w:t>
            </w:r>
          </w:p>
        </w:tc>
      </w:tr>
      <w:tr w:rsidR="0009574C" w:rsidRPr="00C43EB0">
        <w:trPr>
          <w:trHeight w:val="965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  <w:t>CONJ. SOFTWARES PARA BANCO DE DADOS (SPED)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lang w:eastAsia="en-US"/>
              </w:rPr>
              <w:t>AMPLIAR NÚMERO DE SERVIDORES DE BANCO DE DADOS E AMPLIAR SEGURANÇA E PERFORMANCE DOS MESMOS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lang w:eastAsia="en-US"/>
              </w:rPr>
              <w:t>SISTEMAS DA ÁREA DA RECEITA: NFC-E, NF-E, ARRECADAÇÃO, FISCALIZAÇÃO, CADASTRO DE CONTRIBUINTES, PTA-E E DEMAIS SISTEMAS.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szCs w:val="20"/>
                <w:lang w:eastAsia="en-US"/>
              </w:rPr>
            </w:pPr>
            <w:r w:rsidRPr="0009574C">
              <w:rPr>
                <w:rFonts w:ascii="Arial" w:eastAsia="Times New Roman" w:hAnsi="Arial" w:cs="Times New Roman"/>
                <w:color w:val="000000"/>
                <w:kern w:val="0"/>
                <w:sz w:val="18"/>
                <w:szCs w:val="20"/>
                <w:lang w:eastAsia="en-US"/>
              </w:rPr>
              <w:t>CONJ. SOFTWARE PARA BANCO DE DADOS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$7.900.000,00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  <w:t>COM. SWITCHES E SEGURANÇA PARA DATACENTER (SPED)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  <w:t>MODERNIZAR SWITCHES DE MODO A ADEQUAR AMBIENTE DE REDE PARA TRABALHAR COM SISTEMA DE SITE BACKUP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  <w:t>SISTEMAS DA ÁREA DA RECEITA: NFC-E, NF-E, ARRECADAÇÃO, FISCALIZAÇÃO, CADASTRO DE CONTRIBUINTES, PTA-E E DEMAIS SISTEMAS.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SWITCHES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$1.110.000,00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FIREWALL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$260.000,00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SOFTWARE DE BACKUP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$600.000,00</w:t>
            </w:r>
          </w:p>
        </w:tc>
      </w:tr>
      <w:tr w:rsidR="0009574C" w:rsidRPr="00C43EB0">
        <w:trPr>
          <w:trHeight w:val="225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ascii="Arial" w:eastAsia="Times New Roman" w:hAnsi="Arial" w:cs="Times New Roman"/>
                <w:color w:val="000000"/>
                <w:kern w:val="0"/>
                <w:sz w:val="18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$1.970.000,00</w:t>
            </w:r>
          </w:p>
        </w:tc>
      </w:tr>
      <w:tr w:rsidR="0009574C" w:rsidRPr="00C43EB0">
        <w:trPr>
          <w:trHeight w:val="280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noWrap/>
            <w:vAlign w:val="bottom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TOTAL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noWrap/>
            <w:vAlign w:val="bottom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noWrap/>
            <w:vAlign w:val="bottom"/>
          </w:tcPr>
          <w:p w:rsidR="00C43EB0" w:rsidRPr="008909EB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8909EB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 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noWrap/>
            <w:vAlign w:val="bottom"/>
          </w:tcPr>
          <w:p w:rsidR="00C43EB0" w:rsidRPr="0009574C" w:rsidRDefault="00C43EB0" w:rsidP="00C43EB0">
            <w:pPr>
              <w:suppressAutoHyphens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</w:pPr>
            <w:r w:rsidRPr="0009574C">
              <w:rPr>
                <w:rFonts w:eastAsia="Times New Roman" w:cs="Times New Roman"/>
                <w:color w:val="000000"/>
                <w:kern w:val="0"/>
                <w:sz w:val="18"/>
                <w:lang w:eastAsia="en-US"/>
              </w:rPr>
              <w:t>$21.970.000,00</w:t>
            </w:r>
          </w:p>
        </w:tc>
      </w:tr>
    </w:tbl>
    <w:p w:rsidR="000A6019" w:rsidRDefault="000A6019" w:rsidP="008909EB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</w:p>
    <w:p w:rsidR="0009574C" w:rsidRDefault="0009574C" w:rsidP="008909EB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  <w:sectPr w:rsidR="0009574C">
          <w:pgSz w:w="16838" w:h="11899" w:orient="landscape"/>
          <w:pgMar w:top="1134" w:right="1134" w:bottom="1134" w:left="1134" w:gutter="0"/>
          <w:docGrid w:linePitch="240" w:charSpace="36864"/>
          <w:printerSettings r:id="rId8"/>
        </w:sectPr>
      </w:pPr>
    </w:p>
    <w:p w:rsidR="00277507" w:rsidRDefault="00277507" w:rsidP="008909EB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C43EB0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43EB0" w:rsidRDefault="008909EB" w:rsidP="008909EB">
      <w:pPr>
        <w:tabs>
          <w:tab w:val="left" w:pos="1920"/>
        </w:tabs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277507" w:rsidRDefault="00277507">
      <w:pPr>
        <w:spacing w:before="120" w:after="12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A6019" w:rsidRDefault="000A6019">
      <w:pPr>
        <w:spacing w:before="120" w:after="120"/>
        <w:jc w:val="right"/>
        <w:rPr>
          <w:rFonts w:ascii="Times New Roman" w:eastAsia="Times New Roman" w:hAnsi="Times New Roman" w:cs="Times New Roman"/>
          <w:color w:val="000000"/>
        </w:rPr>
      </w:pPr>
    </w:p>
    <w:p w:rsidR="000A6019" w:rsidRDefault="000A6019">
      <w:pPr>
        <w:spacing w:before="120" w:after="120"/>
        <w:jc w:val="right"/>
        <w:rPr>
          <w:rFonts w:ascii="Times New Roman" w:hAnsi="Times New Roman" w:cs="Times New Roman"/>
          <w:sz w:val="20"/>
          <w:szCs w:val="20"/>
        </w:rPr>
      </w:pPr>
    </w:p>
    <w:p w:rsidR="000A6019" w:rsidRDefault="000A6019">
      <w:pPr>
        <w:spacing w:before="120" w:after="120"/>
        <w:jc w:val="right"/>
      </w:pPr>
    </w:p>
    <w:p w:rsidR="000A6019" w:rsidRDefault="000A6019"/>
    <w:sectPr w:rsidR="000A6019" w:rsidSect="006B4852">
      <w:pgSz w:w="12240" w:h="15840"/>
      <w:pgMar w:top="1417" w:right="1440" w:bottom="1417" w:left="1440" w:gutter="0"/>
      <w:docGrid w:linePitch="240" w:charSpace="36864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angal"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Times New Roman"/>
        <w:b/>
        <w:bCs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Times New Roman"/>
        <w:b/>
        <w:bCs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Times New Roman"/>
        <w:b/>
        <w:bCs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4"/>
    <w:lvl w:ilvl="0">
      <w:start w:val="2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bCs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bCs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bCs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bCs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bCs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bCs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000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37694"/>
    <w:rsid w:val="0009574C"/>
    <w:rsid w:val="000A6019"/>
    <w:rsid w:val="001A4FFE"/>
    <w:rsid w:val="00277507"/>
    <w:rsid w:val="002F6B0D"/>
    <w:rsid w:val="003046F5"/>
    <w:rsid w:val="00461855"/>
    <w:rsid w:val="004B67BD"/>
    <w:rsid w:val="0052670C"/>
    <w:rsid w:val="00585D04"/>
    <w:rsid w:val="00637694"/>
    <w:rsid w:val="006B4852"/>
    <w:rsid w:val="006E79FB"/>
    <w:rsid w:val="006F26BD"/>
    <w:rsid w:val="006F423B"/>
    <w:rsid w:val="00726928"/>
    <w:rsid w:val="00777F37"/>
    <w:rsid w:val="008909EB"/>
    <w:rsid w:val="008A11FD"/>
    <w:rsid w:val="008B3F07"/>
    <w:rsid w:val="00952C84"/>
    <w:rsid w:val="009D13BB"/>
    <w:rsid w:val="00AB6EDE"/>
    <w:rsid w:val="00BC3E7A"/>
    <w:rsid w:val="00C43EB0"/>
    <w:rsid w:val="00EC5F42"/>
  </w:rsids>
  <m:mathPr>
    <m:mathFont m:val="Mangal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852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rsid w:val="006B4852"/>
    <w:pPr>
      <w:keepNext/>
      <w:numPr>
        <w:numId w:val="1"/>
      </w:numPr>
      <w:pBdr>
        <w:bottom w:val="single" w:sz="12" w:space="12" w:color="000000"/>
      </w:pBdr>
      <w:spacing w:after="240" w:line="100" w:lineRule="atLeast"/>
      <w:outlineLvl w:val="0"/>
    </w:pPr>
    <w:rPr>
      <w:rFonts w:eastAsia="Times New Roman"/>
      <w:b/>
      <w:bCs/>
      <w:caps/>
      <w:sz w:val="32"/>
      <w:szCs w:val="32"/>
    </w:rPr>
  </w:style>
  <w:style w:type="paragraph" w:styleId="Heading2">
    <w:name w:val="heading 2"/>
    <w:basedOn w:val="Normal"/>
    <w:next w:val="BodyText"/>
    <w:qFormat/>
    <w:rsid w:val="006B4852"/>
    <w:pPr>
      <w:keepNext/>
      <w:numPr>
        <w:ilvl w:val="1"/>
        <w:numId w:val="1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BodyText"/>
    <w:qFormat/>
    <w:rsid w:val="006B4852"/>
    <w:pPr>
      <w:keepNext/>
      <w:numPr>
        <w:ilvl w:val="2"/>
        <w:numId w:val="1"/>
      </w:numPr>
      <w:spacing w:before="120" w:after="0"/>
      <w:outlineLvl w:val="2"/>
    </w:pPr>
    <w:rPr>
      <w:rFonts w:eastAsia="Times New Roman"/>
      <w:b/>
      <w:bCs/>
      <w:color w:val="000000"/>
    </w:rPr>
  </w:style>
  <w:style w:type="paragraph" w:styleId="Heading4">
    <w:name w:val="heading 4"/>
    <w:basedOn w:val="Normal"/>
    <w:next w:val="BodyText"/>
    <w:qFormat/>
    <w:rsid w:val="006B4852"/>
    <w:pPr>
      <w:keepNext/>
      <w:numPr>
        <w:ilvl w:val="3"/>
        <w:numId w:val="1"/>
      </w:numPr>
      <w:spacing w:before="120" w:after="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BodyText"/>
    <w:qFormat/>
    <w:rsid w:val="006B4852"/>
    <w:pPr>
      <w:keepNext/>
      <w:numPr>
        <w:ilvl w:val="4"/>
        <w:numId w:val="1"/>
      </w:numPr>
      <w:outlineLvl w:val="4"/>
    </w:pPr>
    <w:rPr>
      <w:rFonts w:eastAsia="Times New Roman"/>
    </w:rPr>
  </w:style>
  <w:style w:type="paragraph" w:styleId="Heading6">
    <w:name w:val="heading 6"/>
    <w:basedOn w:val="Normal"/>
    <w:next w:val="BodyText"/>
    <w:qFormat/>
    <w:rsid w:val="006B4852"/>
    <w:pPr>
      <w:numPr>
        <w:ilvl w:val="5"/>
        <w:numId w:val="1"/>
      </w:numPr>
      <w:spacing w:before="240" w:after="6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BodyText"/>
    <w:qFormat/>
    <w:rsid w:val="006B4852"/>
    <w:pPr>
      <w:numPr>
        <w:ilvl w:val="6"/>
        <w:numId w:val="1"/>
      </w:numPr>
      <w:spacing w:before="240" w:after="60"/>
      <w:outlineLvl w:val="6"/>
    </w:pPr>
    <w:rPr>
      <w:rFonts w:eastAsia="Times New Roman"/>
      <w:sz w:val="20"/>
      <w:szCs w:val="20"/>
    </w:rPr>
  </w:style>
  <w:style w:type="paragraph" w:styleId="Heading8">
    <w:name w:val="heading 8"/>
    <w:basedOn w:val="Normal"/>
    <w:next w:val="BodyText"/>
    <w:qFormat/>
    <w:rsid w:val="006B4852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0"/>
      <w:szCs w:val="20"/>
    </w:rPr>
  </w:style>
  <w:style w:type="paragraph" w:styleId="Heading9">
    <w:name w:val="heading 9"/>
    <w:basedOn w:val="Normal"/>
    <w:next w:val="BodyText"/>
    <w:qFormat/>
    <w:rsid w:val="006B4852"/>
    <w:pPr>
      <w:numPr>
        <w:ilvl w:val="8"/>
        <w:numId w:val="1"/>
      </w:numPr>
      <w:spacing w:before="240" w:after="60"/>
      <w:outlineLvl w:val="8"/>
    </w:pPr>
    <w:rPr>
      <w:rFonts w:eastAsia="Times New Roman"/>
      <w:i/>
      <w:iCs/>
      <w:sz w:val="18"/>
      <w:szCs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ListLabel1">
    <w:name w:val="ListLabel 1"/>
    <w:rsid w:val="006B4852"/>
    <w:rPr>
      <w:rFonts w:cs="Courier New"/>
      <w:b/>
      <w:bCs/>
      <w:color w:val="00000A"/>
    </w:rPr>
  </w:style>
  <w:style w:type="character" w:customStyle="1" w:styleId="ListLabel2">
    <w:name w:val="ListLabel 2"/>
    <w:rsid w:val="006B4852"/>
    <w:rPr>
      <w:rFonts w:cs="Times New Roman"/>
    </w:rPr>
  </w:style>
  <w:style w:type="character" w:customStyle="1" w:styleId="ListLabel3">
    <w:name w:val="ListLabel 3"/>
    <w:rsid w:val="006B4852"/>
    <w:rPr>
      <w:rFonts w:cs="Times New Roman"/>
      <w:b/>
      <w:bCs/>
    </w:rPr>
  </w:style>
  <w:style w:type="character" w:customStyle="1" w:styleId="ListLabel4">
    <w:name w:val="ListLabel 4"/>
    <w:rsid w:val="006B4852"/>
    <w:rPr>
      <w:rFonts w:eastAsia="Times New Roman" w:cs="Times New Roman"/>
      <w:b/>
      <w:bCs/>
      <w:i/>
      <w:iCs/>
      <w:color w:val="000000"/>
    </w:rPr>
  </w:style>
  <w:style w:type="character" w:customStyle="1" w:styleId="ListLabel5">
    <w:name w:val="ListLabel 5"/>
    <w:rsid w:val="006B4852"/>
    <w:rPr>
      <w:rFonts w:cs="Times New Roman"/>
      <w:b/>
      <w:bCs/>
      <w:color w:val="00000A"/>
    </w:rPr>
  </w:style>
  <w:style w:type="character" w:customStyle="1" w:styleId="Fontepargpadro1">
    <w:name w:val="Fonte parág. padrão1"/>
    <w:rsid w:val="006B4852"/>
  </w:style>
  <w:style w:type="character" w:customStyle="1" w:styleId="Heading1Char">
    <w:name w:val="Heading 1 Char"/>
    <w:basedOn w:val="Fontepargpadro1"/>
    <w:rsid w:val="006B4852"/>
  </w:style>
  <w:style w:type="character" w:customStyle="1" w:styleId="Heading2Char">
    <w:name w:val="Heading 2 Char"/>
    <w:basedOn w:val="Fontepargpadro1"/>
    <w:rsid w:val="006B4852"/>
  </w:style>
  <w:style w:type="character" w:customStyle="1" w:styleId="Heading3Char">
    <w:name w:val="Heading 3 Char"/>
    <w:basedOn w:val="Fontepargpadro1"/>
    <w:rsid w:val="006B4852"/>
  </w:style>
  <w:style w:type="character" w:customStyle="1" w:styleId="Heading4Char">
    <w:name w:val="Heading 4 Char"/>
    <w:basedOn w:val="Fontepargpadro1"/>
    <w:rsid w:val="006B4852"/>
  </w:style>
  <w:style w:type="character" w:customStyle="1" w:styleId="Heading5Char">
    <w:name w:val="Heading 5 Char"/>
    <w:basedOn w:val="Fontepargpadro1"/>
    <w:rsid w:val="006B4852"/>
  </w:style>
  <w:style w:type="character" w:customStyle="1" w:styleId="Heading6Char">
    <w:name w:val="Heading 6 Char"/>
    <w:basedOn w:val="Fontepargpadro1"/>
    <w:rsid w:val="006B4852"/>
  </w:style>
  <w:style w:type="character" w:customStyle="1" w:styleId="Heading7Char">
    <w:name w:val="Heading 7 Char"/>
    <w:basedOn w:val="Fontepargpadro1"/>
    <w:rsid w:val="006B4852"/>
  </w:style>
  <w:style w:type="character" w:customStyle="1" w:styleId="Heading8Char">
    <w:name w:val="Heading 8 Char"/>
    <w:basedOn w:val="Fontepargpadro1"/>
    <w:rsid w:val="006B4852"/>
  </w:style>
  <w:style w:type="character" w:customStyle="1" w:styleId="Heading9Char">
    <w:name w:val="Heading 9 Char"/>
    <w:basedOn w:val="Fontepargpadro1"/>
    <w:rsid w:val="006B4852"/>
  </w:style>
  <w:style w:type="character" w:styleId="Strong">
    <w:name w:val="Strong"/>
    <w:qFormat/>
    <w:rsid w:val="006B4852"/>
    <w:rPr>
      <w:rFonts w:cs="Times New Roman"/>
      <w:b/>
      <w:bCs/>
    </w:rPr>
  </w:style>
  <w:style w:type="character" w:customStyle="1" w:styleId="NoSpacingChar">
    <w:name w:val="No Spacing Char"/>
    <w:basedOn w:val="Fontepargpadro1"/>
    <w:rsid w:val="006B4852"/>
  </w:style>
  <w:style w:type="character" w:customStyle="1" w:styleId="TitleChar">
    <w:name w:val="Title Char"/>
    <w:basedOn w:val="Fontepargpadro1"/>
    <w:rsid w:val="006B4852"/>
  </w:style>
  <w:style w:type="character" w:customStyle="1" w:styleId="BalloonTextChar">
    <w:name w:val="Balloon Text Char"/>
    <w:basedOn w:val="Fontepargpadro1"/>
    <w:rsid w:val="006B4852"/>
  </w:style>
  <w:style w:type="character" w:styleId="Hyperlink">
    <w:name w:val="Hyperlink"/>
    <w:rsid w:val="006B4852"/>
    <w:rPr>
      <w:rFonts w:cs="Times New Roman"/>
      <w:color w:val="0000FF"/>
      <w:u w:val="single"/>
    </w:rPr>
  </w:style>
  <w:style w:type="character" w:customStyle="1" w:styleId="FooterChar">
    <w:name w:val="Footer Char"/>
    <w:basedOn w:val="Fontepargpadro1"/>
    <w:rsid w:val="006B4852"/>
  </w:style>
  <w:style w:type="paragraph" w:customStyle="1" w:styleId="Ttulo1">
    <w:name w:val="Título1"/>
    <w:basedOn w:val="Normal"/>
    <w:next w:val="BodyText"/>
    <w:rsid w:val="006B4852"/>
    <w:pPr>
      <w:keepNext/>
      <w:tabs>
        <w:tab w:val="num" w:pos="432"/>
        <w:tab w:val="left" w:pos="1440"/>
        <w:tab w:val="left" w:pos="3060"/>
      </w:tabs>
      <w:spacing w:before="240" w:after="0" w:line="100" w:lineRule="atLeast"/>
      <w:ind w:left="432" w:hanging="432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rsid w:val="006B4852"/>
    <w:pPr>
      <w:spacing w:after="120"/>
    </w:pPr>
  </w:style>
  <w:style w:type="paragraph" w:styleId="List">
    <w:name w:val="List"/>
    <w:basedOn w:val="BodyText"/>
    <w:rsid w:val="006B4852"/>
    <w:rPr>
      <w:rFonts w:cs="Mangal"/>
    </w:rPr>
  </w:style>
  <w:style w:type="paragraph" w:customStyle="1" w:styleId="Legenda1">
    <w:name w:val="Legenda1"/>
    <w:basedOn w:val="Normal"/>
    <w:rsid w:val="006B48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6B4852"/>
    <w:pPr>
      <w:suppressLineNumbers/>
    </w:pPr>
    <w:rPr>
      <w:rFonts w:cs="Mangal"/>
    </w:rPr>
  </w:style>
  <w:style w:type="paragraph" w:customStyle="1" w:styleId="Legenda2">
    <w:name w:val="Legenda2"/>
    <w:basedOn w:val="Normal"/>
    <w:rsid w:val="006B4852"/>
  </w:style>
  <w:style w:type="paragraph" w:styleId="TOC1">
    <w:name w:val="toc 1"/>
    <w:basedOn w:val="Normal"/>
    <w:rsid w:val="006B4852"/>
    <w:pPr>
      <w:tabs>
        <w:tab w:val="right" w:leader="dot" w:pos="9638"/>
      </w:tabs>
      <w:spacing w:after="100"/>
    </w:pPr>
    <w:rPr>
      <w:rFonts w:eastAsia="Times New Roman"/>
    </w:rPr>
  </w:style>
  <w:style w:type="paragraph" w:styleId="TOC2">
    <w:name w:val="toc 2"/>
    <w:basedOn w:val="Normal"/>
    <w:rsid w:val="006B4852"/>
    <w:pPr>
      <w:tabs>
        <w:tab w:val="right" w:leader="dot" w:pos="9575"/>
      </w:tabs>
      <w:spacing w:after="100"/>
      <w:ind w:left="220"/>
    </w:pPr>
    <w:rPr>
      <w:rFonts w:eastAsia="Times New Roman"/>
    </w:rPr>
  </w:style>
  <w:style w:type="paragraph" w:styleId="TOC3">
    <w:name w:val="toc 3"/>
    <w:basedOn w:val="Normal"/>
    <w:rsid w:val="006B4852"/>
    <w:pPr>
      <w:tabs>
        <w:tab w:val="right" w:leader="dot" w:pos="9512"/>
      </w:tabs>
      <w:spacing w:after="100"/>
      <w:ind w:left="440"/>
    </w:pPr>
    <w:rPr>
      <w:rFonts w:eastAsia="Times New Roman"/>
    </w:rPr>
  </w:style>
  <w:style w:type="paragraph" w:customStyle="1" w:styleId="SemEspaamento1">
    <w:name w:val="Sem Espaçamento1"/>
    <w:rsid w:val="006B4852"/>
    <w:pPr>
      <w:suppressAutoHyphens/>
    </w:pPr>
    <w:rPr>
      <w:rFonts w:ascii="Calibri" w:eastAsia="Calibri" w:hAnsi="Calibri"/>
      <w:kern w:val="1"/>
      <w:lang w:eastAsia="ar-SA"/>
    </w:rPr>
  </w:style>
  <w:style w:type="paragraph" w:customStyle="1" w:styleId="PargrafodaLista1">
    <w:name w:val="Parágrafo da Lista1"/>
    <w:basedOn w:val="Normal"/>
    <w:rsid w:val="006B4852"/>
  </w:style>
  <w:style w:type="paragraph" w:customStyle="1" w:styleId="Ttulodosumrio">
    <w:name w:val="Título do sumário"/>
    <w:basedOn w:val="Heading1"/>
    <w:rsid w:val="006B4852"/>
    <w:pPr>
      <w:suppressLineNumbers/>
      <w:pBdr>
        <w:bottom w:val="none" w:sz="0" w:space="0" w:color="auto"/>
      </w:pBdr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ColorfulList-Accent11">
    <w:name w:val="Colorful List - Accent 11"/>
    <w:basedOn w:val="Normal"/>
    <w:rsid w:val="006B4852"/>
  </w:style>
  <w:style w:type="paragraph" w:customStyle="1" w:styleId="Textodebalo1">
    <w:name w:val="Texto de balão1"/>
    <w:basedOn w:val="Normal"/>
    <w:rsid w:val="006B4852"/>
  </w:style>
  <w:style w:type="paragraph" w:styleId="Footer">
    <w:name w:val="footer"/>
    <w:basedOn w:val="Normal"/>
    <w:rsid w:val="006B4852"/>
    <w:pPr>
      <w:suppressLineNumbers/>
      <w:tabs>
        <w:tab w:val="center" w:pos="4419"/>
        <w:tab w:val="right" w:pos="8838"/>
      </w:tabs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tedodetabela">
    <w:name w:val="Conteúdo de tabela"/>
    <w:basedOn w:val="Normal"/>
    <w:rsid w:val="006B4852"/>
    <w:pPr>
      <w:suppressLineNumbers/>
    </w:pPr>
  </w:style>
  <w:style w:type="paragraph" w:customStyle="1" w:styleId="Ttulodetabela">
    <w:name w:val="Título de tabela"/>
    <w:basedOn w:val="Contedodetabela"/>
    <w:rsid w:val="006B485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pBdr>
        <w:bottom w:val="single" w:sz="12" w:space="12" w:color="000000"/>
      </w:pBdr>
      <w:spacing w:after="240" w:line="100" w:lineRule="atLeast"/>
      <w:outlineLvl w:val="0"/>
    </w:pPr>
    <w:rPr>
      <w:rFonts w:eastAsia="Times New Roman"/>
      <w:b/>
      <w:bCs/>
      <w:caps/>
      <w:sz w:val="32"/>
      <w:szCs w:val="32"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Ttulo3">
    <w:name w:val="heading 3"/>
    <w:basedOn w:val="Normal"/>
    <w:next w:val="Corpodetexto"/>
    <w:qFormat/>
    <w:pPr>
      <w:keepNext/>
      <w:numPr>
        <w:ilvl w:val="2"/>
        <w:numId w:val="1"/>
      </w:numPr>
      <w:spacing w:before="120" w:after="0"/>
      <w:outlineLvl w:val="2"/>
    </w:pPr>
    <w:rPr>
      <w:rFonts w:eastAsia="Times New Roman"/>
      <w:b/>
      <w:bCs/>
      <w:color w:val="000000"/>
    </w:rPr>
  </w:style>
  <w:style w:type="paragraph" w:styleId="Ttulo4">
    <w:name w:val="heading 4"/>
    <w:basedOn w:val="Normal"/>
    <w:next w:val="Corpodetexto"/>
    <w:qFormat/>
    <w:pPr>
      <w:keepNext/>
      <w:numPr>
        <w:ilvl w:val="3"/>
        <w:numId w:val="1"/>
      </w:numPr>
      <w:spacing w:before="120" w:after="0"/>
      <w:outlineLvl w:val="3"/>
    </w:pPr>
    <w:rPr>
      <w:rFonts w:eastAsia="Times New Roman"/>
      <w:b/>
      <w:bCs/>
      <w:i/>
      <w:iCs/>
    </w:rPr>
  </w:style>
  <w:style w:type="paragraph" w:styleId="Ttulo5">
    <w:name w:val="heading 5"/>
    <w:basedOn w:val="Normal"/>
    <w:next w:val="Corpodetexto"/>
    <w:qFormat/>
    <w:pPr>
      <w:keepNext/>
      <w:numPr>
        <w:ilvl w:val="4"/>
        <w:numId w:val="1"/>
      </w:numPr>
      <w:outlineLvl w:val="4"/>
    </w:pPr>
    <w:rPr>
      <w:rFonts w:eastAsia="Times New Roman"/>
    </w:rPr>
  </w:style>
  <w:style w:type="paragraph" w:styleId="Ttulo6">
    <w:name w:val="heading 6"/>
    <w:basedOn w:val="Normal"/>
    <w:next w:val="Corpodetexto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i/>
      <w:iCs/>
    </w:rPr>
  </w:style>
  <w:style w:type="paragraph" w:styleId="Ttulo7">
    <w:name w:val="heading 7"/>
    <w:basedOn w:val="Normal"/>
    <w:next w:val="Corpodetexto"/>
    <w:qFormat/>
    <w:pPr>
      <w:numPr>
        <w:ilvl w:val="6"/>
        <w:numId w:val="1"/>
      </w:numPr>
      <w:spacing w:before="240" w:after="60"/>
      <w:outlineLvl w:val="6"/>
    </w:pPr>
    <w:rPr>
      <w:rFonts w:eastAsia="Times New Roman"/>
      <w:sz w:val="20"/>
      <w:szCs w:val="20"/>
    </w:rPr>
  </w:style>
  <w:style w:type="paragraph" w:styleId="Ttulo8">
    <w:name w:val="heading 8"/>
    <w:basedOn w:val="Normal"/>
    <w:next w:val="Corpodetexto"/>
    <w:qFormat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0"/>
      <w:szCs w:val="20"/>
    </w:rPr>
  </w:style>
  <w:style w:type="paragraph" w:styleId="Ttulo9">
    <w:name w:val="heading 9"/>
    <w:basedOn w:val="Normal"/>
    <w:next w:val="Corpodetexto"/>
    <w:qFormat/>
    <w:pPr>
      <w:numPr>
        <w:ilvl w:val="8"/>
        <w:numId w:val="1"/>
      </w:numPr>
      <w:spacing w:before="240" w:after="60"/>
      <w:outlineLvl w:val="8"/>
    </w:pPr>
    <w:rPr>
      <w:rFonts w:eastAsia="Times New Roman"/>
      <w:i/>
      <w:i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  <w:b/>
      <w:bCs/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/>
      <w:bCs/>
    </w:rPr>
  </w:style>
  <w:style w:type="character" w:customStyle="1" w:styleId="ListLabel4">
    <w:name w:val="ListLabel 4"/>
    <w:rPr>
      <w:rFonts w:eastAsia="Times New Roman" w:cs="Times New Roman"/>
      <w:b/>
      <w:bCs/>
      <w:i/>
      <w:iCs/>
      <w:color w:val="000000"/>
    </w:rPr>
  </w:style>
  <w:style w:type="character" w:customStyle="1" w:styleId="ListLabel5">
    <w:name w:val="ListLabel 5"/>
    <w:rPr>
      <w:rFonts w:cs="Times New Roman"/>
      <w:b/>
      <w:bCs/>
      <w:color w:val="00000A"/>
    </w:rPr>
  </w:style>
  <w:style w:type="character" w:customStyle="1" w:styleId="Fontepargpadro1">
    <w:name w:val="Fonte parág. padrão1"/>
  </w:style>
  <w:style w:type="character" w:customStyle="1" w:styleId="Heading1Char">
    <w:name w:val="Heading 1 Char"/>
    <w:basedOn w:val="Fontepargpadro1"/>
  </w:style>
  <w:style w:type="character" w:customStyle="1" w:styleId="Heading2Char">
    <w:name w:val="Heading 2 Char"/>
    <w:basedOn w:val="Fontepargpadro1"/>
  </w:style>
  <w:style w:type="character" w:customStyle="1" w:styleId="Heading3Char">
    <w:name w:val="Heading 3 Char"/>
    <w:basedOn w:val="Fontepargpadro1"/>
  </w:style>
  <w:style w:type="character" w:customStyle="1" w:styleId="Heading4Char">
    <w:name w:val="Heading 4 Char"/>
    <w:basedOn w:val="Fontepargpadro1"/>
  </w:style>
  <w:style w:type="character" w:customStyle="1" w:styleId="Heading5Char">
    <w:name w:val="Heading 5 Char"/>
    <w:basedOn w:val="Fontepargpadro1"/>
  </w:style>
  <w:style w:type="character" w:customStyle="1" w:styleId="Heading6Char">
    <w:name w:val="Heading 6 Char"/>
    <w:basedOn w:val="Fontepargpadro1"/>
  </w:style>
  <w:style w:type="character" w:customStyle="1" w:styleId="Heading7Char">
    <w:name w:val="Heading 7 Char"/>
    <w:basedOn w:val="Fontepargpadro1"/>
  </w:style>
  <w:style w:type="character" w:customStyle="1" w:styleId="Heading8Char">
    <w:name w:val="Heading 8 Char"/>
    <w:basedOn w:val="Fontepargpadro1"/>
  </w:style>
  <w:style w:type="character" w:customStyle="1" w:styleId="Heading9Char">
    <w:name w:val="Heading 9 Char"/>
    <w:basedOn w:val="Fontepargpadro1"/>
  </w:style>
  <w:style w:type="character" w:styleId="Forte">
    <w:name w:val="Strong"/>
    <w:qFormat/>
    <w:rPr>
      <w:rFonts w:cs="Times New Roman"/>
      <w:b/>
      <w:bCs/>
    </w:rPr>
  </w:style>
  <w:style w:type="character" w:customStyle="1" w:styleId="NoSpacingChar">
    <w:name w:val="No Spacing Char"/>
    <w:basedOn w:val="Fontepargpadro1"/>
  </w:style>
  <w:style w:type="character" w:customStyle="1" w:styleId="TitleChar">
    <w:name w:val="Title Char"/>
    <w:basedOn w:val="Fontepargpadro1"/>
  </w:style>
  <w:style w:type="character" w:customStyle="1" w:styleId="BalloonTextChar">
    <w:name w:val="Balloon Text Char"/>
    <w:basedOn w:val="Fontepargpadro1"/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FooterChar">
    <w:name w:val="Footer Char"/>
    <w:basedOn w:val="Fontepargpadro1"/>
  </w:style>
  <w:style w:type="paragraph" w:customStyle="1" w:styleId="Ttulo10">
    <w:name w:val="Título1"/>
    <w:basedOn w:val="Normal"/>
    <w:next w:val="Corpodetexto"/>
    <w:pPr>
      <w:keepNext/>
      <w:tabs>
        <w:tab w:val="num" w:pos="432"/>
        <w:tab w:val="left" w:pos="1440"/>
        <w:tab w:val="left" w:pos="3060"/>
      </w:tabs>
      <w:spacing w:before="240" w:after="0" w:line="100" w:lineRule="atLeast"/>
      <w:ind w:left="432" w:hanging="432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Mangal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Legenda2">
    <w:name w:val="Legenda2"/>
    <w:basedOn w:val="Normal"/>
  </w:style>
  <w:style w:type="paragraph" w:styleId="Sumrio1">
    <w:name w:val="toc 1"/>
    <w:basedOn w:val="Normal"/>
    <w:pPr>
      <w:tabs>
        <w:tab w:val="right" w:leader="dot" w:pos="9638"/>
      </w:tabs>
      <w:spacing w:after="100"/>
    </w:pPr>
    <w:rPr>
      <w:rFonts w:eastAsia="Times New Roman"/>
    </w:rPr>
  </w:style>
  <w:style w:type="paragraph" w:styleId="Sumrio2">
    <w:name w:val="toc 2"/>
    <w:basedOn w:val="Normal"/>
    <w:pPr>
      <w:tabs>
        <w:tab w:val="right" w:leader="dot" w:pos="9575"/>
      </w:tabs>
      <w:spacing w:after="100"/>
      <w:ind w:left="220"/>
    </w:pPr>
    <w:rPr>
      <w:rFonts w:eastAsia="Times New Roman"/>
    </w:rPr>
  </w:style>
  <w:style w:type="paragraph" w:styleId="Sumrio3">
    <w:name w:val="toc 3"/>
    <w:basedOn w:val="Normal"/>
    <w:pPr>
      <w:tabs>
        <w:tab w:val="right" w:leader="dot" w:pos="9512"/>
      </w:tabs>
      <w:spacing w:after="100"/>
      <w:ind w:left="440"/>
    </w:pPr>
    <w:rPr>
      <w:rFonts w:eastAsia="Times New Roman"/>
    </w:rPr>
  </w:style>
  <w:style w:type="paragraph" w:customStyle="1" w:styleId="SemEspaamento1">
    <w:name w:val="Sem Espaçamento1"/>
    <w:pPr>
      <w:suppressAutoHyphens/>
    </w:pPr>
    <w:rPr>
      <w:rFonts w:ascii="Calibri" w:eastAsia="Calibri" w:hAnsi="Calibri"/>
      <w:kern w:val="1"/>
      <w:lang w:eastAsia="ar-SA"/>
    </w:rPr>
  </w:style>
  <w:style w:type="paragraph" w:customStyle="1" w:styleId="PargrafodaLista1">
    <w:name w:val="Parágrafo da Lista1"/>
    <w:basedOn w:val="Normal"/>
  </w:style>
  <w:style w:type="paragraph" w:customStyle="1" w:styleId="Ttulodosumrio">
    <w:name w:val="Título do sumário"/>
    <w:basedOn w:val="Ttulo1"/>
    <w:pPr>
      <w:suppressLineNumbers/>
      <w:pBdr>
        <w:bottom w:val="none" w:sz="0" w:space="0" w:color="auto"/>
      </w:pBdr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ColorfulList-Accent11">
    <w:name w:val="Colorful List - Accent 11"/>
    <w:basedOn w:val="Normal"/>
  </w:style>
  <w:style w:type="paragraph" w:customStyle="1" w:styleId="Textodebalo1">
    <w:name w:val="Texto de balão1"/>
    <w:basedOn w:val="Normal"/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rinterSettings" Target="printerSettings/printerSettings1.bin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microsoft.com/office/2007/relationships/stylesWithEffects" Target="stylesWithEffects.xml"/><Relationship Id="rId7" Type="http://schemas.openxmlformats.org/officeDocument/2006/relationships/hyperlink" Target="mailto:cesar@sefaz.am.gov.br" TargetMode="Externa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cesar@sefaz.am.gov.br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rinterSettings" Target="printerSettings/printerSettings2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CDCE7696ABCD44A2A9450B2C88A94D" ma:contentTypeVersion="0" ma:contentTypeDescription="A content type to manage public (operations) IDB documents" ma:contentTypeScope="" ma:versionID="103c2a5a01d458bcd64b8c9c22cd3c7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Project Profile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38669667</IDBDocs_x0020_Number>
    <Document_x0020_Author xmlns="9c571b2f-e523-4ab2-ba2e-09e151a03ef4">Pimenta, Carlos Cesar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11</Value>
      <Value>10</Value>
    </TaxCatchAll>
    <Fiscal_x0020_Year_x0020_IDB xmlns="9c571b2f-e523-4ab2-ba2e-09e151a03ef4">2014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BR-L1388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WORD&lt;/APPLICATION&gt;&lt;USER_STAGE&gt;Project Profile&lt;/USER_STAGE&gt;&lt;PD_OBJ_TYPE&gt;0&lt;/PD_OBJ_TYPE&gt;&lt;MAKERECORD&gt;N&lt;/MAKERECORD&gt;&lt;PD_FILEPT_NO&gt;PO-BR-L1388-Anl&lt;/PD_FILEPT_NO&gt;&lt;/Data&gt;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RM-FIS</Webtopic>
    <Identifier xmlns="9c571b2f-e523-4ab2-ba2e-09e151a03ef4"> TECFILE</Identifier>
    <Publishing_x0020_House xmlns="9c571b2f-e523-4ab2-ba2e-09e151a03ef4" xsi:nil="true"/>
    <Document_x0020_Language_x0020_IDB xmlns="9c571b2f-e523-4ab2-ba2e-09e151a03ef4">Portuguese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A2FCBF49-1679-453A-AA96-188D54FAF306}"/>
</file>

<file path=customXml/itemProps2.xml><?xml version="1.0" encoding="utf-8"?>
<ds:datastoreItem xmlns:ds="http://schemas.openxmlformats.org/officeDocument/2006/customXml" ds:itemID="{9CF35F64-A4DE-1343-B0D5-A94C05BB38D6}"/>
</file>

<file path=customXml/itemProps3.xml><?xml version="1.0" encoding="utf-8"?>
<ds:datastoreItem xmlns:ds="http://schemas.openxmlformats.org/officeDocument/2006/customXml" ds:itemID="{2F1ED837-B877-46A8-AAEC-A36B8E4E8CA1}"/>
</file>

<file path=customXml/itemProps4.xml><?xml version="1.0" encoding="utf-8"?>
<ds:datastoreItem xmlns:ds="http://schemas.openxmlformats.org/officeDocument/2006/customXml" ds:itemID="{B22E63DB-A518-4321-9729-52C94762F71B}"/>
</file>

<file path=customXml/itemProps5.xml><?xml version="1.0" encoding="utf-8"?>
<ds:datastoreItem xmlns:ds="http://schemas.openxmlformats.org/officeDocument/2006/customXml" ds:itemID="{FCAE8804-E936-4B6F-A710-F31CA15D1702}"/>
</file>

<file path=customXml/itemProps6.xml><?xml version="1.0" encoding="utf-8"?>
<ds:datastoreItem xmlns:ds="http://schemas.openxmlformats.org/officeDocument/2006/customXml" ds:itemID="{7047C8AF-D9C9-46FE-98D4-D7110391AD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1668</Words>
  <Characters>9513</Characters>
  <Application>Microsoft Word 12.0.0</Application>
  <DocSecurity>0</DocSecurity>
  <Lines>79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</vt:lpstr>
    </vt:vector>
  </TitlesOfParts>
  <Company/>
  <LinksUpToDate>false</LinksUpToDate>
  <CharactersWithSpaces>11682</CharactersWithSpaces>
  <SharedDoc>false</SharedDoc>
  <HLinks>
    <vt:vector size="12" baseType="variant">
      <vt:variant>
        <vt:i4>1245242</vt:i4>
      </vt:variant>
      <vt:variant>
        <vt:i4>3</vt:i4>
      </vt:variant>
      <vt:variant>
        <vt:i4>0</vt:i4>
      </vt:variant>
      <vt:variant>
        <vt:i4>5</vt:i4>
      </vt:variant>
      <vt:variant>
        <vt:lpwstr>mailto:cesar@sefaz.am.gov.br</vt:lpwstr>
      </vt:variant>
      <vt:variant>
        <vt:lpwstr/>
      </vt:variant>
      <vt:variant>
        <vt:i4>1245242</vt:i4>
      </vt:variant>
      <vt:variant>
        <vt:i4>0</vt:i4>
      </vt:variant>
      <vt:variant>
        <vt:i4>0</vt:i4>
      </vt:variant>
      <vt:variant>
        <vt:i4>5</vt:i4>
      </vt:variant>
      <vt:variant>
        <vt:lpwstr>mailto:cesar@sefaz.am.gov.br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Técnica_ SPED AtualizacaoTecnologica </dc:title>
  <dc:subject/>
  <dc:creator>Familia Cracel</dc:creator>
  <cp:keywords/>
  <cp:lastModifiedBy>C A</cp:lastModifiedBy>
  <cp:revision>2</cp:revision>
  <cp:lastPrinted>2013-08-01T12:59:00Z</cp:lastPrinted>
  <dcterms:created xsi:type="dcterms:W3CDTF">2014-02-20T19:45:00Z</dcterms:created>
  <dcterms:modified xsi:type="dcterms:W3CDTF">2014-02-20T19:45:00Z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0x01010046CF21643EE8D14686A648AA6DAD0892009CCDCE7696ABCD44A2A9450B2C88A94D</vt:lpwstr>
  </property>
  <property fmtid="{D5CDD505-2E9C-101B-9397-08002B2CF9AE}" pid="5" name="TaxKeywordTaxHTField">
    <vt:lpwstr/>
  </property>
  <property fmtid="{D5CDD505-2E9C-101B-9397-08002B2CF9AE}" pid="6" name="Series Operations IDB">
    <vt:lpwstr>10;#Loan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10;#Loan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11;#Project Preparation, Planning and Design|29ca0c72-1fc4-435f-a09c-28585cb5eac9</vt:lpwstr>
  </property>
</Properties>
</file>