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5E1A84" w14:textId="77777777" w:rsidR="000D492C" w:rsidRPr="00664AFF" w:rsidRDefault="000D492C" w:rsidP="000D492C">
      <w:pPr>
        <w:pStyle w:val="SubSubPar"/>
        <w:numPr>
          <w:ilvl w:val="0"/>
          <w:numId w:val="0"/>
        </w:numPr>
        <w:spacing w:after="0"/>
        <w:jc w:val="center"/>
        <w:rPr>
          <w:rFonts w:ascii="Arial" w:hAnsi="Arial" w:cs="Arial"/>
          <w:smallCaps/>
          <w:sz w:val="22"/>
          <w:szCs w:val="22"/>
        </w:rPr>
      </w:pPr>
      <w:r w:rsidRPr="00664AFF">
        <w:rPr>
          <w:rFonts w:ascii="Arial" w:hAnsi="Arial" w:cs="Arial"/>
          <w:smallCaps/>
          <w:sz w:val="22"/>
          <w:szCs w:val="22"/>
        </w:rPr>
        <w:t>Documento del Banco Interamericano de Desarrollo</w:t>
      </w:r>
    </w:p>
    <w:p w14:paraId="2B2C1B70" w14:textId="77777777" w:rsidR="000D492C" w:rsidRPr="00664AFF" w:rsidRDefault="000D492C" w:rsidP="000D492C">
      <w:pPr>
        <w:tabs>
          <w:tab w:val="left" w:pos="1440"/>
          <w:tab w:val="left" w:pos="3060"/>
        </w:tabs>
        <w:jc w:val="center"/>
        <w:rPr>
          <w:rFonts w:ascii="Arial" w:hAnsi="Arial" w:cs="Arial"/>
          <w:smallCaps/>
        </w:rPr>
      </w:pPr>
    </w:p>
    <w:p w14:paraId="5625574D" w14:textId="77777777" w:rsidR="000D492C" w:rsidRPr="00664AFF" w:rsidRDefault="000D492C" w:rsidP="000D492C">
      <w:pPr>
        <w:tabs>
          <w:tab w:val="left" w:pos="1440"/>
          <w:tab w:val="left" w:pos="3060"/>
        </w:tabs>
        <w:jc w:val="center"/>
        <w:rPr>
          <w:rFonts w:ascii="Arial" w:hAnsi="Arial" w:cs="Arial"/>
          <w:smallCaps/>
        </w:rPr>
      </w:pPr>
    </w:p>
    <w:p w14:paraId="42BD92C4" w14:textId="77777777" w:rsidR="000D492C" w:rsidRPr="00664AFF" w:rsidRDefault="000D492C" w:rsidP="000D492C">
      <w:pPr>
        <w:tabs>
          <w:tab w:val="left" w:pos="1440"/>
          <w:tab w:val="left" w:pos="3060"/>
        </w:tabs>
        <w:jc w:val="center"/>
        <w:rPr>
          <w:rFonts w:ascii="Arial" w:hAnsi="Arial" w:cs="Arial"/>
          <w:smallCaps/>
        </w:rPr>
      </w:pPr>
    </w:p>
    <w:p w14:paraId="7DB43374" w14:textId="77777777" w:rsidR="000D492C" w:rsidRPr="00664AFF" w:rsidRDefault="000D492C" w:rsidP="000D492C">
      <w:pPr>
        <w:tabs>
          <w:tab w:val="left" w:pos="1440"/>
          <w:tab w:val="left" w:pos="3060"/>
        </w:tabs>
        <w:jc w:val="center"/>
        <w:rPr>
          <w:rFonts w:ascii="Arial" w:hAnsi="Arial" w:cs="Arial"/>
          <w:b/>
          <w:smallCaps/>
        </w:rPr>
      </w:pPr>
      <w:r w:rsidRPr="00664AFF">
        <w:rPr>
          <w:rFonts w:ascii="Arial" w:hAnsi="Arial" w:cs="Arial"/>
          <w:b/>
          <w:smallCaps/>
        </w:rPr>
        <w:t>México</w:t>
      </w:r>
    </w:p>
    <w:p w14:paraId="0526E992" w14:textId="77777777" w:rsidR="000D492C" w:rsidRPr="00664AFF" w:rsidRDefault="000D492C" w:rsidP="000D492C">
      <w:pPr>
        <w:tabs>
          <w:tab w:val="left" w:pos="1440"/>
          <w:tab w:val="left" w:pos="3060"/>
        </w:tabs>
        <w:jc w:val="center"/>
        <w:rPr>
          <w:rFonts w:ascii="Arial" w:hAnsi="Arial" w:cs="Arial"/>
          <w:smallCaps/>
        </w:rPr>
      </w:pPr>
    </w:p>
    <w:p w14:paraId="40DB4667" w14:textId="77777777" w:rsidR="000D492C" w:rsidRPr="00664AFF" w:rsidRDefault="000D492C" w:rsidP="000D492C">
      <w:pPr>
        <w:tabs>
          <w:tab w:val="left" w:pos="1440"/>
          <w:tab w:val="left" w:pos="3060"/>
        </w:tabs>
        <w:jc w:val="center"/>
        <w:rPr>
          <w:rFonts w:ascii="Arial" w:hAnsi="Arial" w:cs="Arial"/>
          <w:smallCaps/>
        </w:rPr>
      </w:pPr>
    </w:p>
    <w:p w14:paraId="3728B862" w14:textId="77777777" w:rsidR="000D492C" w:rsidRPr="00664AFF" w:rsidRDefault="000D492C" w:rsidP="000D492C">
      <w:pPr>
        <w:tabs>
          <w:tab w:val="left" w:pos="1440"/>
          <w:tab w:val="left" w:pos="3060"/>
        </w:tabs>
        <w:jc w:val="center"/>
        <w:rPr>
          <w:rFonts w:ascii="Arial" w:hAnsi="Arial" w:cs="Arial"/>
          <w:smallCaps/>
        </w:rPr>
      </w:pPr>
    </w:p>
    <w:p w14:paraId="30364EB6" w14:textId="77777777" w:rsidR="000D492C" w:rsidRPr="00664AFF" w:rsidRDefault="000D492C" w:rsidP="000D492C">
      <w:pPr>
        <w:tabs>
          <w:tab w:val="left" w:pos="1440"/>
          <w:tab w:val="left" w:pos="3060"/>
        </w:tabs>
        <w:jc w:val="center"/>
        <w:rPr>
          <w:rFonts w:ascii="Arial" w:hAnsi="Arial" w:cs="Arial"/>
          <w:smallCaps/>
        </w:rPr>
      </w:pPr>
    </w:p>
    <w:p w14:paraId="2E765E0E" w14:textId="4ACE2BB6" w:rsidR="000D492C" w:rsidRPr="00733269" w:rsidRDefault="00733269" w:rsidP="000D492C">
      <w:pPr>
        <w:tabs>
          <w:tab w:val="left" w:pos="1440"/>
          <w:tab w:val="left" w:pos="3060"/>
        </w:tabs>
        <w:jc w:val="center"/>
        <w:rPr>
          <w:rFonts w:ascii="Arial" w:hAnsi="Arial" w:cs="Arial"/>
          <w:b/>
          <w:smallCaps/>
        </w:rPr>
      </w:pPr>
      <w:r w:rsidRPr="00733269">
        <w:rPr>
          <w:rFonts w:ascii="Arial" w:hAnsi="Arial" w:cs="Arial"/>
          <w:b/>
          <w:smallCaps/>
        </w:rPr>
        <w:t>Línea</w:t>
      </w:r>
      <w:r w:rsidR="00735D2B">
        <w:rPr>
          <w:rFonts w:ascii="Arial" w:hAnsi="Arial" w:cs="Arial"/>
          <w:b/>
          <w:smallCaps/>
        </w:rPr>
        <w:t xml:space="preserve"> de Crédito</w:t>
      </w:r>
      <w:r w:rsidR="00735D2B" w:rsidRPr="00733269">
        <w:rPr>
          <w:rFonts w:ascii="Arial" w:hAnsi="Arial" w:cs="Arial"/>
          <w:b/>
          <w:smallCaps/>
        </w:rPr>
        <w:t xml:space="preserve"> </w:t>
      </w:r>
      <w:r w:rsidRPr="00733269">
        <w:rPr>
          <w:rFonts w:ascii="Arial" w:hAnsi="Arial" w:cs="Arial"/>
          <w:b/>
          <w:smallCaps/>
        </w:rPr>
        <w:t xml:space="preserve">Condicional </w:t>
      </w:r>
      <w:r w:rsidR="00735D2B" w:rsidRPr="00733269">
        <w:rPr>
          <w:rFonts w:ascii="Arial" w:hAnsi="Arial" w:cs="Arial"/>
          <w:b/>
          <w:smallCaps/>
        </w:rPr>
        <w:t>para</w:t>
      </w:r>
      <w:r w:rsidRPr="00733269">
        <w:rPr>
          <w:rFonts w:ascii="Arial" w:hAnsi="Arial" w:cs="Arial"/>
          <w:b/>
          <w:smallCaps/>
        </w:rPr>
        <w:t xml:space="preserve"> Proyectos </w:t>
      </w:r>
      <w:r w:rsidR="00735D2B" w:rsidRPr="00733269">
        <w:rPr>
          <w:rFonts w:ascii="Arial" w:hAnsi="Arial" w:cs="Arial"/>
          <w:b/>
          <w:smallCaps/>
        </w:rPr>
        <w:t>de</w:t>
      </w:r>
      <w:r w:rsidRPr="00733269">
        <w:rPr>
          <w:rFonts w:ascii="Arial" w:hAnsi="Arial" w:cs="Arial"/>
          <w:b/>
          <w:smallCaps/>
        </w:rPr>
        <w:t xml:space="preserve"> Inversión (</w:t>
      </w:r>
      <w:r w:rsidR="009C71FC" w:rsidRPr="00733269">
        <w:rPr>
          <w:rFonts w:ascii="Arial" w:hAnsi="Arial" w:cs="Arial"/>
          <w:b/>
          <w:smallCaps/>
        </w:rPr>
        <w:t>CCLIP</w:t>
      </w:r>
      <w:r w:rsidRPr="00733269">
        <w:rPr>
          <w:rFonts w:ascii="Arial" w:hAnsi="Arial" w:cs="Arial"/>
          <w:b/>
          <w:smallCaps/>
        </w:rPr>
        <w:t xml:space="preserve">) </w:t>
      </w:r>
      <w:r w:rsidR="00FE6E45" w:rsidRPr="00733269">
        <w:rPr>
          <w:rFonts w:ascii="Arial" w:hAnsi="Arial" w:cs="Arial"/>
          <w:b/>
          <w:smallCaps/>
        </w:rPr>
        <w:t>del</w:t>
      </w:r>
      <w:r w:rsidRPr="00733269">
        <w:rPr>
          <w:rFonts w:ascii="Arial" w:hAnsi="Arial" w:cs="Arial"/>
          <w:b/>
          <w:smallCaps/>
        </w:rPr>
        <w:t xml:space="preserve"> Programa </w:t>
      </w:r>
      <w:r w:rsidR="00735D2B" w:rsidRPr="00733269">
        <w:rPr>
          <w:rFonts w:ascii="Arial" w:hAnsi="Arial" w:cs="Arial"/>
          <w:b/>
          <w:smallCaps/>
        </w:rPr>
        <w:t>de</w:t>
      </w:r>
      <w:r w:rsidRPr="00733269">
        <w:rPr>
          <w:rFonts w:ascii="Arial" w:hAnsi="Arial" w:cs="Arial"/>
          <w:b/>
          <w:smallCaps/>
        </w:rPr>
        <w:t xml:space="preserve"> Financiamiento Integral </w:t>
      </w:r>
      <w:r w:rsidR="00735D2B" w:rsidRPr="00733269">
        <w:rPr>
          <w:rFonts w:ascii="Arial" w:hAnsi="Arial" w:cs="Arial"/>
          <w:b/>
          <w:smallCaps/>
        </w:rPr>
        <w:t>para</w:t>
      </w:r>
      <w:r w:rsidRPr="00733269">
        <w:rPr>
          <w:rFonts w:ascii="Arial" w:hAnsi="Arial" w:cs="Arial"/>
          <w:b/>
          <w:smallCaps/>
        </w:rPr>
        <w:t xml:space="preserve"> </w:t>
      </w:r>
      <w:r w:rsidR="00735D2B" w:rsidRPr="00733269">
        <w:rPr>
          <w:rFonts w:ascii="Arial" w:hAnsi="Arial" w:cs="Arial"/>
          <w:b/>
          <w:smallCaps/>
        </w:rPr>
        <w:t>el</w:t>
      </w:r>
      <w:r w:rsidRPr="00733269">
        <w:rPr>
          <w:rFonts w:ascii="Arial" w:hAnsi="Arial" w:cs="Arial"/>
          <w:b/>
          <w:smallCaps/>
        </w:rPr>
        <w:t xml:space="preserve"> Desarrollo Rural Productivo, Inclusivo </w:t>
      </w:r>
      <w:r w:rsidR="00735D2B" w:rsidRPr="00733269">
        <w:rPr>
          <w:rFonts w:ascii="Arial" w:hAnsi="Arial" w:cs="Arial"/>
          <w:b/>
          <w:smallCaps/>
        </w:rPr>
        <w:t>y</w:t>
      </w:r>
      <w:r w:rsidRPr="00733269">
        <w:rPr>
          <w:rFonts w:ascii="Arial" w:hAnsi="Arial" w:cs="Arial"/>
          <w:b/>
          <w:smallCaps/>
        </w:rPr>
        <w:t xml:space="preserve"> Sustentable </w:t>
      </w:r>
    </w:p>
    <w:p w14:paraId="0E0312EF" w14:textId="77777777" w:rsidR="000D492C" w:rsidRPr="00664AFF" w:rsidRDefault="000D492C" w:rsidP="000D492C">
      <w:pPr>
        <w:tabs>
          <w:tab w:val="left" w:pos="1440"/>
          <w:tab w:val="left" w:pos="3060"/>
        </w:tabs>
        <w:jc w:val="center"/>
        <w:rPr>
          <w:rFonts w:ascii="Arial" w:hAnsi="Arial" w:cs="Arial"/>
          <w:b/>
          <w:smallCaps/>
        </w:rPr>
      </w:pPr>
    </w:p>
    <w:p w14:paraId="26FA181E" w14:textId="77777777" w:rsidR="000D492C" w:rsidRPr="00664AFF" w:rsidRDefault="000D492C" w:rsidP="000D492C">
      <w:pPr>
        <w:tabs>
          <w:tab w:val="left" w:pos="1440"/>
          <w:tab w:val="left" w:pos="3060"/>
        </w:tabs>
        <w:jc w:val="center"/>
        <w:rPr>
          <w:rFonts w:ascii="Arial" w:hAnsi="Arial" w:cs="Arial"/>
          <w:b/>
          <w:smallCaps/>
        </w:rPr>
      </w:pPr>
      <w:r w:rsidRPr="00664AFF">
        <w:rPr>
          <w:rFonts w:ascii="Arial" w:hAnsi="Arial" w:cs="Arial"/>
          <w:b/>
          <w:smallCaps/>
        </w:rPr>
        <w:t>(ME-O0006)</w:t>
      </w:r>
    </w:p>
    <w:p w14:paraId="637C00B3" w14:textId="77777777" w:rsidR="000D492C" w:rsidRPr="00664AFF" w:rsidRDefault="000D492C" w:rsidP="000D492C">
      <w:pPr>
        <w:pStyle w:val="Newpage"/>
        <w:rPr>
          <w:rFonts w:ascii="Arial" w:hAnsi="Arial" w:cs="Arial"/>
          <w:b w:val="0"/>
          <w:caps/>
          <w:smallCaps w:val="0"/>
          <w:sz w:val="22"/>
          <w:szCs w:val="22"/>
        </w:rPr>
      </w:pPr>
    </w:p>
    <w:p w14:paraId="2733D002" w14:textId="3C223AF9" w:rsidR="000D492C" w:rsidRPr="00296FF3" w:rsidRDefault="00296FF3" w:rsidP="000D492C">
      <w:pPr>
        <w:tabs>
          <w:tab w:val="left" w:pos="1440"/>
          <w:tab w:val="left" w:pos="3060"/>
        </w:tabs>
        <w:jc w:val="center"/>
        <w:rPr>
          <w:rFonts w:ascii="Arial" w:hAnsi="Arial" w:cs="Arial"/>
          <w:b/>
          <w:bCs/>
          <w:smallCaps/>
        </w:rPr>
      </w:pPr>
      <w:r w:rsidRPr="00296FF3">
        <w:rPr>
          <w:rFonts w:ascii="Arial" w:hAnsi="Arial" w:cs="Arial"/>
          <w:b/>
          <w:bCs/>
          <w:smallCaps/>
        </w:rPr>
        <w:t>Y</w:t>
      </w:r>
    </w:p>
    <w:p w14:paraId="09BFB5AC" w14:textId="77777777" w:rsidR="000D492C" w:rsidRPr="00664AFF" w:rsidRDefault="000D492C" w:rsidP="000D492C">
      <w:pPr>
        <w:tabs>
          <w:tab w:val="left" w:pos="1440"/>
          <w:tab w:val="left" w:pos="3060"/>
        </w:tabs>
        <w:jc w:val="center"/>
        <w:rPr>
          <w:rFonts w:ascii="Arial" w:hAnsi="Arial" w:cs="Arial"/>
          <w:b/>
          <w:bCs/>
          <w:smallCaps/>
        </w:rPr>
      </w:pPr>
      <w:r w:rsidRPr="00664AFF">
        <w:rPr>
          <w:rFonts w:ascii="Arial" w:hAnsi="Arial" w:cs="Arial"/>
          <w:b/>
          <w:smallCaps/>
        </w:rPr>
        <w:t xml:space="preserve">Primer Programa de Financiamiento </w:t>
      </w:r>
      <w:r w:rsidRPr="00664AFF">
        <w:rPr>
          <w:rFonts w:ascii="Arial" w:hAnsi="Arial" w:cs="Arial"/>
          <w:b/>
          <w:bCs/>
          <w:smallCaps/>
          <w:lang w:val="es-MX"/>
        </w:rPr>
        <w:t>para el D</w:t>
      </w:r>
      <w:r w:rsidRPr="00664AFF">
        <w:rPr>
          <w:rFonts w:ascii="Arial" w:hAnsi="Arial" w:cs="Arial"/>
          <w:b/>
          <w:bCs/>
          <w:smallCaps/>
        </w:rPr>
        <w:t xml:space="preserve">esarrollo Rural Productivo, Inclusivo y Sustentable </w:t>
      </w:r>
    </w:p>
    <w:p w14:paraId="1AA92BE7" w14:textId="77777777" w:rsidR="000D492C" w:rsidRPr="00664AFF" w:rsidRDefault="000D492C" w:rsidP="000D492C">
      <w:pPr>
        <w:tabs>
          <w:tab w:val="left" w:pos="1440"/>
          <w:tab w:val="left" w:pos="3060"/>
        </w:tabs>
        <w:jc w:val="center"/>
        <w:rPr>
          <w:rFonts w:ascii="Arial" w:hAnsi="Arial" w:cs="Arial"/>
          <w:b/>
          <w:bCs/>
          <w:smallCaps/>
        </w:rPr>
      </w:pPr>
    </w:p>
    <w:p w14:paraId="6705FB08" w14:textId="03A42C70" w:rsidR="000D492C" w:rsidRDefault="000D492C" w:rsidP="000D492C">
      <w:pPr>
        <w:tabs>
          <w:tab w:val="left" w:pos="1440"/>
          <w:tab w:val="left" w:pos="3060"/>
        </w:tabs>
        <w:jc w:val="center"/>
        <w:rPr>
          <w:rFonts w:ascii="Arial" w:hAnsi="Arial" w:cs="Arial"/>
          <w:b/>
          <w:smallCaps/>
        </w:rPr>
      </w:pPr>
      <w:r w:rsidRPr="00664AFF">
        <w:rPr>
          <w:rFonts w:ascii="Arial" w:hAnsi="Arial" w:cs="Arial"/>
          <w:b/>
          <w:bCs/>
          <w:smallCaps/>
        </w:rPr>
        <w:t>(ME-L1290)</w:t>
      </w:r>
      <w:r w:rsidRPr="00664AFF">
        <w:rPr>
          <w:rFonts w:ascii="Arial" w:hAnsi="Arial" w:cs="Arial"/>
          <w:b/>
          <w:smallCaps/>
        </w:rPr>
        <w:t xml:space="preserve"> </w:t>
      </w:r>
    </w:p>
    <w:p w14:paraId="4C496C67" w14:textId="37D0803A" w:rsidR="000D492C" w:rsidRDefault="000D492C" w:rsidP="000D492C">
      <w:pPr>
        <w:tabs>
          <w:tab w:val="left" w:pos="1440"/>
          <w:tab w:val="left" w:pos="3060"/>
        </w:tabs>
        <w:jc w:val="center"/>
        <w:rPr>
          <w:rFonts w:ascii="Arial" w:hAnsi="Arial" w:cs="Arial"/>
          <w:b/>
          <w:smallCaps/>
        </w:rPr>
      </w:pPr>
    </w:p>
    <w:p w14:paraId="54D4134D" w14:textId="191375F4" w:rsidR="000D492C" w:rsidRPr="00664AFF" w:rsidRDefault="000D492C" w:rsidP="000D492C">
      <w:pPr>
        <w:tabs>
          <w:tab w:val="left" w:pos="1440"/>
          <w:tab w:val="left" w:pos="3060"/>
        </w:tabs>
        <w:jc w:val="center"/>
        <w:rPr>
          <w:rFonts w:ascii="Arial" w:hAnsi="Arial" w:cs="Arial"/>
          <w:b/>
          <w:smallCaps/>
        </w:rPr>
      </w:pPr>
      <w:r>
        <w:rPr>
          <w:rFonts w:ascii="Arial" w:hAnsi="Arial" w:cs="Arial"/>
          <w:b/>
          <w:smallCaps/>
        </w:rPr>
        <w:t>Análisis de Demanda</w:t>
      </w:r>
    </w:p>
    <w:p w14:paraId="406287D5" w14:textId="77777777" w:rsidR="00045935" w:rsidRPr="000D492C" w:rsidRDefault="00045935" w:rsidP="00045935">
      <w:pPr>
        <w:tabs>
          <w:tab w:val="left" w:pos="1440"/>
          <w:tab w:val="left" w:pos="3060"/>
        </w:tabs>
        <w:rPr>
          <w:rFonts w:ascii="Arial" w:hAnsi="Arial" w:cs="Arial"/>
          <w:b/>
          <w:noProof/>
          <w:sz w:val="24"/>
          <w:szCs w:val="24"/>
          <w:highlight w:val="yellow"/>
        </w:rPr>
      </w:pPr>
    </w:p>
    <w:p w14:paraId="1F01C308" w14:textId="77777777" w:rsidR="00045935" w:rsidRPr="000D492C" w:rsidRDefault="00045935" w:rsidP="00045935">
      <w:pPr>
        <w:tabs>
          <w:tab w:val="left" w:pos="1440"/>
          <w:tab w:val="left" w:pos="3060"/>
        </w:tabs>
        <w:rPr>
          <w:rFonts w:ascii="Arial" w:hAnsi="Arial" w:cs="Arial"/>
          <w:b/>
          <w:noProof/>
          <w:sz w:val="24"/>
          <w:szCs w:val="24"/>
          <w:highlight w:val="yellow"/>
        </w:rPr>
      </w:pPr>
    </w:p>
    <w:p w14:paraId="21A3DCC7" w14:textId="77777777" w:rsidR="00045935" w:rsidRPr="000D492C" w:rsidRDefault="00045935" w:rsidP="00045935">
      <w:pPr>
        <w:tabs>
          <w:tab w:val="left" w:pos="1440"/>
          <w:tab w:val="left" w:pos="3060"/>
        </w:tabs>
        <w:jc w:val="center"/>
        <w:rPr>
          <w:rFonts w:ascii="Arial" w:hAnsi="Arial" w:cs="Arial"/>
          <w:b/>
          <w:noProof/>
          <w:sz w:val="24"/>
          <w:szCs w:val="24"/>
          <w:highlight w:val="yellow"/>
        </w:rPr>
      </w:pPr>
    </w:p>
    <w:p w14:paraId="26599416" w14:textId="77777777" w:rsidR="00045935" w:rsidRPr="000D492C" w:rsidRDefault="00045935" w:rsidP="00045935">
      <w:pPr>
        <w:tabs>
          <w:tab w:val="left" w:pos="1440"/>
          <w:tab w:val="left" w:pos="3060"/>
        </w:tabs>
        <w:jc w:val="center"/>
        <w:rPr>
          <w:rFonts w:ascii="Arial" w:hAnsi="Arial" w:cs="Arial"/>
          <w:b/>
          <w:noProof/>
          <w:sz w:val="24"/>
          <w:szCs w:val="24"/>
          <w:highlight w:val="yellow"/>
        </w:rPr>
      </w:pPr>
    </w:p>
    <w:p w14:paraId="5592E902" w14:textId="6B2E6E94" w:rsidR="00045935" w:rsidRPr="00371766" w:rsidRDefault="00045935" w:rsidP="00371766">
      <w:pPr>
        <w:pStyle w:val="BodyText"/>
        <w:pBdr>
          <w:top w:val="single" w:sz="4" w:space="1" w:color="auto"/>
          <w:left w:val="single" w:sz="4" w:space="4" w:color="auto"/>
          <w:bottom w:val="single" w:sz="4" w:space="1" w:color="auto"/>
          <w:right w:val="single" w:sz="4" w:space="4" w:color="auto"/>
        </w:pBdr>
        <w:tabs>
          <w:tab w:val="left" w:pos="1440"/>
        </w:tabs>
        <w:jc w:val="center"/>
        <w:rPr>
          <w:rFonts w:ascii="Arial" w:eastAsia="Calibri" w:hAnsi="Arial" w:cs="Arial"/>
          <w:noProof/>
          <w:lang w:val="es-ES"/>
        </w:rPr>
      </w:pPr>
      <w:r w:rsidRPr="00371766">
        <w:rPr>
          <w:rFonts w:ascii="Arial" w:eastAsia="Calibri" w:hAnsi="Arial" w:cs="Arial"/>
          <w:noProof/>
          <w:lang w:val="es-ES"/>
        </w:rPr>
        <w:t>Preparado por</w:t>
      </w:r>
      <w:r w:rsidR="000D492C" w:rsidRPr="00371766">
        <w:rPr>
          <w:rFonts w:ascii="Arial" w:eastAsia="Calibri" w:hAnsi="Arial" w:cs="Arial"/>
          <w:noProof/>
          <w:lang w:val="es-ES"/>
        </w:rPr>
        <w:t>: Sebastian Vargas</w:t>
      </w:r>
      <w:r w:rsidRPr="00371766">
        <w:rPr>
          <w:rFonts w:ascii="Arial" w:eastAsia="Calibri" w:hAnsi="Arial" w:cs="Arial"/>
          <w:noProof/>
          <w:lang w:val="es-ES"/>
        </w:rPr>
        <w:t xml:space="preserve"> (IFD/CMF)</w:t>
      </w:r>
    </w:p>
    <w:p w14:paraId="0001C37A" w14:textId="77777777" w:rsidR="00045935" w:rsidRPr="00371766" w:rsidRDefault="00045935" w:rsidP="00371766">
      <w:pPr>
        <w:jc w:val="center"/>
        <w:rPr>
          <w:rFonts w:ascii="Arial" w:hAnsi="Arial" w:cs="Arial"/>
          <w:noProof/>
        </w:rPr>
        <w:sectPr w:rsidR="00045935" w:rsidRPr="00371766" w:rsidSect="00045935">
          <w:headerReference w:type="even" r:id="rId14"/>
          <w:pgSz w:w="12240" w:h="15840" w:code="1"/>
          <w:pgMar w:top="1440" w:right="1800" w:bottom="1440" w:left="1800" w:header="706" w:footer="706" w:gutter="0"/>
          <w:cols w:space="720"/>
          <w:formProt w:val="0"/>
        </w:sectPr>
      </w:pPr>
    </w:p>
    <w:p w14:paraId="5EB4D950" w14:textId="77777777" w:rsidR="00045935" w:rsidRPr="00296FF3" w:rsidRDefault="00045935" w:rsidP="00045935">
      <w:pPr>
        <w:pStyle w:val="Paragraph"/>
        <w:numPr>
          <w:ilvl w:val="0"/>
          <w:numId w:val="0"/>
        </w:numPr>
        <w:ind w:left="720"/>
        <w:jc w:val="center"/>
        <w:rPr>
          <w:rFonts w:ascii="Arial" w:hAnsi="Arial" w:cs="Arial"/>
          <w:b/>
          <w:bCs/>
          <w:sz w:val="22"/>
          <w:u w:val="single"/>
          <w:lang w:val="es-ES_tradnl"/>
        </w:rPr>
      </w:pPr>
      <w:r w:rsidRPr="00296FF3">
        <w:rPr>
          <w:rFonts w:ascii="Arial" w:hAnsi="Arial" w:cs="Arial"/>
          <w:b/>
          <w:bCs/>
          <w:sz w:val="22"/>
          <w:u w:val="single"/>
          <w:lang w:val="es-ES_tradnl"/>
        </w:rPr>
        <w:lastRenderedPageBreak/>
        <w:t>Análisis de Demanda de Crédito Rural Insatisfecho en México</w:t>
      </w:r>
    </w:p>
    <w:p w14:paraId="6D90B565" w14:textId="320A0FA6" w:rsidR="00045935" w:rsidRPr="000D492C" w:rsidRDefault="00045935" w:rsidP="00045935">
      <w:pPr>
        <w:pStyle w:val="Paragraph"/>
        <w:tabs>
          <w:tab w:val="clear" w:pos="2448"/>
          <w:tab w:val="num" w:pos="720"/>
        </w:tabs>
        <w:ind w:left="720" w:hanging="720"/>
        <w:rPr>
          <w:rFonts w:ascii="Arial" w:hAnsi="Arial" w:cs="Arial"/>
          <w:sz w:val="22"/>
          <w:lang w:val="es-ES_tradnl"/>
        </w:rPr>
      </w:pPr>
      <w:r w:rsidRPr="000D492C">
        <w:rPr>
          <w:rFonts w:ascii="Arial" w:hAnsi="Arial" w:cs="Arial"/>
          <w:b/>
          <w:sz w:val="22"/>
          <w:lang w:val="es-ES_tradnl"/>
        </w:rPr>
        <w:t>Espacio para la intervención pública.</w:t>
      </w:r>
      <w:r w:rsidRPr="000D492C">
        <w:rPr>
          <w:rFonts w:ascii="Arial" w:hAnsi="Arial" w:cs="Arial"/>
          <w:sz w:val="22"/>
          <w:lang w:val="es-ES_tradnl"/>
        </w:rPr>
        <w:t xml:space="preserve"> Intervenciones públicas como las apoyadas en el presente programa han de prestar particular atención a los potenciales efectos que puedan generar a partir de la interacción con el sector privado, cuyos participantes relevantes en este caso son las Unidades Económicas Rurales (UER) pero también los actuales intermediarios financieros. En particular en lo relacionado a estos últimos es importante establecer si el accionar público será </w:t>
      </w:r>
      <w:r w:rsidR="007B401F" w:rsidRPr="000D492C">
        <w:rPr>
          <w:rFonts w:ascii="Arial" w:hAnsi="Arial" w:cs="Arial"/>
          <w:sz w:val="22"/>
          <w:lang w:val="es-ES_tradnl"/>
        </w:rPr>
        <w:t>complementario o</w:t>
      </w:r>
      <w:r w:rsidRPr="000D492C">
        <w:rPr>
          <w:rFonts w:ascii="Arial" w:hAnsi="Arial" w:cs="Arial"/>
          <w:sz w:val="22"/>
          <w:lang w:val="es-ES_tradnl"/>
        </w:rPr>
        <w:t xml:space="preserve"> substitutivo de su accionar, en particular, en lo que se refiere al volumen de crédito provisto al sector primario. Esta pregunta se encuentra relacionada al establecimiento de situaciones de racionamiento crediticio y otras restricciones al acceso al financiamiento</w:t>
      </w:r>
      <w:r w:rsidRPr="000D492C">
        <w:rPr>
          <w:rStyle w:val="FootnoteReference"/>
          <w:rFonts w:ascii="Arial" w:hAnsi="Arial" w:cs="Arial"/>
          <w:sz w:val="22"/>
          <w:lang w:val="es-ES_tradnl"/>
        </w:rPr>
        <w:footnoteReference w:id="1"/>
      </w:r>
      <w:r w:rsidRPr="000D492C">
        <w:rPr>
          <w:rFonts w:ascii="Arial" w:hAnsi="Arial" w:cs="Arial"/>
          <w:sz w:val="22"/>
          <w:lang w:val="es-ES_tradnl"/>
        </w:rPr>
        <w:t>. Resulta entonces importante justificar que la intervención no desplazará financiamiento privado existente sólo para reemplazarlo con financiamiento público –es decir, es necesario proveer evidencia de que existe una demanda de crédito insatisfecha que será parcialmente atendida con esta intervención.</w:t>
      </w:r>
    </w:p>
    <w:p w14:paraId="638BC34C" w14:textId="5A3FEF1D" w:rsidR="00045935" w:rsidRPr="000D492C" w:rsidRDefault="00045935" w:rsidP="00045935">
      <w:pPr>
        <w:pStyle w:val="Paragraph"/>
        <w:tabs>
          <w:tab w:val="clear" w:pos="2448"/>
          <w:tab w:val="num" w:pos="720"/>
        </w:tabs>
        <w:ind w:left="720" w:hanging="720"/>
        <w:rPr>
          <w:rFonts w:ascii="Arial" w:hAnsi="Arial" w:cs="Arial"/>
          <w:sz w:val="22"/>
          <w:lang w:val="es-ES_tradnl"/>
        </w:rPr>
      </w:pPr>
      <w:r w:rsidRPr="000D492C">
        <w:rPr>
          <w:rFonts w:ascii="Arial" w:hAnsi="Arial" w:cs="Arial"/>
          <w:b/>
          <w:sz w:val="22"/>
          <w:lang w:val="es-ES_tradnl"/>
        </w:rPr>
        <w:t>Alineamiento.</w:t>
      </w:r>
      <w:r w:rsidRPr="000D492C">
        <w:rPr>
          <w:rFonts w:ascii="Arial" w:hAnsi="Arial" w:cs="Arial"/>
          <w:sz w:val="22"/>
          <w:lang w:val="es-ES_tradnl"/>
        </w:rPr>
        <w:t xml:space="preserve"> La importancia del dimensionamiento de la demanda está en línea con la lógica establecida por el Documento de Marco Sectorial Sobre Respaldo para P</w:t>
      </w:r>
      <w:r w:rsidR="005B4BB3">
        <w:rPr>
          <w:rFonts w:ascii="Arial" w:hAnsi="Arial" w:cs="Arial"/>
          <w:sz w:val="22"/>
          <w:lang w:val="es-ES_tradnl"/>
        </w:rPr>
        <w:t>y</w:t>
      </w:r>
      <w:r w:rsidRPr="000D492C">
        <w:rPr>
          <w:rFonts w:ascii="Arial" w:hAnsi="Arial" w:cs="Arial"/>
          <w:sz w:val="22"/>
          <w:lang w:val="es-ES_tradnl"/>
        </w:rPr>
        <w:t>ME y Acceso y Supervisión Financiero</w:t>
      </w:r>
      <w:r w:rsidRPr="000D492C">
        <w:rPr>
          <w:rFonts w:ascii="Arial" w:hAnsi="Arial" w:cs="Arial"/>
          <w:sz w:val="22"/>
          <w:vertAlign w:val="superscript"/>
        </w:rPr>
        <w:footnoteReference w:id="2"/>
      </w:r>
      <w:r w:rsidRPr="000D492C">
        <w:rPr>
          <w:rFonts w:ascii="Arial" w:hAnsi="Arial" w:cs="Arial"/>
          <w:sz w:val="22"/>
          <w:lang w:val="es-ES_tradnl"/>
        </w:rPr>
        <w:t xml:space="preserve"> (o SFD, por sus siglas en inglés), que a su vez se enmarca dentro de la “Estrategia Sectorial sobre las Instituciones para el Crecimiento y el Bienestar Social” (GN-2587-</w:t>
      </w:r>
      <w:r w:rsidR="00586DA4">
        <w:rPr>
          <w:rFonts w:ascii="Arial" w:hAnsi="Arial" w:cs="Arial"/>
          <w:sz w:val="22"/>
          <w:lang w:val="es-ES_tradnl"/>
        </w:rPr>
        <w:t>4</w:t>
      </w:r>
      <w:r w:rsidRPr="000D492C">
        <w:rPr>
          <w:rFonts w:ascii="Arial" w:hAnsi="Arial" w:cs="Arial"/>
          <w:sz w:val="22"/>
          <w:lang w:val="es-ES_tradnl"/>
        </w:rPr>
        <w:t>), la cual establece dentro de sus ámbitos de acción el incremento de la productividad y el crecimiento de la Pequeña y Mediana Empresa (P</w:t>
      </w:r>
      <w:r w:rsidR="00733269">
        <w:rPr>
          <w:rFonts w:ascii="Arial" w:hAnsi="Arial" w:cs="Arial"/>
          <w:sz w:val="22"/>
          <w:lang w:val="es-ES_tradnl"/>
        </w:rPr>
        <w:t>y</w:t>
      </w:r>
      <w:r w:rsidRPr="000D492C">
        <w:rPr>
          <w:rFonts w:ascii="Arial" w:hAnsi="Arial" w:cs="Arial"/>
          <w:sz w:val="22"/>
          <w:lang w:val="es-ES_tradnl"/>
        </w:rPr>
        <w:t>ME). Más específicamente el referido marco señala el limitado acceso a financiamiento como uno de los factores claves que restringen la productividad y el crecimiento del sector privado, afectando particularmente a las P</w:t>
      </w:r>
      <w:r w:rsidR="00733269">
        <w:rPr>
          <w:rFonts w:ascii="Arial" w:hAnsi="Arial" w:cs="Arial"/>
          <w:sz w:val="22"/>
          <w:lang w:val="es-ES_tradnl"/>
        </w:rPr>
        <w:t>y</w:t>
      </w:r>
      <w:r w:rsidRPr="000D492C">
        <w:rPr>
          <w:rFonts w:ascii="Arial" w:hAnsi="Arial" w:cs="Arial"/>
          <w:sz w:val="22"/>
          <w:lang w:val="es-ES_tradnl"/>
        </w:rPr>
        <w:t xml:space="preserve">ME (véase </w:t>
      </w:r>
      <w:r w:rsidR="00CF1915">
        <w:rPr>
          <w:rFonts w:ascii="Arial" w:hAnsi="Arial" w:cs="Arial"/>
          <w:sz w:val="22"/>
          <w:lang w:val="es-ES_tradnl"/>
        </w:rPr>
        <w:t>c</w:t>
      </w:r>
      <w:r w:rsidRPr="000D492C">
        <w:rPr>
          <w:rFonts w:ascii="Arial" w:hAnsi="Arial" w:cs="Arial"/>
          <w:sz w:val="22"/>
          <w:lang w:val="es-ES_tradnl"/>
        </w:rPr>
        <w:t xml:space="preserve">uadro 1) de las cuales las UER son un caso particular. En línea con los objetivos del programa propuesto establecidos en la Matriz de Resultados, el programa busca </w:t>
      </w:r>
      <w:r w:rsidRPr="000D492C">
        <w:rPr>
          <w:rFonts w:ascii="Arial" w:hAnsi="Arial" w:cs="Arial"/>
          <w:sz w:val="22"/>
          <w:szCs w:val="20"/>
        </w:rPr>
        <w:t>contribuir a elevar la productividad del sector primario, mediante un mayor acceso a financiamiento por parte de las UER, en particular aquellas de menor inclusión financiera, para realizar inversiones productivas</w:t>
      </w:r>
      <w:r w:rsidRPr="000D492C">
        <w:rPr>
          <w:rFonts w:ascii="Arial" w:hAnsi="Arial" w:cs="Arial"/>
          <w:sz w:val="22"/>
          <w:lang w:val="es-ES_tradnl"/>
        </w:rPr>
        <w:t xml:space="preserve">. </w:t>
      </w:r>
    </w:p>
    <w:p w14:paraId="439AB4A4" w14:textId="630CB796" w:rsidR="00045935" w:rsidRPr="00427876" w:rsidRDefault="00045935" w:rsidP="00045935">
      <w:pPr>
        <w:pStyle w:val="Paragraph"/>
        <w:tabs>
          <w:tab w:val="clear" w:pos="2448"/>
          <w:tab w:val="num" w:pos="720"/>
        </w:tabs>
        <w:ind w:left="720" w:hanging="720"/>
        <w:rPr>
          <w:rFonts w:ascii="Arial" w:hAnsi="Arial" w:cs="Arial"/>
          <w:sz w:val="22"/>
          <w:lang w:val="es-ES_tradnl"/>
        </w:rPr>
      </w:pPr>
      <w:r w:rsidRPr="000D492C">
        <w:rPr>
          <w:rFonts w:ascii="Arial" w:hAnsi="Arial" w:cs="Arial"/>
          <w:b/>
          <w:sz w:val="22"/>
          <w:lang w:val="es-ES_tradnl"/>
        </w:rPr>
        <w:t xml:space="preserve">Relevancia empírica local. </w:t>
      </w:r>
      <w:r w:rsidRPr="000D492C">
        <w:rPr>
          <w:rFonts w:ascii="Arial" w:hAnsi="Arial" w:cs="Arial"/>
          <w:sz w:val="22"/>
          <w:lang w:val="es-ES_tradnl"/>
        </w:rPr>
        <w:t>Resulta de interés resaltar que la importancia del crédito como un factor productivo de relevancia en el sector primario de la economía mexicana. En un extenso estudio cubriendo el período 1975-2006 y todo el sector primario de la economía mexicana, Terrones-Cordero y Sánchez-Torre (2010)</w:t>
      </w:r>
      <w:r w:rsidRPr="000D492C">
        <w:rPr>
          <w:rStyle w:val="FootnoteReference"/>
          <w:rFonts w:ascii="Arial" w:hAnsi="Arial" w:cs="Arial"/>
          <w:sz w:val="22"/>
          <w:lang w:val="es-ES_tradnl"/>
        </w:rPr>
        <w:footnoteReference w:id="3"/>
      </w:r>
      <w:r w:rsidRPr="000D492C">
        <w:rPr>
          <w:rFonts w:ascii="Arial" w:hAnsi="Arial" w:cs="Arial"/>
          <w:sz w:val="22"/>
          <w:lang w:val="es-ES_tradnl"/>
        </w:rPr>
        <w:t xml:space="preserve"> aplican una función de costo</w:t>
      </w:r>
      <w:r w:rsidRPr="000D492C">
        <w:rPr>
          <w:rStyle w:val="FootnoteReference"/>
          <w:rFonts w:ascii="Arial" w:hAnsi="Arial" w:cs="Arial"/>
          <w:sz w:val="22"/>
          <w:lang w:val="es-ES_tradnl"/>
        </w:rPr>
        <w:footnoteReference w:id="4"/>
      </w:r>
      <w:r w:rsidRPr="000D492C">
        <w:rPr>
          <w:rFonts w:ascii="Arial" w:hAnsi="Arial" w:cs="Arial"/>
          <w:sz w:val="22"/>
          <w:lang w:val="es-ES_tradnl"/>
        </w:rPr>
        <w:t xml:space="preserve"> para derivar un sistema de ocho demandas de insumos (trabajo, tractores, trilladoras, crédito de la banca comercial y de desarrollo, fertilizantes nitrogenados, fosfatados y potásicos), empleando series de tiempo correspondientes a  1975-2006 con el objetivo de determinar la composición y comportamiento de la producción agrícola en México. Se estableció que el trabajo y el crédito representaron el 92 % de la estructura de costos (60% y 32% respectivamente) señalando una estructura productiva todavía de baja tecnificación y altamente dependiente del crédito, resultados estos que se alinea con la lógica ya mencionada. </w:t>
      </w:r>
      <w:r w:rsidRPr="000D492C">
        <w:rPr>
          <w:rFonts w:ascii="Arial" w:hAnsi="Arial" w:cs="Arial"/>
          <w:sz w:val="22"/>
          <w:lang w:val="es-ES_tradnl"/>
        </w:rPr>
        <w:lastRenderedPageBreak/>
        <w:t>Adicionalmente, Love y Sánchez (2009)</w:t>
      </w:r>
      <w:r w:rsidRPr="000D492C">
        <w:rPr>
          <w:rStyle w:val="FootnoteReference"/>
          <w:rFonts w:ascii="Arial" w:hAnsi="Arial" w:cs="Arial"/>
          <w:sz w:val="22"/>
          <w:lang w:val="es-ES_tradnl"/>
        </w:rPr>
        <w:footnoteReference w:id="5"/>
      </w:r>
      <w:r w:rsidRPr="000D492C">
        <w:rPr>
          <w:rFonts w:ascii="Arial" w:hAnsi="Arial" w:cs="Arial"/>
          <w:sz w:val="22"/>
          <w:lang w:val="es-ES_tradnl"/>
        </w:rPr>
        <w:t xml:space="preserve"> encuentran </w:t>
      </w:r>
      <w:r w:rsidR="00733269" w:rsidRPr="000D492C">
        <w:rPr>
          <w:rFonts w:ascii="Arial" w:hAnsi="Arial" w:cs="Arial"/>
          <w:sz w:val="22"/>
          <w:lang w:val="es-ES_tradnl"/>
        </w:rPr>
        <w:t>amplias</w:t>
      </w:r>
      <w:r w:rsidR="00733269">
        <w:rPr>
          <w:rFonts w:ascii="Arial" w:hAnsi="Arial" w:cs="Arial"/>
          <w:sz w:val="22"/>
          <w:lang w:val="es-ES_tradnl"/>
        </w:rPr>
        <w:t xml:space="preserve"> </w:t>
      </w:r>
      <w:r w:rsidR="00733269" w:rsidRPr="000D492C">
        <w:rPr>
          <w:rFonts w:ascii="Arial" w:hAnsi="Arial" w:cs="Arial"/>
          <w:sz w:val="22"/>
          <w:lang w:val="es-ES_tradnl"/>
        </w:rPr>
        <w:t>diferencias</w:t>
      </w:r>
      <w:r w:rsidRPr="000D492C">
        <w:rPr>
          <w:rFonts w:ascii="Arial" w:hAnsi="Arial" w:cs="Arial"/>
          <w:sz w:val="22"/>
          <w:lang w:val="es-ES_tradnl"/>
        </w:rPr>
        <w:t xml:space="preserve"> en la inversión en activos físicos entre grajeros y emprendimientos agrícolas sujetos a racionamiento crediticios comparados con aquellos con acceso a crédito formal (39% menos inversión en activos fijos en el caso de los granjeros, y 19% de inversión en el caso de emprendimientos agrícolas considerando valores medios para cada grupo). La relevancia empírica de esta lógica para el caso rural en México también es avalada por Escalante, Catalán, y Basurto (2013)</w:t>
      </w:r>
      <w:r w:rsidRPr="000D492C">
        <w:rPr>
          <w:rStyle w:val="FootnoteReference"/>
          <w:rFonts w:ascii="Arial" w:hAnsi="Arial" w:cs="Arial"/>
          <w:sz w:val="22"/>
          <w:lang w:val="es-ES_tradnl"/>
        </w:rPr>
        <w:footnoteReference w:id="6"/>
      </w:r>
      <w:r w:rsidRPr="000D492C">
        <w:rPr>
          <w:rFonts w:ascii="Arial" w:hAnsi="Arial" w:cs="Arial"/>
          <w:sz w:val="22"/>
          <w:lang w:val="es-ES_tradnl"/>
        </w:rPr>
        <w:t xml:space="preserve">, que encuentran que el valor bruto de la producción por municipio es 113% mayor para unidades de producción con crédito en comparación a aquellas sin crédito, con superioridad de las unidades productivas con crédito </w:t>
      </w:r>
      <w:r w:rsidRPr="00427876">
        <w:rPr>
          <w:rFonts w:ascii="Arial" w:hAnsi="Arial" w:cs="Arial"/>
          <w:sz w:val="22"/>
          <w:lang w:val="es-ES_tradnl"/>
        </w:rPr>
        <w:t>también extendida al rendimiento promedio (+91%).</w:t>
      </w:r>
    </w:p>
    <w:p w14:paraId="3395E004" w14:textId="2D77A933" w:rsidR="000D492C" w:rsidRDefault="000D492C" w:rsidP="00045935">
      <w:pPr>
        <w:pStyle w:val="Paragraph"/>
        <w:tabs>
          <w:tab w:val="clear" w:pos="2448"/>
          <w:tab w:val="num" w:pos="720"/>
        </w:tabs>
        <w:ind w:left="720" w:hanging="720"/>
        <w:rPr>
          <w:rFonts w:ascii="Arial" w:hAnsi="Arial" w:cs="Arial"/>
          <w:sz w:val="22"/>
          <w:lang w:val="es-ES_tradnl"/>
        </w:rPr>
      </w:pPr>
      <w:r w:rsidRPr="00DB3A8E">
        <w:rPr>
          <w:rFonts w:ascii="Arial" w:hAnsi="Arial" w:cs="Arial"/>
          <w:b/>
          <w:bCs/>
          <w:sz w:val="22"/>
          <w:lang w:val="es-ES_tradnl"/>
        </w:rPr>
        <w:t>Estimación de demanda</w:t>
      </w:r>
      <w:r w:rsidR="00427876" w:rsidRPr="00DB3A8E">
        <w:rPr>
          <w:rFonts w:ascii="Arial" w:hAnsi="Arial" w:cs="Arial"/>
          <w:sz w:val="22"/>
          <w:lang w:val="es-ES_tradnl"/>
        </w:rPr>
        <w:t>. Dado que el último censo agrícola realizado en México data del año 2007, se opta por utilizar en este análisis fuentes más recientes para calcular la dimensión de la posible demanda potencial para el presente programa. En primer lugar, utilizaremos las estimaciones de</w:t>
      </w:r>
      <w:r w:rsidR="00DB3A8E">
        <w:rPr>
          <w:rFonts w:ascii="Arial" w:hAnsi="Arial" w:cs="Arial"/>
          <w:sz w:val="22"/>
          <w:lang w:val="es-ES_tradnl"/>
        </w:rPr>
        <w:t>l</w:t>
      </w:r>
      <w:r w:rsidR="00427876" w:rsidRPr="00DB3A8E">
        <w:rPr>
          <w:rFonts w:ascii="Arial" w:hAnsi="Arial" w:cs="Arial"/>
          <w:sz w:val="22"/>
          <w:lang w:val="es-ES_tradnl"/>
        </w:rPr>
        <w:t xml:space="preserve"> número de Unidades </w:t>
      </w:r>
      <w:r w:rsidR="00DB3A8E" w:rsidRPr="00DB3A8E">
        <w:rPr>
          <w:rFonts w:ascii="Arial" w:hAnsi="Arial" w:cs="Arial"/>
          <w:sz w:val="22"/>
          <w:lang w:val="es-ES_tradnl"/>
        </w:rPr>
        <w:t xml:space="preserve">Económicas Rurales (UER) presentes en el estudio de </w:t>
      </w:r>
      <w:proofErr w:type="spellStart"/>
      <w:r w:rsidR="00DB3A8E" w:rsidRPr="00DB3A8E">
        <w:rPr>
          <w:rFonts w:ascii="Arial" w:hAnsi="Arial" w:cs="Arial"/>
          <w:sz w:val="22"/>
          <w:lang w:val="es-ES_tradnl"/>
        </w:rPr>
        <w:t>Sagarpa</w:t>
      </w:r>
      <w:proofErr w:type="spellEnd"/>
      <w:r w:rsidR="00DB3A8E" w:rsidRPr="00DB3A8E">
        <w:rPr>
          <w:rFonts w:ascii="Arial" w:hAnsi="Arial" w:cs="Arial"/>
          <w:sz w:val="22"/>
          <w:lang w:val="es-ES_tradnl"/>
        </w:rPr>
        <w:t xml:space="preserve"> (2012)</w:t>
      </w:r>
      <w:r w:rsidR="00DB3A8E">
        <w:rPr>
          <w:rStyle w:val="FootnoteReference"/>
          <w:rFonts w:ascii="Arial" w:hAnsi="Arial" w:cs="Arial"/>
          <w:sz w:val="22"/>
          <w:lang w:val="es-ES_tradnl"/>
        </w:rPr>
        <w:footnoteReference w:id="7"/>
      </w:r>
      <w:r w:rsidR="00DB3A8E" w:rsidRPr="00DB3A8E">
        <w:rPr>
          <w:rFonts w:ascii="Arial" w:hAnsi="Arial" w:cs="Arial"/>
          <w:sz w:val="22"/>
          <w:lang w:val="es-ES_tradnl"/>
        </w:rPr>
        <w:t xml:space="preserve">. En este estudio se calcula que, a 2012, el número total de UER en México ascendía a 5.3 millones. </w:t>
      </w:r>
      <w:r w:rsidR="00DB3A8E">
        <w:rPr>
          <w:rFonts w:ascii="Arial" w:hAnsi="Arial" w:cs="Arial"/>
          <w:sz w:val="22"/>
          <w:lang w:val="es-ES_tradnl"/>
        </w:rPr>
        <w:t xml:space="preserve">Además, se calculó el número de UER por estratos, lo cuales se presentan en el </w:t>
      </w:r>
      <w:r w:rsidR="001E62FC" w:rsidRPr="001E62FC">
        <w:rPr>
          <w:rFonts w:ascii="Arial" w:hAnsi="Arial" w:cs="Arial"/>
          <w:sz w:val="22"/>
          <w:lang w:val="es-ES_tradnl"/>
        </w:rPr>
        <w:fldChar w:fldCharType="begin"/>
      </w:r>
      <w:r w:rsidR="001E62FC">
        <w:rPr>
          <w:rFonts w:ascii="Arial" w:hAnsi="Arial" w:cs="Arial"/>
          <w:sz w:val="22"/>
          <w:lang w:val="es-ES_tradnl"/>
        </w:rPr>
        <w:instrText xml:space="preserve"> REF _Ref17902207 \h  \* MERGEFORMAT </w:instrText>
      </w:r>
      <w:r w:rsidR="001E62FC" w:rsidRPr="001E62FC">
        <w:rPr>
          <w:rFonts w:ascii="Arial" w:hAnsi="Arial" w:cs="Arial"/>
          <w:sz w:val="22"/>
          <w:lang w:val="es-ES_tradnl"/>
        </w:rPr>
      </w:r>
      <w:r w:rsidR="001E62FC" w:rsidRPr="001E62FC">
        <w:rPr>
          <w:rFonts w:ascii="Arial" w:hAnsi="Arial" w:cs="Arial"/>
          <w:sz w:val="22"/>
          <w:lang w:val="es-ES_tradnl"/>
        </w:rPr>
        <w:fldChar w:fldCharType="separate"/>
      </w:r>
      <w:r w:rsidR="00E052A2">
        <w:rPr>
          <w:rFonts w:ascii="Arial" w:hAnsi="Arial" w:cs="Arial"/>
          <w:sz w:val="22"/>
          <w:lang w:val="es-ES_tradnl"/>
        </w:rPr>
        <w:t>c</w:t>
      </w:r>
      <w:r w:rsidR="001C14F0" w:rsidRPr="001C14F0">
        <w:rPr>
          <w:rFonts w:ascii="Arial" w:hAnsi="Arial" w:cs="Arial"/>
          <w:sz w:val="22"/>
          <w:lang w:val="es-ES_tradnl"/>
        </w:rPr>
        <w:t>uadro 1</w:t>
      </w:r>
      <w:r w:rsidR="001E62FC" w:rsidRPr="001E62FC">
        <w:rPr>
          <w:rFonts w:ascii="Arial" w:hAnsi="Arial" w:cs="Arial"/>
          <w:sz w:val="22"/>
          <w:lang w:val="es-ES_tradnl"/>
        </w:rPr>
        <w:fldChar w:fldCharType="end"/>
      </w:r>
      <w:r w:rsidR="00DB3A8E">
        <w:rPr>
          <w:rFonts w:ascii="Arial" w:hAnsi="Arial" w:cs="Arial"/>
          <w:sz w:val="22"/>
          <w:lang w:val="es-ES_tradnl"/>
        </w:rPr>
        <w:t>. Como se menciona en el POD de la presente operación, el objetivo del programa es atender a los estratos E3</w:t>
      </w:r>
      <w:r w:rsidR="001E62FC">
        <w:rPr>
          <w:rFonts w:ascii="Arial" w:hAnsi="Arial" w:cs="Arial"/>
          <w:sz w:val="22"/>
          <w:lang w:val="es-ES_tradnl"/>
        </w:rPr>
        <w:t>,</w:t>
      </w:r>
      <w:r w:rsidR="00DB3A8E">
        <w:rPr>
          <w:rFonts w:ascii="Arial" w:hAnsi="Arial" w:cs="Arial"/>
          <w:sz w:val="22"/>
          <w:lang w:val="es-ES_tradnl"/>
        </w:rPr>
        <w:t xml:space="preserve"> E4</w:t>
      </w:r>
      <w:r w:rsidR="001E62FC">
        <w:rPr>
          <w:rFonts w:ascii="Arial" w:hAnsi="Arial" w:cs="Arial"/>
          <w:sz w:val="22"/>
          <w:lang w:val="es-ES_tradnl"/>
        </w:rPr>
        <w:t xml:space="preserve"> y E5</w:t>
      </w:r>
      <w:r w:rsidR="00DB3A8E">
        <w:rPr>
          <w:rFonts w:ascii="Arial" w:hAnsi="Arial" w:cs="Arial"/>
          <w:sz w:val="22"/>
          <w:lang w:val="es-ES_tradnl"/>
        </w:rPr>
        <w:t xml:space="preserve"> a la vez que se buscará incluir a las UER en los percentiles superiores de ingreso del estrato E2. Dado que no se cuenta con información de número de UER por percentil dentro de cada estrato se optará por solo considerar a las de E3 </w:t>
      </w:r>
      <w:r w:rsidR="00742126">
        <w:rPr>
          <w:rFonts w:ascii="Arial" w:hAnsi="Arial" w:cs="Arial"/>
          <w:sz w:val="22"/>
          <w:lang w:val="es-ES_tradnl"/>
        </w:rPr>
        <w:t>(442.370 UER)</w:t>
      </w:r>
      <w:r w:rsidR="001E62FC">
        <w:rPr>
          <w:rFonts w:ascii="Arial" w:hAnsi="Arial" w:cs="Arial"/>
          <w:sz w:val="22"/>
          <w:lang w:val="es-ES_tradnl"/>
        </w:rPr>
        <w:t>,</w:t>
      </w:r>
      <w:r w:rsidR="00DB3A8E">
        <w:rPr>
          <w:rFonts w:ascii="Arial" w:hAnsi="Arial" w:cs="Arial"/>
          <w:sz w:val="22"/>
          <w:lang w:val="es-ES_tradnl"/>
        </w:rPr>
        <w:t xml:space="preserve"> E4 </w:t>
      </w:r>
      <w:r w:rsidR="00742126">
        <w:rPr>
          <w:rFonts w:ascii="Arial" w:hAnsi="Arial" w:cs="Arial"/>
          <w:sz w:val="22"/>
          <w:lang w:val="es-ES_tradnl"/>
        </w:rPr>
        <w:t xml:space="preserve">(528.355 UER) </w:t>
      </w:r>
      <w:r w:rsidR="001E62FC">
        <w:rPr>
          <w:rFonts w:ascii="Arial" w:hAnsi="Arial" w:cs="Arial"/>
          <w:sz w:val="22"/>
          <w:lang w:val="es-ES_tradnl"/>
        </w:rPr>
        <w:t xml:space="preserve">y E5 (448.101) </w:t>
      </w:r>
      <w:r w:rsidR="00DB3A8E">
        <w:rPr>
          <w:rFonts w:ascii="Arial" w:hAnsi="Arial" w:cs="Arial"/>
          <w:sz w:val="22"/>
          <w:lang w:val="es-ES_tradnl"/>
        </w:rPr>
        <w:t xml:space="preserve">para este análisis. A pesar de esta limitación, esta elección mantendrá los estimados de demanda potencial en el lado conservador. </w:t>
      </w:r>
      <w:r w:rsidR="00742126">
        <w:rPr>
          <w:rFonts w:ascii="Arial" w:hAnsi="Arial" w:cs="Arial"/>
          <w:sz w:val="22"/>
          <w:lang w:val="es-ES_tradnl"/>
        </w:rPr>
        <w:t xml:space="preserve">Así, tenemos que la población objetivo total es igual a </w:t>
      </w:r>
      <w:r w:rsidR="001E62FC">
        <w:rPr>
          <w:rFonts w:ascii="Arial" w:hAnsi="Arial" w:cs="Arial"/>
          <w:sz w:val="22"/>
          <w:lang w:val="es-ES_tradnl"/>
        </w:rPr>
        <w:t>1.418.826</w:t>
      </w:r>
      <w:r w:rsidR="00742126">
        <w:rPr>
          <w:rFonts w:ascii="Arial" w:hAnsi="Arial" w:cs="Arial"/>
          <w:sz w:val="22"/>
          <w:lang w:val="es-ES_tradnl"/>
        </w:rPr>
        <w:t xml:space="preserve"> UER.</w:t>
      </w:r>
    </w:p>
    <w:p w14:paraId="1BF0CA60" w14:textId="07DD70AB" w:rsidR="001E62FC" w:rsidRPr="00733269" w:rsidRDefault="00733269" w:rsidP="001E62FC">
      <w:pPr>
        <w:pStyle w:val="Caption"/>
        <w:jc w:val="center"/>
        <w:rPr>
          <w:rFonts w:ascii="Arial" w:hAnsi="Arial" w:cs="Arial"/>
          <w:b/>
          <w:bCs/>
          <w:i w:val="0"/>
          <w:iCs w:val="0"/>
          <w:color w:val="000000" w:themeColor="text1"/>
          <w:sz w:val="28"/>
          <w:szCs w:val="22"/>
          <w:lang w:val="es-ES_tradnl"/>
        </w:rPr>
      </w:pPr>
      <w:bookmarkStart w:id="0" w:name="_Ref17902207"/>
      <w:r>
        <w:rPr>
          <w:rFonts w:ascii="Arial" w:hAnsi="Arial" w:cs="Arial"/>
          <w:b/>
          <w:bCs/>
          <w:i w:val="0"/>
          <w:iCs w:val="0"/>
          <w:color w:val="000000" w:themeColor="text1"/>
          <w:sz w:val="22"/>
          <w:szCs w:val="22"/>
        </w:rPr>
        <w:tab/>
      </w:r>
      <w:r w:rsidR="00436965">
        <w:rPr>
          <w:rFonts w:ascii="Arial" w:hAnsi="Arial" w:cs="Arial"/>
          <w:b/>
          <w:bCs/>
          <w:i w:val="0"/>
          <w:iCs w:val="0"/>
          <w:color w:val="000000" w:themeColor="text1"/>
          <w:sz w:val="22"/>
          <w:szCs w:val="22"/>
        </w:rPr>
        <w:tab/>
      </w:r>
      <w:r w:rsidR="001E62FC" w:rsidRPr="00733269">
        <w:rPr>
          <w:rFonts w:ascii="Arial" w:hAnsi="Arial" w:cs="Arial"/>
          <w:b/>
          <w:bCs/>
          <w:i w:val="0"/>
          <w:iCs w:val="0"/>
          <w:color w:val="000000" w:themeColor="text1"/>
          <w:sz w:val="22"/>
          <w:szCs w:val="22"/>
        </w:rPr>
        <w:t xml:space="preserve">Cuadro </w:t>
      </w:r>
      <w:r w:rsidR="001E62FC" w:rsidRPr="00733269">
        <w:rPr>
          <w:rFonts w:ascii="Arial" w:hAnsi="Arial" w:cs="Arial"/>
          <w:b/>
          <w:bCs/>
          <w:i w:val="0"/>
          <w:iCs w:val="0"/>
          <w:color w:val="000000" w:themeColor="text1"/>
          <w:sz w:val="22"/>
          <w:szCs w:val="22"/>
        </w:rPr>
        <w:fldChar w:fldCharType="begin"/>
      </w:r>
      <w:r w:rsidR="001E62FC" w:rsidRPr="00733269">
        <w:rPr>
          <w:rFonts w:ascii="Arial" w:hAnsi="Arial" w:cs="Arial"/>
          <w:b/>
          <w:bCs/>
          <w:i w:val="0"/>
          <w:iCs w:val="0"/>
          <w:color w:val="000000" w:themeColor="text1"/>
          <w:sz w:val="22"/>
          <w:szCs w:val="22"/>
        </w:rPr>
        <w:instrText xml:space="preserve"> SEQ Cuadro \* ARABIC </w:instrText>
      </w:r>
      <w:r w:rsidR="001E62FC" w:rsidRPr="00733269">
        <w:rPr>
          <w:rFonts w:ascii="Arial" w:hAnsi="Arial" w:cs="Arial"/>
          <w:b/>
          <w:bCs/>
          <w:i w:val="0"/>
          <w:iCs w:val="0"/>
          <w:color w:val="000000" w:themeColor="text1"/>
          <w:sz w:val="22"/>
          <w:szCs w:val="22"/>
        </w:rPr>
        <w:fldChar w:fldCharType="separate"/>
      </w:r>
      <w:r w:rsidR="001C14F0" w:rsidRPr="00733269">
        <w:rPr>
          <w:rFonts w:ascii="Arial" w:hAnsi="Arial" w:cs="Arial"/>
          <w:b/>
          <w:bCs/>
          <w:i w:val="0"/>
          <w:iCs w:val="0"/>
          <w:noProof/>
          <w:color w:val="000000" w:themeColor="text1"/>
          <w:sz w:val="22"/>
          <w:szCs w:val="22"/>
        </w:rPr>
        <w:t>1</w:t>
      </w:r>
      <w:r w:rsidR="001E62FC" w:rsidRPr="00733269">
        <w:rPr>
          <w:rFonts w:ascii="Arial" w:hAnsi="Arial" w:cs="Arial"/>
          <w:b/>
          <w:bCs/>
          <w:i w:val="0"/>
          <w:iCs w:val="0"/>
          <w:color w:val="000000" w:themeColor="text1"/>
          <w:sz w:val="22"/>
          <w:szCs w:val="22"/>
        </w:rPr>
        <w:fldChar w:fldCharType="end"/>
      </w:r>
      <w:bookmarkEnd w:id="0"/>
      <w:r w:rsidR="001E62FC" w:rsidRPr="00733269">
        <w:rPr>
          <w:rFonts w:ascii="Arial" w:hAnsi="Arial" w:cs="Arial"/>
          <w:b/>
          <w:bCs/>
          <w:i w:val="0"/>
          <w:iCs w:val="0"/>
          <w:color w:val="000000" w:themeColor="text1"/>
          <w:sz w:val="22"/>
          <w:szCs w:val="22"/>
        </w:rPr>
        <w:t>. Número total de UER en México</w:t>
      </w:r>
    </w:p>
    <w:p w14:paraId="06FE5BAB" w14:textId="6D30770E" w:rsidR="001E62FC" w:rsidRDefault="001E62FC" w:rsidP="001E62FC">
      <w:pPr>
        <w:pStyle w:val="Paragraph"/>
        <w:numPr>
          <w:ilvl w:val="0"/>
          <w:numId w:val="0"/>
        </w:numPr>
        <w:ind w:left="720"/>
        <w:jc w:val="center"/>
        <w:rPr>
          <w:rFonts w:ascii="Arial" w:hAnsi="Arial" w:cs="Arial"/>
          <w:sz w:val="22"/>
          <w:lang w:val="es-ES_tradnl"/>
        </w:rPr>
      </w:pPr>
      <w:r w:rsidRPr="001E62FC">
        <w:rPr>
          <w:noProof/>
        </w:rPr>
        <w:drawing>
          <wp:inline distT="0" distB="0" distL="0" distR="0" wp14:anchorId="1A1E393C" wp14:editId="2DEED0B5">
            <wp:extent cx="4455042" cy="2295639"/>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61525" cy="2298979"/>
                    </a:xfrm>
                    <a:prstGeom prst="rect">
                      <a:avLst/>
                    </a:prstGeom>
                    <a:noFill/>
                    <a:ln>
                      <a:noFill/>
                    </a:ln>
                  </pic:spPr>
                </pic:pic>
              </a:graphicData>
            </a:graphic>
          </wp:inline>
        </w:drawing>
      </w:r>
    </w:p>
    <w:p w14:paraId="518850E1" w14:textId="27EF6FF8" w:rsidR="00742126" w:rsidRDefault="00742126" w:rsidP="00045935">
      <w:pPr>
        <w:pStyle w:val="Paragraph"/>
        <w:tabs>
          <w:tab w:val="clear" w:pos="2448"/>
          <w:tab w:val="num" w:pos="720"/>
        </w:tabs>
        <w:ind w:left="720" w:hanging="720"/>
        <w:rPr>
          <w:rFonts w:ascii="Arial" w:hAnsi="Arial" w:cs="Arial"/>
          <w:sz w:val="22"/>
          <w:lang w:val="es-ES_tradnl"/>
        </w:rPr>
      </w:pPr>
      <w:r>
        <w:rPr>
          <w:rFonts w:ascii="Arial" w:hAnsi="Arial" w:cs="Arial"/>
          <w:sz w:val="22"/>
          <w:lang w:val="es-ES_tradnl"/>
        </w:rPr>
        <w:t>Para estimar qu</w:t>
      </w:r>
      <w:r w:rsidR="00125AC9">
        <w:rPr>
          <w:rFonts w:ascii="Arial" w:hAnsi="Arial" w:cs="Arial"/>
          <w:sz w:val="22"/>
          <w:lang w:val="es-ES_tradnl"/>
        </w:rPr>
        <w:t>é</w:t>
      </w:r>
      <w:r>
        <w:rPr>
          <w:rFonts w:ascii="Arial" w:hAnsi="Arial" w:cs="Arial"/>
          <w:sz w:val="22"/>
          <w:lang w:val="es-ES_tradnl"/>
        </w:rPr>
        <w:t xml:space="preserve"> proporción de la mencionada población es potencialmente beneficiaria del programa se utilizará los resultados del Encuesta Nacional Agropecuaria del 2017</w:t>
      </w:r>
      <w:r>
        <w:rPr>
          <w:rStyle w:val="FootnoteReference"/>
          <w:rFonts w:ascii="Arial" w:hAnsi="Arial" w:cs="Arial"/>
          <w:sz w:val="22"/>
          <w:lang w:val="es-ES_tradnl"/>
        </w:rPr>
        <w:footnoteReference w:id="8"/>
      </w:r>
      <w:r>
        <w:rPr>
          <w:rFonts w:ascii="Arial" w:hAnsi="Arial" w:cs="Arial"/>
          <w:sz w:val="22"/>
          <w:lang w:val="es-ES_tradnl"/>
        </w:rPr>
        <w:t>, publicada por el INEGI.</w:t>
      </w:r>
      <w:r w:rsidR="00125AC9">
        <w:rPr>
          <w:rFonts w:ascii="Arial" w:hAnsi="Arial" w:cs="Arial"/>
          <w:sz w:val="22"/>
          <w:lang w:val="es-ES_tradnl"/>
        </w:rPr>
        <w:t xml:space="preserve"> En ella se cuenta con </w:t>
      </w:r>
      <w:r w:rsidR="00125AC9">
        <w:rPr>
          <w:rFonts w:ascii="Arial" w:hAnsi="Arial" w:cs="Arial"/>
          <w:sz w:val="22"/>
          <w:lang w:val="es-ES_tradnl"/>
        </w:rPr>
        <w:lastRenderedPageBreak/>
        <w:t xml:space="preserve">información de la proporción de UER que tienen (o no) crédito, así como las razones por las que no postularon a créditos en el pasado. </w:t>
      </w:r>
      <w:r w:rsidR="00D51119">
        <w:rPr>
          <w:rFonts w:ascii="Arial" w:hAnsi="Arial" w:cs="Arial"/>
          <w:sz w:val="22"/>
          <w:lang w:val="es-ES_tradnl"/>
        </w:rPr>
        <w:t>El</w:t>
      </w:r>
      <w:r w:rsidR="00705BF8">
        <w:rPr>
          <w:rFonts w:ascii="Arial" w:hAnsi="Arial" w:cs="Arial"/>
          <w:sz w:val="22"/>
          <w:lang w:val="es-ES_tradnl"/>
        </w:rPr>
        <w:t xml:space="preserve"> </w:t>
      </w:r>
      <w:r w:rsidR="00D51119">
        <w:rPr>
          <w:rFonts w:ascii="Arial" w:hAnsi="Arial" w:cs="Arial"/>
          <w:sz w:val="22"/>
          <w:lang w:val="es-ES_tradnl"/>
        </w:rPr>
        <w:fldChar w:fldCharType="begin"/>
      </w:r>
      <w:r w:rsidR="00D51119">
        <w:rPr>
          <w:rFonts w:ascii="Arial" w:hAnsi="Arial" w:cs="Arial"/>
          <w:sz w:val="22"/>
          <w:lang w:val="es-ES_tradnl"/>
        </w:rPr>
        <w:instrText xml:space="preserve"> REF _Ref17904361 \h  \* MERGEFORMAT </w:instrText>
      </w:r>
      <w:r w:rsidR="00D51119">
        <w:rPr>
          <w:rFonts w:ascii="Arial" w:hAnsi="Arial" w:cs="Arial"/>
          <w:sz w:val="22"/>
          <w:lang w:val="es-ES_tradnl"/>
        </w:rPr>
      </w:r>
      <w:r w:rsidR="00D51119">
        <w:rPr>
          <w:rFonts w:ascii="Arial" w:hAnsi="Arial" w:cs="Arial"/>
          <w:sz w:val="22"/>
          <w:lang w:val="es-ES_tradnl"/>
        </w:rPr>
        <w:fldChar w:fldCharType="separate"/>
      </w:r>
      <w:r w:rsidR="000E6630">
        <w:rPr>
          <w:rFonts w:ascii="Arial" w:hAnsi="Arial" w:cs="Arial"/>
          <w:sz w:val="22"/>
          <w:lang w:val="es-ES_tradnl"/>
        </w:rPr>
        <w:t>c</w:t>
      </w:r>
      <w:r w:rsidR="001C14F0" w:rsidRPr="001C14F0">
        <w:rPr>
          <w:rFonts w:ascii="Arial" w:hAnsi="Arial" w:cs="Arial"/>
          <w:sz w:val="22"/>
          <w:lang w:val="es-ES_tradnl"/>
        </w:rPr>
        <w:t>uadro 2</w:t>
      </w:r>
      <w:r w:rsidR="00D51119">
        <w:rPr>
          <w:rFonts w:ascii="Arial" w:hAnsi="Arial" w:cs="Arial"/>
          <w:sz w:val="22"/>
          <w:lang w:val="es-ES_tradnl"/>
        </w:rPr>
        <w:fldChar w:fldCharType="end"/>
      </w:r>
      <w:r w:rsidR="00D51119">
        <w:rPr>
          <w:rFonts w:ascii="Arial" w:hAnsi="Arial" w:cs="Arial"/>
          <w:sz w:val="22"/>
          <w:lang w:val="es-ES_tradnl"/>
        </w:rPr>
        <w:t xml:space="preserve"> y el </w:t>
      </w:r>
      <w:r w:rsidR="00D51119">
        <w:rPr>
          <w:rFonts w:ascii="Arial" w:hAnsi="Arial" w:cs="Arial"/>
          <w:sz w:val="22"/>
          <w:lang w:val="es-ES_tradnl"/>
        </w:rPr>
        <w:fldChar w:fldCharType="begin"/>
      </w:r>
      <w:r w:rsidR="00D51119">
        <w:rPr>
          <w:rFonts w:ascii="Arial" w:hAnsi="Arial" w:cs="Arial"/>
          <w:sz w:val="22"/>
          <w:lang w:val="es-ES_tradnl"/>
        </w:rPr>
        <w:instrText xml:space="preserve"> REF _Ref17904367 \h  \* MERGEFORMAT </w:instrText>
      </w:r>
      <w:r w:rsidR="00D51119">
        <w:rPr>
          <w:rFonts w:ascii="Arial" w:hAnsi="Arial" w:cs="Arial"/>
          <w:sz w:val="22"/>
          <w:lang w:val="es-ES_tradnl"/>
        </w:rPr>
      </w:r>
      <w:r w:rsidR="00D51119">
        <w:rPr>
          <w:rFonts w:ascii="Arial" w:hAnsi="Arial" w:cs="Arial"/>
          <w:sz w:val="22"/>
          <w:lang w:val="es-ES_tradnl"/>
        </w:rPr>
        <w:fldChar w:fldCharType="separate"/>
      </w:r>
      <w:r w:rsidR="000E6630">
        <w:rPr>
          <w:rFonts w:ascii="Arial" w:hAnsi="Arial" w:cs="Arial"/>
          <w:sz w:val="22"/>
          <w:lang w:val="es-ES_tradnl"/>
        </w:rPr>
        <w:t>c</w:t>
      </w:r>
      <w:r w:rsidR="001C14F0" w:rsidRPr="001C14F0">
        <w:rPr>
          <w:rFonts w:ascii="Arial" w:hAnsi="Arial" w:cs="Arial"/>
          <w:sz w:val="22"/>
          <w:lang w:val="es-ES_tradnl"/>
        </w:rPr>
        <w:t>uadro 3</w:t>
      </w:r>
      <w:r w:rsidR="00D51119">
        <w:rPr>
          <w:rFonts w:ascii="Arial" w:hAnsi="Arial" w:cs="Arial"/>
          <w:sz w:val="22"/>
          <w:lang w:val="es-ES_tradnl"/>
        </w:rPr>
        <w:fldChar w:fldCharType="end"/>
      </w:r>
      <w:r w:rsidR="00705BF8">
        <w:rPr>
          <w:rFonts w:ascii="Arial" w:hAnsi="Arial" w:cs="Arial"/>
          <w:sz w:val="22"/>
          <w:lang w:val="es-ES_tradnl"/>
        </w:rPr>
        <w:t xml:space="preserve"> resumen los resultados relevantes de esta encuesta para nuestro análisis.</w:t>
      </w:r>
    </w:p>
    <w:p w14:paraId="72FAE5DF" w14:textId="2CFD2990" w:rsidR="0021059C" w:rsidRPr="00733269" w:rsidRDefault="00733269" w:rsidP="0021059C">
      <w:pPr>
        <w:pStyle w:val="Caption"/>
        <w:jc w:val="center"/>
        <w:rPr>
          <w:rFonts w:ascii="Arial" w:hAnsi="Arial" w:cs="Arial"/>
          <w:b/>
          <w:bCs/>
          <w:i w:val="0"/>
          <w:iCs w:val="0"/>
          <w:color w:val="000000" w:themeColor="text1"/>
          <w:sz w:val="28"/>
          <w:szCs w:val="22"/>
          <w:lang w:val="es-ES_tradnl"/>
        </w:rPr>
      </w:pPr>
      <w:bookmarkStart w:id="1" w:name="_Ref17904361"/>
      <w:r>
        <w:rPr>
          <w:rFonts w:ascii="Arial" w:hAnsi="Arial" w:cs="Arial"/>
          <w:b/>
          <w:bCs/>
          <w:i w:val="0"/>
          <w:iCs w:val="0"/>
          <w:color w:val="000000" w:themeColor="text1"/>
          <w:sz w:val="22"/>
          <w:szCs w:val="22"/>
        </w:rPr>
        <w:tab/>
      </w:r>
      <w:r w:rsidR="00D94A0E">
        <w:rPr>
          <w:rFonts w:ascii="Arial" w:hAnsi="Arial" w:cs="Arial"/>
          <w:b/>
          <w:bCs/>
          <w:i w:val="0"/>
          <w:iCs w:val="0"/>
          <w:color w:val="000000" w:themeColor="text1"/>
          <w:sz w:val="22"/>
          <w:szCs w:val="22"/>
        </w:rPr>
        <w:tab/>
      </w:r>
      <w:r w:rsidR="0021059C" w:rsidRPr="00733269">
        <w:rPr>
          <w:rFonts w:ascii="Arial" w:hAnsi="Arial" w:cs="Arial"/>
          <w:b/>
          <w:bCs/>
          <w:i w:val="0"/>
          <w:iCs w:val="0"/>
          <w:color w:val="000000" w:themeColor="text1"/>
          <w:sz w:val="22"/>
          <w:szCs w:val="22"/>
        </w:rPr>
        <w:t xml:space="preserve">Cuadro </w:t>
      </w:r>
      <w:r w:rsidR="0021059C" w:rsidRPr="00733269">
        <w:rPr>
          <w:rFonts w:ascii="Arial" w:hAnsi="Arial" w:cs="Arial"/>
          <w:b/>
          <w:bCs/>
          <w:i w:val="0"/>
          <w:iCs w:val="0"/>
          <w:color w:val="000000" w:themeColor="text1"/>
          <w:sz w:val="22"/>
          <w:szCs w:val="22"/>
        </w:rPr>
        <w:fldChar w:fldCharType="begin"/>
      </w:r>
      <w:r w:rsidR="0021059C" w:rsidRPr="00733269">
        <w:rPr>
          <w:rFonts w:ascii="Arial" w:hAnsi="Arial" w:cs="Arial"/>
          <w:b/>
          <w:bCs/>
          <w:i w:val="0"/>
          <w:iCs w:val="0"/>
          <w:color w:val="000000" w:themeColor="text1"/>
          <w:sz w:val="22"/>
          <w:szCs w:val="22"/>
        </w:rPr>
        <w:instrText xml:space="preserve"> SEQ Cuadro \* ARABIC </w:instrText>
      </w:r>
      <w:r w:rsidR="0021059C" w:rsidRPr="00733269">
        <w:rPr>
          <w:rFonts w:ascii="Arial" w:hAnsi="Arial" w:cs="Arial"/>
          <w:b/>
          <w:bCs/>
          <w:i w:val="0"/>
          <w:iCs w:val="0"/>
          <w:color w:val="000000" w:themeColor="text1"/>
          <w:sz w:val="22"/>
          <w:szCs w:val="22"/>
        </w:rPr>
        <w:fldChar w:fldCharType="separate"/>
      </w:r>
      <w:r w:rsidR="001C14F0" w:rsidRPr="00733269">
        <w:rPr>
          <w:rFonts w:ascii="Arial" w:hAnsi="Arial" w:cs="Arial"/>
          <w:b/>
          <w:bCs/>
          <w:i w:val="0"/>
          <w:iCs w:val="0"/>
          <w:noProof/>
          <w:color w:val="000000" w:themeColor="text1"/>
          <w:sz w:val="22"/>
          <w:szCs w:val="22"/>
        </w:rPr>
        <w:t>2</w:t>
      </w:r>
      <w:r w:rsidR="0021059C" w:rsidRPr="00733269">
        <w:rPr>
          <w:rFonts w:ascii="Arial" w:hAnsi="Arial" w:cs="Arial"/>
          <w:b/>
          <w:bCs/>
          <w:i w:val="0"/>
          <w:iCs w:val="0"/>
          <w:color w:val="000000" w:themeColor="text1"/>
          <w:sz w:val="22"/>
          <w:szCs w:val="22"/>
        </w:rPr>
        <w:fldChar w:fldCharType="end"/>
      </w:r>
      <w:bookmarkEnd w:id="1"/>
      <w:r w:rsidR="0021059C" w:rsidRPr="00733269">
        <w:rPr>
          <w:rFonts w:ascii="Arial" w:hAnsi="Arial" w:cs="Arial"/>
          <w:b/>
          <w:bCs/>
          <w:i w:val="0"/>
          <w:iCs w:val="0"/>
          <w:color w:val="000000" w:themeColor="text1"/>
          <w:sz w:val="22"/>
          <w:szCs w:val="22"/>
        </w:rPr>
        <w:t>. Fuente de crédito de productores rurales</w:t>
      </w:r>
    </w:p>
    <w:p w14:paraId="1925E1E8" w14:textId="292AC20C" w:rsidR="0021059C" w:rsidRDefault="0021059C" w:rsidP="0021059C">
      <w:pPr>
        <w:pStyle w:val="Paragraph"/>
        <w:numPr>
          <w:ilvl w:val="0"/>
          <w:numId w:val="0"/>
        </w:numPr>
        <w:ind w:left="720"/>
        <w:jc w:val="center"/>
        <w:rPr>
          <w:rFonts w:ascii="Arial" w:hAnsi="Arial" w:cs="Arial"/>
          <w:sz w:val="22"/>
          <w:lang w:val="es-ES_tradnl"/>
        </w:rPr>
      </w:pPr>
      <w:r w:rsidRPr="0021059C">
        <w:rPr>
          <w:noProof/>
        </w:rPr>
        <w:drawing>
          <wp:inline distT="0" distB="0" distL="0" distR="0" wp14:anchorId="62353F6C" wp14:editId="4CD74197">
            <wp:extent cx="4773368" cy="4188910"/>
            <wp:effectExtent l="0" t="0" r="8255"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89111" cy="4202725"/>
                    </a:xfrm>
                    <a:prstGeom prst="rect">
                      <a:avLst/>
                    </a:prstGeom>
                    <a:noFill/>
                    <a:ln>
                      <a:noFill/>
                    </a:ln>
                  </pic:spPr>
                </pic:pic>
              </a:graphicData>
            </a:graphic>
          </wp:inline>
        </w:drawing>
      </w:r>
    </w:p>
    <w:p w14:paraId="40756673" w14:textId="77777777" w:rsidR="00AE1767" w:rsidRDefault="00733269" w:rsidP="0021059C">
      <w:pPr>
        <w:pStyle w:val="Caption"/>
        <w:jc w:val="center"/>
        <w:rPr>
          <w:rFonts w:ascii="Arial" w:hAnsi="Arial" w:cs="Arial"/>
          <w:b/>
          <w:bCs/>
          <w:i w:val="0"/>
          <w:iCs w:val="0"/>
          <w:color w:val="000000" w:themeColor="text1"/>
          <w:sz w:val="22"/>
          <w:szCs w:val="22"/>
        </w:rPr>
      </w:pPr>
      <w:bookmarkStart w:id="2" w:name="_Ref17904367"/>
      <w:r>
        <w:rPr>
          <w:rFonts w:ascii="Arial" w:hAnsi="Arial" w:cs="Arial"/>
          <w:b/>
          <w:bCs/>
          <w:i w:val="0"/>
          <w:iCs w:val="0"/>
          <w:color w:val="000000" w:themeColor="text1"/>
          <w:sz w:val="22"/>
          <w:szCs w:val="22"/>
        </w:rPr>
        <w:t xml:space="preserve"> </w:t>
      </w:r>
    </w:p>
    <w:p w14:paraId="67893275" w14:textId="07304299" w:rsidR="0021059C" w:rsidRPr="00733269" w:rsidRDefault="00D94A0E" w:rsidP="0021059C">
      <w:pPr>
        <w:pStyle w:val="Caption"/>
        <w:jc w:val="center"/>
        <w:rPr>
          <w:rFonts w:ascii="Arial" w:hAnsi="Arial" w:cs="Arial"/>
          <w:b/>
          <w:bCs/>
          <w:i w:val="0"/>
          <w:iCs w:val="0"/>
          <w:color w:val="000000" w:themeColor="text1"/>
          <w:sz w:val="28"/>
          <w:szCs w:val="22"/>
          <w:lang w:val="es-ES_tradnl"/>
        </w:rPr>
      </w:pPr>
      <w:r>
        <w:rPr>
          <w:rFonts w:ascii="Arial" w:hAnsi="Arial" w:cs="Arial"/>
          <w:b/>
          <w:bCs/>
          <w:i w:val="0"/>
          <w:iCs w:val="0"/>
          <w:color w:val="000000" w:themeColor="text1"/>
          <w:sz w:val="22"/>
          <w:szCs w:val="22"/>
        </w:rPr>
        <w:tab/>
      </w:r>
      <w:r w:rsidR="0021059C" w:rsidRPr="00733269">
        <w:rPr>
          <w:rFonts w:ascii="Arial" w:hAnsi="Arial" w:cs="Arial"/>
          <w:b/>
          <w:bCs/>
          <w:i w:val="0"/>
          <w:iCs w:val="0"/>
          <w:color w:val="000000" w:themeColor="text1"/>
          <w:sz w:val="22"/>
          <w:szCs w:val="22"/>
        </w:rPr>
        <w:t xml:space="preserve">Cuadro </w:t>
      </w:r>
      <w:r w:rsidR="0021059C" w:rsidRPr="00733269">
        <w:rPr>
          <w:rFonts w:ascii="Arial" w:hAnsi="Arial" w:cs="Arial"/>
          <w:b/>
          <w:bCs/>
          <w:i w:val="0"/>
          <w:iCs w:val="0"/>
          <w:color w:val="000000" w:themeColor="text1"/>
          <w:sz w:val="22"/>
          <w:szCs w:val="22"/>
        </w:rPr>
        <w:fldChar w:fldCharType="begin"/>
      </w:r>
      <w:r w:rsidR="0021059C" w:rsidRPr="00733269">
        <w:rPr>
          <w:rFonts w:ascii="Arial" w:hAnsi="Arial" w:cs="Arial"/>
          <w:b/>
          <w:bCs/>
          <w:i w:val="0"/>
          <w:iCs w:val="0"/>
          <w:color w:val="000000" w:themeColor="text1"/>
          <w:sz w:val="22"/>
          <w:szCs w:val="22"/>
        </w:rPr>
        <w:instrText xml:space="preserve"> SEQ Cuadro \* ARABIC </w:instrText>
      </w:r>
      <w:r w:rsidR="0021059C" w:rsidRPr="00733269">
        <w:rPr>
          <w:rFonts w:ascii="Arial" w:hAnsi="Arial" w:cs="Arial"/>
          <w:b/>
          <w:bCs/>
          <w:i w:val="0"/>
          <w:iCs w:val="0"/>
          <w:color w:val="000000" w:themeColor="text1"/>
          <w:sz w:val="22"/>
          <w:szCs w:val="22"/>
        </w:rPr>
        <w:fldChar w:fldCharType="separate"/>
      </w:r>
      <w:r w:rsidR="001C14F0" w:rsidRPr="00733269">
        <w:rPr>
          <w:rFonts w:ascii="Arial" w:hAnsi="Arial" w:cs="Arial"/>
          <w:b/>
          <w:bCs/>
          <w:i w:val="0"/>
          <w:iCs w:val="0"/>
          <w:noProof/>
          <w:color w:val="000000" w:themeColor="text1"/>
          <w:sz w:val="22"/>
          <w:szCs w:val="22"/>
        </w:rPr>
        <w:t>3</w:t>
      </w:r>
      <w:r w:rsidR="0021059C" w:rsidRPr="00733269">
        <w:rPr>
          <w:rFonts w:ascii="Arial" w:hAnsi="Arial" w:cs="Arial"/>
          <w:b/>
          <w:bCs/>
          <w:i w:val="0"/>
          <w:iCs w:val="0"/>
          <w:color w:val="000000" w:themeColor="text1"/>
          <w:sz w:val="22"/>
          <w:szCs w:val="22"/>
        </w:rPr>
        <w:fldChar w:fldCharType="end"/>
      </w:r>
      <w:bookmarkEnd w:id="2"/>
      <w:r w:rsidR="0021059C" w:rsidRPr="00733269">
        <w:rPr>
          <w:rFonts w:ascii="Arial" w:hAnsi="Arial" w:cs="Arial"/>
          <w:b/>
          <w:bCs/>
          <w:i w:val="0"/>
          <w:iCs w:val="0"/>
          <w:color w:val="000000" w:themeColor="text1"/>
          <w:sz w:val="22"/>
          <w:szCs w:val="22"/>
        </w:rPr>
        <w:t>. Casusas por las que productores rurales no solicitaron crédito</w:t>
      </w:r>
    </w:p>
    <w:p w14:paraId="2E573009" w14:textId="296221F1" w:rsidR="0021059C" w:rsidRDefault="0021059C" w:rsidP="0021059C">
      <w:pPr>
        <w:pStyle w:val="Paragraph"/>
        <w:numPr>
          <w:ilvl w:val="0"/>
          <w:numId w:val="0"/>
        </w:numPr>
        <w:ind w:left="720"/>
        <w:jc w:val="center"/>
        <w:rPr>
          <w:rFonts w:ascii="Arial" w:hAnsi="Arial" w:cs="Arial"/>
          <w:sz w:val="22"/>
          <w:lang w:val="es-ES_tradnl"/>
        </w:rPr>
      </w:pPr>
      <w:r w:rsidRPr="0021059C">
        <w:rPr>
          <w:noProof/>
        </w:rPr>
        <w:drawing>
          <wp:inline distT="0" distB="0" distL="0" distR="0" wp14:anchorId="7CBB22B4" wp14:editId="2F5AB663">
            <wp:extent cx="4013200" cy="2593975"/>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25184" cy="2601721"/>
                    </a:xfrm>
                    <a:prstGeom prst="rect">
                      <a:avLst/>
                    </a:prstGeom>
                    <a:noFill/>
                    <a:ln>
                      <a:noFill/>
                    </a:ln>
                  </pic:spPr>
                </pic:pic>
              </a:graphicData>
            </a:graphic>
          </wp:inline>
        </w:drawing>
      </w:r>
    </w:p>
    <w:p w14:paraId="7D940E4B" w14:textId="57C2F5FD" w:rsidR="00705BF8" w:rsidRDefault="00705BF8" w:rsidP="00045935">
      <w:pPr>
        <w:pStyle w:val="Paragraph"/>
        <w:tabs>
          <w:tab w:val="clear" w:pos="2448"/>
          <w:tab w:val="num" w:pos="720"/>
        </w:tabs>
        <w:ind w:left="720" w:hanging="720"/>
        <w:rPr>
          <w:rFonts w:ascii="Arial" w:hAnsi="Arial" w:cs="Arial"/>
          <w:sz w:val="22"/>
          <w:lang w:val="es-ES_tradnl"/>
        </w:rPr>
      </w:pPr>
      <w:r>
        <w:rPr>
          <w:rFonts w:ascii="Arial" w:hAnsi="Arial" w:cs="Arial"/>
          <w:sz w:val="22"/>
          <w:lang w:val="es-ES_tradnl"/>
        </w:rPr>
        <w:lastRenderedPageBreak/>
        <w:t>Para estimar la demanda potencial de este programa se harán dos cálculos:</w:t>
      </w:r>
      <w:r w:rsidR="00733269">
        <w:rPr>
          <w:rFonts w:ascii="Arial" w:hAnsi="Arial" w:cs="Arial"/>
          <w:sz w:val="22"/>
          <w:lang w:val="es-ES_tradnl"/>
        </w:rPr>
        <w:t> </w:t>
      </w:r>
      <w:r>
        <w:rPr>
          <w:rFonts w:ascii="Arial" w:hAnsi="Arial" w:cs="Arial"/>
          <w:sz w:val="22"/>
          <w:lang w:val="es-ES_tradnl"/>
        </w:rPr>
        <w:t>(i)</w:t>
      </w:r>
      <w:r w:rsidR="00733269">
        <w:rPr>
          <w:rFonts w:ascii="Arial" w:hAnsi="Arial" w:cs="Arial"/>
          <w:sz w:val="22"/>
          <w:lang w:val="es-ES_tradnl"/>
        </w:rPr>
        <w:t> </w:t>
      </w:r>
      <w:r>
        <w:rPr>
          <w:rFonts w:ascii="Arial" w:hAnsi="Arial" w:cs="Arial"/>
          <w:sz w:val="22"/>
          <w:lang w:val="es-ES_tradnl"/>
        </w:rPr>
        <w:t xml:space="preserve">en primer lugar se buscará estimar que porcentaje de las UER que declaran haber obtenido crédito podrían ser </w:t>
      </w:r>
      <w:r w:rsidR="00B51B6D">
        <w:rPr>
          <w:rFonts w:ascii="Arial" w:hAnsi="Arial" w:cs="Arial"/>
          <w:sz w:val="22"/>
          <w:lang w:val="es-ES_tradnl"/>
        </w:rPr>
        <w:t>potenciales beneficiarios</w:t>
      </w:r>
      <w:r>
        <w:rPr>
          <w:rFonts w:ascii="Arial" w:hAnsi="Arial" w:cs="Arial"/>
          <w:sz w:val="22"/>
          <w:lang w:val="es-ES_tradnl"/>
        </w:rPr>
        <w:t xml:space="preserve"> de financiamiento a través de FND</w:t>
      </w:r>
      <w:r>
        <w:rPr>
          <w:rStyle w:val="FootnoteReference"/>
          <w:rFonts w:ascii="Arial" w:hAnsi="Arial" w:cs="Arial"/>
          <w:sz w:val="22"/>
          <w:lang w:val="es-ES_tradnl"/>
        </w:rPr>
        <w:footnoteReference w:id="9"/>
      </w:r>
      <w:r w:rsidR="00733269">
        <w:rPr>
          <w:rFonts w:ascii="Arial" w:hAnsi="Arial" w:cs="Arial"/>
          <w:sz w:val="22"/>
          <w:lang w:val="es-ES_tradnl"/>
        </w:rPr>
        <w:t>;</w:t>
      </w:r>
      <w:r>
        <w:rPr>
          <w:rFonts w:ascii="Arial" w:hAnsi="Arial" w:cs="Arial"/>
          <w:sz w:val="22"/>
          <w:lang w:val="es-ES_tradnl"/>
        </w:rPr>
        <w:t xml:space="preserve"> y (</w:t>
      </w:r>
      <w:proofErr w:type="spellStart"/>
      <w:r>
        <w:rPr>
          <w:rFonts w:ascii="Arial" w:hAnsi="Arial" w:cs="Arial"/>
          <w:sz w:val="22"/>
          <w:lang w:val="es-ES_tradnl"/>
        </w:rPr>
        <w:t>ii</w:t>
      </w:r>
      <w:proofErr w:type="spellEnd"/>
      <w:r>
        <w:rPr>
          <w:rFonts w:ascii="Arial" w:hAnsi="Arial" w:cs="Arial"/>
          <w:sz w:val="22"/>
          <w:lang w:val="es-ES_tradnl"/>
        </w:rPr>
        <w:t xml:space="preserve">) qué porcentaje de las UER que no solicitaron crédito podrían constituir parte de la demanda potencial del programa. Los porcentajes </w:t>
      </w:r>
      <w:r w:rsidR="005B3F41">
        <w:rPr>
          <w:rFonts w:ascii="Arial" w:hAnsi="Arial" w:cs="Arial"/>
          <w:sz w:val="22"/>
          <w:lang w:val="es-ES_tradnl"/>
        </w:rPr>
        <w:t>recogidos de la encuesta se aplicarán sobre nuestra población objetivo, constituida por las UER de los estratos E3 y E4. Para que este ejercicio sea válido, se ha elegido, siempre que haya sido posible, los resultados de la encuesta para los tamaños de productores que mejor reflejen dichos estratos.</w:t>
      </w:r>
      <w:r>
        <w:rPr>
          <w:rFonts w:ascii="Arial" w:hAnsi="Arial" w:cs="Arial"/>
          <w:sz w:val="22"/>
          <w:lang w:val="es-ES_tradnl"/>
        </w:rPr>
        <w:t xml:space="preserve"> El </w:t>
      </w:r>
      <w:r w:rsidR="0021059C">
        <w:rPr>
          <w:rFonts w:ascii="Arial" w:hAnsi="Arial" w:cs="Arial"/>
          <w:sz w:val="22"/>
          <w:lang w:val="es-ES_tradnl"/>
        </w:rPr>
        <w:fldChar w:fldCharType="begin"/>
      </w:r>
      <w:r w:rsidR="0021059C">
        <w:rPr>
          <w:rFonts w:ascii="Arial" w:hAnsi="Arial" w:cs="Arial"/>
          <w:sz w:val="22"/>
          <w:lang w:val="es-ES_tradnl"/>
        </w:rPr>
        <w:instrText xml:space="preserve"> REF _Ref17903659 \h  \* MERGEFORMAT </w:instrText>
      </w:r>
      <w:r w:rsidR="0021059C">
        <w:rPr>
          <w:rFonts w:ascii="Arial" w:hAnsi="Arial" w:cs="Arial"/>
          <w:sz w:val="22"/>
          <w:lang w:val="es-ES_tradnl"/>
        </w:rPr>
      </w:r>
      <w:r w:rsidR="0021059C">
        <w:rPr>
          <w:rFonts w:ascii="Arial" w:hAnsi="Arial" w:cs="Arial"/>
          <w:sz w:val="22"/>
          <w:lang w:val="es-ES_tradnl"/>
        </w:rPr>
        <w:fldChar w:fldCharType="separate"/>
      </w:r>
      <w:r w:rsidR="00D94A0E">
        <w:rPr>
          <w:rFonts w:ascii="Arial" w:hAnsi="Arial" w:cs="Arial"/>
          <w:sz w:val="22"/>
          <w:lang w:val="es-ES_tradnl"/>
        </w:rPr>
        <w:t>c</w:t>
      </w:r>
      <w:r w:rsidR="001C14F0" w:rsidRPr="001C14F0">
        <w:rPr>
          <w:rFonts w:ascii="Arial" w:hAnsi="Arial" w:cs="Arial"/>
          <w:sz w:val="22"/>
          <w:lang w:val="es-ES_tradnl"/>
        </w:rPr>
        <w:t>uadro 4</w:t>
      </w:r>
      <w:r w:rsidR="0021059C">
        <w:rPr>
          <w:rFonts w:ascii="Arial" w:hAnsi="Arial" w:cs="Arial"/>
          <w:sz w:val="22"/>
          <w:lang w:val="es-ES_tradnl"/>
        </w:rPr>
        <w:fldChar w:fldCharType="end"/>
      </w:r>
      <w:r w:rsidR="0021059C">
        <w:rPr>
          <w:rFonts w:ascii="Arial" w:hAnsi="Arial" w:cs="Arial"/>
          <w:sz w:val="22"/>
          <w:lang w:val="es-ES_tradnl"/>
        </w:rPr>
        <w:t xml:space="preserve"> </w:t>
      </w:r>
      <w:r>
        <w:rPr>
          <w:rFonts w:ascii="Arial" w:hAnsi="Arial" w:cs="Arial"/>
          <w:sz w:val="22"/>
          <w:lang w:val="es-ES_tradnl"/>
        </w:rPr>
        <w:t xml:space="preserve">resume los cálculos realizados en este ejercicio. </w:t>
      </w:r>
    </w:p>
    <w:p w14:paraId="1FE5631F" w14:textId="0A32780F" w:rsidR="00705BF8" w:rsidRDefault="00705BF8" w:rsidP="00045935">
      <w:pPr>
        <w:pStyle w:val="Paragraph"/>
        <w:tabs>
          <w:tab w:val="clear" w:pos="2448"/>
          <w:tab w:val="num" w:pos="720"/>
        </w:tabs>
        <w:ind w:left="720" w:hanging="720"/>
        <w:rPr>
          <w:rFonts w:ascii="Arial" w:hAnsi="Arial" w:cs="Arial"/>
          <w:sz w:val="22"/>
          <w:lang w:val="es-ES_tradnl"/>
        </w:rPr>
      </w:pPr>
      <w:r>
        <w:rPr>
          <w:rFonts w:ascii="Arial" w:hAnsi="Arial" w:cs="Arial"/>
          <w:sz w:val="22"/>
          <w:lang w:val="es-ES_tradnl"/>
        </w:rPr>
        <w:t xml:space="preserve">En primer lugar, tenemos que 9,7% de los pequeños y medianos productores (igual a </w:t>
      </w:r>
      <w:r w:rsidR="0035077A">
        <w:rPr>
          <w:rFonts w:ascii="Arial" w:hAnsi="Arial" w:cs="Arial"/>
          <w:sz w:val="22"/>
          <w:lang w:val="es-ES_tradnl"/>
        </w:rPr>
        <w:t>137.284</w:t>
      </w:r>
      <w:r>
        <w:rPr>
          <w:rFonts w:ascii="Arial" w:hAnsi="Arial" w:cs="Arial"/>
          <w:sz w:val="22"/>
          <w:lang w:val="es-ES_tradnl"/>
        </w:rPr>
        <w:t xml:space="preserve"> de nuestra población objetivo) declaran haber recibido crédito.</w:t>
      </w:r>
      <w:r w:rsidR="006E5D2F">
        <w:rPr>
          <w:rFonts w:ascii="Arial" w:hAnsi="Arial" w:cs="Arial"/>
          <w:sz w:val="22"/>
          <w:lang w:val="es-ES_tradnl"/>
        </w:rPr>
        <w:t xml:space="preserve"> </w:t>
      </w:r>
      <w:r w:rsidR="001D77CE">
        <w:rPr>
          <w:rFonts w:ascii="Arial" w:hAnsi="Arial" w:cs="Arial"/>
          <w:sz w:val="22"/>
          <w:lang w:val="es-ES_tradnl"/>
        </w:rPr>
        <w:t>Además</w:t>
      </w:r>
      <w:r w:rsidR="006E5D2F">
        <w:rPr>
          <w:rFonts w:ascii="Arial" w:hAnsi="Arial" w:cs="Arial"/>
          <w:sz w:val="22"/>
          <w:lang w:val="es-ES_tradnl"/>
        </w:rPr>
        <w:t>,</w:t>
      </w:r>
      <w:r w:rsidR="001D77CE">
        <w:rPr>
          <w:rFonts w:ascii="Arial" w:hAnsi="Arial" w:cs="Arial"/>
          <w:sz w:val="22"/>
          <w:lang w:val="es-ES_tradnl"/>
        </w:rPr>
        <w:t xml:space="preserve"> se sabe que </w:t>
      </w:r>
      <w:r w:rsidR="006E5D2F">
        <w:rPr>
          <w:rFonts w:ascii="Arial" w:hAnsi="Arial" w:cs="Arial"/>
          <w:sz w:val="22"/>
          <w:lang w:val="es-ES_tradnl"/>
        </w:rPr>
        <w:t>5</w:t>
      </w:r>
      <w:r w:rsidR="000C335D">
        <w:rPr>
          <w:rFonts w:ascii="Arial" w:hAnsi="Arial" w:cs="Arial"/>
          <w:sz w:val="22"/>
          <w:lang w:val="es-ES_tradnl"/>
        </w:rPr>
        <w:t>,</w:t>
      </w:r>
      <w:r w:rsidR="006E5D2F">
        <w:rPr>
          <w:rFonts w:ascii="Arial" w:hAnsi="Arial" w:cs="Arial"/>
          <w:sz w:val="22"/>
          <w:lang w:val="es-ES_tradnl"/>
        </w:rPr>
        <w:t xml:space="preserve">2% </w:t>
      </w:r>
      <w:r w:rsidR="001D77CE">
        <w:rPr>
          <w:rFonts w:ascii="Arial" w:hAnsi="Arial" w:cs="Arial"/>
          <w:sz w:val="22"/>
          <w:lang w:val="es-ES_tradnl"/>
        </w:rPr>
        <w:t xml:space="preserve">de los pequeños y medianos productores </w:t>
      </w:r>
      <w:r w:rsidR="006E5D2F">
        <w:rPr>
          <w:rFonts w:ascii="Arial" w:hAnsi="Arial" w:cs="Arial"/>
          <w:sz w:val="22"/>
          <w:lang w:val="es-ES_tradnl"/>
        </w:rPr>
        <w:t>obtuvieron financiamiento por parte de casas de empeño, prestamistas, empresas, personas, familiares o amigos.</w:t>
      </w:r>
      <w:r>
        <w:rPr>
          <w:rFonts w:ascii="Arial" w:hAnsi="Arial" w:cs="Arial"/>
          <w:sz w:val="22"/>
          <w:lang w:val="es-ES_tradnl"/>
        </w:rPr>
        <w:t xml:space="preserve"> </w:t>
      </w:r>
      <w:r w:rsidR="001D77CE">
        <w:rPr>
          <w:rFonts w:ascii="Arial" w:hAnsi="Arial" w:cs="Arial"/>
          <w:sz w:val="22"/>
          <w:lang w:val="es-ES_tradnl"/>
        </w:rPr>
        <w:t xml:space="preserve">Esto equivale a </w:t>
      </w:r>
      <w:r w:rsidR="0035077A">
        <w:rPr>
          <w:rFonts w:ascii="Arial" w:hAnsi="Arial" w:cs="Arial"/>
          <w:sz w:val="22"/>
          <w:lang w:val="es-ES_tradnl"/>
        </w:rPr>
        <w:t>73</w:t>
      </w:r>
      <w:r w:rsidR="001D77CE">
        <w:rPr>
          <w:rFonts w:ascii="Arial" w:hAnsi="Arial" w:cs="Arial"/>
          <w:sz w:val="22"/>
          <w:lang w:val="es-ES_tradnl"/>
        </w:rPr>
        <w:t>.</w:t>
      </w:r>
      <w:r w:rsidR="0035077A">
        <w:rPr>
          <w:rFonts w:ascii="Arial" w:hAnsi="Arial" w:cs="Arial"/>
          <w:sz w:val="22"/>
          <w:lang w:val="es-ES_tradnl"/>
        </w:rPr>
        <w:t>849</w:t>
      </w:r>
      <w:r w:rsidR="001D77CE">
        <w:rPr>
          <w:rFonts w:ascii="Arial" w:hAnsi="Arial" w:cs="Arial"/>
          <w:sz w:val="22"/>
          <w:lang w:val="es-ES_tradnl"/>
        </w:rPr>
        <w:t xml:space="preserve"> UER que podrían beneficiarse de crédito formal y en condiciones adecuadas como el que facilitará el programa. Por tal motivo, este primer grupo formará parte de la demanda potencial del programa.</w:t>
      </w:r>
    </w:p>
    <w:p w14:paraId="4F325A78" w14:textId="34C83977" w:rsidR="001D77CE" w:rsidRDefault="001D77CE" w:rsidP="001267F5">
      <w:pPr>
        <w:pStyle w:val="Paragraph"/>
        <w:tabs>
          <w:tab w:val="clear" w:pos="2448"/>
          <w:tab w:val="num" w:pos="720"/>
        </w:tabs>
        <w:ind w:left="720" w:hanging="720"/>
        <w:rPr>
          <w:rFonts w:ascii="Arial" w:hAnsi="Arial" w:cs="Arial"/>
          <w:sz w:val="22"/>
          <w:lang w:val="es-ES_tradnl"/>
        </w:rPr>
      </w:pPr>
      <w:r>
        <w:rPr>
          <w:rFonts w:ascii="Arial" w:hAnsi="Arial" w:cs="Arial"/>
          <w:sz w:val="22"/>
          <w:lang w:val="es-ES_tradnl"/>
        </w:rPr>
        <w:t xml:space="preserve">En segundo lugar, tenemos que 89,1% de las UER </w:t>
      </w:r>
      <w:r w:rsidR="001267F5">
        <w:rPr>
          <w:rFonts w:ascii="Arial" w:hAnsi="Arial" w:cs="Arial"/>
          <w:sz w:val="22"/>
          <w:lang w:val="es-ES_tradnl"/>
        </w:rPr>
        <w:t>(</w:t>
      </w:r>
      <w:r w:rsidR="0035077A">
        <w:rPr>
          <w:rFonts w:ascii="Arial" w:hAnsi="Arial" w:cs="Arial"/>
          <w:sz w:val="22"/>
          <w:lang w:val="es-ES_tradnl"/>
        </w:rPr>
        <w:t>1.264.520</w:t>
      </w:r>
      <w:r w:rsidR="001267F5">
        <w:rPr>
          <w:rFonts w:ascii="Arial" w:hAnsi="Arial" w:cs="Arial"/>
          <w:sz w:val="22"/>
          <w:lang w:val="es-ES_tradnl"/>
        </w:rPr>
        <w:t>) no solicitaron crédito. De estás últimas, destaca que 44</w:t>
      </w:r>
      <w:r w:rsidR="000C335D">
        <w:rPr>
          <w:rFonts w:ascii="Arial" w:hAnsi="Arial" w:cs="Arial"/>
          <w:sz w:val="22"/>
          <w:lang w:val="es-ES_tradnl"/>
        </w:rPr>
        <w:t>,</w:t>
      </w:r>
      <w:r w:rsidR="001267F5">
        <w:rPr>
          <w:rFonts w:ascii="Arial" w:hAnsi="Arial" w:cs="Arial"/>
          <w:sz w:val="22"/>
          <w:lang w:val="es-ES_tradnl"/>
        </w:rPr>
        <w:t>2% no lo hicieron debido a las altas tasa de interés, 21</w:t>
      </w:r>
      <w:r w:rsidR="000C335D">
        <w:rPr>
          <w:rFonts w:ascii="Arial" w:hAnsi="Arial" w:cs="Arial"/>
          <w:sz w:val="22"/>
          <w:lang w:val="es-ES_tradnl"/>
        </w:rPr>
        <w:t>,</w:t>
      </w:r>
      <w:r w:rsidR="001267F5">
        <w:rPr>
          <w:rFonts w:ascii="Arial" w:hAnsi="Arial" w:cs="Arial"/>
          <w:sz w:val="22"/>
          <w:lang w:val="es-ES_tradnl"/>
        </w:rPr>
        <w:t>5% por desconfianza en los bancos, 33</w:t>
      </w:r>
      <w:r w:rsidR="000C335D">
        <w:rPr>
          <w:rFonts w:ascii="Arial" w:hAnsi="Arial" w:cs="Arial"/>
          <w:sz w:val="22"/>
          <w:lang w:val="es-ES_tradnl"/>
        </w:rPr>
        <w:t>,</w:t>
      </w:r>
      <w:r w:rsidR="001267F5">
        <w:rPr>
          <w:rFonts w:ascii="Arial" w:hAnsi="Arial" w:cs="Arial"/>
          <w:sz w:val="22"/>
          <w:lang w:val="es-ES_tradnl"/>
        </w:rPr>
        <w:t>7% por la gran cantidad de requisitos, y 11</w:t>
      </w:r>
      <w:r w:rsidR="000C335D">
        <w:rPr>
          <w:rFonts w:ascii="Arial" w:hAnsi="Arial" w:cs="Arial"/>
          <w:sz w:val="22"/>
          <w:lang w:val="es-ES_tradnl"/>
        </w:rPr>
        <w:t>,</w:t>
      </w:r>
      <w:r w:rsidR="001267F5">
        <w:rPr>
          <w:rFonts w:ascii="Arial" w:hAnsi="Arial" w:cs="Arial"/>
          <w:sz w:val="22"/>
          <w:lang w:val="es-ES_tradnl"/>
        </w:rPr>
        <w:t>6% por falta o lejanía de sucursal</w:t>
      </w:r>
      <w:r w:rsidR="001267F5">
        <w:rPr>
          <w:rStyle w:val="FootnoteReference"/>
          <w:rFonts w:ascii="Arial" w:hAnsi="Arial" w:cs="Arial"/>
          <w:sz w:val="22"/>
          <w:lang w:val="es-ES_tradnl"/>
        </w:rPr>
        <w:footnoteReference w:id="10"/>
      </w:r>
      <w:r w:rsidR="001267F5">
        <w:rPr>
          <w:rFonts w:ascii="Arial" w:hAnsi="Arial" w:cs="Arial"/>
          <w:sz w:val="22"/>
          <w:lang w:val="es-ES_tradnl"/>
        </w:rPr>
        <w:t>. Dado que todas estas son fallas de mercado o costos de transacción que el programa busca aliviar, se empleará</w:t>
      </w:r>
      <w:r w:rsidR="001267F5" w:rsidRPr="001267F5">
        <w:rPr>
          <w:rFonts w:ascii="Arial" w:hAnsi="Arial" w:cs="Arial"/>
          <w:sz w:val="22"/>
          <w:lang w:val="es-ES_tradnl"/>
        </w:rPr>
        <w:t xml:space="preserve"> un porcentaje de 40% de tal manera que </w:t>
      </w:r>
      <w:r w:rsidR="001267F5">
        <w:rPr>
          <w:rFonts w:ascii="Arial" w:hAnsi="Arial" w:cs="Arial"/>
          <w:sz w:val="22"/>
          <w:lang w:val="es-ES_tradnl"/>
        </w:rPr>
        <w:t>refleje aproximadamente el porcentaje de esta población que cita dichas fallas como factor limitante para la solicitud de financiamiento. Est</w:t>
      </w:r>
      <w:r w:rsidR="00B87E3B">
        <w:rPr>
          <w:rFonts w:ascii="Arial" w:hAnsi="Arial" w:cs="Arial"/>
          <w:sz w:val="22"/>
          <w:lang w:val="es-ES_tradnl"/>
        </w:rPr>
        <w:t>e porcentaje resulta complementario con el 59</w:t>
      </w:r>
      <w:r w:rsidR="000C335D">
        <w:rPr>
          <w:rFonts w:ascii="Arial" w:hAnsi="Arial" w:cs="Arial"/>
          <w:sz w:val="22"/>
          <w:lang w:val="es-ES_tradnl"/>
        </w:rPr>
        <w:t>,</w:t>
      </w:r>
      <w:r w:rsidR="00B87E3B">
        <w:rPr>
          <w:rFonts w:ascii="Arial" w:hAnsi="Arial" w:cs="Arial"/>
          <w:sz w:val="22"/>
          <w:lang w:val="es-ES_tradnl"/>
        </w:rPr>
        <w:t xml:space="preserve">1% que cita como razón del no endeudamiento la preferencia por no endeudarse (ver </w:t>
      </w:r>
      <w:r w:rsidR="00D51119">
        <w:rPr>
          <w:rFonts w:ascii="Arial" w:hAnsi="Arial" w:cs="Arial"/>
          <w:sz w:val="22"/>
          <w:lang w:val="es-ES_tradnl"/>
        </w:rPr>
        <w:fldChar w:fldCharType="begin"/>
      </w:r>
      <w:r w:rsidR="00D51119">
        <w:rPr>
          <w:rFonts w:ascii="Arial" w:hAnsi="Arial" w:cs="Arial"/>
          <w:sz w:val="22"/>
          <w:lang w:val="es-ES_tradnl"/>
        </w:rPr>
        <w:instrText xml:space="preserve"> REF _Ref17904367 \h  \* MERGEFORMAT </w:instrText>
      </w:r>
      <w:r w:rsidR="00D51119">
        <w:rPr>
          <w:rFonts w:ascii="Arial" w:hAnsi="Arial" w:cs="Arial"/>
          <w:sz w:val="22"/>
          <w:lang w:val="es-ES_tradnl"/>
        </w:rPr>
      </w:r>
      <w:r w:rsidR="00D51119">
        <w:rPr>
          <w:rFonts w:ascii="Arial" w:hAnsi="Arial" w:cs="Arial"/>
          <w:sz w:val="22"/>
          <w:lang w:val="es-ES_tradnl"/>
        </w:rPr>
        <w:fldChar w:fldCharType="separate"/>
      </w:r>
      <w:r w:rsidR="00363672">
        <w:rPr>
          <w:rFonts w:ascii="Arial" w:hAnsi="Arial" w:cs="Arial"/>
          <w:sz w:val="22"/>
          <w:lang w:val="es-ES_tradnl"/>
        </w:rPr>
        <w:t>c</w:t>
      </w:r>
      <w:r w:rsidR="001C14F0" w:rsidRPr="001C14F0">
        <w:rPr>
          <w:rFonts w:ascii="Arial" w:hAnsi="Arial" w:cs="Arial"/>
          <w:sz w:val="22"/>
          <w:lang w:val="es-ES_tradnl"/>
        </w:rPr>
        <w:t>uadro 3</w:t>
      </w:r>
      <w:r w:rsidR="00D51119">
        <w:rPr>
          <w:rFonts w:ascii="Arial" w:hAnsi="Arial" w:cs="Arial"/>
          <w:sz w:val="22"/>
          <w:lang w:val="es-ES_tradnl"/>
        </w:rPr>
        <w:fldChar w:fldCharType="end"/>
      </w:r>
      <w:r w:rsidR="00B87E3B">
        <w:rPr>
          <w:rFonts w:ascii="Arial" w:hAnsi="Arial" w:cs="Arial"/>
          <w:sz w:val="22"/>
          <w:lang w:val="es-ES_tradnl"/>
        </w:rPr>
        <w:t xml:space="preserve">). De esta manera tenemos que este 40% corresponde a </w:t>
      </w:r>
      <w:r w:rsidR="0035077A">
        <w:rPr>
          <w:rFonts w:ascii="Arial" w:hAnsi="Arial" w:cs="Arial"/>
          <w:sz w:val="22"/>
          <w:lang w:val="es-ES_tradnl"/>
        </w:rPr>
        <w:t>5</w:t>
      </w:r>
      <w:r w:rsidR="00F83B16">
        <w:rPr>
          <w:rFonts w:ascii="Arial" w:hAnsi="Arial" w:cs="Arial"/>
          <w:sz w:val="22"/>
          <w:lang w:val="es-ES_tradnl"/>
        </w:rPr>
        <w:t>05.808</w:t>
      </w:r>
      <w:r w:rsidR="00B87E3B">
        <w:rPr>
          <w:rFonts w:ascii="Arial" w:hAnsi="Arial" w:cs="Arial"/>
          <w:sz w:val="22"/>
          <w:lang w:val="es-ES_tradnl"/>
        </w:rPr>
        <w:t xml:space="preserve"> UER que también forman parte de la demanda potencial.</w:t>
      </w:r>
    </w:p>
    <w:p w14:paraId="5FCFBE67" w14:textId="6BD86AC6" w:rsidR="00B87E3B" w:rsidRPr="00806B9A" w:rsidRDefault="00B87E3B" w:rsidP="001267F5">
      <w:pPr>
        <w:pStyle w:val="Paragraph"/>
        <w:tabs>
          <w:tab w:val="clear" w:pos="2448"/>
          <w:tab w:val="num" w:pos="720"/>
        </w:tabs>
        <w:ind w:left="720" w:hanging="720"/>
        <w:rPr>
          <w:rFonts w:ascii="Arial" w:hAnsi="Arial" w:cs="Arial"/>
          <w:sz w:val="22"/>
          <w:lang w:val="es-ES_tradnl"/>
        </w:rPr>
      </w:pPr>
      <w:r w:rsidRPr="00C64513">
        <w:rPr>
          <w:rFonts w:ascii="Arial" w:hAnsi="Arial" w:cs="Arial"/>
          <w:sz w:val="22"/>
          <w:lang w:val="es-ES_tradnl"/>
        </w:rPr>
        <w:t xml:space="preserve">De esta manera, sumando ambos grupos, tenemos que el total potencial de UER que podrían ser beneficiadas asciende a </w:t>
      </w:r>
      <w:r w:rsidR="00F83B16">
        <w:rPr>
          <w:rFonts w:ascii="Arial" w:hAnsi="Arial" w:cs="Arial"/>
          <w:sz w:val="22"/>
          <w:lang w:val="es-ES_tradnl"/>
        </w:rPr>
        <w:t>579.657</w:t>
      </w:r>
      <w:r w:rsidRPr="00C64513">
        <w:rPr>
          <w:rFonts w:ascii="Arial" w:hAnsi="Arial" w:cs="Arial"/>
          <w:sz w:val="22"/>
          <w:lang w:val="es-ES_tradnl"/>
        </w:rPr>
        <w:t xml:space="preserve">. </w:t>
      </w:r>
      <w:r w:rsidR="00C64513" w:rsidRPr="00C64513">
        <w:rPr>
          <w:rFonts w:ascii="Arial" w:hAnsi="Arial" w:cs="Arial"/>
          <w:sz w:val="22"/>
          <w:lang w:val="es-ES_tradnl"/>
        </w:rPr>
        <w:t>Ahora, si se considera que, por p</w:t>
      </w:r>
      <w:r w:rsidR="00C64513" w:rsidRPr="00806B9A">
        <w:rPr>
          <w:rFonts w:ascii="Arial" w:hAnsi="Arial" w:cs="Arial"/>
          <w:sz w:val="22"/>
          <w:lang w:val="es-ES_tradnl"/>
        </w:rPr>
        <w:t>roblemas de observabilidad, no es posible atribuir dichas demandas de crédito a las UER identificadas como racionados crediticiamente, se podría estar en una situación de sobreestimación de demanda. Por tal motivo, para tomar postura conservadora se atribuye una demanda promedio un 25%</w:t>
      </w:r>
      <w:r w:rsidR="00B51B6D">
        <w:rPr>
          <w:rFonts w:ascii="Arial" w:hAnsi="Arial" w:cs="Arial"/>
          <w:sz w:val="22"/>
          <w:lang w:val="es-ES_tradnl"/>
        </w:rPr>
        <w:t> </w:t>
      </w:r>
      <w:r w:rsidR="00C64513" w:rsidRPr="00806B9A">
        <w:rPr>
          <w:rFonts w:ascii="Arial" w:hAnsi="Arial" w:cs="Arial"/>
          <w:sz w:val="22"/>
          <w:lang w:val="es-ES_tradnl"/>
        </w:rPr>
        <w:t xml:space="preserve">menor, lo cual implica una demanda potencial de </w:t>
      </w:r>
      <w:r w:rsidR="00F83B16">
        <w:rPr>
          <w:rFonts w:ascii="Arial" w:hAnsi="Arial" w:cs="Arial"/>
          <w:sz w:val="22"/>
          <w:lang w:val="es-ES_tradnl"/>
        </w:rPr>
        <w:t>434.742</w:t>
      </w:r>
      <w:r w:rsidR="00C64513" w:rsidRPr="00806B9A">
        <w:rPr>
          <w:rFonts w:ascii="Arial" w:hAnsi="Arial" w:cs="Arial"/>
          <w:sz w:val="22"/>
          <w:lang w:val="es-ES_tradnl"/>
        </w:rPr>
        <w:t xml:space="preserve"> UER.</w:t>
      </w:r>
    </w:p>
    <w:p w14:paraId="38BF5401" w14:textId="6885236A" w:rsidR="00447358" w:rsidRDefault="00C64513" w:rsidP="00A0179F">
      <w:pPr>
        <w:pStyle w:val="Paragraph"/>
        <w:tabs>
          <w:tab w:val="clear" w:pos="2448"/>
          <w:tab w:val="num" w:pos="720"/>
        </w:tabs>
        <w:ind w:left="720" w:hanging="720"/>
        <w:rPr>
          <w:rFonts w:ascii="Arial" w:hAnsi="Arial" w:cs="Arial"/>
        </w:rPr>
      </w:pPr>
      <w:r w:rsidRPr="00806B9A">
        <w:rPr>
          <w:rFonts w:ascii="Arial" w:hAnsi="Arial" w:cs="Arial"/>
          <w:sz w:val="22"/>
          <w:lang w:val="es-ES_tradnl"/>
        </w:rPr>
        <w:t>Asumiendo que el monto promedio de crédito promedio que dará el programa es de aproximadamente US$</w:t>
      </w:r>
      <w:r w:rsidR="00F83B16">
        <w:rPr>
          <w:rFonts w:ascii="Arial" w:hAnsi="Arial" w:cs="Arial"/>
          <w:sz w:val="22"/>
          <w:lang w:val="es-ES_tradnl"/>
        </w:rPr>
        <w:t>23.517</w:t>
      </w:r>
      <w:r w:rsidR="00F83B16">
        <w:rPr>
          <w:rStyle w:val="FootnoteReference"/>
          <w:rFonts w:ascii="Arial" w:hAnsi="Arial" w:cs="Arial"/>
          <w:sz w:val="22"/>
          <w:lang w:val="es-ES_tradnl"/>
        </w:rPr>
        <w:footnoteReference w:id="11"/>
      </w:r>
      <w:r w:rsidRPr="00806B9A">
        <w:rPr>
          <w:rFonts w:ascii="Arial" w:hAnsi="Arial" w:cs="Arial"/>
          <w:sz w:val="22"/>
          <w:lang w:val="es-ES_tradnl"/>
        </w:rPr>
        <w:t>, el valor de la demanda potencial asciende a US$</w:t>
      </w:r>
      <w:r w:rsidR="00F83B16">
        <w:rPr>
          <w:rFonts w:ascii="Arial" w:hAnsi="Arial" w:cs="Arial"/>
          <w:sz w:val="22"/>
          <w:lang w:val="es-ES_tradnl"/>
        </w:rPr>
        <w:t>10.223</w:t>
      </w:r>
      <w:r w:rsidRPr="00806B9A">
        <w:rPr>
          <w:rFonts w:ascii="Arial" w:hAnsi="Arial" w:cs="Arial"/>
          <w:sz w:val="22"/>
          <w:lang w:val="es-ES_tradnl"/>
        </w:rPr>
        <w:t xml:space="preserve"> millones. El valor del presente programa (US$250</w:t>
      </w:r>
      <w:r w:rsidR="00733269">
        <w:rPr>
          <w:rFonts w:ascii="Arial" w:hAnsi="Arial" w:cs="Arial"/>
          <w:sz w:val="22"/>
          <w:lang w:val="es-ES_tradnl"/>
        </w:rPr>
        <w:t> </w:t>
      </w:r>
      <w:r w:rsidRPr="00806B9A">
        <w:rPr>
          <w:rFonts w:ascii="Arial" w:hAnsi="Arial" w:cs="Arial"/>
          <w:sz w:val="22"/>
          <w:lang w:val="es-ES_tradnl"/>
        </w:rPr>
        <w:t>millones) equivale a</w:t>
      </w:r>
      <w:r w:rsidR="00A0179F" w:rsidRPr="00806B9A">
        <w:rPr>
          <w:rFonts w:ascii="Arial" w:hAnsi="Arial" w:cs="Arial"/>
          <w:sz w:val="22"/>
          <w:lang w:val="es-ES_tradnl"/>
        </w:rPr>
        <w:t xml:space="preserve">l </w:t>
      </w:r>
      <w:r w:rsidR="00F83B16">
        <w:rPr>
          <w:rFonts w:ascii="Arial" w:hAnsi="Arial" w:cs="Arial"/>
          <w:sz w:val="22"/>
          <w:lang w:val="es-ES_tradnl"/>
        </w:rPr>
        <w:t>2</w:t>
      </w:r>
      <w:r w:rsidR="00A0179F" w:rsidRPr="00806B9A">
        <w:rPr>
          <w:rFonts w:ascii="Arial" w:hAnsi="Arial" w:cs="Arial"/>
          <w:sz w:val="22"/>
          <w:lang w:val="es-ES_tradnl"/>
        </w:rPr>
        <w:t>% de esta demanda, lo cual deja amplio margen para la implementación de la intervención con un riesgo muy bajo de que se desplace al sector privado.</w:t>
      </w:r>
      <w:r w:rsidR="00A0179F" w:rsidRPr="00806B9A">
        <w:rPr>
          <w:rFonts w:ascii="Arial" w:hAnsi="Arial" w:cs="Arial"/>
        </w:rPr>
        <w:t xml:space="preserve"> </w:t>
      </w:r>
    </w:p>
    <w:p w14:paraId="1994AD3E" w14:textId="622F392F" w:rsidR="0021059C" w:rsidRDefault="0021059C" w:rsidP="0021059C">
      <w:pPr>
        <w:pStyle w:val="Paragraph"/>
        <w:numPr>
          <w:ilvl w:val="0"/>
          <w:numId w:val="0"/>
        </w:numPr>
        <w:ind w:left="720"/>
        <w:rPr>
          <w:rFonts w:ascii="Arial" w:hAnsi="Arial" w:cs="Arial"/>
        </w:rPr>
      </w:pPr>
    </w:p>
    <w:p w14:paraId="48B1B0D7" w14:textId="63DA101B" w:rsidR="00FF1589" w:rsidRDefault="00FF1589" w:rsidP="0021059C">
      <w:pPr>
        <w:pStyle w:val="Paragraph"/>
        <w:numPr>
          <w:ilvl w:val="0"/>
          <w:numId w:val="0"/>
        </w:numPr>
        <w:ind w:left="720"/>
        <w:rPr>
          <w:rFonts w:ascii="Arial" w:hAnsi="Arial" w:cs="Arial"/>
        </w:rPr>
      </w:pPr>
    </w:p>
    <w:p w14:paraId="3FA8BA25" w14:textId="77777777" w:rsidR="00FF1589" w:rsidRDefault="00FF1589" w:rsidP="0021059C">
      <w:pPr>
        <w:pStyle w:val="Paragraph"/>
        <w:numPr>
          <w:ilvl w:val="0"/>
          <w:numId w:val="0"/>
        </w:numPr>
        <w:ind w:left="720"/>
        <w:rPr>
          <w:rFonts w:ascii="Arial" w:hAnsi="Arial" w:cs="Arial"/>
        </w:rPr>
      </w:pPr>
    </w:p>
    <w:p w14:paraId="0CC4B3A2" w14:textId="51B43E45" w:rsidR="0021059C" w:rsidRPr="00733269" w:rsidRDefault="00936FA8" w:rsidP="0021059C">
      <w:pPr>
        <w:pStyle w:val="Caption"/>
        <w:jc w:val="center"/>
        <w:rPr>
          <w:rFonts w:ascii="Arial" w:hAnsi="Arial" w:cs="Arial"/>
          <w:b/>
          <w:bCs/>
          <w:i w:val="0"/>
          <w:iCs w:val="0"/>
          <w:color w:val="000000" w:themeColor="text1"/>
          <w:sz w:val="22"/>
          <w:szCs w:val="22"/>
        </w:rPr>
      </w:pPr>
      <w:bookmarkStart w:id="3" w:name="_Ref17903659"/>
      <w:r>
        <w:rPr>
          <w:rFonts w:ascii="Arial" w:hAnsi="Arial" w:cs="Arial"/>
          <w:b/>
          <w:bCs/>
          <w:i w:val="0"/>
          <w:iCs w:val="0"/>
          <w:color w:val="000000" w:themeColor="text1"/>
          <w:sz w:val="22"/>
          <w:szCs w:val="22"/>
        </w:rPr>
        <w:tab/>
      </w:r>
      <w:r w:rsidR="0021059C" w:rsidRPr="00733269">
        <w:rPr>
          <w:rFonts w:ascii="Arial" w:hAnsi="Arial" w:cs="Arial"/>
          <w:b/>
          <w:bCs/>
          <w:i w:val="0"/>
          <w:iCs w:val="0"/>
          <w:color w:val="000000" w:themeColor="text1"/>
          <w:sz w:val="22"/>
          <w:szCs w:val="22"/>
        </w:rPr>
        <w:t xml:space="preserve">Cuadro </w:t>
      </w:r>
      <w:r w:rsidR="0021059C" w:rsidRPr="00733269">
        <w:rPr>
          <w:rFonts w:ascii="Arial" w:hAnsi="Arial" w:cs="Arial"/>
          <w:b/>
          <w:bCs/>
          <w:i w:val="0"/>
          <w:iCs w:val="0"/>
          <w:color w:val="000000" w:themeColor="text1"/>
          <w:sz w:val="22"/>
          <w:szCs w:val="22"/>
        </w:rPr>
        <w:fldChar w:fldCharType="begin"/>
      </w:r>
      <w:r w:rsidR="0021059C" w:rsidRPr="00733269">
        <w:rPr>
          <w:rFonts w:ascii="Arial" w:hAnsi="Arial" w:cs="Arial"/>
          <w:b/>
          <w:bCs/>
          <w:i w:val="0"/>
          <w:iCs w:val="0"/>
          <w:color w:val="000000" w:themeColor="text1"/>
          <w:sz w:val="22"/>
          <w:szCs w:val="22"/>
        </w:rPr>
        <w:instrText xml:space="preserve"> SEQ Cuadro \* ARABIC </w:instrText>
      </w:r>
      <w:r w:rsidR="0021059C" w:rsidRPr="00733269">
        <w:rPr>
          <w:rFonts w:ascii="Arial" w:hAnsi="Arial" w:cs="Arial"/>
          <w:b/>
          <w:bCs/>
          <w:i w:val="0"/>
          <w:iCs w:val="0"/>
          <w:color w:val="000000" w:themeColor="text1"/>
          <w:sz w:val="22"/>
          <w:szCs w:val="22"/>
        </w:rPr>
        <w:fldChar w:fldCharType="separate"/>
      </w:r>
      <w:r w:rsidR="001C14F0" w:rsidRPr="00733269">
        <w:rPr>
          <w:rFonts w:ascii="Arial" w:hAnsi="Arial" w:cs="Arial"/>
          <w:b/>
          <w:bCs/>
          <w:i w:val="0"/>
          <w:iCs w:val="0"/>
          <w:noProof/>
          <w:color w:val="000000" w:themeColor="text1"/>
          <w:sz w:val="22"/>
          <w:szCs w:val="22"/>
        </w:rPr>
        <w:t>4</w:t>
      </w:r>
      <w:r w:rsidR="0021059C" w:rsidRPr="00733269">
        <w:rPr>
          <w:rFonts w:ascii="Arial" w:hAnsi="Arial" w:cs="Arial"/>
          <w:b/>
          <w:bCs/>
          <w:i w:val="0"/>
          <w:iCs w:val="0"/>
          <w:color w:val="000000" w:themeColor="text1"/>
          <w:sz w:val="22"/>
          <w:szCs w:val="22"/>
        </w:rPr>
        <w:fldChar w:fldCharType="end"/>
      </w:r>
      <w:bookmarkEnd w:id="3"/>
      <w:r w:rsidR="0021059C" w:rsidRPr="00733269">
        <w:rPr>
          <w:rFonts w:ascii="Arial" w:hAnsi="Arial" w:cs="Arial"/>
          <w:b/>
          <w:bCs/>
          <w:i w:val="0"/>
          <w:iCs w:val="0"/>
          <w:color w:val="000000" w:themeColor="text1"/>
          <w:sz w:val="22"/>
          <w:szCs w:val="22"/>
        </w:rPr>
        <w:t>. Cálculo de demanda potencial</w:t>
      </w:r>
    </w:p>
    <w:p w14:paraId="42C28817" w14:textId="0D90A72C" w:rsidR="0021059C" w:rsidRPr="00806B9A" w:rsidRDefault="001C14F0" w:rsidP="0021059C">
      <w:pPr>
        <w:pStyle w:val="Paragraph"/>
        <w:numPr>
          <w:ilvl w:val="0"/>
          <w:numId w:val="0"/>
        </w:numPr>
        <w:ind w:left="720"/>
        <w:jc w:val="center"/>
        <w:rPr>
          <w:rFonts w:ascii="Arial" w:hAnsi="Arial" w:cs="Arial"/>
        </w:rPr>
      </w:pPr>
      <w:bookmarkStart w:id="4" w:name="_GoBack"/>
      <w:r w:rsidRPr="001C14F0">
        <w:rPr>
          <w:noProof/>
        </w:rPr>
        <w:drawing>
          <wp:inline distT="0" distB="0" distL="0" distR="0" wp14:anchorId="2CDD20DE" wp14:editId="1E462EDC">
            <wp:extent cx="4986020" cy="3617956"/>
            <wp:effectExtent l="0" t="0" r="508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96167" cy="3625319"/>
                    </a:xfrm>
                    <a:prstGeom prst="rect">
                      <a:avLst/>
                    </a:prstGeom>
                    <a:noFill/>
                    <a:ln>
                      <a:noFill/>
                    </a:ln>
                  </pic:spPr>
                </pic:pic>
              </a:graphicData>
            </a:graphic>
          </wp:inline>
        </w:drawing>
      </w:r>
      <w:bookmarkEnd w:id="4"/>
    </w:p>
    <w:sectPr w:rsidR="0021059C" w:rsidRPr="00806B9A" w:rsidSect="00EB219D">
      <w:headerReference w:type="default" r:id="rId1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D1C8B1" w14:textId="77777777" w:rsidR="008B5644" w:rsidRDefault="008B5644" w:rsidP="00045935">
      <w:pPr>
        <w:spacing w:after="0" w:line="240" w:lineRule="auto"/>
      </w:pPr>
      <w:r>
        <w:separator/>
      </w:r>
    </w:p>
  </w:endnote>
  <w:endnote w:type="continuationSeparator" w:id="0">
    <w:p w14:paraId="4D6469AC" w14:textId="77777777" w:rsidR="008B5644" w:rsidRDefault="008B5644" w:rsidP="00045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550E92" w14:textId="77777777" w:rsidR="008B5644" w:rsidRDefault="008B5644" w:rsidP="00045935">
      <w:pPr>
        <w:spacing w:after="0" w:line="240" w:lineRule="auto"/>
      </w:pPr>
      <w:r>
        <w:separator/>
      </w:r>
    </w:p>
  </w:footnote>
  <w:footnote w:type="continuationSeparator" w:id="0">
    <w:p w14:paraId="7071CECE" w14:textId="77777777" w:rsidR="008B5644" w:rsidRDefault="008B5644" w:rsidP="00045935">
      <w:pPr>
        <w:spacing w:after="0" w:line="240" w:lineRule="auto"/>
      </w:pPr>
      <w:r>
        <w:continuationSeparator/>
      </w:r>
    </w:p>
  </w:footnote>
  <w:footnote w:id="1">
    <w:p w14:paraId="4BEFF10C" w14:textId="0D1D87DD" w:rsidR="00045935" w:rsidRPr="001259F4" w:rsidRDefault="00045935" w:rsidP="00733269">
      <w:pPr>
        <w:pStyle w:val="FootnoteText"/>
        <w:spacing w:after="0"/>
        <w:ind w:left="274" w:hanging="274"/>
        <w:rPr>
          <w:rFonts w:ascii="Arial" w:hAnsi="Arial" w:cs="Arial"/>
          <w:sz w:val="18"/>
        </w:rPr>
      </w:pPr>
      <w:r w:rsidRPr="001259F4">
        <w:rPr>
          <w:rStyle w:val="FootnoteReference"/>
          <w:rFonts w:ascii="Arial" w:hAnsi="Arial" w:cs="Arial"/>
          <w:sz w:val="18"/>
        </w:rPr>
        <w:footnoteRef/>
      </w:r>
      <w:r w:rsidRPr="001259F4">
        <w:rPr>
          <w:rFonts w:ascii="Arial" w:hAnsi="Arial" w:cs="Arial"/>
          <w:sz w:val="18"/>
        </w:rPr>
        <w:t xml:space="preserve"> </w:t>
      </w:r>
      <w:r w:rsidRPr="001259F4">
        <w:rPr>
          <w:rFonts w:ascii="Arial" w:hAnsi="Arial" w:cs="Arial"/>
          <w:sz w:val="18"/>
        </w:rPr>
        <w:tab/>
        <w:t xml:space="preserve">En general la literatura entiende por “racionamiento crediticio” situaciones en las cuales los intermediarios financieros restringen la distribución de crédito en cantidades dejando de lado el uso de las tasas de interés como instrumento de racionamiento debido a los problemas de selección emergentes de la inherente asimetría informativa en estos mercados. Esta, sin embargo, no es la única situación en la cual se justifica la intervención pública, y otras fallas de mercado (situaciones oligopólicas o monopólicas, altos costos de transacción, </w:t>
      </w:r>
      <w:proofErr w:type="spellStart"/>
      <w:r w:rsidRPr="001259F4">
        <w:rPr>
          <w:rFonts w:ascii="Arial" w:hAnsi="Arial" w:cs="Arial"/>
          <w:sz w:val="18"/>
        </w:rPr>
        <w:t>etc</w:t>
      </w:r>
      <w:proofErr w:type="spellEnd"/>
      <w:r w:rsidRPr="001259F4">
        <w:rPr>
          <w:rFonts w:ascii="Arial" w:hAnsi="Arial" w:cs="Arial"/>
          <w:sz w:val="18"/>
        </w:rPr>
        <w:t>) pueden llevar a provisiones subóptimas de intermediación financiera.</w:t>
      </w:r>
    </w:p>
  </w:footnote>
  <w:footnote w:id="2">
    <w:p w14:paraId="4EFF30E0" w14:textId="51863251" w:rsidR="00045935" w:rsidRPr="001259F4" w:rsidRDefault="00045935" w:rsidP="00733269">
      <w:pPr>
        <w:pStyle w:val="FootnoteText"/>
        <w:spacing w:after="0"/>
        <w:ind w:left="274" w:hanging="274"/>
        <w:rPr>
          <w:rFonts w:ascii="Arial" w:hAnsi="Arial" w:cs="Arial"/>
          <w:sz w:val="18"/>
        </w:rPr>
      </w:pPr>
      <w:r w:rsidRPr="001259F4">
        <w:rPr>
          <w:rStyle w:val="FootnoteReference"/>
          <w:rFonts w:ascii="Arial" w:hAnsi="Arial" w:cs="Arial"/>
          <w:sz w:val="18"/>
        </w:rPr>
        <w:footnoteRef/>
      </w:r>
      <w:r w:rsidRPr="001259F4">
        <w:rPr>
          <w:rFonts w:ascii="Arial" w:hAnsi="Arial" w:cs="Arial"/>
          <w:sz w:val="18"/>
        </w:rPr>
        <w:t xml:space="preserve"> </w:t>
      </w:r>
      <w:r w:rsidRPr="001259F4">
        <w:rPr>
          <w:rFonts w:ascii="Arial" w:hAnsi="Arial" w:cs="Arial"/>
          <w:sz w:val="18"/>
        </w:rPr>
        <w:tab/>
        <w:t>Véase Marco Sectorial de Respaldo para P</w:t>
      </w:r>
      <w:r w:rsidR="00B51B6D">
        <w:rPr>
          <w:rFonts w:ascii="Arial" w:hAnsi="Arial" w:cs="Arial"/>
          <w:sz w:val="18"/>
        </w:rPr>
        <w:t>y</w:t>
      </w:r>
      <w:r w:rsidRPr="001259F4">
        <w:rPr>
          <w:rFonts w:ascii="Arial" w:hAnsi="Arial" w:cs="Arial"/>
          <w:sz w:val="18"/>
        </w:rPr>
        <w:t>ME y Acceso y Supervisión Financieros (GN-2768</w:t>
      </w:r>
      <w:r w:rsidR="00941994">
        <w:rPr>
          <w:rFonts w:ascii="Arial" w:hAnsi="Arial" w:cs="Arial"/>
          <w:sz w:val="18"/>
        </w:rPr>
        <w:t>-8</w:t>
      </w:r>
      <w:r w:rsidRPr="001259F4">
        <w:rPr>
          <w:rFonts w:ascii="Arial" w:hAnsi="Arial" w:cs="Arial"/>
          <w:sz w:val="18"/>
        </w:rPr>
        <w:t>)</w:t>
      </w:r>
      <w:r w:rsidRPr="001259F4">
        <w:rPr>
          <w:rFonts w:ascii="Arial" w:hAnsi="Arial" w:cs="Arial"/>
          <w:sz w:val="18"/>
          <w:lang w:val="es-ES_tradnl"/>
        </w:rPr>
        <w:t>.</w:t>
      </w:r>
    </w:p>
  </w:footnote>
  <w:footnote w:id="3">
    <w:p w14:paraId="2F02E136" w14:textId="29576C96" w:rsidR="00045935" w:rsidRPr="001259F4" w:rsidRDefault="00045935" w:rsidP="00733269">
      <w:pPr>
        <w:pStyle w:val="FootnoteText"/>
        <w:spacing w:after="0"/>
        <w:ind w:left="274" w:hanging="274"/>
        <w:rPr>
          <w:rFonts w:ascii="Arial" w:hAnsi="Arial" w:cs="Arial"/>
          <w:sz w:val="18"/>
        </w:rPr>
      </w:pPr>
      <w:r w:rsidRPr="001259F4">
        <w:rPr>
          <w:rStyle w:val="FootnoteReference"/>
          <w:rFonts w:ascii="Arial" w:hAnsi="Arial" w:cs="Arial"/>
          <w:sz w:val="18"/>
        </w:rPr>
        <w:footnoteRef/>
      </w:r>
      <w:r w:rsidRPr="001259F4">
        <w:rPr>
          <w:rFonts w:ascii="Arial" w:hAnsi="Arial" w:cs="Arial"/>
          <w:sz w:val="18"/>
        </w:rPr>
        <w:tab/>
        <w:t xml:space="preserve">Terrones-Cordero, A, y Sánchez-Torres, Y, </w:t>
      </w:r>
      <w:r w:rsidR="002C5143">
        <w:rPr>
          <w:rFonts w:ascii="Arial" w:hAnsi="Arial" w:cs="Arial"/>
          <w:sz w:val="18"/>
        </w:rPr>
        <w:t>(</w:t>
      </w:r>
      <w:r w:rsidRPr="001259F4">
        <w:rPr>
          <w:rFonts w:ascii="Arial" w:hAnsi="Arial" w:cs="Arial"/>
          <w:sz w:val="18"/>
        </w:rPr>
        <w:t>2010</w:t>
      </w:r>
      <w:r w:rsidR="002C5143">
        <w:rPr>
          <w:rFonts w:ascii="Arial" w:hAnsi="Arial" w:cs="Arial"/>
          <w:sz w:val="18"/>
        </w:rPr>
        <w:t>)</w:t>
      </w:r>
      <w:r w:rsidR="00941994">
        <w:rPr>
          <w:rFonts w:ascii="Arial" w:hAnsi="Arial" w:cs="Arial"/>
          <w:sz w:val="18"/>
        </w:rPr>
        <w:t>.</w:t>
      </w:r>
      <w:r w:rsidRPr="001259F4">
        <w:rPr>
          <w:rFonts w:ascii="Arial" w:hAnsi="Arial" w:cs="Arial"/>
          <w:sz w:val="18"/>
        </w:rPr>
        <w:t xml:space="preserve"> </w:t>
      </w:r>
      <w:r w:rsidR="002C5143">
        <w:rPr>
          <w:rFonts w:ascii="Arial" w:hAnsi="Arial" w:cs="Arial"/>
          <w:sz w:val="18"/>
        </w:rPr>
        <w:t>“</w:t>
      </w:r>
      <w:r w:rsidRPr="001259F4">
        <w:rPr>
          <w:rFonts w:ascii="Arial" w:hAnsi="Arial" w:cs="Arial"/>
          <w:sz w:val="18"/>
        </w:rPr>
        <w:t>Demandas de Insumos en la Producción Agrícola en México</w:t>
      </w:r>
      <w:r w:rsidR="002C5143">
        <w:rPr>
          <w:rFonts w:ascii="Arial" w:hAnsi="Arial" w:cs="Arial"/>
          <w:sz w:val="18"/>
        </w:rPr>
        <w:t>”</w:t>
      </w:r>
      <w:r w:rsidRPr="001259F4">
        <w:rPr>
          <w:rFonts w:ascii="Arial" w:hAnsi="Arial" w:cs="Arial"/>
          <w:sz w:val="18"/>
        </w:rPr>
        <w:t>.</w:t>
      </w:r>
    </w:p>
  </w:footnote>
  <w:footnote w:id="4">
    <w:p w14:paraId="1C86944F" w14:textId="77777777" w:rsidR="00045935" w:rsidRPr="00733269" w:rsidRDefault="00045935" w:rsidP="00733269">
      <w:pPr>
        <w:pStyle w:val="FootnoteText"/>
        <w:spacing w:after="0"/>
        <w:ind w:left="274" w:hanging="274"/>
        <w:rPr>
          <w:rFonts w:ascii="Arial" w:hAnsi="Arial" w:cs="Arial"/>
          <w:sz w:val="18"/>
          <w:lang w:val="en-US"/>
        </w:rPr>
      </w:pPr>
      <w:r w:rsidRPr="001259F4">
        <w:rPr>
          <w:rStyle w:val="FootnoteReference"/>
          <w:rFonts w:ascii="Arial" w:hAnsi="Arial" w:cs="Arial"/>
          <w:sz w:val="18"/>
        </w:rPr>
        <w:footnoteRef/>
      </w:r>
      <w:r w:rsidRPr="00733269">
        <w:rPr>
          <w:rFonts w:ascii="Arial" w:hAnsi="Arial" w:cs="Arial"/>
          <w:sz w:val="18"/>
          <w:lang w:val="en-US"/>
        </w:rPr>
        <w:tab/>
      </w:r>
      <w:proofErr w:type="spellStart"/>
      <w:r w:rsidRPr="00733269">
        <w:rPr>
          <w:rFonts w:ascii="Arial" w:hAnsi="Arial" w:cs="Arial"/>
          <w:sz w:val="18"/>
          <w:lang w:val="en-US"/>
        </w:rPr>
        <w:t>Función</w:t>
      </w:r>
      <w:proofErr w:type="spellEnd"/>
      <w:r w:rsidRPr="00733269">
        <w:rPr>
          <w:rFonts w:ascii="Arial" w:hAnsi="Arial" w:cs="Arial"/>
          <w:sz w:val="18"/>
          <w:lang w:val="en-US"/>
        </w:rPr>
        <w:t xml:space="preserve"> de </w:t>
      </w:r>
      <w:proofErr w:type="spellStart"/>
      <w:r w:rsidRPr="00733269">
        <w:rPr>
          <w:rFonts w:ascii="Arial" w:hAnsi="Arial" w:cs="Arial"/>
          <w:sz w:val="18"/>
          <w:lang w:val="en-US"/>
        </w:rPr>
        <w:t>costo</w:t>
      </w:r>
      <w:proofErr w:type="spellEnd"/>
      <w:r w:rsidRPr="00733269">
        <w:rPr>
          <w:rFonts w:ascii="Arial" w:hAnsi="Arial" w:cs="Arial"/>
          <w:sz w:val="18"/>
          <w:lang w:val="en-US"/>
        </w:rPr>
        <w:t xml:space="preserve"> </w:t>
      </w:r>
      <w:proofErr w:type="spellStart"/>
      <w:r w:rsidRPr="00C042DD">
        <w:rPr>
          <w:rFonts w:ascii="Arial" w:hAnsi="Arial" w:cs="Arial"/>
          <w:i/>
          <w:iCs/>
          <w:sz w:val="18"/>
          <w:lang w:val="en-US"/>
        </w:rPr>
        <w:t>translog</w:t>
      </w:r>
      <w:proofErr w:type="spellEnd"/>
      <w:r w:rsidRPr="00733269">
        <w:rPr>
          <w:rFonts w:ascii="Arial" w:hAnsi="Arial" w:cs="Arial"/>
          <w:sz w:val="18"/>
          <w:lang w:val="en-US"/>
        </w:rPr>
        <w:t>.</w:t>
      </w:r>
    </w:p>
  </w:footnote>
  <w:footnote w:id="5">
    <w:p w14:paraId="71F45D4F" w14:textId="2D379FE2" w:rsidR="00045935" w:rsidRPr="00733269" w:rsidRDefault="00045935" w:rsidP="00733269">
      <w:pPr>
        <w:pStyle w:val="FootnoteText"/>
        <w:spacing w:after="0"/>
        <w:ind w:left="274" w:hanging="274"/>
        <w:rPr>
          <w:rFonts w:ascii="Arial" w:hAnsi="Arial" w:cs="Arial"/>
          <w:sz w:val="18"/>
          <w:lang w:val="en-US"/>
        </w:rPr>
      </w:pPr>
      <w:r w:rsidRPr="001259F4">
        <w:rPr>
          <w:rStyle w:val="FootnoteReference"/>
          <w:rFonts w:ascii="Arial" w:hAnsi="Arial" w:cs="Arial"/>
          <w:sz w:val="18"/>
        </w:rPr>
        <w:footnoteRef/>
      </w:r>
      <w:r w:rsidRPr="00733269">
        <w:rPr>
          <w:rFonts w:ascii="Arial" w:hAnsi="Arial" w:cs="Arial"/>
          <w:sz w:val="18"/>
          <w:lang w:val="en-US"/>
        </w:rPr>
        <w:tab/>
        <w:t xml:space="preserve">Love, I. y Sánchez, S., </w:t>
      </w:r>
      <w:r w:rsidR="00436965">
        <w:rPr>
          <w:rFonts w:ascii="Arial" w:hAnsi="Arial" w:cs="Arial"/>
          <w:sz w:val="18"/>
          <w:lang w:val="en-US"/>
        </w:rPr>
        <w:t>(</w:t>
      </w:r>
      <w:r w:rsidRPr="00733269">
        <w:rPr>
          <w:rFonts w:ascii="Arial" w:hAnsi="Arial" w:cs="Arial"/>
          <w:sz w:val="18"/>
          <w:lang w:val="en-US"/>
        </w:rPr>
        <w:t>2009</w:t>
      </w:r>
      <w:r w:rsidR="00436965">
        <w:rPr>
          <w:rFonts w:ascii="Arial" w:hAnsi="Arial" w:cs="Arial"/>
          <w:sz w:val="18"/>
          <w:lang w:val="en-US"/>
        </w:rPr>
        <w:t>).</w:t>
      </w:r>
      <w:r w:rsidRPr="00733269">
        <w:rPr>
          <w:rFonts w:ascii="Arial" w:hAnsi="Arial" w:cs="Arial"/>
          <w:sz w:val="18"/>
          <w:lang w:val="en-US"/>
        </w:rPr>
        <w:t xml:space="preserve"> </w:t>
      </w:r>
      <w:r w:rsidR="00436965">
        <w:rPr>
          <w:rFonts w:ascii="Arial" w:hAnsi="Arial" w:cs="Arial"/>
          <w:sz w:val="18"/>
          <w:lang w:val="en-US"/>
        </w:rPr>
        <w:t>“</w:t>
      </w:r>
      <w:r w:rsidRPr="00733269">
        <w:rPr>
          <w:rFonts w:ascii="Arial" w:hAnsi="Arial" w:cs="Arial"/>
          <w:i/>
          <w:iCs/>
          <w:sz w:val="18"/>
          <w:lang w:val="en-US"/>
        </w:rPr>
        <w:t>Credit Constraints</w:t>
      </w:r>
      <w:r w:rsidR="00AA2C1C">
        <w:rPr>
          <w:rFonts w:ascii="Arial" w:hAnsi="Arial" w:cs="Arial"/>
          <w:i/>
          <w:iCs/>
          <w:sz w:val="18"/>
          <w:lang w:val="en-US"/>
        </w:rPr>
        <w:t xml:space="preserve"> </w:t>
      </w:r>
      <w:r w:rsidRPr="00733269">
        <w:rPr>
          <w:rFonts w:ascii="Arial" w:hAnsi="Arial" w:cs="Arial"/>
          <w:i/>
          <w:iCs/>
          <w:sz w:val="18"/>
          <w:lang w:val="en-US"/>
        </w:rPr>
        <w:t>and Investment Behavior in Mexico’s Rural Economy</w:t>
      </w:r>
      <w:r w:rsidRPr="00733269">
        <w:rPr>
          <w:rFonts w:ascii="Arial" w:hAnsi="Arial" w:cs="Arial"/>
          <w:sz w:val="18"/>
          <w:lang w:val="en-US"/>
        </w:rPr>
        <w:t xml:space="preserve">, </w:t>
      </w:r>
      <w:r w:rsidRPr="00733269">
        <w:rPr>
          <w:rFonts w:ascii="Arial" w:hAnsi="Arial" w:cs="Arial"/>
          <w:i/>
          <w:iCs/>
          <w:sz w:val="18"/>
          <w:lang w:val="en-US"/>
        </w:rPr>
        <w:t>Policy Research Working Paper 2014</w:t>
      </w:r>
      <w:r w:rsidR="00436965">
        <w:rPr>
          <w:rFonts w:ascii="Arial" w:hAnsi="Arial" w:cs="Arial"/>
          <w:i/>
          <w:iCs/>
          <w:sz w:val="18"/>
          <w:lang w:val="en-US"/>
        </w:rPr>
        <w:t>”</w:t>
      </w:r>
      <w:r w:rsidRPr="00733269">
        <w:rPr>
          <w:rFonts w:ascii="Arial" w:hAnsi="Arial" w:cs="Arial"/>
          <w:sz w:val="18"/>
          <w:lang w:val="en-US"/>
        </w:rPr>
        <w:t>, World Bank, Washington DC.</w:t>
      </w:r>
    </w:p>
  </w:footnote>
  <w:footnote w:id="6">
    <w:p w14:paraId="46AC8BE5" w14:textId="6B23DD12" w:rsidR="00045935" w:rsidRPr="00733269" w:rsidRDefault="00045935" w:rsidP="00733269">
      <w:pPr>
        <w:pStyle w:val="FootnoteText"/>
        <w:spacing w:after="0"/>
        <w:ind w:left="274" w:hanging="274"/>
        <w:rPr>
          <w:rFonts w:ascii="Arial" w:hAnsi="Arial" w:cs="Arial"/>
          <w:sz w:val="18"/>
        </w:rPr>
      </w:pPr>
      <w:r w:rsidRPr="00733269">
        <w:rPr>
          <w:rStyle w:val="FootnoteReference"/>
          <w:rFonts w:ascii="Arial" w:hAnsi="Arial" w:cs="Arial"/>
          <w:sz w:val="18"/>
        </w:rPr>
        <w:footnoteRef/>
      </w:r>
      <w:r w:rsidRPr="00733269">
        <w:rPr>
          <w:rFonts w:ascii="Arial" w:hAnsi="Arial" w:cs="Arial"/>
          <w:sz w:val="18"/>
        </w:rPr>
        <w:t xml:space="preserve"> </w:t>
      </w:r>
      <w:r w:rsidRPr="00733269">
        <w:rPr>
          <w:rFonts w:ascii="Arial" w:hAnsi="Arial" w:cs="Arial"/>
          <w:sz w:val="18"/>
        </w:rPr>
        <w:tab/>
        <w:t xml:space="preserve">Escalante, R., </w:t>
      </w:r>
      <w:proofErr w:type="gramStart"/>
      <w:r w:rsidRPr="00733269">
        <w:rPr>
          <w:rFonts w:ascii="Arial" w:hAnsi="Arial" w:cs="Arial"/>
          <w:sz w:val="18"/>
        </w:rPr>
        <w:t>Catalán</w:t>
      </w:r>
      <w:proofErr w:type="gramEnd"/>
      <w:r w:rsidRPr="00733269">
        <w:rPr>
          <w:rFonts w:ascii="Arial" w:hAnsi="Arial" w:cs="Arial"/>
          <w:sz w:val="18"/>
        </w:rPr>
        <w:t>, H, y Basurto, S.</w:t>
      </w:r>
      <w:r w:rsidR="00436965">
        <w:rPr>
          <w:rFonts w:ascii="Arial" w:hAnsi="Arial" w:cs="Arial"/>
          <w:sz w:val="18"/>
        </w:rPr>
        <w:t>,</w:t>
      </w:r>
      <w:r w:rsidRPr="00733269">
        <w:rPr>
          <w:rFonts w:ascii="Arial" w:hAnsi="Arial" w:cs="Arial"/>
          <w:sz w:val="18"/>
        </w:rPr>
        <w:t xml:space="preserve"> (2013). Determinantes del </w:t>
      </w:r>
      <w:r w:rsidR="00FF56E1">
        <w:rPr>
          <w:rFonts w:ascii="Arial" w:hAnsi="Arial" w:cs="Arial"/>
          <w:sz w:val="18"/>
        </w:rPr>
        <w:t>C</w:t>
      </w:r>
      <w:r w:rsidRPr="00733269">
        <w:rPr>
          <w:rFonts w:ascii="Arial" w:hAnsi="Arial" w:cs="Arial"/>
          <w:sz w:val="18"/>
        </w:rPr>
        <w:t xml:space="preserve">rédito en el </w:t>
      </w:r>
      <w:r w:rsidR="00FF56E1">
        <w:rPr>
          <w:rFonts w:ascii="Arial" w:hAnsi="Arial" w:cs="Arial"/>
          <w:sz w:val="18"/>
        </w:rPr>
        <w:t>S</w:t>
      </w:r>
      <w:r w:rsidRPr="00733269">
        <w:rPr>
          <w:rFonts w:ascii="Arial" w:hAnsi="Arial" w:cs="Arial"/>
          <w:sz w:val="18"/>
        </w:rPr>
        <w:t xml:space="preserve">ector </w:t>
      </w:r>
      <w:r w:rsidR="00FF56E1">
        <w:rPr>
          <w:rFonts w:ascii="Arial" w:hAnsi="Arial" w:cs="Arial"/>
          <w:sz w:val="18"/>
        </w:rPr>
        <w:t>A</w:t>
      </w:r>
      <w:r w:rsidRPr="00733269">
        <w:rPr>
          <w:rFonts w:ascii="Arial" w:hAnsi="Arial" w:cs="Arial"/>
          <w:sz w:val="18"/>
        </w:rPr>
        <w:t xml:space="preserve">gropecuario </w:t>
      </w:r>
      <w:r w:rsidR="00FF56E1">
        <w:rPr>
          <w:rFonts w:ascii="Arial" w:hAnsi="Arial" w:cs="Arial"/>
          <w:sz w:val="18"/>
        </w:rPr>
        <w:t>M</w:t>
      </w:r>
      <w:r w:rsidRPr="00733269">
        <w:rPr>
          <w:rFonts w:ascii="Arial" w:hAnsi="Arial" w:cs="Arial"/>
          <w:sz w:val="18"/>
        </w:rPr>
        <w:t xml:space="preserve">exicano: </w:t>
      </w:r>
      <w:r w:rsidR="00FF56E1">
        <w:rPr>
          <w:rFonts w:ascii="Arial" w:hAnsi="Arial" w:cs="Arial"/>
          <w:sz w:val="18"/>
        </w:rPr>
        <w:t>U</w:t>
      </w:r>
      <w:r w:rsidRPr="00733269">
        <w:rPr>
          <w:rFonts w:ascii="Arial" w:hAnsi="Arial" w:cs="Arial"/>
          <w:sz w:val="18"/>
        </w:rPr>
        <w:t xml:space="preserve">n </w:t>
      </w:r>
      <w:r w:rsidR="00FF56E1">
        <w:rPr>
          <w:rFonts w:ascii="Arial" w:hAnsi="Arial" w:cs="Arial"/>
          <w:sz w:val="18"/>
        </w:rPr>
        <w:t>A</w:t>
      </w:r>
      <w:r w:rsidRPr="00733269">
        <w:rPr>
          <w:rFonts w:ascii="Arial" w:hAnsi="Arial" w:cs="Arial"/>
          <w:sz w:val="18"/>
        </w:rPr>
        <w:t xml:space="preserve">nálisis </w:t>
      </w:r>
      <w:r w:rsidR="00FF56E1">
        <w:rPr>
          <w:rFonts w:ascii="Arial" w:hAnsi="Arial" w:cs="Arial"/>
          <w:sz w:val="18"/>
        </w:rPr>
        <w:t>M</w:t>
      </w:r>
      <w:r w:rsidRPr="00733269">
        <w:rPr>
          <w:rFonts w:ascii="Arial" w:hAnsi="Arial" w:cs="Arial"/>
          <w:sz w:val="18"/>
        </w:rPr>
        <w:t xml:space="preserve">ediante un </w:t>
      </w:r>
      <w:r w:rsidR="00FF56E1">
        <w:rPr>
          <w:rFonts w:ascii="Arial" w:hAnsi="Arial" w:cs="Arial"/>
          <w:sz w:val="18"/>
        </w:rPr>
        <w:t>M</w:t>
      </w:r>
      <w:r w:rsidRPr="00733269">
        <w:rPr>
          <w:rFonts w:ascii="Arial" w:hAnsi="Arial" w:cs="Arial"/>
          <w:sz w:val="18"/>
        </w:rPr>
        <w:t>odelo Probit.</w:t>
      </w:r>
      <w:r w:rsidR="00733269">
        <w:rPr>
          <w:rFonts w:ascii="Arial" w:hAnsi="Arial" w:cs="Arial"/>
          <w:sz w:val="18"/>
        </w:rPr>
        <w:t xml:space="preserve"> </w:t>
      </w:r>
      <w:r w:rsidRPr="00733269">
        <w:rPr>
          <w:rFonts w:ascii="Arial" w:hAnsi="Arial" w:cs="Arial"/>
          <w:sz w:val="18"/>
        </w:rPr>
        <w:t>Cuadernos de Desarrollo Rural, 10</w:t>
      </w:r>
      <w:r w:rsidR="00FF56E1">
        <w:rPr>
          <w:rFonts w:ascii="Arial" w:hAnsi="Arial" w:cs="Arial"/>
          <w:sz w:val="18"/>
        </w:rPr>
        <w:t xml:space="preserve"> </w:t>
      </w:r>
      <w:r w:rsidRPr="00733269">
        <w:rPr>
          <w:rFonts w:ascii="Arial" w:hAnsi="Arial" w:cs="Arial"/>
          <w:sz w:val="18"/>
        </w:rPr>
        <w:t>(71), 101-124.</w:t>
      </w:r>
    </w:p>
  </w:footnote>
  <w:footnote w:id="7">
    <w:p w14:paraId="1CB71283" w14:textId="3F138B5C" w:rsidR="00DB3A8E" w:rsidRPr="00733269" w:rsidRDefault="00DB3A8E" w:rsidP="00733269">
      <w:pPr>
        <w:pStyle w:val="FootnoteText"/>
        <w:spacing w:after="0"/>
        <w:ind w:left="274" w:hanging="274"/>
        <w:rPr>
          <w:rFonts w:ascii="Arial" w:hAnsi="Arial" w:cs="Arial"/>
          <w:lang w:val="es-CO"/>
        </w:rPr>
      </w:pPr>
      <w:r w:rsidRPr="00733269">
        <w:rPr>
          <w:rStyle w:val="FootnoteReference"/>
          <w:rFonts w:ascii="Arial" w:hAnsi="Arial" w:cs="Arial"/>
        </w:rPr>
        <w:footnoteRef/>
      </w:r>
      <w:r w:rsidRPr="00733269">
        <w:rPr>
          <w:rFonts w:ascii="Arial" w:hAnsi="Arial" w:cs="Arial"/>
        </w:rPr>
        <w:t xml:space="preserve"> </w:t>
      </w:r>
      <w:r w:rsidR="00733269">
        <w:rPr>
          <w:rFonts w:ascii="Arial" w:hAnsi="Arial" w:cs="Arial"/>
        </w:rPr>
        <w:tab/>
      </w:r>
      <w:proofErr w:type="spellStart"/>
      <w:r w:rsidRPr="00733269">
        <w:rPr>
          <w:rFonts w:ascii="Arial" w:hAnsi="Arial" w:cs="Arial"/>
          <w:sz w:val="18"/>
          <w:szCs w:val="18"/>
        </w:rPr>
        <w:t>Sagarpa</w:t>
      </w:r>
      <w:proofErr w:type="spellEnd"/>
      <w:r w:rsidR="00436965">
        <w:rPr>
          <w:rFonts w:ascii="Arial" w:hAnsi="Arial" w:cs="Arial"/>
          <w:sz w:val="18"/>
          <w:szCs w:val="18"/>
        </w:rPr>
        <w:t>,</w:t>
      </w:r>
      <w:r w:rsidRPr="00733269">
        <w:rPr>
          <w:rFonts w:ascii="Arial" w:hAnsi="Arial" w:cs="Arial"/>
          <w:sz w:val="18"/>
          <w:szCs w:val="18"/>
        </w:rPr>
        <w:t xml:space="preserve"> (2012)</w:t>
      </w:r>
      <w:r w:rsidR="00FF56E1">
        <w:rPr>
          <w:rFonts w:ascii="Arial" w:hAnsi="Arial" w:cs="Arial"/>
          <w:sz w:val="18"/>
          <w:szCs w:val="18"/>
        </w:rPr>
        <w:t>.</w:t>
      </w:r>
      <w:r w:rsidRPr="00733269">
        <w:rPr>
          <w:rFonts w:ascii="Arial" w:hAnsi="Arial" w:cs="Arial"/>
          <w:sz w:val="18"/>
          <w:szCs w:val="18"/>
        </w:rPr>
        <w:t xml:space="preserve"> "Diagnóstico del Sector Rural y Pesquero: </w:t>
      </w:r>
      <w:r w:rsidR="00FF56E1">
        <w:rPr>
          <w:rFonts w:ascii="Arial" w:hAnsi="Arial" w:cs="Arial"/>
          <w:sz w:val="18"/>
          <w:szCs w:val="18"/>
        </w:rPr>
        <w:t>I</w:t>
      </w:r>
      <w:r w:rsidRPr="00733269">
        <w:rPr>
          <w:rFonts w:ascii="Arial" w:hAnsi="Arial" w:cs="Arial"/>
          <w:sz w:val="18"/>
          <w:szCs w:val="18"/>
        </w:rPr>
        <w:t xml:space="preserve">dentificación de la </w:t>
      </w:r>
      <w:r w:rsidR="00FF56E1">
        <w:rPr>
          <w:rFonts w:ascii="Arial" w:hAnsi="Arial" w:cs="Arial"/>
          <w:sz w:val="18"/>
          <w:szCs w:val="18"/>
        </w:rPr>
        <w:t>P</w:t>
      </w:r>
      <w:r w:rsidRPr="00733269">
        <w:rPr>
          <w:rFonts w:ascii="Arial" w:hAnsi="Arial" w:cs="Arial"/>
          <w:sz w:val="18"/>
          <w:szCs w:val="18"/>
        </w:rPr>
        <w:t xml:space="preserve">roblemática del </w:t>
      </w:r>
      <w:r w:rsidR="00FF56E1">
        <w:rPr>
          <w:rFonts w:ascii="Arial" w:hAnsi="Arial" w:cs="Arial"/>
          <w:sz w:val="18"/>
          <w:szCs w:val="18"/>
        </w:rPr>
        <w:t>S</w:t>
      </w:r>
      <w:r w:rsidRPr="00733269">
        <w:rPr>
          <w:rFonts w:ascii="Arial" w:hAnsi="Arial" w:cs="Arial"/>
          <w:sz w:val="18"/>
          <w:szCs w:val="18"/>
        </w:rPr>
        <w:t xml:space="preserve">ector </w:t>
      </w:r>
      <w:r w:rsidR="00FF56E1">
        <w:rPr>
          <w:rFonts w:ascii="Arial" w:hAnsi="Arial" w:cs="Arial"/>
          <w:sz w:val="18"/>
          <w:szCs w:val="18"/>
        </w:rPr>
        <w:t>A</w:t>
      </w:r>
      <w:r w:rsidRPr="00733269">
        <w:rPr>
          <w:rFonts w:ascii="Arial" w:hAnsi="Arial" w:cs="Arial"/>
          <w:sz w:val="18"/>
          <w:szCs w:val="18"/>
        </w:rPr>
        <w:t xml:space="preserve">gropecuario y </w:t>
      </w:r>
      <w:r w:rsidR="00FF56E1">
        <w:rPr>
          <w:rFonts w:ascii="Arial" w:hAnsi="Arial" w:cs="Arial"/>
          <w:sz w:val="18"/>
          <w:szCs w:val="18"/>
        </w:rPr>
        <w:t>P</w:t>
      </w:r>
      <w:r w:rsidRPr="00733269">
        <w:rPr>
          <w:rFonts w:ascii="Arial" w:hAnsi="Arial" w:cs="Arial"/>
          <w:sz w:val="18"/>
          <w:szCs w:val="18"/>
        </w:rPr>
        <w:t>esquero de México" C</w:t>
      </w:r>
      <w:r w:rsidR="00FF56E1">
        <w:rPr>
          <w:rFonts w:ascii="Arial" w:hAnsi="Arial" w:cs="Arial"/>
          <w:sz w:val="18"/>
          <w:szCs w:val="18"/>
        </w:rPr>
        <w:t>.</w:t>
      </w:r>
      <w:r w:rsidRPr="00733269">
        <w:rPr>
          <w:rFonts w:ascii="Arial" w:hAnsi="Arial" w:cs="Arial"/>
          <w:sz w:val="18"/>
          <w:szCs w:val="18"/>
        </w:rPr>
        <w:t xml:space="preserve"> </w:t>
      </w:r>
      <w:proofErr w:type="spellStart"/>
      <w:r w:rsidRPr="00733269">
        <w:rPr>
          <w:rFonts w:ascii="Arial" w:hAnsi="Arial" w:cs="Arial"/>
          <w:sz w:val="18"/>
          <w:szCs w:val="18"/>
        </w:rPr>
        <w:t>Sagarpa</w:t>
      </w:r>
      <w:proofErr w:type="spellEnd"/>
      <w:r w:rsidR="00436965">
        <w:rPr>
          <w:rFonts w:ascii="Arial" w:hAnsi="Arial" w:cs="Arial"/>
          <w:sz w:val="18"/>
          <w:szCs w:val="18"/>
        </w:rPr>
        <w:t>,</w:t>
      </w:r>
      <w:r w:rsidRPr="00733269">
        <w:rPr>
          <w:rFonts w:ascii="Arial" w:hAnsi="Arial" w:cs="Arial"/>
          <w:sz w:val="18"/>
          <w:szCs w:val="18"/>
        </w:rPr>
        <w:t xml:space="preserve"> (2012)</w:t>
      </w:r>
      <w:r w:rsidR="00FF56E1">
        <w:rPr>
          <w:rFonts w:ascii="Arial" w:hAnsi="Arial" w:cs="Arial"/>
          <w:sz w:val="18"/>
          <w:szCs w:val="18"/>
        </w:rPr>
        <w:t>.</w:t>
      </w:r>
      <w:r w:rsidRPr="00733269">
        <w:rPr>
          <w:rFonts w:ascii="Arial" w:hAnsi="Arial" w:cs="Arial"/>
          <w:sz w:val="18"/>
          <w:szCs w:val="18"/>
        </w:rPr>
        <w:t xml:space="preserve"> Cap.1</w:t>
      </w:r>
      <w:r w:rsidR="002018E6">
        <w:rPr>
          <w:rFonts w:ascii="Arial" w:hAnsi="Arial" w:cs="Arial"/>
          <w:sz w:val="18"/>
          <w:szCs w:val="18"/>
        </w:rPr>
        <w:t xml:space="preserve"> </w:t>
      </w:r>
      <w:r w:rsidRPr="00733269">
        <w:rPr>
          <w:rFonts w:ascii="Arial" w:hAnsi="Arial" w:cs="Arial"/>
          <w:sz w:val="18"/>
          <w:szCs w:val="18"/>
        </w:rPr>
        <w:t>ap.1</w:t>
      </w:r>
      <w:r w:rsidR="002018E6">
        <w:rPr>
          <w:rFonts w:ascii="Arial" w:hAnsi="Arial" w:cs="Arial"/>
          <w:sz w:val="18"/>
          <w:szCs w:val="18"/>
        </w:rPr>
        <w:t>.</w:t>
      </w:r>
    </w:p>
  </w:footnote>
  <w:footnote w:id="8">
    <w:p w14:paraId="47780C8C" w14:textId="6A3B89C1" w:rsidR="00742126" w:rsidRPr="00733269" w:rsidRDefault="00742126" w:rsidP="00733269">
      <w:pPr>
        <w:pStyle w:val="FootnoteText"/>
        <w:ind w:left="274" w:hanging="274"/>
        <w:rPr>
          <w:rFonts w:ascii="Arial" w:hAnsi="Arial" w:cs="Arial"/>
          <w:sz w:val="18"/>
          <w:szCs w:val="18"/>
          <w:lang w:val="es-CO"/>
        </w:rPr>
      </w:pPr>
      <w:r w:rsidRPr="00733269">
        <w:rPr>
          <w:rStyle w:val="FootnoteReference"/>
          <w:rFonts w:ascii="Arial" w:hAnsi="Arial" w:cs="Arial"/>
          <w:sz w:val="18"/>
          <w:szCs w:val="18"/>
        </w:rPr>
        <w:footnoteRef/>
      </w:r>
      <w:r w:rsidRPr="00733269">
        <w:rPr>
          <w:rFonts w:ascii="Arial" w:hAnsi="Arial" w:cs="Arial"/>
          <w:sz w:val="18"/>
          <w:szCs w:val="18"/>
        </w:rPr>
        <w:t xml:space="preserve"> </w:t>
      </w:r>
      <w:r w:rsidR="00733269">
        <w:rPr>
          <w:rFonts w:ascii="Arial" w:hAnsi="Arial" w:cs="Arial"/>
          <w:sz w:val="18"/>
          <w:szCs w:val="18"/>
        </w:rPr>
        <w:tab/>
      </w:r>
      <w:hyperlink r:id="rId1" w:history="1">
        <w:r w:rsidRPr="00733269">
          <w:rPr>
            <w:rStyle w:val="Hyperlink"/>
            <w:rFonts w:ascii="Arial" w:hAnsi="Arial" w:cs="Arial"/>
            <w:sz w:val="18"/>
            <w:szCs w:val="18"/>
            <w:lang w:val="es-CO"/>
          </w:rPr>
          <w:t>INEGI, Encuesta Nacional Agropecuaria 2017</w:t>
        </w:r>
      </w:hyperlink>
      <w:r w:rsidRPr="00733269">
        <w:rPr>
          <w:rFonts w:ascii="Arial" w:hAnsi="Arial" w:cs="Arial"/>
          <w:sz w:val="18"/>
          <w:szCs w:val="18"/>
          <w:lang w:val="es-CO"/>
        </w:rPr>
        <w:t xml:space="preserve">. </w:t>
      </w:r>
    </w:p>
  </w:footnote>
  <w:footnote w:id="9">
    <w:p w14:paraId="43EFCC29" w14:textId="7708B13B" w:rsidR="00705BF8" w:rsidRPr="00733269" w:rsidRDefault="00705BF8" w:rsidP="00B51B6D">
      <w:pPr>
        <w:pStyle w:val="FootnoteText"/>
        <w:spacing w:after="0"/>
        <w:ind w:left="274" w:hanging="274"/>
        <w:rPr>
          <w:rFonts w:ascii="Arial" w:hAnsi="Arial" w:cs="Arial"/>
          <w:sz w:val="18"/>
          <w:szCs w:val="18"/>
          <w:lang w:val="es-CO"/>
        </w:rPr>
      </w:pPr>
      <w:r w:rsidRPr="00733269">
        <w:rPr>
          <w:rStyle w:val="FootnoteReference"/>
          <w:rFonts w:ascii="Arial" w:hAnsi="Arial" w:cs="Arial"/>
          <w:sz w:val="18"/>
          <w:szCs w:val="18"/>
        </w:rPr>
        <w:footnoteRef/>
      </w:r>
      <w:r w:rsidRPr="00733269">
        <w:rPr>
          <w:rFonts w:ascii="Arial" w:hAnsi="Arial" w:cs="Arial"/>
          <w:sz w:val="18"/>
          <w:szCs w:val="18"/>
        </w:rPr>
        <w:t xml:space="preserve"> </w:t>
      </w:r>
      <w:r w:rsidR="00733269">
        <w:rPr>
          <w:rFonts w:ascii="Arial" w:hAnsi="Arial" w:cs="Arial"/>
          <w:sz w:val="18"/>
          <w:szCs w:val="18"/>
        </w:rPr>
        <w:tab/>
      </w:r>
      <w:r w:rsidRPr="00733269">
        <w:rPr>
          <w:rFonts w:ascii="Arial" w:hAnsi="Arial" w:cs="Arial"/>
          <w:sz w:val="18"/>
          <w:szCs w:val="18"/>
          <w:lang w:val="es-CO"/>
        </w:rPr>
        <w:t>Al poder obtener acceso a crédito formal en condiciones adecuadas.</w:t>
      </w:r>
    </w:p>
  </w:footnote>
  <w:footnote w:id="10">
    <w:p w14:paraId="43ACB0B7" w14:textId="6A0007C0" w:rsidR="001267F5" w:rsidRPr="00733269" w:rsidRDefault="001267F5" w:rsidP="00B51B6D">
      <w:pPr>
        <w:pStyle w:val="FootnoteText"/>
        <w:spacing w:after="0"/>
        <w:ind w:left="274" w:hanging="274"/>
        <w:rPr>
          <w:rFonts w:ascii="Arial" w:hAnsi="Arial" w:cs="Arial"/>
          <w:sz w:val="18"/>
          <w:szCs w:val="18"/>
          <w:lang w:val="es-CO"/>
        </w:rPr>
      </w:pPr>
      <w:r w:rsidRPr="00733269">
        <w:rPr>
          <w:rStyle w:val="FootnoteReference"/>
          <w:rFonts w:ascii="Arial" w:hAnsi="Arial" w:cs="Arial"/>
          <w:sz w:val="18"/>
          <w:szCs w:val="18"/>
        </w:rPr>
        <w:footnoteRef/>
      </w:r>
      <w:r w:rsidRPr="00733269">
        <w:rPr>
          <w:rFonts w:ascii="Arial" w:hAnsi="Arial" w:cs="Arial"/>
          <w:sz w:val="18"/>
          <w:szCs w:val="18"/>
        </w:rPr>
        <w:t xml:space="preserve"> </w:t>
      </w:r>
      <w:r w:rsidR="00733269">
        <w:rPr>
          <w:rFonts w:ascii="Arial" w:hAnsi="Arial" w:cs="Arial"/>
          <w:sz w:val="18"/>
          <w:szCs w:val="18"/>
        </w:rPr>
        <w:tab/>
      </w:r>
      <w:r w:rsidRPr="00733269">
        <w:rPr>
          <w:rFonts w:ascii="Arial" w:hAnsi="Arial" w:cs="Arial"/>
          <w:sz w:val="18"/>
          <w:szCs w:val="18"/>
          <w:lang w:val="es-CO"/>
        </w:rPr>
        <w:t>Estos porcentajes parciales suman más de 100% debido a que los encuestados tuvieron la oportunidad de citar más de una respuesta.</w:t>
      </w:r>
    </w:p>
  </w:footnote>
  <w:footnote w:id="11">
    <w:p w14:paraId="4518B075" w14:textId="190015E5" w:rsidR="00F83B16" w:rsidRPr="00733269" w:rsidRDefault="00F83B16" w:rsidP="00B51B6D">
      <w:pPr>
        <w:pStyle w:val="FootnoteText"/>
        <w:spacing w:after="0"/>
        <w:ind w:left="274" w:hanging="274"/>
        <w:rPr>
          <w:lang w:val="es-CO"/>
        </w:rPr>
      </w:pPr>
      <w:r w:rsidRPr="00733269">
        <w:rPr>
          <w:rStyle w:val="FootnoteReference"/>
          <w:rFonts w:ascii="Arial" w:hAnsi="Arial" w:cs="Arial"/>
          <w:sz w:val="18"/>
          <w:szCs w:val="18"/>
        </w:rPr>
        <w:footnoteRef/>
      </w:r>
      <w:r w:rsidRPr="00733269">
        <w:rPr>
          <w:rFonts w:ascii="Arial" w:hAnsi="Arial" w:cs="Arial"/>
          <w:sz w:val="18"/>
          <w:szCs w:val="18"/>
        </w:rPr>
        <w:t xml:space="preserve"> </w:t>
      </w:r>
      <w:r w:rsidR="00733269">
        <w:rPr>
          <w:rFonts w:ascii="Arial" w:hAnsi="Arial" w:cs="Arial"/>
          <w:sz w:val="18"/>
          <w:szCs w:val="18"/>
        </w:rPr>
        <w:tab/>
      </w:r>
      <w:r w:rsidRPr="00733269">
        <w:rPr>
          <w:rFonts w:ascii="Arial" w:hAnsi="Arial" w:cs="Arial"/>
          <w:sz w:val="18"/>
          <w:szCs w:val="18"/>
          <w:lang w:val="es-CO"/>
        </w:rPr>
        <w:t xml:space="preserve">Este es el valor que resulta de ponderar los montos promedio de crédito </w:t>
      </w:r>
      <w:r w:rsidR="00733269" w:rsidRPr="00733269">
        <w:rPr>
          <w:rFonts w:ascii="Arial" w:hAnsi="Arial" w:cs="Arial"/>
          <w:sz w:val="18"/>
          <w:szCs w:val="18"/>
          <w:lang w:val="es-CO"/>
        </w:rPr>
        <w:t>de activo</w:t>
      </w:r>
      <w:r w:rsidRPr="00733269">
        <w:rPr>
          <w:rFonts w:ascii="Arial" w:hAnsi="Arial" w:cs="Arial"/>
          <w:sz w:val="18"/>
          <w:szCs w:val="18"/>
          <w:lang w:val="es-CO"/>
        </w:rPr>
        <w:t xml:space="preserve"> fijo igual a US$12.636 y los de capital de trabajo igual a US$34.398. Estos montos se obtuvieron de los datos administrativos generados por la operación </w:t>
      </w:r>
      <w:r w:rsidR="00A7222F" w:rsidRPr="00A7222F">
        <w:rPr>
          <w:rFonts w:ascii="Arial" w:hAnsi="Arial" w:cs="Arial"/>
          <w:sz w:val="18"/>
          <w:szCs w:val="18"/>
          <w:lang w:val="es-CO"/>
        </w:rPr>
        <w:t>3531/OC-ME</w:t>
      </w:r>
      <w:r w:rsidRPr="00733269">
        <w:rPr>
          <w:rFonts w:ascii="Arial" w:hAnsi="Arial" w:cs="Arial"/>
          <w:sz w:val="18"/>
          <w:szCs w:val="18"/>
          <w:lang w:val="es-CO"/>
        </w:rPr>
        <w:t xml:space="preserve">. Para más detalles ver </w:t>
      </w:r>
      <w:hyperlink r:id="rId2" w:history="1">
        <w:r w:rsidRPr="006E07F8">
          <w:rPr>
            <w:rStyle w:val="Hyperlink"/>
            <w:rFonts w:ascii="Arial" w:hAnsi="Arial" w:cs="Arial"/>
            <w:sz w:val="18"/>
            <w:szCs w:val="18"/>
            <w:lang w:val="es-CO"/>
          </w:rPr>
          <w:t>Análisis</w:t>
        </w:r>
        <w:r w:rsidRPr="006E07F8">
          <w:rPr>
            <w:rStyle w:val="Hyperlink"/>
            <w:rFonts w:ascii="Arial" w:hAnsi="Arial" w:cs="Arial"/>
            <w:sz w:val="18"/>
            <w:szCs w:val="18"/>
            <w:lang w:val="es-CO"/>
          </w:rPr>
          <w:t xml:space="preserve"> </w:t>
        </w:r>
        <w:r w:rsidRPr="006E07F8">
          <w:rPr>
            <w:rStyle w:val="Hyperlink"/>
            <w:rFonts w:ascii="Arial" w:hAnsi="Arial" w:cs="Arial"/>
            <w:sz w:val="18"/>
            <w:szCs w:val="18"/>
            <w:lang w:val="es-CO"/>
          </w:rPr>
          <w:t>Económico</w:t>
        </w:r>
      </w:hyperlink>
      <w:r w:rsidRPr="00733269">
        <w:rPr>
          <w:rFonts w:ascii="Arial" w:hAnsi="Arial" w:cs="Arial"/>
          <w:sz w:val="18"/>
          <w:szCs w:val="18"/>
          <w:lang w:val="es-CO"/>
        </w:rPr>
        <w:t xml:space="preserve"> de la presente operación.</w:t>
      </w:r>
      <w:r w:rsidRPr="00733269">
        <w:rPr>
          <w:sz w:val="18"/>
          <w:szCs w:val="18"/>
          <w:lang w:val="es-C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FC12" w14:textId="77777777" w:rsidR="00045935" w:rsidRDefault="00045935">
    <w:pPr>
      <w:pStyle w:val="Header"/>
      <w:ind w:right="360"/>
      <w:jc w:val="both"/>
    </w:pPr>
    <w:r>
      <w:rPr>
        <w:noProof/>
        <w:sz w:val="20"/>
      </w:rPr>
      <mc:AlternateContent>
        <mc:Choice Requires="wps">
          <w:drawing>
            <wp:anchor distT="0" distB="0" distL="114300" distR="114300" simplePos="0" relativeHeight="251659264" behindDoc="0" locked="0" layoutInCell="1" allowOverlap="1" wp14:anchorId="5F0FEDD0" wp14:editId="01233A5B">
              <wp:simplePos x="0" y="0"/>
              <wp:positionH relativeFrom="column">
                <wp:posOffset>280035</wp:posOffset>
              </wp:positionH>
              <wp:positionV relativeFrom="paragraph">
                <wp:posOffset>3440430</wp:posOffset>
              </wp:positionV>
              <wp:extent cx="5448935" cy="1560830"/>
              <wp:effectExtent l="0" t="1525905" r="0" b="15328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268829">
                        <a:off x="0" y="0"/>
                        <a:ext cx="5448935" cy="1560830"/>
                      </a:xfrm>
                      <a:prstGeom prst="rect">
                        <a:avLst/>
                      </a:prstGeom>
                      <a:extLst>
                        <a:ext uri="{AF507438-7753-43E0-B8FC-AC1667EBCBE1}">
                          <a14:hiddenEffects xmlns:a14="http://schemas.microsoft.com/office/drawing/2010/main">
                            <a:effectLst/>
                          </a14:hiddenEffects>
                        </a:ext>
                      </a:extLst>
                    </wps:spPr>
                    <wps:txbx>
                      <w:txbxContent>
                        <w:p w14:paraId="43462CF9" w14:textId="77777777" w:rsidR="00045935" w:rsidRDefault="00045935" w:rsidP="00045935">
                          <w:pPr>
                            <w:jc w:val="center"/>
                            <w:rPr>
                              <w:sz w:val="24"/>
                              <w:szCs w:val="24"/>
                            </w:rPr>
                          </w:pPr>
                          <w:r>
                            <w:rPr>
                              <w:rFonts w:ascii="Arial" w:hAnsi="Arial" w:cs="Arial"/>
                              <w:color w:val="ECECEC"/>
                              <w:sz w:val="48"/>
                              <w:szCs w:val="48"/>
                              <w14:textOutline w14:w="15875" w14:cap="flat" w14:cmpd="sng" w14:algn="ctr">
                                <w14:solidFill>
                                  <w14:srgbClr w14:val="DDDDDD"/>
                                </w14:solidFill>
                                <w14:prstDash w14:val="solid"/>
                                <w14:round/>
                              </w14:textOutline>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F0FEDD0" id="_x0000_t202" coordsize="21600,21600" o:spt="202" path="m,l,21600r21600,l21600,xe">
              <v:stroke joinstyle="miter"/>
              <v:path gradientshapeok="t" o:connecttype="rect"/>
            </v:shapetype>
            <v:shape id="Text Box 2" o:spid="_x0000_s1026" type="#_x0000_t202" style="position:absolute;left:0;text-align:left;margin-left:22.05pt;margin-top:270.9pt;width:429.05pt;height:122.9pt;rotation:-2478166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" filled="f" stroked="f">
              <o:lock v:ext="edit" shapetype="t"/>
              <v:textbox style="mso-fit-shape-to-text:t">
                <w:txbxContent>
                  <w:p w14:paraId="43462CF9" w14:textId="77777777" w:rsidR="00045935" w:rsidRDefault="00045935" w:rsidP="00045935">
                    <w:pPr>
                      <w:jc w:val="center"/>
                      <w:rPr>
                        <w:sz w:val="24"/>
                        <w:szCs w:val="24"/>
                      </w:rPr>
                    </w:pPr>
                    <w:r>
                      <w:rPr>
                        <w:rFonts w:ascii="Arial" w:hAnsi="Arial" w:cs="Arial"/>
                        <w:color w:val="ECECEC"/>
                        <w:sz w:val="48"/>
                        <w:szCs w:val="48"/>
                        <w14:textOutline w14:w="15875" w14:cap="flat" w14:cmpd="sng" w14:algn="ctr">
                          <w14:solidFill>
                            <w14:srgbClr w14:val="DDDDDD"/>
                          </w14:solidFill>
                          <w14:prstDash w14:val="solid"/>
                          <w14:round/>
                        </w14:textOutline>
                      </w:rPr>
                      <w:t>DRAFT</w:t>
                    </w:r>
                  </w:p>
                </w:txbxContent>
              </v:textbox>
            </v:shape>
          </w:pict>
        </mc:Fallback>
      </mc:AlternateContent>
    </w:r>
    <w:r>
      <w:rPr>
        <w:snapToGrid w:val="0"/>
      </w:rPr>
      <w:tab/>
    </w:r>
    <w:r>
      <w:rPr>
        <w:snapToGrid w:val="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D27A8" w14:textId="77777777" w:rsidR="0012674A" w:rsidRPr="00EB219D" w:rsidRDefault="001C14F0" w:rsidP="00D76FBD">
    <w:pPr>
      <w:pStyle w:val="Header"/>
      <w:tabs>
        <w:tab w:val="center" w:pos="4153"/>
        <w:tab w:val="left" w:pos="5257"/>
      </w:tabs>
      <w:rPr>
        <w:rFonts w:ascii="Arial" w:hAnsi="Arial" w:cs="Arial"/>
      </w:rPr>
    </w:pPr>
    <w:r>
      <w:rPr>
        <w:rFonts w:ascii="Times New Roman" w:hAnsi="Times New Roman"/>
      </w:rPr>
      <w:tab/>
    </w:r>
    <w:r w:rsidRPr="00EB219D">
      <w:rPr>
        <w:rFonts w:ascii="Arial" w:hAnsi="Arial" w:cs="Arial"/>
        <w:sz w:val="18"/>
      </w:rPr>
      <w:t>-</w:t>
    </w:r>
    <w:r w:rsidRPr="00EB219D">
      <w:rPr>
        <w:rFonts w:ascii="Arial" w:hAnsi="Arial" w:cs="Arial"/>
        <w:sz w:val="18"/>
      </w:rPr>
      <w:fldChar w:fldCharType="begin"/>
    </w:r>
    <w:r w:rsidRPr="00EB219D">
      <w:rPr>
        <w:rFonts w:ascii="Arial" w:hAnsi="Arial" w:cs="Arial"/>
        <w:sz w:val="18"/>
      </w:rPr>
      <w:instrText xml:space="preserve"> PAGE   \* MERGEFORMAT </w:instrText>
    </w:r>
    <w:r w:rsidRPr="00EB219D">
      <w:rPr>
        <w:rFonts w:ascii="Arial" w:hAnsi="Arial" w:cs="Arial"/>
        <w:sz w:val="18"/>
      </w:rPr>
      <w:fldChar w:fldCharType="separate"/>
    </w:r>
    <w:r>
      <w:rPr>
        <w:rFonts w:ascii="Arial" w:hAnsi="Arial" w:cs="Arial"/>
        <w:noProof/>
        <w:sz w:val="18"/>
      </w:rPr>
      <w:t>3</w:t>
    </w:r>
    <w:r w:rsidRPr="00EB219D">
      <w:rPr>
        <w:rFonts w:ascii="Arial" w:hAnsi="Arial" w:cs="Arial"/>
        <w:noProof/>
        <w:sz w:val="18"/>
      </w:rPr>
      <w:fldChar w:fldCharType="end"/>
    </w:r>
    <w:r w:rsidRPr="00EB219D">
      <w:rPr>
        <w:rFonts w:ascii="Arial" w:hAnsi="Arial" w:cs="Arial"/>
        <w:noProof/>
        <w:sz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9B4991"/>
    <w:multiLevelType w:val="multilevel"/>
    <w:tmpl w:val="CF8CEC3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722B1DCD"/>
    <w:multiLevelType w:val="multilevel"/>
    <w:tmpl w:val="CF64DD06"/>
    <w:lvl w:ilvl="0">
      <w:start w:val="1"/>
      <w:numFmt w:val="upperRoman"/>
      <w:lvlRestart w:val="0"/>
      <w:pStyle w:val="Chapter"/>
      <w:lvlText w:val="%1."/>
      <w:lvlJc w:val="center"/>
      <w:pPr>
        <w:tabs>
          <w:tab w:val="num" w:pos="4680"/>
        </w:tabs>
        <w:ind w:left="403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935"/>
    <w:rsid w:val="00045935"/>
    <w:rsid w:val="000959DC"/>
    <w:rsid w:val="000C335D"/>
    <w:rsid w:val="000D492C"/>
    <w:rsid w:val="000E6630"/>
    <w:rsid w:val="000F2893"/>
    <w:rsid w:val="00125AC9"/>
    <w:rsid w:val="001267F5"/>
    <w:rsid w:val="001C14F0"/>
    <w:rsid w:val="001D77CE"/>
    <w:rsid w:val="001E62FC"/>
    <w:rsid w:val="002018E6"/>
    <w:rsid w:val="0021059C"/>
    <w:rsid w:val="00296FF3"/>
    <w:rsid w:val="002C5143"/>
    <w:rsid w:val="0035077A"/>
    <w:rsid w:val="00363672"/>
    <w:rsid w:val="00371766"/>
    <w:rsid w:val="003F7882"/>
    <w:rsid w:val="00427876"/>
    <w:rsid w:val="00436965"/>
    <w:rsid w:val="00447358"/>
    <w:rsid w:val="00497B88"/>
    <w:rsid w:val="00586DA4"/>
    <w:rsid w:val="005B3F41"/>
    <w:rsid w:val="005B4BB3"/>
    <w:rsid w:val="006E07F8"/>
    <w:rsid w:val="006E5D2F"/>
    <w:rsid w:val="00705BF8"/>
    <w:rsid w:val="00733269"/>
    <w:rsid w:val="00735D2B"/>
    <w:rsid w:val="00742126"/>
    <w:rsid w:val="007B401F"/>
    <w:rsid w:val="007C62A9"/>
    <w:rsid w:val="00806B9A"/>
    <w:rsid w:val="008B5644"/>
    <w:rsid w:val="00936FA8"/>
    <w:rsid w:val="00941994"/>
    <w:rsid w:val="009A14DD"/>
    <w:rsid w:val="009C71FC"/>
    <w:rsid w:val="009F2C5F"/>
    <w:rsid w:val="00A0179F"/>
    <w:rsid w:val="00A7222F"/>
    <w:rsid w:val="00AA2C1C"/>
    <w:rsid w:val="00AB15B2"/>
    <w:rsid w:val="00AE1767"/>
    <w:rsid w:val="00B51B6D"/>
    <w:rsid w:val="00B87E3B"/>
    <w:rsid w:val="00C042DD"/>
    <w:rsid w:val="00C64513"/>
    <w:rsid w:val="00C9431D"/>
    <w:rsid w:val="00CF1915"/>
    <w:rsid w:val="00D30CF4"/>
    <w:rsid w:val="00D51119"/>
    <w:rsid w:val="00D94A0E"/>
    <w:rsid w:val="00DB3A8E"/>
    <w:rsid w:val="00E052A2"/>
    <w:rsid w:val="00E63D93"/>
    <w:rsid w:val="00F4351D"/>
    <w:rsid w:val="00F5416A"/>
    <w:rsid w:val="00F83B16"/>
    <w:rsid w:val="00FE6E45"/>
    <w:rsid w:val="00FF1589"/>
    <w:rsid w:val="00FF56E1"/>
  </w:rsids>
  <m:mathPr>
    <m:mathFont m:val="Cambria Math"/>
    <m:brkBin m:val="before"/>
    <m:brkBinSub m:val="--"/>
    <m:smallFrac m:val="0"/>
    <m:dispDef/>
    <m:lMargin m:val="0"/>
    <m:rMargin m:val="0"/>
    <m:defJc m:val="centerGroup"/>
    <m:wrapIndent m:val="1440"/>
    <m:intLim m:val="subSup"/>
    <m:naryLim m:val="undOvr"/>
  </m:mathPr>
  <w:themeFontLang w:val="en-US" w:eastAsia="es-MX"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8A3CB7E"/>
  <w15:chartTrackingRefBased/>
  <w15:docId w15:val="{11A0C983-2BDB-402A-9DAD-EA4286946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45935"/>
    <w:pPr>
      <w:spacing w:after="200" w:line="276" w:lineRule="auto"/>
    </w:pPr>
    <w:rPr>
      <w:rFonts w:ascii="Calibri" w:eastAsia="Calibri" w:hAnsi="Calibri" w:cs="Times New Roman"/>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nota pie IIRSA,Car,ft,footnote,Texto,nota,pie,Ref.,al,F1,texto de nota al pie,NOTA AL PIE TESIS PUCP,foottextfra,F,footnote text,Geneva 9,Font: Geneva 9,Boston 10,f,Fußnotentextr,Texto nota pie Car Car,single space,Fußn"/>
    <w:basedOn w:val="Normal"/>
    <w:link w:val="FootnoteTextChar"/>
    <w:uiPriority w:val="99"/>
    <w:unhideWhenUsed/>
    <w:rsid w:val="00045935"/>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aliases w:val="fn Char,Texto nota pie IIRSA Char,Car Char,ft Char,footnote Char,Texto Char,nota Char,pie Char,Ref. Char,al Char,F1 Char,texto de nota al pie Char,NOTA AL PIE TESIS PUCP Char,foottextfra Char,F Char,footnote text Char,Geneva 9 Char"/>
    <w:basedOn w:val="DefaultParagraphFont"/>
    <w:link w:val="FootnoteText"/>
    <w:uiPriority w:val="99"/>
    <w:rsid w:val="00045935"/>
    <w:rPr>
      <w:rFonts w:ascii="Times New Roman" w:eastAsia="Calibri" w:hAnsi="Times New Roman" w:cs="Times New Roman"/>
      <w:spacing w:val="-3"/>
      <w:sz w:val="20"/>
      <w:szCs w:val="20"/>
      <w:lang w:val="es-ES"/>
    </w:rPr>
  </w:style>
  <w:style w:type="character" w:styleId="FootnoteReference">
    <w:name w:val="footnote reference"/>
    <w:aliases w:val="titulo 2,16 Point,Superscript 6 Point,ftref,Fußnotenzeichen DISS,BVI fnr, BVI fnr,Знак сноски 1,referencia nota al pie,FC,Footnote Referencefra,Ref. de nota al pie.,Stinking Styles11,Texto de nota al pie,Footnote symbol,Footnote"/>
    <w:uiPriority w:val="99"/>
    <w:unhideWhenUsed/>
    <w:rsid w:val="00045935"/>
    <w:rPr>
      <w:vertAlign w:val="superscript"/>
    </w:rPr>
  </w:style>
  <w:style w:type="paragraph" w:customStyle="1" w:styleId="Chapter">
    <w:name w:val="Chapter"/>
    <w:basedOn w:val="Normal"/>
    <w:next w:val="Normal"/>
    <w:qFormat/>
    <w:rsid w:val="00045935"/>
    <w:pPr>
      <w:keepNext/>
      <w:numPr>
        <w:numId w:val="1"/>
      </w:numPr>
      <w:tabs>
        <w:tab w:val="num" w:pos="648"/>
        <w:tab w:val="left" w:pos="1440"/>
      </w:tabs>
      <w:spacing w:before="240" w:after="240" w:line="240" w:lineRule="auto"/>
      <w:ind w:left="0"/>
      <w:jc w:val="center"/>
    </w:pPr>
    <w:rPr>
      <w:rFonts w:ascii="Times New Roman" w:hAnsi="Times New Roman"/>
      <w:b/>
      <w:smallCaps/>
      <w:sz w:val="24"/>
    </w:rPr>
  </w:style>
  <w:style w:type="paragraph" w:customStyle="1" w:styleId="Paragraph">
    <w:name w:val="Paragraph"/>
    <w:aliases w:val="paragraph,p,PARAGRAPH,PG,pa,at,at Char"/>
    <w:basedOn w:val="BodyTextIndent"/>
    <w:link w:val="ParagraphChar"/>
    <w:qFormat/>
    <w:rsid w:val="00045935"/>
    <w:pPr>
      <w:numPr>
        <w:ilvl w:val="1"/>
        <w:numId w:val="1"/>
      </w:numPr>
      <w:spacing w:before="120" w:line="240" w:lineRule="auto"/>
      <w:jc w:val="both"/>
      <w:outlineLvl w:val="1"/>
    </w:pPr>
    <w:rPr>
      <w:rFonts w:ascii="Times New Roman" w:hAnsi="Times New Roman"/>
      <w:sz w:val="24"/>
    </w:rPr>
  </w:style>
  <w:style w:type="character" w:customStyle="1" w:styleId="ParagraphChar">
    <w:name w:val="Paragraph Char"/>
    <w:link w:val="Paragraph"/>
    <w:rsid w:val="00045935"/>
    <w:rPr>
      <w:rFonts w:ascii="Times New Roman" w:eastAsia="Calibri" w:hAnsi="Times New Roman" w:cs="Times New Roman"/>
      <w:sz w:val="24"/>
      <w:lang w:val="es-ES"/>
    </w:rPr>
  </w:style>
  <w:style w:type="paragraph" w:customStyle="1" w:styleId="subpar">
    <w:name w:val="subpar"/>
    <w:basedOn w:val="BodyTextIndent3"/>
    <w:link w:val="subparChar"/>
    <w:rsid w:val="00045935"/>
    <w:pPr>
      <w:numPr>
        <w:ilvl w:val="2"/>
        <w:numId w:val="1"/>
      </w:numPr>
      <w:spacing w:before="120" w:line="240" w:lineRule="auto"/>
      <w:jc w:val="both"/>
      <w:outlineLvl w:val="2"/>
    </w:pPr>
    <w:rPr>
      <w:rFonts w:ascii="Times New Roman" w:hAnsi="Times New Roman"/>
      <w:sz w:val="24"/>
    </w:rPr>
  </w:style>
  <w:style w:type="character" w:customStyle="1" w:styleId="subparChar">
    <w:name w:val="subpar Char"/>
    <w:link w:val="subpar"/>
    <w:rsid w:val="00045935"/>
    <w:rPr>
      <w:rFonts w:ascii="Times New Roman" w:eastAsia="Calibri" w:hAnsi="Times New Roman" w:cs="Times New Roman"/>
      <w:sz w:val="24"/>
      <w:szCs w:val="16"/>
      <w:lang w:val="es-ES"/>
    </w:rPr>
  </w:style>
  <w:style w:type="paragraph" w:customStyle="1" w:styleId="SubSubPar">
    <w:name w:val="SubSubPar"/>
    <w:basedOn w:val="subpar"/>
    <w:rsid w:val="00045935"/>
    <w:pPr>
      <w:numPr>
        <w:ilvl w:val="3"/>
      </w:numPr>
      <w:tabs>
        <w:tab w:val="clear" w:pos="2736"/>
        <w:tab w:val="left" w:pos="0"/>
        <w:tab w:val="num" w:pos="360"/>
        <w:tab w:val="num" w:pos="1296"/>
      </w:tabs>
      <w:ind w:left="1296"/>
    </w:pPr>
  </w:style>
  <w:style w:type="paragraph" w:styleId="Header">
    <w:name w:val="header"/>
    <w:basedOn w:val="Normal"/>
    <w:link w:val="HeaderChar"/>
    <w:uiPriority w:val="99"/>
    <w:unhideWhenUsed/>
    <w:rsid w:val="000459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5935"/>
    <w:rPr>
      <w:rFonts w:ascii="Calibri" w:eastAsia="Calibri" w:hAnsi="Calibri" w:cs="Times New Roman"/>
      <w:lang w:val="es-ES"/>
    </w:rPr>
  </w:style>
  <w:style w:type="paragraph" w:styleId="BodyText">
    <w:name w:val="Body Text"/>
    <w:basedOn w:val="Normal"/>
    <w:link w:val="BodyTextChar"/>
    <w:rsid w:val="00045935"/>
    <w:pPr>
      <w:spacing w:after="120" w:line="240" w:lineRule="auto"/>
    </w:pPr>
    <w:rPr>
      <w:rFonts w:ascii="Times New Roman" w:eastAsia="Times New Roman" w:hAnsi="Times New Roman"/>
      <w:sz w:val="24"/>
      <w:szCs w:val="24"/>
      <w:lang w:val="en-US"/>
    </w:rPr>
  </w:style>
  <w:style w:type="character" w:customStyle="1" w:styleId="BodyTextChar">
    <w:name w:val="Body Text Char"/>
    <w:basedOn w:val="DefaultParagraphFont"/>
    <w:link w:val="BodyText"/>
    <w:rsid w:val="00045935"/>
    <w:rPr>
      <w:rFonts w:ascii="Times New Roman" w:eastAsia="Times New Roman" w:hAnsi="Times New Roman" w:cs="Times New Roman"/>
      <w:sz w:val="24"/>
      <w:szCs w:val="24"/>
      <w:lang w:val="en-US"/>
    </w:rPr>
  </w:style>
  <w:style w:type="paragraph" w:styleId="BodyTextIndent">
    <w:name w:val="Body Text Indent"/>
    <w:basedOn w:val="Normal"/>
    <w:link w:val="BodyTextIndentChar"/>
    <w:uiPriority w:val="99"/>
    <w:semiHidden/>
    <w:unhideWhenUsed/>
    <w:rsid w:val="00045935"/>
    <w:pPr>
      <w:spacing w:after="120"/>
      <w:ind w:left="360"/>
    </w:pPr>
  </w:style>
  <w:style w:type="character" w:customStyle="1" w:styleId="BodyTextIndentChar">
    <w:name w:val="Body Text Indent Char"/>
    <w:basedOn w:val="DefaultParagraphFont"/>
    <w:link w:val="BodyTextIndent"/>
    <w:uiPriority w:val="99"/>
    <w:semiHidden/>
    <w:rsid w:val="00045935"/>
    <w:rPr>
      <w:rFonts w:ascii="Calibri" w:eastAsia="Calibri" w:hAnsi="Calibri" w:cs="Times New Roman"/>
      <w:lang w:val="es-ES"/>
    </w:rPr>
  </w:style>
  <w:style w:type="paragraph" w:styleId="BodyTextIndent3">
    <w:name w:val="Body Text Indent 3"/>
    <w:basedOn w:val="Normal"/>
    <w:link w:val="BodyTextIndent3Char"/>
    <w:uiPriority w:val="99"/>
    <w:semiHidden/>
    <w:unhideWhenUsed/>
    <w:rsid w:val="0004593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45935"/>
    <w:rPr>
      <w:rFonts w:ascii="Calibri" w:eastAsia="Calibri" w:hAnsi="Calibri" w:cs="Times New Roman"/>
      <w:sz w:val="16"/>
      <w:szCs w:val="16"/>
      <w:lang w:val="es-ES"/>
    </w:rPr>
  </w:style>
  <w:style w:type="paragraph" w:customStyle="1" w:styleId="Newpage">
    <w:name w:val="Newpage"/>
    <w:basedOn w:val="Chapter"/>
    <w:rsid w:val="000D492C"/>
    <w:pPr>
      <w:numPr>
        <w:numId w:val="0"/>
      </w:numPr>
      <w:tabs>
        <w:tab w:val="clear" w:pos="1440"/>
        <w:tab w:val="left" w:pos="3060"/>
        <w:tab w:val="num" w:pos="4680"/>
      </w:tabs>
      <w:spacing w:after="0"/>
    </w:pPr>
    <w:rPr>
      <w:rFonts w:eastAsia="Times New Roman"/>
      <w:szCs w:val="20"/>
    </w:rPr>
  </w:style>
  <w:style w:type="character" w:styleId="Hyperlink">
    <w:name w:val="Hyperlink"/>
    <w:basedOn w:val="DefaultParagraphFont"/>
    <w:uiPriority w:val="99"/>
    <w:unhideWhenUsed/>
    <w:rsid w:val="00742126"/>
    <w:rPr>
      <w:color w:val="0563C1" w:themeColor="hyperlink"/>
      <w:u w:val="single"/>
    </w:rPr>
  </w:style>
  <w:style w:type="character" w:styleId="UnresolvedMention">
    <w:name w:val="Unresolved Mention"/>
    <w:basedOn w:val="DefaultParagraphFont"/>
    <w:uiPriority w:val="99"/>
    <w:semiHidden/>
    <w:unhideWhenUsed/>
    <w:rsid w:val="00742126"/>
    <w:rPr>
      <w:color w:val="605E5C"/>
      <w:shd w:val="clear" w:color="auto" w:fill="E1DFDD"/>
    </w:rPr>
  </w:style>
  <w:style w:type="paragraph" w:styleId="BalloonText">
    <w:name w:val="Balloon Text"/>
    <w:basedOn w:val="Normal"/>
    <w:link w:val="BalloonTextChar"/>
    <w:uiPriority w:val="99"/>
    <w:semiHidden/>
    <w:unhideWhenUsed/>
    <w:rsid w:val="005B3F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3F41"/>
    <w:rPr>
      <w:rFonts w:ascii="Segoe UI" w:eastAsia="Calibri" w:hAnsi="Segoe UI" w:cs="Segoe UI"/>
      <w:sz w:val="18"/>
      <w:szCs w:val="18"/>
      <w:lang w:val="es-ES"/>
    </w:rPr>
  </w:style>
  <w:style w:type="paragraph" w:styleId="Caption">
    <w:name w:val="caption"/>
    <w:basedOn w:val="Normal"/>
    <w:next w:val="Normal"/>
    <w:uiPriority w:val="35"/>
    <w:unhideWhenUsed/>
    <w:qFormat/>
    <w:rsid w:val="001E62FC"/>
    <w:pPr>
      <w:spacing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73326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373010">
      <w:bodyDiv w:val="1"/>
      <w:marLeft w:val="0"/>
      <w:marRight w:val="0"/>
      <w:marTop w:val="0"/>
      <w:marBottom w:val="0"/>
      <w:divBdr>
        <w:top w:val="none" w:sz="0" w:space="0" w:color="auto"/>
        <w:left w:val="none" w:sz="0" w:space="0" w:color="auto"/>
        <w:bottom w:val="none" w:sz="0" w:space="0" w:color="auto"/>
        <w:right w:val="none" w:sz="0" w:space="0" w:color="auto"/>
      </w:divBdr>
    </w:div>
    <w:div w:id="704406408">
      <w:bodyDiv w:val="1"/>
      <w:marLeft w:val="0"/>
      <w:marRight w:val="0"/>
      <w:marTop w:val="0"/>
      <w:marBottom w:val="0"/>
      <w:divBdr>
        <w:top w:val="none" w:sz="0" w:space="0" w:color="auto"/>
        <w:left w:val="none" w:sz="0" w:space="0" w:color="auto"/>
        <w:bottom w:val="none" w:sz="0" w:space="0" w:color="auto"/>
        <w:right w:val="none" w:sz="0" w:space="0" w:color="auto"/>
      </w:divBdr>
    </w:div>
    <w:div w:id="741870374">
      <w:bodyDiv w:val="1"/>
      <w:marLeft w:val="0"/>
      <w:marRight w:val="0"/>
      <w:marTop w:val="0"/>
      <w:marBottom w:val="0"/>
      <w:divBdr>
        <w:top w:val="none" w:sz="0" w:space="0" w:color="auto"/>
        <w:left w:val="none" w:sz="0" w:space="0" w:color="auto"/>
        <w:bottom w:val="none" w:sz="0" w:space="0" w:color="auto"/>
        <w:right w:val="none" w:sz="0" w:space="0" w:color="auto"/>
      </w:divBdr>
    </w:div>
    <w:div w:id="1800419313">
      <w:bodyDiv w:val="1"/>
      <w:marLeft w:val="0"/>
      <w:marRight w:val="0"/>
      <w:marTop w:val="0"/>
      <w:marBottom w:val="0"/>
      <w:divBdr>
        <w:top w:val="none" w:sz="0" w:space="0" w:color="auto"/>
        <w:left w:val="none" w:sz="0" w:space="0" w:color="auto"/>
        <w:bottom w:val="none" w:sz="0" w:space="0" w:color="auto"/>
        <w:right w:val="none" w:sz="0" w:space="0" w:color="auto"/>
      </w:divBdr>
    </w:div>
    <w:div w:id="2096709672">
      <w:bodyDiv w:val="1"/>
      <w:marLeft w:val="0"/>
      <w:marRight w:val="0"/>
      <w:marTop w:val="0"/>
      <w:marBottom w:val="0"/>
      <w:divBdr>
        <w:top w:val="none" w:sz="0" w:space="0" w:color="auto"/>
        <w:left w:val="none" w:sz="0" w:space="0" w:color="auto"/>
        <w:bottom w:val="none" w:sz="0" w:space="0" w:color="auto"/>
        <w:right w:val="none" w:sz="0" w:space="0" w:color="auto"/>
      </w:divBdr>
    </w:div>
    <w:div w:id="2131434545">
      <w:bodyDiv w:val="1"/>
      <w:marLeft w:val="0"/>
      <w:marRight w:val="0"/>
      <w:marTop w:val="0"/>
      <w:marBottom w:val="0"/>
      <w:divBdr>
        <w:top w:val="none" w:sz="0" w:space="0" w:color="auto"/>
        <w:left w:val="none" w:sz="0" w:space="0" w:color="auto"/>
        <w:bottom w:val="none" w:sz="0" w:space="0" w:color="auto"/>
        <w:right w:val="none" w:sz="0" w:space="0" w:color="auto"/>
      </w:divBdr>
    </w:div>
    <w:div w:id="214318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1.emf"/><Relationship Id="rId10" Type="http://schemas.openxmlformats.org/officeDocument/2006/relationships/settings" Target="settings.xml"/><Relationship Id="rId19" Type="http://schemas.openxmlformats.org/officeDocument/2006/relationships/header" Target="header2.xml"/><Relationship Id="rId14" Type="http://schemas.openxmlformats.org/officeDocument/2006/relationships/header" Target="header1.xml"/><Relationship Id="rId9" Type="http://schemas.openxmlformats.org/officeDocument/2006/relationships/styles" Target="styles.xml"/><Relationship Id="rId22" Type="http://schemas.openxmlformats.org/officeDocument/2006/relationships/customXml" Target="../customXml/item8.xml"/></Relationships>
</file>

<file path=word/_rels/footnotes.xml.rels><?xml version="1.0" encoding="UTF-8" standalone="yes"?>
<Relationships xmlns="http://schemas.openxmlformats.org/package/2006/relationships"><Relationship Id="rId2" Type="http://schemas.openxmlformats.org/officeDocument/2006/relationships/hyperlink" Target="https://idbg.sharepoint.com/teams/EZ-ME-LON/ME-l1290/15%20LifeCycle%20Milestones/ME-L1290_POD_OEL_1_Analisis%20Economico.docx?d=wb925752bc137422abccfaa57b7ec3b55" TargetMode="External"/><Relationship Id="rId1" Type="http://schemas.openxmlformats.org/officeDocument/2006/relationships/hyperlink" Target="https://www.inegi.org.mx/programas/ena/2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3FC3B932C9B744D86BDA8E0211324DC" ma:contentTypeVersion="2701" ma:contentTypeDescription="A content type to manage public (operations) IDB documents" ma:contentTypeScope="" ma:versionID="089bcc88a8200494ebdcebf077ec8e2b">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4927/OC-ME;</Approval_x0020_Number>
    <Phase xmlns="cdc7663a-08f0-4737-9e8c-148ce897a09c" xsi:nil="true"/>
    <Document_x0020_Author xmlns="cdc7663a-08f0-4737-9e8c-148ce897a09c">Porras Herrera,Fanny Eliana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FM-INC</TermName>
          <TermId xmlns="http://schemas.microsoft.com/office/infopath/2007/PartnerControls">c2f14676-e4fa-4804-b3fb-fa0bd62b66c7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19</Value>
      <Value>10</Value>
      <Value>44</Value>
      <Value>1</Value>
      <Value>43</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ME-L1290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FM</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EZSHARE-875608255-21</_dlc_DocId>
    <_dlc_DocIdUrl xmlns="cdc7663a-08f0-4737-9e8c-148ce897a09c">
      <Url>https://idbg.sharepoint.com/teams/EZ-ME-LON/ME-l1290/_layouts/15/DocIdRedir.aspx?ID=EZSHARE-875608255-21</Url>
      <Description>EZSHARE-875608255-21</Description>
    </_dlc_DocIdUrl>
    <Disclosure_x0020_Activity xmlns="cdc7663a-08f0-4737-9e8c-148ce897a09c">Economic Analysis (during Execution)</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F34F4C73DD02E34593CB065238687939" ma:contentTypeVersion="2669" ma:contentTypeDescription="The base project type from which other project content types inherit their information." ma:contentTypeScope="" ma:versionID="bcd45b93abe64744cb6b3b57369c123f">
  <xsd:schema xmlns:xsd="http://www.w3.org/2001/XMLSchema" xmlns:xs="http://www.w3.org/2001/XMLSchema" xmlns:p="http://schemas.microsoft.com/office/2006/metadata/properties" xmlns:ns2="cdc7663a-08f0-4737-9e8c-148ce897a09c" targetNamespace="http://schemas.microsoft.com/office/2006/metadata/properties" ma:root="true" ma:fieldsID="58f651783cfe384d70c92a095132f2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FB2E8A9D-F627-47A2-B4CA-7E4C2A2949D3}"/>
</file>

<file path=customXml/itemProps2.xml><?xml version="1.0" encoding="utf-8"?>
<ds:datastoreItem xmlns:ds="http://schemas.openxmlformats.org/officeDocument/2006/customXml" ds:itemID="{73070A08-5A01-47A5-BF3C-16359A5DEEF3}"/>
</file>

<file path=customXml/itemProps3.xml><?xml version="1.0" encoding="utf-8"?>
<ds:datastoreItem xmlns:ds="http://schemas.openxmlformats.org/officeDocument/2006/customXml" ds:itemID="{0076C3DA-86A8-43F5-AFA8-EFA846F23BF8}">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cdc7663a-08f0-4737-9e8c-148ce897a09c"/>
    <ds:schemaRef ds:uri="http://www.w3.org/XML/1998/namespace"/>
    <ds:schemaRef ds:uri="http://purl.org/dc/dcmitype/"/>
  </ds:schemaRefs>
</ds:datastoreItem>
</file>

<file path=customXml/itemProps4.xml><?xml version="1.0" encoding="utf-8"?>
<ds:datastoreItem xmlns:ds="http://schemas.openxmlformats.org/officeDocument/2006/customXml" ds:itemID="{6FEAB145-CC4E-4740-A837-EFE996514E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2599DA9-A02B-464F-B517-8A042368A35C}">
  <ds:schemaRefs>
    <ds:schemaRef ds:uri="http://schemas.microsoft.com/sharepoint/events"/>
  </ds:schemaRefs>
</ds:datastoreItem>
</file>

<file path=customXml/itemProps6.xml><?xml version="1.0" encoding="utf-8"?>
<ds:datastoreItem xmlns:ds="http://schemas.openxmlformats.org/officeDocument/2006/customXml" ds:itemID="{1CC30DC9-11CC-4239-9B45-CD3026857A32}">
  <ds:schemaRefs>
    <ds:schemaRef ds:uri="http://schemas.microsoft.com/sharepoint/v3/contenttype/forms"/>
  </ds:schemaRefs>
</ds:datastoreItem>
</file>

<file path=customXml/itemProps7.xml><?xml version="1.0" encoding="utf-8"?>
<ds:datastoreItem xmlns:ds="http://schemas.openxmlformats.org/officeDocument/2006/customXml" ds:itemID="{58CFE5FD-3B16-48E2-B194-6A5892B870A6}">
  <ds:schemaRefs>
    <ds:schemaRef ds:uri="http://schemas.openxmlformats.org/officeDocument/2006/bibliography"/>
  </ds:schemaRefs>
</ds:datastoreItem>
</file>

<file path=customXml/itemProps8.xml><?xml version="1.0" encoding="utf-8"?>
<ds:datastoreItem xmlns:ds="http://schemas.openxmlformats.org/officeDocument/2006/customXml" ds:itemID="{94616053-1B85-4AA3-A75D-D940848EA1FF}"/>
</file>

<file path=docProps/app.xml><?xml version="1.0" encoding="utf-8"?>
<Properties xmlns="http://schemas.openxmlformats.org/officeDocument/2006/extended-properties" xmlns:vt="http://schemas.openxmlformats.org/officeDocument/2006/docPropsVTypes">
  <Template>Normal</Template>
  <TotalTime>393</TotalTime>
  <Pages>6</Pages>
  <Words>1434</Words>
  <Characters>8176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Vargas Macedo, Sebastian</dc:creator>
  <cp:keywords/>
  <dc:description/>
  <cp:lastModifiedBy>Porras Herrera, Fanny Eliana</cp:lastModifiedBy>
  <cp:revision>45</cp:revision>
  <dcterms:created xsi:type="dcterms:W3CDTF">2019-08-28T15:08:00Z</dcterms:created>
  <dcterms:modified xsi:type="dcterms:W3CDTF">2019-10-07T14:38:00Z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10;#Loan Proposal|6ee86b6f-6e46-485b-8bfb-87a1f44622ac</vt:lpwstr>
  </property>
  <property fmtid="{D5CDD505-2E9C-101B-9397-08002B2CF9AE}" pid="6" name="Sub-Sector">
    <vt:lpwstr>44;#FM-INC|c2f14676-e4fa-4804-b3fb-fa0bd62b66c7</vt:lpwstr>
  </property>
  <property fmtid="{D5CDD505-2E9C-101B-9397-08002B2CF9AE}" pid="7" name="Fund IDB">
    <vt:lpwstr/>
  </property>
  <property fmtid="{D5CDD505-2E9C-101B-9397-08002B2CF9AE}" pid="8" name="Country">
    <vt:lpwstr>19;#ME|0eba6470-e7ea-46fd-a959-d4c243acaf26</vt:lpwstr>
  </property>
  <property fmtid="{D5CDD505-2E9C-101B-9397-08002B2CF9AE}" pid="9" name="Disclosed">
    <vt:bool>false</vt:bool>
  </property>
  <property fmtid="{D5CDD505-2E9C-101B-9397-08002B2CF9AE}" pid="10" name="Sector IDB">
    <vt:lpwstr>43;#FM|75500f29-2419-473a-bcd8-84901ddc2aa7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_dlc_DocIdItemGuid">
    <vt:lpwstr>99fde4f3-8740-49a0-a32a-f20aaaaf6aee</vt:lpwstr>
  </property>
  <property fmtid="{D5CDD505-2E9C-101B-9397-08002B2CF9AE}" pid="14" name="Disclosure Activity">
    <vt:lpwstr>Economic Analysis (during Execution)</vt:lpwstr>
  </property>
  <property fmtid="{D5CDD505-2E9C-101B-9397-08002B2CF9AE}" pid="15" name="ContentTypeId">
    <vt:lpwstr>0x0101001A458A224826124E8B45B1D613300CFC0083FC3B932C9B744D86BDA8E0211324DC</vt:lpwstr>
  </property>
</Properties>
</file>