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6.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118" w:rsidRPr="00FA7796" w:rsidRDefault="00E12118">
      <w:pPr>
        <w:pStyle w:val="Title"/>
        <w:tabs>
          <w:tab w:val="clear" w:pos="1440"/>
          <w:tab w:val="clear" w:pos="3060"/>
        </w:tabs>
        <w:outlineLvl w:val="9"/>
        <w:rPr>
          <w:smallCaps/>
        </w:rPr>
      </w:pPr>
      <w:r w:rsidRPr="00FA7796">
        <w:rPr>
          <w:smallCaps/>
        </w:rPr>
        <w:t>Document of the Inter-American Development Bank</w:t>
      </w:r>
    </w:p>
    <w:p w:rsidR="00E12118" w:rsidRPr="00FA7796" w:rsidRDefault="00E12118">
      <w:pPr>
        <w:tabs>
          <w:tab w:val="left" w:pos="1440"/>
          <w:tab w:val="left" w:pos="3060"/>
        </w:tabs>
        <w:jc w:val="center"/>
        <w:outlineLvl w:val="0"/>
      </w:pPr>
    </w:p>
    <w:p w:rsidR="00E12118" w:rsidRPr="00FA7796" w:rsidRDefault="00E12118">
      <w:pPr>
        <w:tabs>
          <w:tab w:val="left" w:pos="1440"/>
          <w:tab w:val="left" w:pos="3060"/>
        </w:tabs>
        <w:jc w:val="center"/>
      </w:pPr>
    </w:p>
    <w:p w:rsidR="00E12118" w:rsidRPr="00FA7796" w:rsidRDefault="00E12118">
      <w:pPr>
        <w:tabs>
          <w:tab w:val="left" w:pos="1440"/>
          <w:tab w:val="left" w:pos="3060"/>
        </w:tabs>
        <w:jc w:val="center"/>
      </w:pPr>
    </w:p>
    <w:p w:rsidR="00E12118" w:rsidRPr="00FA7796" w:rsidRDefault="00E12118">
      <w:pPr>
        <w:tabs>
          <w:tab w:val="left" w:pos="1440"/>
          <w:tab w:val="left" w:pos="3060"/>
        </w:tabs>
        <w:jc w:val="center"/>
      </w:pPr>
    </w:p>
    <w:p w:rsidR="00E12118" w:rsidRPr="00FA7796" w:rsidRDefault="00E12118">
      <w:pPr>
        <w:tabs>
          <w:tab w:val="left" w:pos="1440"/>
          <w:tab w:val="left" w:pos="3060"/>
        </w:tabs>
        <w:jc w:val="center"/>
      </w:pPr>
    </w:p>
    <w:p w:rsidR="00E12118" w:rsidRPr="00FA7796" w:rsidRDefault="00E12118">
      <w:pPr>
        <w:tabs>
          <w:tab w:val="left" w:pos="1440"/>
          <w:tab w:val="left" w:pos="3060"/>
        </w:tabs>
        <w:jc w:val="center"/>
      </w:pPr>
    </w:p>
    <w:p w:rsidR="00E12118" w:rsidRPr="00FA7796" w:rsidRDefault="00E12118">
      <w:pPr>
        <w:tabs>
          <w:tab w:val="left" w:pos="1440"/>
          <w:tab w:val="left" w:pos="3060"/>
        </w:tabs>
        <w:jc w:val="center"/>
      </w:pPr>
    </w:p>
    <w:p w:rsidR="00E12118" w:rsidRPr="00FA7796" w:rsidRDefault="00E12118">
      <w:pPr>
        <w:tabs>
          <w:tab w:val="left" w:pos="1440"/>
          <w:tab w:val="left" w:pos="3060"/>
        </w:tabs>
        <w:jc w:val="center"/>
      </w:pPr>
    </w:p>
    <w:p w:rsidR="00E12118" w:rsidRPr="00FA7796" w:rsidRDefault="00E12118">
      <w:pPr>
        <w:tabs>
          <w:tab w:val="left" w:pos="1440"/>
          <w:tab w:val="left" w:pos="3060"/>
        </w:tabs>
        <w:jc w:val="center"/>
      </w:pPr>
    </w:p>
    <w:p w:rsidR="00E12118" w:rsidRPr="00FA7796" w:rsidRDefault="00E12118">
      <w:pPr>
        <w:tabs>
          <w:tab w:val="left" w:pos="1440"/>
          <w:tab w:val="left" w:pos="3060"/>
        </w:tabs>
        <w:jc w:val="center"/>
      </w:pPr>
    </w:p>
    <w:p w:rsidR="00E12118" w:rsidRPr="00FA7796" w:rsidRDefault="00E12118">
      <w:pPr>
        <w:tabs>
          <w:tab w:val="left" w:pos="1440"/>
          <w:tab w:val="left" w:pos="3060"/>
        </w:tabs>
        <w:jc w:val="center"/>
      </w:pPr>
    </w:p>
    <w:p w:rsidR="00E12118" w:rsidRPr="00FA7796" w:rsidRDefault="00E12118">
      <w:pPr>
        <w:tabs>
          <w:tab w:val="left" w:pos="1440"/>
          <w:tab w:val="left" w:pos="3060"/>
        </w:tabs>
        <w:jc w:val="center"/>
      </w:pPr>
    </w:p>
    <w:p w:rsidR="00E12118" w:rsidRPr="00FA7796" w:rsidRDefault="00E12118">
      <w:pPr>
        <w:tabs>
          <w:tab w:val="left" w:pos="1440"/>
          <w:tab w:val="left" w:pos="3060"/>
        </w:tabs>
        <w:jc w:val="center"/>
      </w:pPr>
    </w:p>
    <w:p w:rsidR="00E12118" w:rsidRPr="00FA7796" w:rsidRDefault="00E12118">
      <w:pPr>
        <w:tabs>
          <w:tab w:val="left" w:pos="1440"/>
          <w:tab w:val="left" w:pos="3060"/>
        </w:tabs>
        <w:jc w:val="center"/>
      </w:pPr>
    </w:p>
    <w:p w:rsidR="00E12118" w:rsidRPr="00FA7796" w:rsidRDefault="00286F8F">
      <w:pPr>
        <w:tabs>
          <w:tab w:val="left" w:pos="1440"/>
          <w:tab w:val="left" w:pos="3060"/>
        </w:tabs>
        <w:jc w:val="center"/>
        <w:rPr>
          <w:smallCaps/>
        </w:rPr>
      </w:pPr>
      <w:r>
        <w:rPr>
          <w:b/>
          <w:smallCaps/>
        </w:rPr>
        <w:t>SURINAME</w:t>
      </w:r>
      <w:r w:rsidR="008D5670">
        <w:rPr>
          <w:b/>
          <w:smallCaps/>
        </w:rPr>
        <w:t xml:space="preserve"> </w:t>
      </w:r>
    </w:p>
    <w:p w:rsidR="00E12118" w:rsidRPr="00FA7796" w:rsidRDefault="00E12118">
      <w:pPr>
        <w:tabs>
          <w:tab w:val="left" w:pos="1440"/>
          <w:tab w:val="left" w:pos="3060"/>
        </w:tabs>
        <w:jc w:val="center"/>
        <w:rPr>
          <w:smallCaps/>
        </w:rPr>
      </w:pPr>
    </w:p>
    <w:p w:rsidR="00E12118" w:rsidRPr="00FA7796" w:rsidRDefault="00E12118">
      <w:pPr>
        <w:tabs>
          <w:tab w:val="left" w:pos="1440"/>
          <w:tab w:val="left" w:pos="3060"/>
        </w:tabs>
        <w:jc w:val="center"/>
        <w:rPr>
          <w:smallCaps/>
        </w:rPr>
      </w:pPr>
    </w:p>
    <w:p w:rsidR="00E12118" w:rsidRPr="00FA7796" w:rsidRDefault="00E12118">
      <w:pPr>
        <w:tabs>
          <w:tab w:val="left" w:pos="1440"/>
          <w:tab w:val="left" w:pos="3060"/>
        </w:tabs>
        <w:jc w:val="center"/>
        <w:rPr>
          <w:smallCaps/>
        </w:rPr>
      </w:pPr>
    </w:p>
    <w:p w:rsidR="00E12118" w:rsidRPr="00FA7796" w:rsidRDefault="00E12118">
      <w:pPr>
        <w:tabs>
          <w:tab w:val="left" w:pos="1440"/>
          <w:tab w:val="left" w:pos="3060"/>
        </w:tabs>
        <w:jc w:val="center"/>
        <w:rPr>
          <w:smallCaps/>
        </w:rPr>
      </w:pPr>
    </w:p>
    <w:p w:rsidR="00E12118" w:rsidRPr="00FA7796" w:rsidRDefault="00E12118">
      <w:pPr>
        <w:tabs>
          <w:tab w:val="left" w:pos="1440"/>
          <w:tab w:val="left" w:pos="3060"/>
        </w:tabs>
        <w:jc w:val="center"/>
        <w:rPr>
          <w:smallCaps/>
        </w:rPr>
      </w:pPr>
    </w:p>
    <w:p w:rsidR="00A90D65" w:rsidRPr="007D6893" w:rsidRDefault="00A90D65" w:rsidP="00A90D65">
      <w:pPr>
        <w:tabs>
          <w:tab w:val="left" w:pos="1440"/>
          <w:tab w:val="left" w:pos="3060"/>
        </w:tabs>
        <w:jc w:val="center"/>
        <w:outlineLvl w:val="0"/>
        <w:rPr>
          <w:b/>
          <w:smallCaps/>
        </w:rPr>
      </w:pPr>
      <w:r w:rsidRPr="007D6893">
        <w:rPr>
          <w:b/>
          <w:smallCaps/>
        </w:rPr>
        <w:t>Financial Sector Strengthening Program</w:t>
      </w:r>
      <w:r w:rsidR="00C06528">
        <w:rPr>
          <w:b/>
          <w:smallCaps/>
        </w:rPr>
        <w:t xml:space="preserve"> II</w:t>
      </w:r>
      <w:r w:rsidRPr="007D6893">
        <w:rPr>
          <w:b/>
          <w:smallCaps/>
        </w:rPr>
        <w:t xml:space="preserve"> </w:t>
      </w:r>
    </w:p>
    <w:p w:rsidR="00A90D65" w:rsidRDefault="00A90D65" w:rsidP="00A90D65">
      <w:pPr>
        <w:tabs>
          <w:tab w:val="left" w:pos="1440"/>
          <w:tab w:val="left" w:pos="3060"/>
        </w:tabs>
        <w:jc w:val="center"/>
        <w:outlineLvl w:val="0"/>
        <w:rPr>
          <w:b/>
          <w:smallCaps/>
        </w:rPr>
      </w:pPr>
      <w:r w:rsidRPr="007D6893">
        <w:rPr>
          <w:b/>
          <w:smallCaps/>
        </w:rPr>
        <w:t xml:space="preserve"> “FSSP</w:t>
      </w:r>
      <w:r w:rsidR="00C06528">
        <w:rPr>
          <w:b/>
          <w:smallCaps/>
        </w:rPr>
        <w:t xml:space="preserve"> II</w:t>
      </w:r>
      <w:r w:rsidRPr="007D6893">
        <w:rPr>
          <w:b/>
          <w:smallCaps/>
        </w:rPr>
        <w:t xml:space="preserve">” </w:t>
      </w:r>
    </w:p>
    <w:p w:rsidR="00A90D65" w:rsidRDefault="00A90D65" w:rsidP="00A90D65">
      <w:pPr>
        <w:tabs>
          <w:tab w:val="left" w:pos="1440"/>
          <w:tab w:val="left" w:pos="3060"/>
        </w:tabs>
        <w:jc w:val="center"/>
        <w:outlineLvl w:val="0"/>
        <w:rPr>
          <w:b/>
          <w:smallCaps/>
        </w:rPr>
      </w:pPr>
    </w:p>
    <w:p w:rsidR="00A90D65" w:rsidRDefault="00A90D65" w:rsidP="00A90D65">
      <w:pPr>
        <w:tabs>
          <w:tab w:val="left" w:pos="1440"/>
          <w:tab w:val="left" w:pos="3060"/>
        </w:tabs>
        <w:jc w:val="center"/>
        <w:outlineLvl w:val="0"/>
        <w:rPr>
          <w:b/>
          <w:smallCaps/>
        </w:rPr>
      </w:pPr>
    </w:p>
    <w:p w:rsidR="00A90D65" w:rsidRPr="007D6893" w:rsidRDefault="00A90D65" w:rsidP="00A90D65">
      <w:pPr>
        <w:tabs>
          <w:tab w:val="left" w:pos="1440"/>
          <w:tab w:val="left" w:pos="3060"/>
        </w:tabs>
        <w:jc w:val="center"/>
        <w:outlineLvl w:val="0"/>
        <w:rPr>
          <w:b/>
          <w:smallCaps/>
        </w:rPr>
      </w:pPr>
      <w:r w:rsidRPr="007D6893">
        <w:rPr>
          <w:b/>
          <w:smallCaps/>
        </w:rPr>
        <w:t>SU-L1034</w:t>
      </w:r>
    </w:p>
    <w:p w:rsidR="00E12118" w:rsidRPr="00FA7796" w:rsidRDefault="00E12118">
      <w:pPr>
        <w:tabs>
          <w:tab w:val="left" w:pos="1440"/>
          <w:tab w:val="left" w:pos="3060"/>
        </w:tabs>
        <w:jc w:val="center"/>
        <w:rPr>
          <w:b/>
          <w:smallCaps/>
        </w:rPr>
      </w:pPr>
    </w:p>
    <w:p w:rsidR="00E12118" w:rsidRPr="00FA7796" w:rsidRDefault="00E12118" w:rsidP="00F7780E">
      <w:pPr>
        <w:pStyle w:val="Newpage"/>
      </w:pPr>
    </w:p>
    <w:p w:rsidR="00E12118" w:rsidRPr="00FA7796" w:rsidRDefault="00E12118">
      <w:pPr>
        <w:tabs>
          <w:tab w:val="left" w:pos="1440"/>
          <w:tab w:val="left" w:pos="3060"/>
        </w:tabs>
        <w:jc w:val="center"/>
        <w:rPr>
          <w:smallCaps/>
        </w:rPr>
      </w:pPr>
    </w:p>
    <w:p w:rsidR="00E12118" w:rsidRPr="00FA7796" w:rsidRDefault="00E12118">
      <w:pPr>
        <w:tabs>
          <w:tab w:val="left" w:pos="1440"/>
          <w:tab w:val="left" w:pos="3060"/>
        </w:tabs>
        <w:jc w:val="center"/>
        <w:rPr>
          <w:smallCaps/>
        </w:rPr>
      </w:pPr>
    </w:p>
    <w:p w:rsidR="00E12118" w:rsidRPr="00FA7796" w:rsidRDefault="00A90D65">
      <w:pPr>
        <w:tabs>
          <w:tab w:val="left" w:pos="1440"/>
          <w:tab w:val="left" w:pos="3060"/>
        </w:tabs>
        <w:jc w:val="center"/>
        <w:outlineLvl w:val="0"/>
        <w:rPr>
          <w:b/>
          <w:smallCaps/>
        </w:rPr>
      </w:pPr>
      <w:r>
        <w:rPr>
          <w:b/>
          <w:smallCaps/>
        </w:rPr>
        <w:t>Economic Analysis</w:t>
      </w:r>
    </w:p>
    <w:p w:rsidR="00E12118" w:rsidRPr="00FA7796" w:rsidRDefault="00E12118">
      <w:pPr>
        <w:tabs>
          <w:tab w:val="left" w:pos="1440"/>
          <w:tab w:val="left" w:pos="3060"/>
        </w:tabs>
        <w:jc w:val="center"/>
      </w:pPr>
    </w:p>
    <w:p w:rsidR="00E12118" w:rsidRPr="00FA7796" w:rsidRDefault="00E12118">
      <w:pPr>
        <w:tabs>
          <w:tab w:val="left" w:pos="1440"/>
          <w:tab w:val="left" w:pos="3060"/>
        </w:tabs>
        <w:jc w:val="center"/>
      </w:pPr>
    </w:p>
    <w:p w:rsidR="00E12118" w:rsidRPr="00FA7796" w:rsidRDefault="00E12118">
      <w:pPr>
        <w:tabs>
          <w:tab w:val="left" w:pos="1440"/>
          <w:tab w:val="left" w:pos="3060"/>
        </w:tabs>
        <w:jc w:val="center"/>
      </w:pPr>
    </w:p>
    <w:p w:rsidR="00E12118" w:rsidRPr="00FA7796" w:rsidRDefault="00E12118">
      <w:pPr>
        <w:tabs>
          <w:tab w:val="left" w:pos="1440"/>
          <w:tab w:val="left" w:pos="3060"/>
        </w:tabs>
        <w:jc w:val="center"/>
      </w:pPr>
    </w:p>
    <w:p w:rsidR="00E12118" w:rsidRPr="00FA7796" w:rsidRDefault="00E12118">
      <w:pPr>
        <w:tabs>
          <w:tab w:val="left" w:pos="1440"/>
          <w:tab w:val="left" w:pos="3060"/>
        </w:tabs>
        <w:jc w:val="center"/>
      </w:pPr>
    </w:p>
    <w:p w:rsidR="00E12118" w:rsidRPr="00FA7796" w:rsidRDefault="00E12118">
      <w:pPr>
        <w:tabs>
          <w:tab w:val="left" w:pos="1440"/>
          <w:tab w:val="left" w:pos="3060"/>
        </w:tabs>
        <w:jc w:val="center"/>
      </w:pPr>
    </w:p>
    <w:p w:rsidR="00540511" w:rsidRPr="00FA7796" w:rsidRDefault="00540511">
      <w:pPr>
        <w:tabs>
          <w:tab w:val="left" w:pos="1440"/>
          <w:tab w:val="left" w:pos="3060"/>
        </w:tabs>
        <w:outlineLvl w:val="0"/>
        <w:sectPr w:rsidR="00540511" w:rsidRPr="00FA7796">
          <w:headerReference w:type="even" r:id="rId9"/>
          <w:headerReference w:type="default" r:id="rId10"/>
          <w:footerReference w:type="even" r:id="rId11"/>
          <w:footerReference w:type="default" r:id="rId12"/>
          <w:pgSz w:w="12240" w:h="15840" w:code="1"/>
          <w:pgMar w:top="1440" w:right="1800" w:bottom="1440" w:left="1800" w:header="706" w:footer="706" w:gutter="0"/>
          <w:pgNumType w:fmt="lowerRoman" w:start="1"/>
          <w:cols w:space="720"/>
          <w:formProt w:val="0"/>
          <w:titlePg/>
        </w:sectPr>
      </w:pPr>
    </w:p>
    <w:p w:rsidR="00E12118" w:rsidRPr="00FA7796" w:rsidRDefault="00E12118" w:rsidP="00A657E3">
      <w:pPr>
        <w:outlineLvl w:val="0"/>
      </w:pPr>
    </w:p>
    <w:p w:rsidR="00E12118" w:rsidRPr="00FA7796" w:rsidRDefault="00E8427D" w:rsidP="00A657E3">
      <w:pPr>
        <w:pStyle w:val="Newpage"/>
        <w:tabs>
          <w:tab w:val="clear" w:pos="3060"/>
        </w:tabs>
      </w:pPr>
      <w:bookmarkStart w:id="0" w:name="Contents"/>
      <w:r w:rsidRPr="00FA7796">
        <w:t>C</w:t>
      </w:r>
      <w:r w:rsidR="00E12118" w:rsidRPr="00FA7796">
        <w:t>ontent</w:t>
      </w:r>
    </w:p>
    <w:bookmarkEnd w:id="0"/>
    <w:p w:rsidR="008E629C" w:rsidRDefault="008E629C" w:rsidP="00A657E3">
      <w:pPr>
        <w:pStyle w:val="Newpage"/>
        <w:tabs>
          <w:tab w:val="clear" w:pos="3060"/>
        </w:tabs>
      </w:pPr>
    </w:p>
    <w:p w:rsidR="008E629C" w:rsidRDefault="008E629C" w:rsidP="00A657E3">
      <w:pPr>
        <w:pStyle w:val="Newpage"/>
        <w:tabs>
          <w:tab w:val="clear" w:pos="3060"/>
        </w:tabs>
      </w:pPr>
    </w:p>
    <w:p w:rsidR="00E12118" w:rsidRPr="00FA7796" w:rsidRDefault="00E12118" w:rsidP="00A657E3">
      <w:pPr>
        <w:pStyle w:val="Newpage"/>
        <w:tabs>
          <w:tab w:val="clear" w:pos="3060"/>
        </w:tabs>
      </w:pPr>
    </w:p>
    <w:p w:rsidR="00F7780E" w:rsidRPr="00F7780E" w:rsidRDefault="00F7780E" w:rsidP="00A657E3">
      <w:pPr>
        <w:pStyle w:val="TOC3"/>
        <w:numPr>
          <w:ilvl w:val="0"/>
          <w:numId w:val="13"/>
        </w:numPr>
        <w:tabs>
          <w:tab w:val="clear" w:pos="1728"/>
        </w:tabs>
        <w:rPr>
          <w:smallCaps/>
          <w:lang w:val="es-ES_tradnl"/>
        </w:rPr>
      </w:pPr>
      <w:r>
        <w:rPr>
          <w:smallCaps/>
          <w:lang w:val="es-ES_tradnl"/>
        </w:rPr>
        <w:t>Introductio</w:t>
      </w:r>
      <w:r w:rsidRPr="00F7780E">
        <w:rPr>
          <w:smallCaps/>
          <w:lang w:val="es-ES_tradnl"/>
        </w:rPr>
        <w:t>n</w:t>
      </w:r>
    </w:p>
    <w:p w:rsidR="00F7780E" w:rsidRPr="00F7780E" w:rsidRDefault="00F7780E" w:rsidP="00A657E3">
      <w:pPr>
        <w:pStyle w:val="TOC3"/>
        <w:numPr>
          <w:ilvl w:val="0"/>
          <w:numId w:val="13"/>
        </w:numPr>
        <w:tabs>
          <w:tab w:val="clear" w:pos="1728"/>
        </w:tabs>
        <w:rPr>
          <w:smallCaps/>
          <w:lang w:val="es-ES_tradnl"/>
        </w:rPr>
      </w:pPr>
      <w:r>
        <w:rPr>
          <w:smallCaps/>
          <w:lang w:val="es-ES_tradnl"/>
        </w:rPr>
        <w:t>Assumptions and</w:t>
      </w:r>
      <w:r w:rsidRPr="00F7780E">
        <w:rPr>
          <w:smallCaps/>
          <w:lang w:val="es-ES_tradnl"/>
        </w:rPr>
        <w:t xml:space="preserve"> </w:t>
      </w:r>
      <w:r>
        <w:rPr>
          <w:smallCaps/>
          <w:lang w:val="es-ES_tradnl"/>
        </w:rPr>
        <w:t>Methodology</w:t>
      </w:r>
    </w:p>
    <w:p w:rsidR="00F7780E" w:rsidRPr="002E0F74" w:rsidRDefault="00F7780E" w:rsidP="00A657E3">
      <w:pPr>
        <w:pStyle w:val="TOC3"/>
        <w:numPr>
          <w:ilvl w:val="0"/>
          <w:numId w:val="13"/>
        </w:numPr>
        <w:tabs>
          <w:tab w:val="clear" w:pos="1728"/>
        </w:tabs>
        <w:rPr>
          <w:smallCaps/>
        </w:rPr>
      </w:pPr>
      <w:r w:rsidRPr="002E0F74">
        <w:rPr>
          <w:smallCaps/>
        </w:rPr>
        <w:t>Economic Benefits</w:t>
      </w:r>
      <w:r w:rsidR="002E0F74">
        <w:rPr>
          <w:smallCaps/>
        </w:rPr>
        <w:t>,</w:t>
      </w:r>
      <w:r w:rsidRPr="002E0F74">
        <w:rPr>
          <w:smallCaps/>
        </w:rPr>
        <w:t xml:space="preserve"> Costs</w:t>
      </w:r>
      <w:r w:rsidR="002E0F74" w:rsidRPr="002E0F74">
        <w:rPr>
          <w:smallCaps/>
        </w:rPr>
        <w:t xml:space="preserve"> And</w:t>
      </w:r>
      <w:r w:rsidR="002E0F74">
        <w:rPr>
          <w:smallCaps/>
        </w:rPr>
        <w:t xml:space="preserve"> </w:t>
      </w:r>
      <w:r w:rsidRPr="002E0F74">
        <w:rPr>
          <w:smallCaps/>
        </w:rPr>
        <w:t>Returns</w:t>
      </w:r>
    </w:p>
    <w:p w:rsidR="00F7780E" w:rsidRPr="00F7780E" w:rsidRDefault="00F7780E" w:rsidP="00A657E3">
      <w:pPr>
        <w:pStyle w:val="TOC3"/>
        <w:numPr>
          <w:ilvl w:val="0"/>
          <w:numId w:val="13"/>
        </w:numPr>
        <w:tabs>
          <w:tab w:val="clear" w:pos="1728"/>
        </w:tabs>
        <w:rPr>
          <w:smallCaps/>
          <w:lang w:val="es-ES_tradnl"/>
        </w:rPr>
      </w:pPr>
      <w:r>
        <w:rPr>
          <w:smallCaps/>
          <w:lang w:val="es-ES_tradnl"/>
        </w:rPr>
        <w:t>Sensitivity Analysis</w:t>
      </w:r>
    </w:p>
    <w:p w:rsidR="00F7780E" w:rsidRPr="00F7780E" w:rsidRDefault="00F7780E" w:rsidP="00A657E3">
      <w:pPr>
        <w:pStyle w:val="TOC3"/>
        <w:numPr>
          <w:ilvl w:val="0"/>
          <w:numId w:val="13"/>
        </w:numPr>
        <w:tabs>
          <w:tab w:val="clear" w:pos="1728"/>
        </w:tabs>
        <w:rPr>
          <w:smallCaps/>
          <w:lang w:val="es-ES_tradnl"/>
        </w:rPr>
      </w:pPr>
      <w:r w:rsidRPr="00F7780E">
        <w:rPr>
          <w:smallCaps/>
          <w:lang w:val="es-ES_tradnl"/>
        </w:rPr>
        <w:t>Conclusion</w:t>
      </w:r>
      <w:r>
        <w:rPr>
          <w:smallCaps/>
          <w:lang w:val="es-ES_tradnl"/>
        </w:rPr>
        <w:t>s</w:t>
      </w:r>
    </w:p>
    <w:p w:rsidR="00D34A60" w:rsidRPr="00FA7796" w:rsidRDefault="008E629C" w:rsidP="00A657E3">
      <w:pPr>
        <w:pStyle w:val="TOC3"/>
        <w:tabs>
          <w:tab w:val="clear" w:pos="1728"/>
        </w:tabs>
        <w:ind w:left="1080"/>
        <w:sectPr w:rsidR="00D34A60" w:rsidRPr="00FA7796">
          <w:headerReference w:type="default" r:id="rId13"/>
          <w:pgSz w:w="12240" w:h="15840" w:code="1"/>
          <w:pgMar w:top="1440" w:right="1800" w:bottom="1440" w:left="1800" w:header="706" w:footer="706" w:gutter="0"/>
          <w:pgNumType w:start="1"/>
          <w:cols w:space="720"/>
          <w:formProt w:val="0"/>
          <w:titlePg/>
        </w:sectPr>
      </w:pPr>
      <w:r>
        <w:br w:type="page"/>
      </w:r>
      <w:bookmarkStart w:id="1" w:name="ESSectionPages0"/>
      <w:bookmarkStart w:id="2" w:name="ESSectionPages"/>
      <w:bookmarkEnd w:id="1"/>
      <w:bookmarkEnd w:id="2"/>
    </w:p>
    <w:p w:rsidR="00E12118" w:rsidRPr="00FA7796" w:rsidRDefault="00F7780E" w:rsidP="00A657E3">
      <w:pPr>
        <w:pStyle w:val="Chapter"/>
      </w:pPr>
      <w:r>
        <w:lastRenderedPageBreak/>
        <w:t>Introduction</w:t>
      </w:r>
    </w:p>
    <w:p w:rsidR="00A90D65" w:rsidRPr="00A90D65" w:rsidRDefault="00A90D65" w:rsidP="00A90D65">
      <w:pPr>
        <w:pStyle w:val="Paragraph"/>
        <w:numPr>
          <w:ilvl w:val="1"/>
          <w:numId w:val="30"/>
        </w:numPr>
        <w:tabs>
          <w:tab w:val="clear" w:pos="2448"/>
          <w:tab w:val="num" w:pos="720"/>
        </w:tabs>
        <w:ind w:left="720" w:hanging="720"/>
        <w:rPr>
          <w:b/>
        </w:rPr>
      </w:pPr>
      <w:r>
        <w:t xml:space="preserve">The proposed program will support the </w:t>
      </w:r>
      <w:r w:rsidR="00274051">
        <w:t>Central Bank of Suriname (</w:t>
      </w:r>
      <w:r>
        <w:t>CBvS</w:t>
      </w:r>
      <w:r w:rsidR="00274051">
        <w:t>)</w:t>
      </w:r>
      <w:r>
        <w:t xml:space="preserve"> and other public and private sector institutions implement comprehensive, coordinated and fundamental financial sector reforms. These reforms are designed: (i) to provide the CBvS with the capabilities -- legal and institutional -- in order to bring its financial sector supervision up to international standards; (ii) to enhance the enabling environment</w:t>
      </w:r>
      <w:r>
        <w:rPr>
          <w:rStyle w:val="FootnoteReference"/>
        </w:rPr>
        <w:footnoteReference w:id="1"/>
      </w:r>
      <w:r>
        <w:t xml:space="preserve"> of financial institutions and </w:t>
      </w:r>
      <w:r w:rsidR="00D41C5D">
        <w:t xml:space="preserve">markets, public and private, through </w:t>
      </w:r>
      <w:r>
        <w:t>enhanced supervision, in addition</w:t>
      </w:r>
      <w:r w:rsidR="00D41C5D">
        <w:t xml:space="preserve"> to</w:t>
      </w:r>
      <w:r>
        <w:t xml:space="preserve"> other changes in the overall legal, regulatory and institutional framework in </w:t>
      </w:r>
      <w:r w:rsidR="00D41C5D">
        <w:t xml:space="preserve">which </w:t>
      </w:r>
      <w:r>
        <w:t>financial institutions and markets operate; and (iii) to allow the CBvS to more effectively and efficiently conduct monetary and foreign exchange policies, and other key responsibilities.</w:t>
      </w:r>
    </w:p>
    <w:p w:rsidR="00D41C5D" w:rsidRPr="00741562" w:rsidRDefault="00D41C5D" w:rsidP="00A90D65">
      <w:pPr>
        <w:pStyle w:val="Paragraph"/>
        <w:numPr>
          <w:ilvl w:val="1"/>
          <w:numId w:val="30"/>
        </w:numPr>
        <w:tabs>
          <w:tab w:val="clear" w:pos="2448"/>
          <w:tab w:val="num" w:pos="720"/>
        </w:tabs>
        <w:ind w:left="720" w:hanging="720"/>
      </w:pPr>
      <w:r>
        <w:t xml:space="preserve">With these, the overall problems of the country’s financial systems that the program aims to address are: (i) the vulnerability of financial institutions and the financial system to macroeconomic shocks, and (ii) the ineffectiveness of the financial system in providing the scope, quantity and quality of financing and other financial services needed for a more dynamic and diversified private sector-led economic growth, and to some degree, for higher household living standards (for further detail on the diagnosis of the problems being addressed, please refer to the </w:t>
      </w:r>
      <w:r w:rsidRPr="00741562">
        <w:t>POD).</w:t>
      </w:r>
    </w:p>
    <w:p w:rsidR="00A90D65" w:rsidRDefault="00A90D65" w:rsidP="00A90D65">
      <w:pPr>
        <w:pStyle w:val="Paragraph"/>
        <w:numPr>
          <w:ilvl w:val="1"/>
          <w:numId w:val="30"/>
        </w:numPr>
        <w:tabs>
          <w:tab w:val="clear" w:pos="2448"/>
          <w:tab w:val="num" w:pos="720"/>
        </w:tabs>
        <w:ind w:left="720" w:hanging="720"/>
      </w:pPr>
      <w:r>
        <w:t>Government authorities, led by the CBvS, have already initiated the first steps of a comprehensive program to fundamentally strengthen the financial sector. The program is designed to address all of the key challenges the sector faces, which include: i) a</w:t>
      </w:r>
      <w:r w:rsidRPr="008D121E">
        <w:t xml:space="preserve"> comprehensive legal and regulatory upgrading to make the legal and regulatory framework for all types of financial markets and regulated financial institutions consistent with interna</w:t>
      </w:r>
      <w:r>
        <w:t>tional standards; ii)</w:t>
      </w:r>
      <w:r w:rsidRPr="008D121E">
        <w:t xml:space="preserve"> strengthening of the institutional and supervisory capabilities of the Central Bank</w:t>
      </w:r>
      <w:r>
        <w:t>; iii) an in</w:t>
      </w:r>
      <w:r w:rsidRPr="008D121E">
        <w:t xml:space="preserve">itiative to accelerate the development of </w:t>
      </w:r>
      <w:r>
        <w:t xml:space="preserve">inter-bank </w:t>
      </w:r>
      <w:r w:rsidRPr="008D121E">
        <w:t xml:space="preserve">and </w:t>
      </w:r>
      <w:r>
        <w:t>securities</w:t>
      </w:r>
      <w:r w:rsidRPr="008D121E">
        <w:t xml:space="preserve"> </w:t>
      </w:r>
      <w:r>
        <w:t xml:space="preserve">markets; iv) a </w:t>
      </w:r>
      <w:r w:rsidRPr="008D121E">
        <w:t>fun</w:t>
      </w:r>
      <w:r>
        <w:t xml:space="preserve">damental reform of public banks; and v) </w:t>
      </w:r>
      <w:r w:rsidRPr="008D121E">
        <w:t>coordination with the private sector, the establishment of a credit bureau, property registry for non-real estate assets, and the strengthening of the Suriname Stock Market</w:t>
      </w:r>
      <w:r>
        <w:t>.</w:t>
      </w:r>
    </w:p>
    <w:p w:rsidR="007E2DBD" w:rsidRDefault="007E2DBD" w:rsidP="007E2DBD">
      <w:pPr>
        <w:pStyle w:val="Paragraph"/>
        <w:numPr>
          <w:ilvl w:val="1"/>
          <w:numId w:val="30"/>
        </w:numPr>
        <w:tabs>
          <w:tab w:val="clear" w:pos="2448"/>
          <w:tab w:val="num" w:pos="720"/>
        </w:tabs>
        <w:ind w:left="720" w:hanging="720"/>
      </w:pPr>
      <w:r w:rsidRPr="00A2291F">
        <w:rPr>
          <w:b/>
        </w:rPr>
        <w:t>Objective</w:t>
      </w:r>
      <w:r w:rsidRPr="004D7A34">
        <w:t>.</w:t>
      </w:r>
      <w:r w:rsidRPr="007C7955">
        <w:t xml:space="preserve"> The</w:t>
      </w:r>
      <w:r>
        <w:t xml:space="preserve"> overall objectives</w:t>
      </w:r>
      <w:r w:rsidRPr="0034654D">
        <w:t xml:space="preserve"> of the </w:t>
      </w:r>
      <w:r>
        <w:t>program</w:t>
      </w:r>
      <w:r w:rsidRPr="0034654D">
        <w:t xml:space="preserve"> </w:t>
      </w:r>
      <w:r>
        <w:t xml:space="preserve">are </w:t>
      </w:r>
      <w:r w:rsidRPr="0034654D">
        <w:t>to</w:t>
      </w:r>
      <w:r>
        <w:t xml:space="preserve"> improve the effectiveness of financial institutions and markets in providing credit and other financial services to firms and households, and to reduce their vulnerability to macroeconomic shocks. The specific objectives are the enhancement of the enabling environment in which financial markets and institutions operate, both public and private, and the strengthening of Central Bank capabilities to conduct its core responsibilities. </w:t>
      </w:r>
    </w:p>
    <w:p w:rsidR="00A90D65" w:rsidRPr="00B12F11" w:rsidRDefault="00A90D65" w:rsidP="00A90D65">
      <w:pPr>
        <w:pStyle w:val="Paragraph"/>
        <w:numPr>
          <w:ilvl w:val="1"/>
          <w:numId w:val="30"/>
        </w:numPr>
        <w:tabs>
          <w:tab w:val="clear" w:pos="2448"/>
          <w:tab w:val="num" w:pos="720"/>
        </w:tabs>
        <w:ind w:left="720" w:hanging="720"/>
      </w:pPr>
      <w:r w:rsidRPr="00A2291F">
        <w:rPr>
          <w:b/>
        </w:rPr>
        <w:t xml:space="preserve">Programmatic </w:t>
      </w:r>
      <w:r>
        <w:rPr>
          <w:b/>
        </w:rPr>
        <w:t>l</w:t>
      </w:r>
      <w:r w:rsidRPr="00A2291F">
        <w:rPr>
          <w:b/>
        </w:rPr>
        <w:t xml:space="preserve">oan </w:t>
      </w:r>
      <w:r>
        <w:rPr>
          <w:b/>
        </w:rPr>
        <w:t>m</w:t>
      </w:r>
      <w:r w:rsidRPr="00A2291F">
        <w:rPr>
          <w:b/>
        </w:rPr>
        <w:t>easures</w:t>
      </w:r>
      <w:r w:rsidRPr="004D7A34">
        <w:t>.</w:t>
      </w:r>
      <w:r w:rsidRPr="007C7955">
        <w:t xml:space="preserve"> </w:t>
      </w:r>
      <w:r>
        <w:t>The government has requested three loans given the breadth of reform</w:t>
      </w:r>
      <w:r w:rsidR="00D41C5D">
        <w:t xml:space="preserve">s and the expected time frame </w:t>
      </w:r>
      <w:r>
        <w:t xml:space="preserve">needed to complete the reform initiative. The policy and institutional measures for the initial loan </w:t>
      </w:r>
      <w:r w:rsidR="00D41C5D">
        <w:t xml:space="preserve">(SU-L1023) </w:t>
      </w:r>
      <w:r>
        <w:t xml:space="preserve">was focused on fundamental legal and regulatory reforms for the banking sector, </w:t>
      </w:r>
      <w:r>
        <w:lastRenderedPageBreak/>
        <w:t>the approvals of the detailed plan for enhanced financial institution supervision; and organizational changes in the CBvS to facilitate the implementation of institutional strengthening measures.</w:t>
      </w:r>
    </w:p>
    <w:p w:rsidR="007B0A37" w:rsidRDefault="00A90D65" w:rsidP="00A90D65">
      <w:pPr>
        <w:pStyle w:val="Paragraph"/>
        <w:numPr>
          <w:ilvl w:val="1"/>
          <w:numId w:val="30"/>
        </w:numPr>
        <w:tabs>
          <w:tab w:val="clear" w:pos="2448"/>
          <w:tab w:val="num" w:pos="720"/>
        </w:tabs>
        <w:ind w:left="720" w:hanging="720"/>
      </w:pPr>
      <w:r>
        <w:t xml:space="preserve">The second </w:t>
      </w:r>
      <w:r w:rsidR="007E2DBD">
        <w:t>p</w:t>
      </w:r>
      <w:r>
        <w:t xml:space="preserve">rogrammatic </w:t>
      </w:r>
      <w:r w:rsidR="007E2DBD">
        <w:t>l</w:t>
      </w:r>
      <w:r>
        <w:t xml:space="preserve">oan </w:t>
      </w:r>
      <w:r w:rsidR="00D41C5D">
        <w:t xml:space="preserve">(SU-L1034) </w:t>
      </w:r>
      <w:r>
        <w:t xml:space="preserve">has being designed to complete legal and regulatory reforms for the banking sector, advance legislative reforms in the insurance sector, improve the legal and institutional framework for Anti-Money Laundering/Terrorism Financing, accelerate institutional reforms in the CBvS for financial supervision and other areas, and begin the reform process for inter-bank and securities </w:t>
      </w:r>
      <w:r w:rsidR="007E2DBD">
        <w:t xml:space="preserve">market as well </w:t>
      </w:r>
      <w:r w:rsidR="00D41C5D">
        <w:t>as</w:t>
      </w:r>
      <w:r w:rsidR="007E2DBD">
        <w:t xml:space="preserve"> public banks</w:t>
      </w:r>
      <w:r>
        <w:t>.</w:t>
      </w:r>
    </w:p>
    <w:p w:rsidR="00A90D65" w:rsidRPr="00186103" w:rsidRDefault="007B0A37" w:rsidP="00A90D65">
      <w:pPr>
        <w:pStyle w:val="Paragraph"/>
        <w:numPr>
          <w:ilvl w:val="1"/>
          <w:numId w:val="30"/>
        </w:numPr>
        <w:tabs>
          <w:tab w:val="clear" w:pos="2448"/>
          <w:tab w:val="num" w:pos="720"/>
        </w:tabs>
        <w:ind w:left="720" w:hanging="720"/>
      </w:pPr>
      <w:r>
        <w:t>The third Programmatic Loan, planned for 2015, would be designed to complete the reform agenda addressed by the programmatic (</w:t>
      </w:r>
      <w:r w:rsidR="003C7879">
        <w:t xml:space="preserve">see ¶1.1 above; for further </w:t>
      </w:r>
      <w:r>
        <w:t>detail</w:t>
      </w:r>
      <w:r w:rsidR="003C7879">
        <w:t xml:space="preserve"> please refer to</w:t>
      </w:r>
      <w:r>
        <w:t xml:space="preserve"> Section B of the loan proposal).</w:t>
      </w:r>
    </w:p>
    <w:p w:rsidR="00A90D65" w:rsidRPr="00C06528" w:rsidRDefault="00A90D65" w:rsidP="00A90D65">
      <w:pPr>
        <w:pStyle w:val="Paragraph"/>
        <w:numPr>
          <w:ilvl w:val="1"/>
          <w:numId w:val="30"/>
        </w:numPr>
        <w:tabs>
          <w:tab w:val="clear" w:pos="2448"/>
          <w:tab w:val="num" w:pos="720"/>
        </w:tabs>
        <w:ind w:left="720" w:hanging="720"/>
      </w:pPr>
      <w:r w:rsidRPr="007E2DBD">
        <w:rPr>
          <w:b/>
        </w:rPr>
        <w:t xml:space="preserve">Program structure. </w:t>
      </w:r>
      <w:r w:rsidR="007E2DBD">
        <w:t xml:space="preserve">The </w:t>
      </w:r>
      <w:r w:rsidR="007E2DBD" w:rsidRPr="00A90D65">
        <w:t xml:space="preserve">first programmatic loan </w:t>
      </w:r>
      <w:r w:rsidR="00D41C5D">
        <w:t xml:space="preserve">(SU-L1023) </w:t>
      </w:r>
      <w:r w:rsidR="007E2DBD" w:rsidRPr="00A90D65">
        <w:t>focuse</w:t>
      </w:r>
      <w:r w:rsidR="007E2DBD">
        <w:t>d</w:t>
      </w:r>
      <w:r w:rsidR="007E2DBD" w:rsidRPr="00A90D65">
        <w:t xml:space="preserve"> on the implementation of legislative and regulatory reforms, enhanced financial sector supervision and </w:t>
      </w:r>
      <w:r w:rsidR="007E2DBD" w:rsidRPr="007E2DBD">
        <w:t xml:space="preserve">the initial steps of CBvS institutional strengthening. </w:t>
      </w:r>
      <w:r w:rsidRPr="007E2DBD">
        <w:t xml:space="preserve">The </w:t>
      </w:r>
      <w:hyperlink r:id="rId14" w:history="1">
        <w:r w:rsidR="002E7E7F" w:rsidRPr="00C06528">
          <w:rPr>
            <w:rStyle w:val="Hyperlink"/>
          </w:rPr>
          <w:t>Policy Matrix</w:t>
        </w:r>
      </w:hyperlink>
      <w:r w:rsidR="007E2DBD" w:rsidRPr="00C06528">
        <w:t xml:space="preserve"> </w:t>
      </w:r>
      <w:r w:rsidRPr="00C06528">
        <w:t xml:space="preserve">(Annex II) </w:t>
      </w:r>
      <w:r w:rsidR="007E2DBD" w:rsidRPr="00C06528">
        <w:t xml:space="preserve">of the second programmatic loan (SU-L1034) </w:t>
      </w:r>
      <w:r w:rsidRPr="00C06528">
        <w:t xml:space="preserve">details the </w:t>
      </w:r>
      <w:r w:rsidR="007E2DBD" w:rsidRPr="00C06528">
        <w:t xml:space="preserve">second set of policy measures </w:t>
      </w:r>
      <w:r w:rsidRPr="00C06528">
        <w:t xml:space="preserve">and their means of verification, as well as the policy triggers for the third and final </w:t>
      </w:r>
      <w:r w:rsidR="007E2DBD" w:rsidRPr="00C06528">
        <w:t>p</w:t>
      </w:r>
      <w:r w:rsidRPr="00C06528">
        <w:t xml:space="preserve">rogrammatic loan operation. It is important to mention that all the </w:t>
      </w:r>
      <w:r w:rsidR="007E2DBD" w:rsidRPr="00C06528">
        <w:t>triggers</w:t>
      </w:r>
      <w:r w:rsidRPr="00C06528">
        <w:t xml:space="preserve"> establish</w:t>
      </w:r>
      <w:r w:rsidR="007E2DBD" w:rsidRPr="00C06528">
        <w:t>ed</w:t>
      </w:r>
      <w:r w:rsidRPr="00C06528">
        <w:t xml:space="preserve"> for the second programmatic loan ha</w:t>
      </w:r>
      <w:r w:rsidR="007E2DBD" w:rsidRPr="00C06528">
        <w:t>ve</w:t>
      </w:r>
      <w:r w:rsidRPr="00C06528">
        <w:t xml:space="preserve"> been achieved</w:t>
      </w:r>
      <w:r w:rsidR="007E2DBD" w:rsidRPr="00C06528">
        <w:t>,</w:t>
      </w:r>
      <w:r w:rsidRPr="00C06528">
        <w:t xml:space="preserve"> with minor adjustments as indicated in the policy matrix.</w:t>
      </w:r>
    </w:p>
    <w:p w:rsidR="002E7E7F" w:rsidRDefault="007E2DBD" w:rsidP="00217B71">
      <w:pPr>
        <w:pStyle w:val="Paragraph"/>
        <w:numPr>
          <w:ilvl w:val="1"/>
          <w:numId w:val="30"/>
        </w:numPr>
        <w:tabs>
          <w:tab w:val="clear" w:pos="2448"/>
        </w:tabs>
        <w:ind w:left="720" w:hanging="720"/>
      </w:pPr>
      <w:r w:rsidRPr="00C06528">
        <w:t>In addition to the three programmatic Policy-Based Loans (PBL), a complementary Operational Inputs Technical Cooperation (</w:t>
      </w:r>
      <w:r w:rsidR="002E7E7F" w:rsidRPr="00217B71">
        <w:t>SU-T1058</w:t>
      </w:r>
      <w:r w:rsidRPr="00C06528">
        <w:t>) has bee</w:t>
      </w:r>
      <w:r>
        <w:t>n approved and is being implemented. It will finance activities to facilitate the implementation of the CBvS’ financial sector strengthening program.</w:t>
      </w:r>
    </w:p>
    <w:p w:rsidR="00286F8F" w:rsidRDefault="00286F8F" w:rsidP="004060E9">
      <w:pPr>
        <w:pStyle w:val="Paragraph"/>
        <w:numPr>
          <w:ilvl w:val="0"/>
          <w:numId w:val="0"/>
        </w:numPr>
        <w:ind w:left="720"/>
      </w:pPr>
      <w:r>
        <w:t xml:space="preserve"> </w:t>
      </w:r>
    </w:p>
    <w:p w:rsidR="009932EC" w:rsidRPr="00FA7796" w:rsidRDefault="007D3834" w:rsidP="00F7780E">
      <w:pPr>
        <w:pStyle w:val="Chapter"/>
      </w:pPr>
      <w:r>
        <w:t>Assumptions and Methodology</w:t>
      </w:r>
    </w:p>
    <w:p w:rsidR="008B6AB9" w:rsidRPr="008B6AB9" w:rsidRDefault="008B6AB9" w:rsidP="008B6AB9">
      <w:pPr>
        <w:pStyle w:val="Paragraph"/>
        <w:numPr>
          <w:ilvl w:val="0"/>
          <w:numId w:val="0"/>
        </w:numPr>
        <w:ind w:left="720" w:hanging="720"/>
        <w:rPr>
          <w:b/>
        </w:rPr>
      </w:pPr>
      <w:r w:rsidRPr="008B6AB9">
        <w:rPr>
          <w:b/>
        </w:rPr>
        <w:t>Methodology</w:t>
      </w:r>
    </w:p>
    <w:p w:rsidR="00B80CB2" w:rsidRDefault="007E2DBD" w:rsidP="00EB3824">
      <w:pPr>
        <w:pStyle w:val="Paragraph"/>
        <w:tabs>
          <w:tab w:val="clear" w:pos="720"/>
        </w:tabs>
      </w:pPr>
      <w:r>
        <w:t>For the sake of consistency,</w:t>
      </w:r>
      <w:r w:rsidR="004B1271">
        <w:t xml:space="preserve"> </w:t>
      </w:r>
      <w:r>
        <w:t>the</w:t>
      </w:r>
      <w:r w:rsidR="00060572" w:rsidRPr="00DF7395">
        <w:t xml:space="preserve"> economic analysis</w:t>
      </w:r>
      <w:r>
        <w:t xml:space="preserve"> for the proposed second programmatic loan applies the same methodology used to</w:t>
      </w:r>
      <w:r w:rsidR="00060572" w:rsidRPr="00DF7395">
        <w:t xml:space="preserve"> </w:t>
      </w:r>
      <w:r w:rsidR="00286F8F">
        <w:t xml:space="preserve">estimate </w:t>
      </w:r>
      <w:r w:rsidR="00060572" w:rsidRPr="00DF7395">
        <w:t>the</w:t>
      </w:r>
      <w:r w:rsidR="00060572">
        <w:t xml:space="preserve"> </w:t>
      </w:r>
      <w:r w:rsidR="00BE3712">
        <w:t>benefits</w:t>
      </w:r>
      <w:r w:rsidR="00060572">
        <w:t xml:space="preserve"> </w:t>
      </w:r>
      <w:r w:rsidR="004B1271">
        <w:t xml:space="preserve">during </w:t>
      </w:r>
      <w:r w:rsidR="0026572D">
        <w:t>the</w:t>
      </w:r>
      <w:r w:rsidR="004B1271">
        <w:t xml:space="preserve"> approval of the</w:t>
      </w:r>
      <w:r w:rsidR="0026572D">
        <w:t xml:space="preserve"> first </w:t>
      </w:r>
      <w:r>
        <w:t>programmatic l</w:t>
      </w:r>
      <w:r w:rsidR="0026572D">
        <w:t>oan</w:t>
      </w:r>
      <w:r w:rsidR="004B1271">
        <w:t>, and also includes the third tranche of the series in its scope</w:t>
      </w:r>
      <w:r w:rsidR="00B80CB2">
        <w:t>. B</w:t>
      </w:r>
      <w:r w:rsidR="004B1271">
        <w:t xml:space="preserve">enefits from the reforms supported by a Policy-Based Programmatic </w:t>
      </w:r>
      <w:r w:rsidR="00B80CB2">
        <w:t>(</w:t>
      </w:r>
      <w:r w:rsidR="004B1271">
        <w:t>PBP</w:t>
      </w:r>
      <w:r w:rsidR="00B80CB2">
        <w:t>)</w:t>
      </w:r>
      <w:r w:rsidR="004B1271">
        <w:t xml:space="preserve"> are expected to be attained as a result of the entire series of loans, which in most cases integrate the preparation</w:t>
      </w:r>
      <w:r w:rsidR="00B80CB2">
        <w:t>,</w:t>
      </w:r>
      <w:r w:rsidR="004B1271">
        <w:t xml:space="preserve"> implementation</w:t>
      </w:r>
      <w:r w:rsidR="00B80CB2">
        <w:t xml:space="preserve"> and supervision</w:t>
      </w:r>
      <w:r w:rsidR="004B1271">
        <w:t xml:space="preserve"> of such reforms</w:t>
      </w:r>
      <w:r w:rsidR="0026572D">
        <w:t>.</w:t>
      </w:r>
    </w:p>
    <w:p w:rsidR="008B6AB9" w:rsidRDefault="00B80CB2" w:rsidP="00EB3824">
      <w:pPr>
        <w:pStyle w:val="Paragraph"/>
        <w:tabs>
          <w:tab w:val="clear" w:pos="720"/>
        </w:tabs>
      </w:pPr>
      <w:r>
        <w:t>B</w:t>
      </w:r>
      <w:r w:rsidR="0026572D">
        <w:t xml:space="preserve">enefits </w:t>
      </w:r>
      <w:r>
        <w:t xml:space="preserve">are </w:t>
      </w:r>
      <w:r w:rsidR="007E2DBD">
        <w:t>assumed to be equal to</w:t>
      </w:r>
      <w:r w:rsidR="0026572D">
        <w:t xml:space="preserve"> </w:t>
      </w:r>
      <w:r w:rsidR="007B3CF1">
        <w:t>the reduction in the loss of annual GDP</w:t>
      </w:r>
      <w:r w:rsidR="007E2DBD">
        <w:t>,</w:t>
      </w:r>
      <w:r w:rsidR="007B3CF1">
        <w:t xml:space="preserve"> </w:t>
      </w:r>
      <w:r w:rsidR="00060572">
        <w:t>due to a</w:t>
      </w:r>
      <w:r w:rsidR="006414DE">
        <w:t xml:space="preserve"> reduction of</w:t>
      </w:r>
      <w:r w:rsidR="00060572" w:rsidRPr="00DF7395">
        <w:t xml:space="preserve"> the probability of a </w:t>
      </w:r>
      <w:r w:rsidR="00060572">
        <w:t xml:space="preserve">banking </w:t>
      </w:r>
      <w:r w:rsidR="0026572D">
        <w:t>crisis</w:t>
      </w:r>
      <w:r w:rsidR="007E2DBD">
        <w:t>. This reduction in the probability of a crisis</w:t>
      </w:r>
      <w:r w:rsidR="0026572D">
        <w:t xml:space="preserve"> is expected to take place as a result of the enhanced supervision and regulatory framework resulting from the implementation of the policy measures included in this </w:t>
      </w:r>
      <w:r w:rsidR="007E2DBD">
        <w:t>program (considering both the first</w:t>
      </w:r>
      <w:r>
        <w:t>,</w:t>
      </w:r>
      <w:r w:rsidR="007E2DBD">
        <w:t xml:space="preserve"> second</w:t>
      </w:r>
      <w:r>
        <w:t xml:space="preserve"> and third</w:t>
      </w:r>
      <w:r w:rsidR="007E2DBD">
        <w:t xml:space="preserve"> loans, as it is assumed that </w:t>
      </w:r>
      <w:r>
        <w:t>they are</w:t>
      </w:r>
      <w:r w:rsidR="007E2DBD">
        <w:t xml:space="preserve"> </w:t>
      </w:r>
      <w:r>
        <w:t xml:space="preserve">all </w:t>
      </w:r>
      <w:r w:rsidR="007E2DBD">
        <w:t>complement</w:t>
      </w:r>
      <w:r>
        <w:t>ary and necessary to fully oversee an efficient implementation of the reform</w:t>
      </w:r>
      <w:r w:rsidR="007E2DBD">
        <w:t>)</w:t>
      </w:r>
      <w:r w:rsidR="008B6AB9">
        <w:t>.</w:t>
      </w:r>
    </w:p>
    <w:p w:rsidR="008B6AB9" w:rsidRDefault="00EB3824" w:rsidP="008B6AB9">
      <w:pPr>
        <w:pStyle w:val="Paragraph"/>
      </w:pPr>
      <w:r>
        <w:lastRenderedPageBreak/>
        <w:t>The difference between the</w:t>
      </w:r>
      <w:r w:rsidRPr="00DF7395">
        <w:t xml:space="preserve"> </w:t>
      </w:r>
      <w:r>
        <w:t>estimated</w:t>
      </w:r>
      <w:r w:rsidRPr="00DF7395">
        <w:t xml:space="preserve"> </w:t>
      </w:r>
      <w:r>
        <w:t>costs of crisis incurred in the absence of the proposed reforms</w:t>
      </w:r>
      <w:r w:rsidR="00BB40B1">
        <w:t>,</w:t>
      </w:r>
      <w:r>
        <w:t xml:space="preserve"> and those incurred </w:t>
      </w:r>
      <w:r w:rsidR="00BB40B1">
        <w:t xml:space="preserve">once </w:t>
      </w:r>
      <w:r>
        <w:t xml:space="preserve">the reforms </w:t>
      </w:r>
      <w:r w:rsidR="00BB40B1">
        <w:t>are fully implemented, constitutes the program’s economic benefit.</w:t>
      </w:r>
      <w:r w:rsidR="008B6AB9" w:rsidRPr="008B6AB9">
        <w:t xml:space="preserve"> </w:t>
      </w:r>
      <w:r w:rsidR="008B6AB9">
        <w:t>On the cost side, the expenses incurred for the implementation of such reforms have been estimated, adding up to the cost of the loan.</w:t>
      </w:r>
      <w:r w:rsidR="008B6AB9" w:rsidRPr="008B6AB9">
        <w:t xml:space="preserve"> </w:t>
      </w:r>
      <w:r w:rsidR="008B6AB9">
        <w:t>The resulting net cash flows have been discounted at a rate of 12% (standard for IDB programs), in order to obtain a Net Present Value (NPV) as fundamental indicator of the viability of the program.</w:t>
      </w:r>
    </w:p>
    <w:p w:rsidR="002463F4" w:rsidRDefault="003C7879" w:rsidP="002463F4">
      <w:pPr>
        <w:pStyle w:val="Paragraph"/>
        <w:tabs>
          <w:tab w:val="clear" w:pos="720"/>
        </w:tabs>
      </w:pPr>
      <w:r>
        <w:t>The value added of the IDB Loan and Technical Assistance Program is based on the notion that IDB support increase</w:t>
      </w:r>
      <w:r w:rsidRPr="00BA7A0C">
        <w:t>s</w:t>
      </w:r>
      <w:r>
        <w:t xml:space="preserve"> the ability of authorities to implement such an ambitious agenda and help</w:t>
      </w:r>
      <w:r w:rsidRPr="00BA7A0C">
        <w:t>s</w:t>
      </w:r>
      <w:r>
        <w:t xml:space="preserve"> to build broader support amongst stakeholders for the agenda. Without IDB support, in coordination with other </w:t>
      </w:r>
      <w:r w:rsidRPr="00BA7A0C">
        <w:t xml:space="preserve">international </w:t>
      </w:r>
      <w:r>
        <w:t>institutions, the probability of success would likely be lower and the pace of implementation slower</w:t>
      </w:r>
      <w:r w:rsidR="002463F4">
        <w:t>.</w:t>
      </w:r>
    </w:p>
    <w:p w:rsidR="008B6AB9" w:rsidRPr="008B6AB9" w:rsidRDefault="008B6AB9" w:rsidP="008B6AB9">
      <w:pPr>
        <w:pStyle w:val="Paragraph"/>
        <w:numPr>
          <w:ilvl w:val="0"/>
          <w:numId w:val="0"/>
        </w:numPr>
        <w:rPr>
          <w:b/>
        </w:rPr>
      </w:pPr>
      <w:bookmarkStart w:id="3" w:name="_Toc208109836"/>
      <w:bookmarkStart w:id="4" w:name="_Toc208118131"/>
      <w:r w:rsidRPr="008B6AB9">
        <w:rPr>
          <w:b/>
        </w:rPr>
        <w:t>Assumptions</w:t>
      </w:r>
    </w:p>
    <w:p w:rsidR="006414DE" w:rsidRDefault="008B6AB9" w:rsidP="00FD51AF">
      <w:pPr>
        <w:pStyle w:val="Paragraph"/>
        <w:tabs>
          <w:tab w:val="clear" w:pos="720"/>
        </w:tabs>
      </w:pPr>
      <w:r>
        <w:t>A study conducted by th</w:t>
      </w:r>
      <w:r w:rsidR="00982FAA">
        <w:t>e Basel Committe</w:t>
      </w:r>
      <w:r>
        <w:t xml:space="preserve">e on Banking Supervision (BCBS) </w:t>
      </w:r>
      <w:r w:rsidR="006414DE">
        <w:t>e</w:t>
      </w:r>
      <w:r w:rsidR="00982FAA">
        <w:t>stimate</w:t>
      </w:r>
      <w:r w:rsidR="00BE3712">
        <w:t>s</w:t>
      </w:r>
      <w:r w:rsidR="00982FAA">
        <w:t xml:space="preserve"> the </w:t>
      </w:r>
      <w:r w:rsidR="00BE3712">
        <w:t xml:space="preserve">expected </w:t>
      </w:r>
      <w:r w:rsidR="004E0E8A">
        <w:t xml:space="preserve">economic </w:t>
      </w:r>
      <w:r w:rsidR="00BE3712">
        <w:t xml:space="preserve">benefits </w:t>
      </w:r>
      <w:r w:rsidR="004E0E8A">
        <w:t xml:space="preserve">resulting from the </w:t>
      </w:r>
      <w:r>
        <w:t>enforcement</w:t>
      </w:r>
      <w:r w:rsidR="004E0E8A">
        <w:t xml:space="preserve"> of an enhanced regulatory framework</w:t>
      </w:r>
      <w:r>
        <w:t xml:space="preserve">, </w:t>
      </w:r>
      <w:r w:rsidR="006414DE">
        <w:t>in terms of l</w:t>
      </w:r>
      <w:r w:rsidR="00EB3824">
        <w:t xml:space="preserve">ower </w:t>
      </w:r>
      <w:r w:rsidR="00180E3E">
        <w:t xml:space="preserve">economic output </w:t>
      </w:r>
      <w:r w:rsidR="006414DE">
        <w:t xml:space="preserve">losses due </w:t>
      </w:r>
      <w:r w:rsidR="00BE3712">
        <w:t>to</w:t>
      </w:r>
      <w:r w:rsidR="00982FAA">
        <w:t xml:space="preserve"> </w:t>
      </w:r>
      <w:r>
        <w:t>a</w:t>
      </w:r>
      <w:r w:rsidR="00982FAA">
        <w:t xml:space="preserve"> reduction </w:t>
      </w:r>
      <w:r w:rsidR="006414DE">
        <w:t>of the probability of a crisis</w:t>
      </w:r>
      <w:r w:rsidR="00EB3824">
        <w:t xml:space="preserve">. The BCBS </w:t>
      </w:r>
      <w:r w:rsidR="004E0E8A">
        <w:t xml:space="preserve">study </w:t>
      </w:r>
      <w:r w:rsidR="00EB3824">
        <w:t xml:space="preserve">specifically focuses on increased capital and liquidity requirements, but </w:t>
      </w:r>
      <w:r w:rsidR="00180E3E">
        <w:t xml:space="preserve">the analysis takes </w:t>
      </w:r>
      <w:r w:rsidR="00EB3824">
        <w:t xml:space="preserve">these as a proxy for an overall enhancement of the regulatory framework and supervision, which would result in a lower probability of a financial crisis. </w:t>
      </w:r>
      <w:r w:rsidR="006414DE">
        <w:t>The</w:t>
      </w:r>
      <w:r w:rsidR="00180E3E">
        <w:t xml:space="preserve"> study’s</w:t>
      </w:r>
      <w:r w:rsidR="006414DE">
        <w:t xml:space="preserve"> estimates are based on </w:t>
      </w:r>
      <w:r w:rsidR="004E0E8A">
        <w:t>data from</w:t>
      </w:r>
      <w:r w:rsidR="006414DE">
        <w:t xml:space="preserve"> </w:t>
      </w:r>
      <w:r w:rsidR="00BE3712">
        <w:t>banking crises in 25 countries since 1985.</w:t>
      </w:r>
      <w:r w:rsidR="00BE3712">
        <w:rPr>
          <w:rStyle w:val="FootnoteReference"/>
        </w:rPr>
        <w:footnoteReference w:id="2"/>
      </w:r>
      <w:r w:rsidR="00BE3712">
        <w:t xml:space="preserve"> </w:t>
      </w:r>
    </w:p>
    <w:tbl>
      <w:tblPr>
        <w:tblW w:w="7690" w:type="dxa"/>
        <w:jc w:val="center"/>
        <w:tblInd w:w="93" w:type="dxa"/>
        <w:tblLook w:val="04A0" w:firstRow="1" w:lastRow="0" w:firstColumn="1" w:lastColumn="0" w:noHBand="0" w:noVBand="1"/>
      </w:tblPr>
      <w:tblGrid>
        <w:gridCol w:w="1879"/>
        <w:gridCol w:w="1800"/>
        <w:gridCol w:w="2160"/>
        <w:gridCol w:w="1851"/>
      </w:tblGrid>
      <w:tr w:rsidR="00982FAA" w:rsidRPr="002E0F74" w:rsidTr="000E55EF">
        <w:trPr>
          <w:trHeight w:val="255"/>
          <w:jc w:val="center"/>
        </w:trPr>
        <w:tc>
          <w:tcPr>
            <w:tcW w:w="7690" w:type="dxa"/>
            <w:gridSpan w:val="4"/>
            <w:tcBorders>
              <w:top w:val="nil"/>
              <w:left w:val="nil"/>
              <w:bottom w:val="nil"/>
              <w:right w:val="nil"/>
            </w:tcBorders>
            <w:shd w:val="clear" w:color="auto" w:fill="auto"/>
            <w:noWrap/>
            <w:vAlign w:val="bottom"/>
          </w:tcPr>
          <w:p w:rsidR="00982FAA" w:rsidRPr="002E0F74" w:rsidRDefault="000E55EF" w:rsidP="002E0F74">
            <w:pPr>
              <w:rPr>
                <w:b/>
                <w:bCs/>
                <w:sz w:val="20"/>
              </w:rPr>
            </w:pPr>
            <w:r>
              <w:rPr>
                <w:b/>
                <w:bCs/>
                <w:sz w:val="20"/>
              </w:rPr>
              <w:t xml:space="preserve">Table 1: </w:t>
            </w:r>
            <w:r w:rsidR="002E0F74">
              <w:rPr>
                <w:b/>
                <w:bCs/>
                <w:sz w:val="20"/>
              </w:rPr>
              <w:t>Expected  b</w:t>
            </w:r>
            <w:r w:rsidR="00982FAA" w:rsidRPr="002E0F74">
              <w:rPr>
                <w:b/>
                <w:bCs/>
                <w:sz w:val="20"/>
              </w:rPr>
              <w:t xml:space="preserve">enefits of </w:t>
            </w:r>
            <w:r w:rsidR="002E0F74">
              <w:rPr>
                <w:b/>
                <w:bCs/>
                <w:sz w:val="20"/>
              </w:rPr>
              <w:t>r</w:t>
            </w:r>
            <w:r w:rsidR="00982FAA" w:rsidRPr="002E0F74">
              <w:rPr>
                <w:b/>
                <w:bCs/>
                <w:sz w:val="20"/>
              </w:rPr>
              <w:t xml:space="preserve">educing the </w:t>
            </w:r>
            <w:r w:rsidR="002E0F74">
              <w:rPr>
                <w:b/>
                <w:bCs/>
                <w:sz w:val="20"/>
              </w:rPr>
              <w:t>a</w:t>
            </w:r>
            <w:r w:rsidR="00982FAA" w:rsidRPr="002E0F74">
              <w:rPr>
                <w:b/>
                <w:bCs/>
                <w:sz w:val="20"/>
              </w:rPr>
              <w:t xml:space="preserve">nnual </w:t>
            </w:r>
            <w:r w:rsidR="002E0F74">
              <w:rPr>
                <w:b/>
                <w:bCs/>
                <w:sz w:val="20"/>
              </w:rPr>
              <w:t>p</w:t>
            </w:r>
            <w:r w:rsidR="00982FAA" w:rsidRPr="002E0F74">
              <w:rPr>
                <w:b/>
                <w:bCs/>
                <w:sz w:val="20"/>
              </w:rPr>
              <w:t xml:space="preserve">robability of </w:t>
            </w:r>
            <w:r w:rsidR="002E0F74">
              <w:rPr>
                <w:b/>
                <w:bCs/>
                <w:sz w:val="20"/>
              </w:rPr>
              <w:t>c</w:t>
            </w:r>
            <w:r w:rsidR="00982FAA" w:rsidRPr="002E0F74">
              <w:rPr>
                <w:b/>
                <w:bCs/>
                <w:sz w:val="20"/>
              </w:rPr>
              <w:t>rises</w:t>
            </w:r>
          </w:p>
        </w:tc>
      </w:tr>
      <w:tr w:rsidR="000E55EF" w:rsidRPr="000E55EF" w:rsidTr="000E55EF">
        <w:trPr>
          <w:trHeight w:val="1020"/>
          <w:jc w:val="center"/>
        </w:trPr>
        <w:tc>
          <w:tcPr>
            <w:tcW w:w="1879" w:type="dxa"/>
            <w:tcBorders>
              <w:top w:val="single" w:sz="4" w:space="0" w:color="auto"/>
              <w:left w:val="single" w:sz="4" w:space="0" w:color="auto"/>
              <w:bottom w:val="single" w:sz="4" w:space="0" w:color="auto"/>
              <w:right w:val="single" w:sz="4" w:space="0" w:color="auto"/>
            </w:tcBorders>
            <w:shd w:val="clear" w:color="auto" w:fill="auto"/>
            <w:vAlign w:val="center"/>
          </w:tcPr>
          <w:p w:rsidR="00982FAA" w:rsidRPr="000E55EF" w:rsidRDefault="00982FAA" w:rsidP="00982FAA">
            <w:pPr>
              <w:jc w:val="center"/>
              <w:rPr>
                <w:sz w:val="18"/>
                <w:szCs w:val="18"/>
              </w:rPr>
            </w:pPr>
            <w:r w:rsidRPr="000E55EF">
              <w:rPr>
                <w:sz w:val="18"/>
                <w:szCs w:val="18"/>
              </w:rPr>
              <w:t>Reduction in probability of crises (in percentage points)</w:t>
            </w:r>
          </w:p>
        </w:tc>
        <w:tc>
          <w:tcPr>
            <w:tcW w:w="1800" w:type="dxa"/>
            <w:tcBorders>
              <w:top w:val="single" w:sz="4" w:space="0" w:color="auto"/>
              <w:left w:val="nil"/>
              <w:bottom w:val="single" w:sz="4" w:space="0" w:color="auto"/>
              <w:right w:val="single" w:sz="4" w:space="0" w:color="auto"/>
            </w:tcBorders>
            <w:shd w:val="clear" w:color="auto" w:fill="auto"/>
            <w:vAlign w:val="center"/>
          </w:tcPr>
          <w:p w:rsidR="00982FAA" w:rsidRPr="000E55EF" w:rsidRDefault="00982FAA" w:rsidP="00982FAA">
            <w:pPr>
              <w:jc w:val="center"/>
              <w:rPr>
                <w:sz w:val="18"/>
                <w:szCs w:val="18"/>
              </w:rPr>
            </w:pPr>
            <w:r w:rsidRPr="000E55EF">
              <w:rPr>
                <w:sz w:val="18"/>
                <w:szCs w:val="18"/>
              </w:rPr>
              <w:t>Crises have no permanent effect on output</w:t>
            </w:r>
          </w:p>
        </w:tc>
        <w:tc>
          <w:tcPr>
            <w:tcW w:w="2160" w:type="dxa"/>
            <w:tcBorders>
              <w:top w:val="single" w:sz="4" w:space="0" w:color="auto"/>
              <w:left w:val="nil"/>
              <w:bottom w:val="single" w:sz="4" w:space="0" w:color="auto"/>
              <w:right w:val="single" w:sz="4" w:space="0" w:color="auto"/>
            </w:tcBorders>
            <w:shd w:val="clear" w:color="auto" w:fill="auto"/>
            <w:vAlign w:val="center"/>
          </w:tcPr>
          <w:p w:rsidR="00982FAA" w:rsidRPr="000E55EF" w:rsidRDefault="00982FAA" w:rsidP="00982FAA">
            <w:pPr>
              <w:jc w:val="center"/>
              <w:rPr>
                <w:sz w:val="18"/>
                <w:szCs w:val="18"/>
              </w:rPr>
            </w:pPr>
            <w:r w:rsidRPr="000E55EF">
              <w:rPr>
                <w:sz w:val="18"/>
                <w:szCs w:val="18"/>
              </w:rPr>
              <w:t>Crises have a long-lasting or small permanent effect on output</w:t>
            </w:r>
          </w:p>
        </w:tc>
        <w:tc>
          <w:tcPr>
            <w:tcW w:w="1851" w:type="dxa"/>
            <w:tcBorders>
              <w:top w:val="single" w:sz="4" w:space="0" w:color="auto"/>
              <w:left w:val="nil"/>
              <w:bottom w:val="single" w:sz="4" w:space="0" w:color="auto"/>
              <w:right w:val="single" w:sz="4" w:space="0" w:color="auto"/>
            </w:tcBorders>
            <w:shd w:val="clear" w:color="auto" w:fill="auto"/>
            <w:vAlign w:val="center"/>
          </w:tcPr>
          <w:p w:rsidR="00982FAA" w:rsidRPr="000E55EF" w:rsidRDefault="00982FAA" w:rsidP="00982FAA">
            <w:pPr>
              <w:jc w:val="center"/>
              <w:rPr>
                <w:sz w:val="18"/>
                <w:szCs w:val="18"/>
              </w:rPr>
            </w:pPr>
            <w:r w:rsidRPr="000E55EF">
              <w:rPr>
                <w:sz w:val="18"/>
                <w:szCs w:val="18"/>
              </w:rPr>
              <w:t>Crises have a large permanent effect on output</w:t>
            </w:r>
          </w:p>
        </w:tc>
      </w:tr>
      <w:tr w:rsidR="000E55EF" w:rsidRPr="002E0F74" w:rsidTr="000E55EF">
        <w:trPr>
          <w:trHeight w:val="255"/>
          <w:jc w:val="center"/>
        </w:trPr>
        <w:tc>
          <w:tcPr>
            <w:tcW w:w="1879" w:type="dxa"/>
            <w:tcBorders>
              <w:top w:val="nil"/>
              <w:left w:val="single" w:sz="4" w:space="0" w:color="auto"/>
              <w:bottom w:val="single" w:sz="4" w:space="0" w:color="auto"/>
              <w:right w:val="single" w:sz="4" w:space="0" w:color="auto"/>
            </w:tcBorders>
            <w:shd w:val="clear" w:color="auto" w:fill="auto"/>
            <w:vAlign w:val="center"/>
          </w:tcPr>
          <w:p w:rsidR="00982FAA" w:rsidRPr="002E0F74" w:rsidRDefault="00982FAA" w:rsidP="00982FAA">
            <w:pPr>
              <w:jc w:val="center"/>
              <w:rPr>
                <w:sz w:val="20"/>
              </w:rPr>
            </w:pPr>
            <w:r w:rsidRPr="002E0F74">
              <w:rPr>
                <w:sz w:val="20"/>
              </w:rPr>
              <w:t>1</w:t>
            </w:r>
          </w:p>
        </w:tc>
        <w:tc>
          <w:tcPr>
            <w:tcW w:w="1800" w:type="dxa"/>
            <w:tcBorders>
              <w:top w:val="nil"/>
              <w:left w:val="nil"/>
              <w:bottom w:val="single" w:sz="4" w:space="0" w:color="auto"/>
              <w:right w:val="single" w:sz="4" w:space="0" w:color="auto"/>
            </w:tcBorders>
            <w:shd w:val="clear" w:color="auto" w:fill="auto"/>
            <w:vAlign w:val="center"/>
          </w:tcPr>
          <w:p w:rsidR="00982FAA" w:rsidRPr="002E0F74" w:rsidRDefault="00982FAA" w:rsidP="00982FAA">
            <w:pPr>
              <w:jc w:val="center"/>
              <w:rPr>
                <w:sz w:val="20"/>
              </w:rPr>
            </w:pPr>
            <w:r w:rsidRPr="002E0F74">
              <w:rPr>
                <w:sz w:val="20"/>
              </w:rPr>
              <w:t>19</w:t>
            </w:r>
            <w:r w:rsidR="00BE3712" w:rsidRPr="002E0F74">
              <w:rPr>
                <w:sz w:val="20"/>
              </w:rPr>
              <w:t>%</w:t>
            </w:r>
          </w:p>
        </w:tc>
        <w:tc>
          <w:tcPr>
            <w:tcW w:w="2160" w:type="dxa"/>
            <w:tcBorders>
              <w:top w:val="nil"/>
              <w:left w:val="nil"/>
              <w:bottom w:val="single" w:sz="4" w:space="0" w:color="auto"/>
              <w:right w:val="single" w:sz="4" w:space="0" w:color="auto"/>
            </w:tcBorders>
            <w:shd w:val="clear" w:color="auto" w:fill="auto"/>
            <w:vAlign w:val="center"/>
          </w:tcPr>
          <w:p w:rsidR="00982FAA" w:rsidRPr="002E0F74" w:rsidRDefault="00982FAA" w:rsidP="00982FAA">
            <w:pPr>
              <w:jc w:val="center"/>
              <w:rPr>
                <w:sz w:val="20"/>
              </w:rPr>
            </w:pPr>
            <w:r w:rsidRPr="002E0F74">
              <w:rPr>
                <w:sz w:val="20"/>
              </w:rPr>
              <w:t>63</w:t>
            </w:r>
            <w:r w:rsidR="00BE3712" w:rsidRPr="002E0F74">
              <w:rPr>
                <w:sz w:val="20"/>
              </w:rPr>
              <w:t>%</w:t>
            </w:r>
          </w:p>
        </w:tc>
        <w:tc>
          <w:tcPr>
            <w:tcW w:w="1851" w:type="dxa"/>
            <w:tcBorders>
              <w:top w:val="nil"/>
              <w:left w:val="nil"/>
              <w:bottom w:val="single" w:sz="4" w:space="0" w:color="auto"/>
              <w:right w:val="single" w:sz="4" w:space="0" w:color="auto"/>
            </w:tcBorders>
            <w:shd w:val="clear" w:color="auto" w:fill="auto"/>
            <w:vAlign w:val="center"/>
          </w:tcPr>
          <w:p w:rsidR="00982FAA" w:rsidRPr="002E0F74" w:rsidRDefault="00BE3712" w:rsidP="00982FAA">
            <w:pPr>
              <w:jc w:val="center"/>
              <w:rPr>
                <w:sz w:val="20"/>
              </w:rPr>
            </w:pPr>
            <w:r w:rsidRPr="002E0F74">
              <w:rPr>
                <w:sz w:val="20"/>
              </w:rPr>
              <w:t>1</w:t>
            </w:r>
            <w:r w:rsidR="00982FAA" w:rsidRPr="002E0F74">
              <w:rPr>
                <w:sz w:val="20"/>
              </w:rPr>
              <w:t>58</w:t>
            </w:r>
            <w:r w:rsidRPr="002E0F74">
              <w:rPr>
                <w:sz w:val="20"/>
              </w:rPr>
              <w:t>%</w:t>
            </w:r>
          </w:p>
        </w:tc>
      </w:tr>
      <w:tr w:rsidR="000E55EF" w:rsidRPr="002E0F74" w:rsidTr="000E55EF">
        <w:trPr>
          <w:trHeight w:val="255"/>
          <w:jc w:val="center"/>
        </w:trPr>
        <w:tc>
          <w:tcPr>
            <w:tcW w:w="1879" w:type="dxa"/>
            <w:tcBorders>
              <w:top w:val="nil"/>
              <w:left w:val="single" w:sz="4" w:space="0" w:color="auto"/>
              <w:bottom w:val="single" w:sz="4" w:space="0" w:color="auto"/>
              <w:right w:val="single" w:sz="4" w:space="0" w:color="auto"/>
            </w:tcBorders>
            <w:shd w:val="clear" w:color="auto" w:fill="auto"/>
            <w:vAlign w:val="center"/>
          </w:tcPr>
          <w:p w:rsidR="00982FAA" w:rsidRPr="002E0F74" w:rsidRDefault="00982FAA" w:rsidP="00982FAA">
            <w:pPr>
              <w:jc w:val="center"/>
              <w:rPr>
                <w:sz w:val="20"/>
              </w:rPr>
            </w:pPr>
            <w:r w:rsidRPr="002E0F74">
              <w:rPr>
                <w:sz w:val="20"/>
              </w:rPr>
              <w:t>2</w:t>
            </w:r>
          </w:p>
        </w:tc>
        <w:tc>
          <w:tcPr>
            <w:tcW w:w="1800" w:type="dxa"/>
            <w:tcBorders>
              <w:top w:val="nil"/>
              <w:left w:val="nil"/>
              <w:bottom w:val="single" w:sz="4" w:space="0" w:color="auto"/>
              <w:right w:val="single" w:sz="4" w:space="0" w:color="auto"/>
            </w:tcBorders>
            <w:shd w:val="clear" w:color="auto" w:fill="auto"/>
            <w:vAlign w:val="center"/>
          </w:tcPr>
          <w:p w:rsidR="00982FAA" w:rsidRPr="002E0F74" w:rsidRDefault="00982FAA" w:rsidP="00982FAA">
            <w:pPr>
              <w:jc w:val="center"/>
              <w:rPr>
                <w:sz w:val="20"/>
              </w:rPr>
            </w:pPr>
            <w:r w:rsidRPr="002E0F74">
              <w:rPr>
                <w:sz w:val="20"/>
              </w:rPr>
              <w:t>38</w:t>
            </w:r>
            <w:r w:rsidR="00BE3712" w:rsidRPr="002E0F74">
              <w:rPr>
                <w:sz w:val="20"/>
              </w:rPr>
              <w:t>%</w:t>
            </w:r>
          </w:p>
        </w:tc>
        <w:tc>
          <w:tcPr>
            <w:tcW w:w="2160" w:type="dxa"/>
            <w:tcBorders>
              <w:top w:val="nil"/>
              <w:left w:val="nil"/>
              <w:bottom w:val="single" w:sz="4" w:space="0" w:color="auto"/>
              <w:right w:val="single" w:sz="4" w:space="0" w:color="auto"/>
            </w:tcBorders>
            <w:shd w:val="clear" w:color="auto" w:fill="auto"/>
            <w:vAlign w:val="center"/>
          </w:tcPr>
          <w:p w:rsidR="00982FAA" w:rsidRPr="002E0F74" w:rsidRDefault="00BE3712" w:rsidP="00982FAA">
            <w:pPr>
              <w:jc w:val="center"/>
              <w:rPr>
                <w:sz w:val="20"/>
              </w:rPr>
            </w:pPr>
            <w:r w:rsidRPr="002E0F74">
              <w:rPr>
                <w:sz w:val="20"/>
              </w:rPr>
              <w:t>1</w:t>
            </w:r>
            <w:r w:rsidR="00982FAA" w:rsidRPr="002E0F74">
              <w:rPr>
                <w:sz w:val="20"/>
              </w:rPr>
              <w:t>26</w:t>
            </w:r>
            <w:r w:rsidRPr="002E0F74">
              <w:rPr>
                <w:sz w:val="20"/>
              </w:rPr>
              <w:t>%</w:t>
            </w:r>
          </w:p>
        </w:tc>
        <w:tc>
          <w:tcPr>
            <w:tcW w:w="1851" w:type="dxa"/>
            <w:tcBorders>
              <w:top w:val="nil"/>
              <w:left w:val="nil"/>
              <w:bottom w:val="single" w:sz="4" w:space="0" w:color="auto"/>
              <w:right w:val="single" w:sz="4" w:space="0" w:color="auto"/>
            </w:tcBorders>
            <w:shd w:val="clear" w:color="auto" w:fill="auto"/>
            <w:vAlign w:val="center"/>
          </w:tcPr>
          <w:p w:rsidR="00982FAA" w:rsidRPr="002E0F74" w:rsidRDefault="00BE3712" w:rsidP="00982FAA">
            <w:pPr>
              <w:jc w:val="center"/>
              <w:rPr>
                <w:sz w:val="20"/>
              </w:rPr>
            </w:pPr>
            <w:r w:rsidRPr="002E0F74">
              <w:rPr>
                <w:sz w:val="20"/>
              </w:rPr>
              <w:t>3</w:t>
            </w:r>
            <w:r w:rsidR="00982FAA" w:rsidRPr="002E0F74">
              <w:rPr>
                <w:sz w:val="20"/>
              </w:rPr>
              <w:t>16</w:t>
            </w:r>
            <w:r w:rsidRPr="002E0F74">
              <w:rPr>
                <w:sz w:val="20"/>
              </w:rPr>
              <w:t>%</w:t>
            </w:r>
          </w:p>
        </w:tc>
      </w:tr>
      <w:tr w:rsidR="000E55EF" w:rsidRPr="002E0F74" w:rsidTr="000E55EF">
        <w:trPr>
          <w:trHeight w:val="255"/>
          <w:jc w:val="center"/>
        </w:trPr>
        <w:tc>
          <w:tcPr>
            <w:tcW w:w="1879" w:type="dxa"/>
            <w:tcBorders>
              <w:top w:val="nil"/>
              <w:left w:val="single" w:sz="4" w:space="0" w:color="auto"/>
              <w:bottom w:val="single" w:sz="4" w:space="0" w:color="auto"/>
              <w:right w:val="single" w:sz="4" w:space="0" w:color="auto"/>
            </w:tcBorders>
            <w:shd w:val="clear" w:color="auto" w:fill="auto"/>
            <w:vAlign w:val="center"/>
          </w:tcPr>
          <w:p w:rsidR="00982FAA" w:rsidRPr="002E0F74" w:rsidRDefault="00982FAA" w:rsidP="00982FAA">
            <w:pPr>
              <w:jc w:val="center"/>
              <w:rPr>
                <w:sz w:val="20"/>
              </w:rPr>
            </w:pPr>
            <w:r w:rsidRPr="002E0F74">
              <w:rPr>
                <w:sz w:val="20"/>
              </w:rPr>
              <w:t>3</w:t>
            </w:r>
          </w:p>
        </w:tc>
        <w:tc>
          <w:tcPr>
            <w:tcW w:w="1800" w:type="dxa"/>
            <w:tcBorders>
              <w:top w:val="nil"/>
              <w:left w:val="nil"/>
              <w:bottom w:val="single" w:sz="4" w:space="0" w:color="auto"/>
              <w:right w:val="single" w:sz="4" w:space="0" w:color="auto"/>
            </w:tcBorders>
            <w:shd w:val="clear" w:color="auto" w:fill="auto"/>
            <w:vAlign w:val="center"/>
          </w:tcPr>
          <w:p w:rsidR="00982FAA" w:rsidRPr="002E0F74" w:rsidRDefault="00982FAA" w:rsidP="00982FAA">
            <w:pPr>
              <w:jc w:val="center"/>
              <w:rPr>
                <w:sz w:val="20"/>
              </w:rPr>
            </w:pPr>
            <w:r w:rsidRPr="002E0F74">
              <w:rPr>
                <w:sz w:val="20"/>
              </w:rPr>
              <w:t>57</w:t>
            </w:r>
            <w:r w:rsidR="00BE3712" w:rsidRPr="002E0F74">
              <w:rPr>
                <w:sz w:val="20"/>
              </w:rPr>
              <w:t>%</w:t>
            </w:r>
          </w:p>
        </w:tc>
        <w:tc>
          <w:tcPr>
            <w:tcW w:w="2160" w:type="dxa"/>
            <w:tcBorders>
              <w:top w:val="nil"/>
              <w:left w:val="nil"/>
              <w:bottom w:val="single" w:sz="4" w:space="0" w:color="auto"/>
              <w:right w:val="single" w:sz="4" w:space="0" w:color="auto"/>
            </w:tcBorders>
            <w:shd w:val="clear" w:color="auto" w:fill="auto"/>
            <w:vAlign w:val="center"/>
          </w:tcPr>
          <w:p w:rsidR="00982FAA" w:rsidRPr="002E0F74" w:rsidRDefault="00BE3712" w:rsidP="00982FAA">
            <w:pPr>
              <w:jc w:val="center"/>
              <w:rPr>
                <w:sz w:val="20"/>
              </w:rPr>
            </w:pPr>
            <w:r w:rsidRPr="002E0F74">
              <w:rPr>
                <w:sz w:val="20"/>
              </w:rPr>
              <w:t>1</w:t>
            </w:r>
            <w:r w:rsidR="00982FAA" w:rsidRPr="002E0F74">
              <w:rPr>
                <w:sz w:val="20"/>
              </w:rPr>
              <w:t>89</w:t>
            </w:r>
            <w:r w:rsidRPr="002E0F74">
              <w:rPr>
                <w:sz w:val="20"/>
              </w:rPr>
              <w:t>%</w:t>
            </w:r>
          </w:p>
        </w:tc>
        <w:tc>
          <w:tcPr>
            <w:tcW w:w="1851" w:type="dxa"/>
            <w:tcBorders>
              <w:top w:val="nil"/>
              <w:left w:val="nil"/>
              <w:bottom w:val="single" w:sz="4" w:space="0" w:color="auto"/>
              <w:right w:val="single" w:sz="4" w:space="0" w:color="auto"/>
            </w:tcBorders>
            <w:shd w:val="clear" w:color="auto" w:fill="auto"/>
            <w:vAlign w:val="center"/>
          </w:tcPr>
          <w:p w:rsidR="00982FAA" w:rsidRPr="002E0F74" w:rsidRDefault="00BE3712" w:rsidP="00982FAA">
            <w:pPr>
              <w:jc w:val="center"/>
              <w:rPr>
                <w:sz w:val="20"/>
              </w:rPr>
            </w:pPr>
            <w:r w:rsidRPr="002E0F74">
              <w:rPr>
                <w:sz w:val="20"/>
              </w:rPr>
              <w:t>4</w:t>
            </w:r>
            <w:r w:rsidR="00982FAA" w:rsidRPr="002E0F74">
              <w:rPr>
                <w:sz w:val="20"/>
              </w:rPr>
              <w:t>74</w:t>
            </w:r>
            <w:r w:rsidRPr="002E0F74">
              <w:rPr>
                <w:sz w:val="20"/>
              </w:rPr>
              <w:t>%</w:t>
            </w:r>
          </w:p>
        </w:tc>
      </w:tr>
      <w:tr w:rsidR="00180E3E" w:rsidRPr="002E0F74" w:rsidTr="000E55EF">
        <w:trPr>
          <w:trHeight w:val="255"/>
          <w:jc w:val="center"/>
        </w:trPr>
        <w:tc>
          <w:tcPr>
            <w:tcW w:w="7690" w:type="dxa"/>
            <w:gridSpan w:val="4"/>
            <w:tcBorders>
              <w:top w:val="nil"/>
              <w:left w:val="nil"/>
              <w:bottom w:val="nil"/>
              <w:right w:val="nil"/>
            </w:tcBorders>
            <w:shd w:val="clear" w:color="auto" w:fill="auto"/>
            <w:noWrap/>
            <w:vAlign w:val="bottom"/>
          </w:tcPr>
          <w:p w:rsidR="00180E3E" w:rsidRPr="002E0F74" w:rsidRDefault="00180E3E" w:rsidP="00180E3E">
            <w:pPr>
              <w:ind w:left="-118" w:right="-118"/>
              <w:rPr>
                <w:sz w:val="20"/>
              </w:rPr>
            </w:pPr>
            <w:r w:rsidRPr="002E0F74">
              <w:rPr>
                <w:sz w:val="16"/>
                <w:szCs w:val="16"/>
              </w:rPr>
              <w:t>Source: Basel Committee on Banking Supervision, “An assessment of the long-term economic impact of stronger capital and liquidity requirements.”  All figures are in percentage of long-run GDP per year.</w:t>
            </w:r>
          </w:p>
        </w:tc>
      </w:tr>
    </w:tbl>
    <w:p w:rsidR="00722276" w:rsidRDefault="007C01B4" w:rsidP="00FD51AF">
      <w:pPr>
        <w:pStyle w:val="Paragraph"/>
        <w:tabs>
          <w:tab w:val="clear" w:pos="720"/>
        </w:tabs>
      </w:pPr>
      <w:r>
        <w:t>Based on this data, the methodology for t</w:t>
      </w:r>
      <w:r w:rsidR="00722276">
        <w:t xml:space="preserve">his analysis </w:t>
      </w:r>
      <w:r w:rsidR="006414DE">
        <w:t>uses the following procedures, inputs and assumptions:</w:t>
      </w:r>
    </w:p>
    <w:p w:rsidR="00722276" w:rsidRDefault="002E0F74" w:rsidP="000715A5">
      <w:pPr>
        <w:pStyle w:val="subpar"/>
        <w:tabs>
          <w:tab w:val="clear" w:pos="1152"/>
        </w:tabs>
      </w:pPr>
      <w:r>
        <w:t>Using the</w:t>
      </w:r>
      <w:r w:rsidR="00722276">
        <w:t xml:space="preserve"> level</w:t>
      </w:r>
      <w:r>
        <w:t>s</w:t>
      </w:r>
      <w:r w:rsidR="00722276">
        <w:t xml:space="preserve"> of reduction in probabi</w:t>
      </w:r>
      <w:r>
        <w:t xml:space="preserve">lity of crises between 1 and 3% defined in the BCBS study as the main framework, the analysis assumes an </w:t>
      </w:r>
      <w:r w:rsidR="00274051">
        <w:t>average</w:t>
      </w:r>
      <w:r>
        <w:t xml:space="preserve"> value </w:t>
      </w:r>
      <w:r w:rsidR="00274051">
        <w:t>for the estimation of benefits: a reduction of the probability of a crisis of 2% as a result of the implementation of the program reforms.</w:t>
      </w:r>
      <w:r w:rsidR="00274051">
        <w:rPr>
          <w:rStyle w:val="FootnoteReference"/>
        </w:rPr>
        <w:footnoteReference w:id="3"/>
      </w:r>
    </w:p>
    <w:p w:rsidR="00722276" w:rsidRDefault="00722276" w:rsidP="000715A5">
      <w:pPr>
        <w:pStyle w:val="subpar"/>
        <w:tabs>
          <w:tab w:val="clear" w:pos="1152"/>
        </w:tabs>
      </w:pPr>
      <w:r>
        <w:lastRenderedPageBreak/>
        <w:t xml:space="preserve">It </w:t>
      </w:r>
      <w:r w:rsidR="004E0E8A">
        <w:t>is</w:t>
      </w:r>
      <w:r>
        <w:t xml:space="preserve"> assumed</w:t>
      </w:r>
      <w:r w:rsidR="004E0E8A">
        <w:t>,</w:t>
      </w:r>
      <w:r>
        <w:t xml:space="preserve"> conservatively</w:t>
      </w:r>
      <w:r w:rsidR="004E0E8A">
        <w:t>,</w:t>
      </w:r>
      <w:r>
        <w:t xml:space="preserve"> that a potential crisis in Suriname would not hav</w:t>
      </w:r>
      <w:r w:rsidR="002172F7">
        <w:t>e a permanent effect on output.</w:t>
      </w:r>
      <w:r w:rsidR="00435E71" w:rsidRPr="00435E71">
        <w:t xml:space="preserve"> </w:t>
      </w:r>
      <w:r w:rsidR="00435E71">
        <w:t>The analysis calculates the present value of the cumulative cost of a crisis for a period of 5 years (considered in this case a no permanent effect).</w:t>
      </w:r>
    </w:p>
    <w:p w:rsidR="00722276" w:rsidRDefault="00C223AC" w:rsidP="000715A5">
      <w:pPr>
        <w:pStyle w:val="subpar"/>
        <w:tabs>
          <w:tab w:val="clear" w:pos="1152"/>
        </w:tabs>
      </w:pPr>
      <w:r>
        <w:t xml:space="preserve">The total benefit was calculated </w:t>
      </w:r>
      <w:r w:rsidR="00722276">
        <w:t xml:space="preserve">according to the chart above, using </w:t>
      </w:r>
      <w:r>
        <w:t>Suriname’s</w:t>
      </w:r>
      <w:r w:rsidR="00722276">
        <w:t xml:space="preserve"> 201</w:t>
      </w:r>
      <w:r w:rsidR="00D023F2">
        <w:t>2</w:t>
      </w:r>
      <w:r w:rsidR="00722276">
        <w:t xml:space="preserve"> </w:t>
      </w:r>
      <w:r>
        <w:t>GDP</w:t>
      </w:r>
      <w:r w:rsidR="00D023F2">
        <w:t xml:space="preserve"> estimations (constant prices) </w:t>
      </w:r>
      <w:r>
        <w:t xml:space="preserve">from the </w:t>
      </w:r>
      <w:r w:rsidR="00D023F2">
        <w:t>IMF</w:t>
      </w:r>
      <w:r>
        <w:t>.</w:t>
      </w:r>
    </w:p>
    <w:p w:rsidR="00722276" w:rsidRDefault="00425C3A" w:rsidP="000715A5">
      <w:pPr>
        <w:pStyle w:val="subpar"/>
        <w:tabs>
          <w:tab w:val="clear" w:pos="1152"/>
        </w:tabs>
      </w:pPr>
      <w:r>
        <w:t>The reduction in lost output</w:t>
      </w:r>
      <w:r w:rsidR="00D023F2">
        <w:t xml:space="preserve"> (GDP)</w:t>
      </w:r>
      <w:r>
        <w:t xml:space="preserve"> estimated by the BCBS use</w:t>
      </w:r>
      <w:r w:rsidR="00D023F2">
        <w:t>s</w:t>
      </w:r>
      <w:r>
        <w:t xml:space="preserve"> a discount rate of 5%. In order to</w:t>
      </w:r>
      <w:r w:rsidR="00EB3824">
        <w:t xml:space="preserve"> </w:t>
      </w:r>
      <w:r>
        <w:t xml:space="preserve">apply the </w:t>
      </w:r>
      <w:r w:rsidR="008F22B2">
        <w:t xml:space="preserve">required </w:t>
      </w:r>
      <w:r>
        <w:t>IDB 12% discount rate, a non-discounted benefit stream was c</w:t>
      </w:r>
      <w:r w:rsidR="004E0E8A">
        <w:t xml:space="preserve">alculated over a </w:t>
      </w:r>
      <w:r w:rsidR="003115FC">
        <w:t>15</w:t>
      </w:r>
      <w:r w:rsidR="004E0E8A">
        <w:t>-</w:t>
      </w:r>
      <w:r w:rsidR="00EB3824">
        <w:t>year period.</w:t>
      </w:r>
      <w:r>
        <w:t xml:space="preserve"> </w:t>
      </w:r>
      <w:r w:rsidR="008F22B2">
        <w:t xml:space="preserve"> To allow for a conservative estimation of benefits, the </w:t>
      </w:r>
      <w:r w:rsidR="004E0E8A">
        <w:t xml:space="preserve">potential </w:t>
      </w:r>
      <w:r w:rsidR="008F22B2">
        <w:t>financial crisis was assumed to take place during the last five years of the period.</w:t>
      </w:r>
    </w:p>
    <w:p w:rsidR="002E0F74" w:rsidRDefault="002E0F74" w:rsidP="000715A5">
      <w:pPr>
        <w:pStyle w:val="subpar"/>
        <w:tabs>
          <w:tab w:val="clear" w:pos="1152"/>
        </w:tabs>
      </w:pPr>
      <w:r>
        <w:t>The PB</w:t>
      </w:r>
      <w:r w:rsidR="00B80CB2">
        <w:t>P</w:t>
      </w:r>
      <w:r>
        <w:t xml:space="preserve"> is </w:t>
      </w:r>
      <w:r w:rsidRPr="00FA7796">
        <w:t>compris</w:t>
      </w:r>
      <w:r>
        <w:t xml:space="preserve">ed of </w:t>
      </w:r>
      <w:r w:rsidRPr="00FA7796">
        <w:t>3 operations of up to US$</w:t>
      </w:r>
      <w:r w:rsidR="00D42748">
        <w:t>155</w:t>
      </w:r>
      <w:r w:rsidRPr="00FA7796">
        <w:t xml:space="preserve"> million </w:t>
      </w:r>
      <w:r>
        <w:t>of</w:t>
      </w:r>
      <w:r w:rsidR="00D42748">
        <w:t xml:space="preserve"> w</w:t>
      </w:r>
      <w:r w:rsidR="00B80CFA">
        <w:t>h</w:t>
      </w:r>
      <w:r w:rsidR="00D42748">
        <w:t>ich</w:t>
      </w:r>
      <w:r>
        <w:t xml:space="preserve"> </w:t>
      </w:r>
      <w:r w:rsidRPr="00FA7796">
        <w:t>Ordinary Capital</w:t>
      </w:r>
      <w:r w:rsidR="00D42748">
        <w:t xml:space="preserve"> is US$105 million and China Co-financing Fund is US$50 million</w:t>
      </w:r>
      <w:r>
        <w:t xml:space="preserve">. For calculations of the costs for this analysis, we have considered the amounts of the first </w:t>
      </w:r>
      <w:r w:rsidR="00B80CB2">
        <w:t xml:space="preserve">loan (US$40 million), the </w:t>
      </w:r>
      <w:r>
        <w:t>second loan</w:t>
      </w:r>
      <w:r w:rsidR="00B80CB2">
        <w:t xml:space="preserve"> (US$1</w:t>
      </w:r>
      <w:r w:rsidR="00D42748">
        <w:t>00</w:t>
      </w:r>
      <w:r w:rsidR="00B80CB2">
        <w:t xml:space="preserve"> million), and the third loan (estimated on US$15 million)</w:t>
      </w:r>
      <w:r>
        <w:t>.</w:t>
      </w:r>
    </w:p>
    <w:p w:rsidR="002E0F74" w:rsidRDefault="002E0F74" w:rsidP="000715A5">
      <w:pPr>
        <w:pStyle w:val="subpar"/>
        <w:tabs>
          <w:tab w:val="clear" w:pos="1152"/>
        </w:tabs>
      </w:pPr>
      <w:r>
        <w:t xml:space="preserve">Additional recurrent costs of implementation have been estimated </w:t>
      </w:r>
      <w:r w:rsidR="00D023F2">
        <w:t>on</w:t>
      </w:r>
      <w:r>
        <w:t xml:space="preserve"> US$1 million</w:t>
      </w:r>
      <w:r w:rsidR="00EC7902">
        <w:t xml:space="preserve">, based on a detailed budget </w:t>
      </w:r>
      <w:r w:rsidR="00FE53E1">
        <w:t>prepared</w:t>
      </w:r>
      <w:r w:rsidR="00EC7902">
        <w:t xml:space="preserve"> by the Central Bank of Suriname, and agreed with the Bank, as part of the preparation of the approved TC SU-T1058 (see ¶1.9 above)</w:t>
      </w:r>
      <w:r>
        <w:t>. Th</w:t>
      </w:r>
      <w:r w:rsidR="00EC7902">
        <w:t>ese recurrent costs</w:t>
      </w:r>
      <w:r>
        <w:t xml:space="preserve"> will be covered by the funds allocated for </w:t>
      </w:r>
      <w:r w:rsidR="00EC7902">
        <w:t>the TC</w:t>
      </w:r>
      <w:r>
        <w:t>, in the amounts of US$820,000 (US$650,000 of financing from the Institutional Strengthening fund and US$170,000 of counterpart financing).</w:t>
      </w:r>
      <w:r>
        <w:rPr>
          <w:rStyle w:val="FootnoteReference"/>
        </w:rPr>
        <w:footnoteReference w:id="4"/>
      </w:r>
      <w:r>
        <w:t xml:space="preserve"> It is assumed that the additional </w:t>
      </w:r>
      <w:r w:rsidR="004E0E8A">
        <w:t xml:space="preserve">funds </w:t>
      </w:r>
      <w:r>
        <w:t xml:space="preserve">to cover the total costs (US$ 180,000) will be </w:t>
      </w:r>
      <w:r w:rsidR="001800BA">
        <w:t xml:space="preserve">additional </w:t>
      </w:r>
      <w:r>
        <w:t>local contributions to the program, including the costs incurred by banks for compliance of new regulation</w:t>
      </w:r>
      <w:r w:rsidR="004E0E8A">
        <w:rPr>
          <w:rStyle w:val="FootnoteReference"/>
        </w:rPr>
        <w:footnoteReference w:id="5"/>
      </w:r>
      <w:r w:rsidR="001C116D">
        <w:t xml:space="preserve"> (see Annex I).</w:t>
      </w:r>
    </w:p>
    <w:p w:rsidR="008B6AB9" w:rsidRDefault="008B6AB9" w:rsidP="008B6AB9">
      <w:pPr>
        <w:pStyle w:val="Paragraph"/>
      </w:pPr>
      <w:r>
        <w:t xml:space="preserve">Given the </w:t>
      </w:r>
      <w:r w:rsidRPr="00FA7796">
        <w:t>complex and dynamic nature</w:t>
      </w:r>
      <w:r>
        <w:t xml:space="preserve"> of the reform process, the present structure will allow a continuing dialogue between the authorities and the IDB to review progress, adjust targets, provide technical assistance, and evaluate the program’s objectives. However, i</w:t>
      </w:r>
      <w:r w:rsidRPr="00453E76">
        <w:t>t is assumed</w:t>
      </w:r>
      <w:r>
        <w:rPr>
          <w:b/>
        </w:rPr>
        <w:t xml:space="preserve"> </w:t>
      </w:r>
      <w:r>
        <w:t>that the reforms proposed by the program will be sustained and continued.</w:t>
      </w:r>
      <w:r>
        <w:rPr>
          <w:rStyle w:val="FootnoteReference"/>
        </w:rPr>
        <w:footnoteReference w:id="6"/>
      </w:r>
    </w:p>
    <w:p w:rsidR="008B6AB9" w:rsidRDefault="008B6AB9" w:rsidP="008B6AB9">
      <w:pPr>
        <w:pStyle w:val="Paragraph"/>
      </w:pPr>
      <w:r>
        <w:t xml:space="preserve">It is also assumed that the complementary Technical Cooperation will provide needed support </w:t>
      </w:r>
      <w:r w:rsidR="00026425">
        <w:t xml:space="preserve">(procedural and financial) </w:t>
      </w:r>
      <w:r>
        <w:t>to the CBvS to help ensure that the reform program is implemented effectively and in a timely manner.</w:t>
      </w:r>
    </w:p>
    <w:p w:rsidR="007C01B4" w:rsidRDefault="007C01B4" w:rsidP="00FD51AF">
      <w:pPr>
        <w:pStyle w:val="Paragraph"/>
        <w:numPr>
          <w:ilvl w:val="0"/>
          <w:numId w:val="0"/>
        </w:numPr>
        <w:ind w:left="720"/>
      </w:pPr>
    </w:p>
    <w:p w:rsidR="007A1979" w:rsidRDefault="007A1979" w:rsidP="007A1979">
      <w:pPr>
        <w:pStyle w:val="Chapter"/>
      </w:pPr>
      <w:r>
        <w:lastRenderedPageBreak/>
        <w:t>Economic Benefits</w:t>
      </w:r>
      <w:r w:rsidR="002E0F74">
        <w:t>,</w:t>
      </w:r>
      <w:r>
        <w:t xml:space="preserve"> Costs</w:t>
      </w:r>
      <w:r w:rsidR="002E0F74">
        <w:t xml:space="preserve"> And Returns</w:t>
      </w:r>
    </w:p>
    <w:p w:rsidR="00435E71" w:rsidRDefault="008B6AB9" w:rsidP="008B6AB9">
      <w:pPr>
        <w:pStyle w:val="Paragraph"/>
      </w:pPr>
      <w:r w:rsidRPr="00435E71">
        <w:rPr>
          <w:b/>
        </w:rPr>
        <w:t xml:space="preserve">Benefits. </w:t>
      </w:r>
      <w:r w:rsidR="004E0E8A">
        <w:t>The economic analysis i</w:t>
      </w:r>
      <w:r w:rsidRPr="00DF7395">
        <w:t xml:space="preserve">s based on </w:t>
      </w:r>
      <w:r>
        <w:t xml:space="preserve">an estimation </w:t>
      </w:r>
      <w:r w:rsidRPr="00DF7395">
        <w:t>of the</w:t>
      </w:r>
      <w:r>
        <w:t xml:space="preserve"> cost savings due to a</w:t>
      </w:r>
      <w:r w:rsidRPr="00DF7395">
        <w:t xml:space="preserve"> reduction on the probability of a </w:t>
      </w:r>
      <w:r>
        <w:t>banking crisis</w:t>
      </w:r>
      <w:r w:rsidR="00170F22">
        <w:t xml:space="preserve"> (see ¶2.5, assumption “a” and “b”)</w:t>
      </w:r>
      <w:r>
        <w:t>. The savings on</w:t>
      </w:r>
      <w:r w:rsidRPr="00DF7395">
        <w:t xml:space="preserve"> </w:t>
      </w:r>
      <w:r>
        <w:t>estimated</w:t>
      </w:r>
      <w:r w:rsidRPr="00DF7395">
        <w:t xml:space="preserve"> </w:t>
      </w:r>
      <w:r>
        <w:t>annual fiscal costs, otherwise incurred on</w:t>
      </w:r>
      <w:r w:rsidRPr="00DF7395">
        <w:t xml:space="preserve"> weathering a c</w:t>
      </w:r>
      <w:r>
        <w:t>risis in the absence of the proposed reforms, constitute the program’s economic benefits</w:t>
      </w:r>
      <w:r w:rsidRPr="00DF7395">
        <w:t>.</w:t>
      </w:r>
      <w:r w:rsidR="00435E71">
        <w:t xml:space="preserve"> For practical purposes, the allocation has been distributed equally, and in order to give the analysis a more conservative approach the values have been accounted for throughout the</w:t>
      </w:r>
      <w:r w:rsidR="00170F22">
        <w:t xml:space="preserve"> last five years of projection (see ¶2.5, assumption “d”); </w:t>
      </w:r>
      <w:r w:rsidR="00435E71">
        <w:t>the later a crisis happens, the lesser the value of the savings from implementing measures to reducing its impact today.</w:t>
      </w:r>
    </w:p>
    <w:p w:rsidR="008B6AB9" w:rsidRDefault="008B6AB9" w:rsidP="008B6AB9">
      <w:pPr>
        <w:pStyle w:val="Paragraph"/>
        <w:tabs>
          <w:tab w:val="clear" w:pos="720"/>
        </w:tabs>
      </w:pPr>
      <w:r>
        <w:rPr>
          <w:b/>
        </w:rPr>
        <w:t>Costs.</w:t>
      </w:r>
      <w:r>
        <w:t xml:space="preserve"> On the cost side, the expenses incurred for the implementation of such reforms have been estimated, adding up to the cost of the loan. Hence, the total costs of the program include the repayment of the loans (first</w:t>
      </w:r>
      <w:r w:rsidR="00AA7FCD">
        <w:t>,</w:t>
      </w:r>
      <w:r>
        <w:t xml:space="preserve"> second</w:t>
      </w:r>
      <w:r w:rsidR="00AA7FCD">
        <w:t xml:space="preserve"> and third</w:t>
      </w:r>
      <w:r>
        <w:t xml:space="preserve"> programmatic loans)</w:t>
      </w:r>
      <w:r w:rsidR="00170F22">
        <w:t>, the technical cooperation funds</w:t>
      </w:r>
      <w:r w:rsidR="00B704D2">
        <w:t xml:space="preserve"> and the costs related to the</w:t>
      </w:r>
      <w:r>
        <w:t xml:space="preserve"> implementation of the reforms</w:t>
      </w:r>
      <w:r w:rsidR="00B704D2">
        <w:t xml:space="preserve"> incurred by the public sector</w:t>
      </w:r>
      <w:r w:rsidR="00170F22">
        <w:t xml:space="preserve"> (see ¶2.5, assumptions “e” and “f”)</w:t>
      </w:r>
      <w:r>
        <w:t>.</w:t>
      </w:r>
    </w:p>
    <w:p w:rsidR="00170F22" w:rsidRDefault="00540924" w:rsidP="00170F22">
      <w:pPr>
        <w:pStyle w:val="Paragraph"/>
        <w:numPr>
          <w:ilvl w:val="1"/>
          <w:numId w:val="10"/>
        </w:numPr>
        <w:tabs>
          <w:tab w:val="clear" w:pos="720"/>
        </w:tabs>
      </w:pPr>
      <w:r>
        <w:t>It is important to mention that</w:t>
      </w:r>
      <w:r w:rsidR="005A127A">
        <w:t xml:space="preserve"> in addition t</w:t>
      </w:r>
      <w:r w:rsidR="00722276">
        <w:t>o the actual reduction in the loss of output</w:t>
      </w:r>
      <w:r>
        <w:t>, the p</w:t>
      </w:r>
      <w:r w:rsidR="005A127A">
        <w:t xml:space="preserve">rogram </w:t>
      </w:r>
      <w:r w:rsidR="00EB3824">
        <w:t xml:space="preserve">should also </w:t>
      </w:r>
      <w:r w:rsidR="004E0E8A">
        <w:t xml:space="preserve">deliver </w:t>
      </w:r>
      <w:r w:rsidR="005A127A">
        <w:t>a series of positive externalities</w:t>
      </w:r>
      <w:r w:rsidR="00F62EDE">
        <w:t xml:space="preserve"> that result from the increased access to finance that the reforms should facilitate. These externalities </w:t>
      </w:r>
      <w:r w:rsidR="002463F4">
        <w:t>include a more</w:t>
      </w:r>
      <w:r w:rsidR="00F62EDE">
        <w:t xml:space="preserve"> rapid, diversified</w:t>
      </w:r>
      <w:r w:rsidR="002172F7">
        <w:t>, and sustained economic growth,</w:t>
      </w:r>
      <w:r w:rsidR="00170F22">
        <w:rPr>
          <w:rStyle w:val="FootnoteReference"/>
        </w:rPr>
        <w:footnoteReference w:id="7"/>
      </w:r>
      <w:r w:rsidR="00170F22">
        <w:rPr>
          <w:rStyle w:val="FootnoteReference"/>
        </w:rPr>
        <w:t>,</w:t>
      </w:r>
      <w:r w:rsidR="00170F22">
        <w:rPr>
          <w:rStyle w:val="FootnoteReference"/>
        </w:rPr>
        <w:footnoteReference w:id="8"/>
      </w:r>
      <w:r w:rsidR="002172F7">
        <w:t xml:space="preserve"> although i</w:t>
      </w:r>
      <w:r w:rsidR="00F62EDE">
        <w:t>t is very difficul</w:t>
      </w:r>
      <w:r w:rsidR="002172F7">
        <w:t xml:space="preserve">t to estimate the </w:t>
      </w:r>
      <w:r w:rsidR="00F62EDE">
        <w:t>degree</w:t>
      </w:r>
      <w:r w:rsidR="002172F7">
        <w:t xml:space="preserve"> up to which</w:t>
      </w:r>
      <w:r w:rsidR="00F62EDE">
        <w:t xml:space="preserve"> this increased access to finance will generate </w:t>
      </w:r>
      <w:r w:rsidR="002172F7">
        <w:t xml:space="preserve">additional </w:t>
      </w:r>
      <w:r w:rsidR="00170F22">
        <w:t>economic benefits.</w:t>
      </w:r>
    </w:p>
    <w:p w:rsidR="008771C4" w:rsidRDefault="002172F7" w:rsidP="006641D6">
      <w:pPr>
        <w:pStyle w:val="Paragraph"/>
        <w:tabs>
          <w:tab w:val="clear" w:pos="720"/>
        </w:tabs>
      </w:pPr>
      <w:r>
        <w:t xml:space="preserve">The net present value of the benefits, projected for a span of </w:t>
      </w:r>
      <w:r w:rsidR="003115FC">
        <w:t xml:space="preserve">15 </w:t>
      </w:r>
      <w:r>
        <w:t>years is US$</w:t>
      </w:r>
      <w:r w:rsidR="00A054B8">
        <w:t>686.4</w:t>
      </w:r>
      <w:r>
        <w:t xml:space="preserve"> million. </w:t>
      </w:r>
      <w:r w:rsidR="00F441CE">
        <w:t xml:space="preserve">The </w:t>
      </w:r>
      <w:r w:rsidR="00722276">
        <w:t>net p</w:t>
      </w:r>
      <w:r w:rsidR="00F441CE">
        <w:t>resent value of costs is</w:t>
      </w:r>
      <w:r w:rsidR="00A657E3">
        <w:t xml:space="preserve"> US$</w:t>
      </w:r>
      <w:r w:rsidR="00B80CFA">
        <w:t>49.5</w:t>
      </w:r>
      <w:r w:rsidR="00722276">
        <w:t xml:space="preserve"> million.</w:t>
      </w:r>
      <w:bookmarkEnd w:id="3"/>
      <w:bookmarkEnd w:id="4"/>
      <w:r w:rsidR="00D023F2">
        <w:t xml:space="preserve"> Comparing</w:t>
      </w:r>
      <w:r w:rsidR="00F441CE">
        <w:t xml:space="preserve"> the</w:t>
      </w:r>
      <w:r w:rsidR="00D023F2">
        <w:t>se figures</w:t>
      </w:r>
      <w:r w:rsidR="00F441CE">
        <w:t>, the net benefits</w:t>
      </w:r>
      <w:r w:rsidR="00C223AC">
        <w:t xml:space="preserve"> for th</w:t>
      </w:r>
      <w:r w:rsidR="00645484">
        <w:t>e</w:t>
      </w:r>
      <w:r w:rsidR="00C223AC">
        <w:t xml:space="preserve"> p</w:t>
      </w:r>
      <w:r w:rsidR="00EA5799" w:rsidRPr="00EA5799">
        <w:t>rogram</w:t>
      </w:r>
      <w:r w:rsidR="00C223AC">
        <w:t xml:space="preserve"> </w:t>
      </w:r>
      <w:r>
        <w:t>(</w:t>
      </w:r>
      <w:r w:rsidR="00C223AC">
        <w:t>discounted at a rate of 12%</w:t>
      </w:r>
      <w:r w:rsidR="00EA5799" w:rsidRPr="00EA5799">
        <w:t xml:space="preserve"> </w:t>
      </w:r>
      <w:r w:rsidR="00F441CE">
        <w:t xml:space="preserve">and </w:t>
      </w:r>
      <w:r w:rsidR="00EA5799" w:rsidRPr="00EA5799">
        <w:t>base</w:t>
      </w:r>
      <w:r w:rsidR="007C3F86">
        <w:t>d</w:t>
      </w:r>
      <w:r w:rsidR="00C223AC">
        <w:t xml:space="preserve"> on a </w:t>
      </w:r>
      <w:r w:rsidR="003115FC">
        <w:t>15</w:t>
      </w:r>
      <w:r w:rsidR="00FD51AF" w:rsidRPr="00EA5799">
        <w:t>-year</w:t>
      </w:r>
      <w:r w:rsidR="00EA5799" w:rsidRPr="00EA5799">
        <w:t xml:space="preserve"> term</w:t>
      </w:r>
      <w:r w:rsidR="004F139A">
        <w:t xml:space="preserve"> by which the loan </w:t>
      </w:r>
      <w:r w:rsidR="00D023F2">
        <w:t>is assumed to</w:t>
      </w:r>
      <w:r w:rsidR="004F139A">
        <w:t xml:space="preserve"> have been repaid</w:t>
      </w:r>
      <w:r>
        <w:t>)</w:t>
      </w:r>
      <w:r w:rsidR="00EA5799" w:rsidRPr="00EA5799">
        <w:t xml:space="preserve"> </w:t>
      </w:r>
      <w:r w:rsidR="004F139A">
        <w:t>result</w:t>
      </w:r>
      <w:r w:rsidR="00EA5799">
        <w:t xml:space="preserve"> on a positive present value of </w:t>
      </w:r>
      <w:r w:rsidR="00375CC7" w:rsidRPr="0060167A">
        <w:t>US</w:t>
      </w:r>
      <w:r w:rsidR="00D023F2">
        <w:t>$</w:t>
      </w:r>
      <w:r w:rsidR="00B80CFA">
        <w:t>636.9</w:t>
      </w:r>
      <w:r w:rsidR="00A657E3">
        <w:t xml:space="preserve"> million</w:t>
      </w:r>
      <w:r w:rsidR="00AA7FCD">
        <w:t xml:space="preserve"> (see Annex II)</w:t>
      </w:r>
      <w:r w:rsidR="00A657E3">
        <w:t>.</w:t>
      </w:r>
    </w:p>
    <w:p w:rsidR="000E55EF" w:rsidRPr="000E55EF" w:rsidRDefault="000E55EF" w:rsidP="00B704D2">
      <w:pPr>
        <w:pStyle w:val="Paragraph"/>
        <w:numPr>
          <w:ilvl w:val="0"/>
          <w:numId w:val="0"/>
        </w:numPr>
        <w:spacing w:after="0"/>
        <w:ind w:left="720"/>
        <w:rPr>
          <w:b/>
          <w:sz w:val="20"/>
          <w:szCs w:val="20"/>
        </w:rPr>
      </w:pPr>
      <w:r w:rsidRPr="000E55EF">
        <w:rPr>
          <w:b/>
          <w:sz w:val="20"/>
          <w:szCs w:val="20"/>
        </w:rPr>
        <w:t>Table 2</w:t>
      </w:r>
      <w:r>
        <w:rPr>
          <w:b/>
          <w:sz w:val="20"/>
          <w:szCs w:val="20"/>
        </w:rPr>
        <w:t>:</w:t>
      </w:r>
      <w:r w:rsidRPr="000E55EF">
        <w:rPr>
          <w:b/>
          <w:sz w:val="20"/>
          <w:szCs w:val="20"/>
        </w:rPr>
        <w:t xml:space="preserve"> </w:t>
      </w:r>
      <w:r w:rsidR="00B704D2">
        <w:rPr>
          <w:b/>
          <w:sz w:val="20"/>
          <w:szCs w:val="20"/>
        </w:rPr>
        <w:t xml:space="preserve">Summary of Cost Benefit Analysis – PBP NPV </w:t>
      </w:r>
      <w:r>
        <w:rPr>
          <w:b/>
          <w:sz w:val="20"/>
          <w:szCs w:val="20"/>
        </w:rPr>
        <w:t>(thousands of USD)</w:t>
      </w:r>
    </w:p>
    <w:tbl>
      <w:tblPr>
        <w:tblW w:w="657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0"/>
        <w:gridCol w:w="2520"/>
      </w:tblGrid>
      <w:tr w:rsidR="00B704D2" w:rsidRPr="00FD51AF" w:rsidTr="00B704D2">
        <w:trPr>
          <w:trHeight w:val="512"/>
        </w:trPr>
        <w:tc>
          <w:tcPr>
            <w:tcW w:w="4050" w:type="dxa"/>
            <w:shd w:val="clear" w:color="auto" w:fill="auto"/>
            <w:vAlign w:val="center"/>
          </w:tcPr>
          <w:p w:rsidR="00B704D2" w:rsidRPr="00FD51AF" w:rsidRDefault="00B704D2" w:rsidP="00412A47">
            <w:pPr>
              <w:rPr>
                <w:rFonts w:cs="Arial"/>
                <w:sz w:val="20"/>
              </w:rPr>
            </w:pPr>
            <w:r w:rsidRPr="00B704D2">
              <w:rPr>
                <w:rFonts w:cs="Arial"/>
                <w:sz w:val="20"/>
              </w:rPr>
              <w:t>NPV of Benefits</w:t>
            </w:r>
          </w:p>
        </w:tc>
        <w:tc>
          <w:tcPr>
            <w:tcW w:w="2520" w:type="dxa"/>
            <w:shd w:val="clear" w:color="auto" w:fill="auto"/>
            <w:vAlign w:val="center"/>
          </w:tcPr>
          <w:p w:rsidR="00B704D2" w:rsidRPr="00FD51AF" w:rsidRDefault="00B704D2" w:rsidP="00B704D2">
            <w:pPr>
              <w:jc w:val="right"/>
              <w:rPr>
                <w:rFonts w:cs="Arial"/>
                <w:sz w:val="20"/>
              </w:rPr>
            </w:pPr>
            <w:r w:rsidRPr="00B704D2">
              <w:rPr>
                <w:rFonts w:cs="Arial"/>
                <w:sz w:val="20"/>
              </w:rPr>
              <w:t>$686,430</w:t>
            </w:r>
          </w:p>
        </w:tc>
      </w:tr>
      <w:tr w:rsidR="00B704D2" w:rsidRPr="00FD51AF" w:rsidTr="00B704D2">
        <w:trPr>
          <w:trHeight w:val="512"/>
        </w:trPr>
        <w:tc>
          <w:tcPr>
            <w:tcW w:w="4050" w:type="dxa"/>
            <w:shd w:val="clear" w:color="auto" w:fill="auto"/>
            <w:vAlign w:val="center"/>
          </w:tcPr>
          <w:p w:rsidR="00B704D2" w:rsidRPr="00FD51AF" w:rsidRDefault="00B704D2" w:rsidP="00412A47">
            <w:pPr>
              <w:rPr>
                <w:rFonts w:cs="Arial"/>
                <w:sz w:val="20"/>
              </w:rPr>
            </w:pPr>
            <w:r w:rsidRPr="00B704D2">
              <w:rPr>
                <w:rFonts w:cs="Arial"/>
                <w:sz w:val="20"/>
              </w:rPr>
              <w:t>NPV of Costs</w:t>
            </w:r>
          </w:p>
        </w:tc>
        <w:tc>
          <w:tcPr>
            <w:tcW w:w="2520" w:type="dxa"/>
            <w:shd w:val="clear" w:color="auto" w:fill="auto"/>
            <w:vAlign w:val="center"/>
          </w:tcPr>
          <w:p w:rsidR="00B704D2" w:rsidRPr="00FD51AF" w:rsidRDefault="003115FC" w:rsidP="00B80CFA">
            <w:pPr>
              <w:jc w:val="right"/>
              <w:rPr>
                <w:rFonts w:cs="Arial"/>
                <w:sz w:val="20"/>
              </w:rPr>
            </w:pPr>
            <w:r w:rsidRPr="003115FC">
              <w:rPr>
                <w:rFonts w:cs="Arial"/>
                <w:sz w:val="20"/>
              </w:rPr>
              <w:t>$</w:t>
            </w:r>
            <w:r w:rsidR="00B80CFA">
              <w:rPr>
                <w:rFonts w:cs="Arial"/>
                <w:sz w:val="20"/>
              </w:rPr>
              <w:t>49,523</w:t>
            </w:r>
          </w:p>
        </w:tc>
      </w:tr>
      <w:tr w:rsidR="00B704D2" w:rsidRPr="00B704D2" w:rsidTr="00B704D2">
        <w:trPr>
          <w:trHeight w:val="512"/>
        </w:trPr>
        <w:tc>
          <w:tcPr>
            <w:tcW w:w="4050" w:type="dxa"/>
            <w:shd w:val="clear" w:color="auto" w:fill="D9D9D9" w:themeFill="background1" w:themeFillShade="D9"/>
            <w:vAlign w:val="center"/>
          </w:tcPr>
          <w:p w:rsidR="00B704D2" w:rsidRPr="00B704D2" w:rsidRDefault="00B704D2" w:rsidP="00412A47">
            <w:pPr>
              <w:rPr>
                <w:rFonts w:cs="Arial"/>
                <w:b/>
                <w:sz w:val="20"/>
              </w:rPr>
            </w:pPr>
            <w:r w:rsidRPr="00B704D2">
              <w:rPr>
                <w:rFonts w:cs="Arial"/>
                <w:b/>
                <w:sz w:val="20"/>
              </w:rPr>
              <w:t>NPV of Programmatic PBL</w:t>
            </w:r>
          </w:p>
        </w:tc>
        <w:tc>
          <w:tcPr>
            <w:tcW w:w="2520" w:type="dxa"/>
            <w:shd w:val="clear" w:color="auto" w:fill="D9D9D9" w:themeFill="background1" w:themeFillShade="D9"/>
            <w:vAlign w:val="center"/>
          </w:tcPr>
          <w:p w:rsidR="00B704D2" w:rsidRPr="00B704D2" w:rsidRDefault="00B704D2" w:rsidP="00B80CFA">
            <w:pPr>
              <w:jc w:val="right"/>
              <w:rPr>
                <w:rFonts w:cs="Arial"/>
                <w:b/>
                <w:sz w:val="20"/>
              </w:rPr>
            </w:pPr>
            <w:r w:rsidRPr="00B704D2">
              <w:rPr>
                <w:rFonts w:cs="Arial"/>
                <w:b/>
                <w:sz w:val="20"/>
              </w:rPr>
              <w:t>$</w:t>
            </w:r>
            <w:r w:rsidR="00B80CFA">
              <w:rPr>
                <w:rFonts w:cs="Arial"/>
                <w:b/>
                <w:bCs/>
                <w:sz w:val="20"/>
              </w:rPr>
              <w:t>636,907</w:t>
            </w:r>
          </w:p>
        </w:tc>
      </w:tr>
    </w:tbl>
    <w:p w:rsidR="008771C4" w:rsidRDefault="008771C4" w:rsidP="000E55EF">
      <w:pPr>
        <w:pStyle w:val="Paragraph"/>
        <w:numPr>
          <w:ilvl w:val="0"/>
          <w:numId w:val="0"/>
        </w:numPr>
        <w:spacing w:before="0"/>
        <w:ind w:left="-360"/>
      </w:pPr>
    </w:p>
    <w:p w:rsidR="006641D6" w:rsidRPr="007C3F86" w:rsidRDefault="006641D6" w:rsidP="006641D6">
      <w:pPr>
        <w:pStyle w:val="Paragraph"/>
        <w:tabs>
          <w:tab w:val="clear" w:pos="720"/>
        </w:tabs>
      </w:pPr>
      <w:r w:rsidRPr="007C3F86">
        <w:t>It is important to reiterate that these calculations are based on a conservative scenario where the shock of a crisis does not have a permanent effect in the economy of the country</w:t>
      </w:r>
      <w:r>
        <w:t xml:space="preserve"> and that the only aspect considered are the losses of output for the country</w:t>
      </w:r>
      <w:r w:rsidRPr="007C3F86">
        <w:t>.</w:t>
      </w:r>
      <w:r>
        <w:t xml:space="preserve"> </w:t>
      </w:r>
    </w:p>
    <w:p w:rsidR="006641D6" w:rsidRDefault="006641D6" w:rsidP="006641D6">
      <w:pPr>
        <w:pStyle w:val="Paragraph"/>
        <w:numPr>
          <w:ilvl w:val="0"/>
          <w:numId w:val="0"/>
        </w:numPr>
        <w:ind w:left="720"/>
      </w:pPr>
    </w:p>
    <w:p w:rsidR="006641D6" w:rsidRDefault="006641D6" w:rsidP="006641D6">
      <w:pPr>
        <w:pStyle w:val="Chapter"/>
      </w:pPr>
      <w:r>
        <w:t>Sensitivity Analysis</w:t>
      </w:r>
    </w:p>
    <w:p w:rsidR="00A60D4C" w:rsidRDefault="002172F7" w:rsidP="000715A5">
      <w:pPr>
        <w:pStyle w:val="Paragraph"/>
        <w:tabs>
          <w:tab w:val="clear" w:pos="720"/>
        </w:tabs>
      </w:pPr>
      <w:r>
        <w:t>For t</w:t>
      </w:r>
      <w:r w:rsidR="006641D6">
        <w:t xml:space="preserve">he </w:t>
      </w:r>
      <w:r>
        <w:t>sensitivity</w:t>
      </w:r>
      <w:r w:rsidR="006641D6">
        <w:t xml:space="preserve"> analysis</w:t>
      </w:r>
      <w:r>
        <w:t xml:space="preserve">, </w:t>
      </w:r>
      <w:r w:rsidR="00364A5C">
        <w:t xml:space="preserve">a set of three key assumptions used for </w:t>
      </w:r>
      <w:r>
        <w:t xml:space="preserve">the calculations </w:t>
      </w:r>
      <w:r w:rsidR="00364A5C">
        <w:t>have been varied in order to measure the tolerance of the calculations above in relation with its economic viability.</w:t>
      </w:r>
    </w:p>
    <w:p w:rsidR="006641D6" w:rsidRDefault="00364A5C" w:rsidP="000715A5">
      <w:pPr>
        <w:pStyle w:val="Paragraph"/>
        <w:tabs>
          <w:tab w:val="clear" w:pos="720"/>
        </w:tabs>
      </w:pPr>
      <w:r>
        <w:t xml:space="preserve">The parameters used are: i) the assumed </w:t>
      </w:r>
      <w:r w:rsidR="006641D6">
        <w:t>rate of reduction of the probability of a crisis</w:t>
      </w:r>
      <w:r>
        <w:t xml:space="preserve">, from the 2% used above to a </w:t>
      </w:r>
      <w:r w:rsidR="006641D6">
        <w:t>1%</w:t>
      </w:r>
      <w:r>
        <w:t xml:space="preserve"> and a 3% (following the three levels established in the BIS report); ii) the assumed implementation costs, increasing them to twice (2x) and five times (5x) the assumed value; and iii) the tenor of the cash flows in which the shock and effect of a potential crisis is assumed to occur</w:t>
      </w:r>
      <w:r w:rsidR="00E56418">
        <w:t>.</w:t>
      </w:r>
    </w:p>
    <w:p w:rsidR="0016712A" w:rsidRDefault="00364A5C" w:rsidP="00FD51AF">
      <w:pPr>
        <w:pStyle w:val="Paragraph"/>
        <w:tabs>
          <w:tab w:val="clear" w:pos="720"/>
        </w:tabs>
      </w:pPr>
      <w:r>
        <w:t>A summary of the results of this exercise are shown in the table below:</w:t>
      </w:r>
    </w:p>
    <w:p w:rsidR="005B4D32" w:rsidRDefault="000E55EF" w:rsidP="0007053D">
      <w:pPr>
        <w:pStyle w:val="Paragraph"/>
        <w:numPr>
          <w:ilvl w:val="0"/>
          <w:numId w:val="0"/>
        </w:numPr>
        <w:spacing w:after="0"/>
        <w:ind w:left="720"/>
      </w:pPr>
      <w:r w:rsidRPr="000E55EF">
        <w:rPr>
          <w:b/>
          <w:sz w:val="20"/>
          <w:szCs w:val="20"/>
        </w:rPr>
        <w:t xml:space="preserve">Table 3: </w:t>
      </w:r>
      <w:r>
        <w:rPr>
          <w:b/>
          <w:sz w:val="20"/>
          <w:szCs w:val="20"/>
        </w:rPr>
        <w:t>Summary of sensitivity analysis</w:t>
      </w:r>
    </w:p>
    <w:tbl>
      <w:tblPr>
        <w:tblW w:w="9700" w:type="dxa"/>
        <w:tblInd w:w="93" w:type="dxa"/>
        <w:tblLook w:val="04A0" w:firstRow="1" w:lastRow="0" w:firstColumn="1" w:lastColumn="0" w:noHBand="0" w:noVBand="1"/>
      </w:tblPr>
      <w:tblGrid>
        <w:gridCol w:w="3435"/>
        <w:gridCol w:w="2250"/>
        <w:gridCol w:w="1980"/>
        <w:gridCol w:w="2035"/>
      </w:tblGrid>
      <w:tr w:rsidR="0007053D" w:rsidRPr="0007053D" w:rsidTr="0007053D">
        <w:trPr>
          <w:trHeight w:val="510"/>
        </w:trPr>
        <w:tc>
          <w:tcPr>
            <w:tcW w:w="3435" w:type="dxa"/>
            <w:tcBorders>
              <w:top w:val="single" w:sz="12" w:space="0" w:color="auto"/>
              <w:left w:val="single" w:sz="12" w:space="0" w:color="auto"/>
              <w:bottom w:val="single" w:sz="2" w:space="0" w:color="auto"/>
              <w:right w:val="single" w:sz="2" w:space="0" w:color="auto"/>
            </w:tcBorders>
            <w:shd w:val="clear" w:color="auto" w:fill="auto"/>
            <w:vAlign w:val="center"/>
            <w:hideMark/>
          </w:tcPr>
          <w:p w:rsidR="0007053D" w:rsidRPr="0007053D" w:rsidRDefault="0007053D" w:rsidP="0007053D">
            <w:pPr>
              <w:rPr>
                <w:b/>
                <w:bCs/>
                <w:sz w:val="20"/>
                <w:szCs w:val="20"/>
              </w:rPr>
            </w:pPr>
            <w:r w:rsidRPr="0007053D">
              <w:rPr>
                <w:b/>
                <w:bCs/>
                <w:sz w:val="20"/>
                <w:szCs w:val="20"/>
              </w:rPr>
              <w:t>Reduction in probability of crisis</w:t>
            </w:r>
          </w:p>
        </w:tc>
        <w:tc>
          <w:tcPr>
            <w:tcW w:w="2250" w:type="dxa"/>
            <w:tcBorders>
              <w:top w:val="single" w:sz="12" w:space="0" w:color="auto"/>
              <w:left w:val="single" w:sz="2" w:space="0" w:color="auto"/>
              <w:bottom w:val="single" w:sz="2" w:space="0" w:color="auto"/>
            </w:tcBorders>
            <w:shd w:val="clear" w:color="auto" w:fill="auto"/>
            <w:vAlign w:val="center"/>
            <w:hideMark/>
          </w:tcPr>
          <w:p w:rsidR="0007053D" w:rsidRPr="0007053D" w:rsidRDefault="0007053D" w:rsidP="0007053D">
            <w:pPr>
              <w:jc w:val="center"/>
              <w:rPr>
                <w:b/>
                <w:bCs/>
                <w:sz w:val="20"/>
                <w:szCs w:val="20"/>
              </w:rPr>
            </w:pPr>
            <w:r w:rsidRPr="0007053D">
              <w:rPr>
                <w:b/>
                <w:bCs/>
                <w:sz w:val="20"/>
                <w:szCs w:val="20"/>
              </w:rPr>
              <w:t>1%</w:t>
            </w:r>
          </w:p>
        </w:tc>
        <w:tc>
          <w:tcPr>
            <w:tcW w:w="1980" w:type="dxa"/>
            <w:tcBorders>
              <w:top w:val="single" w:sz="12" w:space="0" w:color="auto"/>
              <w:bottom w:val="single" w:sz="2" w:space="0" w:color="auto"/>
            </w:tcBorders>
            <w:shd w:val="clear" w:color="auto" w:fill="F2F2F2" w:themeFill="background1" w:themeFillShade="F2"/>
            <w:vAlign w:val="center"/>
            <w:hideMark/>
          </w:tcPr>
          <w:p w:rsidR="0007053D" w:rsidRPr="0007053D" w:rsidRDefault="0007053D" w:rsidP="0007053D">
            <w:pPr>
              <w:jc w:val="center"/>
              <w:rPr>
                <w:b/>
                <w:bCs/>
                <w:sz w:val="20"/>
                <w:szCs w:val="20"/>
              </w:rPr>
            </w:pPr>
            <w:r w:rsidRPr="0007053D">
              <w:rPr>
                <w:b/>
                <w:bCs/>
                <w:sz w:val="20"/>
                <w:szCs w:val="20"/>
              </w:rPr>
              <w:t>2%</w:t>
            </w:r>
            <w:r>
              <w:rPr>
                <w:b/>
                <w:bCs/>
                <w:sz w:val="20"/>
                <w:szCs w:val="20"/>
              </w:rPr>
              <w:t xml:space="preserve"> (base)</w:t>
            </w:r>
          </w:p>
        </w:tc>
        <w:tc>
          <w:tcPr>
            <w:tcW w:w="2035" w:type="dxa"/>
            <w:tcBorders>
              <w:top w:val="single" w:sz="12" w:space="0" w:color="auto"/>
              <w:bottom w:val="single" w:sz="2" w:space="0" w:color="auto"/>
              <w:right w:val="single" w:sz="12" w:space="0" w:color="auto"/>
            </w:tcBorders>
            <w:shd w:val="clear" w:color="auto" w:fill="auto"/>
            <w:vAlign w:val="center"/>
            <w:hideMark/>
          </w:tcPr>
          <w:p w:rsidR="0007053D" w:rsidRPr="0007053D" w:rsidRDefault="0007053D" w:rsidP="0007053D">
            <w:pPr>
              <w:jc w:val="center"/>
              <w:rPr>
                <w:b/>
                <w:bCs/>
                <w:sz w:val="20"/>
                <w:szCs w:val="20"/>
              </w:rPr>
            </w:pPr>
            <w:r w:rsidRPr="0007053D">
              <w:rPr>
                <w:b/>
                <w:bCs/>
                <w:sz w:val="20"/>
                <w:szCs w:val="20"/>
              </w:rPr>
              <w:t>3%</w:t>
            </w:r>
          </w:p>
        </w:tc>
      </w:tr>
      <w:tr w:rsidR="0007053D" w:rsidRPr="0007053D" w:rsidTr="0007053D">
        <w:trPr>
          <w:trHeight w:val="445"/>
        </w:trPr>
        <w:tc>
          <w:tcPr>
            <w:tcW w:w="3435" w:type="dxa"/>
            <w:tcBorders>
              <w:top w:val="single" w:sz="2" w:space="0" w:color="auto"/>
              <w:left w:val="single" w:sz="12" w:space="0" w:color="auto"/>
              <w:bottom w:val="single" w:sz="12" w:space="0" w:color="auto"/>
              <w:right w:val="single" w:sz="2" w:space="0" w:color="auto"/>
            </w:tcBorders>
            <w:shd w:val="clear" w:color="auto" w:fill="auto"/>
            <w:vAlign w:val="center"/>
            <w:hideMark/>
          </w:tcPr>
          <w:p w:rsidR="0007053D" w:rsidRPr="0007053D" w:rsidRDefault="0007053D" w:rsidP="0007053D">
            <w:pPr>
              <w:rPr>
                <w:b/>
                <w:bCs/>
                <w:sz w:val="20"/>
                <w:szCs w:val="20"/>
              </w:rPr>
            </w:pPr>
            <w:r>
              <w:rPr>
                <w:b/>
                <w:sz w:val="20"/>
                <w:szCs w:val="20"/>
              </w:rPr>
              <w:t>Program NPV (thousands of USD)</w:t>
            </w:r>
          </w:p>
        </w:tc>
        <w:tc>
          <w:tcPr>
            <w:tcW w:w="2250" w:type="dxa"/>
            <w:tcBorders>
              <w:top w:val="single" w:sz="2" w:space="0" w:color="auto"/>
              <w:left w:val="single" w:sz="2" w:space="0" w:color="auto"/>
              <w:bottom w:val="single" w:sz="12" w:space="0" w:color="auto"/>
            </w:tcBorders>
            <w:shd w:val="clear" w:color="auto" w:fill="auto"/>
            <w:vAlign w:val="center"/>
            <w:hideMark/>
          </w:tcPr>
          <w:p w:rsidR="0007053D" w:rsidRPr="0007053D" w:rsidRDefault="0007053D" w:rsidP="00BE722A">
            <w:pPr>
              <w:jc w:val="center"/>
              <w:rPr>
                <w:sz w:val="20"/>
                <w:szCs w:val="20"/>
              </w:rPr>
            </w:pPr>
            <w:r>
              <w:rPr>
                <w:sz w:val="20"/>
                <w:szCs w:val="20"/>
              </w:rPr>
              <w:t xml:space="preserve"> $ </w:t>
            </w:r>
            <w:r w:rsidR="002C7EED">
              <w:rPr>
                <w:sz w:val="20"/>
                <w:szCs w:val="20"/>
              </w:rPr>
              <w:t>293,692</w:t>
            </w:r>
            <w:r w:rsidRPr="0007053D">
              <w:rPr>
                <w:sz w:val="20"/>
                <w:szCs w:val="20"/>
              </w:rPr>
              <w:t xml:space="preserve"> </w:t>
            </w:r>
          </w:p>
        </w:tc>
        <w:tc>
          <w:tcPr>
            <w:tcW w:w="1980" w:type="dxa"/>
            <w:tcBorders>
              <w:top w:val="single" w:sz="2" w:space="0" w:color="auto"/>
              <w:bottom w:val="single" w:sz="12" w:space="0" w:color="auto"/>
            </w:tcBorders>
            <w:shd w:val="clear" w:color="000000" w:fill="F2F2F2"/>
            <w:vAlign w:val="center"/>
            <w:hideMark/>
          </w:tcPr>
          <w:p w:rsidR="0007053D" w:rsidRPr="0007053D" w:rsidRDefault="0007053D" w:rsidP="002C7EED">
            <w:pPr>
              <w:jc w:val="center"/>
              <w:rPr>
                <w:b/>
                <w:bCs/>
                <w:sz w:val="20"/>
                <w:szCs w:val="20"/>
              </w:rPr>
            </w:pPr>
            <w:r w:rsidRPr="0007053D">
              <w:rPr>
                <w:b/>
                <w:bCs/>
                <w:sz w:val="20"/>
                <w:szCs w:val="20"/>
              </w:rPr>
              <w:t xml:space="preserve"> $</w:t>
            </w:r>
            <w:r w:rsidR="002C7EED">
              <w:rPr>
                <w:b/>
                <w:bCs/>
                <w:sz w:val="20"/>
                <w:szCs w:val="20"/>
              </w:rPr>
              <w:t>636,907</w:t>
            </w:r>
            <w:r w:rsidRPr="0007053D">
              <w:rPr>
                <w:b/>
                <w:bCs/>
                <w:sz w:val="20"/>
                <w:szCs w:val="20"/>
              </w:rPr>
              <w:t xml:space="preserve"> </w:t>
            </w:r>
          </w:p>
        </w:tc>
        <w:tc>
          <w:tcPr>
            <w:tcW w:w="2035" w:type="dxa"/>
            <w:tcBorders>
              <w:top w:val="single" w:sz="2" w:space="0" w:color="auto"/>
              <w:bottom w:val="single" w:sz="12" w:space="0" w:color="auto"/>
              <w:right w:val="single" w:sz="12" w:space="0" w:color="auto"/>
            </w:tcBorders>
            <w:shd w:val="clear" w:color="auto" w:fill="auto"/>
            <w:vAlign w:val="center"/>
            <w:hideMark/>
          </w:tcPr>
          <w:p w:rsidR="0007053D" w:rsidRPr="0007053D" w:rsidRDefault="0007053D" w:rsidP="00BE722A">
            <w:pPr>
              <w:jc w:val="center"/>
              <w:rPr>
                <w:sz w:val="20"/>
                <w:szCs w:val="20"/>
              </w:rPr>
            </w:pPr>
            <w:r w:rsidRPr="0007053D">
              <w:rPr>
                <w:sz w:val="20"/>
                <w:szCs w:val="20"/>
              </w:rPr>
              <w:t xml:space="preserve"> $</w:t>
            </w:r>
            <w:r w:rsidR="002C7EED">
              <w:rPr>
                <w:sz w:val="20"/>
                <w:szCs w:val="20"/>
              </w:rPr>
              <w:t>980,122</w:t>
            </w:r>
            <w:r w:rsidRPr="0007053D">
              <w:rPr>
                <w:sz w:val="20"/>
                <w:szCs w:val="20"/>
              </w:rPr>
              <w:t xml:space="preserve"> </w:t>
            </w:r>
          </w:p>
        </w:tc>
      </w:tr>
      <w:tr w:rsidR="0007053D" w:rsidRPr="0007053D" w:rsidTr="0007053D">
        <w:trPr>
          <w:trHeight w:val="501"/>
        </w:trPr>
        <w:tc>
          <w:tcPr>
            <w:tcW w:w="3435" w:type="dxa"/>
            <w:tcBorders>
              <w:top w:val="single" w:sz="12" w:space="0" w:color="auto"/>
              <w:left w:val="single" w:sz="12" w:space="0" w:color="auto"/>
              <w:bottom w:val="single" w:sz="2" w:space="0" w:color="auto"/>
              <w:right w:val="single" w:sz="2" w:space="0" w:color="auto"/>
            </w:tcBorders>
            <w:shd w:val="clear" w:color="auto" w:fill="auto"/>
            <w:vAlign w:val="center"/>
            <w:hideMark/>
          </w:tcPr>
          <w:p w:rsidR="0007053D" w:rsidRPr="0007053D" w:rsidRDefault="0007053D" w:rsidP="0007053D">
            <w:pPr>
              <w:rPr>
                <w:b/>
                <w:bCs/>
                <w:sz w:val="20"/>
                <w:szCs w:val="20"/>
              </w:rPr>
            </w:pPr>
            <w:r w:rsidRPr="0007053D">
              <w:rPr>
                <w:b/>
                <w:bCs/>
                <w:sz w:val="20"/>
                <w:szCs w:val="20"/>
              </w:rPr>
              <w:t>Assumed costs of implementation</w:t>
            </w:r>
          </w:p>
        </w:tc>
        <w:tc>
          <w:tcPr>
            <w:tcW w:w="2250" w:type="dxa"/>
            <w:tcBorders>
              <w:top w:val="single" w:sz="12" w:space="0" w:color="auto"/>
              <w:left w:val="single" w:sz="2" w:space="0" w:color="auto"/>
              <w:bottom w:val="single" w:sz="2" w:space="0" w:color="auto"/>
            </w:tcBorders>
            <w:shd w:val="clear" w:color="auto" w:fill="F2F2F2" w:themeFill="background1" w:themeFillShade="F2"/>
            <w:vAlign w:val="center"/>
            <w:hideMark/>
          </w:tcPr>
          <w:p w:rsidR="0007053D" w:rsidRPr="0007053D" w:rsidRDefault="0007053D" w:rsidP="0007053D">
            <w:pPr>
              <w:jc w:val="center"/>
              <w:rPr>
                <w:sz w:val="20"/>
                <w:szCs w:val="20"/>
              </w:rPr>
            </w:pPr>
            <w:r>
              <w:rPr>
                <w:sz w:val="20"/>
                <w:szCs w:val="20"/>
              </w:rPr>
              <w:t xml:space="preserve"> </w:t>
            </w:r>
            <w:r w:rsidRPr="0007053D">
              <w:rPr>
                <w:sz w:val="20"/>
                <w:szCs w:val="20"/>
              </w:rPr>
              <w:t>USD 1 million</w:t>
            </w:r>
            <w:r>
              <w:rPr>
                <w:sz w:val="20"/>
                <w:szCs w:val="20"/>
              </w:rPr>
              <w:t xml:space="preserve"> (base</w:t>
            </w:r>
            <w:r w:rsidRPr="0007053D">
              <w:rPr>
                <w:sz w:val="20"/>
                <w:szCs w:val="20"/>
              </w:rPr>
              <w:t xml:space="preserve">) </w:t>
            </w:r>
          </w:p>
        </w:tc>
        <w:tc>
          <w:tcPr>
            <w:tcW w:w="1980" w:type="dxa"/>
            <w:tcBorders>
              <w:top w:val="single" w:sz="12" w:space="0" w:color="auto"/>
              <w:bottom w:val="single" w:sz="2" w:space="0" w:color="auto"/>
            </w:tcBorders>
            <w:shd w:val="clear" w:color="000000" w:fill="FFFFFF"/>
            <w:vAlign w:val="center"/>
            <w:hideMark/>
          </w:tcPr>
          <w:p w:rsidR="0007053D" w:rsidRPr="0007053D" w:rsidRDefault="0007053D" w:rsidP="0007053D">
            <w:pPr>
              <w:jc w:val="center"/>
              <w:rPr>
                <w:sz w:val="20"/>
                <w:szCs w:val="20"/>
              </w:rPr>
            </w:pPr>
            <w:r>
              <w:rPr>
                <w:sz w:val="20"/>
                <w:szCs w:val="20"/>
              </w:rPr>
              <w:t xml:space="preserve"> </w:t>
            </w:r>
            <w:r w:rsidRPr="0007053D">
              <w:rPr>
                <w:sz w:val="20"/>
                <w:szCs w:val="20"/>
              </w:rPr>
              <w:t>USD 2 million</w:t>
            </w:r>
            <w:r>
              <w:rPr>
                <w:sz w:val="20"/>
                <w:szCs w:val="20"/>
              </w:rPr>
              <w:t xml:space="preserve"> (2x</w:t>
            </w:r>
            <w:r w:rsidRPr="0007053D">
              <w:rPr>
                <w:sz w:val="20"/>
                <w:szCs w:val="20"/>
              </w:rPr>
              <w:t>)</w:t>
            </w:r>
          </w:p>
        </w:tc>
        <w:tc>
          <w:tcPr>
            <w:tcW w:w="2035" w:type="dxa"/>
            <w:tcBorders>
              <w:top w:val="single" w:sz="12" w:space="0" w:color="auto"/>
              <w:bottom w:val="single" w:sz="2" w:space="0" w:color="auto"/>
              <w:right w:val="single" w:sz="12" w:space="0" w:color="auto"/>
            </w:tcBorders>
            <w:shd w:val="clear" w:color="000000" w:fill="FFFFFF"/>
            <w:vAlign w:val="center"/>
            <w:hideMark/>
          </w:tcPr>
          <w:p w:rsidR="0007053D" w:rsidRPr="0007053D" w:rsidRDefault="0007053D" w:rsidP="0007053D">
            <w:pPr>
              <w:jc w:val="center"/>
              <w:rPr>
                <w:sz w:val="20"/>
                <w:szCs w:val="20"/>
              </w:rPr>
            </w:pPr>
            <w:r>
              <w:rPr>
                <w:sz w:val="20"/>
                <w:szCs w:val="20"/>
              </w:rPr>
              <w:t xml:space="preserve"> </w:t>
            </w:r>
            <w:r w:rsidRPr="0007053D">
              <w:rPr>
                <w:sz w:val="20"/>
                <w:szCs w:val="20"/>
              </w:rPr>
              <w:t>USD 5 million</w:t>
            </w:r>
            <w:r>
              <w:rPr>
                <w:sz w:val="20"/>
                <w:szCs w:val="20"/>
              </w:rPr>
              <w:t xml:space="preserve"> (5x</w:t>
            </w:r>
            <w:r w:rsidRPr="0007053D">
              <w:rPr>
                <w:sz w:val="20"/>
                <w:szCs w:val="20"/>
              </w:rPr>
              <w:t xml:space="preserve">) </w:t>
            </w:r>
          </w:p>
        </w:tc>
      </w:tr>
      <w:tr w:rsidR="0007053D" w:rsidRPr="0007053D" w:rsidTr="0007053D">
        <w:trPr>
          <w:trHeight w:val="454"/>
        </w:trPr>
        <w:tc>
          <w:tcPr>
            <w:tcW w:w="3435" w:type="dxa"/>
            <w:tcBorders>
              <w:top w:val="single" w:sz="2" w:space="0" w:color="auto"/>
              <w:left w:val="single" w:sz="12" w:space="0" w:color="auto"/>
              <w:bottom w:val="single" w:sz="12" w:space="0" w:color="auto"/>
              <w:right w:val="single" w:sz="2" w:space="0" w:color="auto"/>
            </w:tcBorders>
            <w:shd w:val="clear" w:color="auto" w:fill="auto"/>
            <w:vAlign w:val="center"/>
            <w:hideMark/>
          </w:tcPr>
          <w:p w:rsidR="0007053D" w:rsidRPr="0007053D" w:rsidRDefault="0007053D" w:rsidP="003F305E">
            <w:pPr>
              <w:rPr>
                <w:b/>
                <w:bCs/>
                <w:sz w:val="20"/>
                <w:szCs w:val="20"/>
              </w:rPr>
            </w:pPr>
            <w:r>
              <w:rPr>
                <w:b/>
                <w:sz w:val="20"/>
                <w:szCs w:val="20"/>
              </w:rPr>
              <w:t>Program NPV (thousands of USD)</w:t>
            </w:r>
          </w:p>
        </w:tc>
        <w:tc>
          <w:tcPr>
            <w:tcW w:w="2250" w:type="dxa"/>
            <w:tcBorders>
              <w:top w:val="single" w:sz="2" w:space="0" w:color="auto"/>
              <w:left w:val="single" w:sz="2" w:space="0" w:color="auto"/>
              <w:bottom w:val="single" w:sz="12" w:space="0" w:color="auto"/>
            </w:tcBorders>
            <w:shd w:val="clear" w:color="000000" w:fill="F2F2F2"/>
            <w:vAlign w:val="center"/>
            <w:hideMark/>
          </w:tcPr>
          <w:p w:rsidR="0007053D" w:rsidRPr="0007053D" w:rsidRDefault="0007053D" w:rsidP="002C7EED">
            <w:pPr>
              <w:jc w:val="center"/>
              <w:rPr>
                <w:b/>
                <w:bCs/>
                <w:sz w:val="20"/>
                <w:szCs w:val="20"/>
              </w:rPr>
            </w:pPr>
            <w:r w:rsidRPr="0007053D">
              <w:rPr>
                <w:b/>
                <w:bCs/>
                <w:sz w:val="20"/>
                <w:szCs w:val="20"/>
              </w:rPr>
              <w:t xml:space="preserve"> </w:t>
            </w:r>
            <w:r w:rsidR="00432F6E">
              <w:rPr>
                <w:b/>
                <w:bCs/>
                <w:sz w:val="20"/>
                <w:szCs w:val="20"/>
              </w:rPr>
              <w:t>$</w:t>
            </w:r>
            <w:r w:rsidR="002C7EED">
              <w:rPr>
                <w:b/>
                <w:bCs/>
                <w:sz w:val="20"/>
                <w:szCs w:val="20"/>
              </w:rPr>
              <w:t>636,907</w:t>
            </w:r>
          </w:p>
        </w:tc>
        <w:tc>
          <w:tcPr>
            <w:tcW w:w="1980" w:type="dxa"/>
            <w:tcBorders>
              <w:top w:val="single" w:sz="2" w:space="0" w:color="auto"/>
              <w:bottom w:val="single" w:sz="12" w:space="0" w:color="auto"/>
            </w:tcBorders>
            <w:shd w:val="clear" w:color="000000" w:fill="FFFFFF"/>
            <w:vAlign w:val="center"/>
            <w:hideMark/>
          </w:tcPr>
          <w:p w:rsidR="0007053D" w:rsidRPr="0007053D" w:rsidRDefault="0007053D" w:rsidP="00BE722A">
            <w:pPr>
              <w:jc w:val="center"/>
              <w:rPr>
                <w:sz w:val="20"/>
                <w:szCs w:val="20"/>
              </w:rPr>
            </w:pPr>
            <w:r w:rsidRPr="0007053D">
              <w:rPr>
                <w:sz w:val="20"/>
                <w:szCs w:val="20"/>
              </w:rPr>
              <w:t xml:space="preserve"> $</w:t>
            </w:r>
            <w:r w:rsidR="00BE722A">
              <w:rPr>
                <w:sz w:val="20"/>
                <w:szCs w:val="20"/>
              </w:rPr>
              <w:t>636,152</w:t>
            </w:r>
            <w:r w:rsidRPr="0007053D">
              <w:rPr>
                <w:sz w:val="20"/>
                <w:szCs w:val="20"/>
              </w:rPr>
              <w:t xml:space="preserve"> </w:t>
            </w:r>
          </w:p>
        </w:tc>
        <w:tc>
          <w:tcPr>
            <w:tcW w:w="2035" w:type="dxa"/>
            <w:tcBorders>
              <w:top w:val="single" w:sz="2" w:space="0" w:color="auto"/>
              <w:bottom w:val="single" w:sz="12" w:space="0" w:color="auto"/>
              <w:right w:val="single" w:sz="12" w:space="0" w:color="auto"/>
            </w:tcBorders>
            <w:shd w:val="clear" w:color="auto" w:fill="auto"/>
            <w:vAlign w:val="center"/>
            <w:hideMark/>
          </w:tcPr>
          <w:p w:rsidR="0007053D" w:rsidRPr="0007053D" w:rsidRDefault="0007053D">
            <w:pPr>
              <w:jc w:val="center"/>
              <w:rPr>
                <w:sz w:val="20"/>
                <w:szCs w:val="20"/>
              </w:rPr>
            </w:pPr>
            <w:r w:rsidRPr="0007053D">
              <w:rPr>
                <w:sz w:val="20"/>
                <w:szCs w:val="20"/>
              </w:rPr>
              <w:t xml:space="preserve"> $</w:t>
            </w:r>
            <w:r w:rsidR="00BE722A">
              <w:rPr>
                <w:sz w:val="20"/>
                <w:szCs w:val="20"/>
              </w:rPr>
              <w:t>633,889</w:t>
            </w:r>
            <w:r w:rsidRPr="0007053D">
              <w:rPr>
                <w:sz w:val="20"/>
                <w:szCs w:val="20"/>
              </w:rPr>
              <w:t xml:space="preserve"> </w:t>
            </w:r>
          </w:p>
        </w:tc>
      </w:tr>
      <w:tr w:rsidR="0007053D" w:rsidRPr="0007053D" w:rsidTr="0007053D">
        <w:trPr>
          <w:trHeight w:val="255"/>
        </w:trPr>
        <w:tc>
          <w:tcPr>
            <w:tcW w:w="3435" w:type="dxa"/>
            <w:tcBorders>
              <w:top w:val="single" w:sz="12" w:space="0" w:color="auto"/>
              <w:left w:val="single" w:sz="12" w:space="0" w:color="auto"/>
              <w:bottom w:val="single" w:sz="2" w:space="0" w:color="auto"/>
              <w:right w:val="single" w:sz="2" w:space="0" w:color="auto"/>
            </w:tcBorders>
            <w:shd w:val="clear" w:color="auto" w:fill="auto"/>
            <w:vAlign w:val="center"/>
            <w:hideMark/>
          </w:tcPr>
          <w:p w:rsidR="0007053D" w:rsidRPr="0007053D" w:rsidRDefault="0007053D" w:rsidP="0007053D">
            <w:pPr>
              <w:rPr>
                <w:b/>
                <w:bCs/>
                <w:sz w:val="20"/>
                <w:szCs w:val="20"/>
              </w:rPr>
            </w:pPr>
            <w:r w:rsidRPr="0007053D">
              <w:rPr>
                <w:b/>
                <w:bCs/>
                <w:sz w:val="20"/>
                <w:szCs w:val="20"/>
              </w:rPr>
              <w:t>Tenor of cash flows assumed for crisis shock and effect</w:t>
            </w:r>
          </w:p>
        </w:tc>
        <w:tc>
          <w:tcPr>
            <w:tcW w:w="2250" w:type="dxa"/>
            <w:tcBorders>
              <w:top w:val="single" w:sz="12" w:space="0" w:color="auto"/>
              <w:left w:val="single" w:sz="2" w:space="0" w:color="auto"/>
              <w:bottom w:val="single" w:sz="2" w:space="0" w:color="auto"/>
            </w:tcBorders>
            <w:shd w:val="clear" w:color="auto" w:fill="F2F2F2" w:themeFill="background1" w:themeFillShade="F2"/>
            <w:vAlign w:val="center"/>
            <w:hideMark/>
          </w:tcPr>
          <w:p w:rsidR="0007053D" w:rsidRPr="0007053D" w:rsidRDefault="0007053D" w:rsidP="0007053D">
            <w:pPr>
              <w:jc w:val="center"/>
              <w:rPr>
                <w:sz w:val="20"/>
                <w:szCs w:val="20"/>
              </w:rPr>
            </w:pPr>
            <w:r w:rsidRPr="0007053D">
              <w:rPr>
                <w:sz w:val="20"/>
                <w:szCs w:val="20"/>
              </w:rPr>
              <w:t xml:space="preserve"> 15 years </w:t>
            </w:r>
            <w:r>
              <w:rPr>
                <w:sz w:val="20"/>
                <w:szCs w:val="20"/>
              </w:rPr>
              <w:t>(base)</w:t>
            </w:r>
          </w:p>
        </w:tc>
        <w:tc>
          <w:tcPr>
            <w:tcW w:w="1980" w:type="dxa"/>
            <w:tcBorders>
              <w:top w:val="single" w:sz="12" w:space="0" w:color="auto"/>
              <w:bottom w:val="single" w:sz="2" w:space="0" w:color="auto"/>
            </w:tcBorders>
            <w:shd w:val="clear" w:color="000000" w:fill="FFFFFF"/>
            <w:vAlign w:val="center"/>
            <w:hideMark/>
          </w:tcPr>
          <w:p w:rsidR="0007053D" w:rsidRPr="0007053D" w:rsidRDefault="0007053D" w:rsidP="0007053D">
            <w:pPr>
              <w:jc w:val="center"/>
              <w:rPr>
                <w:sz w:val="20"/>
                <w:szCs w:val="20"/>
              </w:rPr>
            </w:pPr>
            <w:r w:rsidRPr="0007053D">
              <w:rPr>
                <w:sz w:val="20"/>
                <w:szCs w:val="20"/>
              </w:rPr>
              <w:t xml:space="preserve"> 20 years </w:t>
            </w:r>
          </w:p>
        </w:tc>
        <w:tc>
          <w:tcPr>
            <w:tcW w:w="2035" w:type="dxa"/>
            <w:tcBorders>
              <w:top w:val="single" w:sz="12" w:space="0" w:color="auto"/>
              <w:bottom w:val="single" w:sz="2" w:space="0" w:color="auto"/>
              <w:right w:val="single" w:sz="12" w:space="0" w:color="auto"/>
            </w:tcBorders>
            <w:shd w:val="clear" w:color="auto" w:fill="auto"/>
            <w:vAlign w:val="center"/>
            <w:hideMark/>
          </w:tcPr>
          <w:p w:rsidR="0007053D" w:rsidRPr="0007053D" w:rsidRDefault="0007053D" w:rsidP="0007053D">
            <w:pPr>
              <w:jc w:val="center"/>
              <w:rPr>
                <w:sz w:val="20"/>
                <w:szCs w:val="20"/>
              </w:rPr>
            </w:pPr>
            <w:r w:rsidRPr="0007053D">
              <w:rPr>
                <w:sz w:val="20"/>
                <w:szCs w:val="20"/>
              </w:rPr>
              <w:t xml:space="preserve"> 25 years </w:t>
            </w:r>
          </w:p>
        </w:tc>
      </w:tr>
      <w:tr w:rsidR="0007053D" w:rsidRPr="0007053D" w:rsidTr="0007053D">
        <w:trPr>
          <w:trHeight w:val="499"/>
        </w:trPr>
        <w:tc>
          <w:tcPr>
            <w:tcW w:w="3435" w:type="dxa"/>
            <w:tcBorders>
              <w:top w:val="single" w:sz="2" w:space="0" w:color="auto"/>
              <w:left w:val="single" w:sz="12" w:space="0" w:color="auto"/>
              <w:bottom w:val="single" w:sz="12" w:space="0" w:color="auto"/>
              <w:right w:val="single" w:sz="2" w:space="0" w:color="auto"/>
            </w:tcBorders>
            <w:shd w:val="clear" w:color="auto" w:fill="auto"/>
            <w:vAlign w:val="center"/>
            <w:hideMark/>
          </w:tcPr>
          <w:p w:rsidR="0007053D" w:rsidRPr="0007053D" w:rsidRDefault="0007053D" w:rsidP="003F305E">
            <w:pPr>
              <w:rPr>
                <w:b/>
                <w:bCs/>
                <w:sz w:val="20"/>
                <w:szCs w:val="20"/>
              </w:rPr>
            </w:pPr>
            <w:r>
              <w:rPr>
                <w:b/>
                <w:sz w:val="20"/>
                <w:szCs w:val="20"/>
              </w:rPr>
              <w:t>Program NPV (thousands of USD)</w:t>
            </w:r>
          </w:p>
        </w:tc>
        <w:tc>
          <w:tcPr>
            <w:tcW w:w="2250" w:type="dxa"/>
            <w:tcBorders>
              <w:top w:val="single" w:sz="2" w:space="0" w:color="auto"/>
              <w:left w:val="single" w:sz="2" w:space="0" w:color="auto"/>
              <w:bottom w:val="single" w:sz="12" w:space="0" w:color="auto"/>
            </w:tcBorders>
            <w:shd w:val="clear" w:color="000000" w:fill="F2F2F2"/>
            <w:vAlign w:val="center"/>
            <w:hideMark/>
          </w:tcPr>
          <w:p w:rsidR="0007053D" w:rsidRPr="0007053D" w:rsidRDefault="0007053D" w:rsidP="002C7EED">
            <w:pPr>
              <w:jc w:val="center"/>
              <w:rPr>
                <w:b/>
                <w:bCs/>
                <w:sz w:val="20"/>
                <w:szCs w:val="20"/>
              </w:rPr>
            </w:pPr>
            <w:r w:rsidRPr="0007053D">
              <w:rPr>
                <w:b/>
                <w:bCs/>
                <w:sz w:val="20"/>
                <w:szCs w:val="20"/>
              </w:rPr>
              <w:t xml:space="preserve"> $</w:t>
            </w:r>
            <w:r w:rsidR="002C7EED">
              <w:rPr>
                <w:b/>
                <w:bCs/>
                <w:sz w:val="20"/>
                <w:szCs w:val="20"/>
              </w:rPr>
              <w:t>636,907</w:t>
            </w:r>
          </w:p>
        </w:tc>
        <w:tc>
          <w:tcPr>
            <w:tcW w:w="1980" w:type="dxa"/>
            <w:tcBorders>
              <w:top w:val="single" w:sz="2" w:space="0" w:color="auto"/>
              <w:bottom w:val="single" w:sz="12" w:space="0" w:color="auto"/>
            </w:tcBorders>
            <w:shd w:val="clear" w:color="000000" w:fill="FFFFFF"/>
            <w:vAlign w:val="center"/>
            <w:hideMark/>
          </w:tcPr>
          <w:p w:rsidR="0007053D" w:rsidRPr="0007053D" w:rsidRDefault="0007053D">
            <w:pPr>
              <w:jc w:val="center"/>
              <w:rPr>
                <w:sz w:val="20"/>
                <w:szCs w:val="20"/>
              </w:rPr>
            </w:pPr>
            <w:r w:rsidRPr="0007053D">
              <w:rPr>
                <w:sz w:val="20"/>
                <w:szCs w:val="20"/>
              </w:rPr>
              <w:t xml:space="preserve"> $</w:t>
            </w:r>
            <w:r w:rsidR="00BE722A">
              <w:rPr>
                <w:sz w:val="20"/>
                <w:szCs w:val="20"/>
              </w:rPr>
              <w:t>419,823</w:t>
            </w:r>
            <w:r w:rsidRPr="0007053D">
              <w:rPr>
                <w:sz w:val="20"/>
                <w:szCs w:val="20"/>
              </w:rPr>
              <w:t xml:space="preserve"> </w:t>
            </w:r>
          </w:p>
        </w:tc>
        <w:tc>
          <w:tcPr>
            <w:tcW w:w="2035" w:type="dxa"/>
            <w:tcBorders>
              <w:top w:val="single" w:sz="2" w:space="0" w:color="auto"/>
              <w:bottom w:val="single" w:sz="12" w:space="0" w:color="auto"/>
              <w:right w:val="single" w:sz="12" w:space="0" w:color="auto"/>
            </w:tcBorders>
            <w:shd w:val="clear" w:color="auto" w:fill="auto"/>
            <w:vAlign w:val="center"/>
            <w:hideMark/>
          </w:tcPr>
          <w:p w:rsidR="0007053D" w:rsidRPr="0007053D" w:rsidRDefault="0007053D">
            <w:pPr>
              <w:jc w:val="center"/>
              <w:rPr>
                <w:sz w:val="20"/>
                <w:szCs w:val="20"/>
              </w:rPr>
            </w:pPr>
            <w:r w:rsidRPr="0007053D">
              <w:rPr>
                <w:sz w:val="20"/>
                <w:szCs w:val="20"/>
              </w:rPr>
              <w:t xml:space="preserve"> $</w:t>
            </w:r>
            <w:r w:rsidR="00694C3A">
              <w:rPr>
                <w:sz w:val="20"/>
                <w:szCs w:val="20"/>
              </w:rPr>
              <w:t>270,725</w:t>
            </w:r>
            <w:r w:rsidRPr="0007053D">
              <w:rPr>
                <w:sz w:val="20"/>
                <w:szCs w:val="20"/>
              </w:rPr>
              <w:t xml:space="preserve"> </w:t>
            </w:r>
          </w:p>
        </w:tc>
      </w:tr>
    </w:tbl>
    <w:p w:rsidR="0007053D" w:rsidRDefault="0007053D" w:rsidP="005B4D32"/>
    <w:p w:rsidR="00B00559" w:rsidRPr="005B4D32" w:rsidRDefault="00B00559" w:rsidP="005B4D32"/>
    <w:p w:rsidR="00375CC7" w:rsidRPr="005B4D32" w:rsidRDefault="005B4D32" w:rsidP="00375CC7">
      <w:pPr>
        <w:pStyle w:val="Chapter"/>
      </w:pPr>
      <w:r>
        <w:t>Conclusions</w:t>
      </w:r>
    </w:p>
    <w:p w:rsidR="007365AE" w:rsidRDefault="00A546E3" w:rsidP="008F22B2">
      <w:pPr>
        <w:pStyle w:val="Paragraph"/>
        <w:tabs>
          <w:tab w:val="clear" w:pos="720"/>
        </w:tabs>
      </w:pPr>
      <w:r w:rsidRPr="00A546E3">
        <w:t>The economic an</w:t>
      </w:r>
      <w:r w:rsidR="00286F8F">
        <w:t xml:space="preserve">alysis </w:t>
      </w:r>
      <w:r w:rsidR="002172F7">
        <w:t xml:space="preserve">presented </w:t>
      </w:r>
      <w:r w:rsidR="00286F8F">
        <w:t>shows a significant</w:t>
      </w:r>
      <w:r w:rsidR="000D511C">
        <w:t xml:space="preserve"> positive </w:t>
      </w:r>
      <w:r w:rsidR="002463F4">
        <w:t xml:space="preserve">economic </w:t>
      </w:r>
      <w:r w:rsidR="000D511C">
        <w:t>impact</w:t>
      </w:r>
      <w:r w:rsidR="002172F7">
        <w:t xml:space="preserve"> of the p</w:t>
      </w:r>
      <w:r w:rsidR="002463F4">
        <w:t>rogram</w:t>
      </w:r>
      <w:r w:rsidR="007365AE">
        <w:t xml:space="preserve"> </w:t>
      </w:r>
      <w:r w:rsidR="0033363E">
        <w:t>(</w:t>
      </w:r>
      <w:r w:rsidR="002E0F74">
        <w:t xml:space="preserve">NPV of </w:t>
      </w:r>
      <w:r w:rsidR="000E55EF">
        <w:t>US$</w:t>
      </w:r>
      <w:r w:rsidR="00B80CFA">
        <w:t>6</w:t>
      </w:r>
      <w:r w:rsidR="00694C3A">
        <w:t>36.</w:t>
      </w:r>
      <w:r w:rsidR="00B80CFA">
        <w:t>91</w:t>
      </w:r>
      <w:r w:rsidR="007365AE">
        <w:t xml:space="preserve"> million</w:t>
      </w:r>
      <w:r w:rsidR="002E0F74">
        <w:t>)</w:t>
      </w:r>
      <w:r w:rsidR="0033363E">
        <w:t>;</w:t>
      </w:r>
      <w:r w:rsidR="007365AE">
        <w:t xml:space="preserve"> </w:t>
      </w:r>
      <w:r w:rsidRPr="00A546E3">
        <w:t xml:space="preserve">even when </w:t>
      </w:r>
      <w:r w:rsidR="008F22B2">
        <w:t xml:space="preserve">key </w:t>
      </w:r>
      <w:r w:rsidR="002E0F74">
        <w:t>assumptions</w:t>
      </w:r>
      <w:r w:rsidR="008F22B2">
        <w:t xml:space="preserve"> </w:t>
      </w:r>
      <w:r w:rsidR="0033363E">
        <w:t>were</w:t>
      </w:r>
      <w:r w:rsidR="008F22B2">
        <w:t xml:space="preserve"> </w:t>
      </w:r>
      <w:r w:rsidR="002E0F74">
        <w:t xml:space="preserve">made </w:t>
      </w:r>
      <w:r w:rsidR="008F22B2">
        <w:t>conservative</w:t>
      </w:r>
      <w:r w:rsidR="002E0F74">
        <w:t>ly</w:t>
      </w:r>
      <w:r w:rsidR="008F22B2">
        <w:t>.</w:t>
      </w:r>
    </w:p>
    <w:p w:rsidR="002E0F74" w:rsidRPr="00EF0985" w:rsidRDefault="0033363E" w:rsidP="002E0F74">
      <w:pPr>
        <w:pStyle w:val="Paragraph"/>
      </w:pPr>
      <w:r>
        <w:t>C</w:t>
      </w:r>
      <w:r w:rsidR="002E0F74">
        <w:t>omplement</w:t>
      </w:r>
      <w:r>
        <w:t>arily</w:t>
      </w:r>
      <w:r w:rsidR="002E0F74">
        <w:t>, t</w:t>
      </w:r>
      <w:r w:rsidR="002E0F74" w:rsidRPr="00EF0985">
        <w:t>he sensitivity analysis shows that when parameters are made more conservative, the outcome remains posi</w:t>
      </w:r>
      <w:r w:rsidR="002E0F74">
        <w:t>tive</w:t>
      </w:r>
      <w:r w:rsidR="00A60D4C">
        <w:t xml:space="preserve"> in all analyzed scenarios</w:t>
      </w:r>
      <w:r w:rsidR="002E0F74" w:rsidRPr="00EF0985">
        <w:t>.</w:t>
      </w:r>
    </w:p>
    <w:p w:rsidR="002E0F74" w:rsidRDefault="002E0F74" w:rsidP="002E0F74">
      <w:pPr>
        <w:pStyle w:val="Paragraph"/>
      </w:pPr>
      <w:r>
        <w:t>Based on this analysis, the project team recommends that the bank approves financing for this second programmatic loan.</w:t>
      </w:r>
    </w:p>
    <w:p w:rsidR="00FE53E1" w:rsidRDefault="00FE53E1">
      <w:r>
        <w:br w:type="page"/>
      </w:r>
    </w:p>
    <w:p w:rsidR="00FE53E1" w:rsidRDefault="00FE53E1" w:rsidP="00FE53E1">
      <w:pPr>
        <w:pStyle w:val="Paragraph"/>
        <w:numPr>
          <w:ilvl w:val="0"/>
          <w:numId w:val="0"/>
        </w:numPr>
        <w:sectPr w:rsidR="00FE53E1" w:rsidSect="00FD51AF">
          <w:headerReference w:type="even" r:id="rId15"/>
          <w:headerReference w:type="default" r:id="rId16"/>
          <w:headerReference w:type="first" r:id="rId17"/>
          <w:type w:val="continuous"/>
          <w:pgSz w:w="12240" w:h="15840" w:code="1"/>
          <w:pgMar w:top="1440" w:right="1800" w:bottom="1440" w:left="1800" w:header="706" w:footer="706" w:gutter="0"/>
          <w:cols w:space="720"/>
          <w:formProt w:val="0"/>
          <w:titlePg/>
        </w:sectPr>
      </w:pPr>
    </w:p>
    <w:p w:rsidR="00FE53E1" w:rsidRDefault="00FE53E1" w:rsidP="00FE53E1">
      <w:pPr>
        <w:pStyle w:val="Paragraph"/>
        <w:numPr>
          <w:ilvl w:val="0"/>
          <w:numId w:val="0"/>
        </w:numPr>
      </w:pPr>
      <w:r>
        <w:lastRenderedPageBreak/>
        <w:t>ANNEX I: - Indicative Budget (</w:t>
      </w:r>
      <w:r w:rsidRPr="00FE53E1">
        <w:t>implementation</w:t>
      </w:r>
      <w:r>
        <w:t xml:space="preserve"> costs</w:t>
      </w:r>
      <w:r w:rsidRPr="00FE53E1">
        <w:t>)</w:t>
      </w:r>
    </w:p>
    <w:tbl>
      <w:tblPr>
        <w:tblW w:w="11680" w:type="dxa"/>
        <w:tblInd w:w="93" w:type="dxa"/>
        <w:tblLook w:val="04A0" w:firstRow="1" w:lastRow="0" w:firstColumn="1" w:lastColumn="0" w:noHBand="0" w:noVBand="1"/>
      </w:tblPr>
      <w:tblGrid>
        <w:gridCol w:w="5660"/>
        <w:gridCol w:w="983"/>
        <w:gridCol w:w="1077"/>
        <w:gridCol w:w="960"/>
        <w:gridCol w:w="960"/>
        <w:gridCol w:w="960"/>
        <w:gridCol w:w="1080"/>
      </w:tblGrid>
      <w:tr w:rsidR="00FE53E1" w:rsidTr="00FE53E1">
        <w:trPr>
          <w:trHeight w:val="255"/>
        </w:trPr>
        <w:tc>
          <w:tcPr>
            <w:tcW w:w="5660" w:type="dxa"/>
            <w:vMerge w:val="restart"/>
            <w:tcBorders>
              <w:top w:val="single" w:sz="8" w:space="0" w:color="auto"/>
              <w:left w:val="single" w:sz="8" w:space="0" w:color="auto"/>
              <w:bottom w:val="single" w:sz="8" w:space="0" w:color="000000"/>
              <w:right w:val="single" w:sz="8" w:space="0" w:color="auto"/>
            </w:tcBorders>
            <w:shd w:val="clear" w:color="000000" w:fill="A6A6A6"/>
            <w:vAlign w:val="bottom"/>
            <w:hideMark/>
          </w:tcPr>
          <w:p w:rsidR="00FE53E1" w:rsidRDefault="00FE53E1">
            <w:pPr>
              <w:jc w:val="center"/>
              <w:rPr>
                <w:b/>
                <w:bCs/>
                <w:sz w:val="20"/>
                <w:szCs w:val="20"/>
              </w:rPr>
            </w:pPr>
            <w:r>
              <w:rPr>
                <w:b/>
                <w:bCs/>
                <w:sz w:val="20"/>
                <w:szCs w:val="20"/>
              </w:rPr>
              <w:t>Activity</w:t>
            </w:r>
          </w:p>
        </w:tc>
        <w:tc>
          <w:tcPr>
            <w:tcW w:w="983" w:type="dxa"/>
            <w:vMerge w:val="restart"/>
            <w:tcBorders>
              <w:top w:val="single" w:sz="8" w:space="0" w:color="auto"/>
              <w:left w:val="single" w:sz="4" w:space="0" w:color="auto"/>
              <w:bottom w:val="single" w:sz="8" w:space="0" w:color="000000"/>
              <w:right w:val="single" w:sz="4" w:space="0" w:color="auto"/>
            </w:tcBorders>
            <w:shd w:val="clear" w:color="000000" w:fill="A6A6A6"/>
            <w:vAlign w:val="bottom"/>
            <w:hideMark/>
          </w:tcPr>
          <w:p w:rsidR="00FE53E1" w:rsidRDefault="00FE53E1">
            <w:pPr>
              <w:jc w:val="center"/>
              <w:rPr>
                <w:b/>
                <w:bCs/>
                <w:sz w:val="20"/>
                <w:szCs w:val="20"/>
              </w:rPr>
            </w:pPr>
            <w:r>
              <w:rPr>
                <w:b/>
                <w:bCs/>
                <w:sz w:val="20"/>
                <w:szCs w:val="20"/>
              </w:rPr>
              <w:t>Quantity</w:t>
            </w:r>
          </w:p>
        </w:tc>
        <w:tc>
          <w:tcPr>
            <w:tcW w:w="1077" w:type="dxa"/>
            <w:vMerge w:val="restart"/>
            <w:tcBorders>
              <w:top w:val="single" w:sz="8" w:space="0" w:color="auto"/>
              <w:left w:val="single" w:sz="4" w:space="0" w:color="auto"/>
              <w:bottom w:val="single" w:sz="8" w:space="0" w:color="000000"/>
              <w:right w:val="single" w:sz="8" w:space="0" w:color="auto"/>
            </w:tcBorders>
            <w:shd w:val="clear" w:color="000000" w:fill="A6A6A6"/>
            <w:vAlign w:val="bottom"/>
            <w:hideMark/>
          </w:tcPr>
          <w:p w:rsidR="00FE53E1" w:rsidRDefault="00FE53E1">
            <w:pPr>
              <w:jc w:val="center"/>
              <w:rPr>
                <w:b/>
                <w:bCs/>
                <w:sz w:val="20"/>
                <w:szCs w:val="20"/>
              </w:rPr>
            </w:pPr>
            <w:r>
              <w:rPr>
                <w:b/>
                <w:bCs/>
                <w:sz w:val="20"/>
                <w:szCs w:val="20"/>
              </w:rPr>
              <w:t xml:space="preserve">Unit Value </w:t>
            </w:r>
          </w:p>
        </w:tc>
        <w:tc>
          <w:tcPr>
            <w:tcW w:w="960" w:type="dxa"/>
            <w:vMerge w:val="restart"/>
            <w:tcBorders>
              <w:top w:val="single" w:sz="8" w:space="0" w:color="auto"/>
              <w:left w:val="single" w:sz="8" w:space="0" w:color="auto"/>
              <w:bottom w:val="single" w:sz="8" w:space="0" w:color="000000"/>
              <w:right w:val="single" w:sz="4" w:space="0" w:color="auto"/>
            </w:tcBorders>
            <w:shd w:val="clear" w:color="000000" w:fill="A6A6A6"/>
            <w:vAlign w:val="bottom"/>
            <w:hideMark/>
          </w:tcPr>
          <w:p w:rsidR="00FE53E1" w:rsidRDefault="00FE53E1">
            <w:pPr>
              <w:jc w:val="center"/>
              <w:rPr>
                <w:b/>
                <w:bCs/>
                <w:sz w:val="20"/>
                <w:szCs w:val="20"/>
              </w:rPr>
            </w:pPr>
            <w:r>
              <w:rPr>
                <w:b/>
                <w:bCs/>
                <w:sz w:val="20"/>
                <w:szCs w:val="20"/>
              </w:rPr>
              <w:t>IDB</w:t>
            </w:r>
          </w:p>
        </w:tc>
        <w:tc>
          <w:tcPr>
            <w:tcW w:w="1920" w:type="dxa"/>
            <w:gridSpan w:val="2"/>
            <w:tcBorders>
              <w:top w:val="single" w:sz="8" w:space="0" w:color="auto"/>
              <w:left w:val="nil"/>
              <w:bottom w:val="single" w:sz="4" w:space="0" w:color="auto"/>
              <w:right w:val="single" w:sz="4" w:space="0" w:color="auto"/>
            </w:tcBorders>
            <w:shd w:val="clear" w:color="000000" w:fill="A6A6A6"/>
            <w:vAlign w:val="bottom"/>
            <w:hideMark/>
          </w:tcPr>
          <w:p w:rsidR="00FE53E1" w:rsidRDefault="00FE53E1">
            <w:pPr>
              <w:jc w:val="center"/>
              <w:rPr>
                <w:b/>
                <w:bCs/>
                <w:sz w:val="20"/>
                <w:szCs w:val="20"/>
              </w:rPr>
            </w:pPr>
            <w:r>
              <w:rPr>
                <w:b/>
                <w:bCs/>
                <w:sz w:val="20"/>
                <w:szCs w:val="20"/>
              </w:rPr>
              <w:t>Counterpart</w:t>
            </w:r>
          </w:p>
        </w:tc>
        <w:tc>
          <w:tcPr>
            <w:tcW w:w="1080" w:type="dxa"/>
            <w:vMerge w:val="restart"/>
            <w:tcBorders>
              <w:top w:val="single" w:sz="8" w:space="0" w:color="auto"/>
              <w:left w:val="single" w:sz="8" w:space="0" w:color="auto"/>
              <w:bottom w:val="single" w:sz="8" w:space="0" w:color="000000"/>
              <w:right w:val="single" w:sz="8" w:space="0" w:color="auto"/>
            </w:tcBorders>
            <w:shd w:val="clear" w:color="000000" w:fill="A6A6A6"/>
            <w:vAlign w:val="bottom"/>
            <w:hideMark/>
          </w:tcPr>
          <w:p w:rsidR="00FE53E1" w:rsidRDefault="00FE53E1">
            <w:pPr>
              <w:jc w:val="center"/>
              <w:rPr>
                <w:b/>
                <w:bCs/>
                <w:sz w:val="20"/>
                <w:szCs w:val="20"/>
              </w:rPr>
            </w:pPr>
            <w:r>
              <w:rPr>
                <w:b/>
                <w:bCs/>
                <w:sz w:val="20"/>
                <w:szCs w:val="20"/>
              </w:rPr>
              <w:t>TOTAL*</w:t>
            </w:r>
          </w:p>
        </w:tc>
      </w:tr>
      <w:tr w:rsidR="00FE53E1" w:rsidTr="00FE53E1">
        <w:trPr>
          <w:trHeight w:val="270"/>
        </w:trPr>
        <w:tc>
          <w:tcPr>
            <w:tcW w:w="5660" w:type="dxa"/>
            <w:vMerge/>
            <w:tcBorders>
              <w:top w:val="single" w:sz="8" w:space="0" w:color="auto"/>
              <w:left w:val="single" w:sz="8" w:space="0" w:color="auto"/>
              <w:bottom w:val="single" w:sz="8" w:space="0" w:color="000000"/>
              <w:right w:val="single" w:sz="8" w:space="0" w:color="auto"/>
            </w:tcBorders>
            <w:vAlign w:val="center"/>
            <w:hideMark/>
          </w:tcPr>
          <w:p w:rsidR="00FE53E1" w:rsidRDefault="00FE53E1">
            <w:pPr>
              <w:rPr>
                <w:b/>
                <w:bCs/>
                <w:sz w:val="20"/>
                <w:szCs w:val="20"/>
              </w:rPr>
            </w:pPr>
          </w:p>
        </w:tc>
        <w:tc>
          <w:tcPr>
            <w:tcW w:w="983" w:type="dxa"/>
            <w:vMerge/>
            <w:tcBorders>
              <w:top w:val="single" w:sz="8" w:space="0" w:color="auto"/>
              <w:left w:val="single" w:sz="4" w:space="0" w:color="auto"/>
              <w:bottom w:val="single" w:sz="8" w:space="0" w:color="000000"/>
              <w:right w:val="single" w:sz="4" w:space="0" w:color="auto"/>
            </w:tcBorders>
            <w:vAlign w:val="center"/>
            <w:hideMark/>
          </w:tcPr>
          <w:p w:rsidR="00FE53E1" w:rsidRDefault="00FE53E1">
            <w:pPr>
              <w:rPr>
                <w:b/>
                <w:bCs/>
                <w:sz w:val="20"/>
                <w:szCs w:val="20"/>
              </w:rPr>
            </w:pPr>
          </w:p>
        </w:tc>
        <w:tc>
          <w:tcPr>
            <w:tcW w:w="1077" w:type="dxa"/>
            <w:vMerge/>
            <w:tcBorders>
              <w:top w:val="single" w:sz="8" w:space="0" w:color="auto"/>
              <w:left w:val="single" w:sz="4" w:space="0" w:color="auto"/>
              <w:bottom w:val="single" w:sz="8" w:space="0" w:color="000000"/>
              <w:right w:val="single" w:sz="8" w:space="0" w:color="auto"/>
            </w:tcBorders>
            <w:vAlign w:val="center"/>
            <w:hideMark/>
          </w:tcPr>
          <w:p w:rsidR="00FE53E1" w:rsidRDefault="00FE53E1">
            <w:pPr>
              <w:rPr>
                <w:b/>
                <w:bCs/>
                <w:sz w:val="20"/>
                <w:szCs w:val="20"/>
              </w:rPr>
            </w:pPr>
          </w:p>
        </w:tc>
        <w:tc>
          <w:tcPr>
            <w:tcW w:w="960" w:type="dxa"/>
            <w:vMerge/>
            <w:tcBorders>
              <w:top w:val="single" w:sz="8" w:space="0" w:color="auto"/>
              <w:left w:val="single" w:sz="8" w:space="0" w:color="auto"/>
              <w:bottom w:val="single" w:sz="8" w:space="0" w:color="000000"/>
              <w:right w:val="single" w:sz="4" w:space="0" w:color="auto"/>
            </w:tcBorders>
            <w:vAlign w:val="center"/>
            <w:hideMark/>
          </w:tcPr>
          <w:p w:rsidR="00FE53E1" w:rsidRDefault="00FE53E1">
            <w:pPr>
              <w:rPr>
                <w:b/>
                <w:bCs/>
                <w:sz w:val="20"/>
                <w:szCs w:val="20"/>
              </w:rPr>
            </w:pPr>
          </w:p>
        </w:tc>
        <w:tc>
          <w:tcPr>
            <w:tcW w:w="960" w:type="dxa"/>
            <w:tcBorders>
              <w:top w:val="nil"/>
              <w:left w:val="nil"/>
              <w:bottom w:val="single" w:sz="8" w:space="0" w:color="auto"/>
              <w:right w:val="single" w:sz="4" w:space="0" w:color="auto"/>
            </w:tcBorders>
            <w:shd w:val="clear" w:color="000000" w:fill="A6A6A6"/>
            <w:vAlign w:val="bottom"/>
            <w:hideMark/>
          </w:tcPr>
          <w:p w:rsidR="00FE53E1" w:rsidRDefault="00FE53E1">
            <w:pPr>
              <w:jc w:val="center"/>
              <w:rPr>
                <w:b/>
                <w:bCs/>
                <w:sz w:val="20"/>
                <w:szCs w:val="20"/>
              </w:rPr>
            </w:pPr>
            <w:r>
              <w:rPr>
                <w:b/>
                <w:bCs/>
                <w:sz w:val="20"/>
                <w:szCs w:val="20"/>
              </w:rPr>
              <w:t>CASH</w:t>
            </w:r>
          </w:p>
        </w:tc>
        <w:tc>
          <w:tcPr>
            <w:tcW w:w="960" w:type="dxa"/>
            <w:tcBorders>
              <w:top w:val="nil"/>
              <w:left w:val="nil"/>
              <w:bottom w:val="single" w:sz="8" w:space="0" w:color="auto"/>
              <w:right w:val="single" w:sz="4" w:space="0" w:color="auto"/>
            </w:tcBorders>
            <w:shd w:val="clear" w:color="000000" w:fill="A6A6A6"/>
            <w:vAlign w:val="bottom"/>
            <w:hideMark/>
          </w:tcPr>
          <w:p w:rsidR="00FE53E1" w:rsidRDefault="00FE53E1">
            <w:pPr>
              <w:jc w:val="center"/>
              <w:rPr>
                <w:b/>
                <w:bCs/>
                <w:sz w:val="20"/>
                <w:szCs w:val="20"/>
              </w:rPr>
            </w:pPr>
            <w:r>
              <w:rPr>
                <w:b/>
                <w:bCs/>
                <w:sz w:val="20"/>
                <w:szCs w:val="20"/>
              </w:rPr>
              <w:t>IN-KIND</w:t>
            </w:r>
          </w:p>
        </w:tc>
        <w:tc>
          <w:tcPr>
            <w:tcW w:w="1080" w:type="dxa"/>
            <w:vMerge/>
            <w:tcBorders>
              <w:top w:val="single" w:sz="8" w:space="0" w:color="auto"/>
              <w:left w:val="single" w:sz="8" w:space="0" w:color="auto"/>
              <w:bottom w:val="single" w:sz="8" w:space="0" w:color="000000"/>
              <w:right w:val="single" w:sz="8" w:space="0" w:color="auto"/>
            </w:tcBorders>
            <w:vAlign w:val="center"/>
            <w:hideMark/>
          </w:tcPr>
          <w:p w:rsidR="00FE53E1" w:rsidRDefault="00FE53E1">
            <w:pPr>
              <w:rPr>
                <w:b/>
                <w:bCs/>
                <w:sz w:val="20"/>
                <w:szCs w:val="20"/>
              </w:rPr>
            </w:pPr>
          </w:p>
        </w:tc>
      </w:tr>
      <w:tr w:rsidR="00FE53E1" w:rsidTr="00FE53E1">
        <w:trPr>
          <w:trHeight w:val="255"/>
        </w:trPr>
        <w:tc>
          <w:tcPr>
            <w:tcW w:w="5660" w:type="dxa"/>
            <w:tcBorders>
              <w:top w:val="nil"/>
              <w:left w:val="single" w:sz="8" w:space="0" w:color="auto"/>
              <w:bottom w:val="single" w:sz="4" w:space="0" w:color="auto"/>
              <w:right w:val="nil"/>
            </w:tcBorders>
            <w:shd w:val="clear" w:color="000000" w:fill="D9D9D9"/>
            <w:noWrap/>
            <w:hideMark/>
          </w:tcPr>
          <w:p w:rsidR="00FE53E1" w:rsidRDefault="00FE53E1">
            <w:pPr>
              <w:rPr>
                <w:b/>
                <w:bCs/>
                <w:sz w:val="20"/>
                <w:szCs w:val="20"/>
              </w:rPr>
            </w:pPr>
            <w:r>
              <w:rPr>
                <w:b/>
                <w:bCs/>
                <w:sz w:val="20"/>
                <w:szCs w:val="20"/>
              </w:rPr>
              <w:t xml:space="preserve"> 1. Program Management and Policy Advice</w:t>
            </w:r>
          </w:p>
        </w:tc>
        <w:tc>
          <w:tcPr>
            <w:tcW w:w="983" w:type="dxa"/>
            <w:tcBorders>
              <w:top w:val="nil"/>
              <w:left w:val="single" w:sz="4" w:space="0" w:color="auto"/>
              <w:bottom w:val="single" w:sz="4" w:space="0" w:color="auto"/>
              <w:right w:val="single" w:sz="4" w:space="0" w:color="auto"/>
            </w:tcBorders>
            <w:shd w:val="clear" w:color="000000" w:fill="D9D9D9"/>
            <w:vAlign w:val="bottom"/>
            <w:hideMark/>
          </w:tcPr>
          <w:p w:rsidR="00FE53E1" w:rsidRDefault="00FE53E1">
            <w:pPr>
              <w:rPr>
                <w:sz w:val="20"/>
                <w:szCs w:val="20"/>
              </w:rPr>
            </w:pPr>
            <w:r>
              <w:rPr>
                <w:sz w:val="20"/>
                <w:szCs w:val="20"/>
              </w:rPr>
              <w:t> </w:t>
            </w:r>
          </w:p>
        </w:tc>
        <w:tc>
          <w:tcPr>
            <w:tcW w:w="1077" w:type="dxa"/>
            <w:tcBorders>
              <w:top w:val="nil"/>
              <w:left w:val="nil"/>
              <w:bottom w:val="single" w:sz="4" w:space="0" w:color="auto"/>
              <w:right w:val="single" w:sz="8" w:space="0" w:color="auto"/>
            </w:tcBorders>
            <w:shd w:val="clear" w:color="000000" w:fill="D9D9D9"/>
            <w:vAlign w:val="bottom"/>
            <w:hideMark/>
          </w:tcPr>
          <w:p w:rsidR="00FE53E1" w:rsidRDefault="00FE53E1">
            <w:pPr>
              <w:jc w:val="right"/>
              <w:rPr>
                <w:sz w:val="20"/>
                <w:szCs w:val="20"/>
              </w:rPr>
            </w:pPr>
            <w:r>
              <w:rPr>
                <w:sz w:val="20"/>
                <w:szCs w:val="20"/>
              </w:rPr>
              <w:t> </w:t>
            </w:r>
          </w:p>
        </w:tc>
        <w:tc>
          <w:tcPr>
            <w:tcW w:w="960" w:type="dxa"/>
            <w:tcBorders>
              <w:top w:val="nil"/>
              <w:left w:val="nil"/>
              <w:bottom w:val="single" w:sz="4" w:space="0" w:color="auto"/>
              <w:right w:val="single" w:sz="4" w:space="0" w:color="auto"/>
            </w:tcBorders>
            <w:shd w:val="clear" w:color="000000" w:fill="D9D9D9"/>
            <w:vAlign w:val="bottom"/>
            <w:hideMark/>
          </w:tcPr>
          <w:p w:rsidR="00FE53E1" w:rsidRDefault="00FE53E1">
            <w:pPr>
              <w:jc w:val="right"/>
              <w:rPr>
                <w:b/>
                <w:bCs/>
                <w:sz w:val="20"/>
                <w:szCs w:val="20"/>
              </w:rPr>
            </w:pPr>
            <w:r>
              <w:rPr>
                <w:b/>
                <w:bCs/>
                <w:sz w:val="20"/>
                <w:szCs w:val="20"/>
              </w:rPr>
              <w:t>150,000</w:t>
            </w:r>
          </w:p>
        </w:tc>
        <w:tc>
          <w:tcPr>
            <w:tcW w:w="960" w:type="dxa"/>
            <w:tcBorders>
              <w:top w:val="nil"/>
              <w:left w:val="nil"/>
              <w:bottom w:val="single" w:sz="4" w:space="0" w:color="auto"/>
              <w:right w:val="single" w:sz="4" w:space="0" w:color="auto"/>
            </w:tcBorders>
            <w:shd w:val="clear" w:color="000000" w:fill="D9D9D9"/>
            <w:vAlign w:val="bottom"/>
            <w:hideMark/>
          </w:tcPr>
          <w:p w:rsidR="00FE53E1" w:rsidRDefault="00FE53E1">
            <w:pPr>
              <w:jc w:val="right"/>
              <w:rPr>
                <w:b/>
                <w:bCs/>
                <w:sz w:val="20"/>
                <w:szCs w:val="20"/>
              </w:rPr>
            </w:pPr>
            <w:r>
              <w:rPr>
                <w:b/>
                <w:bCs/>
                <w:sz w:val="20"/>
                <w:szCs w:val="20"/>
              </w:rPr>
              <w:t>0</w:t>
            </w:r>
          </w:p>
        </w:tc>
        <w:tc>
          <w:tcPr>
            <w:tcW w:w="960" w:type="dxa"/>
            <w:tcBorders>
              <w:top w:val="nil"/>
              <w:left w:val="nil"/>
              <w:bottom w:val="single" w:sz="4" w:space="0" w:color="auto"/>
              <w:right w:val="single" w:sz="4" w:space="0" w:color="auto"/>
            </w:tcBorders>
            <w:shd w:val="clear" w:color="000000" w:fill="D9D9D9"/>
            <w:vAlign w:val="bottom"/>
            <w:hideMark/>
          </w:tcPr>
          <w:p w:rsidR="00FE53E1" w:rsidRDefault="00FE53E1">
            <w:pPr>
              <w:jc w:val="right"/>
              <w:rPr>
                <w:sz w:val="20"/>
                <w:szCs w:val="20"/>
              </w:rPr>
            </w:pPr>
            <w:r>
              <w:rPr>
                <w:sz w:val="20"/>
                <w:szCs w:val="20"/>
              </w:rPr>
              <w:t> </w:t>
            </w:r>
          </w:p>
        </w:tc>
        <w:tc>
          <w:tcPr>
            <w:tcW w:w="1080" w:type="dxa"/>
            <w:tcBorders>
              <w:top w:val="nil"/>
              <w:left w:val="single" w:sz="8" w:space="0" w:color="auto"/>
              <w:bottom w:val="single" w:sz="4" w:space="0" w:color="auto"/>
              <w:right w:val="single" w:sz="8" w:space="0" w:color="auto"/>
            </w:tcBorders>
            <w:shd w:val="clear" w:color="000000" w:fill="D9D9D9"/>
            <w:vAlign w:val="bottom"/>
            <w:hideMark/>
          </w:tcPr>
          <w:p w:rsidR="00FE53E1" w:rsidRDefault="00FE53E1">
            <w:pPr>
              <w:jc w:val="right"/>
              <w:rPr>
                <w:b/>
                <w:bCs/>
                <w:sz w:val="20"/>
                <w:szCs w:val="20"/>
              </w:rPr>
            </w:pPr>
            <w:r>
              <w:rPr>
                <w:b/>
                <w:bCs/>
                <w:sz w:val="20"/>
                <w:szCs w:val="20"/>
              </w:rPr>
              <w:t>150,000</w:t>
            </w:r>
          </w:p>
        </w:tc>
      </w:tr>
      <w:tr w:rsidR="00FE53E1" w:rsidTr="00FE53E1">
        <w:trPr>
          <w:trHeight w:val="255"/>
        </w:trPr>
        <w:tc>
          <w:tcPr>
            <w:tcW w:w="5660" w:type="dxa"/>
            <w:tcBorders>
              <w:top w:val="nil"/>
              <w:left w:val="single" w:sz="8" w:space="0" w:color="auto"/>
              <w:bottom w:val="single" w:sz="4" w:space="0" w:color="auto"/>
              <w:right w:val="nil"/>
            </w:tcBorders>
            <w:shd w:val="clear" w:color="auto" w:fill="auto"/>
            <w:vAlign w:val="bottom"/>
            <w:hideMark/>
          </w:tcPr>
          <w:p w:rsidR="00FE53E1" w:rsidRDefault="00FE53E1">
            <w:pPr>
              <w:rPr>
                <w:sz w:val="20"/>
                <w:szCs w:val="20"/>
              </w:rPr>
            </w:pPr>
            <w:r>
              <w:rPr>
                <w:sz w:val="20"/>
                <w:szCs w:val="20"/>
              </w:rPr>
              <w:t xml:space="preserve"> Program Manager/Senior Policy Advisor</w:t>
            </w:r>
          </w:p>
        </w:tc>
        <w:tc>
          <w:tcPr>
            <w:tcW w:w="983" w:type="dxa"/>
            <w:tcBorders>
              <w:top w:val="nil"/>
              <w:left w:val="single" w:sz="4" w:space="0" w:color="auto"/>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1</w:t>
            </w:r>
          </w:p>
        </w:tc>
        <w:tc>
          <w:tcPr>
            <w:tcW w:w="1077" w:type="dxa"/>
            <w:tcBorders>
              <w:top w:val="nil"/>
              <w:left w:val="nil"/>
              <w:bottom w:val="single" w:sz="4" w:space="0" w:color="auto"/>
              <w:right w:val="single" w:sz="8" w:space="0" w:color="auto"/>
            </w:tcBorders>
            <w:shd w:val="clear" w:color="auto" w:fill="auto"/>
            <w:vAlign w:val="bottom"/>
            <w:hideMark/>
          </w:tcPr>
          <w:p w:rsidR="00FE53E1" w:rsidRDefault="00FE53E1">
            <w:pPr>
              <w:jc w:val="right"/>
              <w:rPr>
                <w:sz w:val="20"/>
                <w:szCs w:val="20"/>
              </w:rPr>
            </w:pPr>
            <w:r>
              <w:rPr>
                <w:sz w:val="20"/>
                <w:szCs w:val="20"/>
              </w:rPr>
              <w:t>150,000</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150,000</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 </w:t>
            </w:r>
          </w:p>
        </w:tc>
        <w:tc>
          <w:tcPr>
            <w:tcW w:w="1080" w:type="dxa"/>
            <w:tcBorders>
              <w:top w:val="nil"/>
              <w:left w:val="single" w:sz="8" w:space="0" w:color="auto"/>
              <w:bottom w:val="single" w:sz="4" w:space="0" w:color="auto"/>
              <w:right w:val="single" w:sz="8" w:space="0" w:color="auto"/>
            </w:tcBorders>
            <w:shd w:val="clear" w:color="auto" w:fill="auto"/>
            <w:vAlign w:val="bottom"/>
            <w:hideMark/>
          </w:tcPr>
          <w:p w:rsidR="00FE53E1" w:rsidRDefault="00FE53E1">
            <w:pPr>
              <w:jc w:val="right"/>
              <w:rPr>
                <w:sz w:val="20"/>
                <w:szCs w:val="20"/>
              </w:rPr>
            </w:pPr>
            <w:r>
              <w:rPr>
                <w:sz w:val="20"/>
                <w:szCs w:val="20"/>
              </w:rPr>
              <w:t>150,000</w:t>
            </w:r>
          </w:p>
        </w:tc>
      </w:tr>
      <w:tr w:rsidR="00FE53E1" w:rsidTr="00FE53E1">
        <w:trPr>
          <w:trHeight w:val="510"/>
        </w:trPr>
        <w:tc>
          <w:tcPr>
            <w:tcW w:w="5660" w:type="dxa"/>
            <w:tcBorders>
              <w:top w:val="nil"/>
              <w:left w:val="single" w:sz="8" w:space="0" w:color="auto"/>
              <w:bottom w:val="single" w:sz="4" w:space="0" w:color="auto"/>
              <w:right w:val="nil"/>
            </w:tcBorders>
            <w:shd w:val="clear" w:color="000000" w:fill="D9D9D9"/>
            <w:vAlign w:val="bottom"/>
            <w:hideMark/>
          </w:tcPr>
          <w:p w:rsidR="00FE53E1" w:rsidRDefault="00FE53E1">
            <w:pPr>
              <w:rPr>
                <w:b/>
                <w:bCs/>
                <w:sz w:val="20"/>
                <w:szCs w:val="20"/>
              </w:rPr>
            </w:pPr>
            <w:r>
              <w:rPr>
                <w:b/>
                <w:bCs/>
                <w:sz w:val="20"/>
                <w:szCs w:val="20"/>
              </w:rPr>
              <w:t>2.  Strengthening of the Legal and Regulatory Framework for Financial Markets and Institutions</w:t>
            </w:r>
          </w:p>
        </w:tc>
        <w:tc>
          <w:tcPr>
            <w:tcW w:w="983" w:type="dxa"/>
            <w:tcBorders>
              <w:top w:val="nil"/>
              <w:left w:val="single" w:sz="4" w:space="0" w:color="auto"/>
              <w:bottom w:val="single" w:sz="4" w:space="0" w:color="auto"/>
              <w:right w:val="single" w:sz="4" w:space="0" w:color="auto"/>
            </w:tcBorders>
            <w:shd w:val="clear" w:color="000000" w:fill="D9D9D9"/>
            <w:vAlign w:val="bottom"/>
            <w:hideMark/>
          </w:tcPr>
          <w:p w:rsidR="00FE53E1" w:rsidRDefault="00FE53E1">
            <w:pPr>
              <w:rPr>
                <w:sz w:val="20"/>
                <w:szCs w:val="20"/>
              </w:rPr>
            </w:pPr>
            <w:r>
              <w:rPr>
                <w:sz w:val="20"/>
                <w:szCs w:val="20"/>
              </w:rPr>
              <w:t> </w:t>
            </w:r>
          </w:p>
        </w:tc>
        <w:tc>
          <w:tcPr>
            <w:tcW w:w="1077" w:type="dxa"/>
            <w:tcBorders>
              <w:top w:val="nil"/>
              <w:left w:val="nil"/>
              <w:bottom w:val="single" w:sz="4" w:space="0" w:color="auto"/>
              <w:right w:val="single" w:sz="8" w:space="0" w:color="auto"/>
            </w:tcBorders>
            <w:shd w:val="clear" w:color="000000" w:fill="D9D9D9"/>
            <w:vAlign w:val="bottom"/>
            <w:hideMark/>
          </w:tcPr>
          <w:p w:rsidR="00FE53E1" w:rsidRDefault="00FE53E1">
            <w:pPr>
              <w:jc w:val="right"/>
              <w:rPr>
                <w:sz w:val="20"/>
                <w:szCs w:val="20"/>
              </w:rPr>
            </w:pPr>
            <w:r>
              <w:rPr>
                <w:sz w:val="20"/>
                <w:szCs w:val="20"/>
              </w:rPr>
              <w:t> </w:t>
            </w:r>
          </w:p>
        </w:tc>
        <w:tc>
          <w:tcPr>
            <w:tcW w:w="960" w:type="dxa"/>
            <w:tcBorders>
              <w:top w:val="nil"/>
              <w:left w:val="nil"/>
              <w:bottom w:val="single" w:sz="4" w:space="0" w:color="auto"/>
              <w:right w:val="single" w:sz="4" w:space="0" w:color="auto"/>
            </w:tcBorders>
            <w:shd w:val="clear" w:color="000000" w:fill="D9D9D9"/>
            <w:vAlign w:val="bottom"/>
            <w:hideMark/>
          </w:tcPr>
          <w:p w:rsidR="00FE53E1" w:rsidRDefault="00FE53E1">
            <w:pPr>
              <w:jc w:val="right"/>
              <w:rPr>
                <w:b/>
                <w:bCs/>
                <w:sz w:val="20"/>
                <w:szCs w:val="20"/>
              </w:rPr>
            </w:pPr>
            <w:r>
              <w:rPr>
                <w:b/>
                <w:bCs/>
                <w:sz w:val="20"/>
                <w:szCs w:val="20"/>
              </w:rPr>
              <w:t>100,000</w:t>
            </w:r>
          </w:p>
        </w:tc>
        <w:tc>
          <w:tcPr>
            <w:tcW w:w="960" w:type="dxa"/>
            <w:tcBorders>
              <w:top w:val="nil"/>
              <w:left w:val="nil"/>
              <w:bottom w:val="single" w:sz="4" w:space="0" w:color="auto"/>
              <w:right w:val="single" w:sz="4" w:space="0" w:color="auto"/>
            </w:tcBorders>
            <w:shd w:val="clear" w:color="000000" w:fill="D9D9D9"/>
            <w:vAlign w:val="bottom"/>
            <w:hideMark/>
          </w:tcPr>
          <w:p w:rsidR="00FE53E1" w:rsidRDefault="00FE53E1">
            <w:pPr>
              <w:jc w:val="right"/>
              <w:rPr>
                <w:sz w:val="20"/>
                <w:szCs w:val="20"/>
              </w:rPr>
            </w:pPr>
            <w:r>
              <w:rPr>
                <w:sz w:val="20"/>
                <w:szCs w:val="20"/>
              </w:rPr>
              <w:t> </w:t>
            </w:r>
          </w:p>
        </w:tc>
        <w:tc>
          <w:tcPr>
            <w:tcW w:w="960" w:type="dxa"/>
            <w:tcBorders>
              <w:top w:val="nil"/>
              <w:left w:val="nil"/>
              <w:bottom w:val="single" w:sz="4" w:space="0" w:color="auto"/>
              <w:right w:val="single" w:sz="4" w:space="0" w:color="auto"/>
            </w:tcBorders>
            <w:shd w:val="clear" w:color="000000" w:fill="D9D9D9"/>
            <w:vAlign w:val="bottom"/>
            <w:hideMark/>
          </w:tcPr>
          <w:p w:rsidR="00FE53E1" w:rsidRDefault="00FE53E1">
            <w:pPr>
              <w:jc w:val="right"/>
              <w:rPr>
                <w:sz w:val="20"/>
                <w:szCs w:val="20"/>
              </w:rPr>
            </w:pPr>
            <w:r>
              <w:rPr>
                <w:sz w:val="20"/>
                <w:szCs w:val="20"/>
              </w:rPr>
              <w:t> </w:t>
            </w:r>
          </w:p>
        </w:tc>
        <w:tc>
          <w:tcPr>
            <w:tcW w:w="1080" w:type="dxa"/>
            <w:tcBorders>
              <w:top w:val="nil"/>
              <w:left w:val="single" w:sz="8" w:space="0" w:color="auto"/>
              <w:bottom w:val="single" w:sz="4" w:space="0" w:color="auto"/>
              <w:right w:val="single" w:sz="8" w:space="0" w:color="auto"/>
            </w:tcBorders>
            <w:shd w:val="clear" w:color="000000" w:fill="D9D9D9"/>
            <w:vAlign w:val="bottom"/>
            <w:hideMark/>
          </w:tcPr>
          <w:p w:rsidR="00FE53E1" w:rsidRDefault="00FE53E1">
            <w:pPr>
              <w:jc w:val="right"/>
              <w:rPr>
                <w:b/>
                <w:bCs/>
                <w:sz w:val="20"/>
                <w:szCs w:val="20"/>
              </w:rPr>
            </w:pPr>
            <w:r>
              <w:rPr>
                <w:b/>
                <w:bCs/>
                <w:sz w:val="20"/>
                <w:szCs w:val="20"/>
              </w:rPr>
              <w:t>100,000</w:t>
            </w:r>
          </w:p>
        </w:tc>
      </w:tr>
      <w:tr w:rsidR="00FE53E1" w:rsidTr="00FE53E1">
        <w:trPr>
          <w:trHeight w:val="255"/>
        </w:trPr>
        <w:tc>
          <w:tcPr>
            <w:tcW w:w="5660" w:type="dxa"/>
            <w:tcBorders>
              <w:top w:val="nil"/>
              <w:left w:val="single" w:sz="8" w:space="0" w:color="auto"/>
              <w:bottom w:val="single" w:sz="4" w:space="0" w:color="auto"/>
              <w:right w:val="nil"/>
            </w:tcBorders>
            <w:shd w:val="clear" w:color="auto" w:fill="auto"/>
            <w:vAlign w:val="bottom"/>
            <w:hideMark/>
          </w:tcPr>
          <w:p w:rsidR="00FE53E1" w:rsidRDefault="00FE53E1">
            <w:pPr>
              <w:rPr>
                <w:sz w:val="20"/>
                <w:szCs w:val="20"/>
              </w:rPr>
            </w:pPr>
            <w:r>
              <w:rPr>
                <w:sz w:val="20"/>
                <w:szCs w:val="20"/>
              </w:rPr>
              <w:t xml:space="preserve">     Review of draft laws and preparation of regulations.</w:t>
            </w:r>
          </w:p>
        </w:tc>
        <w:tc>
          <w:tcPr>
            <w:tcW w:w="983" w:type="dxa"/>
            <w:tcBorders>
              <w:top w:val="nil"/>
              <w:left w:val="single" w:sz="4" w:space="0" w:color="auto"/>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5</w:t>
            </w:r>
          </w:p>
        </w:tc>
        <w:tc>
          <w:tcPr>
            <w:tcW w:w="1077" w:type="dxa"/>
            <w:tcBorders>
              <w:top w:val="nil"/>
              <w:left w:val="nil"/>
              <w:bottom w:val="single" w:sz="4" w:space="0" w:color="auto"/>
              <w:right w:val="single" w:sz="8" w:space="0" w:color="auto"/>
            </w:tcBorders>
            <w:shd w:val="clear" w:color="auto" w:fill="auto"/>
            <w:vAlign w:val="bottom"/>
            <w:hideMark/>
          </w:tcPr>
          <w:p w:rsidR="00FE53E1" w:rsidRDefault="00FE53E1">
            <w:pPr>
              <w:jc w:val="right"/>
              <w:rPr>
                <w:sz w:val="20"/>
                <w:szCs w:val="20"/>
              </w:rPr>
            </w:pPr>
            <w:r>
              <w:rPr>
                <w:sz w:val="20"/>
                <w:szCs w:val="20"/>
              </w:rPr>
              <w:t>17,000</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85,000</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 </w:t>
            </w:r>
          </w:p>
        </w:tc>
        <w:tc>
          <w:tcPr>
            <w:tcW w:w="1080" w:type="dxa"/>
            <w:tcBorders>
              <w:top w:val="nil"/>
              <w:left w:val="single" w:sz="8" w:space="0" w:color="auto"/>
              <w:bottom w:val="single" w:sz="4" w:space="0" w:color="auto"/>
              <w:right w:val="single" w:sz="8" w:space="0" w:color="auto"/>
            </w:tcBorders>
            <w:shd w:val="clear" w:color="auto" w:fill="auto"/>
            <w:vAlign w:val="bottom"/>
            <w:hideMark/>
          </w:tcPr>
          <w:p w:rsidR="00FE53E1" w:rsidRDefault="00FE53E1">
            <w:pPr>
              <w:jc w:val="right"/>
              <w:rPr>
                <w:sz w:val="20"/>
                <w:szCs w:val="20"/>
              </w:rPr>
            </w:pPr>
            <w:r>
              <w:rPr>
                <w:sz w:val="20"/>
                <w:szCs w:val="20"/>
              </w:rPr>
              <w:t>85,000</w:t>
            </w:r>
          </w:p>
        </w:tc>
      </w:tr>
      <w:tr w:rsidR="00FE53E1" w:rsidTr="00FE53E1">
        <w:trPr>
          <w:trHeight w:val="255"/>
        </w:trPr>
        <w:tc>
          <w:tcPr>
            <w:tcW w:w="5660" w:type="dxa"/>
            <w:tcBorders>
              <w:top w:val="nil"/>
              <w:left w:val="single" w:sz="8" w:space="0" w:color="auto"/>
              <w:bottom w:val="single" w:sz="4" w:space="0" w:color="auto"/>
              <w:right w:val="nil"/>
            </w:tcBorders>
            <w:shd w:val="clear" w:color="auto" w:fill="auto"/>
            <w:hideMark/>
          </w:tcPr>
          <w:p w:rsidR="00FE53E1" w:rsidRDefault="00FE53E1">
            <w:pPr>
              <w:rPr>
                <w:sz w:val="20"/>
                <w:szCs w:val="20"/>
              </w:rPr>
            </w:pPr>
            <w:r>
              <w:rPr>
                <w:sz w:val="20"/>
                <w:szCs w:val="20"/>
              </w:rPr>
              <w:t xml:space="preserve">     Logistics/Operational</w:t>
            </w:r>
          </w:p>
        </w:tc>
        <w:tc>
          <w:tcPr>
            <w:tcW w:w="983" w:type="dxa"/>
            <w:tcBorders>
              <w:top w:val="nil"/>
              <w:left w:val="single" w:sz="4" w:space="0" w:color="auto"/>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4</w:t>
            </w:r>
          </w:p>
        </w:tc>
        <w:tc>
          <w:tcPr>
            <w:tcW w:w="1077" w:type="dxa"/>
            <w:tcBorders>
              <w:top w:val="nil"/>
              <w:left w:val="nil"/>
              <w:bottom w:val="single" w:sz="4" w:space="0" w:color="auto"/>
              <w:right w:val="single" w:sz="8" w:space="0" w:color="auto"/>
            </w:tcBorders>
            <w:shd w:val="clear" w:color="auto" w:fill="auto"/>
            <w:vAlign w:val="bottom"/>
            <w:hideMark/>
          </w:tcPr>
          <w:p w:rsidR="00FE53E1" w:rsidRDefault="00FE53E1">
            <w:pPr>
              <w:jc w:val="right"/>
              <w:rPr>
                <w:sz w:val="20"/>
                <w:szCs w:val="20"/>
              </w:rPr>
            </w:pPr>
            <w:r>
              <w:rPr>
                <w:sz w:val="20"/>
                <w:szCs w:val="20"/>
              </w:rPr>
              <w:t>3,750</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15,000</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 </w:t>
            </w:r>
          </w:p>
        </w:tc>
        <w:tc>
          <w:tcPr>
            <w:tcW w:w="1080" w:type="dxa"/>
            <w:tcBorders>
              <w:top w:val="nil"/>
              <w:left w:val="single" w:sz="8" w:space="0" w:color="auto"/>
              <w:bottom w:val="single" w:sz="4" w:space="0" w:color="auto"/>
              <w:right w:val="single" w:sz="8" w:space="0" w:color="auto"/>
            </w:tcBorders>
            <w:shd w:val="clear" w:color="auto" w:fill="auto"/>
            <w:noWrap/>
            <w:vAlign w:val="bottom"/>
            <w:hideMark/>
          </w:tcPr>
          <w:p w:rsidR="00FE53E1" w:rsidRDefault="00FE53E1">
            <w:pPr>
              <w:jc w:val="right"/>
              <w:rPr>
                <w:sz w:val="20"/>
                <w:szCs w:val="20"/>
              </w:rPr>
            </w:pPr>
            <w:r>
              <w:rPr>
                <w:sz w:val="20"/>
                <w:szCs w:val="20"/>
              </w:rPr>
              <w:t>15,000</w:t>
            </w:r>
          </w:p>
        </w:tc>
      </w:tr>
      <w:tr w:rsidR="00FE53E1" w:rsidTr="00FE53E1">
        <w:trPr>
          <w:trHeight w:val="255"/>
        </w:trPr>
        <w:tc>
          <w:tcPr>
            <w:tcW w:w="5660" w:type="dxa"/>
            <w:tcBorders>
              <w:top w:val="nil"/>
              <w:left w:val="single" w:sz="8" w:space="0" w:color="auto"/>
              <w:bottom w:val="single" w:sz="4" w:space="0" w:color="auto"/>
              <w:right w:val="nil"/>
            </w:tcBorders>
            <w:shd w:val="clear" w:color="000000" w:fill="D9D9D9"/>
            <w:vAlign w:val="bottom"/>
            <w:hideMark/>
          </w:tcPr>
          <w:p w:rsidR="00FE53E1" w:rsidRDefault="00FE53E1">
            <w:pPr>
              <w:rPr>
                <w:b/>
                <w:bCs/>
                <w:sz w:val="20"/>
                <w:szCs w:val="20"/>
              </w:rPr>
            </w:pPr>
            <w:r>
              <w:rPr>
                <w:b/>
                <w:bCs/>
                <w:sz w:val="20"/>
                <w:szCs w:val="20"/>
              </w:rPr>
              <w:t>3. Enhancement of Supervisory and Enforcement Capabilities</w:t>
            </w:r>
          </w:p>
        </w:tc>
        <w:tc>
          <w:tcPr>
            <w:tcW w:w="983" w:type="dxa"/>
            <w:tcBorders>
              <w:top w:val="nil"/>
              <w:left w:val="single" w:sz="4" w:space="0" w:color="auto"/>
              <w:bottom w:val="single" w:sz="4" w:space="0" w:color="auto"/>
              <w:right w:val="single" w:sz="4" w:space="0" w:color="auto"/>
            </w:tcBorders>
            <w:shd w:val="clear" w:color="000000" w:fill="D9D9D9"/>
            <w:vAlign w:val="bottom"/>
            <w:hideMark/>
          </w:tcPr>
          <w:p w:rsidR="00FE53E1" w:rsidRDefault="00FE53E1">
            <w:pPr>
              <w:rPr>
                <w:sz w:val="20"/>
                <w:szCs w:val="20"/>
              </w:rPr>
            </w:pPr>
            <w:r>
              <w:rPr>
                <w:sz w:val="20"/>
                <w:szCs w:val="20"/>
              </w:rPr>
              <w:t> </w:t>
            </w:r>
          </w:p>
        </w:tc>
        <w:tc>
          <w:tcPr>
            <w:tcW w:w="1077" w:type="dxa"/>
            <w:tcBorders>
              <w:top w:val="nil"/>
              <w:left w:val="nil"/>
              <w:bottom w:val="single" w:sz="4" w:space="0" w:color="auto"/>
              <w:right w:val="single" w:sz="8" w:space="0" w:color="auto"/>
            </w:tcBorders>
            <w:shd w:val="clear" w:color="000000" w:fill="D9D9D9"/>
            <w:vAlign w:val="bottom"/>
            <w:hideMark/>
          </w:tcPr>
          <w:p w:rsidR="00FE53E1" w:rsidRDefault="00FE53E1">
            <w:pPr>
              <w:jc w:val="right"/>
              <w:rPr>
                <w:sz w:val="20"/>
                <w:szCs w:val="20"/>
              </w:rPr>
            </w:pPr>
            <w:r>
              <w:rPr>
                <w:sz w:val="20"/>
                <w:szCs w:val="20"/>
              </w:rPr>
              <w:t> </w:t>
            </w:r>
          </w:p>
        </w:tc>
        <w:tc>
          <w:tcPr>
            <w:tcW w:w="960" w:type="dxa"/>
            <w:tcBorders>
              <w:top w:val="nil"/>
              <w:left w:val="nil"/>
              <w:bottom w:val="single" w:sz="4" w:space="0" w:color="auto"/>
              <w:right w:val="single" w:sz="4" w:space="0" w:color="auto"/>
            </w:tcBorders>
            <w:shd w:val="clear" w:color="000000" w:fill="D9D9D9"/>
            <w:vAlign w:val="bottom"/>
            <w:hideMark/>
          </w:tcPr>
          <w:p w:rsidR="00FE53E1" w:rsidRDefault="00FE53E1">
            <w:pPr>
              <w:jc w:val="right"/>
              <w:rPr>
                <w:b/>
                <w:bCs/>
                <w:sz w:val="20"/>
                <w:szCs w:val="20"/>
              </w:rPr>
            </w:pPr>
            <w:r>
              <w:rPr>
                <w:b/>
                <w:bCs/>
                <w:sz w:val="20"/>
                <w:szCs w:val="20"/>
              </w:rPr>
              <w:t>150,000</w:t>
            </w:r>
          </w:p>
        </w:tc>
        <w:tc>
          <w:tcPr>
            <w:tcW w:w="960" w:type="dxa"/>
            <w:tcBorders>
              <w:top w:val="nil"/>
              <w:left w:val="nil"/>
              <w:bottom w:val="single" w:sz="4" w:space="0" w:color="auto"/>
              <w:right w:val="single" w:sz="4" w:space="0" w:color="auto"/>
            </w:tcBorders>
            <w:shd w:val="clear" w:color="000000" w:fill="D9D9D9"/>
            <w:vAlign w:val="bottom"/>
            <w:hideMark/>
          </w:tcPr>
          <w:p w:rsidR="00FE53E1" w:rsidRDefault="00FE53E1">
            <w:pPr>
              <w:jc w:val="right"/>
              <w:rPr>
                <w:sz w:val="20"/>
                <w:szCs w:val="20"/>
              </w:rPr>
            </w:pPr>
            <w:r>
              <w:rPr>
                <w:sz w:val="20"/>
                <w:szCs w:val="20"/>
              </w:rPr>
              <w:t> </w:t>
            </w:r>
          </w:p>
        </w:tc>
        <w:tc>
          <w:tcPr>
            <w:tcW w:w="960" w:type="dxa"/>
            <w:tcBorders>
              <w:top w:val="nil"/>
              <w:left w:val="nil"/>
              <w:bottom w:val="single" w:sz="4" w:space="0" w:color="auto"/>
              <w:right w:val="single" w:sz="4" w:space="0" w:color="auto"/>
            </w:tcBorders>
            <w:shd w:val="clear" w:color="000000" w:fill="D9D9D9"/>
            <w:vAlign w:val="bottom"/>
            <w:hideMark/>
          </w:tcPr>
          <w:p w:rsidR="00FE53E1" w:rsidRDefault="00FE53E1">
            <w:pPr>
              <w:jc w:val="right"/>
              <w:rPr>
                <w:sz w:val="20"/>
                <w:szCs w:val="20"/>
              </w:rPr>
            </w:pPr>
            <w:r>
              <w:rPr>
                <w:sz w:val="20"/>
                <w:szCs w:val="20"/>
              </w:rPr>
              <w:t> </w:t>
            </w:r>
          </w:p>
        </w:tc>
        <w:tc>
          <w:tcPr>
            <w:tcW w:w="1080" w:type="dxa"/>
            <w:tcBorders>
              <w:top w:val="nil"/>
              <w:left w:val="single" w:sz="8" w:space="0" w:color="auto"/>
              <w:bottom w:val="single" w:sz="4" w:space="0" w:color="auto"/>
              <w:right w:val="single" w:sz="8" w:space="0" w:color="auto"/>
            </w:tcBorders>
            <w:shd w:val="clear" w:color="000000" w:fill="D9D9D9"/>
            <w:vAlign w:val="bottom"/>
            <w:hideMark/>
          </w:tcPr>
          <w:p w:rsidR="00FE53E1" w:rsidRDefault="00FE53E1">
            <w:pPr>
              <w:jc w:val="right"/>
              <w:rPr>
                <w:b/>
                <w:bCs/>
                <w:sz w:val="20"/>
                <w:szCs w:val="20"/>
              </w:rPr>
            </w:pPr>
            <w:r>
              <w:rPr>
                <w:b/>
                <w:bCs/>
                <w:sz w:val="20"/>
                <w:szCs w:val="20"/>
              </w:rPr>
              <w:t>150,000</w:t>
            </w:r>
          </w:p>
        </w:tc>
      </w:tr>
      <w:tr w:rsidR="00FE53E1" w:rsidTr="00FE53E1">
        <w:trPr>
          <w:trHeight w:val="255"/>
        </w:trPr>
        <w:tc>
          <w:tcPr>
            <w:tcW w:w="5660" w:type="dxa"/>
            <w:tcBorders>
              <w:top w:val="nil"/>
              <w:left w:val="single" w:sz="8" w:space="0" w:color="auto"/>
              <w:bottom w:val="single" w:sz="4" w:space="0" w:color="auto"/>
              <w:right w:val="nil"/>
            </w:tcBorders>
            <w:shd w:val="clear" w:color="auto" w:fill="auto"/>
            <w:vAlign w:val="bottom"/>
            <w:hideMark/>
          </w:tcPr>
          <w:p w:rsidR="00FE53E1" w:rsidRDefault="00FE53E1">
            <w:pPr>
              <w:rPr>
                <w:sz w:val="20"/>
                <w:szCs w:val="20"/>
              </w:rPr>
            </w:pPr>
            <w:r>
              <w:rPr>
                <w:sz w:val="20"/>
                <w:szCs w:val="20"/>
              </w:rPr>
              <w:t xml:space="preserve">     Advice and learn-by doing training.</w:t>
            </w:r>
          </w:p>
        </w:tc>
        <w:tc>
          <w:tcPr>
            <w:tcW w:w="983" w:type="dxa"/>
            <w:tcBorders>
              <w:top w:val="nil"/>
              <w:left w:val="single" w:sz="4" w:space="0" w:color="auto"/>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9</w:t>
            </w:r>
          </w:p>
        </w:tc>
        <w:tc>
          <w:tcPr>
            <w:tcW w:w="1077" w:type="dxa"/>
            <w:tcBorders>
              <w:top w:val="nil"/>
              <w:left w:val="nil"/>
              <w:bottom w:val="single" w:sz="4" w:space="0" w:color="auto"/>
              <w:right w:val="single" w:sz="8" w:space="0" w:color="auto"/>
            </w:tcBorders>
            <w:shd w:val="clear" w:color="auto" w:fill="auto"/>
            <w:vAlign w:val="bottom"/>
            <w:hideMark/>
          </w:tcPr>
          <w:p w:rsidR="00FE53E1" w:rsidRDefault="00FE53E1">
            <w:pPr>
              <w:jc w:val="right"/>
              <w:rPr>
                <w:sz w:val="20"/>
                <w:szCs w:val="20"/>
              </w:rPr>
            </w:pPr>
            <w:r>
              <w:rPr>
                <w:sz w:val="20"/>
                <w:szCs w:val="20"/>
              </w:rPr>
              <w:t>15,000</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135,000</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 </w:t>
            </w:r>
          </w:p>
        </w:tc>
        <w:tc>
          <w:tcPr>
            <w:tcW w:w="1080" w:type="dxa"/>
            <w:tcBorders>
              <w:top w:val="nil"/>
              <w:left w:val="single" w:sz="8" w:space="0" w:color="auto"/>
              <w:bottom w:val="single" w:sz="4" w:space="0" w:color="auto"/>
              <w:right w:val="single" w:sz="8" w:space="0" w:color="auto"/>
            </w:tcBorders>
            <w:shd w:val="clear" w:color="auto" w:fill="auto"/>
            <w:vAlign w:val="bottom"/>
            <w:hideMark/>
          </w:tcPr>
          <w:p w:rsidR="00FE53E1" w:rsidRDefault="00FE53E1">
            <w:pPr>
              <w:jc w:val="right"/>
              <w:rPr>
                <w:sz w:val="20"/>
                <w:szCs w:val="20"/>
              </w:rPr>
            </w:pPr>
            <w:r>
              <w:rPr>
                <w:sz w:val="20"/>
                <w:szCs w:val="20"/>
              </w:rPr>
              <w:t>135,000</w:t>
            </w:r>
          </w:p>
        </w:tc>
      </w:tr>
      <w:tr w:rsidR="00FE53E1" w:rsidTr="00FE53E1">
        <w:trPr>
          <w:trHeight w:val="255"/>
        </w:trPr>
        <w:tc>
          <w:tcPr>
            <w:tcW w:w="5660" w:type="dxa"/>
            <w:tcBorders>
              <w:top w:val="nil"/>
              <w:left w:val="single" w:sz="8" w:space="0" w:color="auto"/>
              <w:bottom w:val="single" w:sz="4" w:space="0" w:color="auto"/>
              <w:right w:val="nil"/>
            </w:tcBorders>
            <w:shd w:val="clear" w:color="auto" w:fill="auto"/>
            <w:hideMark/>
          </w:tcPr>
          <w:p w:rsidR="00FE53E1" w:rsidRDefault="00FE53E1">
            <w:pPr>
              <w:rPr>
                <w:sz w:val="20"/>
                <w:szCs w:val="20"/>
              </w:rPr>
            </w:pPr>
            <w:r>
              <w:rPr>
                <w:sz w:val="20"/>
                <w:szCs w:val="20"/>
              </w:rPr>
              <w:t xml:space="preserve">     Logistics/Operational</w:t>
            </w:r>
          </w:p>
        </w:tc>
        <w:tc>
          <w:tcPr>
            <w:tcW w:w="983" w:type="dxa"/>
            <w:tcBorders>
              <w:top w:val="nil"/>
              <w:left w:val="single" w:sz="4" w:space="0" w:color="auto"/>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5</w:t>
            </w:r>
          </w:p>
        </w:tc>
        <w:tc>
          <w:tcPr>
            <w:tcW w:w="1077" w:type="dxa"/>
            <w:tcBorders>
              <w:top w:val="nil"/>
              <w:left w:val="nil"/>
              <w:bottom w:val="single" w:sz="4" w:space="0" w:color="auto"/>
              <w:right w:val="single" w:sz="8" w:space="0" w:color="auto"/>
            </w:tcBorders>
            <w:shd w:val="clear" w:color="auto" w:fill="auto"/>
            <w:vAlign w:val="bottom"/>
            <w:hideMark/>
          </w:tcPr>
          <w:p w:rsidR="00FE53E1" w:rsidRDefault="00FE53E1">
            <w:pPr>
              <w:jc w:val="right"/>
              <w:rPr>
                <w:sz w:val="20"/>
                <w:szCs w:val="20"/>
              </w:rPr>
            </w:pPr>
            <w:r>
              <w:rPr>
                <w:sz w:val="20"/>
                <w:szCs w:val="20"/>
              </w:rPr>
              <w:t>3,000</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15,000</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0</w:t>
            </w:r>
          </w:p>
        </w:tc>
        <w:tc>
          <w:tcPr>
            <w:tcW w:w="1080" w:type="dxa"/>
            <w:tcBorders>
              <w:top w:val="nil"/>
              <w:left w:val="single" w:sz="8" w:space="0" w:color="auto"/>
              <w:bottom w:val="single" w:sz="4" w:space="0" w:color="auto"/>
              <w:right w:val="single" w:sz="8" w:space="0" w:color="auto"/>
            </w:tcBorders>
            <w:shd w:val="clear" w:color="auto" w:fill="auto"/>
            <w:vAlign w:val="bottom"/>
            <w:hideMark/>
          </w:tcPr>
          <w:p w:rsidR="00FE53E1" w:rsidRDefault="00FE53E1">
            <w:pPr>
              <w:jc w:val="right"/>
              <w:rPr>
                <w:sz w:val="20"/>
                <w:szCs w:val="20"/>
              </w:rPr>
            </w:pPr>
            <w:r>
              <w:rPr>
                <w:sz w:val="20"/>
                <w:szCs w:val="20"/>
              </w:rPr>
              <w:t>15,000</w:t>
            </w:r>
          </w:p>
        </w:tc>
      </w:tr>
      <w:tr w:rsidR="00FE53E1" w:rsidTr="00FE53E1">
        <w:trPr>
          <w:trHeight w:val="510"/>
        </w:trPr>
        <w:tc>
          <w:tcPr>
            <w:tcW w:w="5660" w:type="dxa"/>
            <w:tcBorders>
              <w:top w:val="nil"/>
              <w:left w:val="single" w:sz="8" w:space="0" w:color="auto"/>
              <w:bottom w:val="single" w:sz="4" w:space="0" w:color="auto"/>
              <w:right w:val="nil"/>
            </w:tcBorders>
            <w:shd w:val="clear" w:color="000000" w:fill="D9D9D9"/>
            <w:vAlign w:val="bottom"/>
            <w:hideMark/>
          </w:tcPr>
          <w:p w:rsidR="00FE53E1" w:rsidRDefault="00FE53E1">
            <w:pPr>
              <w:rPr>
                <w:b/>
                <w:bCs/>
                <w:sz w:val="20"/>
                <w:szCs w:val="20"/>
              </w:rPr>
            </w:pPr>
            <w:r>
              <w:rPr>
                <w:b/>
                <w:bCs/>
                <w:sz w:val="20"/>
                <w:szCs w:val="20"/>
              </w:rPr>
              <w:t>4.  Design and implementation of a CBvS human capital strengthening system</w:t>
            </w:r>
          </w:p>
        </w:tc>
        <w:tc>
          <w:tcPr>
            <w:tcW w:w="983" w:type="dxa"/>
            <w:tcBorders>
              <w:top w:val="nil"/>
              <w:left w:val="single" w:sz="4" w:space="0" w:color="auto"/>
              <w:bottom w:val="single" w:sz="4" w:space="0" w:color="auto"/>
              <w:right w:val="single" w:sz="4" w:space="0" w:color="auto"/>
            </w:tcBorders>
            <w:shd w:val="clear" w:color="000000" w:fill="D9D9D9"/>
            <w:vAlign w:val="bottom"/>
            <w:hideMark/>
          </w:tcPr>
          <w:p w:rsidR="00FE53E1" w:rsidRDefault="00FE53E1">
            <w:pPr>
              <w:rPr>
                <w:sz w:val="20"/>
                <w:szCs w:val="20"/>
              </w:rPr>
            </w:pPr>
            <w:r>
              <w:rPr>
                <w:sz w:val="20"/>
                <w:szCs w:val="20"/>
              </w:rPr>
              <w:t> </w:t>
            </w:r>
          </w:p>
        </w:tc>
        <w:tc>
          <w:tcPr>
            <w:tcW w:w="1077" w:type="dxa"/>
            <w:tcBorders>
              <w:top w:val="nil"/>
              <w:left w:val="nil"/>
              <w:bottom w:val="single" w:sz="4" w:space="0" w:color="auto"/>
              <w:right w:val="single" w:sz="8" w:space="0" w:color="auto"/>
            </w:tcBorders>
            <w:shd w:val="clear" w:color="000000" w:fill="D9D9D9"/>
            <w:vAlign w:val="bottom"/>
            <w:hideMark/>
          </w:tcPr>
          <w:p w:rsidR="00FE53E1" w:rsidRDefault="00FE53E1">
            <w:pPr>
              <w:jc w:val="right"/>
              <w:rPr>
                <w:sz w:val="20"/>
                <w:szCs w:val="20"/>
              </w:rPr>
            </w:pPr>
            <w:r>
              <w:rPr>
                <w:sz w:val="20"/>
                <w:szCs w:val="20"/>
              </w:rPr>
              <w:t> </w:t>
            </w:r>
          </w:p>
        </w:tc>
        <w:tc>
          <w:tcPr>
            <w:tcW w:w="960" w:type="dxa"/>
            <w:tcBorders>
              <w:top w:val="nil"/>
              <w:left w:val="nil"/>
              <w:bottom w:val="single" w:sz="4" w:space="0" w:color="auto"/>
              <w:right w:val="single" w:sz="4" w:space="0" w:color="auto"/>
            </w:tcBorders>
            <w:shd w:val="clear" w:color="000000" w:fill="D9D9D9"/>
            <w:vAlign w:val="bottom"/>
            <w:hideMark/>
          </w:tcPr>
          <w:p w:rsidR="00FE53E1" w:rsidRDefault="00FE53E1">
            <w:pPr>
              <w:jc w:val="right"/>
              <w:rPr>
                <w:b/>
                <w:bCs/>
                <w:sz w:val="20"/>
                <w:szCs w:val="20"/>
              </w:rPr>
            </w:pPr>
            <w:r>
              <w:rPr>
                <w:b/>
                <w:bCs/>
                <w:sz w:val="20"/>
                <w:szCs w:val="20"/>
              </w:rPr>
              <w:t>55,000</w:t>
            </w:r>
          </w:p>
        </w:tc>
        <w:tc>
          <w:tcPr>
            <w:tcW w:w="960" w:type="dxa"/>
            <w:tcBorders>
              <w:top w:val="nil"/>
              <w:left w:val="nil"/>
              <w:bottom w:val="single" w:sz="4" w:space="0" w:color="auto"/>
              <w:right w:val="single" w:sz="4" w:space="0" w:color="auto"/>
            </w:tcBorders>
            <w:shd w:val="clear" w:color="000000" w:fill="D9D9D9"/>
            <w:vAlign w:val="bottom"/>
            <w:hideMark/>
          </w:tcPr>
          <w:p w:rsidR="00FE53E1" w:rsidRDefault="00FE53E1">
            <w:pPr>
              <w:jc w:val="right"/>
              <w:rPr>
                <w:b/>
                <w:bCs/>
                <w:sz w:val="20"/>
                <w:szCs w:val="20"/>
              </w:rPr>
            </w:pPr>
            <w:r>
              <w:rPr>
                <w:b/>
                <w:bCs/>
                <w:sz w:val="20"/>
                <w:szCs w:val="20"/>
              </w:rPr>
              <w:t>50,000</w:t>
            </w:r>
          </w:p>
        </w:tc>
        <w:tc>
          <w:tcPr>
            <w:tcW w:w="960" w:type="dxa"/>
            <w:tcBorders>
              <w:top w:val="nil"/>
              <w:left w:val="nil"/>
              <w:bottom w:val="single" w:sz="4" w:space="0" w:color="auto"/>
              <w:right w:val="single" w:sz="4" w:space="0" w:color="auto"/>
            </w:tcBorders>
            <w:shd w:val="clear" w:color="000000" w:fill="D9D9D9"/>
            <w:vAlign w:val="bottom"/>
            <w:hideMark/>
          </w:tcPr>
          <w:p w:rsidR="00FE53E1" w:rsidRDefault="00FE53E1">
            <w:pPr>
              <w:jc w:val="right"/>
              <w:rPr>
                <w:b/>
                <w:bCs/>
                <w:sz w:val="20"/>
                <w:szCs w:val="20"/>
              </w:rPr>
            </w:pPr>
            <w:r>
              <w:rPr>
                <w:b/>
                <w:bCs/>
                <w:sz w:val="20"/>
                <w:szCs w:val="20"/>
              </w:rPr>
              <w:t>50,000</w:t>
            </w:r>
          </w:p>
        </w:tc>
        <w:tc>
          <w:tcPr>
            <w:tcW w:w="1080" w:type="dxa"/>
            <w:tcBorders>
              <w:top w:val="nil"/>
              <w:left w:val="single" w:sz="8" w:space="0" w:color="auto"/>
              <w:bottom w:val="single" w:sz="4" w:space="0" w:color="auto"/>
              <w:right w:val="single" w:sz="8" w:space="0" w:color="auto"/>
            </w:tcBorders>
            <w:shd w:val="clear" w:color="000000" w:fill="D9D9D9"/>
            <w:vAlign w:val="bottom"/>
            <w:hideMark/>
          </w:tcPr>
          <w:p w:rsidR="00FE53E1" w:rsidRDefault="00FE53E1">
            <w:pPr>
              <w:jc w:val="right"/>
              <w:rPr>
                <w:b/>
                <w:bCs/>
                <w:sz w:val="20"/>
                <w:szCs w:val="20"/>
              </w:rPr>
            </w:pPr>
            <w:r>
              <w:rPr>
                <w:b/>
                <w:bCs/>
                <w:sz w:val="20"/>
                <w:szCs w:val="20"/>
              </w:rPr>
              <w:t>155,000</w:t>
            </w:r>
          </w:p>
        </w:tc>
      </w:tr>
      <w:tr w:rsidR="00FE53E1" w:rsidTr="00FE53E1">
        <w:trPr>
          <w:trHeight w:val="255"/>
        </w:trPr>
        <w:tc>
          <w:tcPr>
            <w:tcW w:w="5660" w:type="dxa"/>
            <w:tcBorders>
              <w:top w:val="nil"/>
              <w:left w:val="single" w:sz="8" w:space="0" w:color="auto"/>
              <w:bottom w:val="single" w:sz="4" w:space="0" w:color="auto"/>
              <w:right w:val="nil"/>
            </w:tcBorders>
            <w:shd w:val="clear" w:color="auto" w:fill="auto"/>
            <w:vAlign w:val="bottom"/>
            <w:hideMark/>
          </w:tcPr>
          <w:p w:rsidR="00FE53E1" w:rsidRDefault="00FE53E1">
            <w:pPr>
              <w:rPr>
                <w:sz w:val="20"/>
                <w:szCs w:val="20"/>
              </w:rPr>
            </w:pPr>
            <w:r>
              <w:rPr>
                <w:sz w:val="20"/>
                <w:szCs w:val="20"/>
              </w:rPr>
              <w:t xml:space="preserve">     Design of system</w:t>
            </w:r>
          </w:p>
        </w:tc>
        <w:tc>
          <w:tcPr>
            <w:tcW w:w="983" w:type="dxa"/>
            <w:tcBorders>
              <w:top w:val="nil"/>
              <w:left w:val="single" w:sz="4" w:space="0" w:color="auto"/>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5</w:t>
            </w:r>
          </w:p>
        </w:tc>
        <w:tc>
          <w:tcPr>
            <w:tcW w:w="1077" w:type="dxa"/>
            <w:tcBorders>
              <w:top w:val="nil"/>
              <w:left w:val="nil"/>
              <w:bottom w:val="single" w:sz="4" w:space="0" w:color="auto"/>
              <w:right w:val="single" w:sz="8" w:space="0" w:color="auto"/>
            </w:tcBorders>
            <w:shd w:val="clear" w:color="auto" w:fill="auto"/>
            <w:vAlign w:val="bottom"/>
            <w:hideMark/>
          </w:tcPr>
          <w:p w:rsidR="00FE53E1" w:rsidRDefault="00FE53E1">
            <w:pPr>
              <w:jc w:val="right"/>
              <w:rPr>
                <w:sz w:val="20"/>
                <w:szCs w:val="20"/>
              </w:rPr>
            </w:pPr>
            <w:r>
              <w:rPr>
                <w:sz w:val="20"/>
                <w:szCs w:val="20"/>
              </w:rPr>
              <w:t>7,000</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35,000</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 </w:t>
            </w:r>
          </w:p>
        </w:tc>
        <w:tc>
          <w:tcPr>
            <w:tcW w:w="1080" w:type="dxa"/>
            <w:tcBorders>
              <w:top w:val="nil"/>
              <w:left w:val="single" w:sz="8" w:space="0" w:color="auto"/>
              <w:bottom w:val="single" w:sz="4" w:space="0" w:color="auto"/>
              <w:right w:val="single" w:sz="8" w:space="0" w:color="auto"/>
            </w:tcBorders>
            <w:shd w:val="clear" w:color="auto" w:fill="auto"/>
            <w:vAlign w:val="bottom"/>
            <w:hideMark/>
          </w:tcPr>
          <w:p w:rsidR="00FE53E1" w:rsidRDefault="00FE53E1">
            <w:pPr>
              <w:jc w:val="right"/>
              <w:rPr>
                <w:sz w:val="20"/>
                <w:szCs w:val="20"/>
              </w:rPr>
            </w:pPr>
            <w:r>
              <w:rPr>
                <w:sz w:val="20"/>
                <w:szCs w:val="20"/>
              </w:rPr>
              <w:t>35,000</w:t>
            </w:r>
          </w:p>
        </w:tc>
      </w:tr>
      <w:tr w:rsidR="00FE53E1" w:rsidTr="00FE53E1">
        <w:trPr>
          <w:trHeight w:val="255"/>
        </w:trPr>
        <w:tc>
          <w:tcPr>
            <w:tcW w:w="5660" w:type="dxa"/>
            <w:tcBorders>
              <w:top w:val="nil"/>
              <w:left w:val="single" w:sz="8" w:space="0" w:color="auto"/>
              <w:bottom w:val="single" w:sz="4" w:space="0" w:color="auto"/>
              <w:right w:val="nil"/>
            </w:tcBorders>
            <w:shd w:val="clear" w:color="auto" w:fill="auto"/>
            <w:vAlign w:val="bottom"/>
            <w:hideMark/>
          </w:tcPr>
          <w:p w:rsidR="00FE53E1" w:rsidRDefault="00FE53E1">
            <w:pPr>
              <w:rPr>
                <w:sz w:val="20"/>
                <w:szCs w:val="20"/>
              </w:rPr>
            </w:pPr>
            <w:r>
              <w:rPr>
                <w:sz w:val="20"/>
                <w:szCs w:val="20"/>
              </w:rPr>
              <w:t xml:space="preserve">    Training</w:t>
            </w:r>
          </w:p>
        </w:tc>
        <w:tc>
          <w:tcPr>
            <w:tcW w:w="983" w:type="dxa"/>
            <w:tcBorders>
              <w:top w:val="nil"/>
              <w:left w:val="single" w:sz="4" w:space="0" w:color="auto"/>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24</w:t>
            </w:r>
          </w:p>
        </w:tc>
        <w:tc>
          <w:tcPr>
            <w:tcW w:w="1077" w:type="dxa"/>
            <w:tcBorders>
              <w:top w:val="nil"/>
              <w:left w:val="nil"/>
              <w:bottom w:val="single" w:sz="4" w:space="0" w:color="auto"/>
              <w:right w:val="single" w:sz="8" w:space="0" w:color="auto"/>
            </w:tcBorders>
            <w:shd w:val="clear" w:color="auto" w:fill="auto"/>
            <w:vAlign w:val="bottom"/>
            <w:hideMark/>
          </w:tcPr>
          <w:p w:rsidR="00FE53E1" w:rsidRDefault="00FE53E1">
            <w:pPr>
              <w:jc w:val="right"/>
              <w:rPr>
                <w:sz w:val="20"/>
                <w:szCs w:val="20"/>
              </w:rPr>
            </w:pPr>
            <w:r>
              <w:rPr>
                <w:sz w:val="20"/>
                <w:szCs w:val="20"/>
              </w:rPr>
              <w:t>6,000</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20,000</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50,000</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50,000</w:t>
            </w:r>
          </w:p>
        </w:tc>
        <w:tc>
          <w:tcPr>
            <w:tcW w:w="1080" w:type="dxa"/>
            <w:tcBorders>
              <w:top w:val="nil"/>
              <w:left w:val="single" w:sz="8" w:space="0" w:color="auto"/>
              <w:bottom w:val="single" w:sz="4" w:space="0" w:color="auto"/>
              <w:right w:val="single" w:sz="8" w:space="0" w:color="auto"/>
            </w:tcBorders>
            <w:shd w:val="clear" w:color="auto" w:fill="auto"/>
            <w:vAlign w:val="bottom"/>
            <w:hideMark/>
          </w:tcPr>
          <w:p w:rsidR="00FE53E1" w:rsidRDefault="00FE53E1">
            <w:pPr>
              <w:jc w:val="right"/>
              <w:rPr>
                <w:sz w:val="20"/>
                <w:szCs w:val="20"/>
              </w:rPr>
            </w:pPr>
            <w:r>
              <w:rPr>
                <w:sz w:val="20"/>
                <w:szCs w:val="20"/>
              </w:rPr>
              <w:t>120,000</w:t>
            </w:r>
          </w:p>
        </w:tc>
      </w:tr>
      <w:tr w:rsidR="00FE53E1" w:rsidTr="00FE53E1">
        <w:trPr>
          <w:trHeight w:val="255"/>
        </w:trPr>
        <w:tc>
          <w:tcPr>
            <w:tcW w:w="5660" w:type="dxa"/>
            <w:tcBorders>
              <w:top w:val="nil"/>
              <w:left w:val="single" w:sz="8" w:space="0" w:color="auto"/>
              <w:bottom w:val="single" w:sz="4" w:space="0" w:color="auto"/>
              <w:right w:val="nil"/>
            </w:tcBorders>
            <w:shd w:val="clear" w:color="000000" w:fill="D9D9D9"/>
            <w:vAlign w:val="bottom"/>
            <w:hideMark/>
          </w:tcPr>
          <w:p w:rsidR="00FE53E1" w:rsidRDefault="00FE53E1">
            <w:pPr>
              <w:rPr>
                <w:b/>
                <w:bCs/>
                <w:sz w:val="20"/>
                <w:szCs w:val="20"/>
              </w:rPr>
            </w:pPr>
            <w:r>
              <w:rPr>
                <w:b/>
                <w:bCs/>
                <w:sz w:val="20"/>
                <w:szCs w:val="20"/>
              </w:rPr>
              <w:t>5.  Public Bank Reform</w:t>
            </w:r>
          </w:p>
        </w:tc>
        <w:tc>
          <w:tcPr>
            <w:tcW w:w="983" w:type="dxa"/>
            <w:tcBorders>
              <w:top w:val="nil"/>
              <w:left w:val="single" w:sz="4" w:space="0" w:color="auto"/>
              <w:bottom w:val="single" w:sz="4" w:space="0" w:color="auto"/>
              <w:right w:val="single" w:sz="4" w:space="0" w:color="auto"/>
            </w:tcBorders>
            <w:shd w:val="clear" w:color="000000" w:fill="D9D9D9"/>
            <w:vAlign w:val="bottom"/>
            <w:hideMark/>
          </w:tcPr>
          <w:p w:rsidR="00FE53E1" w:rsidRDefault="00FE53E1">
            <w:pPr>
              <w:rPr>
                <w:sz w:val="20"/>
                <w:szCs w:val="20"/>
              </w:rPr>
            </w:pPr>
            <w:r>
              <w:rPr>
                <w:sz w:val="20"/>
                <w:szCs w:val="20"/>
              </w:rPr>
              <w:t> </w:t>
            </w:r>
          </w:p>
        </w:tc>
        <w:tc>
          <w:tcPr>
            <w:tcW w:w="1077" w:type="dxa"/>
            <w:tcBorders>
              <w:top w:val="nil"/>
              <w:left w:val="nil"/>
              <w:bottom w:val="single" w:sz="4" w:space="0" w:color="auto"/>
              <w:right w:val="single" w:sz="8" w:space="0" w:color="auto"/>
            </w:tcBorders>
            <w:shd w:val="clear" w:color="000000" w:fill="D9D9D9"/>
            <w:vAlign w:val="bottom"/>
            <w:hideMark/>
          </w:tcPr>
          <w:p w:rsidR="00FE53E1" w:rsidRDefault="00FE53E1">
            <w:pPr>
              <w:jc w:val="right"/>
              <w:rPr>
                <w:sz w:val="20"/>
                <w:szCs w:val="20"/>
              </w:rPr>
            </w:pPr>
            <w:r>
              <w:rPr>
                <w:sz w:val="20"/>
                <w:szCs w:val="20"/>
              </w:rPr>
              <w:t> </w:t>
            </w:r>
          </w:p>
        </w:tc>
        <w:tc>
          <w:tcPr>
            <w:tcW w:w="960" w:type="dxa"/>
            <w:tcBorders>
              <w:top w:val="nil"/>
              <w:left w:val="nil"/>
              <w:bottom w:val="single" w:sz="4" w:space="0" w:color="auto"/>
              <w:right w:val="single" w:sz="4" w:space="0" w:color="auto"/>
            </w:tcBorders>
            <w:shd w:val="clear" w:color="000000" w:fill="D9D9D9"/>
            <w:vAlign w:val="bottom"/>
            <w:hideMark/>
          </w:tcPr>
          <w:p w:rsidR="00FE53E1" w:rsidRDefault="00FE53E1">
            <w:pPr>
              <w:jc w:val="right"/>
              <w:rPr>
                <w:b/>
                <w:bCs/>
                <w:sz w:val="20"/>
                <w:szCs w:val="20"/>
              </w:rPr>
            </w:pPr>
            <w:r>
              <w:rPr>
                <w:b/>
                <w:bCs/>
                <w:sz w:val="20"/>
                <w:szCs w:val="20"/>
              </w:rPr>
              <w:t>150,000</w:t>
            </w:r>
          </w:p>
        </w:tc>
        <w:tc>
          <w:tcPr>
            <w:tcW w:w="960" w:type="dxa"/>
            <w:tcBorders>
              <w:top w:val="nil"/>
              <w:left w:val="nil"/>
              <w:bottom w:val="single" w:sz="4" w:space="0" w:color="auto"/>
              <w:right w:val="single" w:sz="4" w:space="0" w:color="auto"/>
            </w:tcBorders>
            <w:shd w:val="clear" w:color="000000" w:fill="D9D9D9"/>
            <w:vAlign w:val="bottom"/>
            <w:hideMark/>
          </w:tcPr>
          <w:p w:rsidR="00FE53E1" w:rsidRDefault="00FE53E1">
            <w:pPr>
              <w:jc w:val="right"/>
              <w:rPr>
                <w:sz w:val="20"/>
                <w:szCs w:val="20"/>
              </w:rPr>
            </w:pPr>
            <w:r>
              <w:rPr>
                <w:sz w:val="20"/>
                <w:szCs w:val="20"/>
              </w:rPr>
              <w:t> </w:t>
            </w:r>
          </w:p>
        </w:tc>
        <w:tc>
          <w:tcPr>
            <w:tcW w:w="960" w:type="dxa"/>
            <w:tcBorders>
              <w:top w:val="nil"/>
              <w:left w:val="nil"/>
              <w:bottom w:val="single" w:sz="4" w:space="0" w:color="auto"/>
              <w:right w:val="single" w:sz="4" w:space="0" w:color="auto"/>
            </w:tcBorders>
            <w:shd w:val="clear" w:color="000000" w:fill="D9D9D9"/>
            <w:vAlign w:val="bottom"/>
            <w:hideMark/>
          </w:tcPr>
          <w:p w:rsidR="00FE53E1" w:rsidRDefault="00FE53E1">
            <w:pPr>
              <w:jc w:val="right"/>
              <w:rPr>
                <w:sz w:val="20"/>
                <w:szCs w:val="20"/>
              </w:rPr>
            </w:pPr>
            <w:r>
              <w:rPr>
                <w:sz w:val="20"/>
                <w:szCs w:val="20"/>
              </w:rPr>
              <w:t> </w:t>
            </w:r>
          </w:p>
        </w:tc>
        <w:tc>
          <w:tcPr>
            <w:tcW w:w="1080" w:type="dxa"/>
            <w:tcBorders>
              <w:top w:val="nil"/>
              <w:left w:val="single" w:sz="8" w:space="0" w:color="auto"/>
              <w:bottom w:val="single" w:sz="4" w:space="0" w:color="auto"/>
              <w:right w:val="single" w:sz="8" w:space="0" w:color="auto"/>
            </w:tcBorders>
            <w:shd w:val="clear" w:color="000000" w:fill="D9D9D9"/>
            <w:vAlign w:val="bottom"/>
            <w:hideMark/>
          </w:tcPr>
          <w:p w:rsidR="00FE53E1" w:rsidRDefault="00FE53E1">
            <w:pPr>
              <w:jc w:val="right"/>
              <w:rPr>
                <w:b/>
                <w:bCs/>
                <w:sz w:val="20"/>
                <w:szCs w:val="20"/>
              </w:rPr>
            </w:pPr>
            <w:r>
              <w:rPr>
                <w:b/>
                <w:bCs/>
                <w:sz w:val="20"/>
                <w:szCs w:val="20"/>
              </w:rPr>
              <w:t>150,000</w:t>
            </w:r>
          </w:p>
        </w:tc>
      </w:tr>
      <w:tr w:rsidR="00FE53E1" w:rsidTr="00FE53E1">
        <w:trPr>
          <w:trHeight w:val="255"/>
        </w:trPr>
        <w:tc>
          <w:tcPr>
            <w:tcW w:w="5660" w:type="dxa"/>
            <w:tcBorders>
              <w:top w:val="nil"/>
              <w:left w:val="single" w:sz="8" w:space="0" w:color="auto"/>
              <w:bottom w:val="single" w:sz="4" w:space="0" w:color="auto"/>
              <w:right w:val="nil"/>
            </w:tcBorders>
            <w:shd w:val="clear" w:color="auto" w:fill="auto"/>
            <w:noWrap/>
            <w:hideMark/>
          </w:tcPr>
          <w:p w:rsidR="00FE53E1" w:rsidRDefault="00FE53E1">
            <w:pPr>
              <w:rPr>
                <w:sz w:val="20"/>
                <w:szCs w:val="20"/>
              </w:rPr>
            </w:pPr>
            <w:r>
              <w:rPr>
                <w:sz w:val="20"/>
                <w:szCs w:val="20"/>
              </w:rPr>
              <w:t xml:space="preserve">     Design and implementation of reform</w:t>
            </w:r>
          </w:p>
        </w:tc>
        <w:tc>
          <w:tcPr>
            <w:tcW w:w="983" w:type="dxa"/>
            <w:tcBorders>
              <w:top w:val="nil"/>
              <w:left w:val="single" w:sz="4" w:space="0" w:color="auto"/>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9</w:t>
            </w:r>
          </w:p>
        </w:tc>
        <w:tc>
          <w:tcPr>
            <w:tcW w:w="1077" w:type="dxa"/>
            <w:tcBorders>
              <w:top w:val="nil"/>
              <w:left w:val="nil"/>
              <w:bottom w:val="single" w:sz="4" w:space="0" w:color="auto"/>
              <w:right w:val="single" w:sz="8" w:space="0" w:color="auto"/>
            </w:tcBorders>
            <w:shd w:val="clear" w:color="auto" w:fill="auto"/>
            <w:vAlign w:val="bottom"/>
            <w:hideMark/>
          </w:tcPr>
          <w:p w:rsidR="00FE53E1" w:rsidRDefault="00FE53E1">
            <w:pPr>
              <w:jc w:val="right"/>
              <w:rPr>
                <w:sz w:val="20"/>
                <w:szCs w:val="20"/>
              </w:rPr>
            </w:pPr>
            <w:r>
              <w:rPr>
                <w:sz w:val="20"/>
                <w:szCs w:val="20"/>
              </w:rPr>
              <w:t>15,000</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135,000</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 </w:t>
            </w:r>
          </w:p>
        </w:tc>
        <w:tc>
          <w:tcPr>
            <w:tcW w:w="1080" w:type="dxa"/>
            <w:tcBorders>
              <w:top w:val="nil"/>
              <w:left w:val="single" w:sz="8" w:space="0" w:color="auto"/>
              <w:bottom w:val="single" w:sz="4" w:space="0" w:color="auto"/>
              <w:right w:val="single" w:sz="8" w:space="0" w:color="auto"/>
            </w:tcBorders>
            <w:shd w:val="clear" w:color="auto" w:fill="auto"/>
            <w:vAlign w:val="bottom"/>
            <w:hideMark/>
          </w:tcPr>
          <w:p w:rsidR="00FE53E1" w:rsidRDefault="00FE53E1">
            <w:pPr>
              <w:jc w:val="right"/>
              <w:rPr>
                <w:sz w:val="20"/>
                <w:szCs w:val="20"/>
              </w:rPr>
            </w:pPr>
            <w:r>
              <w:rPr>
                <w:sz w:val="20"/>
                <w:szCs w:val="20"/>
              </w:rPr>
              <w:t>135,000</w:t>
            </w:r>
          </w:p>
        </w:tc>
      </w:tr>
      <w:tr w:rsidR="00FE53E1" w:rsidTr="00FE53E1">
        <w:trPr>
          <w:trHeight w:val="255"/>
        </w:trPr>
        <w:tc>
          <w:tcPr>
            <w:tcW w:w="5660" w:type="dxa"/>
            <w:tcBorders>
              <w:top w:val="nil"/>
              <w:left w:val="single" w:sz="8" w:space="0" w:color="auto"/>
              <w:bottom w:val="single" w:sz="4" w:space="0" w:color="auto"/>
              <w:right w:val="nil"/>
            </w:tcBorders>
            <w:shd w:val="clear" w:color="auto" w:fill="auto"/>
            <w:hideMark/>
          </w:tcPr>
          <w:p w:rsidR="00FE53E1" w:rsidRDefault="00FE53E1">
            <w:pPr>
              <w:rPr>
                <w:sz w:val="20"/>
                <w:szCs w:val="20"/>
              </w:rPr>
            </w:pPr>
            <w:r>
              <w:rPr>
                <w:sz w:val="20"/>
                <w:szCs w:val="20"/>
              </w:rPr>
              <w:t xml:space="preserve">     Logistics/Operational</w:t>
            </w:r>
          </w:p>
        </w:tc>
        <w:tc>
          <w:tcPr>
            <w:tcW w:w="983" w:type="dxa"/>
            <w:tcBorders>
              <w:top w:val="nil"/>
              <w:left w:val="single" w:sz="4" w:space="0" w:color="auto"/>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4</w:t>
            </w:r>
          </w:p>
        </w:tc>
        <w:tc>
          <w:tcPr>
            <w:tcW w:w="1077" w:type="dxa"/>
            <w:tcBorders>
              <w:top w:val="nil"/>
              <w:left w:val="nil"/>
              <w:bottom w:val="single" w:sz="4" w:space="0" w:color="auto"/>
              <w:right w:val="single" w:sz="8" w:space="0" w:color="auto"/>
            </w:tcBorders>
            <w:shd w:val="clear" w:color="auto" w:fill="auto"/>
            <w:vAlign w:val="bottom"/>
            <w:hideMark/>
          </w:tcPr>
          <w:p w:rsidR="00FE53E1" w:rsidRDefault="00FE53E1">
            <w:pPr>
              <w:jc w:val="right"/>
              <w:rPr>
                <w:sz w:val="20"/>
                <w:szCs w:val="20"/>
              </w:rPr>
            </w:pPr>
            <w:r>
              <w:rPr>
                <w:sz w:val="20"/>
                <w:szCs w:val="20"/>
              </w:rPr>
              <w:t>3,750</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15,000</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 </w:t>
            </w:r>
          </w:p>
        </w:tc>
        <w:tc>
          <w:tcPr>
            <w:tcW w:w="1080" w:type="dxa"/>
            <w:tcBorders>
              <w:top w:val="nil"/>
              <w:left w:val="single" w:sz="8" w:space="0" w:color="auto"/>
              <w:bottom w:val="single" w:sz="4" w:space="0" w:color="auto"/>
              <w:right w:val="single" w:sz="8" w:space="0" w:color="auto"/>
            </w:tcBorders>
            <w:shd w:val="clear" w:color="auto" w:fill="auto"/>
            <w:vAlign w:val="bottom"/>
            <w:hideMark/>
          </w:tcPr>
          <w:p w:rsidR="00FE53E1" w:rsidRDefault="00FE53E1">
            <w:pPr>
              <w:jc w:val="right"/>
              <w:rPr>
                <w:sz w:val="20"/>
                <w:szCs w:val="20"/>
              </w:rPr>
            </w:pPr>
            <w:r>
              <w:rPr>
                <w:sz w:val="20"/>
                <w:szCs w:val="20"/>
              </w:rPr>
              <w:t>15,000</w:t>
            </w:r>
          </w:p>
        </w:tc>
      </w:tr>
      <w:tr w:rsidR="00FE53E1" w:rsidTr="00FE53E1">
        <w:trPr>
          <w:trHeight w:val="255"/>
        </w:trPr>
        <w:tc>
          <w:tcPr>
            <w:tcW w:w="5660" w:type="dxa"/>
            <w:tcBorders>
              <w:top w:val="nil"/>
              <w:left w:val="single" w:sz="8" w:space="0" w:color="auto"/>
              <w:bottom w:val="single" w:sz="4" w:space="0" w:color="auto"/>
              <w:right w:val="nil"/>
            </w:tcBorders>
            <w:shd w:val="clear" w:color="000000" w:fill="D9D9D9"/>
            <w:noWrap/>
            <w:hideMark/>
          </w:tcPr>
          <w:p w:rsidR="00FE53E1" w:rsidRDefault="00FE53E1">
            <w:pPr>
              <w:rPr>
                <w:b/>
                <w:bCs/>
                <w:sz w:val="20"/>
                <w:szCs w:val="20"/>
              </w:rPr>
            </w:pPr>
            <w:r>
              <w:rPr>
                <w:b/>
                <w:bCs/>
                <w:sz w:val="20"/>
                <w:szCs w:val="20"/>
              </w:rPr>
              <w:t>6.  CBvS business and administrative procedures and systems</w:t>
            </w:r>
          </w:p>
        </w:tc>
        <w:tc>
          <w:tcPr>
            <w:tcW w:w="983" w:type="dxa"/>
            <w:tcBorders>
              <w:top w:val="nil"/>
              <w:left w:val="single" w:sz="4" w:space="0" w:color="auto"/>
              <w:bottom w:val="single" w:sz="4" w:space="0" w:color="auto"/>
              <w:right w:val="single" w:sz="4" w:space="0" w:color="auto"/>
            </w:tcBorders>
            <w:shd w:val="clear" w:color="000000" w:fill="D9D9D9"/>
            <w:vAlign w:val="bottom"/>
            <w:hideMark/>
          </w:tcPr>
          <w:p w:rsidR="00FE53E1" w:rsidRDefault="00FE53E1">
            <w:pPr>
              <w:rPr>
                <w:sz w:val="20"/>
                <w:szCs w:val="20"/>
              </w:rPr>
            </w:pPr>
            <w:r>
              <w:rPr>
                <w:sz w:val="20"/>
                <w:szCs w:val="20"/>
              </w:rPr>
              <w:t> </w:t>
            </w:r>
          </w:p>
        </w:tc>
        <w:tc>
          <w:tcPr>
            <w:tcW w:w="1077" w:type="dxa"/>
            <w:tcBorders>
              <w:top w:val="nil"/>
              <w:left w:val="nil"/>
              <w:bottom w:val="single" w:sz="4" w:space="0" w:color="auto"/>
              <w:right w:val="single" w:sz="8" w:space="0" w:color="auto"/>
            </w:tcBorders>
            <w:shd w:val="clear" w:color="000000" w:fill="D9D9D9"/>
            <w:vAlign w:val="bottom"/>
            <w:hideMark/>
          </w:tcPr>
          <w:p w:rsidR="00FE53E1" w:rsidRDefault="00FE53E1">
            <w:pPr>
              <w:jc w:val="right"/>
              <w:rPr>
                <w:sz w:val="20"/>
                <w:szCs w:val="20"/>
              </w:rPr>
            </w:pPr>
            <w:r>
              <w:rPr>
                <w:sz w:val="20"/>
                <w:szCs w:val="20"/>
              </w:rPr>
              <w:t> </w:t>
            </w:r>
          </w:p>
        </w:tc>
        <w:tc>
          <w:tcPr>
            <w:tcW w:w="960" w:type="dxa"/>
            <w:tcBorders>
              <w:top w:val="nil"/>
              <w:left w:val="nil"/>
              <w:bottom w:val="single" w:sz="4" w:space="0" w:color="auto"/>
              <w:right w:val="single" w:sz="4" w:space="0" w:color="auto"/>
            </w:tcBorders>
            <w:shd w:val="clear" w:color="000000" w:fill="D9D9D9"/>
            <w:vAlign w:val="bottom"/>
            <w:hideMark/>
          </w:tcPr>
          <w:p w:rsidR="00FE53E1" w:rsidRDefault="00FE53E1">
            <w:pPr>
              <w:jc w:val="right"/>
              <w:rPr>
                <w:b/>
                <w:bCs/>
                <w:sz w:val="20"/>
                <w:szCs w:val="20"/>
              </w:rPr>
            </w:pPr>
            <w:r>
              <w:rPr>
                <w:b/>
                <w:bCs/>
                <w:sz w:val="20"/>
                <w:szCs w:val="20"/>
              </w:rPr>
              <w:t>45,000</w:t>
            </w:r>
          </w:p>
        </w:tc>
        <w:tc>
          <w:tcPr>
            <w:tcW w:w="960" w:type="dxa"/>
            <w:tcBorders>
              <w:top w:val="nil"/>
              <w:left w:val="nil"/>
              <w:bottom w:val="single" w:sz="4" w:space="0" w:color="auto"/>
              <w:right w:val="single" w:sz="4" w:space="0" w:color="auto"/>
            </w:tcBorders>
            <w:shd w:val="clear" w:color="000000" w:fill="D9D9D9"/>
            <w:vAlign w:val="bottom"/>
            <w:hideMark/>
          </w:tcPr>
          <w:p w:rsidR="00FE53E1" w:rsidRDefault="00FE53E1">
            <w:pPr>
              <w:jc w:val="right"/>
              <w:rPr>
                <w:sz w:val="20"/>
                <w:szCs w:val="20"/>
              </w:rPr>
            </w:pPr>
            <w:r>
              <w:rPr>
                <w:sz w:val="20"/>
                <w:szCs w:val="20"/>
              </w:rPr>
              <w:t> </w:t>
            </w:r>
          </w:p>
        </w:tc>
        <w:tc>
          <w:tcPr>
            <w:tcW w:w="960" w:type="dxa"/>
            <w:tcBorders>
              <w:top w:val="nil"/>
              <w:left w:val="nil"/>
              <w:bottom w:val="single" w:sz="4" w:space="0" w:color="auto"/>
              <w:right w:val="single" w:sz="4" w:space="0" w:color="auto"/>
            </w:tcBorders>
            <w:shd w:val="clear" w:color="000000" w:fill="D9D9D9"/>
            <w:vAlign w:val="bottom"/>
            <w:hideMark/>
          </w:tcPr>
          <w:p w:rsidR="00FE53E1" w:rsidRDefault="00FE53E1">
            <w:pPr>
              <w:jc w:val="right"/>
              <w:rPr>
                <w:sz w:val="20"/>
                <w:szCs w:val="20"/>
              </w:rPr>
            </w:pPr>
            <w:r>
              <w:rPr>
                <w:sz w:val="20"/>
                <w:szCs w:val="20"/>
              </w:rPr>
              <w:t> </w:t>
            </w:r>
          </w:p>
        </w:tc>
        <w:tc>
          <w:tcPr>
            <w:tcW w:w="1080" w:type="dxa"/>
            <w:tcBorders>
              <w:top w:val="nil"/>
              <w:left w:val="single" w:sz="8" w:space="0" w:color="auto"/>
              <w:bottom w:val="single" w:sz="4" w:space="0" w:color="auto"/>
              <w:right w:val="single" w:sz="8" w:space="0" w:color="auto"/>
            </w:tcBorders>
            <w:shd w:val="clear" w:color="000000" w:fill="D9D9D9"/>
            <w:vAlign w:val="bottom"/>
            <w:hideMark/>
          </w:tcPr>
          <w:p w:rsidR="00FE53E1" w:rsidRDefault="00FE53E1">
            <w:pPr>
              <w:jc w:val="right"/>
              <w:rPr>
                <w:b/>
                <w:bCs/>
                <w:sz w:val="20"/>
                <w:szCs w:val="20"/>
              </w:rPr>
            </w:pPr>
            <w:r>
              <w:rPr>
                <w:b/>
                <w:bCs/>
                <w:sz w:val="20"/>
                <w:szCs w:val="20"/>
              </w:rPr>
              <w:t>45,000</w:t>
            </w:r>
          </w:p>
        </w:tc>
      </w:tr>
      <w:tr w:rsidR="00FE53E1" w:rsidTr="00FE53E1">
        <w:trPr>
          <w:trHeight w:val="255"/>
        </w:trPr>
        <w:tc>
          <w:tcPr>
            <w:tcW w:w="5660" w:type="dxa"/>
            <w:tcBorders>
              <w:top w:val="nil"/>
              <w:left w:val="single" w:sz="8" w:space="0" w:color="auto"/>
              <w:bottom w:val="single" w:sz="4" w:space="0" w:color="auto"/>
              <w:right w:val="nil"/>
            </w:tcBorders>
            <w:shd w:val="clear" w:color="auto" w:fill="auto"/>
            <w:vAlign w:val="bottom"/>
            <w:hideMark/>
          </w:tcPr>
          <w:p w:rsidR="00FE53E1" w:rsidRDefault="00FE53E1">
            <w:pPr>
              <w:rPr>
                <w:sz w:val="20"/>
                <w:szCs w:val="20"/>
              </w:rPr>
            </w:pPr>
            <w:r>
              <w:rPr>
                <w:sz w:val="20"/>
                <w:szCs w:val="20"/>
              </w:rPr>
              <w:t xml:space="preserve">     Design and implementation new procedures and systems</w:t>
            </w:r>
          </w:p>
        </w:tc>
        <w:tc>
          <w:tcPr>
            <w:tcW w:w="983" w:type="dxa"/>
            <w:tcBorders>
              <w:top w:val="nil"/>
              <w:left w:val="single" w:sz="4" w:space="0" w:color="auto"/>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4</w:t>
            </w:r>
          </w:p>
        </w:tc>
        <w:tc>
          <w:tcPr>
            <w:tcW w:w="1077" w:type="dxa"/>
            <w:tcBorders>
              <w:top w:val="nil"/>
              <w:left w:val="nil"/>
              <w:bottom w:val="single" w:sz="4" w:space="0" w:color="auto"/>
              <w:right w:val="single" w:sz="8" w:space="0" w:color="auto"/>
            </w:tcBorders>
            <w:shd w:val="clear" w:color="auto" w:fill="auto"/>
            <w:vAlign w:val="bottom"/>
            <w:hideMark/>
          </w:tcPr>
          <w:p w:rsidR="00FE53E1" w:rsidRDefault="00FE53E1">
            <w:pPr>
              <w:jc w:val="right"/>
              <w:rPr>
                <w:sz w:val="20"/>
                <w:szCs w:val="20"/>
              </w:rPr>
            </w:pPr>
            <w:r>
              <w:rPr>
                <w:sz w:val="20"/>
                <w:szCs w:val="20"/>
              </w:rPr>
              <w:t>10,000</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40,000</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 </w:t>
            </w:r>
          </w:p>
        </w:tc>
        <w:tc>
          <w:tcPr>
            <w:tcW w:w="1080" w:type="dxa"/>
            <w:tcBorders>
              <w:top w:val="nil"/>
              <w:left w:val="single" w:sz="8" w:space="0" w:color="auto"/>
              <w:bottom w:val="single" w:sz="4" w:space="0" w:color="auto"/>
              <w:right w:val="single" w:sz="8" w:space="0" w:color="auto"/>
            </w:tcBorders>
            <w:shd w:val="clear" w:color="auto" w:fill="auto"/>
            <w:vAlign w:val="bottom"/>
            <w:hideMark/>
          </w:tcPr>
          <w:p w:rsidR="00FE53E1" w:rsidRDefault="00FE53E1">
            <w:pPr>
              <w:jc w:val="right"/>
              <w:rPr>
                <w:sz w:val="20"/>
                <w:szCs w:val="20"/>
              </w:rPr>
            </w:pPr>
            <w:r>
              <w:rPr>
                <w:sz w:val="20"/>
                <w:szCs w:val="20"/>
              </w:rPr>
              <w:t>40,000</w:t>
            </w:r>
          </w:p>
        </w:tc>
      </w:tr>
      <w:tr w:rsidR="00FE53E1" w:rsidTr="00FE53E1">
        <w:trPr>
          <w:trHeight w:val="255"/>
        </w:trPr>
        <w:tc>
          <w:tcPr>
            <w:tcW w:w="5660" w:type="dxa"/>
            <w:tcBorders>
              <w:top w:val="nil"/>
              <w:left w:val="single" w:sz="8" w:space="0" w:color="auto"/>
              <w:bottom w:val="single" w:sz="4" w:space="0" w:color="auto"/>
              <w:right w:val="nil"/>
            </w:tcBorders>
            <w:shd w:val="clear" w:color="auto" w:fill="auto"/>
            <w:hideMark/>
          </w:tcPr>
          <w:p w:rsidR="00FE53E1" w:rsidRDefault="00FE53E1">
            <w:pPr>
              <w:rPr>
                <w:sz w:val="20"/>
                <w:szCs w:val="20"/>
              </w:rPr>
            </w:pPr>
            <w:r>
              <w:rPr>
                <w:sz w:val="20"/>
                <w:szCs w:val="20"/>
              </w:rPr>
              <w:t xml:space="preserve">     Logistics/Operational</w:t>
            </w:r>
          </w:p>
        </w:tc>
        <w:tc>
          <w:tcPr>
            <w:tcW w:w="983" w:type="dxa"/>
            <w:tcBorders>
              <w:top w:val="nil"/>
              <w:left w:val="single" w:sz="4" w:space="0" w:color="auto"/>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1</w:t>
            </w:r>
          </w:p>
        </w:tc>
        <w:tc>
          <w:tcPr>
            <w:tcW w:w="1077" w:type="dxa"/>
            <w:tcBorders>
              <w:top w:val="nil"/>
              <w:left w:val="nil"/>
              <w:bottom w:val="single" w:sz="4" w:space="0" w:color="auto"/>
              <w:right w:val="single" w:sz="8" w:space="0" w:color="auto"/>
            </w:tcBorders>
            <w:shd w:val="clear" w:color="auto" w:fill="auto"/>
            <w:vAlign w:val="bottom"/>
            <w:hideMark/>
          </w:tcPr>
          <w:p w:rsidR="00FE53E1" w:rsidRDefault="00FE53E1">
            <w:pPr>
              <w:jc w:val="right"/>
              <w:rPr>
                <w:sz w:val="20"/>
                <w:szCs w:val="20"/>
              </w:rPr>
            </w:pPr>
            <w:r>
              <w:rPr>
                <w:sz w:val="20"/>
                <w:szCs w:val="20"/>
              </w:rPr>
              <w:t>3,750</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5,000</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FE53E1" w:rsidRDefault="00FE53E1">
            <w:pPr>
              <w:jc w:val="right"/>
              <w:rPr>
                <w:sz w:val="20"/>
                <w:szCs w:val="20"/>
              </w:rPr>
            </w:pPr>
            <w:r>
              <w:rPr>
                <w:sz w:val="20"/>
                <w:szCs w:val="20"/>
              </w:rPr>
              <w:t> </w:t>
            </w:r>
          </w:p>
        </w:tc>
        <w:tc>
          <w:tcPr>
            <w:tcW w:w="1080" w:type="dxa"/>
            <w:tcBorders>
              <w:top w:val="nil"/>
              <w:left w:val="single" w:sz="8" w:space="0" w:color="auto"/>
              <w:bottom w:val="single" w:sz="4" w:space="0" w:color="auto"/>
              <w:right w:val="single" w:sz="8" w:space="0" w:color="auto"/>
            </w:tcBorders>
            <w:shd w:val="clear" w:color="auto" w:fill="auto"/>
            <w:vAlign w:val="bottom"/>
            <w:hideMark/>
          </w:tcPr>
          <w:p w:rsidR="00FE53E1" w:rsidRDefault="00FE53E1">
            <w:pPr>
              <w:jc w:val="right"/>
              <w:rPr>
                <w:sz w:val="20"/>
                <w:szCs w:val="20"/>
              </w:rPr>
            </w:pPr>
            <w:r>
              <w:rPr>
                <w:sz w:val="20"/>
                <w:szCs w:val="20"/>
              </w:rPr>
              <w:t>5,000</w:t>
            </w:r>
          </w:p>
        </w:tc>
      </w:tr>
      <w:tr w:rsidR="00FE53E1" w:rsidTr="00FE53E1">
        <w:trPr>
          <w:trHeight w:val="255"/>
        </w:trPr>
        <w:tc>
          <w:tcPr>
            <w:tcW w:w="5660" w:type="dxa"/>
            <w:tcBorders>
              <w:top w:val="nil"/>
              <w:left w:val="single" w:sz="8" w:space="0" w:color="auto"/>
              <w:bottom w:val="single" w:sz="4" w:space="0" w:color="auto"/>
              <w:right w:val="nil"/>
            </w:tcBorders>
            <w:shd w:val="clear" w:color="000000" w:fill="D9D9D9"/>
            <w:vAlign w:val="bottom"/>
            <w:hideMark/>
          </w:tcPr>
          <w:p w:rsidR="00FE53E1" w:rsidRDefault="00FE53E1">
            <w:pPr>
              <w:rPr>
                <w:b/>
                <w:bCs/>
                <w:sz w:val="20"/>
                <w:szCs w:val="20"/>
              </w:rPr>
            </w:pPr>
            <w:r>
              <w:rPr>
                <w:b/>
                <w:bCs/>
                <w:sz w:val="20"/>
                <w:szCs w:val="20"/>
              </w:rPr>
              <w:t>Administration</w:t>
            </w:r>
          </w:p>
        </w:tc>
        <w:tc>
          <w:tcPr>
            <w:tcW w:w="983" w:type="dxa"/>
            <w:tcBorders>
              <w:top w:val="nil"/>
              <w:left w:val="single" w:sz="4" w:space="0" w:color="auto"/>
              <w:bottom w:val="single" w:sz="4" w:space="0" w:color="auto"/>
              <w:right w:val="single" w:sz="4" w:space="0" w:color="auto"/>
            </w:tcBorders>
            <w:shd w:val="clear" w:color="000000" w:fill="D9D9D9"/>
            <w:vAlign w:val="bottom"/>
            <w:hideMark/>
          </w:tcPr>
          <w:p w:rsidR="00FE53E1" w:rsidRDefault="00FE53E1">
            <w:pPr>
              <w:rPr>
                <w:sz w:val="20"/>
                <w:szCs w:val="20"/>
              </w:rPr>
            </w:pPr>
            <w:r>
              <w:rPr>
                <w:sz w:val="20"/>
                <w:szCs w:val="20"/>
              </w:rPr>
              <w:t> </w:t>
            </w:r>
          </w:p>
        </w:tc>
        <w:tc>
          <w:tcPr>
            <w:tcW w:w="1077" w:type="dxa"/>
            <w:tcBorders>
              <w:top w:val="nil"/>
              <w:left w:val="nil"/>
              <w:bottom w:val="single" w:sz="4" w:space="0" w:color="auto"/>
              <w:right w:val="single" w:sz="8" w:space="0" w:color="auto"/>
            </w:tcBorders>
            <w:shd w:val="clear" w:color="000000" w:fill="D9D9D9"/>
            <w:vAlign w:val="bottom"/>
            <w:hideMark/>
          </w:tcPr>
          <w:p w:rsidR="00FE53E1" w:rsidRDefault="00FE53E1">
            <w:pPr>
              <w:jc w:val="right"/>
              <w:rPr>
                <w:sz w:val="20"/>
                <w:szCs w:val="20"/>
              </w:rPr>
            </w:pPr>
            <w:r>
              <w:rPr>
                <w:sz w:val="20"/>
                <w:szCs w:val="20"/>
              </w:rPr>
              <w:t> </w:t>
            </w:r>
          </w:p>
        </w:tc>
        <w:tc>
          <w:tcPr>
            <w:tcW w:w="960" w:type="dxa"/>
            <w:tcBorders>
              <w:top w:val="nil"/>
              <w:left w:val="nil"/>
              <w:bottom w:val="single" w:sz="4" w:space="0" w:color="auto"/>
              <w:right w:val="single" w:sz="4" w:space="0" w:color="auto"/>
            </w:tcBorders>
            <w:shd w:val="clear" w:color="000000" w:fill="D9D9D9"/>
            <w:vAlign w:val="bottom"/>
            <w:hideMark/>
          </w:tcPr>
          <w:p w:rsidR="00FE53E1" w:rsidRDefault="00FE53E1">
            <w:pPr>
              <w:jc w:val="right"/>
              <w:rPr>
                <w:sz w:val="20"/>
                <w:szCs w:val="20"/>
              </w:rPr>
            </w:pPr>
            <w:r>
              <w:rPr>
                <w:sz w:val="20"/>
                <w:szCs w:val="20"/>
              </w:rPr>
              <w:t> </w:t>
            </w:r>
          </w:p>
        </w:tc>
        <w:tc>
          <w:tcPr>
            <w:tcW w:w="960" w:type="dxa"/>
            <w:tcBorders>
              <w:top w:val="nil"/>
              <w:left w:val="nil"/>
              <w:bottom w:val="single" w:sz="4" w:space="0" w:color="auto"/>
              <w:right w:val="single" w:sz="4" w:space="0" w:color="auto"/>
            </w:tcBorders>
            <w:shd w:val="clear" w:color="000000" w:fill="D9D9D9"/>
            <w:vAlign w:val="bottom"/>
            <w:hideMark/>
          </w:tcPr>
          <w:p w:rsidR="00FE53E1" w:rsidRDefault="00FE53E1">
            <w:pPr>
              <w:jc w:val="right"/>
              <w:rPr>
                <w:sz w:val="20"/>
                <w:szCs w:val="20"/>
              </w:rPr>
            </w:pPr>
            <w:r>
              <w:rPr>
                <w:sz w:val="20"/>
                <w:szCs w:val="20"/>
              </w:rPr>
              <w:t> </w:t>
            </w:r>
          </w:p>
        </w:tc>
        <w:tc>
          <w:tcPr>
            <w:tcW w:w="960" w:type="dxa"/>
            <w:tcBorders>
              <w:top w:val="nil"/>
              <w:left w:val="nil"/>
              <w:bottom w:val="single" w:sz="4" w:space="0" w:color="auto"/>
              <w:right w:val="single" w:sz="4" w:space="0" w:color="auto"/>
            </w:tcBorders>
            <w:shd w:val="clear" w:color="000000" w:fill="D9D9D9"/>
            <w:vAlign w:val="bottom"/>
            <w:hideMark/>
          </w:tcPr>
          <w:p w:rsidR="00FE53E1" w:rsidRDefault="00FE53E1">
            <w:pPr>
              <w:jc w:val="right"/>
              <w:rPr>
                <w:b/>
                <w:bCs/>
                <w:sz w:val="20"/>
                <w:szCs w:val="20"/>
              </w:rPr>
            </w:pPr>
            <w:r>
              <w:rPr>
                <w:b/>
                <w:bCs/>
                <w:sz w:val="20"/>
                <w:szCs w:val="20"/>
              </w:rPr>
              <w:t>50,000</w:t>
            </w:r>
          </w:p>
        </w:tc>
        <w:tc>
          <w:tcPr>
            <w:tcW w:w="1080" w:type="dxa"/>
            <w:tcBorders>
              <w:top w:val="nil"/>
              <w:left w:val="single" w:sz="8" w:space="0" w:color="auto"/>
              <w:bottom w:val="single" w:sz="4" w:space="0" w:color="auto"/>
              <w:right w:val="single" w:sz="8" w:space="0" w:color="auto"/>
            </w:tcBorders>
            <w:shd w:val="clear" w:color="000000" w:fill="D9D9D9"/>
            <w:vAlign w:val="bottom"/>
            <w:hideMark/>
          </w:tcPr>
          <w:p w:rsidR="00FE53E1" w:rsidRDefault="00FE53E1">
            <w:pPr>
              <w:jc w:val="right"/>
              <w:rPr>
                <w:b/>
                <w:bCs/>
                <w:sz w:val="20"/>
                <w:szCs w:val="20"/>
              </w:rPr>
            </w:pPr>
            <w:r>
              <w:rPr>
                <w:b/>
                <w:bCs/>
                <w:sz w:val="20"/>
                <w:szCs w:val="20"/>
              </w:rPr>
              <w:t>50,000</w:t>
            </w:r>
          </w:p>
        </w:tc>
      </w:tr>
      <w:tr w:rsidR="00FE53E1" w:rsidTr="00FE53E1">
        <w:trPr>
          <w:trHeight w:val="255"/>
        </w:trPr>
        <w:tc>
          <w:tcPr>
            <w:tcW w:w="5660" w:type="dxa"/>
            <w:tcBorders>
              <w:top w:val="nil"/>
              <w:left w:val="single" w:sz="8" w:space="0" w:color="auto"/>
              <w:bottom w:val="single" w:sz="4" w:space="0" w:color="auto"/>
              <w:right w:val="nil"/>
            </w:tcBorders>
            <w:shd w:val="clear" w:color="000000" w:fill="D9D9D9"/>
            <w:vAlign w:val="bottom"/>
            <w:hideMark/>
          </w:tcPr>
          <w:p w:rsidR="00FE53E1" w:rsidRDefault="00FE53E1">
            <w:pPr>
              <w:rPr>
                <w:b/>
                <w:bCs/>
                <w:sz w:val="20"/>
                <w:szCs w:val="20"/>
              </w:rPr>
            </w:pPr>
            <w:r>
              <w:rPr>
                <w:b/>
                <w:bCs/>
                <w:sz w:val="20"/>
                <w:szCs w:val="20"/>
              </w:rPr>
              <w:t>Audit</w:t>
            </w:r>
          </w:p>
        </w:tc>
        <w:tc>
          <w:tcPr>
            <w:tcW w:w="983" w:type="dxa"/>
            <w:tcBorders>
              <w:top w:val="nil"/>
              <w:left w:val="single" w:sz="4" w:space="0" w:color="auto"/>
              <w:bottom w:val="single" w:sz="4" w:space="0" w:color="auto"/>
              <w:right w:val="single" w:sz="4" w:space="0" w:color="auto"/>
            </w:tcBorders>
            <w:shd w:val="clear" w:color="000000" w:fill="D9D9D9"/>
            <w:vAlign w:val="bottom"/>
            <w:hideMark/>
          </w:tcPr>
          <w:p w:rsidR="00FE53E1" w:rsidRDefault="00FE53E1">
            <w:pPr>
              <w:rPr>
                <w:sz w:val="20"/>
                <w:szCs w:val="20"/>
              </w:rPr>
            </w:pPr>
            <w:r>
              <w:rPr>
                <w:sz w:val="20"/>
                <w:szCs w:val="20"/>
              </w:rPr>
              <w:t> </w:t>
            </w:r>
          </w:p>
        </w:tc>
        <w:tc>
          <w:tcPr>
            <w:tcW w:w="1077" w:type="dxa"/>
            <w:tcBorders>
              <w:top w:val="nil"/>
              <w:left w:val="nil"/>
              <w:bottom w:val="single" w:sz="4" w:space="0" w:color="auto"/>
              <w:right w:val="single" w:sz="8" w:space="0" w:color="auto"/>
            </w:tcBorders>
            <w:shd w:val="clear" w:color="000000" w:fill="D9D9D9"/>
            <w:vAlign w:val="bottom"/>
            <w:hideMark/>
          </w:tcPr>
          <w:p w:rsidR="00FE53E1" w:rsidRDefault="00FE53E1">
            <w:pPr>
              <w:jc w:val="right"/>
              <w:rPr>
                <w:sz w:val="20"/>
                <w:szCs w:val="20"/>
              </w:rPr>
            </w:pPr>
            <w:r>
              <w:rPr>
                <w:sz w:val="20"/>
                <w:szCs w:val="20"/>
              </w:rPr>
              <w:t> </w:t>
            </w:r>
          </w:p>
        </w:tc>
        <w:tc>
          <w:tcPr>
            <w:tcW w:w="960" w:type="dxa"/>
            <w:tcBorders>
              <w:top w:val="nil"/>
              <w:left w:val="nil"/>
              <w:bottom w:val="single" w:sz="4" w:space="0" w:color="auto"/>
              <w:right w:val="single" w:sz="4" w:space="0" w:color="auto"/>
            </w:tcBorders>
            <w:shd w:val="clear" w:color="000000" w:fill="D9D9D9"/>
            <w:vAlign w:val="bottom"/>
            <w:hideMark/>
          </w:tcPr>
          <w:p w:rsidR="00FE53E1" w:rsidRDefault="00FE53E1">
            <w:pPr>
              <w:jc w:val="right"/>
              <w:rPr>
                <w:sz w:val="20"/>
                <w:szCs w:val="20"/>
              </w:rPr>
            </w:pPr>
            <w:r>
              <w:rPr>
                <w:sz w:val="20"/>
                <w:szCs w:val="20"/>
              </w:rPr>
              <w:t> </w:t>
            </w:r>
          </w:p>
        </w:tc>
        <w:tc>
          <w:tcPr>
            <w:tcW w:w="960" w:type="dxa"/>
            <w:tcBorders>
              <w:top w:val="nil"/>
              <w:left w:val="nil"/>
              <w:bottom w:val="single" w:sz="4" w:space="0" w:color="auto"/>
              <w:right w:val="single" w:sz="4" w:space="0" w:color="auto"/>
            </w:tcBorders>
            <w:shd w:val="clear" w:color="000000" w:fill="D9D9D9"/>
            <w:vAlign w:val="bottom"/>
            <w:hideMark/>
          </w:tcPr>
          <w:p w:rsidR="00FE53E1" w:rsidRDefault="00FE53E1">
            <w:pPr>
              <w:jc w:val="right"/>
              <w:rPr>
                <w:b/>
                <w:bCs/>
                <w:sz w:val="20"/>
                <w:szCs w:val="20"/>
              </w:rPr>
            </w:pPr>
            <w:r>
              <w:rPr>
                <w:b/>
                <w:bCs/>
                <w:sz w:val="20"/>
                <w:szCs w:val="20"/>
              </w:rPr>
              <w:t>20,000</w:t>
            </w:r>
          </w:p>
        </w:tc>
        <w:tc>
          <w:tcPr>
            <w:tcW w:w="960" w:type="dxa"/>
            <w:tcBorders>
              <w:top w:val="nil"/>
              <w:left w:val="nil"/>
              <w:bottom w:val="single" w:sz="4" w:space="0" w:color="auto"/>
              <w:right w:val="single" w:sz="4" w:space="0" w:color="auto"/>
            </w:tcBorders>
            <w:shd w:val="clear" w:color="000000" w:fill="D9D9D9"/>
            <w:vAlign w:val="bottom"/>
            <w:hideMark/>
          </w:tcPr>
          <w:p w:rsidR="00FE53E1" w:rsidRDefault="00FE53E1">
            <w:pPr>
              <w:jc w:val="right"/>
              <w:rPr>
                <w:sz w:val="20"/>
                <w:szCs w:val="20"/>
              </w:rPr>
            </w:pPr>
            <w:r>
              <w:rPr>
                <w:sz w:val="20"/>
                <w:szCs w:val="20"/>
              </w:rPr>
              <w:t> </w:t>
            </w:r>
          </w:p>
        </w:tc>
        <w:tc>
          <w:tcPr>
            <w:tcW w:w="1080" w:type="dxa"/>
            <w:tcBorders>
              <w:top w:val="nil"/>
              <w:left w:val="single" w:sz="8" w:space="0" w:color="auto"/>
              <w:bottom w:val="single" w:sz="4" w:space="0" w:color="auto"/>
              <w:right w:val="single" w:sz="8" w:space="0" w:color="auto"/>
            </w:tcBorders>
            <w:shd w:val="clear" w:color="000000" w:fill="D9D9D9"/>
            <w:vAlign w:val="bottom"/>
            <w:hideMark/>
          </w:tcPr>
          <w:p w:rsidR="00FE53E1" w:rsidRDefault="00FE53E1">
            <w:pPr>
              <w:jc w:val="right"/>
              <w:rPr>
                <w:b/>
                <w:bCs/>
                <w:sz w:val="20"/>
                <w:szCs w:val="20"/>
              </w:rPr>
            </w:pPr>
            <w:r>
              <w:rPr>
                <w:b/>
                <w:bCs/>
                <w:sz w:val="20"/>
                <w:szCs w:val="20"/>
              </w:rPr>
              <w:t>20,000</w:t>
            </w:r>
          </w:p>
        </w:tc>
      </w:tr>
      <w:tr w:rsidR="00FE53E1" w:rsidTr="00FE53E1">
        <w:trPr>
          <w:trHeight w:val="255"/>
        </w:trPr>
        <w:tc>
          <w:tcPr>
            <w:tcW w:w="5660" w:type="dxa"/>
            <w:tcBorders>
              <w:top w:val="nil"/>
              <w:left w:val="single" w:sz="8" w:space="0" w:color="auto"/>
              <w:bottom w:val="single" w:sz="4" w:space="0" w:color="auto"/>
              <w:right w:val="nil"/>
            </w:tcBorders>
            <w:shd w:val="clear" w:color="000000" w:fill="A6A6A6"/>
            <w:vAlign w:val="center"/>
            <w:hideMark/>
          </w:tcPr>
          <w:p w:rsidR="00FE53E1" w:rsidRDefault="00FE53E1">
            <w:pPr>
              <w:rPr>
                <w:b/>
                <w:bCs/>
                <w:sz w:val="20"/>
                <w:szCs w:val="20"/>
              </w:rPr>
            </w:pPr>
            <w:r>
              <w:rPr>
                <w:b/>
                <w:bCs/>
                <w:sz w:val="20"/>
                <w:szCs w:val="20"/>
              </w:rPr>
              <w:t>TOTAL</w:t>
            </w:r>
          </w:p>
        </w:tc>
        <w:tc>
          <w:tcPr>
            <w:tcW w:w="983" w:type="dxa"/>
            <w:tcBorders>
              <w:top w:val="nil"/>
              <w:left w:val="single" w:sz="4" w:space="0" w:color="auto"/>
              <w:bottom w:val="single" w:sz="4" w:space="0" w:color="auto"/>
              <w:right w:val="single" w:sz="4" w:space="0" w:color="auto"/>
            </w:tcBorders>
            <w:shd w:val="clear" w:color="000000" w:fill="A6A6A6"/>
            <w:vAlign w:val="bottom"/>
            <w:hideMark/>
          </w:tcPr>
          <w:p w:rsidR="00FE53E1" w:rsidRDefault="00FE53E1">
            <w:pPr>
              <w:rPr>
                <w:b/>
                <w:bCs/>
                <w:sz w:val="20"/>
                <w:szCs w:val="20"/>
              </w:rPr>
            </w:pPr>
            <w:r>
              <w:rPr>
                <w:b/>
                <w:bCs/>
                <w:sz w:val="20"/>
                <w:szCs w:val="20"/>
              </w:rPr>
              <w:t> </w:t>
            </w:r>
          </w:p>
        </w:tc>
        <w:tc>
          <w:tcPr>
            <w:tcW w:w="1077" w:type="dxa"/>
            <w:tcBorders>
              <w:top w:val="nil"/>
              <w:left w:val="nil"/>
              <w:bottom w:val="single" w:sz="4" w:space="0" w:color="auto"/>
              <w:right w:val="single" w:sz="8" w:space="0" w:color="auto"/>
            </w:tcBorders>
            <w:shd w:val="clear" w:color="000000" w:fill="A6A6A6"/>
            <w:vAlign w:val="bottom"/>
            <w:hideMark/>
          </w:tcPr>
          <w:p w:rsidR="00FE53E1" w:rsidRDefault="00FE53E1">
            <w:pPr>
              <w:jc w:val="right"/>
              <w:rPr>
                <w:b/>
                <w:bCs/>
                <w:sz w:val="20"/>
                <w:szCs w:val="20"/>
              </w:rPr>
            </w:pPr>
            <w:r>
              <w:rPr>
                <w:b/>
                <w:bCs/>
                <w:sz w:val="20"/>
                <w:szCs w:val="20"/>
              </w:rPr>
              <w:t> </w:t>
            </w:r>
          </w:p>
        </w:tc>
        <w:tc>
          <w:tcPr>
            <w:tcW w:w="960" w:type="dxa"/>
            <w:tcBorders>
              <w:top w:val="nil"/>
              <w:left w:val="nil"/>
              <w:bottom w:val="single" w:sz="4" w:space="0" w:color="auto"/>
              <w:right w:val="single" w:sz="4" w:space="0" w:color="auto"/>
            </w:tcBorders>
            <w:shd w:val="clear" w:color="000000" w:fill="A6A6A6"/>
            <w:vAlign w:val="bottom"/>
            <w:hideMark/>
          </w:tcPr>
          <w:p w:rsidR="00FE53E1" w:rsidRDefault="00FE53E1">
            <w:pPr>
              <w:jc w:val="right"/>
              <w:rPr>
                <w:b/>
                <w:bCs/>
                <w:sz w:val="20"/>
                <w:szCs w:val="20"/>
              </w:rPr>
            </w:pPr>
            <w:r>
              <w:rPr>
                <w:b/>
                <w:bCs/>
                <w:sz w:val="20"/>
                <w:szCs w:val="20"/>
              </w:rPr>
              <w:t>650,000</w:t>
            </w:r>
          </w:p>
        </w:tc>
        <w:tc>
          <w:tcPr>
            <w:tcW w:w="960" w:type="dxa"/>
            <w:tcBorders>
              <w:top w:val="nil"/>
              <w:left w:val="nil"/>
              <w:bottom w:val="single" w:sz="4" w:space="0" w:color="auto"/>
              <w:right w:val="single" w:sz="4" w:space="0" w:color="auto"/>
            </w:tcBorders>
            <w:shd w:val="clear" w:color="000000" w:fill="A6A6A6"/>
            <w:vAlign w:val="bottom"/>
            <w:hideMark/>
          </w:tcPr>
          <w:p w:rsidR="00FE53E1" w:rsidRDefault="00FE53E1">
            <w:pPr>
              <w:jc w:val="right"/>
              <w:rPr>
                <w:b/>
                <w:bCs/>
                <w:sz w:val="20"/>
                <w:szCs w:val="20"/>
              </w:rPr>
            </w:pPr>
            <w:r>
              <w:rPr>
                <w:b/>
                <w:bCs/>
                <w:sz w:val="20"/>
                <w:szCs w:val="20"/>
              </w:rPr>
              <w:t>70,000</w:t>
            </w:r>
          </w:p>
        </w:tc>
        <w:tc>
          <w:tcPr>
            <w:tcW w:w="960" w:type="dxa"/>
            <w:tcBorders>
              <w:top w:val="nil"/>
              <w:left w:val="nil"/>
              <w:bottom w:val="single" w:sz="4" w:space="0" w:color="auto"/>
              <w:right w:val="single" w:sz="4" w:space="0" w:color="auto"/>
            </w:tcBorders>
            <w:shd w:val="clear" w:color="000000" w:fill="A6A6A6"/>
            <w:vAlign w:val="bottom"/>
            <w:hideMark/>
          </w:tcPr>
          <w:p w:rsidR="00FE53E1" w:rsidRDefault="00FE53E1">
            <w:pPr>
              <w:jc w:val="right"/>
              <w:rPr>
                <w:b/>
                <w:bCs/>
                <w:sz w:val="20"/>
                <w:szCs w:val="20"/>
              </w:rPr>
            </w:pPr>
            <w:r>
              <w:rPr>
                <w:b/>
                <w:bCs/>
                <w:sz w:val="20"/>
                <w:szCs w:val="20"/>
              </w:rPr>
              <w:t>100,000</w:t>
            </w:r>
          </w:p>
        </w:tc>
        <w:tc>
          <w:tcPr>
            <w:tcW w:w="1080" w:type="dxa"/>
            <w:tcBorders>
              <w:top w:val="nil"/>
              <w:left w:val="single" w:sz="8" w:space="0" w:color="auto"/>
              <w:bottom w:val="single" w:sz="4" w:space="0" w:color="auto"/>
              <w:right w:val="single" w:sz="8" w:space="0" w:color="auto"/>
            </w:tcBorders>
            <w:shd w:val="clear" w:color="000000" w:fill="A6A6A6"/>
            <w:vAlign w:val="bottom"/>
            <w:hideMark/>
          </w:tcPr>
          <w:p w:rsidR="00FE53E1" w:rsidRDefault="00FE53E1">
            <w:pPr>
              <w:jc w:val="right"/>
              <w:rPr>
                <w:b/>
                <w:bCs/>
                <w:sz w:val="20"/>
                <w:szCs w:val="20"/>
              </w:rPr>
            </w:pPr>
            <w:r>
              <w:rPr>
                <w:b/>
                <w:bCs/>
                <w:sz w:val="20"/>
                <w:szCs w:val="20"/>
              </w:rPr>
              <w:t>820,000</w:t>
            </w:r>
          </w:p>
        </w:tc>
      </w:tr>
      <w:tr w:rsidR="00FE53E1" w:rsidTr="00FE53E1">
        <w:trPr>
          <w:trHeight w:val="255"/>
        </w:trPr>
        <w:tc>
          <w:tcPr>
            <w:tcW w:w="5660" w:type="dxa"/>
            <w:tcBorders>
              <w:top w:val="nil"/>
              <w:left w:val="single" w:sz="8" w:space="0" w:color="auto"/>
              <w:bottom w:val="nil"/>
              <w:right w:val="nil"/>
            </w:tcBorders>
            <w:shd w:val="clear" w:color="000000" w:fill="A6A6A6"/>
            <w:vAlign w:val="center"/>
            <w:hideMark/>
          </w:tcPr>
          <w:p w:rsidR="00FE53E1" w:rsidRDefault="00FE53E1">
            <w:pPr>
              <w:rPr>
                <w:b/>
                <w:bCs/>
                <w:sz w:val="20"/>
                <w:szCs w:val="20"/>
              </w:rPr>
            </w:pPr>
            <w:r>
              <w:rPr>
                <w:b/>
                <w:bCs/>
                <w:sz w:val="20"/>
                <w:szCs w:val="20"/>
              </w:rPr>
              <w:t>Local banks and institutional costs of implementation</w:t>
            </w:r>
          </w:p>
        </w:tc>
        <w:tc>
          <w:tcPr>
            <w:tcW w:w="983" w:type="dxa"/>
            <w:tcBorders>
              <w:top w:val="nil"/>
              <w:left w:val="single" w:sz="4" w:space="0" w:color="auto"/>
              <w:bottom w:val="nil"/>
              <w:right w:val="single" w:sz="4" w:space="0" w:color="auto"/>
            </w:tcBorders>
            <w:shd w:val="clear" w:color="000000" w:fill="A6A6A6"/>
            <w:vAlign w:val="bottom"/>
            <w:hideMark/>
          </w:tcPr>
          <w:p w:rsidR="00FE53E1" w:rsidRDefault="00FE53E1">
            <w:pPr>
              <w:rPr>
                <w:b/>
                <w:bCs/>
                <w:sz w:val="20"/>
                <w:szCs w:val="20"/>
              </w:rPr>
            </w:pPr>
            <w:r>
              <w:rPr>
                <w:b/>
                <w:bCs/>
                <w:sz w:val="20"/>
                <w:szCs w:val="20"/>
              </w:rPr>
              <w:t> </w:t>
            </w:r>
          </w:p>
        </w:tc>
        <w:tc>
          <w:tcPr>
            <w:tcW w:w="1077" w:type="dxa"/>
            <w:tcBorders>
              <w:top w:val="nil"/>
              <w:left w:val="nil"/>
              <w:bottom w:val="nil"/>
              <w:right w:val="single" w:sz="8" w:space="0" w:color="auto"/>
            </w:tcBorders>
            <w:shd w:val="clear" w:color="000000" w:fill="A6A6A6"/>
            <w:vAlign w:val="bottom"/>
            <w:hideMark/>
          </w:tcPr>
          <w:p w:rsidR="00FE53E1" w:rsidRDefault="00FE53E1">
            <w:pPr>
              <w:jc w:val="right"/>
              <w:rPr>
                <w:b/>
                <w:bCs/>
                <w:sz w:val="20"/>
                <w:szCs w:val="20"/>
              </w:rPr>
            </w:pPr>
            <w:r>
              <w:rPr>
                <w:b/>
                <w:bCs/>
                <w:sz w:val="20"/>
                <w:szCs w:val="20"/>
              </w:rPr>
              <w:t> </w:t>
            </w:r>
          </w:p>
        </w:tc>
        <w:tc>
          <w:tcPr>
            <w:tcW w:w="960" w:type="dxa"/>
            <w:tcBorders>
              <w:top w:val="nil"/>
              <w:left w:val="nil"/>
              <w:bottom w:val="nil"/>
              <w:right w:val="single" w:sz="4" w:space="0" w:color="auto"/>
            </w:tcBorders>
            <w:shd w:val="clear" w:color="000000" w:fill="A6A6A6"/>
            <w:vAlign w:val="bottom"/>
            <w:hideMark/>
          </w:tcPr>
          <w:p w:rsidR="00FE53E1" w:rsidRDefault="00FE53E1">
            <w:pPr>
              <w:jc w:val="right"/>
              <w:rPr>
                <w:b/>
                <w:bCs/>
                <w:sz w:val="20"/>
                <w:szCs w:val="20"/>
              </w:rPr>
            </w:pPr>
            <w:r>
              <w:rPr>
                <w:b/>
                <w:bCs/>
                <w:sz w:val="20"/>
                <w:szCs w:val="20"/>
              </w:rPr>
              <w:t> </w:t>
            </w:r>
          </w:p>
        </w:tc>
        <w:tc>
          <w:tcPr>
            <w:tcW w:w="960" w:type="dxa"/>
            <w:tcBorders>
              <w:top w:val="nil"/>
              <w:left w:val="nil"/>
              <w:bottom w:val="nil"/>
              <w:right w:val="single" w:sz="4" w:space="0" w:color="auto"/>
            </w:tcBorders>
            <w:shd w:val="clear" w:color="000000" w:fill="A6A6A6"/>
            <w:vAlign w:val="bottom"/>
            <w:hideMark/>
          </w:tcPr>
          <w:p w:rsidR="00FE53E1" w:rsidRDefault="00FE53E1">
            <w:pPr>
              <w:jc w:val="right"/>
              <w:rPr>
                <w:b/>
                <w:bCs/>
                <w:sz w:val="20"/>
                <w:szCs w:val="20"/>
              </w:rPr>
            </w:pPr>
            <w:r>
              <w:rPr>
                <w:b/>
                <w:bCs/>
                <w:sz w:val="20"/>
                <w:szCs w:val="20"/>
              </w:rPr>
              <w:t>100,000</w:t>
            </w:r>
          </w:p>
        </w:tc>
        <w:tc>
          <w:tcPr>
            <w:tcW w:w="960" w:type="dxa"/>
            <w:tcBorders>
              <w:top w:val="nil"/>
              <w:left w:val="nil"/>
              <w:bottom w:val="nil"/>
              <w:right w:val="single" w:sz="4" w:space="0" w:color="auto"/>
            </w:tcBorders>
            <w:shd w:val="clear" w:color="000000" w:fill="A6A6A6"/>
            <w:vAlign w:val="bottom"/>
            <w:hideMark/>
          </w:tcPr>
          <w:p w:rsidR="00FE53E1" w:rsidRDefault="00FE53E1">
            <w:pPr>
              <w:jc w:val="right"/>
              <w:rPr>
                <w:b/>
                <w:bCs/>
                <w:sz w:val="20"/>
                <w:szCs w:val="20"/>
              </w:rPr>
            </w:pPr>
            <w:r>
              <w:rPr>
                <w:b/>
                <w:bCs/>
                <w:sz w:val="20"/>
                <w:szCs w:val="20"/>
              </w:rPr>
              <w:t>80,000</w:t>
            </w:r>
          </w:p>
        </w:tc>
        <w:tc>
          <w:tcPr>
            <w:tcW w:w="1080" w:type="dxa"/>
            <w:tcBorders>
              <w:top w:val="nil"/>
              <w:left w:val="single" w:sz="8" w:space="0" w:color="auto"/>
              <w:bottom w:val="single" w:sz="4" w:space="0" w:color="auto"/>
              <w:right w:val="single" w:sz="8" w:space="0" w:color="auto"/>
            </w:tcBorders>
            <w:shd w:val="clear" w:color="000000" w:fill="A6A6A6"/>
            <w:vAlign w:val="bottom"/>
            <w:hideMark/>
          </w:tcPr>
          <w:p w:rsidR="00FE53E1" w:rsidRDefault="00FE53E1">
            <w:pPr>
              <w:jc w:val="right"/>
              <w:rPr>
                <w:b/>
                <w:bCs/>
                <w:sz w:val="20"/>
                <w:szCs w:val="20"/>
              </w:rPr>
            </w:pPr>
            <w:r>
              <w:rPr>
                <w:b/>
                <w:bCs/>
                <w:sz w:val="20"/>
                <w:szCs w:val="20"/>
              </w:rPr>
              <w:t>180,000</w:t>
            </w:r>
          </w:p>
        </w:tc>
      </w:tr>
      <w:tr w:rsidR="00FE53E1" w:rsidTr="00FE53E1">
        <w:trPr>
          <w:trHeight w:val="270"/>
        </w:trPr>
        <w:tc>
          <w:tcPr>
            <w:tcW w:w="5660" w:type="dxa"/>
            <w:tcBorders>
              <w:top w:val="single" w:sz="4" w:space="0" w:color="auto"/>
              <w:left w:val="single" w:sz="8" w:space="0" w:color="auto"/>
              <w:bottom w:val="single" w:sz="8" w:space="0" w:color="auto"/>
              <w:right w:val="nil"/>
            </w:tcBorders>
            <w:shd w:val="clear" w:color="000000" w:fill="000000"/>
            <w:vAlign w:val="center"/>
            <w:hideMark/>
          </w:tcPr>
          <w:p w:rsidR="00FE53E1" w:rsidRDefault="00FE53E1">
            <w:pPr>
              <w:rPr>
                <w:b/>
                <w:bCs/>
                <w:color w:val="FFFFFF"/>
                <w:sz w:val="20"/>
                <w:szCs w:val="20"/>
              </w:rPr>
            </w:pPr>
            <w:r>
              <w:rPr>
                <w:b/>
                <w:bCs/>
                <w:color w:val="FFFFFF"/>
                <w:sz w:val="20"/>
                <w:szCs w:val="20"/>
              </w:rPr>
              <w:t>TOTAL</w:t>
            </w:r>
          </w:p>
        </w:tc>
        <w:tc>
          <w:tcPr>
            <w:tcW w:w="983" w:type="dxa"/>
            <w:tcBorders>
              <w:top w:val="single" w:sz="4" w:space="0" w:color="auto"/>
              <w:left w:val="single" w:sz="4" w:space="0" w:color="auto"/>
              <w:bottom w:val="single" w:sz="8" w:space="0" w:color="auto"/>
              <w:right w:val="single" w:sz="4" w:space="0" w:color="auto"/>
            </w:tcBorders>
            <w:shd w:val="clear" w:color="000000" w:fill="000000"/>
            <w:vAlign w:val="bottom"/>
            <w:hideMark/>
          </w:tcPr>
          <w:p w:rsidR="00FE53E1" w:rsidRDefault="00FE53E1">
            <w:pPr>
              <w:rPr>
                <w:b/>
                <w:bCs/>
                <w:color w:val="FFFFFF"/>
                <w:sz w:val="20"/>
                <w:szCs w:val="20"/>
              </w:rPr>
            </w:pPr>
            <w:r>
              <w:rPr>
                <w:b/>
                <w:bCs/>
                <w:color w:val="FFFFFF"/>
                <w:sz w:val="20"/>
                <w:szCs w:val="20"/>
              </w:rPr>
              <w:t> </w:t>
            </w:r>
          </w:p>
        </w:tc>
        <w:tc>
          <w:tcPr>
            <w:tcW w:w="1077" w:type="dxa"/>
            <w:tcBorders>
              <w:top w:val="single" w:sz="4" w:space="0" w:color="auto"/>
              <w:left w:val="nil"/>
              <w:bottom w:val="single" w:sz="8" w:space="0" w:color="auto"/>
              <w:right w:val="single" w:sz="8" w:space="0" w:color="auto"/>
            </w:tcBorders>
            <w:shd w:val="clear" w:color="000000" w:fill="000000"/>
            <w:vAlign w:val="bottom"/>
            <w:hideMark/>
          </w:tcPr>
          <w:p w:rsidR="00FE53E1" w:rsidRDefault="00FE53E1">
            <w:pPr>
              <w:jc w:val="right"/>
              <w:rPr>
                <w:b/>
                <w:bCs/>
                <w:color w:val="FFFFFF"/>
                <w:sz w:val="20"/>
                <w:szCs w:val="20"/>
              </w:rPr>
            </w:pPr>
            <w:r>
              <w:rPr>
                <w:b/>
                <w:bCs/>
                <w:color w:val="FFFFFF"/>
                <w:sz w:val="20"/>
                <w:szCs w:val="20"/>
              </w:rPr>
              <w:t> </w:t>
            </w:r>
          </w:p>
        </w:tc>
        <w:tc>
          <w:tcPr>
            <w:tcW w:w="960" w:type="dxa"/>
            <w:tcBorders>
              <w:top w:val="single" w:sz="4" w:space="0" w:color="auto"/>
              <w:left w:val="nil"/>
              <w:bottom w:val="single" w:sz="8" w:space="0" w:color="auto"/>
              <w:right w:val="single" w:sz="4" w:space="0" w:color="auto"/>
            </w:tcBorders>
            <w:shd w:val="clear" w:color="000000" w:fill="000000"/>
            <w:vAlign w:val="bottom"/>
            <w:hideMark/>
          </w:tcPr>
          <w:p w:rsidR="00FE53E1" w:rsidRDefault="00FE53E1">
            <w:pPr>
              <w:jc w:val="right"/>
              <w:rPr>
                <w:b/>
                <w:bCs/>
                <w:color w:val="FFFFFF"/>
                <w:sz w:val="20"/>
                <w:szCs w:val="20"/>
              </w:rPr>
            </w:pPr>
            <w:r>
              <w:rPr>
                <w:b/>
                <w:bCs/>
                <w:color w:val="FFFFFF"/>
                <w:sz w:val="20"/>
                <w:szCs w:val="20"/>
              </w:rPr>
              <w:t> </w:t>
            </w:r>
          </w:p>
        </w:tc>
        <w:tc>
          <w:tcPr>
            <w:tcW w:w="960" w:type="dxa"/>
            <w:tcBorders>
              <w:top w:val="single" w:sz="4" w:space="0" w:color="auto"/>
              <w:left w:val="nil"/>
              <w:bottom w:val="single" w:sz="8" w:space="0" w:color="auto"/>
              <w:right w:val="single" w:sz="4" w:space="0" w:color="auto"/>
            </w:tcBorders>
            <w:shd w:val="clear" w:color="000000" w:fill="000000"/>
            <w:vAlign w:val="bottom"/>
            <w:hideMark/>
          </w:tcPr>
          <w:p w:rsidR="00FE53E1" w:rsidRDefault="00FE53E1">
            <w:pPr>
              <w:jc w:val="right"/>
              <w:rPr>
                <w:b/>
                <w:bCs/>
                <w:color w:val="FFFFFF"/>
                <w:sz w:val="20"/>
                <w:szCs w:val="20"/>
              </w:rPr>
            </w:pPr>
            <w:r>
              <w:rPr>
                <w:b/>
                <w:bCs/>
                <w:color w:val="FFFFFF"/>
                <w:sz w:val="20"/>
                <w:szCs w:val="20"/>
              </w:rPr>
              <w:t> </w:t>
            </w:r>
          </w:p>
        </w:tc>
        <w:tc>
          <w:tcPr>
            <w:tcW w:w="960" w:type="dxa"/>
            <w:tcBorders>
              <w:top w:val="single" w:sz="4" w:space="0" w:color="auto"/>
              <w:left w:val="nil"/>
              <w:bottom w:val="single" w:sz="8" w:space="0" w:color="auto"/>
              <w:right w:val="single" w:sz="4" w:space="0" w:color="auto"/>
            </w:tcBorders>
            <w:shd w:val="clear" w:color="000000" w:fill="000000"/>
            <w:vAlign w:val="bottom"/>
            <w:hideMark/>
          </w:tcPr>
          <w:p w:rsidR="00FE53E1" w:rsidRDefault="00FE53E1">
            <w:pPr>
              <w:jc w:val="right"/>
              <w:rPr>
                <w:b/>
                <w:bCs/>
                <w:color w:val="FFFFFF"/>
                <w:sz w:val="20"/>
                <w:szCs w:val="20"/>
              </w:rPr>
            </w:pPr>
            <w:r>
              <w:rPr>
                <w:b/>
                <w:bCs/>
                <w:color w:val="FFFFFF"/>
                <w:sz w:val="20"/>
                <w:szCs w:val="20"/>
              </w:rPr>
              <w:t> </w:t>
            </w:r>
          </w:p>
        </w:tc>
        <w:tc>
          <w:tcPr>
            <w:tcW w:w="1080" w:type="dxa"/>
            <w:tcBorders>
              <w:top w:val="nil"/>
              <w:left w:val="single" w:sz="8" w:space="0" w:color="auto"/>
              <w:bottom w:val="single" w:sz="8" w:space="0" w:color="auto"/>
              <w:right w:val="single" w:sz="8" w:space="0" w:color="auto"/>
            </w:tcBorders>
            <w:shd w:val="clear" w:color="000000" w:fill="000000"/>
            <w:vAlign w:val="bottom"/>
            <w:hideMark/>
          </w:tcPr>
          <w:p w:rsidR="00FE53E1" w:rsidRDefault="00FE53E1">
            <w:pPr>
              <w:jc w:val="right"/>
              <w:rPr>
                <w:b/>
                <w:bCs/>
                <w:color w:val="FFFFFF"/>
                <w:sz w:val="20"/>
                <w:szCs w:val="20"/>
              </w:rPr>
            </w:pPr>
            <w:r>
              <w:rPr>
                <w:b/>
                <w:bCs/>
                <w:color w:val="FFFFFF"/>
                <w:sz w:val="20"/>
                <w:szCs w:val="20"/>
              </w:rPr>
              <w:t>1,000,000</w:t>
            </w:r>
          </w:p>
        </w:tc>
      </w:tr>
      <w:tr w:rsidR="00FE53E1" w:rsidTr="00FE53E1">
        <w:trPr>
          <w:trHeight w:val="255"/>
        </w:trPr>
        <w:tc>
          <w:tcPr>
            <w:tcW w:w="10600" w:type="dxa"/>
            <w:gridSpan w:val="6"/>
            <w:tcBorders>
              <w:top w:val="nil"/>
              <w:left w:val="nil"/>
              <w:bottom w:val="nil"/>
              <w:right w:val="nil"/>
            </w:tcBorders>
            <w:shd w:val="clear" w:color="auto" w:fill="auto"/>
            <w:noWrap/>
            <w:vAlign w:val="bottom"/>
            <w:hideMark/>
          </w:tcPr>
          <w:p w:rsidR="00FE53E1" w:rsidRDefault="00FE53E1">
            <w:pPr>
              <w:rPr>
                <w:sz w:val="20"/>
                <w:szCs w:val="20"/>
              </w:rPr>
            </w:pPr>
            <w:r>
              <w:rPr>
                <w:sz w:val="20"/>
                <w:szCs w:val="20"/>
              </w:rPr>
              <w:t>Prepared by the Central Bank of Suriname, and agreed with the Bank, as part of the preparation of the approved TC SU-T1058</w:t>
            </w:r>
          </w:p>
        </w:tc>
        <w:tc>
          <w:tcPr>
            <w:tcW w:w="1080" w:type="dxa"/>
            <w:tcBorders>
              <w:top w:val="nil"/>
              <w:left w:val="nil"/>
              <w:bottom w:val="nil"/>
              <w:right w:val="nil"/>
            </w:tcBorders>
            <w:shd w:val="clear" w:color="auto" w:fill="auto"/>
            <w:noWrap/>
            <w:vAlign w:val="bottom"/>
            <w:hideMark/>
          </w:tcPr>
          <w:p w:rsidR="00FE53E1" w:rsidRDefault="00FE53E1">
            <w:pPr>
              <w:rPr>
                <w:rFonts w:ascii="Arial" w:hAnsi="Arial" w:cs="Arial"/>
                <w:sz w:val="20"/>
                <w:szCs w:val="20"/>
              </w:rPr>
            </w:pPr>
          </w:p>
        </w:tc>
      </w:tr>
      <w:tr w:rsidR="00FE53E1" w:rsidTr="00FE53E1">
        <w:trPr>
          <w:trHeight w:val="255"/>
        </w:trPr>
        <w:tc>
          <w:tcPr>
            <w:tcW w:w="5660" w:type="dxa"/>
            <w:tcBorders>
              <w:top w:val="nil"/>
              <w:left w:val="nil"/>
              <w:bottom w:val="nil"/>
              <w:right w:val="nil"/>
            </w:tcBorders>
            <w:shd w:val="clear" w:color="auto" w:fill="auto"/>
            <w:vAlign w:val="bottom"/>
            <w:hideMark/>
          </w:tcPr>
          <w:p w:rsidR="00FE53E1" w:rsidRDefault="00FE53E1">
            <w:pPr>
              <w:rPr>
                <w:sz w:val="20"/>
                <w:szCs w:val="20"/>
              </w:rPr>
            </w:pPr>
            <w:r>
              <w:rPr>
                <w:sz w:val="20"/>
                <w:szCs w:val="20"/>
              </w:rPr>
              <w:t>*Totals are rounded up</w:t>
            </w:r>
          </w:p>
        </w:tc>
        <w:tc>
          <w:tcPr>
            <w:tcW w:w="983" w:type="dxa"/>
            <w:tcBorders>
              <w:top w:val="nil"/>
              <w:left w:val="nil"/>
              <w:bottom w:val="nil"/>
              <w:right w:val="nil"/>
            </w:tcBorders>
            <w:shd w:val="clear" w:color="auto" w:fill="auto"/>
            <w:vAlign w:val="bottom"/>
            <w:hideMark/>
          </w:tcPr>
          <w:p w:rsidR="00FE53E1" w:rsidRDefault="00FE53E1">
            <w:pPr>
              <w:rPr>
                <w:sz w:val="20"/>
                <w:szCs w:val="20"/>
              </w:rPr>
            </w:pPr>
          </w:p>
        </w:tc>
        <w:tc>
          <w:tcPr>
            <w:tcW w:w="1077" w:type="dxa"/>
            <w:tcBorders>
              <w:top w:val="nil"/>
              <w:left w:val="nil"/>
              <w:bottom w:val="nil"/>
              <w:right w:val="nil"/>
            </w:tcBorders>
            <w:shd w:val="clear" w:color="auto" w:fill="auto"/>
            <w:vAlign w:val="bottom"/>
            <w:hideMark/>
          </w:tcPr>
          <w:p w:rsidR="00FE53E1" w:rsidRDefault="00FE53E1">
            <w:pPr>
              <w:rPr>
                <w:sz w:val="20"/>
                <w:szCs w:val="20"/>
              </w:rPr>
            </w:pPr>
          </w:p>
        </w:tc>
        <w:tc>
          <w:tcPr>
            <w:tcW w:w="960" w:type="dxa"/>
            <w:tcBorders>
              <w:top w:val="nil"/>
              <w:left w:val="nil"/>
              <w:bottom w:val="nil"/>
              <w:right w:val="nil"/>
            </w:tcBorders>
            <w:shd w:val="clear" w:color="auto" w:fill="auto"/>
            <w:vAlign w:val="bottom"/>
            <w:hideMark/>
          </w:tcPr>
          <w:p w:rsidR="00FE53E1" w:rsidRDefault="00FE53E1">
            <w:pPr>
              <w:rPr>
                <w:sz w:val="20"/>
                <w:szCs w:val="20"/>
              </w:rPr>
            </w:pPr>
          </w:p>
        </w:tc>
        <w:tc>
          <w:tcPr>
            <w:tcW w:w="960" w:type="dxa"/>
            <w:tcBorders>
              <w:top w:val="nil"/>
              <w:left w:val="nil"/>
              <w:bottom w:val="nil"/>
              <w:right w:val="nil"/>
            </w:tcBorders>
            <w:shd w:val="clear" w:color="auto" w:fill="auto"/>
            <w:vAlign w:val="bottom"/>
            <w:hideMark/>
          </w:tcPr>
          <w:p w:rsidR="00FE53E1" w:rsidRDefault="00FE53E1">
            <w:pPr>
              <w:rPr>
                <w:sz w:val="20"/>
                <w:szCs w:val="20"/>
              </w:rPr>
            </w:pPr>
          </w:p>
        </w:tc>
        <w:tc>
          <w:tcPr>
            <w:tcW w:w="960" w:type="dxa"/>
            <w:tcBorders>
              <w:top w:val="nil"/>
              <w:left w:val="nil"/>
              <w:bottom w:val="nil"/>
              <w:right w:val="nil"/>
            </w:tcBorders>
            <w:shd w:val="clear" w:color="auto" w:fill="auto"/>
            <w:vAlign w:val="bottom"/>
            <w:hideMark/>
          </w:tcPr>
          <w:p w:rsidR="00FE53E1" w:rsidRDefault="00FE53E1">
            <w:pPr>
              <w:rPr>
                <w:sz w:val="20"/>
                <w:szCs w:val="20"/>
              </w:rPr>
            </w:pPr>
          </w:p>
        </w:tc>
        <w:tc>
          <w:tcPr>
            <w:tcW w:w="1080" w:type="dxa"/>
            <w:tcBorders>
              <w:top w:val="nil"/>
              <w:left w:val="nil"/>
              <w:bottom w:val="nil"/>
              <w:right w:val="nil"/>
            </w:tcBorders>
            <w:shd w:val="clear" w:color="auto" w:fill="auto"/>
            <w:vAlign w:val="bottom"/>
            <w:hideMark/>
          </w:tcPr>
          <w:p w:rsidR="00FE53E1" w:rsidRDefault="00FE53E1">
            <w:pPr>
              <w:rPr>
                <w:sz w:val="20"/>
                <w:szCs w:val="20"/>
              </w:rPr>
            </w:pPr>
          </w:p>
        </w:tc>
      </w:tr>
    </w:tbl>
    <w:p w:rsidR="00FE53E1" w:rsidRDefault="00FE53E1" w:rsidP="00FE53E1">
      <w:pPr>
        <w:pStyle w:val="Paragraph"/>
        <w:numPr>
          <w:ilvl w:val="0"/>
          <w:numId w:val="0"/>
        </w:numPr>
      </w:pPr>
    </w:p>
    <w:p w:rsidR="00026425" w:rsidRDefault="00026425" w:rsidP="00FE53E1">
      <w:pPr>
        <w:pStyle w:val="Paragraph"/>
        <w:numPr>
          <w:ilvl w:val="0"/>
          <w:numId w:val="0"/>
        </w:numPr>
      </w:pPr>
      <w:r>
        <w:lastRenderedPageBreak/>
        <w:t xml:space="preserve">ANNEX II: Annual </w:t>
      </w:r>
      <w:r w:rsidR="001800BA">
        <w:t xml:space="preserve">estimated </w:t>
      </w:r>
      <w:r>
        <w:t xml:space="preserve">cash flows </w:t>
      </w:r>
      <w:r w:rsidR="001800BA">
        <w:t>of the PBP</w:t>
      </w:r>
      <w:r w:rsidR="001D6F8D">
        <w:t xml:space="preserve"> (thousands of dollars)</w:t>
      </w:r>
    </w:p>
    <w:p w:rsidR="00B80CFA" w:rsidRDefault="00B80CFA" w:rsidP="00FE53E1">
      <w:pPr>
        <w:pStyle w:val="Paragraph"/>
        <w:numPr>
          <w:ilvl w:val="0"/>
          <w:numId w:val="0"/>
        </w:numPr>
      </w:pPr>
      <w:r w:rsidRPr="00B80CFA">
        <w:rPr>
          <w:noProof/>
        </w:rPr>
        <w:drawing>
          <wp:inline distT="0" distB="0" distL="0" distR="0" wp14:anchorId="24EF037E" wp14:editId="0065BD56">
            <wp:extent cx="8229600" cy="450082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229600" cy="4500822"/>
                    </a:xfrm>
                    <a:prstGeom prst="rect">
                      <a:avLst/>
                    </a:prstGeom>
                    <a:noFill/>
                    <a:ln>
                      <a:noFill/>
                    </a:ln>
                  </pic:spPr>
                </pic:pic>
              </a:graphicData>
            </a:graphic>
          </wp:inline>
        </w:drawing>
      </w:r>
    </w:p>
    <w:p w:rsidR="001D6F8D" w:rsidRDefault="001D6F8D" w:rsidP="00FE53E1">
      <w:pPr>
        <w:pStyle w:val="Paragraph"/>
        <w:numPr>
          <w:ilvl w:val="0"/>
          <w:numId w:val="0"/>
        </w:numPr>
      </w:pPr>
    </w:p>
    <w:sectPr w:rsidR="001D6F8D" w:rsidSect="00FE53E1">
      <w:type w:val="continuous"/>
      <w:pgSz w:w="15840" w:h="12240" w:orient="landscape" w:code="1"/>
      <w:pgMar w:top="1800" w:right="1440" w:bottom="1800" w:left="1440" w:header="706" w:footer="706" w:gutter="0"/>
      <w:cols w:space="720"/>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BFE" w:rsidRDefault="00E45BFE">
      <w:r>
        <w:separator/>
      </w:r>
    </w:p>
  </w:endnote>
  <w:endnote w:type="continuationSeparator" w:id="0">
    <w:p w:rsidR="00E45BFE" w:rsidRDefault="00E45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CF1" w:rsidRDefault="007B3CF1">
    <w:pPr>
      <w:pStyle w:val="Footer"/>
      <w:framePr w:wrap="around" w:vAnchor="text" w:hAnchor="margin" w:xAlign="right" w:y="1"/>
      <w:rPr>
        <w:rStyle w:val="PageNumber"/>
      </w:rPr>
    </w:pPr>
  </w:p>
  <w:p w:rsidR="007B3CF1" w:rsidRDefault="007B3C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CF1" w:rsidRDefault="002E7E7F">
    <w:pPr>
      <w:pStyle w:val="Footer"/>
      <w:jc w:val="center"/>
    </w:pPr>
    <w:r>
      <w:fldChar w:fldCharType="begin"/>
    </w:r>
    <w:r w:rsidR="0033363E">
      <w:instrText xml:space="preserve"> PAGE   \* MERGEFORMAT </w:instrText>
    </w:r>
    <w:r>
      <w:fldChar w:fldCharType="separate"/>
    </w:r>
    <w:r w:rsidR="00FC73B4">
      <w:rPr>
        <w:noProof/>
      </w:rPr>
      <w:t>9</w:t>
    </w:r>
    <w:r>
      <w:rPr>
        <w:noProof/>
      </w:rPr>
      <w:fldChar w:fldCharType="end"/>
    </w:r>
  </w:p>
  <w:p w:rsidR="007B3CF1" w:rsidRDefault="007B3C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BFE" w:rsidRDefault="00E45BFE">
      <w:r>
        <w:separator/>
      </w:r>
    </w:p>
  </w:footnote>
  <w:footnote w:type="continuationSeparator" w:id="0">
    <w:p w:rsidR="00E45BFE" w:rsidRDefault="00E45BFE">
      <w:r>
        <w:continuationSeparator/>
      </w:r>
    </w:p>
  </w:footnote>
  <w:footnote w:id="1">
    <w:p w:rsidR="00A90D65" w:rsidRPr="000B4477" w:rsidRDefault="00A90D65" w:rsidP="00217B71">
      <w:pPr>
        <w:pStyle w:val="FootnoteText"/>
        <w:ind w:left="180" w:hanging="180"/>
        <w:jc w:val="both"/>
      </w:pPr>
      <w:r>
        <w:rPr>
          <w:rStyle w:val="FootnoteReference"/>
        </w:rPr>
        <w:footnoteRef/>
      </w:r>
      <w:r>
        <w:t xml:space="preserve"> </w:t>
      </w:r>
      <w:r w:rsidR="00217B71">
        <w:t xml:space="preserve"> </w:t>
      </w:r>
      <w:r>
        <w:t xml:space="preserve">Enabling environment refers to the overall legal, regulatory and institutional environment under which </w:t>
      </w:r>
      <w:r w:rsidR="00217B71">
        <w:t xml:space="preserve"> </w:t>
      </w:r>
      <w:r>
        <w:t xml:space="preserve">the financial institutions operate.   </w:t>
      </w:r>
    </w:p>
  </w:footnote>
  <w:footnote w:id="2">
    <w:p w:rsidR="007B3CF1" w:rsidRDefault="007B3CF1" w:rsidP="00217B71">
      <w:pPr>
        <w:pStyle w:val="FootnoteText"/>
        <w:ind w:left="180" w:hanging="180"/>
        <w:jc w:val="both"/>
      </w:pPr>
      <w:r>
        <w:rPr>
          <w:rStyle w:val="FootnoteReference"/>
        </w:rPr>
        <w:footnoteRef/>
      </w:r>
      <w:r>
        <w:t xml:space="preserve"> </w:t>
      </w:r>
      <w:r w:rsidR="00217B71">
        <w:t xml:space="preserve"> </w:t>
      </w:r>
      <w:r>
        <w:t>Basel Committee on Banking Supervision, “An assessment of the long-term economic impact of stronger capital and liquidity requirements”, Bank for International Settlements, Switzerland, August 2010.</w:t>
      </w:r>
    </w:p>
  </w:footnote>
  <w:footnote w:id="3">
    <w:p w:rsidR="00274051" w:rsidRDefault="00274051" w:rsidP="00217B71">
      <w:pPr>
        <w:pStyle w:val="FootnoteText"/>
        <w:ind w:left="180" w:hanging="180"/>
        <w:jc w:val="both"/>
      </w:pPr>
      <w:r>
        <w:rPr>
          <w:rStyle w:val="FootnoteReference"/>
        </w:rPr>
        <w:footnoteRef/>
      </w:r>
      <w:r w:rsidR="00217B71">
        <w:t xml:space="preserve"> </w:t>
      </w:r>
      <w:r w:rsidRPr="00274051">
        <w:t>The technical assistance provided to the CBvS is expected to ensure the required capabi</w:t>
      </w:r>
      <w:r>
        <w:t xml:space="preserve">lities to implement the reforms, </w:t>
      </w:r>
      <w:r w:rsidRPr="00274051">
        <w:t>and conduct supervision up to Basle Core Principle standards</w:t>
      </w:r>
      <w:r>
        <w:t>, are achieved</w:t>
      </w:r>
      <w:r w:rsidRPr="00274051">
        <w:t>. However, this figure also takes into account the vulnerability of the economy and financial sector to external shocks because of the economy’s dependence on only 3 extractive commodities for over 90% of its exports, which in turn represent about 50% of GDP.</w:t>
      </w:r>
    </w:p>
  </w:footnote>
  <w:footnote w:id="4">
    <w:p w:rsidR="002E0F74" w:rsidRDefault="002E0F74" w:rsidP="00217B71">
      <w:pPr>
        <w:pStyle w:val="FootnoteText"/>
        <w:ind w:left="180" w:hanging="180"/>
        <w:jc w:val="both"/>
      </w:pPr>
      <w:r>
        <w:rPr>
          <w:rStyle w:val="FootnoteReference"/>
        </w:rPr>
        <w:footnoteRef/>
      </w:r>
      <w:r>
        <w:t xml:space="preserve"> </w:t>
      </w:r>
      <w:r w:rsidRPr="00453E76">
        <w:t>The TC will finance (i) the Program Manager for the Financial Sector Strengthening Program, who will also serve as a policy advisor for financial sector supervision, preparation of regulatory reforms: (ii) consulting and training services for the Supervision Enhancement Plan, (iii) key measures of the CBvS insti</w:t>
      </w:r>
      <w:r>
        <w:t xml:space="preserve">tutional strengthening plan; </w:t>
      </w:r>
      <w:r w:rsidRPr="00453E76">
        <w:t>(iv) the design and implementation of public bank reform.</w:t>
      </w:r>
    </w:p>
  </w:footnote>
  <w:footnote w:id="5">
    <w:p w:rsidR="004E0E8A" w:rsidRDefault="004E0E8A" w:rsidP="00217B71">
      <w:pPr>
        <w:pStyle w:val="FootnoteText"/>
        <w:ind w:left="180" w:hanging="180"/>
        <w:jc w:val="both"/>
      </w:pPr>
      <w:r>
        <w:rPr>
          <w:rStyle w:val="FootnoteReference"/>
        </w:rPr>
        <w:footnoteRef/>
      </w:r>
      <w:r>
        <w:t xml:space="preserve"> Detailed costs and benefits of financial institutions are not presented</w:t>
      </w:r>
      <w:r w:rsidR="00645484">
        <w:t>.</w:t>
      </w:r>
      <w:r>
        <w:t xml:space="preserve"> </w:t>
      </w:r>
      <w:r w:rsidR="00645484">
        <w:t>T</w:t>
      </w:r>
      <w:r>
        <w:t>here</w:t>
      </w:r>
      <w:r w:rsidR="00645484">
        <w:t xml:space="preserve"> </w:t>
      </w:r>
      <w:r>
        <w:t xml:space="preserve">is no information of the specific allocation for these and </w:t>
      </w:r>
      <w:r w:rsidR="00645484">
        <w:t>the assumptions needed to estimate them are considered to be out of the</w:t>
      </w:r>
      <w:r>
        <w:t xml:space="preserve"> scope of this analysis.</w:t>
      </w:r>
    </w:p>
  </w:footnote>
  <w:footnote w:id="6">
    <w:p w:rsidR="008B6AB9" w:rsidRDefault="008B6AB9" w:rsidP="00FC73B4">
      <w:pPr>
        <w:pStyle w:val="FootnoteText"/>
        <w:ind w:left="180" w:hanging="180"/>
        <w:jc w:val="both"/>
      </w:pPr>
      <w:r>
        <w:rPr>
          <w:rStyle w:val="FootnoteReference"/>
        </w:rPr>
        <w:footnoteRef/>
      </w:r>
      <w:r>
        <w:t xml:space="preserve"> </w:t>
      </w:r>
      <w:r w:rsidR="00FC73B4">
        <w:t xml:space="preserve"> </w:t>
      </w:r>
      <w:r>
        <w:t>The government, in particular through the CBvS, has demonstrated its commitment to the reform. There is a strong consensus for the need and implementation of these measures.</w:t>
      </w:r>
    </w:p>
  </w:footnote>
  <w:footnote w:id="7">
    <w:p w:rsidR="00170F22" w:rsidRDefault="00170F22" w:rsidP="00FC73B4">
      <w:pPr>
        <w:pStyle w:val="FootnoteText"/>
        <w:ind w:left="180" w:hanging="180"/>
      </w:pPr>
      <w:r>
        <w:rPr>
          <w:rStyle w:val="FootnoteReference"/>
        </w:rPr>
        <w:footnoteRef/>
      </w:r>
      <w:r>
        <w:t xml:space="preserve"> </w:t>
      </w:r>
      <w:r w:rsidR="00FC73B4">
        <w:t xml:space="preserve"> </w:t>
      </w:r>
      <w:r>
        <w:t>International Monetary Fund, “</w:t>
      </w:r>
      <w:r w:rsidRPr="008967EF">
        <w:t>Financial Deepening, Property Rights and Pov</w:t>
      </w:r>
      <w:bookmarkStart w:id="5" w:name="_GoBack"/>
      <w:bookmarkEnd w:id="5"/>
      <w:r w:rsidRPr="008967EF">
        <w:t>erty: Evidence from Sub-Saharan Africa</w:t>
      </w:r>
      <w:r>
        <w:t xml:space="preserve">”, Working Paper, Singh, Raju Jan and </w:t>
      </w:r>
      <w:r w:rsidRPr="008967EF">
        <w:t>Huang, Yifei</w:t>
      </w:r>
      <w:r>
        <w:t>, August 2011.</w:t>
      </w:r>
    </w:p>
  </w:footnote>
  <w:footnote w:id="8">
    <w:p w:rsidR="00170F22" w:rsidRPr="008967EF" w:rsidRDefault="00170F22" w:rsidP="00FC73B4">
      <w:pPr>
        <w:pStyle w:val="FootnoteText"/>
        <w:tabs>
          <w:tab w:val="left" w:pos="180"/>
        </w:tabs>
        <w:ind w:left="180" w:hanging="180"/>
        <w:rPr>
          <w:lang w:val="es-ES_tradnl"/>
        </w:rPr>
      </w:pPr>
      <w:r>
        <w:rPr>
          <w:rStyle w:val="FootnoteReference"/>
        </w:rPr>
        <w:footnoteRef/>
      </w:r>
      <w:r w:rsidRPr="008967EF">
        <w:rPr>
          <w:lang w:val="es-ES_tradnl"/>
        </w:rPr>
        <w:t xml:space="preserve"> </w:t>
      </w:r>
      <w:r w:rsidR="00FC73B4">
        <w:rPr>
          <w:lang w:val="es-ES_tradnl"/>
        </w:rPr>
        <w:t xml:space="preserve"> </w:t>
      </w:r>
      <w:r w:rsidRPr="008967EF">
        <w:rPr>
          <w:lang w:val="es-ES_tradnl"/>
        </w:rPr>
        <w:t>C</w:t>
      </w:r>
      <w:r>
        <w:rPr>
          <w:lang w:val="es-ES_tradnl"/>
        </w:rPr>
        <w:t>orporación Andina de Fomento</w:t>
      </w:r>
      <w:r w:rsidRPr="008967EF">
        <w:rPr>
          <w:lang w:val="es-ES_tradnl"/>
        </w:rPr>
        <w:t xml:space="preserve">, </w:t>
      </w:r>
      <w:r>
        <w:rPr>
          <w:lang w:val="es-ES_tradnl"/>
        </w:rPr>
        <w:t>“</w:t>
      </w:r>
      <w:r w:rsidRPr="008967EF">
        <w:rPr>
          <w:lang w:val="es-ES_tradnl"/>
        </w:rPr>
        <w:t xml:space="preserve">Servicios </w:t>
      </w:r>
      <w:r>
        <w:rPr>
          <w:lang w:val="es-ES_tradnl"/>
        </w:rPr>
        <w:t xml:space="preserve">financieros para el desarrollo: </w:t>
      </w:r>
      <w:r w:rsidRPr="008967EF">
        <w:rPr>
          <w:lang w:val="es-ES_tradnl"/>
        </w:rPr>
        <w:t>Promoviendo el acceso en América Latina</w:t>
      </w:r>
      <w:r>
        <w:rPr>
          <w:lang w:val="es-ES_tradnl"/>
        </w:rPr>
        <w:t>”, Reporte de Economía y Desarrollo, April 2011.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CF1" w:rsidRDefault="007B3CF1">
    <w:pPr>
      <w:pStyle w:val="Header"/>
      <w:ind w:right="360"/>
      <w:jc w:val="center"/>
      <w:rPr>
        <w:rStyle w:val="PageNumber"/>
      </w:rPr>
    </w:pPr>
    <w:r>
      <w:rPr>
        <w:rStyle w:val="PageNumber"/>
        <w:snapToGrid w:val="0"/>
      </w:rPr>
      <w:t xml:space="preserve">- </w:t>
    </w:r>
    <w:r w:rsidR="002E7E7F">
      <w:rPr>
        <w:rStyle w:val="PageNumber"/>
        <w:snapToGrid w:val="0"/>
      </w:rPr>
      <w:fldChar w:fldCharType="begin"/>
    </w:r>
    <w:r>
      <w:rPr>
        <w:rStyle w:val="PageNumber"/>
        <w:snapToGrid w:val="0"/>
      </w:rPr>
      <w:instrText xml:space="preserve"> PAGE </w:instrText>
    </w:r>
    <w:r w:rsidR="002E7E7F">
      <w:rPr>
        <w:rStyle w:val="PageNumber"/>
        <w:snapToGrid w:val="0"/>
      </w:rPr>
      <w:fldChar w:fldCharType="separate"/>
    </w:r>
    <w:r>
      <w:rPr>
        <w:rStyle w:val="PageNumber"/>
        <w:noProof/>
        <w:snapToGrid w:val="0"/>
      </w:rPr>
      <w:t>iii</w:t>
    </w:r>
    <w:r w:rsidR="002E7E7F">
      <w:rPr>
        <w:rStyle w:val="PageNumber"/>
        <w:snapToGrid w:val="0"/>
      </w:rPr>
      <w:fldChar w:fldCharType="end"/>
    </w:r>
    <w:r>
      <w:rPr>
        <w:rStyle w:val="PageNumber"/>
        <w:snapToGrid w:val="0"/>
      </w:rPr>
      <w:t xml:space="preserve"> -</w:t>
    </w:r>
  </w:p>
  <w:p w:rsidR="007B3CF1" w:rsidRDefault="007B3CF1">
    <w:pPr>
      <w:pStyle w:val="Header"/>
      <w:ind w:right="360"/>
      <w:jc w:val="center"/>
    </w:pPr>
  </w:p>
  <w:p w:rsidR="007B3CF1" w:rsidRDefault="007B3CF1">
    <w:pPr>
      <w:pStyle w:val="Header"/>
      <w:ind w:right="36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CF1" w:rsidRDefault="007B3CF1">
    <w:pPr>
      <w:pStyle w:val="Header"/>
      <w:jc w:val="center"/>
      <w:rPr>
        <w:snapToGrid w:val="0"/>
      </w:rPr>
    </w:pPr>
    <w:r>
      <w:rPr>
        <w:snapToGrid w:val="0"/>
      </w:rPr>
      <w:t xml:space="preserve">- </w:t>
    </w:r>
    <w:r w:rsidR="002E7E7F">
      <w:rPr>
        <w:snapToGrid w:val="0"/>
      </w:rPr>
      <w:fldChar w:fldCharType="begin"/>
    </w:r>
    <w:r>
      <w:rPr>
        <w:snapToGrid w:val="0"/>
      </w:rPr>
      <w:instrText xml:space="preserve"> PAGE </w:instrText>
    </w:r>
    <w:r w:rsidR="002E7E7F">
      <w:rPr>
        <w:snapToGrid w:val="0"/>
      </w:rPr>
      <w:fldChar w:fldCharType="separate"/>
    </w:r>
    <w:r>
      <w:rPr>
        <w:noProof/>
        <w:snapToGrid w:val="0"/>
      </w:rPr>
      <w:t>2</w:t>
    </w:r>
    <w:r w:rsidR="002E7E7F">
      <w:rPr>
        <w:snapToGrid w:val="0"/>
      </w:rPr>
      <w:fldChar w:fldCharType="end"/>
    </w:r>
    <w:r>
      <w:rPr>
        <w:snapToGrid w:val="0"/>
      </w:rPr>
      <w:t xml:space="preserve"> - </w:t>
    </w:r>
  </w:p>
  <w:p w:rsidR="007B3CF1" w:rsidRDefault="007B3CF1">
    <w:pPr>
      <w:pStyle w:val="Header"/>
      <w:jc w:val="center"/>
      <w:rPr>
        <w:snapToGrid w:val="0"/>
      </w:rPr>
    </w:pPr>
  </w:p>
  <w:p w:rsidR="007B3CF1" w:rsidRDefault="007B3CF1">
    <w:pPr>
      <w:pStyle w:val="Header"/>
      <w:jc w:val="center"/>
      <w:rPr>
        <w:snapToGrid w:val="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CF1" w:rsidRDefault="002E7E7F">
    <w:pPr>
      <w:pStyle w:val="Header"/>
      <w:jc w:val="center"/>
      <w:rPr>
        <w:snapToGrid w:val="0"/>
      </w:rPr>
    </w:pPr>
    <w:r>
      <w:rPr>
        <w:rStyle w:val="PageNumber"/>
      </w:rPr>
      <w:fldChar w:fldCharType="begin"/>
    </w:r>
    <w:r w:rsidR="007B3CF1">
      <w:rPr>
        <w:rStyle w:val="PageNumber"/>
      </w:rPr>
      <w:instrText xml:space="preserve"> PAGE </w:instrText>
    </w:r>
    <w:r>
      <w:rPr>
        <w:rStyle w:val="PageNumber"/>
      </w:rPr>
      <w:fldChar w:fldCharType="separate"/>
    </w:r>
    <w:r w:rsidR="00712F17">
      <w:rPr>
        <w:rStyle w:val="PageNumber"/>
        <w:noProof/>
      </w:rPr>
      <w:t>4</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CF1" w:rsidRDefault="007B3CF1">
    <w:pPr>
      <w:pStyle w:val="Header"/>
      <w:ind w:right="360"/>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CF1" w:rsidRDefault="007B3CF1">
    <w:pPr>
      <w:pStyle w:val="Header"/>
      <w:ind w:right="360"/>
    </w:pPr>
    <w:r>
      <w:rPr>
        <w:snapToGrid w:val="0"/>
      </w:rPr>
      <w:tab/>
    </w:r>
    <w:r>
      <w:rPr>
        <w:snapToGrid w:val="0"/>
      </w:rPr>
      <w:tab/>
    </w:r>
  </w:p>
  <w:p w:rsidR="007B3CF1" w:rsidRDefault="007B3CF1">
    <w:pPr>
      <w:pStyle w:val="Header"/>
      <w:ind w:right="360"/>
      <w:jc w:val="cent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CF1" w:rsidRDefault="007B3CF1" w:rsidP="009932EC">
    <w:pPr>
      <w:pStyle w:val="Header"/>
      <w:jc w:val="center"/>
    </w:pPr>
    <w:r>
      <w:rPr>
        <w:rStyle w:val="PageNumber"/>
      </w:rPr>
      <w:t>-</w:t>
    </w:r>
    <w:r w:rsidR="002E7E7F">
      <w:rPr>
        <w:rStyle w:val="PageNumber"/>
      </w:rPr>
      <w:fldChar w:fldCharType="begin"/>
    </w:r>
    <w:r>
      <w:rPr>
        <w:rStyle w:val="PageNumber"/>
      </w:rPr>
      <w:instrText xml:space="preserve"> PAGE </w:instrText>
    </w:r>
    <w:r w:rsidR="002E7E7F">
      <w:rPr>
        <w:rStyle w:val="PageNumber"/>
      </w:rPr>
      <w:fldChar w:fldCharType="separate"/>
    </w:r>
    <w:r w:rsidR="00FC73B4">
      <w:rPr>
        <w:rStyle w:val="PageNumber"/>
        <w:noProof/>
      </w:rPr>
      <w:t>8</w:t>
    </w:r>
    <w:r w:rsidR="002E7E7F">
      <w:rPr>
        <w:rStyle w:val="PageNumber"/>
      </w:rPr>
      <w:fldChar w:fldCharType="end"/>
    </w:r>
    <w:r>
      <w:rPr>
        <w:rStyle w:val="PageNumber"/>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534F7"/>
    <w:multiLevelType w:val="hybridMultilevel"/>
    <w:tmpl w:val="3B86EF1C"/>
    <w:lvl w:ilvl="0" w:tplc="C9DA493C">
      <w:start w:val="1"/>
      <w:numFmt w:val="lowerRoman"/>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alibr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alibri"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alibri"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BF31737"/>
    <w:multiLevelType w:val="multilevel"/>
    <w:tmpl w:val="33BE8D50"/>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2">
    <w:nsid w:val="0DAB7FC9"/>
    <w:multiLevelType w:val="multilevel"/>
    <w:tmpl w:val="815C4274"/>
    <w:lvl w:ilvl="0">
      <w:start w:val="1"/>
      <w:numFmt w:val="upperRoman"/>
      <w:pStyle w:val="Chapter"/>
      <w:lvlText w:val="%1."/>
      <w:lvlJc w:val="center"/>
      <w:pPr>
        <w:tabs>
          <w:tab w:val="num" w:pos="3780"/>
        </w:tabs>
        <w:ind w:left="3132" w:firstLine="288"/>
      </w:pPr>
      <w:rPr>
        <w:rFonts w:hint="default"/>
        <w:b/>
        <w:i w:val="0"/>
      </w:rPr>
    </w:lvl>
    <w:lvl w:ilvl="1">
      <w:start w:val="1"/>
      <w:numFmt w:val="decimal"/>
      <w:pStyle w:val="Paragraph"/>
      <w:isLgl/>
      <w:lvlText w:val="%1.%2"/>
      <w:lvlJc w:val="left"/>
      <w:pPr>
        <w:tabs>
          <w:tab w:val="num" w:pos="720"/>
        </w:tabs>
        <w:ind w:left="720" w:hanging="720"/>
      </w:pPr>
      <w:rPr>
        <w:rFonts w:hint="default"/>
        <w:b w:val="0"/>
      </w:rPr>
    </w:lvl>
    <w:lvl w:ilvl="2">
      <w:start w:val="1"/>
      <w:numFmt w:val="lowerLetter"/>
      <w:pStyle w:val="subpar"/>
      <w:lvlText w:val="%3)"/>
      <w:lvlJc w:val="left"/>
      <w:pPr>
        <w:tabs>
          <w:tab w:val="num" w:pos="1152"/>
        </w:tabs>
        <w:ind w:left="1152" w:hanging="432"/>
      </w:pPr>
      <w:rPr>
        <w:rFonts w:hint="default"/>
        <w:b w:val="0"/>
        <w:i w:val="0"/>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
    <w:nsid w:val="1B221EA3"/>
    <w:multiLevelType w:val="hybridMultilevel"/>
    <w:tmpl w:val="19786D90"/>
    <w:lvl w:ilvl="0" w:tplc="CFC8B3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D79533A"/>
    <w:multiLevelType w:val="multilevel"/>
    <w:tmpl w:val="9C02748C"/>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5">
    <w:nsid w:val="48EF3B72"/>
    <w:multiLevelType w:val="hybridMultilevel"/>
    <w:tmpl w:val="90DE38FE"/>
    <w:lvl w:ilvl="0" w:tplc="C9DA493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4CB3FC2"/>
    <w:multiLevelType w:val="hybridMultilevel"/>
    <w:tmpl w:val="82E4D4CA"/>
    <w:lvl w:ilvl="0" w:tplc="C456CAA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alibr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alibri"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alibri"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68C13A1"/>
    <w:multiLevelType w:val="multilevel"/>
    <w:tmpl w:val="B2306478"/>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57D13CA5"/>
    <w:multiLevelType w:val="multilevel"/>
    <w:tmpl w:val="CF4AD4DE"/>
    <w:lvl w:ilvl="0">
      <w:start w:val="1"/>
      <w:numFmt w:val="upperRoman"/>
      <w:lvlText w:val="%1."/>
      <w:lvlJc w:val="left"/>
      <w:pPr>
        <w:ind w:left="1800" w:hanging="720"/>
      </w:pPr>
      <w:rPr>
        <w:rFonts w:hint="default"/>
      </w:rPr>
    </w:lvl>
    <w:lvl w:ilvl="1">
      <w:start w:val="1"/>
      <w:numFmt w:val="decimal"/>
      <w:isLgl/>
      <w:lvlText w:val="%1.%2"/>
      <w:lvlJc w:val="left"/>
      <w:pPr>
        <w:ind w:left="148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9">
    <w:nsid w:val="584E6377"/>
    <w:multiLevelType w:val="hybridMultilevel"/>
    <w:tmpl w:val="804AF6EC"/>
    <w:lvl w:ilvl="0" w:tplc="78F82466">
      <w:start w:val="1"/>
      <w:numFmt w:val="decimal"/>
      <w:lvlText w:val="%1."/>
      <w:lvlJc w:val="left"/>
      <w:pPr>
        <w:tabs>
          <w:tab w:val="num" w:pos="806"/>
        </w:tabs>
        <w:ind w:left="806" w:hanging="446"/>
      </w:pPr>
      <w:rPr>
        <w:rFonts w:cs="Times New Roman"/>
        <w:b w:val="0"/>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E2C7622"/>
    <w:multiLevelType w:val="multilevel"/>
    <w:tmpl w:val="2402C59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sz w:val="24"/>
        <w:szCs w:val="24"/>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1">
    <w:nsid w:val="601D7B2E"/>
    <w:multiLevelType w:val="multilevel"/>
    <w:tmpl w:val="D08867BA"/>
    <w:styleLink w:val="LFO7"/>
    <w:lvl w:ilvl="0">
      <w:start w:val="1"/>
      <w:numFmt w:val="upperRoman"/>
      <w:lvlText w:val="%1."/>
      <w:lvlJc w:val="center"/>
      <w:pPr>
        <w:ind w:left="1440" w:firstLine="0"/>
      </w:pPr>
      <w:rPr>
        <w:b/>
        <w:i w:val="0"/>
      </w:rPr>
    </w:lvl>
    <w:lvl w:ilvl="1">
      <w:start w:val="1"/>
      <w:numFmt w:val="decimal"/>
      <w:lvlText w:val="%1.%2"/>
      <w:lvlJc w:val="left"/>
      <w:pPr>
        <w:ind w:left="2448" w:hanging="1296"/>
      </w:pPr>
      <w:rPr>
        <w:b w:val="0"/>
      </w:rPr>
    </w:lvl>
    <w:lvl w:ilvl="2">
      <w:start w:val="1"/>
      <w:numFmt w:val="lowerLetter"/>
      <w:lvlText w:val="%3."/>
      <w:lvlJc w:val="left"/>
      <w:pPr>
        <w:ind w:left="2304" w:hanging="432"/>
      </w:pPr>
    </w:lvl>
    <w:lvl w:ilvl="3">
      <w:start w:val="1"/>
      <w:numFmt w:val="lowerRoman"/>
      <w:lvlText w:val="%4."/>
      <w:lvlJc w:val="right"/>
      <w:pPr>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2">
    <w:nsid w:val="6BD17AC6"/>
    <w:multiLevelType w:val="hybridMultilevel"/>
    <w:tmpl w:val="2A520BFC"/>
    <w:lvl w:ilvl="0" w:tplc="DEBA283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39031CB"/>
    <w:multiLevelType w:val="hybridMultilevel"/>
    <w:tmpl w:val="09D68FD4"/>
    <w:lvl w:ilvl="0" w:tplc="B2F4B32E">
      <w:start w:val="1"/>
      <w:numFmt w:val="upperRoman"/>
      <w:lvlText w:val="%1."/>
      <w:lvlJc w:val="left"/>
      <w:pPr>
        <w:ind w:left="1080" w:hanging="720"/>
      </w:pPr>
      <w:rPr>
        <w:rFonts w:hint="default"/>
      </w:rPr>
    </w:lvl>
    <w:lvl w:ilvl="1" w:tplc="82A685BE" w:tentative="1">
      <w:start w:val="1"/>
      <w:numFmt w:val="lowerLetter"/>
      <w:lvlText w:val="%2."/>
      <w:lvlJc w:val="left"/>
      <w:pPr>
        <w:ind w:left="1440" w:hanging="360"/>
      </w:pPr>
    </w:lvl>
    <w:lvl w:ilvl="2" w:tplc="49162BA6" w:tentative="1">
      <w:start w:val="1"/>
      <w:numFmt w:val="lowerRoman"/>
      <w:lvlText w:val="%3."/>
      <w:lvlJc w:val="right"/>
      <w:pPr>
        <w:ind w:left="2160" w:hanging="180"/>
      </w:pPr>
    </w:lvl>
    <w:lvl w:ilvl="3" w:tplc="ECA870AA" w:tentative="1">
      <w:start w:val="1"/>
      <w:numFmt w:val="decimal"/>
      <w:lvlText w:val="%4."/>
      <w:lvlJc w:val="left"/>
      <w:pPr>
        <w:ind w:left="2880" w:hanging="360"/>
      </w:pPr>
    </w:lvl>
    <w:lvl w:ilvl="4" w:tplc="C2CEF0BC" w:tentative="1">
      <w:start w:val="1"/>
      <w:numFmt w:val="lowerLetter"/>
      <w:lvlText w:val="%5."/>
      <w:lvlJc w:val="left"/>
      <w:pPr>
        <w:ind w:left="3600" w:hanging="360"/>
      </w:pPr>
    </w:lvl>
    <w:lvl w:ilvl="5" w:tplc="ED14CFE6" w:tentative="1">
      <w:start w:val="1"/>
      <w:numFmt w:val="lowerRoman"/>
      <w:lvlText w:val="%6."/>
      <w:lvlJc w:val="right"/>
      <w:pPr>
        <w:ind w:left="4320" w:hanging="180"/>
      </w:pPr>
    </w:lvl>
    <w:lvl w:ilvl="6" w:tplc="460A7698" w:tentative="1">
      <w:start w:val="1"/>
      <w:numFmt w:val="decimal"/>
      <w:lvlText w:val="%7."/>
      <w:lvlJc w:val="left"/>
      <w:pPr>
        <w:ind w:left="5040" w:hanging="360"/>
      </w:pPr>
    </w:lvl>
    <w:lvl w:ilvl="7" w:tplc="15720188" w:tentative="1">
      <w:start w:val="1"/>
      <w:numFmt w:val="lowerLetter"/>
      <w:lvlText w:val="%8."/>
      <w:lvlJc w:val="left"/>
      <w:pPr>
        <w:ind w:left="5760" w:hanging="360"/>
      </w:pPr>
    </w:lvl>
    <w:lvl w:ilvl="8" w:tplc="2CE26028" w:tentative="1">
      <w:start w:val="1"/>
      <w:numFmt w:val="lowerRoman"/>
      <w:lvlText w:val="%9."/>
      <w:lvlJc w:val="right"/>
      <w:pPr>
        <w:ind w:left="6480" w:hanging="180"/>
      </w:pPr>
    </w:lvl>
  </w:abstractNum>
  <w:abstractNum w:abstractNumId="14">
    <w:nsid w:val="74C74592"/>
    <w:multiLevelType w:val="multilevel"/>
    <w:tmpl w:val="151E851A"/>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5">
    <w:nsid w:val="77B3500D"/>
    <w:multiLevelType w:val="hybridMultilevel"/>
    <w:tmpl w:val="D3E6A352"/>
    <w:lvl w:ilvl="0" w:tplc="EDC6520E">
      <w:start w:val="1"/>
      <w:numFmt w:val="lowerRoman"/>
      <w:lvlText w:val="(%1)"/>
      <w:lvlJc w:val="left"/>
      <w:pPr>
        <w:ind w:left="1080" w:hanging="720"/>
      </w:pPr>
      <w:rPr>
        <w:rFonts w:hint="default"/>
      </w:rPr>
    </w:lvl>
    <w:lvl w:ilvl="1" w:tplc="5BC0616E">
      <w:start w:val="1"/>
      <w:numFmt w:val="lowerLetter"/>
      <w:lvlText w:val="%2."/>
      <w:lvlJc w:val="left"/>
      <w:pPr>
        <w:ind w:left="1440" w:hanging="360"/>
      </w:pPr>
    </w:lvl>
    <w:lvl w:ilvl="2" w:tplc="49FA6896" w:tentative="1">
      <w:start w:val="1"/>
      <w:numFmt w:val="lowerRoman"/>
      <w:lvlText w:val="%3."/>
      <w:lvlJc w:val="right"/>
      <w:pPr>
        <w:ind w:left="2160" w:hanging="180"/>
      </w:pPr>
    </w:lvl>
    <w:lvl w:ilvl="3" w:tplc="B04252AE" w:tentative="1">
      <w:start w:val="1"/>
      <w:numFmt w:val="decimal"/>
      <w:lvlText w:val="%4."/>
      <w:lvlJc w:val="left"/>
      <w:pPr>
        <w:ind w:left="2880" w:hanging="360"/>
      </w:pPr>
    </w:lvl>
    <w:lvl w:ilvl="4" w:tplc="4DD8C6D8" w:tentative="1">
      <w:start w:val="1"/>
      <w:numFmt w:val="lowerLetter"/>
      <w:lvlText w:val="%5."/>
      <w:lvlJc w:val="left"/>
      <w:pPr>
        <w:ind w:left="3600" w:hanging="360"/>
      </w:pPr>
    </w:lvl>
    <w:lvl w:ilvl="5" w:tplc="EF4E413A" w:tentative="1">
      <w:start w:val="1"/>
      <w:numFmt w:val="lowerRoman"/>
      <w:lvlText w:val="%6."/>
      <w:lvlJc w:val="right"/>
      <w:pPr>
        <w:ind w:left="4320" w:hanging="180"/>
      </w:pPr>
    </w:lvl>
    <w:lvl w:ilvl="6" w:tplc="DCCC382C" w:tentative="1">
      <w:start w:val="1"/>
      <w:numFmt w:val="decimal"/>
      <w:lvlText w:val="%7."/>
      <w:lvlJc w:val="left"/>
      <w:pPr>
        <w:ind w:left="5040" w:hanging="360"/>
      </w:pPr>
    </w:lvl>
    <w:lvl w:ilvl="7" w:tplc="48DEFC6E" w:tentative="1">
      <w:start w:val="1"/>
      <w:numFmt w:val="lowerLetter"/>
      <w:lvlText w:val="%8."/>
      <w:lvlJc w:val="left"/>
      <w:pPr>
        <w:ind w:left="5760" w:hanging="360"/>
      </w:pPr>
    </w:lvl>
    <w:lvl w:ilvl="8" w:tplc="AE64B5F6" w:tentative="1">
      <w:start w:val="1"/>
      <w:numFmt w:val="lowerRoman"/>
      <w:lvlText w:val="%9."/>
      <w:lvlJc w:val="right"/>
      <w:pPr>
        <w:ind w:left="6480" w:hanging="180"/>
      </w:pPr>
    </w:lvl>
  </w:abstractNum>
  <w:num w:numId="1">
    <w:abstractNumId w:val="14"/>
  </w:num>
  <w:num w:numId="2">
    <w:abstractNumId w:val="14"/>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2"/>
  </w:num>
  <w:num w:numId="11">
    <w:abstractNumId w:val="4"/>
  </w:num>
  <w:num w:numId="12">
    <w:abstractNumId w:val="2"/>
  </w:num>
  <w:num w:numId="13">
    <w:abstractNumId w:val="13"/>
  </w:num>
  <w:num w:numId="14">
    <w:abstractNumId w:val="6"/>
  </w:num>
  <w:num w:numId="15">
    <w:abstractNumId w:val="0"/>
  </w:num>
  <w:num w:numId="16">
    <w:abstractNumId w:val="8"/>
  </w:num>
  <w:num w:numId="17">
    <w:abstractNumId w:val="15"/>
  </w:num>
  <w:num w:numId="18">
    <w:abstractNumId w:val="5"/>
  </w:num>
  <w:num w:numId="19">
    <w:abstractNumId w:val="3"/>
  </w:num>
  <w:num w:numId="20">
    <w:abstractNumId w:val="2"/>
  </w:num>
  <w:num w:numId="21">
    <w:abstractNumId w:val="12"/>
  </w:num>
  <w:num w:numId="22">
    <w:abstractNumId w:val="2"/>
  </w:num>
  <w:num w:numId="23">
    <w:abstractNumId w:val="2"/>
  </w:num>
  <w:num w:numId="24">
    <w:abstractNumId w:val="2"/>
  </w:num>
  <w:num w:numId="25">
    <w:abstractNumId w:val="11"/>
  </w:num>
  <w:num w:numId="26">
    <w:abstractNumId w:val="2"/>
  </w:num>
  <w:num w:numId="27">
    <w:abstractNumId w:val="2"/>
  </w:num>
  <w:num w:numId="28">
    <w:abstractNumId w:val="9"/>
  </w:num>
  <w:num w:numId="29">
    <w:abstractNumId w:val="7"/>
  </w:num>
  <w:num w:numId="30">
    <w:abstractNumId w:val="10"/>
  </w:num>
  <w:num w:numId="31">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_tradnl" w:vendorID="64" w:dllVersion="131078" w:nlCheck="1" w:checkStyle="1"/>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revisionView w:markup="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TYPE" w:val="PR"/>
    <w:docVar w:name="TotalAbbr" w:val="0"/>
  </w:docVars>
  <w:rsids>
    <w:rsidRoot w:val="00E12118"/>
    <w:rsid w:val="0001084E"/>
    <w:rsid w:val="00012226"/>
    <w:rsid w:val="0001334B"/>
    <w:rsid w:val="00013EC8"/>
    <w:rsid w:val="00020283"/>
    <w:rsid w:val="00021104"/>
    <w:rsid w:val="000250F5"/>
    <w:rsid w:val="00026425"/>
    <w:rsid w:val="0003767E"/>
    <w:rsid w:val="00040111"/>
    <w:rsid w:val="0004143C"/>
    <w:rsid w:val="000433CD"/>
    <w:rsid w:val="00060572"/>
    <w:rsid w:val="000624A8"/>
    <w:rsid w:val="00065D35"/>
    <w:rsid w:val="00066E41"/>
    <w:rsid w:val="00067038"/>
    <w:rsid w:val="0007053D"/>
    <w:rsid w:val="0007069C"/>
    <w:rsid w:val="000715A5"/>
    <w:rsid w:val="00072020"/>
    <w:rsid w:val="000747F6"/>
    <w:rsid w:val="00081371"/>
    <w:rsid w:val="00082C75"/>
    <w:rsid w:val="0008533A"/>
    <w:rsid w:val="000930A4"/>
    <w:rsid w:val="000938DB"/>
    <w:rsid w:val="00094D52"/>
    <w:rsid w:val="000955A2"/>
    <w:rsid w:val="000A1AA0"/>
    <w:rsid w:val="000B1FB1"/>
    <w:rsid w:val="000B24A9"/>
    <w:rsid w:val="000B2F6F"/>
    <w:rsid w:val="000B3BD5"/>
    <w:rsid w:val="000B7B90"/>
    <w:rsid w:val="000C3762"/>
    <w:rsid w:val="000C41CC"/>
    <w:rsid w:val="000D511C"/>
    <w:rsid w:val="000E2BFF"/>
    <w:rsid w:val="000E4BB5"/>
    <w:rsid w:val="000E55EF"/>
    <w:rsid w:val="000F30BE"/>
    <w:rsid w:val="000F5399"/>
    <w:rsid w:val="000F63BE"/>
    <w:rsid w:val="00102FDE"/>
    <w:rsid w:val="0010316C"/>
    <w:rsid w:val="00103744"/>
    <w:rsid w:val="0011224C"/>
    <w:rsid w:val="00114F7D"/>
    <w:rsid w:val="001164F0"/>
    <w:rsid w:val="00117DDA"/>
    <w:rsid w:val="00123D65"/>
    <w:rsid w:val="0012525E"/>
    <w:rsid w:val="00127BFC"/>
    <w:rsid w:val="001303CC"/>
    <w:rsid w:val="00140F80"/>
    <w:rsid w:val="00141606"/>
    <w:rsid w:val="00144B10"/>
    <w:rsid w:val="00144C00"/>
    <w:rsid w:val="00146F2A"/>
    <w:rsid w:val="00153822"/>
    <w:rsid w:val="001552AA"/>
    <w:rsid w:val="00156B23"/>
    <w:rsid w:val="00162F28"/>
    <w:rsid w:val="00163C20"/>
    <w:rsid w:val="001642A9"/>
    <w:rsid w:val="0016712A"/>
    <w:rsid w:val="00170F22"/>
    <w:rsid w:val="001716A9"/>
    <w:rsid w:val="00177FDE"/>
    <w:rsid w:val="001800BA"/>
    <w:rsid w:val="00180E3E"/>
    <w:rsid w:val="0018315D"/>
    <w:rsid w:val="00186B1A"/>
    <w:rsid w:val="00191FDB"/>
    <w:rsid w:val="00192576"/>
    <w:rsid w:val="00192E9E"/>
    <w:rsid w:val="001942E3"/>
    <w:rsid w:val="001942FB"/>
    <w:rsid w:val="001A0256"/>
    <w:rsid w:val="001A33A5"/>
    <w:rsid w:val="001A42BD"/>
    <w:rsid w:val="001A552C"/>
    <w:rsid w:val="001B5E18"/>
    <w:rsid w:val="001C116D"/>
    <w:rsid w:val="001C357E"/>
    <w:rsid w:val="001C4655"/>
    <w:rsid w:val="001D1C2F"/>
    <w:rsid w:val="001D3190"/>
    <w:rsid w:val="001D6F8D"/>
    <w:rsid w:val="001E040E"/>
    <w:rsid w:val="001E6498"/>
    <w:rsid w:val="001E7997"/>
    <w:rsid w:val="001F154B"/>
    <w:rsid w:val="001F284D"/>
    <w:rsid w:val="001F48A4"/>
    <w:rsid w:val="001F739F"/>
    <w:rsid w:val="002014C3"/>
    <w:rsid w:val="00203185"/>
    <w:rsid w:val="00203CA7"/>
    <w:rsid w:val="00205B6A"/>
    <w:rsid w:val="00210F56"/>
    <w:rsid w:val="00213B01"/>
    <w:rsid w:val="00215CF1"/>
    <w:rsid w:val="00215E24"/>
    <w:rsid w:val="002164BE"/>
    <w:rsid w:val="002172F7"/>
    <w:rsid w:val="00217B71"/>
    <w:rsid w:val="00217E41"/>
    <w:rsid w:val="00221613"/>
    <w:rsid w:val="002223A1"/>
    <w:rsid w:val="00223ADC"/>
    <w:rsid w:val="00225316"/>
    <w:rsid w:val="00231525"/>
    <w:rsid w:val="00235003"/>
    <w:rsid w:val="0023703C"/>
    <w:rsid w:val="002414F1"/>
    <w:rsid w:val="00246340"/>
    <w:rsid w:val="002463F4"/>
    <w:rsid w:val="00252036"/>
    <w:rsid w:val="002520DF"/>
    <w:rsid w:val="00253F74"/>
    <w:rsid w:val="0025763D"/>
    <w:rsid w:val="00261A5F"/>
    <w:rsid w:val="0026572D"/>
    <w:rsid w:val="0027102F"/>
    <w:rsid w:val="00274051"/>
    <w:rsid w:val="00275E77"/>
    <w:rsid w:val="00280096"/>
    <w:rsid w:val="00281B95"/>
    <w:rsid w:val="002821BF"/>
    <w:rsid w:val="00284C7C"/>
    <w:rsid w:val="00286F8F"/>
    <w:rsid w:val="002910BB"/>
    <w:rsid w:val="0029377A"/>
    <w:rsid w:val="002960B9"/>
    <w:rsid w:val="00297757"/>
    <w:rsid w:val="002A314E"/>
    <w:rsid w:val="002A5172"/>
    <w:rsid w:val="002B2592"/>
    <w:rsid w:val="002B5F6A"/>
    <w:rsid w:val="002C3694"/>
    <w:rsid w:val="002C3902"/>
    <w:rsid w:val="002C7EED"/>
    <w:rsid w:val="002D7574"/>
    <w:rsid w:val="002E0F74"/>
    <w:rsid w:val="002E409B"/>
    <w:rsid w:val="002E4605"/>
    <w:rsid w:val="002E7E7F"/>
    <w:rsid w:val="002F3035"/>
    <w:rsid w:val="002F50A0"/>
    <w:rsid w:val="002F6476"/>
    <w:rsid w:val="003115FC"/>
    <w:rsid w:val="0031495D"/>
    <w:rsid w:val="003207F1"/>
    <w:rsid w:val="003219DB"/>
    <w:rsid w:val="0033363E"/>
    <w:rsid w:val="003337B0"/>
    <w:rsid w:val="00335240"/>
    <w:rsid w:val="003367CC"/>
    <w:rsid w:val="003435D4"/>
    <w:rsid w:val="00345652"/>
    <w:rsid w:val="00345A36"/>
    <w:rsid w:val="00345EF0"/>
    <w:rsid w:val="0036257A"/>
    <w:rsid w:val="0036361E"/>
    <w:rsid w:val="00364A5C"/>
    <w:rsid w:val="00370BC6"/>
    <w:rsid w:val="00372EA7"/>
    <w:rsid w:val="00374ED9"/>
    <w:rsid w:val="00375CC7"/>
    <w:rsid w:val="00375F9E"/>
    <w:rsid w:val="00380288"/>
    <w:rsid w:val="003809EA"/>
    <w:rsid w:val="00380F0B"/>
    <w:rsid w:val="0038326B"/>
    <w:rsid w:val="00385DF9"/>
    <w:rsid w:val="0038742A"/>
    <w:rsid w:val="00391856"/>
    <w:rsid w:val="00395F3F"/>
    <w:rsid w:val="003A0563"/>
    <w:rsid w:val="003A2D06"/>
    <w:rsid w:val="003A3A20"/>
    <w:rsid w:val="003A6422"/>
    <w:rsid w:val="003B0602"/>
    <w:rsid w:val="003B2235"/>
    <w:rsid w:val="003B2663"/>
    <w:rsid w:val="003B2DE1"/>
    <w:rsid w:val="003B60E5"/>
    <w:rsid w:val="003B71D7"/>
    <w:rsid w:val="003C7879"/>
    <w:rsid w:val="003E6BEC"/>
    <w:rsid w:val="003F06C8"/>
    <w:rsid w:val="003F27D7"/>
    <w:rsid w:val="003F3016"/>
    <w:rsid w:val="003F5774"/>
    <w:rsid w:val="00401062"/>
    <w:rsid w:val="0040241E"/>
    <w:rsid w:val="004038A7"/>
    <w:rsid w:val="00404898"/>
    <w:rsid w:val="004060E9"/>
    <w:rsid w:val="00415549"/>
    <w:rsid w:val="004209AE"/>
    <w:rsid w:val="00425C3A"/>
    <w:rsid w:val="004269DB"/>
    <w:rsid w:val="00427A9E"/>
    <w:rsid w:val="004301F8"/>
    <w:rsid w:val="00432F6E"/>
    <w:rsid w:val="00433290"/>
    <w:rsid w:val="00433791"/>
    <w:rsid w:val="00435E71"/>
    <w:rsid w:val="00443165"/>
    <w:rsid w:val="0044599E"/>
    <w:rsid w:val="00446AA8"/>
    <w:rsid w:val="00453E76"/>
    <w:rsid w:val="00466286"/>
    <w:rsid w:val="004707BC"/>
    <w:rsid w:val="00476B1E"/>
    <w:rsid w:val="0048189D"/>
    <w:rsid w:val="004846FF"/>
    <w:rsid w:val="004946D9"/>
    <w:rsid w:val="004971D5"/>
    <w:rsid w:val="004A061B"/>
    <w:rsid w:val="004A0CF5"/>
    <w:rsid w:val="004A41FC"/>
    <w:rsid w:val="004A584E"/>
    <w:rsid w:val="004A7529"/>
    <w:rsid w:val="004A7A73"/>
    <w:rsid w:val="004B0C95"/>
    <w:rsid w:val="004B1271"/>
    <w:rsid w:val="004B2470"/>
    <w:rsid w:val="004E0E8A"/>
    <w:rsid w:val="004E1B7A"/>
    <w:rsid w:val="004E3816"/>
    <w:rsid w:val="004E3927"/>
    <w:rsid w:val="004E6AC2"/>
    <w:rsid w:val="004F139A"/>
    <w:rsid w:val="004F4198"/>
    <w:rsid w:val="00505E4B"/>
    <w:rsid w:val="00507A2E"/>
    <w:rsid w:val="00513CF4"/>
    <w:rsid w:val="005244FD"/>
    <w:rsid w:val="0052506E"/>
    <w:rsid w:val="00525D16"/>
    <w:rsid w:val="00526B41"/>
    <w:rsid w:val="00530312"/>
    <w:rsid w:val="00540511"/>
    <w:rsid w:val="00540924"/>
    <w:rsid w:val="00542144"/>
    <w:rsid w:val="00542A9D"/>
    <w:rsid w:val="005512BB"/>
    <w:rsid w:val="005606FB"/>
    <w:rsid w:val="0056205A"/>
    <w:rsid w:val="005743CD"/>
    <w:rsid w:val="0057531D"/>
    <w:rsid w:val="005777AE"/>
    <w:rsid w:val="005849CF"/>
    <w:rsid w:val="0058525C"/>
    <w:rsid w:val="00590220"/>
    <w:rsid w:val="005912FA"/>
    <w:rsid w:val="00597275"/>
    <w:rsid w:val="00597811"/>
    <w:rsid w:val="005A0734"/>
    <w:rsid w:val="005A127A"/>
    <w:rsid w:val="005A24BB"/>
    <w:rsid w:val="005A4E7B"/>
    <w:rsid w:val="005A4EED"/>
    <w:rsid w:val="005A5523"/>
    <w:rsid w:val="005A6D07"/>
    <w:rsid w:val="005B4D32"/>
    <w:rsid w:val="005B5DC1"/>
    <w:rsid w:val="005C5796"/>
    <w:rsid w:val="005C5FC3"/>
    <w:rsid w:val="005D3133"/>
    <w:rsid w:val="005D53E8"/>
    <w:rsid w:val="005D559A"/>
    <w:rsid w:val="005D6C53"/>
    <w:rsid w:val="005E4372"/>
    <w:rsid w:val="005E5067"/>
    <w:rsid w:val="005E5A7B"/>
    <w:rsid w:val="005E7DFD"/>
    <w:rsid w:val="005F1A4C"/>
    <w:rsid w:val="0060167A"/>
    <w:rsid w:val="006033EC"/>
    <w:rsid w:val="00614F29"/>
    <w:rsid w:val="00632A5E"/>
    <w:rsid w:val="00633836"/>
    <w:rsid w:val="00634339"/>
    <w:rsid w:val="00635812"/>
    <w:rsid w:val="006360A7"/>
    <w:rsid w:val="006414DE"/>
    <w:rsid w:val="0064542B"/>
    <w:rsid w:val="00645484"/>
    <w:rsid w:val="006514A5"/>
    <w:rsid w:val="00655D47"/>
    <w:rsid w:val="00662E28"/>
    <w:rsid w:val="00662EF5"/>
    <w:rsid w:val="006641D6"/>
    <w:rsid w:val="00665DD8"/>
    <w:rsid w:val="00666A6B"/>
    <w:rsid w:val="00671528"/>
    <w:rsid w:val="0067674A"/>
    <w:rsid w:val="00681369"/>
    <w:rsid w:val="00682036"/>
    <w:rsid w:val="00683491"/>
    <w:rsid w:val="006861CB"/>
    <w:rsid w:val="0068765F"/>
    <w:rsid w:val="00691DCC"/>
    <w:rsid w:val="00692B36"/>
    <w:rsid w:val="00694C3A"/>
    <w:rsid w:val="00696BCD"/>
    <w:rsid w:val="00697A63"/>
    <w:rsid w:val="006A0954"/>
    <w:rsid w:val="006A1933"/>
    <w:rsid w:val="006A2958"/>
    <w:rsid w:val="006A4F1A"/>
    <w:rsid w:val="006A6DE4"/>
    <w:rsid w:val="006B1297"/>
    <w:rsid w:val="006B1399"/>
    <w:rsid w:val="006C354A"/>
    <w:rsid w:val="006C54B3"/>
    <w:rsid w:val="006C6FF7"/>
    <w:rsid w:val="006D24C3"/>
    <w:rsid w:val="006E5876"/>
    <w:rsid w:val="006F6339"/>
    <w:rsid w:val="006F649B"/>
    <w:rsid w:val="007011A2"/>
    <w:rsid w:val="00701C8D"/>
    <w:rsid w:val="00703D4B"/>
    <w:rsid w:val="00711518"/>
    <w:rsid w:val="00712F17"/>
    <w:rsid w:val="0072095F"/>
    <w:rsid w:val="00722276"/>
    <w:rsid w:val="007246A2"/>
    <w:rsid w:val="00726BAC"/>
    <w:rsid w:val="00732AF6"/>
    <w:rsid w:val="007335AE"/>
    <w:rsid w:val="007365AE"/>
    <w:rsid w:val="00737F3B"/>
    <w:rsid w:val="00740F9D"/>
    <w:rsid w:val="00741562"/>
    <w:rsid w:val="007426B5"/>
    <w:rsid w:val="00753B47"/>
    <w:rsid w:val="00754CFD"/>
    <w:rsid w:val="0076498C"/>
    <w:rsid w:val="007676AE"/>
    <w:rsid w:val="00776CA7"/>
    <w:rsid w:val="00777354"/>
    <w:rsid w:val="00782C6A"/>
    <w:rsid w:val="00784123"/>
    <w:rsid w:val="00785EE9"/>
    <w:rsid w:val="0079409D"/>
    <w:rsid w:val="00795511"/>
    <w:rsid w:val="007A1979"/>
    <w:rsid w:val="007A559C"/>
    <w:rsid w:val="007B0472"/>
    <w:rsid w:val="007B0A37"/>
    <w:rsid w:val="007B3CF1"/>
    <w:rsid w:val="007B3F68"/>
    <w:rsid w:val="007B5DF9"/>
    <w:rsid w:val="007C01B4"/>
    <w:rsid w:val="007C01FE"/>
    <w:rsid w:val="007C3F86"/>
    <w:rsid w:val="007D2803"/>
    <w:rsid w:val="007D3834"/>
    <w:rsid w:val="007D72E5"/>
    <w:rsid w:val="007E06FC"/>
    <w:rsid w:val="007E2DBD"/>
    <w:rsid w:val="007E3B7F"/>
    <w:rsid w:val="007F5EB8"/>
    <w:rsid w:val="007F6B67"/>
    <w:rsid w:val="00800A45"/>
    <w:rsid w:val="00805E99"/>
    <w:rsid w:val="00810B27"/>
    <w:rsid w:val="0082015B"/>
    <w:rsid w:val="00820858"/>
    <w:rsid w:val="00825E6E"/>
    <w:rsid w:val="00827A69"/>
    <w:rsid w:val="008330BF"/>
    <w:rsid w:val="00835250"/>
    <w:rsid w:val="0084075D"/>
    <w:rsid w:val="00852B03"/>
    <w:rsid w:val="00855869"/>
    <w:rsid w:val="00857C46"/>
    <w:rsid w:val="008601F0"/>
    <w:rsid w:val="00865A87"/>
    <w:rsid w:val="00873FD9"/>
    <w:rsid w:val="00875201"/>
    <w:rsid w:val="008771C4"/>
    <w:rsid w:val="008779B7"/>
    <w:rsid w:val="00883DAD"/>
    <w:rsid w:val="0088533C"/>
    <w:rsid w:val="00890BEA"/>
    <w:rsid w:val="00891C9D"/>
    <w:rsid w:val="00893E57"/>
    <w:rsid w:val="0089663E"/>
    <w:rsid w:val="008967EF"/>
    <w:rsid w:val="008A0D26"/>
    <w:rsid w:val="008A1145"/>
    <w:rsid w:val="008A2C7C"/>
    <w:rsid w:val="008A3F08"/>
    <w:rsid w:val="008A731B"/>
    <w:rsid w:val="008B11E0"/>
    <w:rsid w:val="008B44B6"/>
    <w:rsid w:val="008B52A4"/>
    <w:rsid w:val="008B69AA"/>
    <w:rsid w:val="008B6AB9"/>
    <w:rsid w:val="008B74AA"/>
    <w:rsid w:val="008C3A81"/>
    <w:rsid w:val="008C3BA1"/>
    <w:rsid w:val="008C3E9C"/>
    <w:rsid w:val="008C5F35"/>
    <w:rsid w:val="008D3F40"/>
    <w:rsid w:val="008D5670"/>
    <w:rsid w:val="008D7927"/>
    <w:rsid w:val="008E4027"/>
    <w:rsid w:val="008E629C"/>
    <w:rsid w:val="008F22B2"/>
    <w:rsid w:val="008F3A77"/>
    <w:rsid w:val="00900605"/>
    <w:rsid w:val="00902540"/>
    <w:rsid w:val="00906DB3"/>
    <w:rsid w:val="00914C4D"/>
    <w:rsid w:val="0092028F"/>
    <w:rsid w:val="00920FE2"/>
    <w:rsid w:val="0092418A"/>
    <w:rsid w:val="009323A8"/>
    <w:rsid w:val="009331CF"/>
    <w:rsid w:val="0093369D"/>
    <w:rsid w:val="009379B8"/>
    <w:rsid w:val="0094653E"/>
    <w:rsid w:val="00947E1B"/>
    <w:rsid w:val="009523F8"/>
    <w:rsid w:val="00953740"/>
    <w:rsid w:val="00955C11"/>
    <w:rsid w:val="00957E4E"/>
    <w:rsid w:val="00961DD3"/>
    <w:rsid w:val="0096264C"/>
    <w:rsid w:val="0096496B"/>
    <w:rsid w:val="00966D43"/>
    <w:rsid w:val="00967A0D"/>
    <w:rsid w:val="00973118"/>
    <w:rsid w:val="0097444D"/>
    <w:rsid w:val="00974D84"/>
    <w:rsid w:val="00974DA9"/>
    <w:rsid w:val="00974E2A"/>
    <w:rsid w:val="00975A4F"/>
    <w:rsid w:val="0097609D"/>
    <w:rsid w:val="009762E4"/>
    <w:rsid w:val="009805CB"/>
    <w:rsid w:val="0098064E"/>
    <w:rsid w:val="009823C3"/>
    <w:rsid w:val="00982FAA"/>
    <w:rsid w:val="009872B4"/>
    <w:rsid w:val="00987E76"/>
    <w:rsid w:val="009932EC"/>
    <w:rsid w:val="00995E3E"/>
    <w:rsid w:val="00996055"/>
    <w:rsid w:val="00996D33"/>
    <w:rsid w:val="009A02C8"/>
    <w:rsid w:val="009A2B82"/>
    <w:rsid w:val="009A31F3"/>
    <w:rsid w:val="009A5BBA"/>
    <w:rsid w:val="009B2501"/>
    <w:rsid w:val="009B714E"/>
    <w:rsid w:val="009C10B2"/>
    <w:rsid w:val="009C2946"/>
    <w:rsid w:val="009D68B9"/>
    <w:rsid w:val="009E5CB7"/>
    <w:rsid w:val="009E7139"/>
    <w:rsid w:val="009F4231"/>
    <w:rsid w:val="00A054B8"/>
    <w:rsid w:val="00A0621B"/>
    <w:rsid w:val="00A07396"/>
    <w:rsid w:val="00A14DB0"/>
    <w:rsid w:val="00A22676"/>
    <w:rsid w:val="00A22D82"/>
    <w:rsid w:val="00A25305"/>
    <w:rsid w:val="00A254F0"/>
    <w:rsid w:val="00A27776"/>
    <w:rsid w:val="00A301C4"/>
    <w:rsid w:val="00A30623"/>
    <w:rsid w:val="00A30AD1"/>
    <w:rsid w:val="00A344A9"/>
    <w:rsid w:val="00A4526E"/>
    <w:rsid w:val="00A4609A"/>
    <w:rsid w:val="00A50A05"/>
    <w:rsid w:val="00A542E5"/>
    <w:rsid w:val="00A546E3"/>
    <w:rsid w:val="00A6061A"/>
    <w:rsid w:val="00A60CE6"/>
    <w:rsid w:val="00A60D4C"/>
    <w:rsid w:val="00A657E3"/>
    <w:rsid w:val="00A670B5"/>
    <w:rsid w:val="00A670DC"/>
    <w:rsid w:val="00A67368"/>
    <w:rsid w:val="00A70923"/>
    <w:rsid w:val="00A74125"/>
    <w:rsid w:val="00A75EF4"/>
    <w:rsid w:val="00A7626E"/>
    <w:rsid w:val="00A77872"/>
    <w:rsid w:val="00A825AA"/>
    <w:rsid w:val="00A826D3"/>
    <w:rsid w:val="00A90D65"/>
    <w:rsid w:val="00A949FF"/>
    <w:rsid w:val="00A958A7"/>
    <w:rsid w:val="00AA2BE0"/>
    <w:rsid w:val="00AA36C3"/>
    <w:rsid w:val="00AA7FCD"/>
    <w:rsid w:val="00AB5BB7"/>
    <w:rsid w:val="00AC0E33"/>
    <w:rsid w:val="00AC12FC"/>
    <w:rsid w:val="00AC1388"/>
    <w:rsid w:val="00AC2AF7"/>
    <w:rsid w:val="00AC6077"/>
    <w:rsid w:val="00AE1037"/>
    <w:rsid w:val="00AE697A"/>
    <w:rsid w:val="00AF5838"/>
    <w:rsid w:val="00AF65F3"/>
    <w:rsid w:val="00B00559"/>
    <w:rsid w:val="00B1137D"/>
    <w:rsid w:val="00B1386D"/>
    <w:rsid w:val="00B16E81"/>
    <w:rsid w:val="00B178E2"/>
    <w:rsid w:val="00B2072E"/>
    <w:rsid w:val="00B20FF0"/>
    <w:rsid w:val="00B23216"/>
    <w:rsid w:val="00B25DC4"/>
    <w:rsid w:val="00B304A2"/>
    <w:rsid w:val="00B36F1F"/>
    <w:rsid w:val="00B37BD3"/>
    <w:rsid w:val="00B4067F"/>
    <w:rsid w:val="00B4506A"/>
    <w:rsid w:val="00B462AB"/>
    <w:rsid w:val="00B5122A"/>
    <w:rsid w:val="00B531CF"/>
    <w:rsid w:val="00B62915"/>
    <w:rsid w:val="00B661F4"/>
    <w:rsid w:val="00B704D2"/>
    <w:rsid w:val="00B706EB"/>
    <w:rsid w:val="00B7072D"/>
    <w:rsid w:val="00B70B9A"/>
    <w:rsid w:val="00B720A7"/>
    <w:rsid w:val="00B73218"/>
    <w:rsid w:val="00B74503"/>
    <w:rsid w:val="00B749CB"/>
    <w:rsid w:val="00B80CB2"/>
    <w:rsid w:val="00B80CFA"/>
    <w:rsid w:val="00B859D8"/>
    <w:rsid w:val="00B86547"/>
    <w:rsid w:val="00B92C59"/>
    <w:rsid w:val="00B933F4"/>
    <w:rsid w:val="00B93567"/>
    <w:rsid w:val="00B94A76"/>
    <w:rsid w:val="00B97F00"/>
    <w:rsid w:val="00BA0A74"/>
    <w:rsid w:val="00BA2EF9"/>
    <w:rsid w:val="00BA5D96"/>
    <w:rsid w:val="00BB17A8"/>
    <w:rsid w:val="00BB40B1"/>
    <w:rsid w:val="00BC346C"/>
    <w:rsid w:val="00BC47F5"/>
    <w:rsid w:val="00BC69C0"/>
    <w:rsid w:val="00BD1BE7"/>
    <w:rsid w:val="00BD3298"/>
    <w:rsid w:val="00BE25B9"/>
    <w:rsid w:val="00BE2E6E"/>
    <w:rsid w:val="00BE3712"/>
    <w:rsid w:val="00BE722A"/>
    <w:rsid w:val="00BE724B"/>
    <w:rsid w:val="00BE742F"/>
    <w:rsid w:val="00C0371B"/>
    <w:rsid w:val="00C06528"/>
    <w:rsid w:val="00C10C75"/>
    <w:rsid w:val="00C11CB5"/>
    <w:rsid w:val="00C14C92"/>
    <w:rsid w:val="00C223AC"/>
    <w:rsid w:val="00C23756"/>
    <w:rsid w:val="00C24F47"/>
    <w:rsid w:val="00C30BEF"/>
    <w:rsid w:val="00C317DC"/>
    <w:rsid w:val="00C32767"/>
    <w:rsid w:val="00C35782"/>
    <w:rsid w:val="00C40A1B"/>
    <w:rsid w:val="00C40EE9"/>
    <w:rsid w:val="00C44B9C"/>
    <w:rsid w:val="00C460D3"/>
    <w:rsid w:val="00C4759E"/>
    <w:rsid w:val="00C476AA"/>
    <w:rsid w:val="00C50E95"/>
    <w:rsid w:val="00C50F55"/>
    <w:rsid w:val="00C51179"/>
    <w:rsid w:val="00C547DC"/>
    <w:rsid w:val="00C66F70"/>
    <w:rsid w:val="00C73032"/>
    <w:rsid w:val="00C756A6"/>
    <w:rsid w:val="00C765E7"/>
    <w:rsid w:val="00C82FD7"/>
    <w:rsid w:val="00C847E6"/>
    <w:rsid w:val="00C84C90"/>
    <w:rsid w:val="00C854ED"/>
    <w:rsid w:val="00C86996"/>
    <w:rsid w:val="00C86DCC"/>
    <w:rsid w:val="00C87DC4"/>
    <w:rsid w:val="00C920B3"/>
    <w:rsid w:val="00C924E0"/>
    <w:rsid w:val="00C92E91"/>
    <w:rsid w:val="00C942EE"/>
    <w:rsid w:val="00C946CF"/>
    <w:rsid w:val="00C94F06"/>
    <w:rsid w:val="00C958D0"/>
    <w:rsid w:val="00C9613B"/>
    <w:rsid w:val="00C97C4B"/>
    <w:rsid w:val="00CA62CE"/>
    <w:rsid w:val="00CB7368"/>
    <w:rsid w:val="00CB7EFB"/>
    <w:rsid w:val="00CC1682"/>
    <w:rsid w:val="00CC7D4A"/>
    <w:rsid w:val="00CC7DB7"/>
    <w:rsid w:val="00CD0AF5"/>
    <w:rsid w:val="00CE0D1F"/>
    <w:rsid w:val="00CE3E19"/>
    <w:rsid w:val="00CE5BA9"/>
    <w:rsid w:val="00CF0773"/>
    <w:rsid w:val="00CF6D4B"/>
    <w:rsid w:val="00CF7927"/>
    <w:rsid w:val="00D01210"/>
    <w:rsid w:val="00D012F8"/>
    <w:rsid w:val="00D023F2"/>
    <w:rsid w:val="00D02E84"/>
    <w:rsid w:val="00D05522"/>
    <w:rsid w:val="00D12D00"/>
    <w:rsid w:val="00D13779"/>
    <w:rsid w:val="00D1436C"/>
    <w:rsid w:val="00D16954"/>
    <w:rsid w:val="00D21325"/>
    <w:rsid w:val="00D21C57"/>
    <w:rsid w:val="00D24163"/>
    <w:rsid w:val="00D25FBA"/>
    <w:rsid w:val="00D34A60"/>
    <w:rsid w:val="00D37846"/>
    <w:rsid w:val="00D4083C"/>
    <w:rsid w:val="00D41431"/>
    <w:rsid w:val="00D4145C"/>
    <w:rsid w:val="00D41B69"/>
    <w:rsid w:val="00D41C5D"/>
    <w:rsid w:val="00D42748"/>
    <w:rsid w:val="00D459DE"/>
    <w:rsid w:val="00D46BB1"/>
    <w:rsid w:val="00D5011E"/>
    <w:rsid w:val="00D51922"/>
    <w:rsid w:val="00D51C77"/>
    <w:rsid w:val="00D55998"/>
    <w:rsid w:val="00D571C9"/>
    <w:rsid w:val="00D61127"/>
    <w:rsid w:val="00D71909"/>
    <w:rsid w:val="00D75F33"/>
    <w:rsid w:val="00D76BCD"/>
    <w:rsid w:val="00D77494"/>
    <w:rsid w:val="00D80C41"/>
    <w:rsid w:val="00D8772A"/>
    <w:rsid w:val="00D91AC9"/>
    <w:rsid w:val="00D93089"/>
    <w:rsid w:val="00D93CB0"/>
    <w:rsid w:val="00DA20A6"/>
    <w:rsid w:val="00DB0973"/>
    <w:rsid w:val="00DB3EB8"/>
    <w:rsid w:val="00DB3F7A"/>
    <w:rsid w:val="00DB76D6"/>
    <w:rsid w:val="00DC4AFC"/>
    <w:rsid w:val="00DD4975"/>
    <w:rsid w:val="00DE2244"/>
    <w:rsid w:val="00DF2563"/>
    <w:rsid w:val="00DF42DA"/>
    <w:rsid w:val="00DF503E"/>
    <w:rsid w:val="00DF7395"/>
    <w:rsid w:val="00E02409"/>
    <w:rsid w:val="00E02F07"/>
    <w:rsid w:val="00E03DF1"/>
    <w:rsid w:val="00E05BFC"/>
    <w:rsid w:val="00E05F84"/>
    <w:rsid w:val="00E067A8"/>
    <w:rsid w:val="00E1142C"/>
    <w:rsid w:val="00E12118"/>
    <w:rsid w:val="00E12BCA"/>
    <w:rsid w:val="00E1587B"/>
    <w:rsid w:val="00E252D9"/>
    <w:rsid w:val="00E308C8"/>
    <w:rsid w:val="00E322F8"/>
    <w:rsid w:val="00E33397"/>
    <w:rsid w:val="00E37954"/>
    <w:rsid w:val="00E45BFE"/>
    <w:rsid w:val="00E5045D"/>
    <w:rsid w:val="00E50E66"/>
    <w:rsid w:val="00E56418"/>
    <w:rsid w:val="00E62DC6"/>
    <w:rsid w:val="00E65C46"/>
    <w:rsid w:val="00E73296"/>
    <w:rsid w:val="00E75D3D"/>
    <w:rsid w:val="00E75E60"/>
    <w:rsid w:val="00E828C3"/>
    <w:rsid w:val="00E83E4A"/>
    <w:rsid w:val="00E8427D"/>
    <w:rsid w:val="00E86811"/>
    <w:rsid w:val="00E86CEA"/>
    <w:rsid w:val="00E95511"/>
    <w:rsid w:val="00E9725B"/>
    <w:rsid w:val="00EA0D9A"/>
    <w:rsid w:val="00EA1943"/>
    <w:rsid w:val="00EA1F93"/>
    <w:rsid w:val="00EA44FA"/>
    <w:rsid w:val="00EA5799"/>
    <w:rsid w:val="00EB045E"/>
    <w:rsid w:val="00EB3824"/>
    <w:rsid w:val="00EB5FC5"/>
    <w:rsid w:val="00EB67CF"/>
    <w:rsid w:val="00EC02DE"/>
    <w:rsid w:val="00EC4354"/>
    <w:rsid w:val="00EC4900"/>
    <w:rsid w:val="00EC7902"/>
    <w:rsid w:val="00ED205A"/>
    <w:rsid w:val="00ED4B41"/>
    <w:rsid w:val="00ED748E"/>
    <w:rsid w:val="00EE0F0F"/>
    <w:rsid w:val="00EE1DD8"/>
    <w:rsid w:val="00EE22E2"/>
    <w:rsid w:val="00EE4B34"/>
    <w:rsid w:val="00EE65FD"/>
    <w:rsid w:val="00EE6E1B"/>
    <w:rsid w:val="00EF0985"/>
    <w:rsid w:val="00EF0A25"/>
    <w:rsid w:val="00EF1ACA"/>
    <w:rsid w:val="00EF4EB5"/>
    <w:rsid w:val="00EF4F54"/>
    <w:rsid w:val="00EF671F"/>
    <w:rsid w:val="00EF7381"/>
    <w:rsid w:val="00F07119"/>
    <w:rsid w:val="00F132B4"/>
    <w:rsid w:val="00F1491C"/>
    <w:rsid w:val="00F14BE8"/>
    <w:rsid w:val="00F15E90"/>
    <w:rsid w:val="00F23490"/>
    <w:rsid w:val="00F248BC"/>
    <w:rsid w:val="00F25182"/>
    <w:rsid w:val="00F25C12"/>
    <w:rsid w:val="00F31745"/>
    <w:rsid w:val="00F420D1"/>
    <w:rsid w:val="00F441CE"/>
    <w:rsid w:val="00F52D13"/>
    <w:rsid w:val="00F56070"/>
    <w:rsid w:val="00F6004D"/>
    <w:rsid w:val="00F614B7"/>
    <w:rsid w:val="00F62EDE"/>
    <w:rsid w:val="00F64B54"/>
    <w:rsid w:val="00F70BFE"/>
    <w:rsid w:val="00F77693"/>
    <w:rsid w:val="00F7780E"/>
    <w:rsid w:val="00F77E69"/>
    <w:rsid w:val="00F81AEC"/>
    <w:rsid w:val="00F83678"/>
    <w:rsid w:val="00F96010"/>
    <w:rsid w:val="00F974D8"/>
    <w:rsid w:val="00FA0929"/>
    <w:rsid w:val="00FA1773"/>
    <w:rsid w:val="00FA59A0"/>
    <w:rsid w:val="00FA7254"/>
    <w:rsid w:val="00FA7796"/>
    <w:rsid w:val="00FB1407"/>
    <w:rsid w:val="00FB68CC"/>
    <w:rsid w:val="00FC186F"/>
    <w:rsid w:val="00FC4839"/>
    <w:rsid w:val="00FC4A09"/>
    <w:rsid w:val="00FC73B4"/>
    <w:rsid w:val="00FC787E"/>
    <w:rsid w:val="00FC7B83"/>
    <w:rsid w:val="00FD1160"/>
    <w:rsid w:val="00FD4785"/>
    <w:rsid w:val="00FD51AF"/>
    <w:rsid w:val="00FE234D"/>
    <w:rsid w:val="00FE27E0"/>
    <w:rsid w:val="00FE53E1"/>
    <w:rsid w:val="00FE5971"/>
    <w:rsid w:val="00FE6BC7"/>
    <w:rsid w:val="00FF424F"/>
    <w:rsid w:val="00FF452A"/>
    <w:rsid w:val="00FF5C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5" w:qFormat="1"/>
    <w:lsdException w:name="heading 6" w:qFormat="1"/>
    <w:lsdException w:name="heading 7" w:qFormat="1"/>
    <w:lsdException w:name="heading 8" w:qFormat="1"/>
    <w:lsdException w:name="heading 9" w:qFormat="1"/>
    <w:lsdException w:name="footnote text" w:qFormat="1"/>
  </w:latentStyles>
  <w:style w:type="paragraph" w:default="1" w:styleId="Normal">
    <w:name w:val="Normal"/>
    <w:qFormat/>
    <w:rsid w:val="009872B4"/>
  </w:style>
  <w:style w:type="paragraph" w:styleId="Heading1">
    <w:name w:val="heading 1"/>
    <w:basedOn w:val="Normal"/>
    <w:next w:val="Normal"/>
    <w:qFormat/>
    <w:rsid w:val="009872B4"/>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9872B4"/>
    <w:pPr>
      <w:keepNext/>
      <w:numPr>
        <w:ilvl w:val="1"/>
        <w:numId w:val="2"/>
      </w:numPr>
      <w:spacing w:before="240" w:after="60"/>
      <w:outlineLvl w:val="1"/>
    </w:pPr>
    <w:rPr>
      <w:rFonts w:ascii="Arial" w:hAnsi="Arial"/>
      <w:b/>
      <w:i/>
    </w:rPr>
  </w:style>
  <w:style w:type="paragraph" w:styleId="Heading3">
    <w:name w:val="heading 3"/>
    <w:basedOn w:val="Normal"/>
    <w:next w:val="Normal"/>
    <w:qFormat/>
    <w:rsid w:val="009872B4"/>
    <w:pPr>
      <w:keepNext/>
      <w:numPr>
        <w:ilvl w:val="2"/>
        <w:numId w:val="3"/>
      </w:numPr>
      <w:spacing w:before="240" w:after="60"/>
      <w:outlineLvl w:val="2"/>
    </w:pPr>
    <w:rPr>
      <w:rFonts w:ascii="Arial" w:hAnsi="Arial"/>
    </w:rPr>
  </w:style>
  <w:style w:type="paragraph" w:styleId="Heading4">
    <w:name w:val="heading 4"/>
    <w:basedOn w:val="Normal"/>
    <w:next w:val="Normal"/>
    <w:qFormat/>
    <w:rsid w:val="009872B4"/>
    <w:pPr>
      <w:keepNext/>
      <w:numPr>
        <w:ilvl w:val="3"/>
        <w:numId w:val="4"/>
      </w:numPr>
      <w:spacing w:before="240" w:after="60"/>
      <w:outlineLvl w:val="3"/>
    </w:pPr>
    <w:rPr>
      <w:rFonts w:ascii="Arial" w:hAnsi="Arial"/>
      <w:b/>
    </w:rPr>
  </w:style>
  <w:style w:type="paragraph" w:styleId="Heading5">
    <w:name w:val="heading 5"/>
    <w:basedOn w:val="Normal"/>
    <w:next w:val="Normal"/>
    <w:qFormat/>
    <w:rsid w:val="009872B4"/>
    <w:pPr>
      <w:numPr>
        <w:ilvl w:val="4"/>
        <w:numId w:val="5"/>
      </w:numPr>
      <w:spacing w:before="240" w:after="60"/>
      <w:outlineLvl w:val="4"/>
    </w:pPr>
    <w:rPr>
      <w:sz w:val="22"/>
    </w:rPr>
  </w:style>
  <w:style w:type="paragraph" w:styleId="Heading6">
    <w:name w:val="heading 6"/>
    <w:basedOn w:val="Normal"/>
    <w:next w:val="Normal"/>
    <w:qFormat/>
    <w:rsid w:val="009872B4"/>
    <w:pPr>
      <w:numPr>
        <w:ilvl w:val="5"/>
        <w:numId w:val="6"/>
      </w:numPr>
      <w:spacing w:before="240" w:after="60"/>
      <w:outlineLvl w:val="5"/>
    </w:pPr>
    <w:rPr>
      <w:i/>
      <w:sz w:val="22"/>
    </w:rPr>
  </w:style>
  <w:style w:type="paragraph" w:styleId="Heading7">
    <w:name w:val="heading 7"/>
    <w:basedOn w:val="Normal"/>
    <w:next w:val="Normal"/>
    <w:qFormat/>
    <w:rsid w:val="009872B4"/>
    <w:pPr>
      <w:numPr>
        <w:ilvl w:val="6"/>
        <w:numId w:val="7"/>
      </w:numPr>
      <w:spacing w:before="240" w:after="60"/>
      <w:outlineLvl w:val="6"/>
    </w:pPr>
    <w:rPr>
      <w:rFonts w:ascii="Arial" w:hAnsi="Arial"/>
    </w:rPr>
  </w:style>
  <w:style w:type="paragraph" w:styleId="Heading8">
    <w:name w:val="heading 8"/>
    <w:basedOn w:val="Normal"/>
    <w:next w:val="Normal"/>
    <w:qFormat/>
    <w:rsid w:val="009872B4"/>
    <w:pPr>
      <w:numPr>
        <w:ilvl w:val="7"/>
        <w:numId w:val="8"/>
      </w:numPr>
      <w:spacing w:before="240" w:after="60"/>
      <w:outlineLvl w:val="7"/>
    </w:pPr>
    <w:rPr>
      <w:rFonts w:ascii="Arial" w:hAnsi="Arial"/>
      <w:i/>
    </w:rPr>
  </w:style>
  <w:style w:type="paragraph" w:styleId="Heading9">
    <w:name w:val="heading 9"/>
    <w:basedOn w:val="Normal"/>
    <w:next w:val="Normal"/>
    <w:qFormat/>
    <w:rsid w:val="009872B4"/>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9872B4"/>
    <w:rPr>
      <w:caps/>
    </w:rPr>
  </w:style>
  <w:style w:type="paragraph" w:customStyle="1" w:styleId="ABBR">
    <w:name w:val="ABBR"/>
    <w:basedOn w:val="Annex"/>
    <w:rsid w:val="009872B4"/>
  </w:style>
  <w:style w:type="paragraph" w:customStyle="1" w:styleId="AbbrDesc">
    <w:name w:val="AbbrDesc"/>
    <w:basedOn w:val="Normal"/>
    <w:rsid w:val="009872B4"/>
    <w:pPr>
      <w:tabs>
        <w:tab w:val="left" w:pos="3060"/>
      </w:tabs>
      <w:jc w:val="both"/>
    </w:pPr>
  </w:style>
  <w:style w:type="paragraph" w:styleId="BodyText">
    <w:name w:val="Body Text"/>
    <w:basedOn w:val="Normal"/>
    <w:rsid w:val="009872B4"/>
    <w:pPr>
      <w:tabs>
        <w:tab w:val="left" w:pos="3060"/>
      </w:tabs>
      <w:jc w:val="center"/>
    </w:pPr>
  </w:style>
  <w:style w:type="paragraph" w:styleId="BodyTextIndent">
    <w:name w:val="Body Text Indent"/>
    <w:basedOn w:val="Normal"/>
    <w:rsid w:val="009872B4"/>
    <w:pPr>
      <w:spacing w:after="120"/>
      <w:ind w:left="360"/>
    </w:pPr>
  </w:style>
  <w:style w:type="paragraph" w:styleId="BodyTextIndent3">
    <w:name w:val="Body Text Indent 3"/>
    <w:basedOn w:val="Normal"/>
    <w:rsid w:val="009872B4"/>
    <w:pPr>
      <w:spacing w:after="120"/>
      <w:ind w:left="360"/>
    </w:pPr>
    <w:rPr>
      <w:sz w:val="16"/>
    </w:rPr>
  </w:style>
  <w:style w:type="paragraph" w:customStyle="1" w:styleId="Chapter">
    <w:name w:val="Chapter"/>
    <w:basedOn w:val="Normal"/>
    <w:next w:val="Normal"/>
    <w:autoRedefine/>
    <w:rsid w:val="00F7780E"/>
    <w:pPr>
      <w:numPr>
        <w:numId w:val="12"/>
      </w:numPr>
      <w:tabs>
        <w:tab w:val="clear" w:pos="3780"/>
      </w:tabs>
      <w:spacing w:after="240"/>
      <w:ind w:left="630" w:hanging="630"/>
      <w:jc w:val="center"/>
    </w:pPr>
    <w:rPr>
      <w:rFonts w:cs="Arial"/>
      <w:b/>
      <w:smallCaps/>
      <w:noProof/>
    </w:rPr>
  </w:style>
  <w:style w:type="paragraph" w:styleId="DocumentMap">
    <w:name w:val="Document Map"/>
    <w:basedOn w:val="Normal"/>
    <w:semiHidden/>
    <w:rsid w:val="009872B4"/>
    <w:pPr>
      <w:shd w:val="clear" w:color="auto" w:fill="000080"/>
    </w:pPr>
    <w:rPr>
      <w:rFonts w:ascii="Tahoma" w:hAnsi="Tahoma"/>
    </w:rPr>
  </w:style>
  <w:style w:type="paragraph" w:customStyle="1" w:styleId="FirstHeading">
    <w:name w:val="FirstHeading"/>
    <w:basedOn w:val="Normal"/>
    <w:rsid w:val="009872B4"/>
    <w:pPr>
      <w:keepNext/>
      <w:numPr>
        <w:numId w:val="11"/>
      </w:numPr>
      <w:tabs>
        <w:tab w:val="left" w:pos="0"/>
        <w:tab w:val="left" w:pos="90"/>
      </w:tabs>
      <w:spacing w:before="120" w:after="120"/>
    </w:pPr>
    <w:rPr>
      <w:b/>
      <w:noProof/>
    </w:rPr>
  </w:style>
  <w:style w:type="paragraph" w:styleId="Footer">
    <w:name w:val="footer"/>
    <w:basedOn w:val="Normal"/>
    <w:link w:val="FooterChar"/>
    <w:uiPriority w:val="99"/>
    <w:rsid w:val="009872B4"/>
    <w:pPr>
      <w:tabs>
        <w:tab w:val="center" w:pos="4320"/>
        <w:tab w:val="right" w:pos="8640"/>
      </w:tabs>
    </w:pPr>
  </w:style>
  <w:style w:type="paragraph" w:styleId="FootnoteText">
    <w:name w:val="footnote text"/>
    <w:aliases w:val="fn,footnote,Footnote Text Char1 Char,Footnote Text Char Char Char,Footnote Text Char Char Char Char Char Char,ADB,Footnote Text Char Char Char Char Char Char Char,Footnote Text Char Char Char Char Char,single space,Geneva 9,Font: Geneva 9"/>
    <w:basedOn w:val="Normal"/>
    <w:link w:val="FootnoteTextChar"/>
    <w:qFormat/>
    <w:rsid w:val="009872B4"/>
    <w:rPr>
      <w:sz w:val="20"/>
    </w:rPr>
  </w:style>
  <w:style w:type="paragraph" w:styleId="Header">
    <w:name w:val="header"/>
    <w:basedOn w:val="Normal"/>
    <w:rsid w:val="009872B4"/>
    <w:pPr>
      <w:tabs>
        <w:tab w:val="center" w:pos="4320"/>
        <w:tab w:val="right" w:pos="8640"/>
      </w:tabs>
    </w:pPr>
  </w:style>
  <w:style w:type="character" w:styleId="LineNumber">
    <w:name w:val="line number"/>
    <w:basedOn w:val="DefaultParagraphFont"/>
    <w:rsid w:val="009872B4"/>
  </w:style>
  <w:style w:type="paragraph" w:customStyle="1" w:styleId="MasterSourceText">
    <w:name w:val="Master_SourceText"/>
    <w:basedOn w:val="Normal"/>
    <w:rsid w:val="009872B4"/>
    <w:pPr>
      <w:tabs>
        <w:tab w:val="left" w:pos="1440"/>
      </w:tabs>
      <w:ind w:left="1440" w:hanging="720"/>
      <w:jc w:val="both"/>
    </w:pPr>
    <w:rPr>
      <w:sz w:val="20"/>
    </w:rPr>
  </w:style>
  <w:style w:type="paragraph" w:customStyle="1" w:styleId="Newpage">
    <w:name w:val="Newpage"/>
    <w:basedOn w:val="Chapter"/>
    <w:rsid w:val="009872B4"/>
    <w:pPr>
      <w:numPr>
        <w:numId w:val="0"/>
      </w:numPr>
      <w:tabs>
        <w:tab w:val="left" w:pos="3060"/>
      </w:tabs>
      <w:spacing w:after="0"/>
    </w:pPr>
    <w:rPr>
      <w:noProof w:val="0"/>
    </w:rPr>
  </w:style>
  <w:style w:type="character" w:styleId="PageNumber">
    <w:name w:val="page number"/>
    <w:basedOn w:val="DefaultParagraphFont"/>
    <w:rsid w:val="009872B4"/>
  </w:style>
  <w:style w:type="paragraph" w:customStyle="1" w:styleId="Paragraph">
    <w:name w:val="Paragraph"/>
    <w:aliases w:val="paragraph,p,PARAGRAPH,PG,pa,at"/>
    <w:basedOn w:val="BodyTextIndent"/>
    <w:link w:val="ParagraphChar"/>
    <w:rsid w:val="009872B4"/>
    <w:pPr>
      <w:numPr>
        <w:ilvl w:val="1"/>
        <w:numId w:val="12"/>
      </w:numPr>
      <w:spacing w:before="120"/>
      <w:jc w:val="both"/>
      <w:outlineLvl w:val="1"/>
    </w:pPr>
  </w:style>
  <w:style w:type="paragraph" w:customStyle="1" w:styleId="RegheadTab">
    <w:name w:val="RegheadTab"/>
    <w:basedOn w:val="FirstHeading"/>
    <w:rsid w:val="009872B4"/>
    <w:pPr>
      <w:numPr>
        <w:numId w:val="0"/>
      </w:numPr>
      <w:tabs>
        <w:tab w:val="num" w:pos="504"/>
      </w:tabs>
      <w:spacing w:after="0"/>
      <w:ind w:left="504" w:hanging="504"/>
      <w:jc w:val="center"/>
    </w:pPr>
  </w:style>
  <w:style w:type="paragraph" w:customStyle="1" w:styleId="SecHeading">
    <w:name w:val="SecHeading"/>
    <w:basedOn w:val="Normal"/>
    <w:next w:val="Paragraph"/>
    <w:rsid w:val="009872B4"/>
    <w:pPr>
      <w:keepNext/>
      <w:numPr>
        <w:ilvl w:val="1"/>
        <w:numId w:val="11"/>
      </w:numPr>
      <w:spacing w:before="120" w:after="120"/>
    </w:pPr>
    <w:rPr>
      <w:b/>
    </w:rPr>
  </w:style>
  <w:style w:type="paragraph" w:customStyle="1" w:styleId="SubHeading1">
    <w:name w:val="SubHeading1"/>
    <w:basedOn w:val="SecHeading"/>
    <w:rsid w:val="009872B4"/>
    <w:pPr>
      <w:numPr>
        <w:ilvl w:val="2"/>
      </w:numPr>
    </w:pPr>
  </w:style>
  <w:style w:type="paragraph" w:customStyle="1" w:styleId="Subheading2">
    <w:name w:val="Subheading2"/>
    <w:basedOn w:val="SecHeading"/>
    <w:rsid w:val="009872B4"/>
    <w:pPr>
      <w:numPr>
        <w:ilvl w:val="3"/>
      </w:numPr>
    </w:pPr>
  </w:style>
  <w:style w:type="paragraph" w:customStyle="1" w:styleId="subpar">
    <w:name w:val="subpar"/>
    <w:basedOn w:val="BodyTextIndent3"/>
    <w:rsid w:val="009872B4"/>
    <w:pPr>
      <w:numPr>
        <w:ilvl w:val="2"/>
        <w:numId w:val="12"/>
      </w:numPr>
      <w:spacing w:before="120"/>
      <w:jc w:val="both"/>
      <w:outlineLvl w:val="2"/>
    </w:pPr>
    <w:rPr>
      <w:sz w:val="24"/>
    </w:rPr>
  </w:style>
  <w:style w:type="paragraph" w:customStyle="1" w:styleId="SubSubPar">
    <w:name w:val="SubSubPar"/>
    <w:basedOn w:val="subpar"/>
    <w:rsid w:val="009872B4"/>
    <w:pPr>
      <w:numPr>
        <w:ilvl w:val="3"/>
      </w:numPr>
      <w:tabs>
        <w:tab w:val="left" w:pos="0"/>
      </w:tabs>
    </w:pPr>
  </w:style>
  <w:style w:type="paragraph" w:styleId="Title">
    <w:name w:val="Title"/>
    <w:basedOn w:val="Normal"/>
    <w:qFormat/>
    <w:rsid w:val="009872B4"/>
    <w:pPr>
      <w:tabs>
        <w:tab w:val="left" w:pos="1440"/>
        <w:tab w:val="left" w:pos="3060"/>
      </w:tabs>
      <w:jc w:val="center"/>
      <w:outlineLvl w:val="0"/>
    </w:pPr>
  </w:style>
  <w:style w:type="paragraph" w:styleId="TOC1">
    <w:name w:val="toc 1"/>
    <w:basedOn w:val="Normal"/>
    <w:next w:val="Normal"/>
    <w:autoRedefine/>
    <w:semiHidden/>
    <w:rsid w:val="009872B4"/>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rsid w:val="009872B4"/>
    <w:pPr>
      <w:tabs>
        <w:tab w:val="left" w:pos="540"/>
        <w:tab w:val="left" w:pos="600"/>
        <w:tab w:val="left" w:pos="1166"/>
        <w:tab w:val="right" w:leader="dot" w:pos="8741"/>
      </w:tabs>
      <w:ind w:left="1166" w:hanging="605"/>
    </w:pPr>
    <w:rPr>
      <w:noProof/>
    </w:rPr>
  </w:style>
  <w:style w:type="paragraph" w:styleId="TOC3">
    <w:name w:val="toc 3"/>
    <w:basedOn w:val="Normal"/>
    <w:next w:val="Normal"/>
    <w:autoRedefine/>
    <w:semiHidden/>
    <w:rsid w:val="009872B4"/>
    <w:pPr>
      <w:tabs>
        <w:tab w:val="left" w:pos="1728"/>
      </w:tabs>
      <w:ind w:left="1714" w:hanging="562"/>
    </w:pPr>
    <w:rPr>
      <w:noProof/>
    </w:rPr>
  </w:style>
  <w:style w:type="paragraph" w:styleId="TOC4">
    <w:name w:val="toc 4"/>
    <w:basedOn w:val="Normal"/>
    <w:next w:val="Normal"/>
    <w:autoRedefine/>
    <w:semiHidden/>
    <w:rsid w:val="009872B4"/>
    <w:pPr>
      <w:ind w:left="400"/>
    </w:pPr>
  </w:style>
  <w:style w:type="paragraph" w:styleId="TOC5">
    <w:name w:val="toc 5"/>
    <w:basedOn w:val="Normal"/>
    <w:next w:val="Normal"/>
    <w:autoRedefine/>
    <w:semiHidden/>
    <w:rsid w:val="009872B4"/>
    <w:pPr>
      <w:ind w:left="600"/>
    </w:pPr>
  </w:style>
  <w:style w:type="paragraph" w:styleId="TOC6">
    <w:name w:val="toc 6"/>
    <w:basedOn w:val="Normal"/>
    <w:next w:val="Normal"/>
    <w:autoRedefine/>
    <w:semiHidden/>
    <w:rsid w:val="009872B4"/>
    <w:pPr>
      <w:ind w:left="800"/>
    </w:pPr>
  </w:style>
  <w:style w:type="paragraph" w:styleId="TOC7">
    <w:name w:val="toc 7"/>
    <w:basedOn w:val="Normal"/>
    <w:next w:val="Normal"/>
    <w:autoRedefine/>
    <w:semiHidden/>
    <w:rsid w:val="009872B4"/>
    <w:pPr>
      <w:ind w:left="1000"/>
    </w:pPr>
  </w:style>
  <w:style w:type="paragraph" w:styleId="TOC8">
    <w:name w:val="toc 8"/>
    <w:basedOn w:val="Normal"/>
    <w:next w:val="Normal"/>
    <w:autoRedefine/>
    <w:semiHidden/>
    <w:rsid w:val="009872B4"/>
    <w:pPr>
      <w:ind w:left="1200"/>
    </w:pPr>
  </w:style>
  <w:style w:type="paragraph" w:styleId="TOC9">
    <w:name w:val="toc 9"/>
    <w:basedOn w:val="Normal"/>
    <w:next w:val="Normal"/>
    <w:autoRedefine/>
    <w:semiHidden/>
    <w:rsid w:val="009872B4"/>
    <w:pPr>
      <w:ind w:left="1400"/>
    </w:pPr>
  </w:style>
  <w:style w:type="character" w:styleId="Hyperlink">
    <w:name w:val="Hyperlink"/>
    <w:basedOn w:val="DefaultParagraphFont"/>
    <w:rsid w:val="009872B4"/>
    <w:rPr>
      <w:color w:val="0000FF"/>
      <w:u w:val="single"/>
    </w:rPr>
  </w:style>
  <w:style w:type="character" w:styleId="FollowedHyperlink">
    <w:name w:val="FollowedHyperlink"/>
    <w:basedOn w:val="DefaultParagraphFont"/>
    <w:rsid w:val="009872B4"/>
    <w:rPr>
      <w:color w:val="800080"/>
      <w:u w:val="single"/>
    </w:rPr>
  </w:style>
  <w:style w:type="paragraph" w:styleId="BodyText3">
    <w:name w:val="Body Text 3"/>
    <w:basedOn w:val="Normal"/>
    <w:rsid w:val="009872B4"/>
    <w:rPr>
      <w:rFonts w:ascii="Palatino Linotype" w:hAnsi="Palatino Linotype"/>
      <w:sz w:val="22"/>
    </w:rPr>
  </w:style>
  <w:style w:type="character" w:styleId="FootnoteReference">
    <w:name w:val="footnote reference"/>
    <w:aliases w:val="Fußnotenzeichen DISS,16 Point,Superscript 6 Point,ftref,BVI fnr, BVI fnr,Знак сноски 1,referencia nota al pie"/>
    <w:basedOn w:val="DefaultParagraphFont"/>
    <w:rsid w:val="009872B4"/>
    <w:rPr>
      <w:vertAlign w:val="superscript"/>
    </w:rPr>
  </w:style>
  <w:style w:type="paragraph" w:styleId="Subtitle">
    <w:name w:val="Subtitle"/>
    <w:basedOn w:val="Normal"/>
    <w:qFormat/>
    <w:rsid w:val="009872B4"/>
    <w:pPr>
      <w:jc w:val="center"/>
    </w:pPr>
    <w:rPr>
      <w:b/>
      <w:bCs/>
      <w:sz w:val="28"/>
    </w:rPr>
  </w:style>
  <w:style w:type="paragraph" w:customStyle="1" w:styleId="xl29">
    <w:name w:val="xl29"/>
    <w:basedOn w:val="Normal"/>
    <w:rsid w:val="009872B4"/>
    <w:pPr>
      <w:pBdr>
        <w:left w:val="single" w:sz="4" w:space="0" w:color="auto"/>
        <w:bottom w:val="single" w:sz="4" w:space="0" w:color="auto"/>
      </w:pBdr>
      <w:spacing w:before="100" w:beforeAutospacing="1" w:after="100" w:afterAutospacing="1"/>
      <w:jc w:val="center"/>
    </w:pPr>
    <w:rPr>
      <w:rFonts w:ascii="Arial" w:eastAsia="Arial Unicode MS" w:hAnsi="Arial" w:cs="Arial"/>
      <w:b/>
      <w:bCs/>
    </w:rPr>
  </w:style>
  <w:style w:type="paragraph" w:customStyle="1" w:styleId="Textodebalo">
    <w:name w:val="Texto de balão"/>
    <w:basedOn w:val="Normal"/>
    <w:semiHidden/>
    <w:rsid w:val="009872B4"/>
    <w:rPr>
      <w:rFonts w:ascii="Tahoma" w:hAnsi="Tahoma" w:cs="Tahoma"/>
      <w:sz w:val="16"/>
      <w:szCs w:val="16"/>
    </w:rPr>
  </w:style>
  <w:style w:type="paragraph" w:styleId="BalloonText">
    <w:name w:val="Balloon Text"/>
    <w:basedOn w:val="Normal"/>
    <w:semiHidden/>
    <w:rsid w:val="00D4145C"/>
    <w:rPr>
      <w:rFonts w:ascii="Tahoma" w:hAnsi="Tahoma" w:cs="Tahoma"/>
      <w:sz w:val="16"/>
      <w:szCs w:val="16"/>
    </w:rPr>
  </w:style>
  <w:style w:type="character" w:customStyle="1" w:styleId="ParagraphChar">
    <w:name w:val="Paragraph Char"/>
    <w:basedOn w:val="DefaultParagraphFont"/>
    <w:link w:val="Paragraph"/>
    <w:rsid w:val="008A2C7C"/>
  </w:style>
  <w:style w:type="character" w:styleId="Emphasis">
    <w:name w:val="Emphasis"/>
    <w:basedOn w:val="DefaultParagraphFont"/>
    <w:qFormat/>
    <w:rsid w:val="003F27D7"/>
    <w:rPr>
      <w:i/>
      <w:iCs/>
    </w:rPr>
  </w:style>
  <w:style w:type="paragraph" w:styleId="ListParagraph">
    <w:name w:val="List Paragraph"/>
    <w:basedOn w:val="Normal"/>
    <w:uiPriority w:val="34"/>
    <w:qFormat/>
    <w:rsid w:val="001F48A4"/>
    <w:pPr>
      <w:ind w:left="720"/>
      <w:contextualSpacing/>
    </w:pPr>
    <w:rPr>
      <w:rFonts w:ascii="Arial" w:hAnsi="Arial"/>
      <w:sz w:val="20"/>
    </w:rPr>
  </w:style>
  <w:style w:type="table" w:styleId="TableGrid">
    <w:name w:val="Table Grid"/>
    <w:basedOn w:val="TableNormal"/>
    <w:rsid w:val="003832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974D84"/>
    <w:rPr>
      <w:sz w:val="24"/>
    </w:rPr>
  </w:style>
  <w:style w:type="paragraph" w:styleId="NormalWeb">
    <w:name w:val="Normal (Web)"/>
    <w:basedOn w:val="Normal"/>
    <w:uiPriority w:val="99"/>
    <w:unhideWhenUsed/>
    <w:rsid w:val="00D37846"/>
    <w:rPr>
      <w:rFonts w:eastAsia="Calibri"/>
    </w:rPr>
  </w:style>
  <w:style w:type="character" w:styleId="CommentReference">
    <w:name w:val="annotation reference"/>
    <w:basedOn w:val="DefaultParagraphFont"/>
    <w:rsid w:val="00E322F8"/>
    <w:rPr>
      <w:sz w:val="16"/>
      <w:szCs w:val="16"/>
    </w:rPr>
  </w:style>
  <w:style w:type="paragraph" w:styleId="CommentText">
    <w:name w:val="annotation text"/>
    <w:basedOn w:val="Normal"/>
    <w:link w:val="CommentTextChar"/>
    <w:rsid w:val="00E322F8"/>
    <w:rPr>
      <w:sz w:val="20"/>
    </w:rPr>
  </w:style>
  <w:style w:type="character" w:customStyle="1" w:styleId="CommentTextChar">
    <w:name w:val="Comment Text Char"/>
    <w:basedOn w:val="DefaultParagraphFont"/>
    <w:link w:val="CommentText"/>
    <w:rsid w:val="00E322F8"/>
  </w:style>
  <w:style w:type="paragraph" w:styleId="CommentSubject">
    <w:name w:val="annotation subject"/>
    <w:basedOn w:val="CommentText"/>
    <w:next w:val="CommentText"/>
    <w:link w:val="CommentSubjectChar"/>
    <w:rsid w:val="00E322F8"/>
    <w:rPr>
      <w:b/>
      <w:bCs/>
    </w:rPr>
  </w:style>
  <w:style w:type="character" w:customStyle="1" w:styleId="CommentSubjectChar">
    <w:name w:val="Comment Subject Char"/>
    <w:basedOn w:val="CommentTextChar"/>
    <w:link w:val="CommentSubject"/>
    <w:rsid w:val="00E322F8"/>
    <w:rPr>
      <w:b/>
      <w:bCs/>
    </w:rPr>
  </w:style>
  <w:style w:type="character" w:customStyle="1" w:styleId="FootnoteTextChar">
    <w:name w:val="Footnote Text Char"/>
    <w:aliases w:val="fn Char,footnote Char,Footnote Text Char1 Char Char,Footnote Text Char Char Char Char,Footnote Text Char Char Char Char Char Char Char1,ADB Char,Footnote Text Char Char Char Char Char Char Char Char,single space Char,Geneva 9 Char"/>
    <w:link w:val="FootnoteText"/>
    <w:rsid w:val="00286F8F"/>
  </w:style>
  <w:style w:type="numbering" w:customStyle="1" w:styleId="LFO7">
    <w:name w:val="LFO7"/>
    <w:basedOn w:val="NoList"/>
    <w:rsid w:val="0026572D"/>
    <w:pPr>
      <w:numPr>
        <w:numId w:val="2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5" w:qFormat="1"/>
    <w:lsdException w:name="heading 6" w:qFormat="1"/>
    <w:lsdException w:name="heading 7" w:qFormat="1"/>
    <w:lsdException w:name="heading 8" w:qFormat="1"/>
    <w:lsdException w:name="heading 9" w:qFormat="1"/>
    <w:lsdException w:name="footnote text" w:qFormat="1"/>
  </w:latentStyles>
  <w:style w:type="paragraph" w:default="1" w:styleId="Normal">
    <w:name w:val="Normal"/>
    <w:qFormat/>
    <w:rsid w:val="009872B4"/>
  </w:style>
  <w:style w:type="paragraph" w:styleId="Heading1">
    <w:name w:val="heading 1"/>
    <w:basedOn w:val="Normal"/>
    <w:next w:val="Normal"/>
    <w:qFormat/>
    <w:rsid w:val="009872B4"/>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9872B4"/>
    <w:pPr>
      <w:keepNext/>
      <w:numPr>
        <w:ilvl w:val="1"/>
        <w:numId w:val="2"/>
      </w:numPr>
      <w:spacing w:before="240" w:after="60"/>
      <w:outlineLvl w:val="1"/>
    </w:pPr>
    <w:rPr>
      <w:rFonts w:ascii="Arial" w:hAnsi="Arial"/>
      <w:b/>
      <w:i/>
    </w:rPr>
  </w:style>
  <w:style w:type="paragraph" w:styleId="Heading3">
    <w:name w:val="heading 3"/>
    <w:basedOn w:val="Normal"/>
    <w:next w:val="Normal"/>
    <w:qFormat/>
    <w:rsid w:val="009872B4"/>
    <w:pPr>
      <w:keepNext/>
      <w:numPr>
        <w:ilvl w:val="2"/>
        <w:numId w:val="3"/>
      </w:numPr>
      <w:spacing w:before="240" w:after="60"/>
      <w:outlineLvl w:val="2"/>
    </w:pPr>
    <w:rPr>
      <w:rFonts w:ascii="Arial" w:hAnsi="Arial"/>
    </w:rPr>
  </w:style>
  <w:style w:type="paragraph" w:styleId="Heading4">
    <w:name w:val="heading 4"/>
    <w:basedOn w:val="Normal"/>
    <w:next w:val="Normal"/>
    <w:qFormat/>
    <w:rsid w:val="009872B4"/>
    <w:pPr>
      <w:keepNext/>
      <w:numPr>
        <w:ilvl w:val="3"/>
        <w:numId w:val="4"/>
      </w:numPr>
      <w:spacing w:before="240" w:after="60"/>
      <w:outlineLvl w:val="3"/>
    </w:pPr>
    <w:rPr>
      <w:rFonts w:ascii="Arial" w:hAnsi="Arial"/>
      <w:b/>
    </w:rPr>
  </w:style>
  <w:style w:type="paragraph" w:styleId="Heading5">
    <w:name w:val="heading 5"/>
    <w:basedOn w:val="Normal"/>
    <w:next w:val="Normal"/>
    <w:qFormat/>
    <w:rsid w:val="009872B4"/>
    <w:pPr>
      <w:numPr>
        <w:ilvl w:val="4"/>
        <w:numId w:val="5"/>
      </w:numPr>
      <w:spacing w:before="240" w:after="60"/>
      <w:outlineLvl w:val="4"/>
    </w:pPr>
    <w:rPr>
      <w:sz w:val="22"/>
    </w:rPr>
  </w:style>
  <w:style w:type="paragraph" w:styleId="Heading6">
    <w:name w:val="heading 6"/>
    <w:basedOn w:val="Normal"/>
    <w:next w:val="Normal"/>
    <w:qFormat/>
    <w:rsid w:val="009872B4"/>
    <w:pPr>
      <w:numPr>
        <w:ilvl w:val="5"/>
        <w:numId w:val="6"/>
      </w:numPr>
      <w:spacing w:before="240" w:after="60"/>
      <w:outlineLvl w:val="5"/>
    </w:pPr>
    <w:rPr>
      <w:i/>
      <w:sz w:val="22"/>
    </w:rPr>
  </w:style>
  <w:style w:type="paragraph" w:styleId="Heading7">
    <w:name w:val="heading 7"/>
    <w:basedOn w:val="Normal"/>
    <w:next w:val="Normal"/>
    <w:qFormat/>
    <w:rsid w:val="009872B4"/>
    <w:pPr>
      <w:numPr>
        <w:ilvl w:val="6"/>
        <w:numId w:val="7"/>
      </w:numPr>
      <w:spacing w:before="240" w:after="60"/>
      <w:outlineLvl w:val="6"/>
    </w:pPr>
    <w:rPr>
      <w:rFonts w:ascii="Arial" w:hAnsi="Arial"/>
    </w:rPr>
  </w:style>
  <w:style w:type="paragraph" w:styleId="Heading8">
    <w:name w:val="heading 8"/>
    <w:basedOn w:val="Normal"/>
    <w:next w:val="Normal"/>
    <w:qFormat/>
    <w:rsid w:val="009872B4"/>
    <w:pPr>
      <w:numPr>
        <w:ilvl w:val="7"/>
        <w:numId w:val="8"/>
      </w:numPr>
      <w:spacing w:before="240" w:after="60"/>
      <w:outlineLvl w:val="7"/>
    </w:pPr>
    <w:rPr>
      <w:rFonts w:ascii="Arial" w:hAnsi="Arial"/>
      <w:i/>
    </w:rPr>
  </w:style>
  <w:style w:type="paragraph" w:styleId="Heading9">
    <w:name w:val="heading 9"/>
    <w:basedOn w:val="Normal"/>
    <w:next w:val="Normal"/>
    <w:qFormat/>
    <w:rsid w:val="009872B4"/>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9872B4"/>
    <w:rPr>
      <w:caps/>
    </w:rPr>
  </w:style>
  <w:style w:type="paragraph" w:customStyle="1" w:styleId="ABBR">
    <w:name w:val="ABBR"/>
    <w:basedOn w:val="Annex"/>
    <w:rsid w:val="009872B4"/>
  </w:style>
  <w:style w:type="paragraph" w:customStyle="1" w:styleId="AbbrDesc">
    <w:name w:val="AbbrDesc"/>
    <w:basedOn w:val="Normal"/>
    <w:rsid w:val="009872B4"/>
    <w:pPr>
      <w:tabs>
        <w:tab w:val="left" w:pos="3060"/>
      </w:tabs>
      <w:jc w:val="both"/>
    </w:pPr>
  </w:style>
  <w:style w:type="paragraph" w:styleId="BodyText">
    <w:name w:val="Body Text"/>
    <w:basedOn w:val="Normal"/>
    <w:rsid w:val="009872B4"/>
    <w:pPr>
      <w:tabs>
        <w:tab w:val="left" w:pos="3060"/>
      </w:tabs>
      <w:jc w:val="center"/>
    </w:pPr>
  </w:style>
  <w:style w:type="paragraph" w:styleId="BodyTextIndent">
    <w:name w:val="Body Text Indent"/>
    <w:basedOn w:val="Normal"/>
    <w:rsid w:val="009872B4"/>
    <w:pPr>
      <w:spacing w:after="120"/>
      <w:ind w:left="360"/>
    </w:pPr>
  </w:style>
  <w:style w:type="paragraph" w:styleId="BodyTextIndent3">
    <w:name w:val="Body Text Indent 3"/>
    <w:basedOn w:val="Normal"/>
    <w:rsid w:val="009872B4"/>
    <w:pPr>
      <w:spacing w:after="120"/>
      <w:ind w:left="360"/>
    </w:pPr>
    <w:rPr>
      <w:sz w:val="16"/>
    </w:rPr>
  </w:style>
  <w:style w:type="paragraph" w:customStyle="1" w:styleId="Chapter">
    <w:name w:val="Chapter"/>
    <w:basedOn w:val="Normal"/>
    <w:next w:val="Normal"/>
    <w:autoRedefine/>
    <w:rsid w:val="00F7780E"/>
    <w:pPr>
      <w:numPr>
        <w:numId w:val="12"/>
      </w:numPr>
      <w:tabs>
        <w:tab w:val="clear" w:pos="3780"/>
      </w:tabs>
      <w:spacing w:after="240"/>
      <w:ind w:left="630" w:hanging="630"/>
      <w:jc w:val="center"/>
    </w:pPr>
    <w:rPr>
      <w:rFonts w:cs="Arial"/>
      <w:b/>
      <w:smallCaps/>
      <w:noProof/>
    </w:rPr>
  </w:style>
  <w:style w:type="paragraph" w:styleId="DocumentMap">
    <w:name w:val="Document Map"/>
    <w:basedOn w:val="Normal"/>
    <w:semiHidden/>
    <w:rsid w:val="009872B4"/>
    <w:pPr>
      <w:shd w:val="clear" w:color="auto" w:fill="000080"/>
    </w:pPr>
    <w:rPr>
      <w:rFonts w:ascii="Tahoma" w:hAnsi="Tahoma"/>
    </w:rPr>
  </w:style>
  <w:style w:type="paragraph" w:customStyle="1" w:styleId="FirstHeading">
    <w:name w:val="FirstHeading"/>
    <w:basedOn w:val="Normal"/>
    <w:rsid w:val="009872B4"/>
    <w:pPr>
      <w:keepNext/>
      <w:numPr>
        <w:numId w:val="11"/>
      </w:numPr>
      <w:tabs>
        <w:tab w:val="left" w:pos="0"/>
        <w:tab w:val="left" w:pos="90"/>
      </w:tabs>
      <w:spacing w:before="120" w:after="120"/>
    </w:pPr>
    <w:rPr>
      <w:b/>
      <w:noProof/>
    </w:rPr>
  </w:style>
  <w:style w:type="paragraph" w:styleId="Footer">
    <w:name w:val="footer"/>
    <w:basedOn w:val="Normal"/>
    <w:link w:val="FooterChar"/>
    <w:uiPriority w:val="99"/>
    <w:rsid w:val="009872B4"/>
    <w:pPr>
      <w:tabs>
        <w:tab w:val="center" w:pos="4320"/>
        <w:tab w:val="right" w:pos="8640"/>
      </w:tabs>
    </w:pPr>
  </w:style>
  <w:style w:type="paragraph" w:styleId="FootnoteText">
    <w:name w:val="footnote text"/>
    <w:aliases w:val="fn,footnote,Footnote Text Char1 Char,Footnote Text Char Char Char,Footnote Text Char Char Char Char Char Char,ADB,Footnote Text Char Char Char Char Char Char Char,Footnote Text Char Char Char Char Char,single space,Geneva 9,Font: Geneva 9"/>
    <w:basedOn w:val="Normal"/>
    <w:link w:val="FootnoteTextChar"/>
    <w:qFormat/>
    <w:rsid w:val="009872B4"/>
    <w:rPr>
      <w:sz w:val="20"/>
    </w:rPr>
  </w:style>
  <w:style w:type="paragraph" w:styleId="Header">
    <w:name w:val="header"/>
    <w:basedOn w:val="Normal"/>
    <w:rsid w:val="009872B4"/>
    <w:pPr>
      <w:tabs>
        <w:tab w:val="center" w:pos="4320"/>
        <w:tab w:val="right" w:pos="8640"/>
      </w:tabs>
    </w:pPr>
  </w:style>
  <w:style w:type="character" w:styleId="LineNumber">
    <w:name w:val="line number"/>
    <w:basedOn w:val="DefaultParagraphFont"/>
    <w:rsid w:val="009872B4"/>
  </w:style>
  <w:style w:type="paragraph" w:customStyle="1" w:styleId="MasterSourceText">
    <w:name w:val="Master_SourceText"/>
    <w:basedOn w:val="Normal"/>
    <w:rsid w:val="009872B4"/>
    <w:pPr>
      <w:tabs>
        <w:tab w:val="left" w:pos="1440"/>
      </w:tabs>
      <w:ind w:left="1440" w:hanging="720"/>
      <w:jc w:val="both"/>
    </w:pPr>
    <w:rPr>
      <w:sz w:val="20"/>
    </w:rPr>
  </w:style>
  <w:style w:type="paragraph" w:customStyle="1" w:styleId="Newpage">
    <w:name w:val="Newpage"/>
    <w:basedOn w:val="Chapter"/>
    <w:rsid w:val="009872B4"/>
    <w:pPr>
      <w:numPr>
        <w:numId w:val="0"/>
      </w:numPr>
      <w:tabs>
        <w:tab w:val="left" w:pos="3060"/>
      </w:tabs>
      <w:spacing w:after="0"/>
    </w:pPr>
    <w:rPr>
      <w:noProof w:val="0"/>
    </w:rPr>
  </w:style>
  <w:style w:type="character" w:styleId="PageNumber">
    <w:name w:val="page number"/>
    <w:basedOn w:val="DefaultParagraphFont"/>
    <w:rsid w:val="009872B4"/>
  </w:style>
  <w:style w:type="paragraph" w:customStyle="1" w:styleId="Paragraph">
    <w:name w:val="Paragraph"/>
    <w:aliases w:val="paragraph,p,PARAGRAPH,PG,pa,at"/>
    <w:basedOn w:val="BodyTextIndent"/>
    <w:link w:val="ParagraphChar"/>
    <w:rsid w:val="009872B4"/>
    <w:pPr>
      <w:numPr>
        <w:ilvl w:val="1"/>
        <w:numId w:val="12"/>
      </w:numPr>
      <w:spacing w:before="120"/>
      <w:jc w:val="both"/>
      <w:outlineLvl w:val="1"/>
    </w:pPr>
  </w:style>
  <w:style w:type="paragraph" w:customStyle="1" w:styleId="RegheadTab">
    <w:name w:val="RegheadTab"/>
    <w:basedOn w:val="FirstHeading"/>
    <w:rsid w:val="009872B4"/>
    <w:pPr>
      <w:numPr>
        <w:numId w:val="0"/>
      </w:numPr>
      <w:tabs>
        <w:tab w:val="num" w:pos="504"/>
      </w:tabs>
      <w:spacing w:after="0"/>
      <w:ind w:left="504" w:hanging="504"/>
      <w:jc w:val="center"/>
    </w:pPr>
  </w:style>
  <w:style w:type="paragraph" w:customStyle="1" w:styleId="SecHeading">
    <w:name w:val="SecHeading"/>
    <w:basedOn w:val="Normal"/>
    <w:next w:val="Paragraph"/>
    <w:rsid w:val="009872B4"/>
    <w:pPr>
      <w:keepNext/>
      <w:numPr>
        <w:ilvl w:val="1"/>
        <w:numId w:val="11"/>
      </w:numPr>
      <w:spacing w:before="120" w:after="120"/>
    </w:pPr>
    <w:rPr>
      <w:b/>
    </w:rPr>
  </w:style>
  <w:style w:type="paragraph" w:customStyle="1" w:styleId="SubHeading1">
    <w:name w:val="SubHeading1"/>
    <w:basedOn w:val="SecHeading"/>
    <w:rsid w:val="009872B4"/>
    <w:pPr>
      <w:numPr>
        <w:ilvl w:val="2"/>
      </w:numPr>
    </w:pPr>
  </w:style>
  <w:style w:type="paragraph" w:customStyle="1" w:styleId="Subheading2">
    <w:name w:val="Subheading2"/>
    <w:basedOn w:val="SecHeading"/>
    <w:rsid w:val="009872B4"/>
    <w:pPr>
      <w:numPr>
        <w:ilvl w:val="3"/>
      </w:numPr>
    </w:pPr>
  </w:style>
  <w:style w:type="paragraph" w:customStyle="1" w:styleId="subpar">
    <w:name w:val="subpar"/>
    <w:basedOn w:val="BodyTextIndent3"/>
    <w:rsid w:val="009872B4"/>
    <w:pPr>
      <w:numPr>
        <w:ilvl w:val="2"/>
        <w:numId w:val="12"/>
      </w:numPr>
      <w:spacing w:before="120"/>
      <w:jc w:val="both"/>
      <w:outlineLvl w:val="2"/>
    </w:pPr>
    <w:rPr>
      <w:sz w:val="24"/>
    </w:rPr>
  </w:style>
  <w:style w:type="paragraph" w:customStyle="1" w:styleId="SubSubPar">
    <w:name w:val="SubSubPar"/>
    <w:basedOn w:val="subpar"/>
    <w:rsid w:val="009872B4"/>
    <w:pPr>
      <w:numPr>
        <w:ilvl w:val="3"/>
      </w:numPr>
      <w:tabs>
        <w:tab w:val="left" w:pos="0"/>
      </w:tabs>
    </w:pPr>
  </w:style>
  <w:style w:type="paragraph" w:styleId="Title">
    <w:name w:val="Title"/>
    <w:basedOn w:val="Normal"/>
    <w:qFormat/>
    <w:rsid w:val="009872B4"/>
    <w:pPr>
      <w:tabs>
        <w:tab w:val="left" w:pos="1440"/>
        <w:tab w:val="left" w:pos="3060"/>
      </w:tabs>
      <w:jc w:val="center"/>
      <w:outlineLvl w:val="0"/>
    </w:pPr>
  </w:style>
  <w:style w:type="paragraph" w:styleId="TOC1">
    <w:name w:val="toc 1"/>
    <w:basedOn w:val="Normal"/>
    <w:next w:val="Normal"/>
    <w:autoRedefine/>
    <w:semiHidden/>
    <w:rsid w:val="009872B4"/>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rsid w:val="009872B4"/>
    <w:pPr>
      <w:tabs>
        <w:tab w:val="left" w:pos="540"/>
        <w:tab w:val="left" w:pos="600"/>
        <w:tab w:val="left" w:pos="1166"/>
        <w:tab w:val="right" w:leader="dot" w:pos="8741"/>
      </w:tabs>
      <w:ind w:left="1166" w:hanging="605"/>
    </w:pPr>
    <w:rPr>
      <w:noProof/>
    </w:rPr>
  </w:style>
  <w:style w:type="paragraph" w:styleId="TOC3">
    <w:name w:val="toc 3"/>
    <w:basedOn w:val="Normal"/>
    <w:next w:val="Normal"/>
    <w:autoRedefine/>
    <w:semiHidden/>
    <w:rsid w:val="009872B4"/>
    <w:pPr>
      <w:tabs>
        <w:tab w:val="left" w:pos="1728"/>
      </w:tabs>
      <w:ind w:left="1714" w:hanging="562"/>
    </w:pPr>
    <w:rPr>
      <w:noProof/>
    </w:rPr>
  </w:style>
  <w:style w:type="paragraph" w:styleId="TOC4">
    <w:name w:val="toc 4"/>
    <w:basedOn w:val="Normal"/>
    <w:next w:val="Normal"/>
    <w:autoRedefine/>
    <w:semiHidden/>
    <w:rsid w:val="009872B4"/>
    <w:pPr>
      <w:ind w:left="400"/>
    </w:pPr>
  </w:style>
  <w:style w:type="paragraph" w:styleId="TOC5">
    <w:name w:val="toc 5"/>
    <w:basedOn w:val="Normal"/>
    <w:next w:val="Normal"/>
    <w:autoRedefine/>
    <w:semiHidden/>
    <w:rsid w:val="009872B4"/>
    <w:pPr>
      <w:ind w:left="600"/>
    </w:pPr>
  </w:style>
  <w:style w:type="paragraph" w:styleId="TOC6">
    <w:name w:val="toc 6"/>
    <w:basedOn w:val="Normal"/>
    <w:next w:val="Normal"/>
    <w:autoRedefine/>
    <w:semiHidden/>
    <w:rsid w:val="009872B4"/>
    <w:pPr>
      <w:ind w:left="800"/>
    </w:pPr>
  </w:style>
  <w:style w:type="paragraph" w:styleId="TOC7">
    <w:name w:val="toc 7"/>
    <w:basedOn w:val="Normal"/>
    <w:next w:val="Normal"/>
    <w:autoRedefine/>
    <w:semiHidden/>
    <w:rsid w:val="009872B4"/>
    <w:pPr>
      <w:ind w:left="1000"/>
    </w:pPr>
  </w:style>
  <w:style w:type="paragraph" w:styleId="TOC8">
    <w:name w:val="toc 8"/>
    <w:basedOn w:val="Normal"/>
    <w:next w:val="Normal"/>
    <w:autoRedefine/>
    <w:semiHidden/>
    <w:rsid w:val="009872B4"/>
    <w:pPr>
      <w:ind w:left="1200"/>
    </w:pPr>
  </w:style>
  <w:style w:type="paragraph" w:styleId="TOC9">
    <w:name w:val="toc 9"/>
    <w:basedOn w:val="Normal"/>
    <w:next w:val="Normal"/>
    <w:autoRedefine/>
    <w:semiHidden/>
    <w:rsid w:val="009872B4"/>
    <w:pPr>
      <w:ind w:left="1400"/>
    </w:pPr>
  </w:style>
  <w:style w:type="character" w:styleId="Hyperlink">
    <w:name w:val="Hyperlink"/>
    <w:basedOn w:val="DefaultParagraphFont"/>
    <w:rsid w:val="009872B4"/>
    <w:rPr>
      <w:color w:val="0000FF"/>
      <w:u w:val="single"/>
    </w:rPr>
  </w:style>
  <w:style w:type="character" w:styleId="FollowedHyperlink">
    <w:name w:val="FollowedHyperlink"/>
    <w:basedOn w:val="DefaultParagraphFont"/>
    <w:rsid w:val="009872B4"/>
    <w:rPr>
      <w:color w:val="800080"/>
      <w:u w:val="single"/>
    </w:rPr>
  </w:style>
  <w:style w:type="paragraph" w:styleId="BodyText3">
    <w:name w:val="Body Text 3"/>
    <w:basedOn w:val="Normal"/>
    <w:rsid w:val="009872B4"/>
    <w:rPr>
      <w:rFonts w:ascii="Palatino Linotype" w:hAnsi="Palatino Linotype"/>
      <w:sz w:val="22"/>
    </w:rPr>
  </w:style>
  <w:style w:type="character" w:styleId="FootnoteReference">
    <w:name w:val="footnote reference"/>
    <w:aliases w:val="Fußnotenzeichen DISS,16 Point,Superscript 6 Point,ftref,BVI fnr, BVI fnr,Знак сноски 1,referencia nota al pie"/>
    <w:basedOn w:val="DefaultParagraphFont"/>
    <w:rsid w:val="009872B4"/>
    <w:rPr>
      <w:vertAlign w:val="superscript"/>
    </w:rPr>
  </w:style>
  <w:style w:type="paragraph" w:styleId="Subtitle">
    <w:name w:val="Subtitle"/>
    <w:basedOn w:val="Normal"/>
    <w:qFormat/>
    <w:rsid w:val="009872B4"/>
    <w:pPr>
      <w:jc w:val="center"/>
    </w:pPr>
    <w:rPr>
      <w:b/>
      <w:bCs/>
      <w:sz w:val="28"/>
    </w:rPr>
  </w:style>
  <w:style w:type="paragraph" w:customStyle="1" w:styleId="xl29">
    <w:name w:val="xl29"/>
    <w:basedOn w:val="Normal"/>
    <w:rsid w:val="009872B4"/>
    <w:pPr>
      <w:pBdr>
        <w:left w:val="single" w:sz="4" w:space="0" w:color="auto"/>
        <w:bottom w:val="single" w:sz="4" w:space="0" w:color="auto"/>
      </w:pBdr>
      <w:spacing w:before="100" w:beforeAutospacing="1" w:after="100" w:afterAutospacing="1"/>
      <w:jc w:val="center"/>
    </w:pPr>
    <w:rPr>
      <w:rFonts w:ascii="Arial" w:eastAsia="Arial Unicode MS" w:hAnsi="Arial" w:cs="Arial"/>
      <w:b/>
      <w:bCs/>
    </w:rPr>
  </w:style>
  <w:style w:type="paragraph" w:customStyle="1" w:styleId="Textodebalo">
    <w:name w:val="Texto de balão"/>
    <w:basedOn w:val="Normal"/>
    <w:semiHidden/>
    <w:rsid w:val="009872B4"/>
    <w:rPr>
      <w:rFonts w:ascii="Tahoma" w:hAnsi="Tahoma" w:cs="Tahoma"/>
      <w:sz w:val="16"/>
      <w:szCs w:val="16"/>
    </w:rPr>
  </w:style>
  <w:style w:type="paragraph" w:styleId="BalloonText">
    <w:name w:val="Balloon Text"/>
    <w:basedOn w:val="Normal"/>
    <w:semiHidden/>
    <w:rsid w:val="00D4145C"/>
    <w:rPr>
      <w:rFonts w:ascii="Tahoma" w:hAnsi="Tahoma" w:cs="Tahoma"/>
      <w:sz w:val="16"/>
      <w:szCs w:val="16"/>
    </w:rPr>
  </w:style>
  <w:style w:type="character" w:customStyle="1" w:styleId="ParagraphChar">
    <w:name w:val="Paragraph Char"/>
    <w:basedOn w:val="DefaultParagraphFont"/>
    <w:link w:val="Paragraph"/>
    <w:rsid w:val="008A2C7C"/>
  </w:style>
  <w:style w:type="character" w:styleId="Emphasis">
    <w:name w:val="Emphasis"/>
    <w:basedOn w:val="DefaultParagraphFont"/>
    <w:qFormat/>
    <w:rsid w:val="003F27D7"/>
    <w:rPr>
      <w:i/>
      <w:iCs/>
    </w:rPr>
  </w:style>
  <w:style w:type="paragraph" w:styleId="ListParagraph">
    <w:name w:val="List Paragraph"/>
    <w:basedOn w:val="Normal"/>
    <w:uiPriority w:val="34"/>
    <w:qFormat/>
    <w:rsid w:val="001F48A4"/>
    <w:pPr>
      <w:ind w:left="720"/>
      <w:contextualSpacing/>
    </w:pPr>
    <w:rPr>
      <w:rFonts w:ascii="Arial" w:hAnsi="Arial"/>
      <w:sz w:val="20"/>
    </w:rPr>
  </w:style>
  <w:style w:type="table" w:styleId="TableGrid">
    <w:name w:val="Table Grid"/>
    <w:basedOn w:val="TableNormal"/>
    <w:rsid w:val="003832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974D84"/>
    <w:rPr>
      <w:sz w:val="24"/>
    </w:rPr>
  </w:style>
  <w:style w:type="paragraph" w:styleId="NormalWeb">
    <w:name w:val="Normal (Web)"/>
    <w:basedOn w:val="Normal"/>
    <w:uiPriority w:val="99"/>
    <w:unhideWhenUsed/>
    <w:rsid w:val="00D37846"/>
    <w:rPr>
      <w:rFonts w:eastAsia="Calibri"/>
    </w:rPr>
  </w:style>
  <w:style w:type="character" w:styleId="CommentReference">
    <w:name w:val="annotation reference"/>
    <w:basedOn w:val="DefaultParagraphFont"/>
    <w:rsid w:val="00E322F8"/>
    <w:rPr>
      <w:sz w:val="16"/>
      <w:szCs w:val="16"/>
    </w:rPr>
  </w:style>
  <w:style w:type="paragraph" w:styleId="CommentText">
    <w:name w:val="annotation text"/>
    <w:basedOn w:val="Normal"/>
    <w:link w:val="CommentTextChar"/>
    <w:rsid w:val="00E322F8"/>
    <w:rPr>
      <w:sz w:val="20"/>
    </w:rPr>
  </w:style>
  <w:style w:type="character" w:customStyle="1" w:styleId="CommentTextChar">
    <w:name w:val="Comment Text Char"/>
    <w:basedOn w:val="DefaultParagraphFont"/>
    <w:link w:val="CommentText"/>
    <w:rsid w:val="00E322F8"/>
  </w:style>
  <w:style w:type="paragraph" w:styleId="CommentSubject">
    <w:name w:val="annotation subject"/>
    <w:basedOn w:val="CommentText"/>
    <w:next w:val="CommentText"/>
    <w:link w:val="CommentSubjectChar"/>
    <w:rsid w:val="00E322F8"/>
    <w:rPr>
      <w:b/>
      <w:bCs/>
    </w:rPr>
  </w:style>
  <w:style w:type="character" w:customStyle="1" w:styleId="CommentSubjectChar">
    <w:name w:val="Comment Subject Char"/>
    <w:basedOn w:val="CommentTextChar"/>
    <w:link w:val="CommentSubject"/>
    <w:rsid w:val="00E322F8"/>
    <w:rPr>
      <w:b/>
      <w:bCs/>
    </w:rPr>
  </w:style>
  <w:style w:type="character" w:customStyle="1" w:styleId="FootnoteTextChar">
    <w:name w:val="Footnote Text Char"/>
    <w:aliases w:val="fn Char,footnote Char,Footnote Text Char1 Char Char,Footnote Text Char Char Char Char,Footnote Text Char Char Char Char Char Char Char1,ADB Char,Footnote Text Char Char Char Char Char Char Char Char,single space Char,Geneva 9 Char"/>
    <w:link w:val="FootnoteText"/>
    <w:rsid w:val="00286F8F"/>
  </w:style>
  <w:style w:type="numbering" w:customStyle="1" w:styleId="LFO7">
    <w:name w:val="LFO7"/>
    <w:basedOn w:val="NoList"/>
    <w:rsid w:val="0026572D"/>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7649">
      <w:bodyDiv w:val="1"/>
      <w:marLeft w:val="0"/>
      <w:marRight w:val="0"/>
      <w:marTop w:val="0"/>
      <w:marBottom w:val="0"/>
      <w:divBdr>
        <w:top w:val="none" w:sz="0" w:space="0" w:color="auto"/>
        <w:left w:val="none" w:sz="0" w:space="0" w:color="auto"/>
        <w:bottom w:val="none" w:sz="0" w:space="0" w:color="auto"/>
        <w:right w:val="none" w:sz="0" w:space="0" w:color="auto"/>
      </w:divBdr>
    </w:div>
    <w:div w:id="119348329">
      <w:bodyDiv w:val="1"/>
      <w:marLeft w:val="0"/>
      <w:marRight w:val="0"/>
      <w:marTop w:val="0"/>
      <w:marBottom w:val="0"/>
      <w:divBdr>
        <w:top w:val="none" w:sz="0" w:space="0" w:color="auto"/>
        <w:left w:val="none" w:sz="0" w:space="0" w:color="auto"/>
        <w:bottom w:val="none" w:sz="0" w:space="0" w:color="auto"/>
        <w:right w:val="none" w:sz="0" w:space="0" w:color="auto"/>
      </w:divBdr>
    </w:div>
    <w:div w:id="248854183">
      <w:bodyDiv w:val="1"/>
      <w:marLeft w:val="0"/>
      <w:marRight w:val="0"/>
      <w:marTop w:val="0"/>
      <w:marBottom w:val="0"/>
      <w:divBdr>
        <w:top w:val="none" w:sz="0" w:space="0" w:color="auto"/>
        <w:left w:val="none" w:sz="0" w:space="0" w:color="auto"/>
        <w:bottom w:val="none" w:sz="0" w:space="0" w:color="auto"/>
        <w:right w:val="none" w:sz="0" w:space="0" w:color="auto"/>
      </w:divBdr>
    </w:div>
    <w:div w:id="272171408">
      <w:bodyDiv w:val="1"/>
      <w:marLeft w:val="0"/>
      <w:marRight w:val="0"/>
      <w:marTop w:val="0"/>
      <w:marBottom w:val="0"/>
      <w:divBdr>
        <w:top w:val="none" w:sz="0" w:space="0" w:color="auto"/>
        <w:left w:val="none" w:sz="0" w:space="0" w:color="auto"/>
        <w:bottom w:val="none" w:sz="0" w:space="0" w:color="auto"/>
        <w:right w:val="none" w:sz="0" w:space="0" w:color="auto"/>
      </w:divBdr>
    </w:div>
    <w:div w:id="337582925">
      <w:bodyDiv w:val="1"/>
      <w:marLeft w:val="0"/>
      <w:marRight w:val="0"/>
      <w:marTop w:val="0"/>
      <w:marBottom w:val="0"/>
      <w:divBdr>
        <w:top w:val="none" w:sz="0" w:space="0" w:color="auto"/>
        <w:left w:val="none" w:sz="0" w:space="0" w:color="auto"/>
        <w:bottom w:val="none" w:sz="0" w:space="0" w:color="auto"/>
        <w:right w:val="none" w:sz="0" w:space="0" w:color="auto"/>
      </w:divBdr>
    </w:div>
    <w:div w:id="478226342">
      <w:bodyDiv w:val="1"/>
      <w:marLeft w:val="0"/>
      <w:marRight w:val="0"/>
      <w:marTop w:val="0"/>
      <w:marBottom w:val="0"/>
      <w:divBdr>
        <w:top w:val="none" w:sz="0" w:space="0" w:color="auto"/>
        <w:left w:val="none" w:sz="0" w:space="0" w:color="auto"/>
        <w:bottom w:val="none" w:sz="0" w:space="0" w:color="auto"/>
        <w:right w:val="none" w:sz="0" w:space="0" w:color="auto"/>
      </w:divBdr>
    </w:div>
    <w:div w:id="711926240">
      <w:bodyDiv w:val="1"/>
      <w:marLeft w:val="0"/>
      <w:marRight w:val="0"/>
      <w:marTop w:val="0"/>
      <w:marBottom w:val="0"/>
      <w:divBdr>
        <w:top w:val="none" w:sz="0" w:space="0" w:color="auto"/>
        <w:left w:val="none" w:sz="0" w:space="0" w:color="auto"/>
        <w:bottom w:val="none" w:sz="0" w:space="0" w:color="auto"/>
        <w:right w:val="none" w:sz="0" w:space="0" w:color="auto"/>
      </w:divBdr>
    </w:div>
    <w:div w:id="730619618">
      <w:bodyDiv w:val="1"/>
      <w:marLeft w:val="0"/>
      <w:marRight w:val="0"/>
      <w:marTop w:val="0"/>
      <w:marBottom w:val="0"/>
      <w:divBdr>
        <w:top w:val="none" w:sz="0" w:space="0" w:color="auto"/>
        <w:left w:val="none" w:sz="0" w:space="0" w:color="auto"/>
        <w:bottom w:val="none" w:sz="0" w:space="0" w:color="auto"/>
        <w:right w:val="none" w:sz="0" w:space="0" w:color="auto"/>
      </w:divBdr>
    </w:div>
    <w:div w:id="789670678">
      <w:bodyDiv w:val="1"/>
      <w:marLeft w:val="0"/>
      <w:marRight w:val="0"/>
      <w:marTop w:val="0"/>
      <w:marBottom w:val="0"/>
      <w:divBdr>
        <w:top w:val="none" w:sz="0" w:space="0" w:color="auto"/>
        <w:left w:val="none" w:sz="0" w:space="0" w:color="auto"/>
        <w:bottom w:val="none" w:sz="0" w:space="0" w:color="auto"/>
        <w:right w:val="none" w:sz="0" w:space="0" w:color="auto"/>
      </w:divBdr>
    </w:div>
    <w:div w:id="800421374">
      <w:bodyDiv w:val="1"/>
      <w:marLeft w:val="0"/>
      <w:marRight w:val="0"/>
      <w:marTop w:val="0"/>
      <w:marBottom w:val="0"/>
      <w:divBdr>
        <w:top w:val="none" w:sz="0" w:space="0" w:color="auto"/>
        <w:left w:val="none" w:sz="0" w:space="0" w:color="auto"/>
        <w:bottom w:val="none" w:sz="0" w:space="0" w:color="auto"/>
        <w:right w:val="none" w:sz="0" w:space="0" w:color="auto"/>
      </w:divBdr>
    </w:div>
    <w:div w:id="1176385596">
      <w:bodyDiv w:val="1"/>
      <w:marLeft w:val="0"/>
      <w:marRight w:val="0"/>
      <w:marTop w:val="0"/>
      <w:marBottom w:val="0"/>
      <w:divBdr>
        <w:top w:val="none" w:sz="0" w:space="0" w:color="auto"/>
        <w:left w:val="none" w:sz="0" w:space="0" w:color="auto"/>
        <w:bottom w:val="none" w:sz="0" w:space="0" w:color="auto"/>
        <w:right w:val="none" w:sz="0" w:space="0" w:color="auto"/>
      </w:divBdr>
    </w:div>
    <w:div w:id="1245458336">
      <w:bodyDiv w:val="1"/>
      <w:marLeft w:val="0"/>
      <w:marRight w:val="0"/>
      <w:marTop w:val="0"/>
      <w:marBottom w:val="0"/>
      <w:divBdr>
        <w:top w:val="none" w:sz="0" w:space="0" w:color="auto"/>
        <w:left w:val="none" w:sz="0" w:space="0" w:color="auto"/>
        <w:bottom w:val="none" w:sz="0" w:space="0" w:color="auto"/>
        <w:right w:val="none" w:sz="0" w:space="0" w:color="auto"/>
      </w:divBdr>
    </w:div>
    <w:div w:id="1326779464">
      <w:bodyDiv w:val="1"/>
      <w:marLeft w:val="0"/>
      <w:marRight w:val="0"/>
      <w:marTop w:val="0"/>
      <w:marBottom w:val="0"/>
      <w:divBdr>
        <w:top w:val="none" w:sz="0" w:space="0" w:color="auto"/>
        <w:left w:val="none" w:sz="0" w:space="0" w:color="auto"/>
        <w:bottom w:val="none" w:sz="0" w:space="0" w:color="auto"/>
        <w:right w:val="none" w:sz="0" w:space="0" w:color="auto"/>
      </w:divBdr>
    </w:div>
    <w:div w:id="1342122783">
      <w:bodyDiv w:val="1"/>
      <w:marLeft w:val="0"/>
      <w:marRight w:val="0"/>
      <w:marTop w:val="0"/>
      <w:marBottom w:val="0"/>
      <w:divBdr>
        <w:top w:val="none" w:sz="0" w:space="0" w:color="auto"/>
        <w:left w:val="none" w:sz="0" w:space="0" w:color="auto"/>
        <w:bottom w:val="none" w:sz="0" w:space="0" w:color="auto"/>
        <w:right w:val="none" w:sz="0" w:space="0" w:color="auto"/>
      </w:divBdr>
    </w:div>
    <w:div w:id="1400403814">
      <w:bodyDiv w:val="1"/>
      <w:marLeft w:val="0"/>
      <w:marRight w:val="0"/>
      <w:marTop w:val="0"/>
      <w:marBottom w:val="0"/>
      <w:divBdr>
        <w:top w:val="none" w:sz="0" w:space="0" w:color="auto"/>
        <w:left w:val="none" w:sz="0" w:space="0" w:color="auto"/>
        <w:bottom w:val="none" w:sz="0" w:space="0" w:color="auto"/>
        <w:right w:val="none" w:sz="0" w:space="0" w:color="auto"/>
      </w:divBdr>
    </w:div>
    <w:div w:id="1464882723">
      <w:bodyDiv w:val="1"/>
      <w:marLeft w:val="0"/>
      <w:marRight w:val="0"/>
      <w:marTop w:val="0"/>
      <w:marBottom w:val="0"/>
      <w:divBdr>
        <w:top w:val="none" w:sz="0" w:space="0" w:color="auto"/>
        <w:left w:val="none" w:sz="0" w:space="0" w:color="auto"/>
        <w:bottom w:val="none" w:sz="0" w:space="0" w:color="auto"/>
        <w:right w:val="none" w:sz="0" w:space="0" w:color="auto"/>
      </w:divBdr>
    </w:div>
    <w:div w:id="1483691349">
      <w:bodyDiv w:val="1"/>
      <w:marLeft w:val="0"/>
      <w:marRight w:val="0"/>
      <w:marTop w:val="0"/>
      <w:marBottom w:val="0"/>
      <w:divBdr>
        <w:top w:val="none" w:sz="0" w:space="0" w:color="auto"/>
        <w:left w:val="none" w:sz="0" w:space="0" w:color="auto"/>
        <w:bottom w:val="none" w:sz="0" w:space="0" w:color="auto"/>
        <w:right w:val="none" w:sz="0" w:space="0" w:color="auto"/>
      </w:divBdr>
    </w:div>
    <w:div w:id="1545212983">
      <w:bodyDiv w:val="1"/>
      <w:marLeft w:val="0"/>
      <w:marRight w:val="0"/>
      <w:marTop w:val="0"/>
      <w:marBottom w:val="0"/>
      <w:divBdr>
        <w:top w:val="none" w:sz="0" w:space="0" w:color="auto"/>
        <w:left w:val="none" w:sz="0" w:space="0" w:color="auto"/>
        <w:bottom w:val="none" w:sz="0" w:space="0" w:color="auto"/>
        <w:right w:val="none" w:sz="0" w:space="0" w:color="auto"/>
      </w:divBdr>
    </w:div>
    <w:div w:id="1586065662">
      <w:bodyDiv w:val="1"/>
      <w:marLeft w:val="0"/>
      <w:marRight w:val="0"/>
      <w:marTop w:val="0"/>
      <w:marBottom w:val="0"/>
      <w:divBdr>
        <w:top w:val="none" w:sz="0" w:space="0" w:color="auto"/>
        <w:left w:val="none" w:sz="0" w:space="0" w:color="auto"/>
        <w:bottom w:val="none" w:sz="0" w:space="0" w:color="auto"/>
        <w:right w:val="none" w:sz="0" w:space="0" w:color="auto"/>
      </w:divBdr>
    </w:div>
    <w:div w:id="1668172056">
      <w:bodyDiv w:val="1"/>
      <w:marLeft w:val="0"/>
      <w:marRight w:val="0"/>
      <w:marTop w:val="0"/>
      <w:marBottom w:val="0"/>
      <w:divBdr>
        <w:top w:val="none" w:sz="0" w:space="0" w:color="auto"/>
        <w:left w:val="none" w:sz="0" w:space="0" w:color="auto"/>
        <w:bottom w:val="none" w:sz="0" w:space="0" w:color="auto"/>
        <w:right w:val="none" w:sz="0" w:space="0" w:color="auto"/>
      </w:divBdr>
    </w:div>
    <w:div w:id="1668702120">
      <w:bodyDiv w:val="1"/>
      <w:marLeft w:val="0"/>
      <w:marRight w:val="0"/>
      <w:marTop w:val="0"/>
      <w:marBottom w:val="0"/>
      <w:divBdr>
        <w:top w:val="none" w:sz="0" w:space="0" w:color="auto"/>
        <w:left w:val="none" w:sz="0" w:space="0" w:color="auto"/>
        <w:bottom w:val="none" w:sz="0" w:space="0" w:color="auto"/>
        <w:right w:val="none" w:sz="0" w:space="0" w:color="auto"/>
      </w:divBdr>
    </w:div>
    <w:div w:id="1704210652">
      <w:bodyDiv w:val="1"/>
      <w:marLeft w:val="0"/>
      <w:marRight w:val="0"/>
      <w:marTop w:val="0"/>
      <w:marBottom w:val="0"/>
      <w:divBdr>
        <w:top w:val="none" w:sz="0" w:space="0" w:color="auto"/>
        <w:left w:val="none" w:sz="0" w:space="0" w:color="auto"/>
        <w:bottom w:val="none" w:sz="0" w:space="0" w:color="auto"/>
        <w:right w:val="none" w:sz="0" w:space="0" w:color="auto"/>
      </w:divBdr>
    </w:div>
    <w:div w:id="1709649302">
      <w:bodyDiv w:val="1"/>
      <w:marLeft w:val="0"/>
      <w:marRight w:val="0"/>
      <w:marTop w:val="0"/>
      <w:marBottom w:val="0"/>
      <w:divBdr>
        <w:top w:val="none" w:sz="0" w:space="0" w:color="auto"/>
        <w:left w:val="none" w:sz="0" w:space="0" w:color="auto"/>
        <w:bottom w:val="none" w:sz="0" w:space="0" w:color="auto"/>
        <w:right w:val="none" w:sz="0" w:space="0" w:color="auto"/>
      </w:divBdr>
    </w:div>
    <w:div w:id="1753627879">
      <w:bodyDiv w:val="1"/>
      <w:marLeft w:val="0"/>
      <w:marRight w:val="0"/>
      <w:marTop w:val="0"/>
      <w:marBottom w:val="0"/>
      <w:divBdr>
        <w:top w:val="none" w:sz="0" w:space="0" w:color="auto"/>
        <w:left w:val="none" w:sz="0" w:space="0" w:color="auto"/>
        <w:bottom w:val="none" w:sz="0" w:space="0" w:color="auto"/>
        <w:right w:val="none" w:sz="0" w:space="0" w:color="auto"/>
      </w:divBdr>
    </w:div>
    <w:div w:id="1835102459">
      <w:bodyDiv w:val="1"/>
      <w:marLeft w:val="0"/>
      <w:marRight w:val="0"/>
      <w:marTop w:val="0"/>
      <w:marBottom w:val="0"/>
      <w:divBdr>
        <w:top w:val="none" w:sz="0" w:space="0" w:color="auto"/>
        <w:left w:val="none" w:sz="0" w:space="0" w:color="auto"/>
        <w:bottom w:val="none" w:sz="0" w:space="0" w:color="auto"/>
        <w:right w:val="none" w:sz="0" w:space="0" w:color="auto"/>
      </w:divBdr>
    </w:div>
    <w:div w:id="1838302210">
      <w:bodyDiv w:val="1"/>
      <w:marLeft w:val="0"/>
      <w:marRight w:val="0"/>
      <w:marTop w:val="0"/>
      <w:marBottom w:val="0"/>
      <w:divBdr>
        <w:top w:val="none" w:sz="0" w:space="0" w:color="auto"/>
        <w:left w:val="none" w:sz="0" w:space="0" w:color="auto"/>
        <w:bottom w:val="none" w:sz="0" w:space="0" w:color="auto"/>
        <w:right w:val="none" w:sz="0" w:space="0" w:color="auto"/>
      </w:divBdr>
    </w:div>
    <w:div w:id="1848247248">
      <w:bodyDiv w:val="1"/>
      <w:marLeft w:val="0"/>
      <w:marRight w:val="0"/>
      <w:marTop w:val="0"/>
      <w:marBottom w:val="0"/>
      <w:divBdr>
        <w:top w:val="none" w:sz="0" w:space="0" w:color="auto"/>
        <w:left w:val="none" w:sz="0" w:space="0" w:color="auto"/>
        <w:bottom w:val="none" w:sz="0" w:space="0" w:color="auto"/>
        <w:right w:val="none" w:sz="0" w:space="0" w:color="auto"/>
      </w:divBdr>
    </w:div>
    <w:div w:id="1874810177">
      <w:bodyDiv w:val="1"/>
      <w:marLeft w:val="0"/>
      <w:marRight w:val="0"/>
      <w:marTop w:val="0"/>
      <w:marBottom w:val="0"/>
      <w:divBdr>
        <w:top w:val="none" w:sz="0" w:space="0" w:color="auto"/>
        <w:left w:val="none" w:sz="0" w:space="0" w:color="auto"/>
        <w:bottom w:val="none" w:sz="0" w:space="0" w:color="auto"/>
        <w:right w:val="none" w:sz="0" w:space="0" w:color="auto"/>
      </w:divBdr>
    </w:div>
    <w:div w:id="1881551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1.emf"/><Relationship Id="rId26" Type="http://schemas.openxmlformats.org/officeDocument/2006/relationships/customXml" Target="../customXml/item7.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customXml" Target="../customXml/item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idbdocs.iadb.org/wsdocs/getDocument.aspx?DOCNUM=36342557" TargetMode="External"/><Relationship Id="rId22" Type="http://schemas.openxmlformats.org/officeDocument/2006/relationships/customXml" Target="../customXml/item3.xml"/><Relationship Id="rId27" Type="http://schemas.openxmlformats.org/officeDocument/2006/relationships/customXml" Target="../customXml/item8.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INVe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R0002791479</Record_x0020_Number>
    <Key_x0020_Document xmlns="cdc7663a-08f0-4737-9e8c-148ce897a09c">false</Key_x0020_Document>
    <Division_x0020_or_x0020_Unit xmlns="cdc7663a-08f0-4737-9e8c-148ce897a09c">IFD/CMF</Division_x0020_or_x0020_Unit>
    <Other_x0020_Author xmlns="cdc7663a-08f0-4737-9e8c-148ce897a09c" xsi:nil="true"/>
    <IDBDocs_x0020_Number xmlns="cdc7663a-08f0-4737-9e8c-148ce897a09c">37294072</IDBDocs_x0020_Number>
    <Document_x0020_Author xmlns="cdc7663a-08f0-4737-9e8c-148ce897a09c">Bernal, Olver Luis</Document_x0020_Author>
    <Operation_x0020_Type xmlns="cdc7663a-08f0-4737-9e8c-148ce897a09c" xsi:nil="true"/>
    <TaxCatchAll xmlns="cdc7663a-08f0-4737-9e8c-148ce897a09c"/>
    <Fiscal_x0020_Year_x0020_IDB xmlns="cdc7663a-08f0-4737-9e8c-148ce897a09c">2012</Fiscal_x0020_Year_x0020_IDB>
    <Project_x0020_Number xmlns="cdc7663a-08f0-4737-9e8c-148ce897a09c">SU-L1034</Project_x0020_Number>
    <Package_x0020_Code xmlns="cdc7663a-08f0-4737-9e8c-148ce897a09c" xsi:nil="true"/>
    <Migration_x0020_Info xmlns="cdc7663a-08f0-4737-9e8c-148ce897a09c">MS WORDECOANEconomic Analysis0N</Migration_x0020_Info>
    <Approval_x0020_Number xmlns="cdc7663a-08f0-4737-9e8c-148ce897a09c" xsi:nil="true"/>
    <Business_x0020_Area xmlns="cdc7663a-08f0-4737-9e8c-148ce897a09c" xsi:nil="true"/>
    <SISCOR_x0020_Number xmlns="cdc7663a-08f0-4737-9e8c-148ce897a09c" xsi:nil="true"/>
    <Identifier xmlns="cdc7663a-08f0-4737-9e8c-148ce897a09c"> </Identifier>
    <Document_x0020_Language_x0020_IDB xmlns="cdc7663a-08f0-4737-9e8c-148ce897a09c">English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EZSHARE-881918175-25</_dlc_DocId>
    <From_x003a_ xmlns="cdc7663a-08f0-4737-9e8c-148ce897a09c" xsi:nil="true"/>
    <To_x003a_ xmlns="cdc7663a-08f0-4737-9e8c-148ce897a09c" xsi:nil="true"/>
    <_dlc_DocIdUrl xmlns="cdc7663a-08f0-4737-9e8c-148ce897a09c">
      <Url>https://idbg.sharepoint.com/teams/EZ-SU-LON/SU-L1034/_layouts/15/DocIdRedir.aspx?ID=EZSHARE-881918175-25</Url>
      <Description>EZSHARE-881918175-25</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2348AF950504C2438E1B18EE31BD44A2" ma:contentTypeVersion="425" ma:contentTypeDescription="The base project type from which other project content types inherit their information." ma:contentTypeScope="" ma:versionID="b487f964591bba691376844f476ac0e2">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7310E10A-51B4-403E-BCC9-DE191B7749B1}"/>
</file>

<file path=customXml/itemProps2.xml><?xml version="1.0" encoding="utf-8"?>
<ds:datastoreItem xmlns:ds="http://schemas.openxmlformats.org/officeDocument/2006/customXml" ds:itemID="{89E1E0E4-CD54-4990-B1DE-D99577CCD6A9}"/>
</file>

<file path=customXml/itemProps3.xml><?xml version="1.0" encoding="utf-8"?>
<ds:datastoreItem xmlns:ds="http://schemas.openxmlformats.org/officeDocument/2006/customXml" ds:itemID="{90B5D00D-47F6-451C-A2FC-39014DEAB737}"/>
</file>

<file path=customXml/itemProps4.xml><?xml version="1.0" encoding="utf-8"?>
<ds:datastoreItem xmlns:ds="http://schemas.openxmlformats.org/officeDocument/2006/customXml" ds:itemID="{019C617F-B37E-4960-A9FF-ADD514189BD2}"/>
</file>

<file path=customXml/itemProps5.xml><?xml version="1.0" encoding="utf-8"?>
<ds:datastoreItem xmlns:ds="http://schemas.openxmlformats.org/officeDocument/2006/customXml" ds:itemID="{CF663458-B13A-4127-869B-A2C01CCE714C}"/>
</file>

<file path=customXml/itemProps6.xml><?xml version="1.0" encoding="utf-8"?>
<ds:datastoreItem xmlns:ds="http://schemas.openxmlformats.org/officeDocument/2006/customXml" ds:itemID="{DCA64EBB-D41F-4E64-BEED-98BC73961A72}"/>
</file>

<file path=customXml/itemProps7.xml><?xml version="1.0" encoding="utf-8"?>
<ds:datastoreItem xmlns:ds="http://schemas.openxmlformats.org/officeDocument/2006/customXml" ds:itemID="{731A1A65-22D6-439F-90DD-F882D764BEC2}"/>
</file>

<file path=customXml/itemProps8.xml><?xml version="1.0" encoding="utf-8"?>
<ds:datastoreItem xmlns:ds="http://schemas.openxmlformats.org/officeDocument/2006/customXml" ds:itemID="{726795AC-B774-4EBF-8076-47BDEC41A576}"/>
</file>

<file path=docProps/app.xml><?xml version="1.0" encoding="utf-8"?>
<Properties xmlns="http://schemas.openxmlformats.org/officeDocument/2006/extended-properties" xmlns:vt="http://schemas.openxmlformats.org/officeDocument/2006/docPropsVTypes">
  <Template>INVeng.dot</Template>
  <TotalTime>4</TotalTime>
  <Pages>10</Pages>
  <Words>2544</Words>
  <Characters>14506</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DOCUMENT OF THE INTER-AMERICAN DEVELOPMENT BANK</vt:lpstr>
    </vt:vector>
  </TitlesOfParts>
  <Company>InterAmerican Development Bank</Company>
  <LinksUpToDate>false</LinksUpToDate>
  <CharactersWithSpaces>17016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Economic Analysis</dc:title>
  <dc:creator>MARTINC</dc:creator>
  <cp:lastModifiedBy>Test</cp:lastModifiedBy>
  <cp:revision>3</cp:revision>
  <cp:lastPrinted>2011-09-06T20:42:00Z</cp:lastPrinted>
  <dcterms:created xsi:type="dcterms:W3CDTF">2013-05-17T16:02:00Z</dcterms:created>
  <dcterms:modified xsi:type="dcterms:W3CDTF">2013-05-17T16:05:00Z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0x010100ACF722E9F6B0B149B0CD8BE2560A6672002348AF950504C2438E1B18EE31BD44A2</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6" name="Disclosure Activity">
    <vt:lpwstr>Economic Analysis</vt:lpwstr>
  </property>
  <property fmtid="{D5CDD505-2E9C-101B-9397-08002B2CF9AE}" pid="20" name="Webtopic">
    <vt:lpwstr>Rural Land Management;Banking and Financial Services;Financial Sector Development;Finance;Finance</vt:lpwstr>
  </property>
  <property fmtid="{D5CDD505-2E9C-101B-9397-08002B2CF9AE}" pid="22" name="Disclosed">
    <vt:bool>true</vt:bool>
  </property>
  <property fmtid="{D5CDD505-2E9C-101B-9397-08002B2CF9AE}" pid="26" name="_dlc_DocIdItemGuid">
    <vt:lpwstr>1656fa70-deee-4ee5-a6bf-1ffa47137915</vt:lpwstr>
  </property>
</Properties>
</file>