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CCBA88" w14:textId="77777777" w:rsidR="00862501" w:rsidRPr="007D3C05" w:rsidRDefault="00862501" w:rsidP="00862501">
      <w:pPr>
        <w:pStyle w:val="Newpage"/>
        <w:rPr>
          <w:rFonts w:ascii="Arial" w:hAnsi="Arial" w:cs="Arial"/>
          <w:b w:val="0"/>
          <w:caps/>
          <w:smallCaps w:val="0"/>
          <w:sz w:val="20"/>
          <w:szCs w:val="22"/>
        </w:rPr>
      </w:pPr>
      <w:bookmarkStart w:id="0" w:name="_Hlk516486121"/>
      <w:bookmarkStart w:id="1" w:name="_Hlk516257607"/>
      <w:bookmarkEnd w:id="0"/>
      <w:r w:rsidRPr="007D3C05">
        <w:rPr>
          <w:rFonts w:ascii="Arial" w:hAnsi="Arial" w:cs="Arial"/>
          <w:szCs w:val="28"/>
          <w:lang w:val="es-ES_tradnl"/>
        </w:rPr>
        <w:t>Programa de Modernización y Renovación</w:t>
      </w:r>
      <w:bookmarkStart w:id="2" w:name="_GoBack"/>
      <w:bookmarkEnd w:id="2"/>
      <w:r w:rsidRPr="007D3C05">
        <w:rPr>
          <w:rFonts w:ascii="Arial" w:hAnsi="Arial" w:cs="Arial"/>
          <w:szCs w:val="28"/>
          <w:lang w:val="es-ES_tradnl"/>
        </w:rPr>
        <w:t xml:space="preserve"> del Sistema Eléctrico Ecuatoriano</w:t>
      </w:r>
    </w:p>
    <w:p w14:paraId="6D1CD808" w14:textId="77777777" w:rsidR="00862501" w:rsidRPr="007D3C05" w:rsidRDefault="00862501" w:rsidP="00862501">
      <w:pPr>
        <w:spacing w:after="0"/>
        <w:jc w:val="center"/>
        <w:rPr>
          <w:rFonts w:ascii="Arial" w:hAnsi="Arial" w:cs="Arial"/>
          <w:b/>
          <w:sz w:val="24"/>
          <w:lang w:val="pt-BR"/>
        </w:rPr>
      </w:pPr>
      <w:r w:rsidRPr="007D3C05">
        <w:rPr>
          <w:rFonts w:ascii="Arial" w:hAnsi="Arial" w:cs="Arial"/>
          <w:b/>
          <w:sz w:val="24"/>
          <w:lang w:val="pt-BR"/>
        </w:rPr>
        <w:t>(EC-L1231)</w:t>
      </w:r>
    </w:p>
    <w:p w14:paraId="0698A904" w14:textId="77777777" w:rsidR="00862501" w:rsidRDefault="00862501" w:rsidP="00862501">
      <w:pPr>
        <w:spacing w:after="0"/>
        <w:jc w:val="center"/>
        <w:rPr>
          <w:rFonts w:ascii="Arial" w:hAnsi="Arial" w:cs="Arial"/>
          <w:b/>
          <w:sz w:val="24"/>
          <w:lang w:val="pt-BR"/>
        </w:rPr>
      </w:pPr>
    </w:p>
    <w:p w14:paraId="2998A68B" w14:textId="77777777" w:rsidR="00862501" w:rsidRPr="007D3C05" w:rsidRDefault="00862501" w:rsidP="00862501">
      <w:pPr>
        <w:spacing w:after="0"/>
        <w:jc w:val="center"/>
        <w:rPr>
          <w:rFonts w:ascii="Arial" w:hAnsi="Arial" w:cs="Arial"/>
          <w:b/>
          <w:lang w:val="pt-BR"/>
        </w:rPr>
      </w:pPr>
      <w:r w:rsidRPr="007D3C05">
        <w:rPr>
          <w:rFonts w:ascii="Arial" w:hAnsi="Arial" w:cs="Arial"/>
          <w:b/>
          <w:sz w:val="24"/>
          <w:lang w:val="pt-BR"/>
        </w:rPr>
        <w:t>Anexo de Género</w:t>
      </w:r>
    </w:p>
    <w:p w14:paraId="6039DCCA" w14:textId="77777777" w:rsidR="00862501" w:rsidRPr="007D3C05" w:rsidRDefault="00862501" w:rsidP="00862501">
      <w:pPr>
        <w:jc w:val="both"/>
        <w:rPr>
          <w:rFonts w:ascii="Arial" w:hAnsi="Arial" w:cs="Arial"/>
          <w:u w:val="single"/>
          <w:lang w:val="pt-BR"/>
        </w:rPr>
      </w:pPr>
    </w:p>
    <w:p w14:paraId="26D8175D" w14:textId="77777777" w:rsidR="00862501" w:rsidRDefault="00862501" w:rsidP="00862501">
      <w:pPr>
        <w:spacing w:after="0" w:line="240" w:lineRule="auto"/>
        <w:jc w:val="both"/>
        <w:rPr>
          <w:rFonts w:ascii="Arial" w:hAnsi="Arial" w:cs="Arial"/>
          <w:u w:val="single"/>
          <w:lang w:val="pt-BR"/>
        </w:rPr>
      </w:pPr>
      <w:r w:rsidRPr="007D3C05">
        <w:rPr>
          <w:rFonts w:ascii="Arial" w:hAnsi="Arial" w:cs="Arial"/>
          <w:u w:val="single"/>
          <w:lang w:val="pt-BR"/>
        </w:rPr>
        <w:t>Antecedentes y Contexto de género</w:t>
      </w:r>
    </w:p>
    <w:p w14:paraId="4B05066D" w14:textId="77777777" w:rsidR="00862501" w:rsidRPr="007D3C05" w:rsidRDefault="00862501" w:rsidP="00862501">
      <w:pPr>
        <w:spacing w:after="0" w:line="240" w:lineRule="auto"/>
        <w:jc w:val="both"/>
        <w:rPr>
          <w:rFonts w:ascii="Arial" w:hAnsi="Arial" w:cs="Arial"/>
          <w:u w:val="single"/>
          <w:lang w:val="pt-BR"/>
        </w:rPr>
      </w:pPr>
    </w:p>
    <w:p w14:paraId="1AD473EB" w14:textId="77777777" w:rsidR="00862501" w:rsidRPr="007D3C05" w:rsidRDefault="00862501" w:rsidP="00862501">
      <w:pPr>
        <w:autoSpaceDE w:val="0"/>
        <w:autoSpaceDN w:val="0"/>
        <w:adjustRightInd w:val="0"/>
        <w:spacing w:after="0" w:line="240" w:lineRule="auto"/>
        <w:jc w:val="both"/>
        <w:rPr>
          <w:rFonts w:ascii="Arial" w:hAnsi="Arial" w:cs="Arial"/>
          <w:lang w:val="es-ES_tradnl"/>
        </w:rPr>
      </w:pPr>
      <w:bookmarkStart w:id="3" w:name="_Hlk486256749"/>
      <w:r w:rsidRPr="007D3C05">
        <w:rPr>
          <w:rFonts w:ascii="Arial" w:hAnsi="Arial" w:cs="Arial"/>
          <w:lang w:val="es-ES_tradnl"/>
        </w:rPr>
        <w:t xml:space="preserve">La participación de las mujeres en el sector energético representa una oportunidad para el empoderamiento de las mujeres y la promoción de igualdad de oportunidades. Además, considerando las necesidades diferenciadas de hombres y mujeres, se ve esencial una mayor participación de las mujeres en la elaboración e implementación de los proyectos energéticos y en la toma de decisiones. </w:t>
      </w:r>
    </w:p>
    <w:p w14:paraId="636FBC8F" w14:textId="77777777" w:rsidR="00862501" w:rsidRDefault="00862501" w:rsidP="00862501">
      <w:pPr>
        <w:spacing w:after="0" w:line="240" w:lineRule="auto"/>
        <w:jc w:val="both"/>
        <w:rPr>
          <w:rFonts w:ascii="Arial" w:hAnsi="Arial" w:cs="Arial"/>
          <w:lang w:val="es-ES"/>
        </w:rPr>
      </w:pPr>
    </w:p>
    <w:p w14:paraId="50A1B102" w14:textId="77777777" w:rsidR="00862501" w:rsidRPr="007D3C05" w:rsidRDefault="00862501" w:rsidP="00862501">
      <w:pPr>
        <w:spacing w:after="0" w:line="240" w:lineRule="auto"/>
        <w:jc w:val="both"/>
        <w:rPr>
          <w:rFonts w:ascii="Arial" w:hAnsi="Arial" w:cs="Arial"/>
          <w:lang w:val="es-ES_tradnl"/>
        </w:rPr>
      </w:pPr>
      <w:r w:rsidRPr="007D3C05">
        <w:rPr>
          <w:rFonts w:ascii="Arial" w:hAnsi="Arial" w:cs="Arial"/>
          <w:lang w:val="es-ES"/>
        </w:rPr>
        <w:t>Según un estudio de la firma consultora, Ernst and Young, sobre las mujeres en el sector energético y empresas eléctricas, en el año 2016 las mujeres representaban el 5% de los miembros de directores ejecutivos, 19% de los miembros directores no ejecutivos y 14% de los gerentes de las principales 200 compañías de electricidad y servicios de agua y electricidad del mundo</w:t>
      </w:r>
      <w:r w:rsidRPr="007D3C05">
        <w:rPr>
          <w:rFonts w:ascii="Arial" w:hAnsi="Arial" w:cs="Arial"/>
          <w:vertAlign w:val="superscript"/>
        </w:rPr>
        <w:footnoteReference w:id="2"/>
      </w:r>
      <w:r w:rsidRPr="007D3C05">
        <w:rPr>
          <w:rFonts w:ascii="Arial" w:hAnsi="Arial" w:cs="Arial"/>
          <w:lang w:val="es-ES"/>
        </w:rPr>
        <w:t xml:space="preserve">. Cuando se realiza este análisis para América Latina y el Caribe (LAC), se observa que la región tiene el porcentaje más alto de directoras ejecutivas, pero aun así solo representan 9% del total de los directores. </w:t>
      </w:r>
      <w:r w:rsidRPr="007D3C05">
        <w:rPr>
          <w:rFonts w:ascii="Arial" w:hAnsi="Arial" w:cs="Arial"/>
          <w:lang w:val="es-ES_tradnl"/>
        </w:rPr>
        <w:t>Además, en LAC el 7% de los directores no ejecutivos y 17 de los gerentes son mujeres (ver gráfico 1). En total, las mujeres de la región representan únicamente 19.7% del total de los empleados del sector de “electricidad, gas y agua”</w:t>
      </w:r>
      <w:r w:rsidRPr="007D3C05">
        <w:rPr>
          <w:rFonts w:ascii="Arial" w:hAnsi="Arial" w:cs="Arial"/>
          <w:vertAlign w:val="superscript"/>
        </w:rPr>
        <w:footnoteReference w:id="3"/>
      </w:r>
      <w:r w:rsidRPr="007D3C05">
        <w:rPr>
          <w:rFonts w:ascii="Arial" w:hAnsi="Arial" w:cs="Arial"/>
          <w:lang w:val="es-ES_tradnl"/>
        </w:rPr>
        <w:t xml:space="preserve">. </w:t>
      </w:r>
    </w:p>
    <w:p w14:paraId="66108B9E" w14:textId="77777777" w:rsidR="00862501" w:rsidRPr="007D3C05" w:rsidRDefault="00862501" w:rsidP="00862501">
      <w:pPr>
        <w:spacing w:after="0" w:line="360" w:lineRule="auto"/>
        <w:jc w:val="both"/>
        <w:rPr>
          <w:rFonts w:ascii="Arial" w:hAnsi="Arial" w:cs="Arial"/>
          <w:lang w:val="es-ES_tradnl"/>
        </w:rPr>
      </w:pPr>
    </w:p>
    <w:p w14:paraId="23C909D6" w14:textId="77777777" w:rsidR="00862501" w:rsidRPr="00B32813" w:rsidRDefault="00862501" w:rsidP="00862501">
      <w:pPr>
        <w:ind w:left="720"/>
        <w:jc w:val="both"/>
        <w:rPr>
          <w:rFonts w:ascii="Arial" w:hAnsi="Arial" w:cs="Arial"/>
          <w:sz w:val="20"/>
          <w:lang w:val="es-ES_tradnl"/>
        </w:rPr>
      </w:pPr>
      <w:r w:rsidRPr="00B32813">
        <w:rPr>
          <w:rFonts w:ascii="Arial" w:hAnsi="Arial" w:cs="Arial"/>
          <w:sz w:val="20"/>
          <w:lang w:val="es-ES_tradnl"/>
        </w:rPr>
        <w:t>Gráfico 1: Repartición geográfica de mujeres en puestos estratégicos en las mejores 200 compañías de electricidad y servicios básicos</w:t>
      </w:r>
    </w:p>
    <w:bookmarkEnd w:id="3"/>
    <w:p w14:paraId="728B1D9F" w14:textId="77777777" w:rsidR="00862501" w:rsidRDefault="00862501" w:rsidP="00862501">
      <w:pPr>
        <w:jc w:val="center"/>
        <w:rPr>
          <w:rFonts w:ascii="Arial" w:hAnsi="Arial" w:cs="Arial"/>
          <w:u w:val="single"/>
          <w:lang w:val="es-ES"/>
        </w:rPr>
      </w:pPr>
      <w:r w:rsidRPr="00D64D45">
        <w:rPr>
          <w:rFonts w:ascii="Arial" w:hAnsi="Arial" w:cs="Arial"/>
          <w:noProof/>
        </w:rPr>
        <w:drawing>
          <wp:inline distT="0" distB="0" distL="0" distR="0" wp14:anchorId="135ADC56" wp14:editId="1FC38F62">
            <wp:extent cx="4344784" cy="2714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09607" cy="2755126"/>
                    </a:xfrm>
                    <a:prstGeom prst="rect">
                      <a:avLst/>
                    </a:prstGeom>
                    <a:noFill/>
                    <a:ln>
                      <a:noFill/>
                    </a:ln>
                  </pic:spPr>
                </pic:pic>
              </a:graphicData>
            </a:graphic>
          </wp:inline>
        </w:drawing>
      </w:r>
    </w:p>
    <w:p w14:paraId="5DFC5685" w14:textId="77777777" w:rsidR="00862501" w:rsidRDefault="00862501" w:rsidP="00862501">
      <w:pPr>
        <w:jc w:val="both"/>
        <w:rPr>
          <w:rFonts w:ascii="Arial" w:hAnsi="Arial" w:cs="Arial"/>
          <w:lang w:val="es-ES_tradnl"/>
        </w:rPr>
      </w:pPr>
      <w:r w:rsidRPr="007D3C05">
        <w:rPr>
          <w:rFonts w:ascii="Arial" w:hAnsi="Arial" w:cs="Arial"/>
          <w:lang w:val="es-ES_tradnl"/>
        </w:rPr>
        <w:lastRenderedPageBreak/>
        <w:t>En Ecuador</w:t>
      </w:r>
      <w:r w:rsidRPr="007D3C05">
        <w:rPr>
          <w:rFonts w:ascii="Arial" w:hAnsi="Arial" w:cs="Arial"/>
          <w:lang w:val="es-ES"/>
        </w:rPr>
        <w:t xml:space="preserve"> las mujeres representan 28% del total de los empleados del sector de “electricidad, gas y agua”</w:t>
      </w:r>
      <w:r w:rsidRPr="007D3C05">
        <w:rPr>
          <w:rStyle w:val="FootnoteReference"/>
          <w:rFonts w:ascii="Arial" w:hAnsi="Arial" w:cs="Arial"/>
          <w:lang w:val="es-ES"/>
        </w:rPr>
        <w:footnoteReference w:id="4"/>
      </w:r>
      <w:r w:rsidRPr="007D3C05">
        <w:rPr>
          <w:rFonts w:ascii="Arial" w:hAnsi="Arial" w:cs="Arial"/>
          <w:lang w:val="es-ES"/>
        </w:rPr>
        <w:t>, las mujeres aún son una minoría del sector</w:t>
      </w:r>
      <w:r w:rsidRPr="007D3C05">
        <w:rPr>
          <w:rFonts w:ascii="Arial" w:hAnsi="Arial" w:cs="Arial"/>
          <w:vertAlign w:val="superscript"/>
          <w:lang w:val="es-ES_tradnl"/>
        </w:rPr>
        <w:footnoteReference w:id="5"/>
      </w:r>
      <w:r w:rsidRPr="007D3C05">
        <w:rPr>
          <w:rFonts w:ascii="Arial" w:hAnsi="Arial" w:cs="Arial"/>
          <w:lang w:val="es-ES"/>
        </w:rPr>
        <w:t>. Según datos del Ministerio de Electricidad y Energía Renovable (MEER)</w:t>
      </w:r>
      <w:r>
        <w:rPr>
          <w:rFonts w:ascii="Arial" w:hAnsi="Arial" w:cs="Arial"/>
          <w:lang w:val="es-ES"/>
        </w:rPr>
        <w:t xml:space="preserve"> hoy </w:t>
      </w:r>
      <w:r w:rsidRPr="00C10F44">
        <w:rPr>
          <w:rFonts w:ascii="Arial" w:hAnsi="Arial" w:cs="Arial"/>
          <w:lang w:val="es-419"/>
        </w:rPr>
        <w:t>Ministerio de Energía y Recursos Naturales No Renovables (MERNNR)</w:t>
      </w:r>
      <w:r>
        <w:rPr>
          <w:rStyle w:val="FootnoteReference"/>
          <w:rFonts w:ascii="Arial" w:hAnsi="Arial" w:cs="Arial"/>
          <w:lang w:val="es-ES"/>
        </w:rPr>
        <w:footnoteReference w:id="6"/>
      </w:r>
      <w:r w:rsidRPr="007D3C05">
        <w:rPr>
          <w:rFonts w:ascii="Arial" w:hAnsi="Arial" w:cs="Arial"/>
          <w:lang w:val="es-ES"/>
        </w:rPr>
        <w:t xml:space="preserve">, las mujeres representan </w:t>
      </w:r>
      <w:r w:rsidRPr="007D3C05">
        <w:rPr>
          <w:rFonts w:ascii="Arial" w:hAnsi="Arial" w:cs="Arial"/>
          <w:lang w:val="es-ES_tradnl"/>
        </w:rPr>
        <w:t>el 29% de los empleados del MEER y de las 21 compañías de distribución eléctricas públicas (ver tabla 1).</w:t>
      </w:r>
    </w:p>
    <w:p w14:paraId="34900C9A" w14:textId="77777777" w:rsidR="00862501" w:rsidRPr="007D3C05" w:rsidRDefault="00862501" w:rsidP="00862501">
      <w:pPr>
        <w:jc w:val="both"/>
        <w:rPr>
          <w:rFonts w:ascii="Arial" w:hAnsi="Arial" w:cs="Arial"/>
          <w:u w:val="single"/>
          <w:lang w:val="es-ES"/>
        </w:rPr>
      </w:pPr>
    </w:p>
    <w:p w14:paraId="15403316" w14:textId="77777777" w:rsidR="00862501" w:rsidRPr="00B32813" w:rsidRDefault="00862501" w:rsidP="00862501">
      <w:pPr>
        <w:ind w:firstLine="720"/>
        <w:jc w:val="both"/>
        <w:rPr>
          <w:rFonts w:ascii="Arial" w:hAnsi="Arial" w:cs="Arial"/>
          <w:sz w:val="20"/>
          <w:lang w:val="es-ES_tradnl"/>
        </w:rPr>
      </w:pPr>
      <w:r w:rsidRPr="00B32813">
        <w:rPr>
          <w:rFonts w:ascii="Arial" w:hAnsi="Arial" w:cs="Arial"/>
          <w:sz w:val="20"/>
          <w:lang w:val="es-ES_tradnl"/>
        </w:rPr>
        <w:t xml:space="preserve">Tabla 1 – </w:t>
      </w:r>
      <w:r w:rsidRPr="00B32813">
        <w:rPr>
          <w:rFonts w:ascii="Arial" w:hAnsi="Arial" w:cs="Arial"/>
          <w:bCs/>
          <w:sz w:val="20"/>
          <w:lang w:val="es-ES_tradnl"/>
        </w:rPr>
        <w:t>MEER, incluyendo Empresas Eléctricas de Distribución: Empleados por género</w:t>
      </w:r>
    </w:p>
    <w:tbl>
      <w:tblPr>
        <w:tblStyle w:val="MediumList2-Accent1"/>
        <w:tblW w:w="6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9"/>
        <w:gridCol w:w="1737"/>
        <w:gridCol w:w="1833"/>
      </w:tblGrid>
      <w:tr w:rsidR="00862501" w:rsidRPr="00D64D45" w14:paraId="74C18210" w14:textId="77777777" w:rsidTr="004D15DE">
        <w:trPr>
          <w:cnfStyle w:val="100000000000" w:firstRow="1" w:lastRow="0" w:firstColumn="0" w:lastColumn="0" w:oddVBand="0" w:evenVBand="0" w:oddHBand="0" w:evenHBand="0" w:firstRowFirstColumn="0" w:firstRowLastColumn="0" w:lastRowFirstColumn="0" w:lastRowLastColumn="0"/>
          <w:trHeight w:val="266"/>
          <w:jc w:val="center"/>
        </w:trPr>
        <w:tc>
          <w:tcPr>
            <w:cnfStyle w:val="001000000100" w:firstRow="0" w:lastRow="0" w:firstColumn="1" w:lastColumn="0" w:oddVBand="0" w:evenVBand="0" w:oddHBand="0" w:evenHBand="0" w:firstRowFirstColumn="1" w:firstRowLastColumn="0" w:lastRowFirstColumn="0" w:lastRowLastColumn="0"/>
            <w:tcW w:w="3059" w:type="dxa"/>
            <w:tcBorders>
              <w:top w:val="none" w:sz="0" w:space="0" w:color="auto"/>
              <w:left w:val="none" w:sz="0" w:space="0" w:color="auto"/>
              <w:bottom w:val="none" w:sz="0" w:space="0" w:color="auto"/>
              <w:right w:val="none" w:sz="0" w:space="0" w:color="auto"/>
            </w:tcBorders>
            <w:hideMark/>
          </w:tcPr>
          <w:p w14:paraId="5AF47CE0" w14:textId="77777777" w:rsidR="00862501" w:rsidRPr="007D3C05" w:rsidRDefault="00862501" w:rsidP="004D15DE">
            <w:pPr>
              <w:jc w:val="both"/>
              <w:rPr>
                <w:rFonts w:ascii="Arial" w:eastAsia="Times New Roman" w:hAnsi="Arial" w:cs="Arial"/>
                <w:b/>
                <w:bCs/>
                <w:sz w:val="18"/>
                <w:szCs w:val="16"/>
                <w:lang w:val="en-US"/>
              </w:rPr>
            </w:pPr>
            <w:r w:rsidRPr="007D3C05">
              <w:rPr>
                <w:rFonts w:ascii="Arial" w:eastAsia="Times New Roman" w:hAnsi="Arial" w:cs="Arial"/>
                <w:b/>
                <w:bCs/>
                <w:sz w:val="18"/>
                <w:szCs w:val="16"/>
              </w:rPr>
              <w:t>Institu</w:t>
            </w:r>
            <w:r>
              <w:rPr>
                <w:rFonts w:ascii="Arial" w:eastAsia="Times New Roman" w:hAnsi="Arial" w:cs="Arial"/>
                <w:b/>
                <w:bCs/>
                <w:sz w:val="18"/>
                <w:szCs w:val="16"/>
              </w:rPr>
              <w:t>ció</w:t>
            </w:r>
            <w:r w:rsidRPr="007D3C05">
              <w:rPr>
                <w:rFonts w:ascii="Arial" w:eastAsia="Times New Roman" w:hAnsi="Arial" w:cs="Arial"/>
                <w:b/>
                <w:bCs/>
                <w:sz w:val="18"/>
                <w:szCs w:val="16"/>
              </w:rPr>
              <w:t>n</w:t>
            </w:r>
          </w:p>
        </w:tc>
        <w:tc>
          <w:tcPr>
            <w:tcW w:w="1737" w:type="dxa"/>
            <w:tcBorders>
              <w:top w:val="none" w:sz="0" w:space="0" w:color="auto"/>
              <w:left w:val="none" w:sz="0" w:space="0" w:color="auto"/>
              <w:bottom w:val="none" w:sz="0" w:space="0" w:color="auto"/>
              <w:right w:val="none" w:sz="0" w:space="0" w:color="auto"/>
            </w:tcBorders>
            <w:noWrap/>
            <w:hideMark/>
          </w:tcPr>
          <w:p w14:paraId="70678BD1" w14:textId="77777777" w:rsidR="00862501" w:rsidRPr="007D3C05" w:rsidRDefault="00862501" w:rsidP="004D15DE">
            <w:pPr>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bCs/>
                <w:sz w:val="18"/>
                <w:szCs w:val="16"/>
                <w:lang w:val="en-US"/>
              </w:rPr>
            </w:pPr>
            <w:r w:rsidRPr="007D3C05">
              <w:rPr>
                <w:rFonts w:ascii="Arial" w:eastAsia="Times New Roman" w:hAnsi="Arial" w:cs="Arial"/>
                <w:b/>
                <w:bCs/>
                <w:sz w:val="18"/>
                <w:szCs w:val="16"/>
              </w:rPr>
              <w:t>Hombres</w:t>
            </w:r>
          </w:p>
        </w:tc>
        <w:tc>
          <w:tcPr>
            <w:tcW w:w="1833" w:type="dxa"/>
            <w:tcBorders>
              <w:top w:val="none" w:sz="0" w:space="0" w:color="auto"/>
              <w:left w:val="none" w:sz="0" w:space="0" w:color="auto"/>
              <w:bottom w:val="none" w:sz="0" w:space="0" w:color="auto"/>
              <w:right w:val="none" w:sz="0" w:space="0" w:color="auto"/>
            </w:tcBorders>
            <w:noWrap/>
            <w:hideMark/>
          </w:tcPr>
          <w:p w14:paraId="4F6BC716" w14:textId="77777777" w:rsidR="00862501" w:rsidRPr="007D3C05" w:rsidRDefault="00862501" w:rsidP="004D15DE">
            <w:pPr>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bCs/>
                <w:sz w:val="18"/>
                <w:szCs w:val="16"/>
                <w:lang w:val="en-US"/>
              </w:rPr>
            </w:pPr>
            <w:r w:rsidRPr="007D3C05">
              <w:rPr>
                <w:rFonts w:ascii="Arial" w:eastAsia="Times New Roman" w:hAnsi="Arial" w:cs="Arial"/>
                <w:b/>
                <w:bCs/>
                <w:sz w:val="18"/>
                <w:szCs w:val="16"/>
              </w:rPr>
              <w:t>Mujeres</w:t>
            </w:r>
          </w:p>
        </w:tc>
      </w:tr>
      <w:tr w:rsidR="00862501" w:rsidRPr="00D64D45" w14:paraId="38489E76" w14:textId="77777777" w:rsidTr="004D15DE">
        <w:trPr>
          <w:cnfStyle w:val="000000100000" w:firstRow="0" w:lastRow="0" w:firstColumn="0" w:lastColumn="0" w:oddVBand="0" w:evenVBand="0" w:oddHBand="1" w:evenHBand="0" w:firstRowFirstColumn="0" w:firstRowLastColumn="0" w:lastRowFirstColumn="0" w:lastRowLastColumn="0"/>
          <w:trHeight w:val="30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3EA78F4E"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MEER</w:t>
            </w:r>
          </w:p>
        </w:tc>
        <w:tc>
          <w:tcPr>
            <w:tcW w:w="1737" w:type="dxa"/>
            <w:tcBorders>
              <w:top w:val="none" w:sz="0" w:space="0" w:color="auto"/>
              <w:left w:val="none" w:sz="0" w:space="0" w:color="auto"/>
              <w:bottom w:val="none" w:sz="0" w:space="0" w:color="auto"/>
              <w:right w:val="none" w:sz="0" w:space="0" w:color="auto"/>
            </w:tcBorders>
            <w:hideMark/>
          </w:tcPr>
          <w:p w14:paraId="3D3187F7"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193</w:t>
            </w:r>
          </w:p>
        </w:tc>
        <w:tc>
          <w:tcPr>
            <w:tcW w:w="1833" w:type="dxa"/>
            <w:tcBorders>
              <w:top w:val="none" w:sz="0" w:space="0" w:color="auto"/>
              <w:left w:val="none" w:sz="0" w:space="0" w:color="auto"/>
              <w:bottom w:val="none" w:sz="0" w:space="0" w:color="auto"/>
            </w:tcBorders>
            <w:hideMark/>
          </w:tcPr>
          <w:p w14:paraId="3039E666"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143</w:t>
            </w:r>
          </w:p>
        </w:tc>
      </w:tr>
      <w:tr w:rsidR="00862501" w:rsidRPr="00D64D45" w14:paraId="7B69E7E1" w14:textId="77777777" w:rsidTr="004D15DE">
        <w:trPr>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54F3F2AD"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CNEL UN BOLIVAR</w:t>
            </w:r>
          </w:p>
        </w:tc>
        <w:tc>
          <w:tcPr>
            <w:tcW w:w="1737" w:type="dxa"/>
            <w:noWrap/>
            <w:hideMark/>
          </w:tcPr>
          <w:p w14:paraId="2DB1C093"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151</w:t>
            </w:r>
          </w:p>
        </w:tc>
        <w:tc>
          <w:tcPr>
            <w:tcW w:w="1833" w:type="dxa"/>
            <w:hideMark/>
          </w:tcPr>
          <w:p w14:paraId="17358632"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23</w:t>
            </w:r>
          </w:p>
        </w:tc>
      </w:tr>
      <w:tr w:rsidR="00862501" w:rsidRPr="00D64D45" w14:paraId="7A5B6A2D" w14:textId="77777777" w:rsidTr="004D15DE">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28F19A07"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CNEL UN EL ORO</w:t>
            </w:r>
          </w:p>
        </w:tc>
        <w:tc>
          <w:tcPr>
            <w:tcW w:w="1737" w:type="dxa"/>
            <w:tcBorders>
              <w:top w:val="none" w:sz="0" w:space="0" w:color="auto"/>
              <w:left w:val="none" w:sz="0" w:space="0" w:color="auto"/>
              <w:bottom w:val="none" w:sz="0" w:space="0" w:color="auto"/>
              <w:right w:val="none" w:sz="0" w:space="0" w:color="auto"/>
            </w:tcBorders>
            <w:noWrap/>
            <w:hideMark/>
          </w:tcPr>
          <w:p w14:paraId="57AEB89C"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480</w:t>
            </w:r>
          </w:p>
        </w:tc>
        <w:tc>
          <w:tcPr>
            <w:tcW w:w="1833" w:type="dxa"/>
            <w:tcBorders>
              <w:top w:val="none" w:sz="0" w:space="0" w:color="auto"/>
              <w:left w:val="none" w:sz="0" w:space="0" w:color="auto"/>
              <w:bottom w:val="none" w:sz="0" w:space="0" w:color="auto"/>
            </w:tcBorders>
            <w:hideMark/>
          </w:tcPr>
          <w:p w14:paraId="64ED301B"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132</w:t>
            </w:r>
          </w:p>
        </w:tc>
      </w:tr>
      <w:tr w:rsidR="00862501" w:rsidRPr="00D64D45" w14:paraId="74418853" w14:textId="77777777" w:rsidTr="004D15DE">
        <w:trPr>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20052F8B"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CNEL UN ESMERALDA</w:t>
            </w:r>
          </w:p>
        </w:tc>
        <w:tc>
          <w:tcPr>
            <w:tcW w:w="1737" w:type="dxa"/>
            <w:noWrap/>
            <w:hideMark/>
          </w:tcPr>
          <w:p w14:paraId="01FDB041"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273</w:t>
            </w:r>
          </w:p>
        </w:tc>
        <w:tc>
          <w:tcPr>
            <w:tcW w:w="1833" w:type="dxa"/>
            <w:hideMark/>
          </w:tcPr>
          <w:p w14:paraId="7C5F6F66"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94</w:t>
            </w:r>
          </w:p>
        </w:tc>
      </w:tr>
      <w:tr w:rsidR="00862501" w:rsidRPr="00D64D45" w14:paraId="48AE3E91" w14:textId="77777777" w:rsidTr="004D15DE">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1117DB0E"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CNEL UN GUAYAQUIL</w:t>
            </w:r>
          </w:p>
        </w:tc>
        <w:tc>
          <w:tcPr>
            <w:tcW w:w="1737" w:type="dxa"/>
            <w:tcBorders>
              <w:top w:val="none" w:sz="0" w:space="0" w:color="auto"/>
              <w:left w:val="none" w:sz="0" w:space="0" w:color="auto"/>
              <w:bottom w:val="none" w:sz="0" w:space="0" w:color="auto"/>
              <w:right w:val="none" w:sz="0" w:space="0" w:color="auto"/>
            </w:tcBorders>
            <w:noWrap/>
            <w:hideMark/>
          </w:tcPr>
          <w:p w14:paraId="5B3B6826"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1.394</w:t>
            </w:r>
          </w:p>
        </w:tc>
        <w:tc>
          <w:tcPr>
            <w:tcW w:w="1833" w:type="dxa"/>
            <w:tcBorders>
              <w:top w:val="none" w:sz="0" w:space="0" w:color="auto"/>
              <w:left w:val="none" w:sz="0" w:space="0" w:color="auto"/>
              <w:bottom w:val="none" w:sz="0" w:space="0" w:color="auto"/>
            </w:tcBorders>
            <w:hideMark/>
          </w:tcPr>
          <w:p w14:paraId="11175F43"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363</w:t>
            </w:r>
          </w:p>
        </w:tc>
      </w:tr>
      <w:tr w:rsidR="00862501" w:rsidRPr="00D64D45" w14:paraId="66721341" w14:textId="77777777" w:rsidTr="004D15DE">
        <w:trPr>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5FA3277A"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CNEL UN GUAYAS LOS RIOS</w:t>
            </w:r>
          </w:p>
        </w:tc>
        <w:tc>
          <w:tcPr>
            <w:tcW w:w="1737" w:type="dxa"/>
            <w:noWrap/>
            <w:hideMark/>
          </w:tcPr>
          <w:p w14:paraId="112E5541"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537</w:t>
            </w:r>
          </w:p>
        </w:tc>
        <w:tc>
          <w:tcPr>
            <w:tcW w:w="1833" w:type="dxa"/>
            <w:hideMark/>
          </w:tcPr>
          <w:p w14:paraId="3989619A"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245</w:t>
            </w:r>
          </w:p>
        </w:tc>
      </w:tr>
      <w:tr w:rsidR="00862501" w:rsidRPr="00D64D45" w14:paraId="2717F1EF" w14:textId="77777777" w:rsidTr="004D15DE">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41599B4D"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CNEL UN LOS RIOS</w:t>
            </w:r>
          </w:p>
        </w:tc>
        <w:tc>
          <w:tcPr>
            <w:tcW w:w="1737" w:type="dxa"/>
            <w:tcBorders>
              <w:top w:val="none" w:sz="0" w:space="0" w:color="auto"/>
              <w:left w:val="none" w:sz="0" w:space="0" w:color="auto"/>
              <w:bottom w:val="none" w:sz="0" w:space="0" w:color="auto"/>
              <w:right w:val="none" w:sz="0" w:space="0" w:color="auto"/>
            </w:tcBorders>
            <w:noWrap/>
            <w:hideMark/>
          </w:tcPr>
          <w:p w14:paraId="25A7A806"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233</w:t>
            </w:r>
          </w:p>
        </w:tc>
        <w:tc>
          <w:tcPr>
            <w:tcW w:w="1833" w:type="dxa"/>
            <w:tcBorders>
              <w:top w:val="none" w:sz="0" w:space="0" w:color="auto"/>
              <w:left w:val="none" w:sz="0" w:space="0" w:color="auto"/>
              <w:bottom w:val="none" w:sz="0" w:space="0" w:color="auto"/>
            </w:tcBorders>
            <w:hideMark/>
          </w:tcPr>
          <w:p w14:paraId="2BE5B9DC"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68</w:t>
            </w:r>
          </w:p>
        </w:tc>
      </w:tr>
      <w:tr w:rsidR="00862501" w:rsidRPr="00D64D45" w14:paraId="04E06852" w14:textId="77777777" w:rsidTr="004D15DE">
        <w:trPr>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5CA91C76"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CNEL UN MANABI</w:t>
            </w:r>
          </w:p>
        </w:tc>
        <w:tc>
          <w:tcPr>
            <w:tcW w:w="1737" w:type="dxa"/>
            <w:noWrap/>
            <w:hideMark/>
          </w:tcPr>
          <w:p w14:paraId="5EB5D560"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563</w:t>
            </w:r>
          </w:p>
        </w:tc>
        <w:tc>
          <w:tcPr>
            <w:tcW w:w="1833" w:type="dxa"/>
            <w:hideMark/>
          </w:tcPr>
          <w:p w14:paraId="00C79D0B"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180</w:t>
            </w:r>
          </w:p>
        </w:tc>
      </w:tr>
      <w:tr w:rsidR="00862501" w:rsidRPr="00D64D45" w14:paraId="64188ED9" w14:textId="77777777" w:rsidTr="004D15DE">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300EC38B"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CNEL UN MLG</w:t>
            </w:r>
          </w:p>
        </w:tc>
        <w:tc>
          <w:tcPr>
            <w:tcW w:w="1737" w:type="dxa"/>
            <w:tcBorders>
              <w:top w:val="none" w:sz="0" w:space="0" w:color="auto"/>
              <w:left w:val="none" w:sz="0" w:space="0" w:color="auto"/>
              <w:bottom w:val="none" w:sz="0" w:space="0" w:color="auto"/>
              <w:right w:val="none" w:sz="0" w:space="0" w:color="auto"/>
            </w:tcBorders>
            <w:noWrap/>
            <w:hideMark/>
          </w:tcPr>
          <w:p w14:paraId="417081D9"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206</w:t>
            </w:r>
          </w:p>
        </w:tc>
        <w:tc>
          <w:tcPr>
            <w:tcW w:w="1833" w:type="dxa"/>
            <w:tcBorders>
              <w:top w:val="none" w:sz="0" w:space="0" w:color="auto"/>
              <w:left w:val="none" w:sz="0" w:space="0" w:color="auto"/>
              <w:bottom w:val="none" w:sz="0" w:space="0" w:color="auto"/>
            </w:tcBorders>
            <w:hideMark/>
          </w:tcPr>
          <w:p w14:paraId="14322DED"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88</w:t>
            </w:r>
          </w:p>
        </w:tc>
      </w:tr>
      <w:tr w:rsidR="00862501" w:rsidRPr="00D64D45" w14:paraId="45FA2239" w14:textId="77777777" w:rsidTr="004D15DE">
        <w:trPr>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1D2D0C0D"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CNEL UN SANTO DOMINGO</w:t>
            </w:r>
          </w:p>
        </w:tc>
        <w:tc>
          <w:tcPr>
            <w:tcW w:w="1737" w:type="dxa"/>
            <w:noWrap/>
            <w:hideMark/>
          </w:tcPr>
          <w:p w14:paraId="643413CE"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301</w:t>
            </w:r>
          </w:p>
        </w:tc>
        <w:tc>
          <w:tcPr>
            <w:tcW w:w="1833" w:type="dxa"/>
            <w:hideMark/>
          </w:tcPr>
          <w:p w14:paraId="3CE8B1CF"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123</w:t>
            </w:r>
          </w:p>
        </w:tc>
      </w:tr>
      <w:tr w:rsidR="00862501" w:rsidRPr="00D64D45" w14:paraId="7B3C1385" w14:textId="77777777" w:rsidTr="004D15DE">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27FFBE40"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CNEL UN SANTA ELENA</w:t>
            </w:r>
          </w:p>
        </w:tc>
        <w:tc>
          <w:tcPr>
            <w:tcW w:w="1737" w:type="dxa"/>
            <w:tcBorders>
              <w:top w:val="none" w:sz="0" w:space="0" w:color="auto"/>
              <w:left w:val="none" w:sz="0" w:space="0" w:color="auto"/>
              <w:bottom w:val="none" w:sz="0" w:space="0" w:color="auto"/>
              <w:right w:val="none" w:sz="0" w:space="0" w:color="auto"/>
            </w:tcBorders>
            <w:noWrap/>
            <w:hideMark/>
          </w:tcPr>
          <w:p w14:paraId="1932530D"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336</w:t>
            </w:r>
          </w:p>
        </w:tc>
        <w:tc>
          <w:tcPr>
            <w:tcW w:w="1833" w:type="dxa"/>
            <w:tcBorders>
              <w:top w:val="none" w:sz="0" w:space="0" w:color="auto"/>
              <w:left w:val="none" w:sz="0" w:space="0" w:color="auto"/>
              <w:bottom w:val="none" w:sz="0" w:space="0" w:color="auto"/>
            </w:tcBorders>
            <w:hideMark/>
          </w:tcPr>
          <w:p w14:paraId="3AA8DD3C"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88</w:t>
            </w:r>
          </w:p>
        </w:tc>
      </w:tr>
      <w:tr w:rsidR="00862501" w:rsidRPr="00D64D45" w14:paraId="01BFB918" w14:textId="77777777" w:rsidTr="004D15DE">
        <w:trPr>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4AC5D585"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CNEL UN SUCUMBIOS</w:t>
            </w:r>
          </w:p>
        </w:tc>
        <w:tc>
          <w:tcPr>
            <w:tcW w:w="1737" w:type="dxa"/>
            <w:noWrap/>
            <w:hideMark/>
          </w:tcPr>
          <w:p w14:paraId="229D2111"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231</w:t>
            </w:r>
          </w:p>
        </w:tc>
        <w:tc>
          <w:tcPr>
            <w:tcW w:w="1833" w:type="dxa"/>
            <w:hideMark/>
          </w:tcPr>
          <w:p w14:paraId="010A432D"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85</w:t>
            </w:r>
          </w:p>
        </w:tc>
      </w:tr>
      <w:tr w:rsidR="00862501" w:rsidRPr="00D64D45" w14:paraId="2F69826E" w14:textId="77777777" w:rsidTr="004D15DE">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332C737C"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CNEL MATRÍZ</w:t>
            </w:r>
          </w:p>
        </w:tc>
        <w:tc>
          <w:tcPr>
            <w:tcW w:w="1737" w:type="dxa"/>
            <w:tcBorders>
              <w:top w:val="none" w:sz="0" w:space="0" w:color="auto"/>
              <w:left w:val="none" w:sz="0" w:space="0" w:color="auto"/>
              <w:bottom w:val="none" w:sz="0" w:space="0" w:color="auto"/>
              <w:right w:val="none" w:sz="0" w:space="0" w:color="auto"/>
            </w:tcBorders>
            <w:noWrap/>
            <w:hideMark/>
          </w:tcPr>
          <w:p w14:paraId="4B573000"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170</w:t>
            </w:r>
          </w:p>
        </w:tc>
        <w:tc>
          <w:tcPr>
            <w:tcW w:w="1833" w:type="dxa"/>
            <w:tcBorders>
              <w:top w:val="none" w:sz="0" w:space="0" w:color="auto"/>
              <w:left w:val="none" w:sz="0" w:space="0" w:color="auto"/>
              <w:bottom w:val="none" w:sz="0" w:space="0" w:color="auto"/>
            </w:tcBorders>
            <w:hideMark/>
          </w:tcPr>
          <w:p w14:paraId="6AD95A49"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126</w:t>
            </w:r>
          </w:p>
        </w:tc>
      </w:tr>
      <w:tr w:rsidR="00862501" w:rsidRPr="00D64D45" w14:paraId="38E5BE70" w14:textId="77777777" w:rsidTr="004D15DE">
        <w:trPr>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7DBD7C9D"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E.E. AMBATO</w:t>
            </w:r>
          </w:p>
        </w:tc>
        <w:tc>
          <w:tcPr>
            <w:tcW w:w="1737" w:type="dxa"/>
            <w:hideMark/>
          </w:tcPr>
          <w:p w14:paraId="69629E40"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273</w:t>
            </w:r>
          </w:p>
        </w:tc>
        <w:tc>
          <w:tcPr>
            <w:tcW w:w="1833" w:type="dxa"/>
            <w:hideMark/>
          </w:tcPr>
          <w:p w14:paraId="075DE9FA"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84</w:t>
            </w:r>
          </w:p>
        </w:tc>
      </w:tr>
      <w:tr w:rsidR="00862501" w:rsidRPr="00D64D45" w14:paraId="667CD5B8" w14:textId="77777777" w:rsidTr="004D15DE">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60C7A561"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E.E. AZOGUES</w:t>
            </w:r>
          </w:p>
        </w:tc>
        <w:tc>
          <w:tcPr>
            <w:tcW w:w="1737" w:type="dxa"/>
            <w:tcBorders>
              <w:top w:val="none" w:sz="0" w:space="0" w:color="auto"/>
              <w:left w:val="none" w:sz="0" w:space="0" w:color="auto"/>
              <w:bottom w:val="none" w:sz="0" w:space="0" w:color="auto"/>
              <w:right w:val="none" w:sz="0" w:space="0" w:color="auto"/>
            </w:tcBorders>
            <w:hideMark/>
          </w:tcPr>
          <w:p w14:paraId="66205A25"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121</w:t>
            </w:r>
          </w:p>
        </w:tc>
        <w:tc>
          <w:tcPr>
            <w:tcW w:w="1833" w:type="dxa"/>
            <w:tcBorders>
              <w:top w:val="none" w:sz="0" w:space="0" w:color="auto"/>
              <w:left w:val="none" w:sz="0" w:space="0" w:color="auto"/>
              <w:bottom w:val="none" w:sz="0" w:space="0" w:color="auto"/>
            </w:tcBorders>
            <w:hideMark/>
          </w:tcPr>
          <w:p w14:paraId="022F2A77"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22</w:t>
            </w:r>
          </w:p>
        </w:tc>
      </w:tr>
      <w:tr w:rsidR="00862501" w:rsidRPr="00D64D45" w14:paraId="37B14725" w14:textId="77777777" w:rsidTr="004D15DE">
        <w:trPr>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5E1FE06A"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E.E. CENTRO SUR</w:t>
            </w:r>
          </w:p>
        </w:tc>
        <w:tc>
          <w:tcPr>
            <w:tcW w:w="1737" w:type="dxa"/>
            <w:hideMark/>
          </w:tcPr>
          <w:p w14:paraId="07F13AEC"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475</w:t>
            </w:r>
          </w:p>
        </w:tc>
        <w:tc>
          <w:tcPr>
            <w:tcW w:w="1833" w:type="dxa"/>
            <w:hideMark/>
          </w:tcPr>
          <w:p w14:paraId="4C6E1F3D"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93</w:t>
            </w:r>
          </w:p>
        </w:tc>
      </w:tr>
      <w:tr w:rsidR="00862501" w:rsidRPr="00D64D45" w14:paraId="28B65BF5" w14:textId="77777777" w:rsidTr="004D15DE">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27032412"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E.E. COTOPAXI</w:t>
            </w:r>
          </w:p>
        </w:tc>
        <w:tc>
          <w:tcPr>
            <w:tcW w:w="1737" w:type="dxa"/>
            <w:tcBorders>
              <w:top w:val="none" w:sz="0" w:space="0" w:color="auto"/>
              <w:left w:val="none" w:sz="0" w:space="0" w:color="auto"/>
              <w:bottom w:val="none" w:sz="0" w:space="0" w:color="auto"/>
              <w:right w:val="none" w:sz="0" w:space="0" w:color="auto"/>
            </w:tcBorders>
            <w:hideMark/>
          </w:tcPr>
          <w:p w14:paraId="3E8B80E9"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335</w:t>
            </w:r>
          </w:p>
        </w:tc>
        <w:tc>
          <w:tcPr>
            <w:tcW w:w="1833" w:type="dxa"/>
            <w:tcBorders>
              <w:top w:val="none" w:sz="0" w:space="0" w:color="auto"/>
              <w:left w:val="none" w:sz="0" w:space="0" w:color="auto"/>
              <w:bottom w:val="none" w:sz="0" w:space="0" w:color="auto"/>
            </w:tcBorders>
            <w:hideMark/>
          </w:tcPr>
          <w:p w14:paraId="08DD313B"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71</w:t>
            </w:r>
          </w:p>
        </w:tc>
      </w:tr>
      <w:tr w:rsidR="00862501" w:rsidRPr="00D64D45" w14:paraId="6A2120B7" w14:textId="77777777" w:rsidTr="004D15DE">
        <w:trPr>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76F29054"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E.E. GALÁPAGOS</w:t>
            </w:r>
          </w:p>
        </w:tc>
        <w:tc>
          <w:tcPr>
            <w:tcW w:w="1737" w:type="dxa"/>
            <w:hideMark/>
          </w:tcPr>
          <w:p w14:paraId="5297EDE9"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102</w:t>
            </w:r>
          </w:p>
        </w:tc>
        <w:tc>
          <w:tcPr>
            <w:tcW w:w="1833" w:type="dxa"/>
            <w:hideMark/>
          </w:tcPr>
          <w:p w14:paraId="298EE62D"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31</w:t>
            </w:r>
          </w:p>
        </w:tc>
      </w:tr>
      <w:tr w:rsidR="00862501" w:rsidRPr="00D64D45" w14:paraId="15E461F4" w14:textId="77777777" w:rsidTr="004D15DE">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13F0FA8E"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E.E. NORTE</w:t>
            </w:r>
          </w:p>
        </w:tc>
        <w:tc>
          <w:tcPr>
            <w:tcW w:w="1737" w:type="dxa"/>
            <w:tcBorders>
              <w:top w:val="none" w:sz="0" w:space="0" w:color="auto"/>
              <w:left w:val="none" w:sz="0" w:space="0" w:color="auto"/>
              <w:bottom w:val="none" w:sz="0" w:space="0" w:color="auto"/>
              <w:right w:val="none" w:sz="0" w:space="0" w:color="auto"/>
            </w:tcBorders>
            <w:hideMark/>
          </w:tcPr>
          <w:p w14:paraId="1EC8C68C"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490</w:t>
            </w:r>
          </w:p>
        </w:tc>
        <w:tc>
          <w:tcPr>
            <w:tcW w:w="1833" w:type="dxa"/>
            <w:tcBorders>
              <w:top w:val="none" w:sz="0" w:space="0" w:color="auto"/>
              <w:left w:val="none" w:sz="0" w:space="0" w:color="auto"/>
              <w:bottom w:val="none" w:sz="0" w:space="0" w:color="auto"/>
            </w:tcBorders>
            <w:hideMark/>
          </w:tcPr>
          <w:p w14:paraId="17759BBD"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107</w:t>
            </w:r>
          </w:p>
        </w:tc>
      </w:tr>
      <w:tr w:rsidR="00862501" w:rsidRPr="00D64D45" w14:paraId="494EC172" w14:textId="77777777" w:rsidTr="004D15DE">
        <w:trPr>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758E7B45"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E.E. QUITO</w:t>
            </w:r>
          </w:p>
        </w:tc>
        <w:tc>
          <w:tcPr>
            <w:tcW w:w="1737" w:type="dxa"/>
            <w:hideMark/>
          </w:tcPr>
          <w:p w14:paraId="761BF7A8"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1.214</w:t>
            </w:r>
          </w:p>
        </w:tc>
        <w:tc>
          <w:tcPr>
            <w:tcW w:w="1833" w:type="dxa"/>
            <w:hideMark/>
          </w:tcPr>
          <w:p w14:paraId="29F8CFF5"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290</w:t>
            </w:r>
          </w:p>
        </w:tc>
      </w:tr>
      <w:tr w:rsidR="00862501" w:rsidRPr="00D64D45" w14:paraId="7D560E1A" w14:textId="77777777" w:rsidTr="004D15DE">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6D600B47"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E.E. RIOBAMBA</w:t>
            </w:r>
          </w:p>
        </w:tc>
        <w:tc>
          <w:tcPr>
            <w:tcW w:w="1737" w:type="dxa"/>
            <w:tcBorders>
              <w:top w:val="none" w:sz="0" w:space="0" w:color="auto"/>
              <w:left w:val="none" w:sz="0" w:space="0" w:color="auto"/>
              <w:bottom w:val="none" w:sz="0" w:space="0" w:color="auto"/>
              <w:right w:val="none" w:sz="0" w:space="0" w:color="auto"/>
            </w:tcBorders>
            <w:hideMark/>
          </w:tcPr>
          <w:p w14:paraId="189D8CF8"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391</w:t>
            </w:r>
          </w:p>
        </w:tc>
        <w:tc>
          <w:tcPr>
            <w:tcW w:w="1833" w:type="dxa"/>
            <w:tcBorders>
              <w:top w:val="none" w:sz="0" w:space="0" w:color="auto"/>
              <w:left w:val="none" w:sz="0" w:space="0" w:color="auto"/>
              <w:bottom w:val="none" w:sz="0" w:space="0" w:color="auto"/>
            </w:tcBorders>
            <w:hideMark/>
          </w:tcPr>
          <w:p w14:paraId="6F35C867"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78</w:t>
            </w:r>
          </w:p>
        </w:tc>
      </w:tr>
      <w:tr w:rsidR="00862501" w:rsidRPr="00D64D45" w14:paraId="66FA2288" w14:textId="77777777" w:rsidTr="004D15DE">
        <w:trPr>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6967F0DB" w14:textId="77777777" w:rsidR="00862501" w:rsidRPr="007D3C05" w:rsidRDefault="00862501" w:rsidP="004D15DE">
            <w:pPr>
              <w:jc w:val="both"/>
              <w:rPr>
                <w:rFonts w:ascii="Arial" w:eastAsia="Times New Roman" w:hAnsi="Arial" w:cs="Arial"/>
                <w:sz w:val="18"/>
                <w:szCs w:val="16"/>
              </w:rPr>
            </w:pPr>
            <w:r w:rsidRPr="007D3C05">
              <w:rPr>
                <w:rFonts w:ascii="Arial" w:eastAsia="Times New Roman" w:hAnsi="Arial" w:cs="Arial"/>
                <w:sz w:val="18"/>
                <w:szCs w:val="16"/>
              </w:rPr>
              <w:t>E.E. SUR</w:t>
            </w:r>
          </w:p>
        </w:tc>
        <w:tc>
          <w:tcPr>
            <w:tcW w:w="1737" w:type="dxa"/>
            <w:hideMark/>
          </w:tcPr>
          <w:p w14:paraId="538FF3AC"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386</w:t>
            </w:r>
          </w:p>
        </w:tc>
        <w:tc>
          <w:tcPr>
            <w:tcW w:w="1833" w:type="dxa"/>
            <w:hideMark/>
          </w:tcPr>
          <w:p w14:paraId="5483FFD3" w14:textId="77777777" w:rsidR="00862501" w:rsidRPr="007D3C05" w:rsidRDefault="00862501" w:rsidP="004D15D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6"/>
              </w:rPr>
            </w:pPr>
            <w:r w:rsidRPr="007D3C05">
              <w:rPr>
                <w:rFonts w:ascii="Arial" w:eastAsia="Times New Roman" w:hAnsi="Arial" w:cs="Arial"/>
                <w:sz w:val="18"/>
                <w:szCs w:val="16"/>
              </w:rPr>
              <w:t>71</w:t>
            </w:r>
          </w:p>
        </w:tc>
      </w:tr>
      <w:tr w:rsidR="00862501" w:rsidRPr="00D64D45" w14:paraId="41638740" w14:textId="77777777" w:rsidTr="004D15DE">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3059" w:type="dxa"/>
            <w:tcBorders>
              <w:top w:val="none" w:sz="0" w:space="0" w:color="auto"/>
              <w:left w:val="none" w:sz="0" w:space="0" w:color="auto"/>
              <w:bottom w:val="none" w:sz="0" w:space="0" w:color="auto"/>
              <w:right w:val="none" w:sz="0" w:space="0" w:color="auto"/>
            </w:tcBorders>
            <w:noWrap/>
            <w:hideMark/>
          </w:tcPr>
          <w:p w14:paraId="250BB64A" w14:textId="77777777" w:rsidR="00862501" w:rsidRPr="007D3C05" w:rsidRDefault="00862501" w:rsidP="004D15DE">
            <w:pPr>
              <w:jc w:val="both"/>
              <w:rPr>
                <w:rFonts w:ascii="Arial" w:eastAsia="Times New Roman" w:hAnsi="Arial" w:cs="Arial"/>
                <w:b/>
                <w:bCs/>
                <w:sz w:val="18"/>
                <w:szCs w:val="16"/>
              </w:rPr>
            </w:pPr>
            <w:r w:rsidRPr="007D3C05">
              <w:rPr>
                <w:rFonts w:ascii="Arial" w:eastAsia="Times New Roman" w:hAnsi="Arial" w:cs="Arial"/>
                <w:b/>
                <w:bCs/>
                <w:sz w:val="18"/>
                <w:szCs w:val="16"/>
              </w:rPr>
              <w:t>TOTAL</w:t>
            </w:r>
          </w:p>
        </w:tc>
        <w:tc>
          <w:tcPr>
            <w:tcW w:w="1737" w:type="dxa"/>
            <w:tcBorders>
              <w:top w:val="none" w:sz="0" w:space="0" w:color="auto"/>
              <w:left w:val="none" w:sz="0" w:space="0" w:color="auto"/>
              <w:bottom w:val="none" w:sz="0" w:space="0" w:color="auto"/>
              <w:right w:val="none" w:sz="0" w:space="0" w:color="auto"/>
            </w:tcBorders>
            <w:noWrap/>
            <w:hideMark/>
          </w:tcPr>
          <w:p w14:paraId="4D5D0A86"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6"/>
              </w:rPr>
            </w:pPr>
            <w:r w:rsidRPr="007D3C05">
              <w:rPr>
                <w:rFonts w:ascii="Arial" w:eastAsia="Times New Roman" w:hAnsi="Arial" w:cs="Arial"/>
                <w:b/>
                <w:bCs/>
                <w:sz w:val="18"/>
                <w:szCs w:val="16"/>
              </w:rPr>
              <w:t>8.855</w:t>
            </w:r>
          </w:p>
        </w:tc>
        <w:tc>
          <w:tcPr>
            <w:tcW w:w="1833" w:type="dxa"/>
            <w:tcBorders>
              <w:top w:val="none" w:sz="0" w:space="0" w:color="auto"/>
              <w:left w:val="none" w:sz="0" w:space="0" w:color="auto"/>
              <w:bottom w:val="none" w:sz="0" w:space="0" w:color="auto"/>
            </w:tcBorders>
            <w:noWrap/>
            <w:hideMark/>
          </w:tcPr>
          <w:p w14:paraId="0569A820" w14:textId="77777777" w:rsidR="00862501" w:rsidRPr="007D3C05" w:rsidRDefault="00862501" w:rsidP="004D15D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6"/>
              </w:rPr>
            </w:pPr>
            <w:r w:rsidRPr="007D3C05">
              <w:rPr>
                <w:rFonts w:ascii="Arial" w:eastAsia="Times New Roman" w:hAnsi="Arial" w:cs="Arial"/>
                <w:b/>
                <w:bCs/>
                <w:sz w:val="18"/>
                <w:szCs w:val="16"/>
              </w:rPr>
              <w:t>2.605</w:t>
            </w:r>
          </w:p>
        </w:tc>
      </w:tr>
    </w:tbl>
    <w:p w14:paraId="224881DC" w14:textId="77777777" w:rsidR="00862501" w:rsidRPr="007D3C05" w:rsidRDefault="00862501" w:rsidP="00862501">
      <w:pPr>
        <w:jc w:val="both"/>
        <w:rPr>
          <w:rFonts w:ascii="Arial" w:hAnsi="Arial" w:cs="Arial"/>
          <w:u w:val="single"/>
          <w:lang w:val="es-ES"/>
        </w:rPr>
      </w:pPr>
    </w:p>
    <w:p w14:paraId="52AAA612" w14:textId="77777777" w:rsidR="00862501" w:rsidRPr="007D3C05" w:rsidRDefault="00862501" w:rsidP="00862501">
      <w:pPr>
        <w:jc w:val="both"/>
        <w:rPr>
          <w:rFonts w:ascii="Arial" w:hAnsi="Arial" w:cs="Arial"/>
          <w:lang w:val="es-ES"/>
        </w:rPr>
      </w:pPr>
      <w:r w:rsidRPr="007D3C05">
        <w:rPr>
          <w:rFonts w:ascii="Arial" w:hAnsi="Arial" w:cs="Arial"/>
          <w:lang w:val="es-ES"/>
        </w:rPr>
        <w:t xml:space="preserve">Si también </w:t>
      </w:r>
      <w:r>
        <w:rPr>
          <w:rFonts w:ascii="Arial" w:hAnsi="Arial" w:cs="Arial"/>
          <w:lang w:val="es-ES"/>
        </w:rPr>
        <w:t xml:space="preserve">se analizan </w:t>
      </w:r>
      <w:r w:rsidRPr="007D3C05">
        <w:rPr>
          <w:rFonts w:ascii="Arial" w:hAnsi="Arial" w:cs="Arial"/>
          <w:lang w:val="es-ES"/>
        </w:rPr>
        <w:t>datos a nivel país, no exclusivos al sector de energía, se observa que no hay un aumento en la generación de empleo para las mujeres. por ejemplo, entre septiembre de 2014 y septiembre de 2015, la tasa de empleo adecuado disminuye en 3 puntos porcentuales para las mujeres y disminuye en 0,4 puntos porcentuales en los hombres.</w:t>
      </w:r>
    </w:p>
    <w:p w14:paraId="77B1CF83" w14:textId="77777777" w:rsidR="00862501" w:rsidRDefault="00862501" w:rsidP="00862501">
      <w:pPr>
        <w:spacing w:after="0"/>
        <w:jc w:val="both"/>
        <w:rPr>
          <w:rFonts w:ascii="Arial" w:hAnsi="Arial" w:cs="Arial"/>
          <w:lang w:val="es-ES"/>
        </w:rPr>
      </w:pPr>
    </w:p>
    <w:p w14:paraId="7B72BFA9" w14:textId="77777777" w:rsidR="00862501" w:rsidRDefault="00862501" w:rsidP="00862501">
      <w:pPr>
        <w:spacing w:after="0"/>
        <w:jc w:val="both"/>
        <w:rPr>
          <w:rFonts w:ascii="Arial" w:hAnsi="Arial" w:cs="Arial"/>
          <w:lang w:val="es-ES"/>
        </w:rPr>
      </w:pPr>
    </w:p>
    <w:p w14:paraId="7C2FA5F6" w14:textId="77777777" w:rsidR="00862501" w:rsidRPr="00B32813" w:rsidRDefault="00862501" w:rsidP="00862501">
      <w:pPr>
        <w:ind w:left="720"/>
        <w:jc w:val="both"/>
        <w:rPr>
          <w:rFonts w:ascii="Arial" w:hAnsi="Arial" w:cs="Arial"/>
          <w:sz w:val="20"/>
          <w:lang w:val="es-ES_tradnl"/>
        </w:rPr>
      </w:pPr>
      <w:r w:rsidRPr="00B32813">
        <w:rPr>
          <w:rFonts w:ascii="Arial" w:hAnsi="Arial" w:cs="Arial"/>
          <w:sz w:val="20"/>
          <w:lang w:val="es-ES_tradnl"/>
        </w:rPr>
        <w:lastRenderedPageBreak/>
        <w:t xml:space="preserve">Gráfico </w:t>
      </w:r>
      <w:r>
        <w:rPr>
          <w:rFonts w:ascii="Arial" w:hAnsi="Arial" w:cs="Arial"/>
          <w:sz w:val="20"/>
          <w:lang w:val="es-ES_tradnl"/>
        </w:rPr>
        <w:t>2</w:t>
      </w:r>
      <w:r w:rsidRPr="00B32813">
        <w:rPr>
          <w:rFonts w:ascii="Arial" w:hAnsi="Arial" w:cs="Arial"/>
          <w:sz w:val="20"/>
          <w:lang w:val="es-ES_tradnl"/>
        </w:rPr>
        <w:t xml:space="preserve">: </w:t>
      </w:r>
      <w:r>
        <w:rPr>
          <w:rFonts w:ascii="Arial" w:hAnsi="Arial" w:cs="Arial"/>
          <w:sz w:val="20"/>
          <w:lang w:val="es-ES_tradnl"/>
        </w:rPr>
        <w:t>Brecha en tasas de empleo.</w:t>
      </w:r>
    </w:p>
    <w:p w14:paraId="4AFEBA0A" w14:textId="77777777" w:rsidR="00862501" w:rsidRPr="007D3C05" w:rsidRDefault="00862501" w:rsidP="00862501">
      <w:pPr>
        <w:jc w:val="both"/>
        <w:rPr>
          <w:rFonts w:ascii="Arial" w:hAnsi="Arial" w:cs="Arial"/>
          <w:u w:val="single"/>
          <w:lang w:val="es-ES"/>
        </w:rPr>
      </w:pPr>
      <w:r w:rsidRPr="007D3C05">
        <w:rPr>
          <w:rFonts w:ascii="Arial" w:hAnsi="Arial" w:cs="Arial"/>
          <w:noProof/>
        </w:rPr>
        <w:drawing>
          <wp:inline distT="0" distB="0" distL="0" distR="0" wp14:anchorId="2C6068A9" wp14:editId="099BEEDE">
            <wp:extent cx="5883442" cy="2195195"/>
            <wp:effectExtent l="0" t="0" r="3175" b="0"/>
            <wp:docPr id="2" name="Picture 2" descr="cid:image001.png@01D3F77E.4CBDE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3F77E.4CBDE650"/>
                    <pic:cNvPicPr>
                      <a:picLocks noChangeAspect="1" noChangeArrowheads="1"/>
                    </pic:cNvPicPr>
                  </pic:nvPicPr>
                  <pic:blipFill rotWithShape="1">
                    <a:blip r:embed="rId14" r:link="rId15" cstate="print">
                      <a:extLst>
                        <a:ext uri="{28A0092B-C50C-407E-A947-70E740481C1C}">
                          <a14:useLocalDpi xmlns:a14="http://schemas.microsoft.com/office/drawing/2010/main" val="0"/>
                        </a:ext>
                      </a:extLst>
                    </a:blip>
                    <a:srcRect t="18751" b="14799"/>
                    <a:stretch/>
                  </pic:blipFill>
                  <pic:spPr bwMode="auto">
                    <a:xfrm>
                      <a:off x="0" y="0"/>
                      <a:ext cx="5887682" cy="2196777"/>
                    </a:xfrm>
                    <a:prstGeom prst="rect">
                      <a:avLst/>
                    </a:prstGeom>
                    <a:noFill/>
                    <a:ln>
                      <a:noFill/>
                    </a:ln>
                    <a:extLst>
                      <a:ext uri="{53640926-AAD7-44D8-BBD7-CCE9431645EC}">
                        <a14:shadowObscured xmlns:a14="http://schemas.microsoft.com/office/drawing/2010/main"/>
                      </a:ext>
                    </a:extLst>
                  </pic:spPr>
                </pic:pic>
              </a:graphicData>
            </a:graphic>
          </wp:inline>
        </w:drawing>
      </w:r>
      <w:r w:rsidRPr="007D3C05">
        <w:rPr>
          <w:rStyle w:val="FootnoteReference"/>
          <w:rFonts w:ascii="Arial" w:hAnsi="Arial" w:cs="Arial"/>
          <w:u w:val="single"/>
          <w:lang w:val="es-ES"/>
        </w:rPr>
        <w:footnoteReference w:id="7"/>
      </w:r>
    </w:p>
    <w:p w14:paraId="2933EC39" w14:textId="77777777" w:rsidR="00862501" w:rsidRPr="007D3C05" w:rsidRDefault="00862501" w:rsidP="00862501">
      <w:pPr>
        <w:jc w:val="both"/>
        <w:rPr>
          <w:rFonts w:ascii="Arial" w:hAnsi="Arial" w:cs="Arial"/>
          <w:bCs/>
          <w:lang w:val="es-419"/>
        </w:rPr>
      </w:pPr>
      <w:r w:rsidRPr="007D3C05">
        <w:rPr>
          <w:rFonts w:ascii="Arial" w:hAnsi="Arial" w:cs="Arial"/>
          <w:lang w:val="es-419"/>
        </w:rPr>
        <w:t>La tasa de empleo adecuado a nivel urbano para los hombres es 60,9%</w:t>
      </w:r>
      <w:r>
        <w:rPr>
          <w:rFonts w:ascii="Arial" w:hAnsi="Arial" w:cs="Arial"/>
          <w:lang w:val="es-419"/>
        </w:rPr>
        <w:t>,</w:t>
      </w:r>
      <w:r w:rsidRPr="007D3C05">
        <w:rPr>
          <w:rFonts w:ascii="Arial" w:hAnsi="Arial" w:cs="Arial"/>
          <w:lang w:val="es-419"/>
        </w:rPr>
        <w:t xml:space="preserve"> con lo cual se registró una disminución anual no significativa de 2,2 puntos porcentuales. Para las mujeres</w:t>
      </w:r>
      <w:r>
        <w:rPr>
          <w:rFonts w:ascii="Arial" w:hAnsi="Arial" w:cs="Arial"/>
          <w:lang w:val="es-419"/>
        </w:rPr>
        <w:t>,</w:t>
      </w:r>
      <w:r w:rsidRPr="007D3C05">
        <w:rPr>
          <w:rFonts w:ascii="Arial" w:hAnsi="Arial" w:cs="Arial"/>
          <w:lang w:val="es-419"/>
        </w:rPr>
        <w:t xml:space="preserve"> la tasa de empleo adecuado es 45,4% con una variación estadísticamente significativa anual de -4,2 puntos porcentuales. Ello implica un incremento de la brecha entre hombres y mujeres, a septiembre 2015 de 15,5 puntos porcentuales. Es</w:t>
      </w:r>
      <w:r w:rsidRPr="007D3C05">
        <w:rPr>
          <w:rFonts w:ascii="Arial" w:hAnsi="Arial" w:cs="Arial"/>
          <w:bCs/>
          <w:lang w:val="es-419"/>
        </w:rPr>
        <w:t>ta diferencia SI es estadísticamente significativa.</w:t>
      </w:r>
    </w:p>
    <w:p w14:paraId="47FA1156" w14:textId="77777777" w:rsidR="00862501" w:rsidRDefault="00862501" w:rsidP="00862501">
      <w:pPr>
        <w:jc w:val="both"/>
        <w:rPr>
          <w:rFonts w:ascii="Arial" w:hAnsi="Arial" w:cs="Arial"/>
          <w:lang w:val="es-419"/>
        </w:rPr>
      </w:pPr>
      <w:r w:rsidRPr="007D3C05">
        <w:rPr>
          <w:rFonts w:ascii="Arial" w:hAnsi="Arial" w:cs="Arial"/>
          <w:lang w:val="es-419"/>
        </w:rPr>
        <w:t xml:space="preserve">En Ecuador, la población en edad de trabajar por sexo, en el tercer trimestre de 2015, se compone de 5,5 millones de hombres y 5,8 millones de mujeres. La población económicamente activa está distribuida de la siguiente manera: 4,4 millones de hombres y 3,2 millones de mujeres. </w:t>
      </w:r>
      <w:r>
        <w:rPr>
          <w:rFonts w:ascii="Arial" w:hAnsi="Arial" w:cs="Arial"/>
          <w:lang w:val="es-419"/>
        </w:rPr>
        <w:t>Gráfico 3</w:t>
      </w:r>
      <w:r w:rsidRPr="007D3C05">
        <w:rPr>
          <w:rFonts w:ascii="Arial" w:hAnsi="Arial" w:cs="Arial"/>
          <w:lang w:val="es-419"/>
        </w:rPr>
        <w:t>. P</w:t>
      </w:r>
      <w:r>
        <w:rPr>
          <w:rFonts w:ascii="Arial" w:hAnsi="Arial" w:cs="Arial"/>
          <w:lang w:val="es-419"/>
        </w:rPr>
        <w:t xml:space="preserve">oblación en </w:t>
      </w:r>
      <w:r w:rsidRPr="007D3C05">
        <w:rPr>
          <w:rFonts w:ascii="Arial" w:hAnsi="Arial" w:cs="Arial"/>
          <w:lang w:val="es-419"/>
        </w:rPr>
        <w:t>E</w:t>
      </w:r>
      <w:r>
        <w:rPr>
          <w:rFonts w:ascii="Arial" w:hAnsi="Arial" w:cs="Arial"/>
          <w:lang w:val="es-419"/>
        </w:rPr>
        <w:t xml:space="preserve">dad de </w:t>
      </w:r>
      <w:r w:rsidRPr="007D3C05">
        <w:rPr>
          <w:rFonts w:ascii="Arial" w:hAnsi="Arial" w:cs="Arial"/>
          <w:lang w:val="es-419"/>
        </w:rPr>
        <w:t>T</w:t>
      </w:r>
      <w:r>
        <w:rPr>
          <w:rFonts w:ascii="Arial" w:hAnsi="Arial" w:cs="Arial"/>
          <w:lang w:val="es-419"/>
        </w:rPr>
        <w:t>rabajar (PET)</w:t>
      </w:r>
      <w:r w:rsidRPr="007D3C05">
        <w:rPr>
          <w:rFonts w:ascii="Arial" w:hAnsi="Arial" w:cs="Arial"/>
          <w:lang w:val="es-419"/>
        </w:rPr>
        <w:t xml:space="preserve"> y P</w:t>
      </w:r>
      <w:r>
        <w:rPr>
          <w:rFonts w:ascii="Arial" w:hAnsi="Arial" w:cs="Arial"/>
          <w:lang w:val="es-419"/>
        </w:rPr>
        <w:t xml:space="preserve">oblación </w:t>
      </w:r>
      <w:r w:rsidRPr="007D3C05">
        <w:rPr>
          <w:rFonts w:ascii="Arial" w:hAnsi="Arial" w:cs="Arial"/>
          <w:lang w:val="es-419"/>
        </w:rPr>
        <w:t>E</w:t>
      </w:r>
      <w:r>
        <w:rPr>
          <w:rFonts w:ascii="Arial" w:hAnsi="Arial" w:cs="Arial"/>
          <w:lang w:val="es-419"/>
        </w:rPr>
        <w:t xml:space="preserve">conómicamente </w:t>
      </w:r>
      <w:r w:rsidRPr="007D3C05">
        <w:rPr>
          <w:rFonts w:ascii="Arial" w:hAnsi="Arial" w:cs="Arial"/>
          <w:lang w:val="es-419"/>
        </w:rPr>
        <w:t>A</w:t>
      </w:r>
      <w:r>
        <w:rPr>
          <w:rFonts w:ascii="Arial" w:hAnsi="Arial" w:cs="Arial"/>
          <w:lang w:val="es-419"/>
        </w:rPr>
        <w:t>ctiva (PEA)</w:t>
      </w:r>
      <w:r w:rsidRPr="007D3C05">
        <w:rPr>
          <w:rFonts w:ascii="Arial" w:hAnsi="Arial" w:cs="Arial"/>
          <w:lang w:val="es-419"/>
        </w:rPr>
        <w:t xml:space="preserve"> por sexo a nivel nacional, septiembre 2015. (En miles de personas). Fuente: Encuesta Nacional de Empleo, Desempleo y Subempleo (ENEMDU)</w:t>
      </w:r>
      <w:r>
        <w:rPr>
          <w:rFonts w:ascii="Arial" w:hAnsi="Arial" w:cs="Arial"/>
          <w:lang w:val="es-419"/>
        </w:rPr>
        <w:t>.</w:t>
      </w:r>
    </w:p>
    <w:p w14:paraId="5F77E6C8" w14:textId="77777777" w:rsidR="00862501" w:rsidRDefault="00862501" w:rsidP="00862501">
      <w:pPr>
        <w:spacing w:after="0"/>
        <w:jc w:val="both"/>
        <w:rPr>
          <w:rFonts w:ascii="Arial" w:hAnsi="Arial" w:cs="Arial"/>
          <w:lang w:val="es-419"/>
        </w:rPr>
      </w:pPr>
    </w:p>
    <w:p w14:paraId="15DD7EFE" w14:textId="77777777" w:rsidR="00862501" w:rsidRPr="00B32813" w:rsidRDefault="00862501" w:rsidP="00862501">
      <w:pPr>
        <w:ind w:left="720"/>
        <w:jc w:val="both"/>
        <w:rPr>
          <w:rFonts w:ascii="Arial" w:hAnsi="Arial" w:cs="Arial"/>
          <w:sz w:val="20"/>
          <w:lang w:val="es-ES_tradnl"/>
        </w:rPr>
      </w:pPr>
      <w:r w:rsidRPr="00B32813">
        <w:rPr>
          <w:rFonts w:ascii="Arial" w:hAnsi="Arial" w:cs="Arial"/>
          <w:sz w:val="20"/>
          <w:lang w:val="es-ES_tradnl"/>
        </w:rPr>
        <w:t xml:space="preserve">Gráfico </w:t>
      </w:r>
      <w:r>
        <w:rPr>
          <w:rFonts w:ascii="Arial" w:hAnsi="Arial" w:cs="Arial"/>
          <w:sz w:val="20"/>
          <w:lang w:val="es-ES_tradnl"/>
        </w:rPr>
        <w:t>3</w:t>
      </w:r>
      <w:r w:rsidRPr="00B32813">
        <w:rPr>
          <w:rFonts w:ascii="Arial" w:hAnsi="Arial" w:cs="Arial"/>
          <w:sz w:val="20"/>
          <w:lang w:val="es-ES_tradnl"/>
        </w:rPr>
        <w:t xml:space="preserve">: </w:t>
      </w:r>
      <w:r>
        <w:rPr>
          <w:rFonts w:ascii="Arial" w:hAnsi="Arial" w:cs="Arial"/>
          <w:sz w:val="20"/>
          <w:lang w:val="es-ES_tradnl"/>
        </w:rPr>
        <w:t>PET y PEA por sexo a nivel nacional, marzo 2015. Miles de personas.</w:t>
      </w:r>
    </w:p>
    <w:p w14:paraId="6D5DA52C" w14:textId="77777777" w:rsidR="00862501" w:rsidRPr="00B32813" w:rsidRDefault="00862501" w:rsidP="00862501">
      <w:pPr>
        <w:jc w:val="center"/>
        <w:rPr>
          <w:rFonts w:ascii="Arial" w:hAnsi="Arial" w:cs="Arial"/>
          <w:lang w:val="es-ES_tradnl"/>
        </w:rPr>
      </w:pPr>
      <w:r>
        <w:rPr>
          <w:noProof/>
        </w:rPr>
        <w:drawing>
          <wp:inline distT="0" distB="0" distL="0" distR="0" wp14:anchorId="3E277B76" wp14:editId="0BB83C48">
            <wp:extent cx="5818235" cy="2400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20221"/>
                    <a:stretch/>
                  </pic:blipFill>
                  <pic:spPr bwMode="auto">
                    <a:xfrm>
                      <a:off x="0" y="0"/>
                      <a:ext cx="5830640" cy="2405418"/>
                    </a:xfrm>
                    <a:prstGeom prst="rect">
                      <a:avLst/>
                    </a:prstGeom>
                    <a:ln>
                      <a:noFill/>
                    </a:ln>
                    <a:extLst>
                      <a:ext uri="{53640926-AAD7-44D8-BBD7-CCE9431645EC}">
                        <a14:shadowObscured xmlns:a14="http://schemas.microsoft.com/office/drawing/2010/main"/>
                      </a:ext>
                    </a:extLst>
                  </pic:spPr>
                </pic:pic>
              </a:graphicData>
            </a:graphic>
          </wp:inline>
        </w:drawing>
      </w:r>
    </w:p>
    <w:p w14:paraId="3C966D17" w14:textId="77777777" w:rsidR="00862501" w:rsidRDefault="00862501" w:rsidP="00862501">
      <w:pPr>
        <w:jc w:val="both"/>
        <w:rPr>
          <w:rFonts w:ascii="Arial" w:hAnsi="Arial" w:cs="Arial"/>
          <w:lang w:val="es-419"/>
        </w:rPr>
      </w:pPr>
      <w:r w:rsidRPr="007D3C05">
        <w:rPr>
          <w:rFonts w:ascii="Arial" w:hAnsi="Arial" w:cs="Arial"/>
          <w:lang w:val="es-419"/>
        </w:rPr>
        <w:lastRenderedPageBreak/>
        <w:t>En la tabla</w:t>
      </w:r>
      <w:r>
        <w:rPr>
          <w:rFonts w:ascii="Arial" w:hAnsi="Arial" w:cs="Arial"/>
          <w:lang w:val="es-419"/>
        </w:rPr>
        <w:t xml:space="preserve"> 2</w:t>
      </w:r>
      <w:r w:rsidRPr="007D3C05">
        <w:rPr>
          <w:rFonts w:ascii="Arial" w:hAnsi="Arial" w:cs="Arial"/>
          <w:lang w:val="es-419"/>
        </w:rPr>
        <w:t xml:space="preserve"> se muestra la composición de la población con empleo adecuado según rama de actividad, a nivel urbano. A septiembre de 2015, la rama de comercio tiene la mayor proporción de empleados adecuados (18,2%), seguido enseñanza y servicios sociales y de salud (13,5%) y de manufactura (12,7). Las ramas con menor concentración de empleo adecuado son petróleo y minas (0,9%) y suministro de electricidad y agua (1,1%).</w:t>
      </w:r>
    </w:p>
    <w:p w14:paraId="71E3D89B" w14:textId="77777777" w:rsidR="00862501" w:rsidRPr="00240B8B" w:rsidRDefault="00862501" w:rsidP="00862501">
      <w:pPr>
        <w:ind w:firstLine="720"/>
        <w:jc w:val="both"/>
        <w:rPr>
          <w:rFonts w:ascii="Arial" w:hAnsi="Arial" w:cs="Arial"/>
          <w:lang w:val="es-ES_tradnl"/>
        </w:rPr>
      </w:pPr>
      <w:r w:rsidRPr="00240B8B">
        <w:rPr>
          <w:rFonts w:ascii="Arial" w:hAnsi="Arial" w:cs="Arial"/>
          <w:sz w:val="20"/>
          <w:lang w:val="es-ES_tradnl"/>
        </w:rPr>
        <w:t>Tabla 2 – Composición de empleo en Ecuador.</w:t>
      </w:r>
    </w:p>
    <w:p w14:paraId="4CF99690" w14:textId="77777777" w:rsidR="00862501" w:rsidRPr="007D3C05" w:rsidRDefault="00862501" w:rsidP="00862501">
      <w:pPr>
        <w:jc w:val="center"/>
        <w:rPr>
          <w:rFonts w:ascii="Arial" w:hAnsi="Arial" w:cs="Arial"/>
          <w:lang w:val="es-419"/>
        </w:rPr>
      </w:pPr>
      <w:r w:rsidRPr="007D3C05">
        <w:rPr>
          <w:rFonts w:ascii="Arial" w:hAnsi="Arial" w:cs="Arial"/>
          <w:noProof/>
        </w:rPr>
        <w:drawing>
          <wp:inline distT="0" distB="0" distL="0" distR="0" wp14:anchorId="35ED448A" wp14:editId="6A6B2651">
            <wp:extent cx="3838391" cy="2203684"/>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19723"/>
                    <a:stretch/>
                  </pic:blipFill>
                  <pic:spPr bwMode="auto">
                    <a:xfrm>
                      <a:off x="0" y="0"/>
                      <a:ext cx="3866419" cy="2219775"/>
                    </a:xfrm>
                    <a:prstGeom prst="rect">
                      <a:avLst/>
                    </a:prstGeom>
                    <a:ln>
                      <a:noFill/>
                    </a:ln>
                    <a:extLst>
                      <a:ext uri="{53640926-AAD7-44D8-BBD7-CCE9431645EC}">
                        <a14:shadowObscured xmlns:a14="http://schemas.microsoft.com/office/drawing/2010/main"/>
                      </a:ext>
                    </a:extLst>
                  </pic:spPr>
                </pic:pic>
              </a:graphicData>
            </a:graphic>
          </wp:inline>
        </w:drawing>
      </w:r>
      <w:r w:rsidRPr="007D3C05">
        <w:rPr>
          <w:rFonts w:ascii="Arial" w:hAnsi="Arial" w:cs="Arial"/>
          <w:noProof/>
        </w:rPr>
        <w:drawing>
          <wp:inline distT="0" distB="0" distL="0" distR="0" wp14:anchorId="2BA9D681" wp14:editId="2D96EDFA">
            <wp:extent cx="3887513" cy="108869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043958" cy="1132509"/>
                    </a:xfrm>
                    <a:prstGeom prst="rect">
                      <a:avLst/>
                    </a:prstGeom>
                  </pic:spPr>
                </pic:pic>
              </a:graphicData>
            </a:graphic>
          </wp:inline>
        </w:drawing>
      </w:r>
    </w:p>
    <w:p w14:paraId="1E11EDA7" w14:textId="77777777" w:rsidR="00862501" w:rsidRPr="007D3C05" w:rsidRDefault="00862501" w:rsidP="00862501">
      <w:pPr>
        <w:jc w:val="both"/>
        <w:rPr>
          <w:rFonts w:ascii="Arial" w:hAnsi="Arial" w:cs="Arial"/>
          <w:lang w:val="es-419"/>
        </w:rPr>
      </w:pPr>
      <w:r w:rsidRPr="007D3C05">
        <w:rPr>
          <w:rFonts w:ascii="Arial" w:hAnsi="Arial" w:cs="Arial"/>
          <w:lang w:val="es-419"/>
        </w:rPr>
        <w:t>En cuanto al empleo no remunerado, la brecha de género es evidente y se mantiene entre 2007 y 2015: una mayor proporción de mujeres en la PEA tienen empleos no remunerados. En septiembre de 2015, el 8,4% de mujeres en la PEA tienen un empleo no remunerado, y apenas el 2,1% de los hombres de la PEA está en la misma condición, aunque en ambos casos se observa un incremento respecto a septiembre 2014.</w:t>
      </w:r>
      <w:r w:rsidRPr="007D3C05">
        <w:rPr>
          <w:rStyle w:val="FootnoteReference"/>
          <w:rFonts w:ascii="Arial" w:hAnsi="Arial" w:cs="Arial"/>
          <w:lang w:val="es-419"/>
        </w:rPr>
        <w:footnoteReference w:id="8"/>
      </w:r>
    </w:p>
    <w:p w14:paraId="30D6E341" w14:textId="77777777" w:rsidR="00862501" w:rsidRPr="007D3C05" w:rsidRDefault="00862501" w:rsidP="00862501">
      <w:pPr>
        <w:jc w:val="both"/>
        <w:rPr>
          <w:rFonts w:ascii="Arial" w:hAnsi="Arial" w:cs="Arial"/>
          <w:u w:val="single"/>
          <w:lang w:val="es-ES"/>
        </w:rPr>
      </w:pPr>
      <w:r w:rsidRPr="007D3C05">
        <w:rPr>
          <w:rFonts w:ascii="Arial" w:hAnsi="Arial" w:cs="Arial"/>
          <w:u w:val="single"/>
          <w:lang w:val="es-ES"/>
        </w:rPr>
        <w:t>Problemática de género</w:t>
      </w:r>
    </w:p>
    <w:p w14:paraId="3ED9084F" w14:textId="77777777" w:rsidR="00862501" w:rsidRPr="007D3C05" w:rsidRDefault="00862501" w:rsidP="00862501">
      <w:pPr>
        <w:jc w:val="both"/>
        <w:rPr>
          <w:rFonts w:ascii="Arial" w:hAnsi="Arial" w:cs="Arial"/>
          <w:lang w:val="es-ES"/>
        </w:rPr>
      </w:pPr>
      <w:bookmarkStart w:id="5" w:name="_Hlk486257184"/>
      <w:r w:rsidRPr="007D3C05">
        <w:rPr>
          <w:rFonts w:ascii="Arial" w:hAnsi="Arial" w:cs="Arial"/>
          <w:lang w:val="es-ES"/>
        </w:rPr>
        <w:t>La inclusión de una perspectiva de género en proyectos de energía ayuda, no solo a promover el empoderamiento económico y social de las mujeres y una mayor igualdad de género, sino también a mejorar la sostenibilidad de los proyectos de energía y el desempeño de las agencias sectoriales</w:t>
      </w:r>
      <w:r w:rsidRPr="007D3C05">
        <w:rPr>
          <w:rStyle w:val="FootnoteReference"/>
          <w:rFonts w:ascii="Arial" w:hAnsi="Arial" w:cs="Arial"/>
          <w:lang w:val="es-ES"/>
        </w:rPr>
        <w:footnoteReference w:id="9"/>
      </w:r>
      <w:r w:rsidRPr="007D3C05">
        <w:rPr>
          <w:rFonts w:ascii="Arial" w:hAnsi="Arial" w:cs="Arial"/>
          <w:lang w:val="es-ES"/>
        </w:rPr>
        <w:t xml:space="preserve">. </w:t>
      </w:r>
      <w:bookmarkStart w:id="6" w:name="_Hlk486324473"/>
      <w:r w:rsidRPr="007D3C05">
        <w:rPr>
          <w:rFonts w:ascii="Arial" w:hAnsi="Arial" w:cs="Arial"/>
          <w:lang w:val="es-ES"/>
        </w:rPr>
        <w:t>Por ejemplo, un estudio realizado en Sudáfrica encontró que el acceso a electricidad conllevó a que muchos hogares invirtieran en cocinas eléctricas y que gracias al tiempo que las mujeres ahorraban en recolectar leña, incrementó la tasa de empleo femenino en un 13.5%</w:t>
      </w:r>
      <w:r w:rsidRPr="007D3C05">
        <w:rPr>
          <w:rStyle w:val="FootnoteReference"/>
          <w:rFonts w:ascii="Arial" w:hAnsi="Arial" w:cs="Arial"/>
          <w:lang w:val="es-ES"/>
        </w:rPr>
        <w:footnoteReference w:id="10"/>
      </w:r>
      <w:r w:rsidRPr="007D3C05">
        <w:rPr>
          <w:rFonts w:ascii="Arial" w:hAnsi="Arial" w:cs="Arial"/>
          <w:lang w:val="es-ES"/>
        </w:rPr>
        <w:t xml:space="preserve">. </w:t>
      </w:r>
      <w:r w:rsidRPr="007D3C05">
        <w:rPr>
          <w:rFonts w:ascii="Arial" w:hAnsi="Arial" w:cs="Arial"/>
          <w:lang w:val="es-ES"/>
        </w:rPr>
        <w:lastRenderedPageBreak/>
        <w:t xml:space="preserve">Asimismo, un estudio de USAID, encontró que </w:t>
      </w:r>
      <w:r w:rsidRPr="007D3C05">
        <w:rPr>
          <w:rFonts w:ascii="Arial" w:hAnsi="Arial" w:cs="Arial"/>
          <w:lang w:val="es-ES_tradnl"/>
        </w:rPr>
        <w:t xml:space="preserve">las mujeres suelen tener estilos de gestión distintos a los hombres ya que se enfocan más en: (i) desarrollar las capacidades de sus empleados; (ii) alcanzar formas de comunicación eficientes; y (iii) promover procesos de toma de decisión más participativos, entre otros. Esta evidencia “surgiere </w:t>
      </w:r>
      <w:proofErr w:type="gramStart"/>
      <w:r w:rsidRPr="007D3C05">
        <w:rPr>
          <w:rFonts w:ascii="Arial" w:hAnsi="Arial" w:cs="Arial"/>
          <w:lang w:val="es-ES_tradnl"/>
        </w:rPr>
        <w:t>que</w:t>
      </w:r>
      <w:proofErr w:type="gramEnd"/>
      <w:r w:rsidRPr="007D3C05">
        <w:rPr>
          <w:rFonts w:ascii="Arial" w:hAnsi="Arial" w:cs="Arial"/>
          <w:lang w:val="es-ES_tradnl"/>
        </w:rPr>
        <w:t xml:space="preserve"> mitigar las disparidades de género y mejorar la participación de las mujeres en el mercado laboral pueden incrementar las eficiencias operacionales que, finalmente, traerá más valor para las compañías de servicios básicos”</w:t>
      </w:r>
      <w:r w:rsidRPr="007D3C05">
        <w:rPr>
          <w:rFonts w:ascii="Arial" w:hAnsi="Arial" w:cs="Arial"/>
          <w:vertAlign w:val="superscript"/>
          <w:lang w:val="es-ES_tradnl"/>
        </w:rPr>
        <w:footnoteReference w:id="11"/>
      </w:r>
      <w:r w:rsidRPr="007D3C05">
        <w:rPr>
          <w:rFonts w:ascii="Arial" w:hAnsi="Arial" w:cs="Arial"/>
          <w:lang w:val="es-ES_tradnl"/>
        </w:rPr>
        <w:t>.</w:t>
      </w:r>
    </w:p>
    <w:p w14:paraId="2720946B" w14:textId="77777777" w:rsidR="00862501" w:rsidRPr="007D3C05" w:rsidRDefault="00862501" w:rsidP="00862501">
      <w:pPr>
        <w:jc w:val="both"/>
        <w:rPr>
          <w:rFonts w:ascii="Arial" w:hAnsi="Arial" w:cs="Arial"/>
          <w:lang w:val="es-ES"/>
        </w:rPr>
      </w:pPr>
      <w:r w:rsidRPr="007D3C05">
        <w:rPr>
          <w:rFonts w:ascii="Arial" w:hAnsi="Arial" w:cs="Arial"/>
          <w:lang w:val="es-ES"/>
        </w:rPr>
        <w:t xml:space="preserve">Por estas razones, el </w:t>
      </w:r>
      <w:r>
        <w:rPr>
          <w:rFonts w:ascii="Arial" w:hAnsi="Arial" w:cs="Arial"/>
          <w:lang w:val="es-ES"/>
        </w:rPr>
        <w:t>sub</w:t>
      </w:r>
      <w:r w:rsidRPr="007D3C05">
        <w:rPr>
          <w:rFonts w:ascii="Arial" w:hAnsi="Arial" w:cs="Arial"/>
          <w:lang w:val="es-ES"/>
        </w:rPr>
        <w:t xml:space="preserve">sector </w:t>
      </w:r>
      <w:r>
        <w:rPr>
          <w:rFonts w:ascii="Arial" w:hAnsi="Arial" w:cs="Arial"/>
          <w:lang w:val="es-ES"/>
        </w:rPr>
        <w:t xml:space="preserve">eléctrico </w:t>
      </w:r>
      <w:r w:rsidRPr="007D3C05">
        <w:rPr>
          <w:rFonts w:ascii="Arial" w:hAnsi="Arial" w:cs="Arial"/>
          <w:lang w:val="es-ES"/>
        </w:rPr>
        <w:t>ecuatoriano se beneficiaría al desarrollar una estrategia de género específica que permita entender la</w:t>
      </w:r>
      <w:r>
        <w:rPr>
          <w:rFonts w:ascii="Arial" w:hAnsi="Arial" w:cs="Arial"/>
          <w:lang w:val="es-ES"/>
        </w:rPr>
        <w:t>s</w:t>
      </w:r>
      <w:r w:rsidRPr="007D3C05">
        <w:rPr>
          <w:rFonts w:ascii="Arial" w:hAnsi="Arial" w:cs="Arial"/>
          <w:lang w:val="es-ES"/>
        </w:rPr>
        <w:t xml:space="preserve"> problemáticas de género y energía y responda a las necesidades energéticas diferenciadas de hombres y mujeres. Si bien promover</w:t>
      </w:r>
      <w:bookmarkEnd w:id="6"/>
      <w:r w:rsidRPr="007D3C05">
        <w:rPr>
          <w:rFonts w:ascii="Arial" w:hAnsi="Arial" w:cs="Arial"/>
          <w:lang w:val="es-ES"/>
        </w:rPr>
        <w:t xml:space="preserve"> una mayor participación laboral femenina en el </w:t>
      </w:r>
      <w:r>
        <w:rPr>
          <w:rFonts w:ascii="Arial" w:hAnsi="Arial" w:cs="Arial"/>
          <w:lang w:val="es-ES"/>
        </w:rPr>
        <w:t>sub</w:t>
      </w:r>
      <w:r w:rsidRPr="007D3C05">
        <w:rPr>
          <w:rFonts w:ascii="Arial" w:hAnsi="Arial" w:cs="Arial"/>
          <w:lang w:val="es-ES"/>
        </w:rPr>
        <w:t xml:space="preserve">sector es clave para que las necesidades de las mujeres estén mejor representadas, una estrategia de genero no puede enfocarse únicamente en este aspecto. La estrategia debe, además, identificar y proponer instrumentos, conceptos, metodologías y análisis que permitan asegurar que los proyectos energéticos incluyan un enfoque de género y busquen mejorar la calidad de vida tanto de hombres como mujeres. La inclusión de ambos aspectos permitirá que la estrategia promueva una mayor igualdad de género en el </w:t>
      </w:r>
      <w:r>
        <w:rPr>
          <w:rFonts w:ascii="Arial" w:hAnsi="Arial" w:cs="Arial"/>
          <w:lang w:val="es-ES"/>
        </w:rPr>
        <w:t>sub</w:t>
      </w:r>
      <w:r w:rsidRPr="007D3C05">
        <w:rPr>
          <w:rFonts w:ascii="Arial" w:hAnsi="Arial" w:cs="Arial"/>
          <w:lang w:val="es-ES"/>
        </w:rPr>
        <w:t xml:space="preserve">sector </w:t>
      </w:r>
      <w:r>
        <w:rPr>
          <w:rFonts w:ascii="Arial" w:hAnsi="Arial" w:cs="Arial"/>
          <w:lang w:val="es-ES"/>
        </w:rPr>
        <w:t>eléctrico</w:t>
      </w:r>
      <w:r w:rsidRPr="007D3C05">
        <w:rPr>
          <w:rFonts w:ascii="Arial" w:hAnsi="Arial" w:cs="Arial"/>
          <w:lang w:val="es-ES"/>
        </w:rPr>
        <w:t>.</w:t>
      </w:r>
    </w:p>
    <w:bookmarkEnd w:id="5"/>
    <w:p w14:paraId="27EA9EEB" w14:textId="77777777" w:rsidR="00862501" w:rsidRPr="007D3C05" w:rsidRDefault="00862501" w:rsidP="00862501">
      <w:pPr>
        <w:jc w:val="both"/>
        <w:rPr>
          <w:rFonts w:ascii="Arial" w:hAnsi="Arial" w:cs="Arial"/>
          <w:lang w:val="es-ES"/>
        </w:rPr>
      </w:pPr>
      <w:r w:rsidRPr="007D3C05">
        <w:rPr>
          <w:rFonts w:ascii="Arial" w:hAnsi="Arial" w:cs="Arial"/>
          <w:lang w:val="es-ES"/>
        </w:rPr>
        <w:t xml:space="preserve">Las instituciones públicas vinculadas al </w:t>
      </w:r>
      <w:r>
        <w:rPr>
          <w:rFonts w:ascii="Arial" w:hAnsi="Arial" w:cs="Arial"/>
          <w:lang w:val="es-ES"/>
        </w:rPr>
        <w:t>sub</w:t>
      </w:r>
      <w:r w:rsidRPr="007D3C05">
        <w:rPr>
          <w:rFonts w:ascii="Arial" w:hAnsi="Arial" w:cs="Arial"/>
          <w:lang w:val="es-ES"/>
        </w:rPr>
        <w:t xml:space="preserve">sector energético, incluyendo las empresas de generación, transmisión y distribución de electricidad juegan un rol esencial en la promoción de la igualdad de género, no solo por su importancia liderando políticas y proyectos del </w:t>
      </w:r>
      <w:r>
        <w:rPr>
          <w:rFonts w:ascii="Arial" w:hAnsi="Arial" w:cs="Arial"/>
          <w:lang w:val="es-ES"/>
        </w:rPr>
        <w:t>sub</w:t>
      </w:r>
      <w:r w:rsidRPr="007D3C05">
        <w:rPr>
          <w:rFonts w:ascii="Arial" w:hAnsi="Arial" w:cs="Arial"/>
          <w:lang w:val="es-ES"/>
        </w:rPr>
        <w:t xml:space="preserve">sector, sino también por tener, entre sus objetivos, la mejora de la calidad de vida de los y las ecuatorianas a través de la provisión de energía eléctrica. </w:t>
      </w:r>
    </w:p>
    <w:p w14:paraId="6EDF733D" w14:textId="77777777" w:rsidR="00862501" w:rsidRPr="007D3C05" w:rsidRDefault="00862501" w:rsidP="00862501">
      <w:pPr>
        <w:jc w:val="both"/>
        <w:rPr>
          <w:rFonts w:ascii="Arial" w:hAnsi="Arial" w:cs="Arial"/>
          <w:lang w:val="es-ES"/>
        </w:rPr>
      </w:pPr>
      <w:r w:rsidRPr="007D3C05">
        <w:rPr>
          <w:rFonts w:ascii="Arial" w:hAnsi="Arial" w:cs="Arial"/>
          <w:lang w:val="es-ES"/>
        </w:rPr>
        <w:t xml:space="preserve">De esa cuenta, el préstamo EC-L1223, aprobado en </w:t>
      </w:r>
      <w:r>
        <w:rPr>
          <w:rFonts w:ascii="Arial" w:hAnsi="Arial" w:cs="Arial"/>
          <w:lang w:val="es-ES"/>
        </w:rPr>
        <w:t xml:space="preserve">octubre de </w:t>
      </w:r>
      <w:r w:rsidRPr="007D3C05">
        <w:rPr>
          <w:rFonts w:ascii="Arial" w:hAnsi="Arial" w:cs="Arial"/>
          <w:lang w:val="es-ES"/>
        </w:rPr>
        <w:t xml:space="preserve">2017 por el BID, financiará entre sus actividades, el desarrollo de una “Estrategia para Promover la Igualdad de Género en el Sector Eléctrico”, la cual tendrá como objetivo contribuir con: (i) reducir la desigualdad entre hombres y mujeres, buscando maximizar el impacto de las políticas y proyectos de energía sobre las mujeres y niñas; y (ii) contribuir a la incorporación de un mayor número de mujeres en la fuerza laboral del sector energético. </w:t>
      </w:r>
    </w:p>
    <w:p w14:paraId="0D54CB26" w14:textId="77777777" w:rsidR="00862501" w:rsidRDefault="00862501" w:rsidP="00862501">
      <w:pPr>
        <w:jc w:val="both"/>
        <w:rPr>
          <w:rFonts w:ascii="Arial" w:hAnsi="Arial" w:cs="Arial"/>
          <w:lang w:val="es-ES"/>
        </w:rPr>
      </w:pPr>
      <w:r w:rsidRPr="007D3C05">
        <w:rPr>
          <w:rFonts w:ascii="Arial" w:hAnsi="Arial" w:cs="Arial"/>
          <w:lang w:val="es-ES"/>
        </w:rPr>
        <w:t>Para alcanzar este objetivo, el desarrollo de la estrategia deberá incluir las siguientes actividades:</w:t>
      </w:r>
    </w:p>
    <w:p w14:paraId="09021825" w14:textId="77777777" w:rsidR="00862501" w:rsidRPr="007D3C05" w:rsidRDefault="00862501" w:rsidP="00862501">
      <w:pPr>
        <w:jc w:val="both"/>
        <w:rPr>
          <w:rFonts w:ascii="Arial" w:hAnsi="Arial" w:cs="Arial"/>
          <w:lang w:val="es-ES"/>
        </w:rPr>
      </w:pPr>
      <w:r w:rsidRPr="007D3C05">
        <w:rPr>
          <w:rFonts w:ascii="Arial" w:hAnsi="Arial" w:cs="Arial"/>
          <w:lang w:val="es-ES"/>
        </w:rPr>
        <w:br/>
        <w:t xml:space="preserve"> (i) </w:t>
      </w:r>
      <w:r w:rsidRPr="007D3C05">
        <w:rPr>
          <w:rFonts w:ascii="Arial" w:hAnsi="Arial" w:cs="Arial"/>
          <w:u w:val="single"/>
          <w:lang w:val="es-ES"/>
        </w:rPr>
        <w:t>Diagnóstico de género de la entidad responsable del sector, incluyendo las unidades de negocio de generación, transmisión y distribución</w:t>
      </w:r>
      <w:r w:rsidRPr="007D3C05">
        <w:rPr>
          <w:rFonts w:ascii="Arial" w:hAnsi="Arial" w:cs="Arial"/>
          <w:lang w:val="es-ES"/>
        </w:rPr>
        <w:t xml:space="preserve">: Este proceso busca realizar un análisis de la situación de las instituciones en términos de participación laboral femenina para definir el nivel de participación en el sector, principalmente en puestos técnicos y de liderazgo. Asimismo, este diagnóstico recolecta información primaria y secundaria para entender la oferta y demanda del mercado laboral del sector y cuáles son las barreras que enfrentan las mujeres para ingresar al sector. Adicionalmente, brindara información sobre el grado de institucionalización del enfoque de género (estructuras, practicas, políticas, personal, entre otros) que permitan definir las brechas de género que existen en las instituciones. Este proceso permitirá recolectar información sobre qué actividades deben realizarse dentro de las instituciones para promover una mayor igualdad de género. </w:t>
      </w:r>
    </w:p>
    <w:p w14:paraId="306504C8" w14:textId="77777777" w:rsidR="00862501" w:rsidRPr="007D3C05" w:rsidRDefault="00862501" w:rsidP="00862501">
      <w:pPr>
        <w:jc w:val="both"/>
        <w:rPr>
          <w:rFonts w:ascii="Arial" w:hAnsi="Arial" w:cs="Arial"/>
          <w:lang w:val="es-ES"/>
        </w:rPr>
      </w:pPr>
      <w:r w:rsidRPr="007D3C05">
        <w:rPr>
          <w:rFonts w:ascii="Arial" w:hAnsi="Arial" w:cs="Arial"/>
          <w:lang w:val="es-ES"/>
        </w:rPr>
        <w:lastRenderedPageBreak/>
        <w:t xml:space="preserve">(ii) </w:t>
      </w:r>
      <w:r w:rsidRPr="007D3C05">
        <w:rPr>
          <w:rFonts w:ascii="Arial" w:hAnsi="Arial" w:cs="Arial"/>
          <w:u w:val="single"/>
          <w:lang w:val="es-ES"/>
        </w:rPr>
        <w:t xml:space="preserve">Análisis de una muestra de proyectos del </w:t>
      </w:r>
      <w:r>
        <w:rPr>
          <w:rFonts w:ascii="Arial" w:hAnsi="Arial" w:cs="Arial"/>
          <w:u w:val="single"/>
          <w:lang w:val="es-ES"/>
        </w:rPr>
        <w:t>sub</w:t>
      </w:r>
      <w:r w:rsidRPr="007D3C05">
        <w:rPr>
          <w:rFonts w:ascii="Arial" w:hAnsi="Arial" w:cs="Arial"/>
          <w:u w:val="single"/>
          <w:lang w:val="es-ES"/>
        </w:rPr>
        <w:t>sector y de las unidades de negocio de generación, transmisión y distribución:</w:t>
      </w:r>
      <w:r w:rsidRPr="007D3C05">
        <w:rPr>
          <w:rFonts w:ascii="Arial" w:hAnsi="Arial" w:cs="Arial"/>
          <w:lang w:val="es-ES"/>
        </w:rPr>
        <w:t xml:space="preserve"> Este proceso busca analizar una muestra de proyectos financiados </w:t>
      </w:r>
      <w:r>
        <w:rPr>
          <w:rFonts w:ascii="Arial" w:hAnsi="Arial" w:cs="Arial"/>
          <w:lang w:val="es-ES"/>
        </w:rPr>
        <w:t xml:space="preserve">en el subsector </w:t>
      </w:r>
      <w:r>
        <w:rPr>
          <w:rFonts w:ascii="Arial" w:hAnsi="Arial" w:cs="Arial"/>
          <w:lang w:val="es-ES_tradnl"/>
        </w:rPr>
        <w:t xml:space="preserve">eléctrico </w:t>
      </w:r>
      <w:r w:rsidRPr="007D3C05">
        <w:rPr>
          <w:rFonts w:ascii="Arial" w:hAnsi="Arial" w:cs="Arial"/>
          <w:lang w:val="es-ES"/>
        </w:rPr>
        <w:t>para identificar cómo se ha incluido una perspectiva de género y/o están presentando impactos positivos sobre la vida de hombres y mujeres de forma indirecta. Este análisis permitirá identificar como funcionaron los procesos de diseño, implementación, monitoreo y evaluación de los proyectos y si estos consideran el enfoque de género. Con base a esa información se podrá determinar las actividades que se necesitan desarrollar dentro de las instituciones públicas vinculadas al sector para promover una mayor igualdad de género en los proyectos de provisión del servicio eléctrico.</w:t>
      </w:r>
    </w:p>
    <w:p w14:paraId="2E752F1E" w14:textId="77777777" w:rsidR="00862501" w:rsidRDefault="00862501" w:rsidP="00862501">
      <w:pPr>
        <w:jc w:val="both"/>
        <w:rPr>
          <w:rFonts w:ascii="Arial" w:hAnsi="Arial" w:cs="Arial"/>
          <w:lang w:val="es-ES"/>
        </w:rPr>
      </w:pPr>
      <w:r w:rsidRPr="007D3C05">
        <w:rPr>
          <w:rFonts w:ascii="Arial" w:hAnsi="Arial" w:cs="Arial"/>
          <w:u w:val="single"/>
          <w:lang w:val="es-ES"/>
        </w:rPr>
        <w:t>(iii) Plan de Acción de Género:</w:t>
      </w:r>
      <w:r w:rsidRPr="007D3C05">
        <w:rPr>
          <w:rFonts w:ascii="Arial" w:hAnsi="Arial" w:cs="Arial"/>
          <w:lang w:val="es-ES"/>
        </w:rPr>
        <w:t xml:space="preserve">  Con base a la información recolectada y analizada en las actividades previas, se elaborará un Plan de Acción de Género (PAG) para el sector eléctrico, el cual identificará acciones concretas con sus respectivos responsables, cronogramas y presupuestos, así como indicadores y metas que permitan monitorear los avances de dichas acciones a fin de promover la inclusión de un enfoque de género en el sector eléctrico.</w:t>
      </w:r>
    </w:p>
    <w:p w14:paraId="609D7028" w14:textId="77777777" w:rsidR="00862501" w:rsidRPr="007D3C05" w:rsidRDefault="00862501" w:rsidP="00862501">
      <w:pPr>
        <w:jc w:val="both"/>
        <w:rPr>
          <w:rFonts w:ascii="Arial" w:hAnsi="Arial" w:cs="Arial"/>
          <w:lang w:val="es-ES"/>
        </w:rPr>
      </w:pPr>
      <w:r>
        <w:rPr>
          <w:rFonts w:ascii="Arial" w:hAnsi="Arial" w:cs="Arial"/>
          <w:lang w:val="es-ES"/>
        </w:rPr>
        <w:t>El desarrollo de estas actividades tendrá lugar entre 2018 y 2019.</w:t>
      </w:r>
    </w:p>
    <w:p w14:paraId="12E49BB4" w14:textId="77777777" w:rsidR="00862501" w:rsidRPr="00386177" w:rsidRDefault="00862501" w:rsidP="00862501">
      <w:pPr>
        <w:jc w:val="both"/>
        <w:rPr>
          <w:rFonts w:ascii="Arial" w:hAnsi="Arial" w:cs="Arial"/>
          <w:u w:val="single"/>
          <w:lang w:val="es-ES_tradnl"/>
        </w:rPr>
      </w:pPr>
      <w:r w:rsidRPr="00386177">
        <w:rPr>
          <w:rFonts w:ascii="Arial" w:hAnsi="Arial" w:cs="Arial"/>
          <w:u w:val="single"/>
          <w:lang w:val="es-ES_tradnl"/>
        </w:rPr>
        <w:t>Propuesta para el Programa EC-L1231 – implementación de la primera etapa del plan de acción de genero para el sector eléctrico en Ecuador.</w:t>
      </w:r>
    </w:p>
    <w:p w14:paraId="673614D1" w14:textId="77777777" w:rsidR="00862501" w:rsidRPr="007D3C05" w:rsidRDefault="00862501" w:rsidP="00862501">
      <w:pPr>
        <w:jc w:val="both"/>
        <w:rPr>
          <w:rFonts w:ascii="Arial" w:hAnsi="Arial" w:cs="Arial"/>
          <w:lang w:val="es-ES_tradnl"/>
        </w:rPr>
      </w:pPr>
      <w:r w:rsidRPr="007D3C05">
        <w:rPr>
          <w:rFonts w:ascii="Arial" w:hAnsi="Arial" w:cs="Arial"/>
          <w:lang w:val="es-ES_tradnl"/>
        </w:rPr>
        <w:t>Bajo el programa EC-L1231 se propone el desarrollo de las actividades incluidas en la primera etapa del Plan de Acción de Género, con el objetivo de avanzar en la promoción de la igualdad de género en el subsector eléctrico.</w:t>
      </w:r>
    </w:p>
    <w:p w14:paraId="20C97A42" w14:textId="77777777" w:rsidR="00862501" w:rsidRPr="007D3C05" w:rsidRDefault="00862501" w:rsidP="00862501">
      <w:pPr>
        <w:spacing w:after="0" w:line="240" w:lineRule="auto"/>
        <w:jc w:val="both"/>
        <w:rPr>
          <w:rFonts w:ascii="Arial" w:hAnsi="Arial" w:cs="Arial"/>
          <w:color w:val="212121"/>
          <w:shd w:val="clear" w:color="auto" w:fill="FFFFFF"/>
          <w:lang w:val="es-ES_tradnl"/>
        </w:rPr>
      </w:pPr>
      <w:r w:rsidRPr="007D3C05">
        <w:rPr>
          <w:rFonts w:ascii="Arial" w:hAnsi="Arial" w:cs="Arial"/>
          <w:color w:val="212121"/>
          <w:shd w:val="clear" w:color="auto" w:fill="FFFFFF"/>
          <w:lang w:val="es-ES_tradnl"/>
        </w:rPr>
        <w:t xml:space="preserve">A continuación, se enumeran una serie de acciones </w:t>
      </w:r>
      <w:r>
        <w:rPr>
          <w:rFonts w:ascii="Arial" w:hAnsi="Arial" w:cs="Arial"/>
          <w:color w:val="212121"/>
          <w:shd w:val="clear" w:color="auto" w:fill="FFFFFF"/>
          <w:lang w:val="es-ES_tradnl"/>
        </w:rPr>
        <w:t xml:space="preserve">tentativas </w:t>
      </w:r>
      <w:r w:rsidRPr="007D3C05">
        <w:rPr>
          <w:rFonts w:ascii="Arial" w:hAnsi="Arial" w:cs="Arial"/>
          <w:color w:val="212121"/>
          <w:shd w:val="clear" w:color="auto" w:fill="FFFFFF"/>
          <w:lang w:val="es-ES_tradnl"/>
        </w:rPr>
        <w:t xml:space="preserve">que se podrían adoptar e implementar en Ecuador en el marco de estos proyectos que surgen de las mejores prácticas que se han implementado en otras instituciones del sector en la región. </w:t>
      </w:r>
    </w:p>
    <w:p w14:paraId="6C63F1C4" w14:textId="77777777" w:rsidR="00862501" w:rsidRPr="007D3C05" w:rsidRDefault="00862501" w:rsidP="00862501">
      <w:pPr>
        <w:spacing w:after="0" w:line="240" w:lineRule="auto"/>
        <w:jc w:val="both"/>
        <w:rPr>
          <w:rFonts w:ascii="Arial" w:hAnsi="Arial" w:cs="Arial"/>
          <w:color w:val="212121"/>
          <w:shd w:val="clear" w:color="auto" w:fill="FFFFFF"/>
          <w:lang w:val="es-ES_tradnl"/>
        </w:rPr>
      </w:pPr>
    </w:p>
    <w:p w14:paraId="513EEA75" w14:textId="77777777" w:rsidR="00862501" w:rsidRPr="007D3C05" w:rsidRDefault="00862501" w:rsidP="00862501">
      <w:pPr>
        <w:pStyle w:val="ListParagraph"/>
        <w:numPr>
          <w:ilvl w:val="0"/>
          <w:numId w:val="3"/>
        </w:numPr>
        <w:spacing w:after="0" w:line="240" w:lineRule="auto"/>
        <w:jc w:val="both"/>
        <w:rPr>
          <w:rFonts w:ascii="Arial" w:hAnsi="Arial" w:cs="Arial"/>
          <w:color w:val="212121"/>
          <w:shd w:val="clear" w:color="auto" w:fill="FFFFFF"/>
          <w:lang w:val="es-ES_tradnl"/>
        </w:rPr>
      </w:pPr>
      <w:r w:rsidRPr="007D3C05">
        <w:rPr>
          <w:rFonts w:ascii="Arial" w:hAnsi="Arial" w:cs="Arial"/>
          <w:color w:val="212121"/>
          <w:shd w:val="clear" w:color="auto" w:fill="FFFFFF"/>
          <w:lang w:val="es-ES_tradnl"/>
        </w:rPr>
        <w:t>Realizar talleres y campañas de sensibilización sobre cuestiones de género y también reforzar la importancia y el compromiso de la institución con el tema de género.</w:t>
      </w:r>
    </w:p>
    <w:p w14:paraId="75B566E3" w14:textId="77777777" w:rsidR="00862501" w:rsidRPr="007D3C05" w:rsidRDefault="00862501" w:rsidP="00862501">
      <w:pPr>
        <w:spacing w:after="0" w:line="240" w:lineRule="auto"/>
        <w:jc w:val="both"/>
        <w:rPr>
          <w:rFonts w:ascii="Arial" w:hAnsi="Arial" w:cs="Arial"/>
          <w:color w:val="212121"/>
          <w:shd w:val="clear" w:color="auto" w:fill="FFFFFF"/>
          <w:lang w:val="es-ES_tradnl"/>
        </w:rPr>
      </w:pPr>
    </w:p>
    <w:p w14:paraId="4B39113E" w14:textId="77777777" w:rsidR="00862501" w:rsidRPr="007D3C05" w:rsidRDefault="00862501" w:rsidP="00862501">
      <w:pPr>
        <w:pStyle w:val="ListParagraph"/>
        <w:numPr>
          <w:ilvl w:val="0"/>
          <w:numId w:val="3"/>
        </w:numPr>
        <w:spacing w:after="0" w:line="240" w:lineRule="auto"/>
        <w:jc w:val="both"/>
        <w:rPr>
          <w:rFonts w:ascii="Arial" w:hAnsi="Arial" w:cs="Arial"/>
          <w:color w:val="212121"/>
          <w:shd w:val="clear" w:color="auto" w:fill="FFFFFF"/>
          <w:lang w:val="es-ES_tradnl"/>
        </w:rPr>
      </w:pPr>
      <w:r w:rsidRPr="007D3C05">
        <w:rPr>
          <w:rFonts w:ascii="Arial" w:hAnsi="Arial" w:cs="Arial"/>
          <w:color w:val="212121"/>
          <w:shd w:val="clear" w:color="auto" w:fill="FFFFFF"/>
          <w:lang w:val="es-ES_tradnl"/>
        </w:rPr>
        <w:t xml:space="preserve">Implementar a nivel de recursos humanos, gerentes o jefes de área, procesos y mecanismos de monitoreo y evaluación. </w:t>
      </w:r>
    </w:p>
    <w:p w14:paraId="67575E40" w14:textId="77777777" w:rsidR="00862501" w:rsidRPr="007D3C05" w:rsidRDefault="00862501" w:rsidP="00862501">
      <w:pPr>
        <w:spacing w:after="0" w:line="240" w:lineRule="auto"/>
        <w:jc w:val="both"/>
        <w:rPr>
          <w:rFonts w:ascii="Arial" w:hAnsi="Arial" w:cs="Arial"/>
          <w:color w:val="212121"/>
          <w:shd w:val="clear" w:color="auto" w:fill="FFFFFF"/>
          <w:lang w:val="es-ES_tradnl"/>
        </w:rPr>
      </w:pPr>
    </w:p>
    <w:p w14:paraId="1DC79837" w14:textId="77777777" w:rsidR="00862501" w:rsidRPr="007D3C05" w:rsidRDefault="00862501" w:rsidP="00862501">
      <w:pPr>
        <w:pStyle w:val="ListParagraph"/>
        <w:numPr>
          <w:ilvl w:val="0"/>
          <w:numId w:val="3"/>
        </w:numPr>
        <w:spacing w:after="0" w:line="240" w:lineRule="auto"/>
        <w:jc w:val="both"/>
        <w:rPr>
          <w:rFonts w:ascii="Arial" w:hAnsi="Arial" w:cs="Arial"/>
          <w:color w:val="212121"/>
          <w:shd w:val="clear" w:color="auto" w:fill="FFFFFF"/>
          <w:lang w:val="es-ES_tradnl"/>
        </w:rPr>
      </w:pPr>
      <w:r w:rsidRPr="007D3C05">
        <w:rPr>
          <w:rFonts w:ascii="Arial" w:hAnsi="Arial" w:cs="Arial"/>
          <w:color w:val="212121"/>
          <w:shd w:val="clear" w:color="auto" w:fill="FFFFFF"/>
          <w:lang w:val="es-ES_tradnl"/>
        </w:rPr>
        <w:t>Promover el empleo y las oportunidades para las mujeres.</w:t>
      </w:r>
    </w:p>
    <w:p w14:paraId="0D273D17" w14:textId="77777777" w:rsidR="00862501" w:rsidRPr="007D3C05" w:rsidRDefault="00862501" w:rsidP="00862501">
      <w:pPr>
        <w:spacing w:after="0" w:line="240" w:lineRule="auto"/>
        <w:jc w:val="both"/>
        <w:rPr>
          <w:rFonts w:ascii="Arial" w:hAnsi="Arial" w:cs="Arial"/>
          <w:color w:val="212121"/>
          <w:shd w:val="clear" w:color="auto" w:fill="FFFFFF"/>
          <w:lang w:val="es-ES_tradnl"/>
        </w:rPr>
      </w:pPr>
    </w:p>
    <w:p w14:paraId="355F5D4B" w14:textId="77777777" w:rsidR="00862501" w:rsidRPr="007D3C05" w:rsidRDefault="00862501" w:rsidP="00862501">
      <w:pPr>
        <w:pStyle w:val="ListParagraph"/>
        <w:numPr>
          <w:ilvl w:val="0"/>
          <w:numId w:val="3"/>
        </w:numPr>
        <w:spacing w:after="0" w:line="240" w:lineRule="auto"/>
        <w:jc w:val="both"/>
        <w:rPr>
          <w:rFonts w:ascii="Arial" w:hAnsi="Arial" w:cs="Arial"/>
          <w:color w:val="212121"/>
          <w:shd w:val="clear" w:color="auto" w:fill="FFFFFF"/>
          <w:lang w:val="es-ES_tradnl"/>
        </w:rPr>
      </w:pPr>
      <w:r w:rsidRPr="007D3C05">
        <w:rPr>
          <w:rFonts w:ascii="Arial" w:hAnsi="Arial" w:cs="Arial"/>
          <w:color w:val="212121"/>
          <w:shd w:val="clear" w:color="auto" w:fill="FFFFFF"/>
          <w:lang w:val="es-ES_tradnl"/>
        </w:rPr>
        <w:t xml:space="preserve">Incrementar la participación de las mujeres en tareas, incluyendo físicas, tradicionalmente ocupadas por hombres. </w:t>
      </w:r>
    </w:p>
    <w:p w14:paraId="268ADA18" w14:textId="77777777" w:rsidR="00862501" w:rsidRPr="007D3C05" w:rsidRDefault="00862501" w:rsidP="00862501">
      <w:pPr>
        <w:spacing w:after="0" w:line="240" w:lineRule="auto"/>
        <w:jc w:val="both"/>
        <w:rPr>
          <w:rFonts w:ascii="Arial" w:hAnsi="Arial" w:cs="Arial"/>
          <w:color w:val="212121"/>
          <w:shd w:val="clear" w:color="auto" w:fill="FFFFFF"/>
          <w:lang w:val="es-ES_tradnl"/>
        </w:rPr>
      </w:pPr>
    </w:p>
    <w:p w14:paraId="37DD8803" w14:textId="77777777" w:rsidR="00862501" w:rsidRPr="007D3C05" w:rsidRDefault="00862501" w:rsidP="00862501">
      <w:pPr>
        <w:pStyle w:val="ListParagraph"/>
        <w:numPr>
          <w:ilvl w:val="0"/>
          <w:numId w:val="3"/>
        </w:numPr>
        <w:spacing w:after="0" w:line="240" w:lineRule="auto"/>
        <w:jc w:val="both"/>
        <w:rPr>
          <w:rFonts w:ascii="Arial" w:hAnsi="Arial" w:cs="Arial"/>
          <w:color w:val="212121"/>
          <w:shd w:val="clear" w:color="auto" w:fill="FFFFFF"/>
          <w:lang w:val="es-ES_tradnl"/>
        </w:rPr>
      </w:pPr>
      <w:r w:rsidRPr="007D3C05">
        <w:rPr>
          <w:rFonts w:ascii="Arial" w:hAnsi="Arial" w:cs="Arial"/>
          <w:color w:val="212121"/>
          <w:shd w:val="clear" w:color="auto" w:fill="FFFFFF"/>
          <w:lang w:val="es-ES_tradnl"/>
        </w:rPr>
        <w:t xml:space="preserve">Mejora y adecuación de la infraestructura de las instalaciones, por ejemplo, sala de lactancia, baños de hombres y mujeres con cambiadores de pañales, </w:t>
      </w:r>
      <w:r>
        <w:rPr>
          <w:rFonts w:ascii="Arial" w:hAnsi="Arial" w:cs="Arial"/>
          <w:color w:val="212121"/>
          <w:shd w:val="clear" w:color="auto" w:fill="FFFFFF"/>
          <w:lang w:val="es-ES_tradnl"/>
        </w:rPr>
        <w:t>entre otras</w:t>
      </w:r>
      <w:r w:rsidRPr="007D3C05">
        <w:rPr>
          <w:rFonts w:ascii="Arial" w:hAnsi="Arial" w:cs="Arial"/>
          <w:color w:val="212121"/>
          <w:shd w:val="clear" w:color="auto" w:fill="FFFFFF"/>
          <w:lang w:val="es-ES_tradnl"/>
        </w:rPr>
        <w:t>.</w:t>
      </w:r>
    </w:p>
    <w:p w14:paraId="48B7A4E5" w14:textId="77777777" w:rsidR="00862501" w:rsidRPr="007D3C05" w:rsidRDefault="00862501" w:rsidP="00862501">
      <w:pPr>
        <w:spacing w:after="0" w:line="240" w:lineRule="auto"/>
        <w:jc w:val="both"/>
        <w:rPr>
          <w:rFonts w:ascii="Arial" w:hAnsi="Arial" w:cs="Arial"/>
          <w:color w:val="212121"/>
          <w:shd w:val="clear" w:color="auto" w:fill="FFFFFF"/>
          <w:lang w:val="es-ES_tradnl"/>
        </w:rPr>
      </w:pPr>
    </w:p>
    <w:p w14:paraId="483DBBCF" w14:textId="77777777" w:rsidR="00862501" w:rsidRPr="007D3C05" w:rsidRDefault="00862501" w:rsidP="00862501">
      <w:pPr>
        <w:pStyle w:val="ListParagraph"/>
        <w:numPr>
          <w:ilvl w:val="0"/>
          <w:numId w:val="3"/>
        </w:numPr>
        <w:jc w:val="both"/>
        <w:rPr>
          <w:rFonts w:ascii="Arial" w:hAnsi="Arial" w:cs="Arial"/>
          <w:lang w:val="es-ES_tradnl"/>
        </w:rPr>
      </w:pPr>
      <w:r w:rsidRPr="007D3C05">
        <w:rPr>
          <w:rFonts w:ascii="Arial" w:hAnsi="Arial" w:cs="Arial"/>
          <w:lang w:val="es-ES_tradnl"/>
        </w:rPr>
        <w:t>Revisar los procesos de contratación y la transparencia a la hora de elegir al mejor candidato.</w:t>
      </w:r>
    </w:p>
    <w:p w14:paraId="035ACD25" w14:textId="77777777" w:rsidR="00862501" w:rsidRPr="007D3C05" w:rsidRDefault="00862501" w:rsidP="00862501">
      <w:pPr>
        <w:pStyle w:val="ListParagraph"/>
        <w:jc w:val="both"/>
        <w:rPr>
          <w:rFonts w:ascii="Arial" w:hAnsi="Arial" w:cs="Arial"/>
          <w:lang w:val="es-ES_tradnl"/>
        </w:rPr>
      </w:pPr>
    </w:p>
    <w:p w14:paraId="4D7CA8DB" w14:textId="77777777" w:rsidR="00862501" w:rsidRPr="007D3C05" w:rsidRDefault="00862501" w:rsidP="00862501">
      <w:pPr>
        <w:pStyle w:val="ListParagraph"/>
        <w:numPr>
          <w:ilvl w:val="0"/>
          <w:numId w:val="3"/>
        </w:numPr>
        <w:jc w:val="both"/>
        <w:rPr>
          <w:rFonts w:ascii="Arial" w:hAnsi="Arial" w:cs="Arial"/>
          <w:lang w:val="es-ES_tradnl"/>
        </w:rPr>
      </w:pPr>
      <w:r w:rsidRPr="007D3C05">
        <w:rPr>
          <w:rFonts w:ascii="Arial" w:hAnsi="Arial" w:cs="Arial"/>
          <w:lang w:val="es-ES_tradnl"/>
        </w:rPr>
        <w:t>Realizar campañas en primaria, secundaria y universidades para promover que más mujeres se interesen por estudiar carreras afines al sector energética, así como también promover su interés en trabajar en el sector.</w:t>
      </w:r>
    </w:p>
    <w:p w14:paraId="4266BE0A" w14:textId="77777777" w:rsidR="00862501" w:rsidRPr="007D3C05" w:rsidRDefault="00862501" w:rsidP="00862501">
      <w:pPr>
        <w:pStyle w:val="ListParagraph"/>
        <w:numPr>
          <w:ilvl w:val="0"/>
          <w:numId w:val="3"/>
        </w:numPr>
        <w:jc w:val="both"/>
        <w:rPr>
          <w:rFonts w:ascii="Arial" w:hAnsi="Arial" w:cs="Arial"/>
          <w:color w:val="212121"/>
          <w:shd w:val="clear" w:color="auto" w:fill="FFFFFF"/>
          <w:lang w:val="es-ES_tradnl"/>
        </w:rPr>
      </w:pPr>
      <w:r w:rsidRPr="007D3C05">
        <w:rPr>
          <w:rFonts w:ascii="Arial" w:hAnsi="Arial" w:cs="Arial"/>
          <w:color w:val="212121"/>
          <w:shd w:val="clear" w:color="auto" w:fill="FFFFFF"/>
          <w:lang w:val="es-ES_tradnl"/>
        </w:rPr>
        <w:lastRenderedPageBreak/>
        <w:t>Establecer objetivos para la inclusión de mujeres en todos los niveles y campos de la fuerza de trabajo,</w:t>
      </w:r>
    </w:p>
    <w:p w14:paraId="7A954F5C" w14:textId="77777777" w:rsidR="00862501" w:rsidRPr="007D3C05" w:rsidRDefault="00862501" w:rsidP="00862501">
      <w:pPr>
        <w:pStyle w:val="ListParagraph"/>
        <w:jc w:val="both"/>
        <w:rPr>
          <w:rFonts w:ascii="Arial" w:hAnsi="Arial" w:cs="Arial"/>
          <w:color w:val="212121"/>
          <w:shd w:val="clear" w:color="auto" w:fill="FFFFFF"/>
          <w:lang w:val="es-ES_tradnl"/>
        </w:rPr>
      </w:pPr>
    </w:p>
    <w:p w14:paraId="4D12726F" w14:textId="77777777" w:rsidR="00862501" w:rsidRPr="007D3C05" w:rsidRDefault="00862501" w:rsidP="00862501">
      <w:pPr>
        <w:pStyle w:val="ListParagraph"/>
        <w:numPr>
          <w:ilvl w:val="0"/>
          <w:numId w:val="3"/>
        </w:numPr>
        <w:jc w:val="both"/>
        <w:rPr>
          <w:rFonts w:ascii="Arial" w:hAnsi="Arial" w:cs="Arial"/>
          <w:color w:val="212121"/>
          <w:shd w:val="clear" w:color="auto" w:fill="FFFFFF"/>
          <w:lang w:val="es-ES_tradnl"/>
        </w:rPr>
      </w:pPr>
      <w:r w:rsidRPr="007D3C05">
        <w:rPr>
          <w:rFonts w:ascii="Arial" w:hAnsi="Arial" w:cs="Arial"/>
          <w:color w:val="212121"/>
          <w:shd w:val="clear" w:color="auto" w:fill="FFFFFF"/>
          <w:lang w:val="es-ES_tradnl"/>
        </w:rPr>
        <w:t xml:space="preserve">Promover que las mujeres permanezcan en la fuerza de trabajo, incluso a través del diseño de oportunidades de trabajo flexibles, programas de </w:t>
      </w:r>
      <w:r w:rsidRPr="00B32813">
        <w:rPr>
          <w:rFonts w:ascii="Arial" w:hAnsi="Arial" w:cs="Arial"/>
          <w:i/>
          <w:color w:val="212121"/>
          <w:shd w:val="clear" w:color="auto" w:fill="FFFFFF"/>
          <w:lang w:val="es-ES_tradnl"/>
        </w:rPr>
        <w:t>mentoring</w:t>
      </w:r>
      <w:r w:rsidRPr="007D3C05">
        <w:rPr>
          <w:rFonts w:ascii="Arial" w:hAnsi="Arial" w:cs="Arial"/>
          <w:color w:val="212121"/>
          <w:shd w:val="clear" w:color="auto" w:fill="FFFFFF"/>
          <w:lang w:val="es-ES_tradnl"/>
        </w:rPr>
        <w:t xml:space="preserve"> y patrocinio, profesionales desarrollo y entrenamiento. </w:t>
      </w:r>
    </w:p>
    <w:p w14:paraId="57BCE975" w14:textId="77777777" w:rsidR="00862501" w:rsidRPr="007D3C05" w:rsidRDefault="00862501" w:rsidP="00862501">
      <w:pPr>
        <w:pStyle w:val="ListParagraph"/>
        <w:jc w:val="both"/>
        <w:rPr>
          <w:rFonts w:ascii="Arial" w:hAnsi="Arial" w:cs="Arial"/>
          <w:color w:val="212121"/>
          <w:shd w:val="clear" w:color="auto" w:fill="FFFFFF"/>
          <w:lang w:val="es-ES_tradnl"/>
        </w:rPr>
      </w:pPr>
    </w:p>
    <w:p w14:paraId="0555253E" w14:textId="77777777" w:rsidR="00862501" w:rsidRPr="007D3C05" w:rsidRDefault="00862501" w:rsidP="00862501">
      <w:pPr>
        <w:pStyle w:val="ListParagraph"/>
        <w:numPr>
          <w:ilvl w:val="0"/>
          <w:numId w:val="3"/>
        </w:numPr>
        <w:jc w:val="both"/>
        <w:rPr>
          <w:rFonts w:ascii="Arial" w:hAnsi="Arial" w:cs="Arial"/>
          <w:color w:val="212121"/>
          <w:shd w:val="clear" w:color="auto" w:fill="FFFFFF"/>
          <w:lang w:val="es-ES_tradnl"/>
        </w:rPr>
      </w:pPr>
      <w:r w:rsidRPr="007D3C05">
        <w:rPr>
          <w:rFonts w:ascii="Arial" w:hAnsi="Arial" w:cs="Arial"/>
          <w:color w:val="212121"/>
          <w:shd w:val="clear" w:color="auto" w:fill="FFFFFF"/>
          <w:lang w:val="es-ES_tradnl"/>
        </w:rPr>
        <w:t xml:space="preserve">Incluir indicadores de género en el monitoreo y evaluación de la gran escala proyectos de infraestructura; </w:t>
      </w:r>
    </w:p>
    <w:p w14:paraId="2E82790A" w14:textId="77777777" w:rsidR="00862501" w:rsidRPr="007D3C05" w:rsidRDefault="00862501" w:rsidP="00862501">
      <w:pPr>
        <w:pStyle w:val="ListParagraph"/>
        <w:jc w:val="both"/>
        <w:rPr>
          <w:rFonts w:ascii="Arial" w:hAnsi="Arial" w:cs="Arial"/>
          <w:color w:val="212121"/>
          <w:shd w:val="clear" w:color="auto" w:fill="FFFFFF"/>
          <w:lang w:val="es-ES_tradnl"/>
        </w:rPr>
      </w:pPr>
    </w:p>
    <w:p w14:paraId="5E6A5357" w14:textId="77777777" w:rsidR="00862501" w:rsidRPr="007D3C05" w:rsidRDefault="00862501" w:rsidP="00862501">
      <w:pPr>
        <w:pStyle w:val="ListParagraph"/>
        <w:numPr>
          <w:ilvl w:val="0"/>
          <w:numId w:val="3"/>
        </w:numPr>
        <w:jc w:val="both"/>
        <w:rPr>
          <w:rFonts w:ascii="Arial" w:hAnsi="Arial" w:cs="Arial"/>
          <w:color w:val="212121"/>
          <w:shd w:val="clear" w:color="auto" w:fill="FFFFFF"/>
          <w:lang w:val="es-ES_tradnl"/>
        </w:rPr>
      </w:pPr>
      <w:proofErr w:type="gramStart"/>
      <w:r w:rsidRPr="007D3C05">
        <w:rPr>
          <w:rFonts w:ascii="Arial" w:hAnsi="Arial" w:cs="Arial"/>
          <w:color w:val="212121"/>
          <w:shd w:val="clear" w:color="auto" w:fill="FFFFFF"/>
          <w:lang w:val="es-ES_tradnl"/>
        </w:rPr>
        <w:t>Asegurar</w:t>
      </w:r>
      <w:proofErr w:type="gramEnd"/>
      <w:r w:rsidRPr="007D3C05">
        <w:rPr>
          <w:rFonts w:ascii="Arial" w:hAnsi="Arial" w:cs="Arial"/>
          <w:color w:val="212121"/>
          <w:shd w:val="clear" w:color="auto" w:fill="FFFFFF"/>
          <w:lang w:val="es-ES_tradnl"/>
        </w:rPr>
        <w:t xml:space="preserve"> que se planee y tenga plan de mitigación a las consideraciones para prevenir violencia, incluido, entre otros, el acoso sexual durante actividades de modernización y también de operación regular</w:t>
      </w:r>
      <w:r>
        <w:rPr>
          <w:rFonts w:ascii="Arial" w:hAnsi="Arial" w:cs="Arial"/>
          <w:color w:val="212121"/>
          <w:shd w:val="clear" w:color="auto" w:fill="FFFFFF"/>
          <w:lang w:val="es-ES_tradnl"/>
        </w:rPr>
        <w:t>.</w:t>
      </w:r>
    </w:p>
    <w:p w14:paraId="300C2139" w14:textId="77777777" w:rsidR="00862501" w:rsidRPr="007D3C05" w:rsidRDefault="00862501" w:rsidP="00862501">
      <w:pPr>
        <w:pStyle w:val="ListParagraph"/>
        <w:jc w:val="both"/>
        <w:rPr>
          <w:rFonts w:ascii="Arial" w:hAnsi="Arial" w:cs="Arial"/>
          <w:color w:val="212121"/>
          <w:shd w:val="clear" w:color="auto" w:fill="FFFFFF"/>
          <w:lang w:val="es-ES_tradnl"/>
        </w:rPr>
      </w:pPr>
    </w:p>
    <w:p w14:paraId="5C6361C5" w14:textId="77777777" w:rsidR="00862501" w:rsidRDefault="00862501" w:rsidP="00862501">
      <w:pPr>
        <w:pStyle w:val="ListParagraph"/>
        <w:numPr>
          <w:ilvl w:val="0"/>
          <w:numId w:val="3"/>
        </w:numPr>
        <w:jc w:val="both"/>
        <w:rPr>
          <w:rFonts w:ascii="Arial" w:hAnsi="Arial" w:cs="Arial"/>
          <w:color w:val="212121"/>
          <w:shd w:val="clear" w:color="auto" w:fill="FFFFFF"/>
          <w:lang w:val="es-ES_tradnl"/>
        </w:rPr>
      </w:pPr>
      <w:r w:rsidRPr="007D3C05">
        <w:rPr>
          <w:rFonts w:ascii="Arial" w:hAnsi="Arial" w:cs="Arial"/>
          <w:color w:val="212121"/>
          <w:shd w:val="clear" w:color="auto" w:fill="FFFFFF"/>
          <w:lang w:val="es-ES_tradnl"/>
        </w:rPr>
        <w:t>Desarrollar mecanismos de información apropiados para cuando ocurra violencia de género.</w:t>
      </w:r>
    </w:p>
    <w:p w14:paraId="6BAAA924" w14:textId="77777777" w:rsidR="00862501" w:rsidRPr="00B32813" w:rsidRDefault="00862501" w:rsidP="00862501">
      <w:pPr>
        <w:pStyle w:val="ListParagraph"/>
        <w:rPr>
          <w:rFonts w:ascii="Arial" w:hAnsi="Arial" w:cs="Arial"/>
          <w:color w:val="212121"/>
          <w:shd w:val="clear" w:color="auto" w:fill="FFFFFF"/>
          <w:lang w:val="es-ES_tradnl"/>
        </w:rPr>
      </w:pPr>
    </w:p>
    <w:p w14:paraId="0D27BD79" w14:textId="77777777" w:rsidR="00862501" w:rsidRPr="007D3C05" w:rsidRDefault="00862501" w:rsidP="00862501">
      <w:pPr>
        <w:pStyle w:val="ListParagraph"/>
        <w:jc w:val="both"/>
        <w:rPr>
          <w:rFonts w:ascii="Arial" w:hAnsi="Arial" w:cs="Arial"/>
          <w:color w:val="212121"/>
          <w:shd w:val="clear" w:color="auto" w:fill="FFFFFF"/>
          <w:lang w:val="es-ES_tradnl"/>
        </w:rPr>
      </w:pPr>
    </w:p>
    <w:p w14:paraId="489C73F1" w14:textId="77777777" w:rsidR="00862501" w:rsidRPr="00B32813" w:rsidRDefault="00862501" w:rsidP="00862501">
      <w:pPr>
        <w:jc w:val="both"/>
        <w:rPr>
          <w:rFonts w:ascii="Arial" w:hAnsi="Arial" w:cs="Arial"/>
          <w:lang w:val="es-419"/>
        </w:rPr>
      </w:pPr>
      <w:r w:rsidRPr="00B32813">
        <w:rPr>
          <w:rFonts w:ascii="Arial" w:hAnsi="Arial" w:cs="Arial"/>
          <w:lang w:val="es-ES_tradnl"/>
        </w:rPr>
        <w:t>Las actividades antes mencionadas son ejemplos de lo que podrá</w:t>
      </w:r>
      <w:r w:rsidRPr="00B32813">
        <w:rPr>
          <w:rFonts w:ascii="Arial" w:hAnsi="Arial" w:cs="Arial"/>
          <w:lang w:val="es-419"/>
        </w:rPr>
        <w:t xml:space="preserve"> incluir un plan de género de la institución, sin embargo</w:t>
      </w:r>
      <w:r>
        <w:rPr>
          <w:rFonts w:ascii="Arial" w:hAnsi="Arial" w:cs="Arial"/>
          <w:lang w:val="es-419"/>
        </w:rPr>
        <w:t>,</w:t>
      </w:r>
      <w:r w:rsidRPr="00B32813">
        <w:rPr>
          <w:rFonts w:ascii="Arial" w:hAnsi="Arial" w:cs="Arial"/>
          <w:lang w:val="es-419"/>
        </w:rPr>
        <w:t xml:space="preserve"> las acciones concretas serán determinadas durante la ejecución del proyecto una vez que se haya realizado el diagnóstico. </w:t>
      </w:r>
    </w:p>
    <w:bookmarkEnd w:id="1"/>
    <w:p w14:paraId="3518CC1A" w14:textId="77777777" w:rsidR="00862501" w:rsidRPr="007D3C05" w:rsidRDefault="00862501" w:rsidP="00862501">
      <w:pPr>
        <w:jc w:val="both"/>
        <w:rPr>
          <w:rFonts w:ascii="Arial" w:hAnsi="Arial" w:cs="Arial"/>
          <w:lang w:val="es-ES_tradnl"/>
        </w:rPr>
      </w:pPr>
    </w:p>
    <w:p w14:paraId="7E776D30" w14:textId="0C53805B" w:rsidR="36661E13" w:rsidRPr="00862501" w:rsidRDefault="36661E13" w:rsidP="36661E13">
      <w:pPr>
        <w:jc w:val="both"/>
        <w:rPr>
          <w:lang w:val="es-ES_tradnl"/>
        </w:rPr>
      </w:pPr>
    </w:p>
    <w:sectPr w:rsidR="36661E13" w:rsidRPr="00862501" w:rsidSect="00E45792">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0DF15" w14:textId="77777777" w:rsidR="00835B89" w:rsidRDefault="00835B89" w:rsidP="000056DF">
      <w:pPr>
        <w:spacing w:after="0" w:line="240" w:lineRule="auto"/>
      </w:pPr>
      <w:r>
        <w:separator/>
      </w:r>
    </w:p>
  </w:endnote>
  <w:endnote w:type="continuationSeparator" w:id="0">
    <w:p w14:paraId="0A7AF31C" w14:textId="77777777" w:rsidR="00835B89" w:rsidRDefault="00835B89" w:rsidP="000056DF">
      <w:pPr>
        <w:spacing w:after="0" w:line="240" w:lineRule="auto"/>
      </w:pPr>
      <w:r>
        <w:continuationSeparator/>
      </w:r>
    </w:p>
  </w:endnote>
  <w:endnote w:type="continuationNotice" w:id="1">
    <w:p w14:paraId="294DCE61" w14:textId="77777777" w:rsidR="00835B89" w:rsidRDefault="00835B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5628930"/>
      <w:docPartObj>
        <w:docPartGallery w:val="Page Numbers (Bottom of Page)"/>
        <w:docPartUnique/>
      </w:docPartObj>
    </w:sdtPr>
    <w:sdtEndPr>
      <w:rPr>
        <w:noProof/>
      </w:rPr>
    </w:sdtEndPr>
    <w:sdtContent>
      <w:p w14:paraId="42729633" w14:textId="77777777" w:rsidR="00E8755D" w:rsidRDefault="00E8755D">
        <w:pPr>
          <w:pStyle w:val="Footer"/>
          <w:jc w:val="center"/>
        </w:pPr>
        <w:r>
          <w:fldChar w:fldCharType="begin"/>
        </w:r>
        <w:r>
          <w:instrText xml:space="preserve"> PAGE   \* MERGEFORMAT </w:instrText>
        </w:r>
        <w:r>
          <w:fldChar w:fldCharType="separate"/>
        </w:r>
        <w:r w:rsidR="0025086D">
          <w:rPr>
            <w:noProof/>
          </w:rPr>
          <w:t>5</w:t>
        </w:r>
        <w:r>
          <w:rPr>
            <w:noProof/>
          </w:rPr>
          <w:fldChar w:fldCharType="end"/>
        </w:r>
      </w:p>
    </w:sdtContent>
  </w:sdt>
  <w:p w14:paraId="40F8F4CD" w14:textId="77777777" w:rsidR="00E8755D" w:rsidRDefault="00E87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080D6" w14:textId="77777777" w:rsidR="00835B89" w:rsidRDefault="00835B89" w:rsidP="000056DF">
      <w:pPr>
        <w:spacing w:after="0" w:line="240" w:lineRule="auto"/>
      </w:pPr>
      <w:r>
        <w:separator/>
      </w:r>
    </w:p>
  </w:footnote>
  <w:footnote w:type="continuationSeparator" w:id="0">
    <w:p w14:paraId="197B59FA" w14:textId="77777777" w:rsidR="00835B89" w:rsidRDefault="00835B89" w:rsidP="000056DF">
      <w:pPr>
        <w:spacing w:after="0" w:line="240" w:lineRule="auto"/>
      </w:pPr>
      <w:r>
        <w:continuationSeparator/>
      </w:r>
    </w:p>
  </w:footnote>
  <w:footnote w:type="continuationNotice" w:id="1">
    <w:p w14:paraId="62641DDC" w14:textId="77777777" w:rsidR="00835B89" w:rsidRDefault="00835B89">
      <w:pPr>
        <w:spacing w:after="0" w:line="240" w:lineRule="auto"/>
      </w:pPr>
    </w:p>
  </w:footnote>
  <w:footnote w:id="2">
    <w:p w14:paraId="123464DE" w14:textId="77777777" w:rsidR="00862501" w:rsidRPr="00B32813" w:rsidRDefault="00862501" w:rsidP="00862501">
      <w:pPr>
        <w:pStyle w:val="FootnoteText"/>
        <w:jc w:val="both"/>
        <w:rPr>
          <w:rFonts w:ascii="Arial" w:hAnsi="Arial" w:cs="Arial"/>
          <w:sz w:val="18"/>
          <w:szCs w:val="16"/>
        </w:rPr>
      </w:pPr>
      <w:r w:rsidRPr="00B32813">
        <w:rPr>
          <w:rStyle w:val="FootnoteReference"/>
          <w:rFonts w:ascii="Arial" w:hAnsi="Arial" w:cs="Arial"/>
          <w:sz w:val="18"/>
          <w:szCs w:val="16"/>
        </w:rPr>
        <w:footnoteRef/>
      </w:r>
      <w:r w:rsidRPr="00B32813">
        <w:rPr>
          <w:rFonts w:ascii="Arial" w:hAnsi="Arial" w:cs="Arial"/>
          <w:sz w:val="18"/>
          <w:szCs w:val="16"/>
        </w:rPr>
        <w:t xml:space="preserve"> </w:t>
      </w:r>
      <w:r w:rsidRPr="00B32813">
        <w:rPr>
          <w:rFonts w:ascii="Arial" w:hAnsi="Arial" w:cs="Arial"/>
          <w:sz w:val="18"/>
          <w:szCs w:val="16"/>
        </w:rPr>
        <w:tab/>
      </w:r>
      <w:hyperlink r:id="rId1" w:history="1">
        <w:r w:rsidRPr="00B32813">
          <w:rPr>
            <w:rStyle w:val="Hyperlink"/>
            <w:rFonts w:ascii="Arial" w:hAnsi="Arial" w:cs="Arial"/>
            <w:sz w:val="18"/>
            <w:szCs w:val="16"/>
          </w:rPr>
          <w:t>Ernst and Young (2016). Women in Power and Utilities: Index 2016</w:t>
        </w:r>
      </w:hyperlink>
      <w:r w:rsidRPr="00B32813">
        <w:rPr>
          <w:rFonts w:ascii="Arial" w:hAnsi="Arial" w:cs="Arial"/>
          <w:sz w:val="18"/>
          <w:szCs w:val="16"/>
        </w:rPr>
        <w:t>.</w:t>
      </w:r>
    </w:p>
  </w:footnote>
  <w:footnote w:id="3">
    <w:p w14:paraId="7F0E5257" w14:textId="77777777" w:rsidR="00862501" w:rsidRPr="00B32813" w:rsidRDefault="00862501" w:rsidP="00862501">
      <w:pPr>
        <w:pStyle w:val="FootnoteText"/>
        <w:jc w:val="both"/>
        <w:rPr>
          <w:rFonts w:ascii="Arial" w:hAnsi="Arial" w:cs="Arial"/>
          <w:sz w:val="18"/>
          <w:szCs w:val="16"/>
          <w:lang w:val="es-ES_tradnl"/>
        </w:rPr>
      </w:pPr>
      <w:r w:rsidRPr="00B32813">
        <w:rPr>
          <w:rStyle w:val="FootnoteReference"/>
          <w:rFonts w:ascii="Arial" w:hAnsi="Arial" w:cs="Arial"/>
          <w:sz w:val="18"/>
          <w:szCs w:val="16"/>
        </w:rPr>
        <w:footnoteRef/>
      </w:r>
      <w:r w:rsidRPr="00B32813">
        <w:rPr>
          <w:rFonts w:ascii="Arial" w:hAnsi="Arial" w:cs="Arial"/>
          <w:sz w:val="18"/>
          <w:szCs w:val="16"/>
          <w:lang w:val="es-ES_tradnl"/>
        </w:rPr>
        <w:t xml:space="preserve"> </w:t>
      </w:r>
      <w:r w:rsidRPr="00B32813">
        <w:rPr>
          <w:rFonts w:ascii="Arial" w:hAnsi="Arial" w:cs="Arial"/>
          <w:sz w:val="18"/>
          <w:szCs w:val="16"/>
          <w:lang w:val="es-ES_tradnl"/>
        </w:rPr>
        <w:tab/>
        <w:t xml:space="preserve">IDB (2015). Sistema de Información de Mercados Laborares y Seguridad Social. </w:t>
      </w:r>
    </w:p>
  </w:footnote>
  <w:footnote w:id="4">
    <w:p w14:paraId="6379CE90" w14:textId="77777777" w:rsidR="00862501" w:rsidRPr="00B32813" w:rsidRDefault="00862501" w:rsidP="00862501">
      <w:pPr>
        <w:pStyle w:val="FootnoteText"/>
        <w:jc w:val="both"/>
        <w:rPr>
          <w:rFonts w:ascii="Arial" w:hAnsi="Arial" w:cs="Arial"/>
          <w:sz w:val="18"/>
          <w:szCs w:val="16"/>
          <w:lang w:val="es-ES_tradnl"/>
        </w:rPr>
      </w:pPr>
      <w:r w:rsidRPr="00B32813">
        <w:rPr>
          <w:rStyle w:val="FootnoteReference"/>
          <w:rFonts w:ascii="Arial" w:hAnsi="Arial" w:cs="Arial"/>
          <w:sz w:val="18"/>
          <w:szCs w:val="16"/>
        </w:rPr>
        <w:footnoteRef/>
      </w:r>
      <w:r w:rsidRPr="00B32813">
        <w:rPr>
          <w:rFonts w:ascii="Arial" w:hAnsi="Arial" w:cs="Arial"/>
          <w:sz w:val="18"/>
          <w:szCs w:val="16"/>
          <w:lang w:val="es-ES_tradnl"/>
        </w:rPr>
        <w:t xml:space="preserve"> </w:t>
      </w:r>
      <w:r w:rsidRPr="00B32813">
        <w:rPr>
          <w:rFonts w:ascii="Arial" w:hAnsi="Arial" w:cs="Arial"/>
          <w:sz w:val="18"/>
          <w:szCs w:val="16"/>
          <w:lang w:val="es-ES_tradnl"/>
        </w:rPr>
        <w:tab/>
        <w:t>Sistema de información de mercados laborales y seguridad social BID (2014).</w:t>
      </w:r>
    </w:p>
  </w:footnote>
  <w:footnote w:id="5">
    <w:p w14:paraId="52F646FF" w14:textId="77777777" w:rsidR="00862501" w:rsidRPr="00B32813" w:rsidRDefault="00862501" w:rsidP="00862501">
      <w:pPr>
        <w:pStyle w:val="FootnoteText"/>
        <w:jc w:val="both"/>
        <w:rPr>
          <w:rFonts w:ascii="Arial" w:hAnsi="Arial" w:cs="Arial"/>
          <w:sz w:val="18"/>
          <w:szCs w:val="16"/>
          <w:lang w:val="es-ES_tradnl"/>
        </w:rPr>
      </w:pPr>
      <w:r w:rsidRPr="00B32813">
        <w:rPr>
          <w:rStyle w:val="FootnoteReference"/>
          <w:rFonts w:ascii="Arial" w:hAnsi="Arial" w:cs="Arial"/>
          <w:sz w:val="18"/>
          <w:szCs w:val="16"/>
        </w:rPr>
        <w:footnoteRef/>
      </w:r>
      <w:r w:rsidRPr="00B32813">
        <w:rPr>
          <w:rFonts w:ascii="Arial" w:hAnsi="Arial" w:cs="Arial"/>
          <w:sz w:val="18"/>
          <w:szCs w:val="16"/>
          <w:lang w:val="es-ES_tradnl"/>
        </w:rPr>
        <w:t xml:space="preserve"> </w:t>
      </w:r>
      <w:r w:rsidRPr="00B32813">
        <w:rPr>
          <w:rFonts w:ascii="Arial" w:hAnsi="Arial" w:cs="Arial"/>
          <w:sz w:val="18"/>
          <w:szCs w:val="16"/>
          <w:lang w:val="es-ES_tradnl"/>
        </w:rPr>
        <w:tab/>
        <w:t>Sistema de información de mercados laborales y seguridad social BID (2014).</w:t>
      </w:r>
    </w:p>
  </w:footnote>
  <w:footnote w:id="6">
    <w:p w14:paraId="4D0E98ED" w14:textId="77777777" w:rsidR="00862501" w:rsidRPr="00B32813" w:rsidRDefault="00862501" w:rsidP="00862501">
      <w:pPr>
        <w:pStyle w:val="FootnoteText"/>
        <w:ind w:left="720" w:hanging="720"/>
        <w:jc w:val="both"/>
        <w:rPr>
          <w:rFonts w:ascii="Arial" w:hAnsi="Arial" w:cs="Arial"/>
          <w:sz w:val="18"/>
          <w:szCs w:val="16"/>
          <w:lang w:val="es-419"/>
        </w:rPr>
      </w:pPr>
      <w:r w:rsidRPr="00B32813">
        <w:rPr>
          <w:rStyle w:val="FootnoteReference"/>
          <w:rFonts w:ascii="Arial" w:hAnsi="Arial" w:cs="Arial"/>
          <w:sz w:val="18"/>
          <w:szCs w:val="16"/>
        </w:rPr>
        <w:footnoteRef/>
      </w:r>
      <w:r w:rsidRPr="00B32813">
        <w:rPr>
          <w:rFonts w:ascii="Arial" w:hAnsi="Arial" w:cs="Arial"/>
          <w:sz w:val="18"/>
          <w:szCs w:val="16"/>
          <w:lang w:val="es-419"/>
        </w:rPr>
        <w:t xml:space="preserve"> </w:t>
      </w:r>
      <w:r>
        <w:rPr>
          <w:rFonts w:ascii="Arial" w:hAnsi="Arial" w:cs="Arial"/>
          <w:sz w:val="18"/>
          <w:szCs w:val="16"/>
          <w:lang w:val="es-419"/>
        </w:rPr>
        <w:tab/>
      </w:r>
      <w:r w:rsidRPr="00B32813">
        <w:rPr>
          <w:rFonts w:ascii="Arial" w:hAnsi="Arial" w:cs="Arial"/>
          <w:sz w:val="18"/>
          <w:szCs w:val="16"/>
          <w:lang w:val="es-419"/>
        </w:rPr>
        <w:t xml:space="preserve">El Decreto Ejecutivo No. 399, de fecha 15 de mayo de 2018, crea </w:t>
      </w:r>
      <w:bookmarkStart w:id="4" w:name="_Hlk516487284"/>
      <w:r w:rsidRPr="00B32813">
        <w:rPr>
          <w:rFonts w:ascii="Arial" w:hAnsi="Arial" w:cs="Arial"/>
          <w:sz w:val="18"/>
          <w:szCs w:val="16"/>
          <w:lang w:val="es-419"/>
        </w:rPr>
        <w:t>el Ministerio de Energía y Recursos Naturales No Renovables (MERNNR),</w:t>
      </w:r>
      <w:bookmarkEnd w:id="4"/>
      <w:r w:rsidRPr="00B32813">
        <w:rPr>
          <w:rFonts w:ascii="Arial" w:hAnsi="Arial" w:cs="Arial"/>
          <w:sz w:val="18"/>
          <w:szCs w:val="16"/>
          <w:lang w:val="es-419"/>
        </w:rPr>
        <w:t xml:space="preserve"> mediante la fusión de las siguientes instituciones: (i) Ministerio de Hidrocarburos; (ii) Ministerio de Electricidad y Energía Renovable (MEER); (iii) Ministerio de Minería; y (iv) Secretaría de Hidrocarburos</w:t>
      </w:r>
      <w:r>
        <w:rPr>
          <w:rFonts w:ascii="Arial" w:hAnsi="Arial" w:cs="Arial"/>
          <w:sz w:val="18"/>
          <w:szCs w:val="16"/>
          <w:lang w:val="es-419"/>
        </w:rPr>
        <w:t>.</w:t>
      </w:r>
    </w:p>
  </w:footnote>
  <w:footnote w:id="7">
    <w:p w14:paraId="440D9257" w14:textId="77777777" w:rsidR="00862501" w:rsidRPr="00B32813" w:rsidRDefault="00862501" w:rsidP="00862501">
      <w:pPr>
        <w:pStyle w:val="FootnoteText"/>
        <w:rPr>
          <w:rFonts w:ascii="Arial" w:hAnsi="Arial" w:cs="Arial"/>
          <w:sz w:val="18"/>
          <w:szCs w:val="18"/>
          <w:lang w:val="es-ES_tradnl"/>
        </w:rPr>
      </w:pPr>
      <w:r w:rsidRPr="00B32813">
        <w:rPr>
          <w:rStyle w:val="FootnoteReference"/>
          <w:rFonts w:ascii="Arial" w:hAnsi="Arial" w:cs="Arial"/>
          <w:sz w:val="18"/>
          <w:szCs w:val="18"/>
        </w:rPr>
        <w:footnoteRef/>
      </w:r>
      <w:r w:rsidRPr="00B32813">
        <w:rPr>
          <w:rFonts w:ascii="Arial" w:hAnsi="Arial" w:cs="Arial"/>
          <w:sz w:val="18"/>
          <w:szCs w:val="18"/>
          <w:lang w:val="es-ES_tradnl"/>
        </w:rPr>
        <w:t xml:space="preserve"> </w:t>
      </w:r>
      <w:r>
        <w:rPr>
          <w:rFonts w:ascii="Arial" w:hAnsi="Arial" w:cs="Arial"/>
          <w:sz w:val="18"/>
          <w:szCs w:val="18"/>
          <w:lang w:val="es-ES_tradnl"/>
        </w:rPr>
        <w:tab/>
      </w:r>
      <w:r w:rsidRPr="00B32813">
        <w:rPr>
          <w:rFonts w:ascii="Arial" w:hAnsi="Arial" w:cs="Arial"/>
          <w:bCs/>
          <w:sz w:val="18"/>
          <w:szCs w:val="18"/>
          <w:lang w:val="es-419"/>
        </w:rPr>
        <w:t>Fuente: Encuesta Nacional de Empleo y desempleo que hace el INEC con el Banco Central. 2015.</w:t>
      </w:r>
    </w:p>
  </w:footnote>
  <w:footnote w:id="8">
    <w:p w14:paraId="57B3F011" w14:textId="77777777" w:rsidR="00862501" w:rsidRPr="00B32813" w:rsidRDefault="00862501" w:rsidP="00862501">
      <w:pPr>
        <w:tabs>
          <w:tab w:val="left" w:pos="0"/>
        </w:tabs>
        <w:spacing w:after="0" w:line="240" w:lineRule="auto"/>
        <w:rPr>
          <w:rFonts w:ascii="Arial" w:hAnsi="Arial" w:cs="Arial"/>
          <w:sz w:val="18"/>
          <w:szCs w:val="18"/>
          <w:lang w:val="es-419"/>
        </w:rPr>
      </w:pPr>
      <w:r w:rsidRPr="00B32813">
        <w:rPr>
          <w:rStyle w:val="FootnoteReference"/>
          <w:rFonts w:ascii="Arial" w:hAnsi="Arial" w:cs="Arial"/>
          <w:sz w:val="18"/>
          <w:szCs w:val="18"/>
        </w:rPr>
        <w:footnoteRef/>
      </w:r>
      <w:r w:rsidRPr="00B32813">
        <w:rPr>
          <w:rFonts w:ascii="Arial" w:hAnsi="Arial" w:cs="Arial"/>
          <w:sz w:val="18"/>
          <w:szCs w:val="18"/>
          <w:lang w:val="es-ES_tradnl"/>
        </w:rPr>
        <w:t xml:space="preserve"> </w:t>
      </w:r>
      <w:r>
        <w:rPr>
          <w:rFonts w:ascii="Arial" w:hAnsi="Arial" w:cs="Arial"/>
          <w:sz w:val="18"/>
          <w:szCs w:val="18"/>
          <w:lang w:val="es-ES_tradnl"/>
        </w:rPr>
        <w:tab/>
      </w:r>
      <w:r w:rsidRPr="00B32813">
        <w:rPr>
          <w:rFonts w:ascii="Arial" w:hAnsi="Arial" w:cs="Arial"/>
          <w:sz w:val="18"/>
          <w:szCs w:val="18"/>
          <w:lang w:val="es-419"/>
        </w:rPr>
        <w:t xml:space="preserve">Fuente: INEC, INDICADORES LABORALES Septiembre, 2015, Quito. </w:t>
      </w:r>
    </w:p>
  </w:footnote>
  <w:footnote w:id="9">
    <w:p w14:paraId="2D0D9B90" w14:textId="77777777" w:rsidR="00862501" w:rsidRPr="00B32813" w:rsidRDefault="00862501" w:rsidP="00862501">
      <w:pPr>
        <w:pStyle w:val="FootnoteText"/>
        <w:tabs>
          <w:tab w:val="left" w:pos="720"/>
        </w:tabs>
        <w:ind w:left="720" w:hanging="720"/>
        <w:jc w:val="both"/>
        <w:rPr>
          <w:rFonts w:ascii="Arial" w:hAnsi="Arial" w:cs="Arial"/>
          <w:sz w:val="18"/>
          <w:szCs w:val="18"/>
        </w:rPr>
      </w:pPr>
      <w:r w:rsidRPr="00B32813">
        <w:rPr>
          <w:rStyle w:val="FootnoteReference"/>
          <w:rFonts w:ascii="Arial" w:hAnsi="Arial" w:cs="Arial"/>
          <w:sz w:val="18"/>
          <w:szCs w:val="18"/>
        </w:rPr>
        <w:footnoteRef/>
      </w:r>
      <w:r w:rsidRPr="00B32813">
        <w:rPr>
          <w:rFonts w:ascii="Arial" w:hAnsi="Arial" w:cs="Arial"/>
          <w:sz w:val="18"/>
          <w:szCs w:val="18"/>
          <w:lang w:val="es-ES_tradnl"/>
        </w:rPr>
        <w:t xml:space="preserve"> </w:t>
      </w:r>
      <w:r w:rsidRPr="00B32813">
        <w:rPr>
          <w:rFonts w:ascii="Arial" w:hAnsi="Arial" w:cs="Arial"/>
          <w:sz w:val="18"/>
          <w:szCs w:val="18"/>
          <w:lang w:val="es-ES_tradnl"/>
        </w:rPr>
        <w:tab/>
        <w:t xml:space="preserve">Ver: Hunt, V. et al. </w:t>
      </w:r>
      <w:r w:rsidRPr="00B32813">
        <w:rPr>
          <w:rFonts w:ascii="Arial" w:hAnsi="Arial" w:cs="Arial"/>
          <w:sz w:val="18"/>
          <w:szCs w:val="18"/>
        </w:rPr>
        <w:t xml:space="preserve">(2015). Diversity Matters. McKinsey &amp; Company; Ernst and Young (2016). Women in Power and Utilities; Catalyst (2013). Why Diversity Matter; Noland, M. et al. (2016). Is Gender Diversity Profitable? Evidence from a Global Survey. Peterson Institute for International Economics; Barkat, A. (2002). Economic and Social Impact Evaluation Study of the Rural Electrification Program in Bangladesh </w:t>
      </w:r>
    </w:p>
  </w:footnote>
  <w:footnote w:id="10">
    <w:p w14:paraId="7E159F8D" w14:textId="77777777" w:rsidR="00862501" w:rsidRPr="00B32813" w:rsidRDefault="00862501" w:rsidP="00862501">
      <w:pPr>
        <w:pStyle w:val="FootnoteText"/>
        <w:tabs>
          <w:tab w:val="left" w:pos="0"/>
        </w:tabs>
        <w:rPr>
          <w:rFonts w:cstheme="minorHAnsi"/>
          <w:sz w:val="18"/>
          <w:szCs w:val="18"/>
        </w:rPr>
      </w:pPr>
      <w:r w:rsidRPr="00B32813">
        <w:rPr>
          <w:rStyle w:val="FootnoteReference"/>
          <w:rFonts w:ascii="Arial" w:hAnsi="Arial" w:cs="Arial"/>
          <w:sz w:val="18"/>
          <w:szCs w:val="18"/>
        </w:rPr>
        <w:footnoteRef/>
      </w:r>
      <w:r w:rsidRPr="00B32813">
        <w:rPr>
          <w:rFonts w:ascii="Arial" w:hAnsi="Arial" w:cs="Arial"/>
          <w:sz w:val="18"/>
          <w:szCs w:val="18"/>
        </w:rPr>
        <w:t xml:space="preserve"> </w:t>
      </w:r>
      <w:r w:rsidRPr="00B32813">
        <w:rPr>
          <w:rFonts w:ascii="Arial" w:hAnsi="Arial" w:cs="Arial"/>
          <w:sz w:val="18"/>
          <w:szCs w:val="18"/>
        </w:rPr>
        <w:tab/>
        <w:t>Dinkelman, T. (2008). The Effects of Rural Electrification on Employment: New Evidence from South Africa.</w:t>
      </w:r>
    </w:p>
  </w:footnote>
  <w:footnote w:id="11">
    <w:p w14:paraId="1E96E5ED" w14:textId="77777777" w:rsidR="00862501" w:rsidRPr="00E51872" w:rsidRDefault="00862501" w:rsidP="00862501">
      <w:pPr>
        <w:pStyle w:val="FootnoteText"/>
        <w:tabs>
          <w:tab w:val="left" w:pos="0"/>
        </w:tabs>
        <w:jc w:val="both"/>
        <w:rPr>
          <w:rFonts w:ascii="Arial" w:hAnsi="Arial" w:cs="Arial"/>
          <w:sz w:val="16"/>
          <w:szCs w:val="16"/>
        </w:rPr>
      </w:pPr>
      <w:r w:rsidRPr="00B32813">
        <w:rPr>
          <w:rStyle w:val="FootnoteReference"/>
          <w:rFonts w:ascii="Arial" w:hAnsi="Arial" w:cs="Arial"/>
          <w:sz w:val="18"/>
          <w:szCs w:val="18"/>
        </w:rPr>
        <w:footnoteRef/>
      </w:r>
      <w:r w:rsidRPr="00B32813">
        <w:rPr>
          <w:rFonts w:ascii="Arial" w:hAnsi="Arial" w:cs="Arial"/>
          <w:sz w:val="18"/>
          <w:szCs w:val="18"/>
        </w:rPr>
        <w:t xml:space="preserve"> </w:t>
      </w:r>
      <w:r w:rsidRPr="00B32813">
        <w:rPr>
          <w:rFonts w:ascii="Arial" w:hAnsi="Arial" w:cs="Arial"/>
          <w:sz w:val="18"/>
          <w:szCs w:val="18"/>
        </w:rPr>
        <w:tab/>
        <w:t>USAID (2016). Engendering Utilities: Improving Gender Diversity in Power Sector Utilities.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E741E"/>
    <w:multiLevelType w:val="multilevel"/>
    <w:tmpl w:val="4E02353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FA966A5"/>
    <w:multiLevelType w:val="hybridMultilevel"/>
    <w:tmpl w:val="7F2C3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E66DD4"/>
    <w:multiLevelType w:val="hybridMultilevel"/>
    <w:tmpl w:val="5C9C5E34"/>
    <w:lvl w:ilvl="0" w:tplc="545E0B3C">
      <w:start w:val="1"/>
      <w:numFmt w:val="decimal"/>
      <w:lvlText w:val="%1."/>
      <w:lvlJc w:val="left"/>
      <w:pPr>
        <w:ind w:left="720" w:hanging="360"/>
      </w:pPr>
    </w:lvl>
    <w:lvl w:ilvl="1" w:tplc="7294274A">
      <w:start w:val="1"/>
      <w:numFmt w:val="lowerLetter"/>
      <w:lvlText w:val="%2."/>
      <w:lvlJc w:val="left"/>
      <w:pPr>
        <w:ind w:left="1440" w:hanging="360"/>
      </w:pPr>
    </w:lvl>
    <w:lvl w:ilvl="2" w:tplc="BC22010E">
      <w:start w:val="1"/>
      <w:numFmt w:val="lowerRoman"/>
      <w:lvlText w:val="%3."/>
      <w:lvlJc w:val="right"/>
      <w:pPr>
        <w:ind w:left="2160" w:hanging="180"/>
      </w:pPr>
    </w:lvl>
    <w:lvl w:ilvl="3" w:tplc="B1C2CE6C">
      <w:start w:val="1"/>
      <w:numFmt w:val="decimal"/>
      <w:lvlText w:val="%4."/>
      <w:lvlJc w:val="left"/>
      <w:pPr>
        <w:ind w:left="2880" w:hanging="360"/>
      </w:pPr>
    </w:lvl>
    <w:lvl w:ilvl="4" w:tplc="8DC2CB56">
      <w:start w:val="1"/>
      <w:numFmt w:val="lowerLetter"/>
      <w:lvlText w:val="%5."/>
      <w:lvlJc w:val="left"/>
      <w:pPr>
        <w:ind w:left="3600" w:hanging="360"/>
      </w:pPr>
    </w:lvl>
    <w:lvl w:ilvl="5" w:tplc="5AFC05F6">
      <w:start w:val="1"/>
      <w:numFmt w:val="lowerRoman"/>
      <w:lvlText w:val="%6."/>
      <w:lvlJc w:val="right"/>
      <w:pPr>
        <w:ind w:left="4320" w:hanging="180"/>
      </w:pPr>
    </w:lvl>
    <w:lvl w:ilvl="6" w:tplc="F6B04648">
      <w:start w:val="1"/>
      <w:numFmt w:val="decimal"/>
      <w:lvlText w:val="%7."/>
      <w:lvlJc w:val="left"/>
      <w:pPr>
        <w:ind w:left="5040" w:hanging="360"/>
      </w:pPr>
    </w:lvl>
    <w:lvl w:ilvl="7" w:tplc="CD828136">
      <w:start w:val="1"/>
      <w:numFmt w:val="lowerLetter"/>
      <w:lvlText w:val="%8."/>
      <w:lvlJc w:val="left"/>
      <w:pPr>
        <w:ind w:left="5760" w:hanging="360"/>
      </w:pPr>
    </w:lvl>
    <w:lvl w:ilvl="8" w:tplc="7D106BD4">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BE4"/>
    <w:rsid w:val="000056DF"/>
    <w:rsid w:val="000216CD"/>
    <w:rsid w:val="0002532F"/>
    <w:rsid w:val="00055945"/>
    <w:rsid w:val="000C6014"/>
    <w:rsid w:val="000D10A2"/>
    <w:rsid w:val="000D5A19"/>
    <w:rsid w:val="000D74AC"/>
    <w:rsid w:val="001107A1"/>
    <w:rsid w:val="00113CC1"/>
    <w:rsid w:val="001C0AC7"/>
    <w:rsid w:val="002353EB"/>
    <w:rsid w:val="0025086D"/>
    <w:rsid w:val="00277867"/>
    <w:rsid w:val="002862BF"/>
    <w:rsid w:val="002901D3"/>
    <w:rsid w:val="003208DD"/>
    <w:rsid w:val="00323A56"/>
    <w:rsid w:val="00342912"/>
    <w:rsid w:val="003723FA"/>
    <w:rsid w:val="003A0735"/>
    <w:rsid w:val="003C39BC"/>
    <w:rsid w:val="003D27DD"/>
    <w:rsid w:val="003E7291"/>
    <w:rsid w:val="00406D89"/>
    <w:rsid w:val="0042610D"/>
    <w:rsid w:val="00426AAA"/>
    <w:rsid w:val="004D0D67"/>
    <w:rsid w:val="004D778D"/>
    <w:rsid w:val="00532017"/>
    <w:rsid w:val="005372F8"/>
    <w:rsid w:val="00570458"/>
    <w:rsid w:val="00586FC0"/>
    <w:rsid w:val="005D37BF"/>
    <w:rsid w:val="005E2CD1"/>
    <w:rsid w:val="00655571"/>
    <w:rsid w:val="006642D0"/>
    <w:rsid w:val="00692C6E"/>
    <w:rsid w:val="006A2B43"/>
    <w:rsid w:val="006B5583"/>
    <w:rsid w:val="00747720"/>
    <w:rsid w:val="00750F42"/>
    <w:rsid w:val="00754DFA"/>
    <w:rsid w:val="007630B9"/>
    <w:rsid w:val="007C027D"/>
    <w:rsid w:val="007C57FC"/>
    <w:rsid w:val="007D3349"/>
    <w:rsid w:val="00812BA9"/>
    <w:rsid w:val="00835B89"/>
    <w:rsid w:val="00862501"/>
    <w:rsid w:val="008728CD"/>
    <w:rsid w:val="00880F5C"/>
    <w:rsid w:val="00881A29"/>
    <w:rsid w:val="00887C5B"/>
    <w:rsid w:val="008A532A"/>
    <w:rsid w:val="008F15C9"/>
    <w:rsid w:val="008F403E"/>
    <w:rsid w:val="008F4B36"/>
    <w:rsid w:val="00904390"/>
    <w:rsid w:val="00931135"/>
    <w:rsid w:val="009A5BE4"/>
    <w:rsid w:val="009C6838"/>
    <w:rsid w:val="009D493B"/>
    <w:rsid w:val="009D4F92"/>
    <w:rsid w:val="009F14DA"/>
    <w:rsid w:val="00A0343A"/>
    <w:rsid w:val="00A17D38"/>
    <w:rsid w:val="00A3505C"/>
    <w:rsid w:val="00A44A33"/>
    <w:rsid w:val="00A51EE8"/>
    <w:rsid w:val="00A55F9C"/>
    <w:rsid w:val="00A61F7F"/>
    <w:rsid w:val="00A67ABE"/>
    <w:rsid w:val="00AB0449"/>
    <w:rsid w:val="00AB1644"/>
    <w:rsid w:val="00AE16F7"/>
    <w:rsid w:val="00B25252"/>
    <w:rsid w:val="00B52242"/>
    <w:rsid w:val="00B54308"/>
    <w:rsid w:val="00B649C4"/>
    <w:rsid w:val="00B81067"/>
    <w:rsid w:val="00BB54C0"/>
    <w:rsid w:val="00BC0598"/>
    <w:rsid w:val="00BD3E94"/>
    <w:rsid w:val="00BE4A43"/>
    <w:rsid w:val="00BE7821"/>
    <w:rsid w:val="00BE7F50"/>
    <w:rsid w:val="00C06CE1"/>
    <w:rsid w:val="00C35CA5"/>
    <w:rsid w:val="00C3608B"/>
    <w:rsid w:val="00C57859"/>
    <w:rsid w:val="00C772C9"/>
    <w:rsid w:val="00C80225"/>
    <w:rsid w:val="00C841E5"/>
    <w:rsid w:val="00CA1E81"/>
    <w:rsid w:val="00D02021"/>
    <w:rsid w:val="00D210DD"/>
    <w:rsid w:val="00D45888"/>
    <w:rsid w:val="00D8144F"/>
    <w:rsid w:val="00D8594E"/>
    <w:rsid w:val="00D965ED"/>
    <w:rsid w:val="00DE5E22"/>
    <w:rsid w:val="00DF5D8A"/>
    <w:rsid w:val="00E22E64"/>
    <w:rsid w:val="00E45792"/>
    <w:rsid w:val="00E45A70"/>
    <w:rsid w:val="00E51872"/>
    <w:rsid w:val="00E55B0C"/>
    <w:rsid w:val="00E8755D"/>
    <w:rsid w:val="00E92B8F"/>
    <w:rsid w:val="00EA7939"/>
    <w:rsid w:val="00F0690C"/>
    <w:rsid w:val="00F1113A"/>
    <w:rsid w:val="00F12A56"/>
    <w:rsid w:val="00F212B9"/>
    <w:rsid w:val="00F404CF"/>
    <w:rsid w:val="00F66D44"/>
    <w:rsid w:val="00F66F01"/>
    <w:rsid w:val="00F70BF5"/>
    <w:rsid w:val="00F77C89"/>
    <w:rsid w:val="00F87070"/>
    <w:rsid w:val="00FA07C6"/>
    <w:rsid w:val="00FA453E"/>
    <w:rsid w:val="36661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F3E2B"/>
  <w15:chartTrackingRefBased/>
  <w15:docId w15:val="{577E8B69-8B0B-4562-8EB6-37DA12BD6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1"/>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25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de rodapé,nota_rodapé,nota de rodapé,footnote,single space,FOOTNOTES,Footnote Text Char Char,foottextf,Geneva 9,Font: Geneva 9,Boston 10,f,footnote text,foottextfr,Footnote Text arial11"/>
    <w:basedOn w:val="Normal"/>
    <w:link w:val="FootnoteTextChar"/>
    <w:unhideWhenUsed/>
    <w:rsid w:val="000056DF"/>
    <w:pPr>
      <w:spacing w:after="0" w:line="240" w:lineRule="auto"/>
    </w:pPr>
    <w:rPr>
      <w:rFonts w:eastAsiaTheme="minorEastAsia"/>
      <w:sz w:val="20"/>
      <w:szCs w:val="20"/>
    </w:rPr>
  </w:style>
  <w:style w:type="character" w:customStyle="1" w:styleId="FootnoteTextChar">
    <w:name w:val="Footnote Text Char"/>
    <w:aliases w:val="fn Char,Texto de rodapé Char,nota_rodapé Char,nota de rodapé Char,footnote Char,single space Char,FOOTNOTES Char,Footnote Text Char Char Char,foottextf Char,Geneva 9 Char,Font: Geneva 9 Char,Boston 10 Char,f Char,footnote text Char"/>
    <w:basedOn w:val="DefaultParagraphFont"/>
    <w:link w:val="FootnoteText"/>
    <w:rsid w:val="000056DF"/>
    <w:rPr>
      <w:rFonts w:eastAsiaTheme="minorEastAsia"/>
      <w:sz w:val="20"/>
      <w:szCs w:val="20"/>
    </w:rPr>
  </w:style>
  <w:style w:type="character" w:styleId="FootnoteReference">
    <w:name w:val="footnote reference"/>
    <w:aliases w:val="Footnote Referencef,FC,16 Point,Superscript 6 Point,Footnote Referencefr,Style 24,F1,Footnote Referencefra,de nota al pie,(Ref. de nota al pie),referencia nota al pie,Ref. de nota al pi,Ref,o,ftref,Fußnotenzeichen DISS"/>
    <w:basedOn w:val="DefaultParagraphFont"/>
    <w:uiPriority w:val="99"/>
    <w:unhideWhenUsed/>
    <w:rsid w:val="000056DF"/>
    <w:rPr>
      <w:vertAlign w:val="superscript"/>
    </w:rPr>
  </w:style>
  <w:style w:type="character" w:styleId="Hyperlink">
    <w:name w:val="Hyperlink"/>
    <w:basedOn w:val="DefaultParagraphFont"/>
    <w:uiPriority w:val="99"/>
    <w:unhideWhenUsed/>
    <w:rsid w:val="000056DF"/>
    <w:rPr>
      <w:color w:val="0563C1" w:themeColor="hyperlink"/>
      <w:u w:val="single"/>
    </w:rPr>
  </w:style>
  <w:style w:type="table" w:styleId="MediumList2-Accent1">
    <w:name w:val="Medium List 2 Accent 1"/>
    <w:basedOn w:val="TableNormal"/>
    <w:uiPriority w:val="61"/>
    <w:rsid w:val="009C6838"/>
    <w:pPr>
      <w:spacing w:after="0" w:line="240" w:lineRule="auto"/>
    </w:pPr>
    <w:rPr>
      <w:rFonts w:asciiTheme="majorHAnsi" w:eastAsiaTheme="majorEastAsia" w:hAnsiTheme="majorHAnsi" w:cstheme="majorBidi"/>
      <w:color w:val="000000" w:themeColor="text1"/>
      <w:sz w:val="20"/>
      <w:szCs w:val="20"/>
      <w:lang w:val="es-EC" w:eastAsia="es-EC"/>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ListParagraph">
    <w:name w:val="List Paragraph"/>
    <w:basedOn w:val="Normal"/>
    <w:uiPriority w:val="34"/>
    <w:qFormat/>
    <w:rsid w:val="00B52242"/>
    <w:pPr>
      <w:ind w:left="720"/>
      <w:contextualSpacing/>
    </w:pPr>
  </w:style>
  <w:style w:type="table" w:styleId="TableGrid">
    <w:name w:val="Table Grid"/>
    <w:basedOn w:val="TableNormal"/>
    <w:uiPriority w:val="39"/>
    <w:rsid w:val="00931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31135"/>
    <w:rPr>
      <w:sz w:val="16"/>
      <w:szCs w:val="16"/>
    </w:rPr>
  </w:style>
  <w:style w:type="paragraph" w:styleId="CommentText">
    <w:name w:val="annotation text"/>
    <w:basedOn w:val="Normal"/>
    <w:link w:val="CommentTextChar"/>
    <w:uiPriority w:val="99"/>
    <w:unhideWhenUsed/>
    <w:rsid w:val="00931135"/>
    <w:pPr>
      <w:spacing w:line="240" w:lineRule="auto"/>
    </w:pPr>
    <w:rPr>
      <w:sz w:val="20"/>
      <w:szCs w:val="20"/>
    </w:rPr>
  </w:style>
  <w:style w:type="character" w:customStyle="1" w:styleId="CommentTextChar">
    <w:name w:val="Comment Text Char"/>
    <w:basedOn w:val="DefaultParagraphFont"/>
    <w:link w:val="CommentText"/>
    <w:uiPriority w:val="99"/>
    <w:rsid w:val="00931135"/>
    <w:rPr>
      <w:sz w:val="20"/>
      <w:szCs w:val="20"/>
    </w:rPr>
  </w:style>
  <w:style w:type="paragraph" w:styleId="BalloonText">
    <w:name w:val="Balloon Text"/>
    <w:basedOn w:val="Normal"/>
    <w:link w:val="BalloonTextChar"/>
    <w:uiPriority w:val="99"/>
    <w:semiHidden/>
    <w:unhideWhenUsed/>
    <w:rsid w:val="009311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135"/>
    <w:rPr>
      <w:rFonts w:ascii="Segoe UI" w:hAnsi="Segoe UI" w:cs="Segoe UI"/>
      <w:sz w:val="18"/>
      <w:szCs w:val="18"/>
    </w:rPr>
  </w:style>
  <w:style w:type="paragraph" w:styleId="Header">
    <w:name w:val="header"/>
    <w:basedOn w:val="Normal"/>
    <w:link w:val="HeaderChar"/>
    <w:uiPriority w:val="99"/>
    <w:unhideWhenUsed/>
    <w:rsid w:val="009043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4390"/>
  </w:style>
  <w:style w:type="paragraph" w:styleId="Footer">
    <w:name w:val="footer"/>
    <w:basedOn w:val="Normal"/>
    <w:link w:val="FooterChar"/>
    <w:uiPriority w:val="99"/>
    <w:unhideWhenUsed/>
    <w:rsid w:val="009043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4390"/>
  </w:style>
  <w:style w:type="paragraph" w:styleId="Revision">
    <w:name w:val="Revision"/>
    <w:hidden/>
    <w:uiPriority w:val="99"/>
    <w:semiHidden/>
    <w:rsid w:val="000216CD"/>
    <w:pPr>
      <w:spacing w:after="0" w:line="240" w:lineRule="auto"/>
    </w:pPr>
  </w:style>
  <w:style w:type="paragraph" w:styleId="CommentSubject">
    <w:name w:val="annotation subject"/>
    <w:basedOn w:val="CommentText"/>
    <w:next w:val="CommentText"/>
    <w:link w:val="CommentSubjectChar"/>
    <w:uiPriority w:val="99"/>
    <w:semiHidden/>
    <w:unhideWhenUsed/>
    <w:rsid w:val="00B54308"/>
    <w:rPr>
      <w:b/>
      <w:bCs/>
    </w:rPr>
  </w:style>
  <w:style w:type="character" w:customStyle="1" w:styleId="CommentSubjectChar">
    <w:name w:val="Comment Subject Char"/>
    <w:basedOn w:val="CommentTextChar"/>
    <w:link w:val="CommentSubject"/>
    <w:uiPriority w:val="99"/>
    <w:semiHidden/>
    <w:rsid w:val="00B54308"/>
    <w:rPr>
      <w:b/>
      <w:bCs/>
      <w:sz w:val="20"/>
      <w:szCs w:val="20"/>
    </w:rPr>
  </w:style>
  <w:style w:type="character" w:styleId="Mention">
    <w:name w:val="Mention"/>
    <w:basedOn w:val="DefaultParagraphFont"/>
    <w:uiPriority w:val="99"/>
    <w:semiHidden/>
    <w:unhideWhenUsed/>
    <w:rsid w:val="00A61F7F"/>
    <w:rPr>
      <w:color w:val="2B579A"/>
      <w:shd w:val="clear" w:color="auto" w:fill="E6E6E6"/>
    </w:rPr>
  </w:style>
  <w:style w:type="paragraph" w:customStyle="1" w:styleId="Newpage">
    <w:name w:val="Newpage"/>
    <w:basedOn w:val="Normal"/>
    <w:rsid w:val="00F212B9"/>
    <w:pPr>
      <w:keepNext/>
      <w:tabs>
        <w:tab w:val="left" w:pos="3060"/>
      </w:tabs>
      <w:spacing w:before="240" w:after="0" w:line="240" w:lineRule="auto"/>
      <w:jc w:val="center"/>
    </w:pPr>
    <w:rPr>
      <w:rFonts w:ascii="Times New Roman" w:eastAsia="Times New Roman" w:hAnsi="Times New Roman" w:cs="Times New Roman"/>
      <w:b/>
      <w:smallCaps/>
      <w:sz w:val="24"/>
      <w:szCs w:val="20"/>
      <w:lang w:val="es-ES"/>
    </w:r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cid:image001.png@01D3F77E.4CBDE650" TargetMode="External"/><Relationship Id="rId23"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y.com/gl/en/industries/power---utilities/ey-women-in-power-and-utiliti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E658B"/>
    <w:rsid w:val="001E658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_tradnl" w:eastAsia="es-ES_trad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1CD9291EEA935489F73955FCC9F0D44" ma:contentTypeVersion="492" ma:contentTypeDescription="A content type to manage public (operations) IDB documents" ma:contentTypeScope="" ma:versionID="f3dcde8288d0801237c21a51ab587f0c">
  <xsd:schema xmlns:xsd="http://www.w3.org/2001/XMLSchema" xmlns:xs="http://www.w3.org/2001/XMLSchema" xmlns:p="http://schemas.microsoft.com/office/2006/metadata/properties" xmlns:ns2="cdc7663a-08f0-4737-9e8c-148ce897a09c" targetNamespace="http://schemas.microsoft.com/office/2006/metadata/properties" ma:root="true" ma:fieldsID="bc8a584feb8b0a4b34486d0e1c95d2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Bonifaz Urquizu, Jeanette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50</Value>
      <Value>32</Value>
      <Value>51</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R0002304961</Record_x0020_Number>
    <_dlc_DocId xmlns="cdc7663a-08f0-4737-9e8c-148ce897a09c">EZSHARE-889776521-26</_dlc_DocId>
    <_dlc_DocIdUrl xmlns="cdc7663a-08f0-4737-9e8c-148ce897a09c">
      <Url>https://idbg.sharepoint.com/teams/EZ-EC-LON/EC-L1231/_layouts/15/DocIdRedir.aspx?ID=EZSHARE-889776521-26</Url>
      <Description>EZSHARE-889776521-26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59499F0-8402-466D-A87F-445D4A510197}"/>
</file>

<file path=customXml/itemProps2.xml><?xml version="1.0" encoding="utf-8"?>
<ds:datastoreItem xmlns:ds="http://schemas.openxmlformats.org/officeDocument/2006/customXml" ds:itemID="{6C77A188-77A1-4370-B2DC-BA5C78BF5BF8}">
  <ds:schemaRefs>
    <ds:schemaRef ds:uri="http://schemas.microsoft.com/sharepoint/v3/contenttype/forms"/>
  </ds:schemaRefs>
</ds:datastoreItem>
</file>

<file path=customXml/itemProps3.xml><?xml version="1.0" encoding="utf-8"?>
<ds:datastoreItem xmlns:ds="http://schemas.openxmlformats.org/officeDocument/2006/customXml" ds:itemID="{7B9D05CB-A639-4981-AD90-8B7BF1FEBEAE}">
  <ds:schemaRefs>
    <ds:schemaRef ds:uri="http://schemas.microsoft.com/sharepoint/events"/>
  </ds:schemaRefs>
</ds:datastoreItem>
</file>

<file path=customXml/itemProps4.xml><?xml version="1.0" encoding="utf-8"?>
<ds:datastoreItem xmlns:ds="http://schemas.openxmlformats.org/officeDocument/2006/customXml" ds:itemID="{4D6FB7D8-7176-4F2A-8F8F-4A797697805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27C3552B-30C8-4F77-A427-450D258F0793}"/>
</file>

<file path=customXml/itemProps6.xml><?xml version="1.0" encoding="utf-8"?>
<ds:datastoreItem xmlns:ds="http://schemas.openxmlformats.org/officeDocument/2006/customXml" ds:itemID="{252132E5-820E-4F81-911E-1443C06A155D}">
  <ds:schemaRefs>
    <ds:schemaRef ds:uri="http://schemas.openxmlformats.org/officeDocument/2006/bibliography"/>
  </ds:schemaRefs>
</ds:datastoreItem>
</file>

<file path=customXml/itemProps7.xml><?xml version="1.0" encoding="utf-8"?>
<ds:datastoreItem xmlns:ds="http://schemas.openxmlformats.org/officeDocument/2006/customXml" ds:itemID="{118770EF-B79F-4167-8243-1A8000C22E8D}"/>
</file>

<file path=docProps/app.xml><?xml version="1.0" encoding="utf-8"?>
<Properties xmlns="http://schemas.openxmlformats.org/officeDocument/2006/extended-properties" xmlns:vt="http://schemas.openxmlformats.org/officeDocument/2006/docPropsVTypes">
  <Template>Normal.dotm</Template>
  <TotalTime>0</TotalTime>
  <Pages>7</Pages>
  <Words>1961</Words>
  <Characters>10789</Characters>
  <Application>Microsoft Office Word</Application>
  <DocSecurity>0</DocSecurity>
  <Lines>89</Lines>
  <Paragraphs>25</Paragraphs>
  <ScaleCrop>false</ScaleCrop>
  <Company/>
  <LinksUpToDate>false</LinksUpToDate>
  <CharactersWithSpaces>12725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Monje Silva, Andrea</dc:creator>
  <cp:keywords/>
  <dc:description/>
  <cp:lastModifiedBy>Echeverria, Carlos Bladimir</cp:lastModifiedBy>
  <cp:revision>4</cp:revision>
  <cp:lastPrinted>2017-07-07T22:09:00Z</cp:lastPrinted>
  <dcterms:created xsi:type="dcterms:W3CDTF">2018-06-07T22:21:00Z</dcterms:created>
  <dcterms:modified xsi:type="dcterms:W3CDTF">2018-06-11T18:26:00Z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51;#ENERGY SECTOR REHABILITATION AND EFFICIENCY|bc14044a-5020-4002-b61d-5f3750c96619</vt:lpwstr>
  </property>
  <property fmtid="{D5CDD505-2E9C-101B-9397-08002B2CF9AE}" pid="7" name="Fund IDB">
    <vt:lpwstr>30;#ORC|c028a4b2-ad8b-4cf4-9cac-a2ae6a778e23</vt:lpwstr>
  </property>
  <property fmtid="{D5CDD505-2E9C-101B-9397-08002B2CF9AE}" pid="8" name="Country">
    <vt:lpwstr>32;#Ecuador|8f163189-00fa-4e7c-827d-28fb5798781c</vt:lpwstr>
  </property>
  <property fmtid="{D5CDD505-2E9C-101B-9397-08002B2CF9AE}" pid="9" name="Sector IDB">
    <vt:lpwstr>50;#ENERGY|4fed196a-cd0b-4970-87de-42da17f9b203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c7b656cf-5043-4394-8c0a-c2fc4744da6c</vt:lpwstr>
  </property>
  <property fmtid="{D5CDD505-2E9C-101B-9397-08002B2CF9AE}" pid="12" name="Disclosure Activity">
    <vt:lpwstr>Loan Proposal</vt:lpwstr>
  </property>
  <property fmtid="{D5CDD505-2E9C-101B-9397-08002B2CF9AE}" pid="13" name="ContentTypeId">
    <vt:lpwstr>0x0101001A458A224826124E8B45B1D613300CFC00D1CD9291EEA935489F73955FCC9F0D44</vt:lpwstr>
  </property>
</Properties>
</file>