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77BC4" w:rsidR="00F77BC4" w:rsidP="02C26BB6" w:rsidRDefault="00F77BC4" w14:paraId="709CC4E4" w14:textId="77777777" w14:noSpellErr="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</w:pPr>
      <w:bookmarkStart w:name="_GoBack" w:id="0"/>
      <w:bookmarkEnd w:id="0"/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 xml:space="preserve">PROGRAMA DE APOYO AL FORTALECIMIENTO DE LAS TRAYECTORIAS EDUCATIVAS RURALES </w:t>
      </w:r>
    </w:p>
    <w:p w:rsidR="00F77BC4" w:rsidP="02C26BB6" w:rsidRDefault="00F77BC4" w14:paraId="6889CF2C" w14:textId="77777777" w14:noSpellErr="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</w:pPr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>(CO-L1229)</w:t>
      </w:r>
    </w:p>
    <w:p w:rsidR="00A763AE" w:rsidP="02C26BB6" w:rsidRDefault="00382251" w14:paraId="2588319A" w14:textId="12E13F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</w:pPr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>Enlace Opcional # 4</w:t>
      </w:r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>–</w:t>
      </w:r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 xml:space="preserve">Criterios de </w:t>
      </w:r>
      <w:r w:rsidRPr="02C26BB6" w:rsidR="02C26BB6"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  <w:t>Focalización</w:t>
      </w:r>
    </w:p>
    <w:p w:rsidR="00DF36E0" w:rsidP="02C26BB6" w:rsidRDefault="00DF36E0" w14:paraId="413788D1" w14:textId="0A8895DE" w14:noSpellErr="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</w:pPr>
    </w:p>
    <w:p w:rsidRPr="00011F92" w:rsidR="0014431B" w:rsidP="02C26BB6" w:rsidRDefault="003D6516" w14:paraId="25E4DFBD" w14:textId="00A782C1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Las intervenciones del programa se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centrarán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en los municipios del Programa de Desarrollo con Enfoque Territorial (PDET). El PDET tiene 16 zonas geográficas con 170 municipios, que cuentan con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aproximadamente 10.200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escuelas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rurales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. </w:t>
      </w:r>
    </w:p>
    <w:p w:rsidRPr="00011F92" w:rsidR="00B31875" w:rsidP="02C26BB6" w:rsidRDefault="00B31875" w14:paraId="27AC1FA7" w14:textId="77777777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</w:p>
    <w:p w:rsidRPr="00011F92" w:rsidR="00BB2B99" w:rsidP="02C26BB6" w:rsidRDefault="00B22BFF" w14:paraId="39060E3B" w14:textId="73FACF76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Las intervenciones del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programa se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realizarán en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aproximadamente en 2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.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000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escuelas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rurales de educación básica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, las cuales incluirán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cerca de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700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escuelas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con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transición y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150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escuelas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rurales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con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educación media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,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ubicadas en las zonas rurales de los municipios PDET. </w:t>
      </w:r>
    </w:p>
    <w:p w:rsidRPr="00011F92" w:rsidR="00B31875" w:rsidP="02C26BB6" w:rsidRDefault="00B31875" w14:paraId="700A90D4" w14:textId="77777777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</w:p>
    <w:p w:rsidRPr="00011F92" w:rsidR="00447F07" w:rsidP="02C26BB6" w:rsidRDefault="00BB2B99" w14:paraId="3E61FDA4" w14:textId="047B9E2A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L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a selección de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las 2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.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000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escuelas se realizará asegurando que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todos los municipios PDET 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ean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parte del programa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. Para esto se ha definido que:</w:t>
      </w:r>
    </w:p>
    <w:p w:rsidRPr="00011F92" w:rsidR="002E35FF" w:rsidP="02C26BB6" w:rsidRDefault="00B31774" w14:paraId="453F5E95" w14:textId="5E388BD7" w14:noSpellErr="1">
      <w:pPr>
        <w:pStyle w:val="ListParagraph"/>
        <w:numPr>
          <w:ilvl w:val="0"/>
          <w:numId w:val="18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n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un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municipio de cada zona PDET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se atenderá e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l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100% de sus escuelas, esto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s son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16 municipios.</w:t>
      </w:r>
    </w:p>
    <w:p w:rsidRPr="00011F92" w:rsidR="002E35FF" w:rsidP="02C26BB6" w:rsidRDefault="00B31774" w14:paraId="1B4486DD" w14:textId="236F7C07" w14:noSpellErr="1">
      <w:pPr>
        <w:pStyle w:val="ListParagraph"/>
        <w:numPr>
          <w:ilvl w:val="0"/>
          <w:numId w:val="18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En l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os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154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municipios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restantes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se atenderá al menos al 10% de sus escuelas rurales.</w:t>
      </w:r>
    </w:p>
    <w:p w:rsidRPr="00011F92" w:rsidR="00920FEC" w:rsidP="02C26BB6" w:rsidRDefault="00920FEC" w14:paraId="2177A7C7" w14:textId="77777777" w14:noSpellErr="1">
      <w:pPr>
        <w:pStyle w:val="ListParagraph"/>
        <w:spacing w:before="120" w:after="0" w:line="240" w:lineRule="auto"/>
        <w:ind w:left="782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</w:p>
    <w:p w:rsidRPr="00011F92" w:rsidR="002E35FF" w:rsidP="02C26BB6" w:rsidRDefault="00E7367E" w14:paraId="45FF9A6E" w14:textId="05A77204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P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ara seleccionar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el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municipio que tendrá el 100% de sus escuelas focalizadas por el programa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se tendrán en cuenta cuatro (4) criterios, con igual peso cada uno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:</w:t>
      </w:r>
    </w:p>
    <w:p w:rsidRPr="00011F92" w:rsidR="00B43770" w:rsidP="02C26BB6" w:rsidRDefault="000C163E" w14:paraId="0581C89B" w14:textId="2E563049" w14:noSpellErr="1">
      <w:pPr>
        <w:pStyle w:val="ListParagraph"/>
        <w:numPr>
          <w:ilvl w:val="0"/>
          <w:numId w:val="21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Deserción: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recibe mayor ponderación el municipio con mayores tasas de deserción en la zona PDET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.</w:t>
      </w:r>
    </w:p>
    <w:p w:rsidRPr="00011F92" w:rsidR="003F4374" w:rsidP="02C26BB6" w:rsidRDefault="003F4374" w14:paraId="7A438C66" w14:textId="3B87302B" w14:noSpellErr="1">
      <w:pPr>
        <w:pStyle w:val="ListParagraph"/>
        <w:numPr>
          <w:ilvl w:val="0"/>
          <w:numId w:val="21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Matrícula étnica: recibe mayor ponderación el municipio con mayor proporción de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matrícula étnica de cada zona PDET.</w:t>
      </w:r>
    </w:p>
    <w:p w:rsidRPr="00011F92" w:rsidR="00114074" w:rsidP="02C26BB6" w:rsidRDefault="00210E99" w14:paraId="4C4FBEAE" w14:textId="457B9079" w14:noSpellErr="1">
      <w:pPr>
        <w:pStyle w:val="ListParagraph"/>
        <w:numPr>
          <w:ilvl w:val="0"/>
          <w:numId w:val="21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Población migrante: recibe mayor ponderación el municipio con mayor proporción de matrícula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proveniente de población migrante venezolana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de cada zona PDET.</w:t>
      </w:r>
    </w:p>
    <w:p w:rsidRPr="00011F92" w:rsidR="00880DD7" w:rsidP="02C26BB6" w:rsidRDefault="00880DD7" w14:paraId="30625982" w14:textId="5C79DAFB" w14:noSpellErr="1">
      <w:pPr>
        <w:pStyle w:val="ListParagraph"/>
        <w:numPr>
          <w:ilvl w:val="0"/>
          <w:numId w:val="21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Clasificación ruralidad: recibirá mayor puntaje le municipio que tenga mayor dispersión.</w:t>
      </w:r>
    </w:p>
    <w:p w:rsidRPr="00011F92" w:rsidR="00B31875" w:rsidP="02C26BB6" w:rsidRDefault="00B31875" w14:paraId="2869AB00" w14:textId="77777777" w14:noSpellErr="1">
      <w:pPr>
        <w:pStyle w:val="ListParagraph"/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</w:p>
    <w:p w:rsidR="00B31774" w:rsidP="02C26BB6" w:rsidRDefault="00B31875" w14:paraId="2238841B" w14:textId="77777777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A partir de la selección del municipio, se restarán del universo (10.207 sedes educativas oficiales ubicadas en las zonas rurales de los PDET)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las escuelas de los 16 municipios con atención al 100%, y se establecerá el porcentaje de escuelas que pueden atenderse en cada uno de los 154 municipios restantes, tomando como referencia el numero de escuelas rurales en cada uno. </w:t>
      </w:r>
    </w:p>
    <w:p w:rsidRPr="00011F92" w:rsidR="00E7367E" w:rsidP="02C26BB6" w:rsidRDefault="00A73420" w14:paraId="05AD7D1C" w14:textId="60D984DD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P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ara seleccionar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que serán atendidas en los 154 municipios restantes, se tendrán en cuenta los criterios que se indican a continuación:</w:t>
      </w:r>
    </w:p>
    <w:p w:rsidRPr="00011F92" w:rsidR="00B31774" w:rsidP="02C26BB6" w:rsidRDefault="00B31774" w14:paraId="4064974A" w14:textId="662B06BA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Establecimientos 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focalizados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 MEN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2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: recibe el 100% de los puntos en este criterio la sede focalizadas por el MEN, la sede no 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focalizada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 recibe cero en este criterio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. El peso de este criterio es del 30%.</w:t>
      </w:r>
    </w:p>
    <w:p w:rsidRPr="00011F92" w:rsidR="00A73420" w:rsidP="02C26BB6" w:rsidRDefault="00826CD2" w14:paraId="430E09CF" w14:textId="4F0634EE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Clasificación del establecimiento educativo (grupo de sedes) en las pruebas Saber 11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3"/>
      </w:r>
      <w:r w:rsidRPr="02C26BB6" w:rsidR="00EB76D8">
        <w:rPr>
          <w:rFonts w:ascii="Arial" w:hAnsi="Arial" w:eastAsia="Times New Roman" w:cs="Arial"/>
          <w:sz w:val="22"/>
          <w:szCs w:val="22"/>
          <w:lang w:val="es-ES"/>
        </w:rPr>
        <w:t xml:space="preserve">: recibirán mayor puntaje los establecimientos clasificados como D (nivel más bajo), luego los </w:t>
      </w:r>
      <w:r w:rsidRPr="02C26BB6" w:rsidR="00EB76D8">
        <w:rPr>
          <w:rFonts w:ascii="Arial" w:hAnsi="Arial" w:eastAsia="Times New Roman" w:cs="Arial"/>
          <w:sz w:val="22"/>
          <w:szCs w:val="22"/>
          <w:lang w:val="es-ES"/>
        </w:rPr>
        <w:lastRenderedPageBreak/>
        <w:t>de C, B, A y A+ (si hubiera alguno)</w:t>
      </w:r>
      <w:r w:rsidRPr="02C26BB6" w:rsidR="00B41974">
        <w:rPr>
          <w:rFonts w:ascii="Arial" w:hAnsi="Arial" w:eastAsia="Times New Roman" w:cs="Arial"/>
          <w:sz w:val="22"/>
          <w:szCs w:val="22"/>
          <w:lang w:val="es-ES"/>
        </w:rPr>
        <w:t>. Las sedes para las que no hay información tendrán cero en este criterio.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B41974" w:rsidP="02C26BB6" w:rsidRDefault="00EB76D8" w14:paraId="1BCF8E5C" w14:textId="5F1ECDD1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Calificación promedio por sede en pruebas saber 11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4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: </w:t>
      </w:r>
      <w:r w:rsidRPr="02C26BB6" w:rsidR="00BD5DA6">
        <w:rPr>
          <w:rFonts w:ascii="Arial" w:hAnsi="Arial" w:eastAsia="Times New Roman" w:cs="Arial"/>
          <w:sz w:val="22"/>
          <w:szCs w:val="22"/>
          <w:lang w:val="es-ES"/>
        </w:rPr>
        <w:t>recibirá mayor puntaje la sede con menor calificación promedio y el puntaje disminuirá lineal, siendo la sede de mayor calificación la que mayor puntaje recibirá.</w:t>
      </w:r>
      <w:r w:rsidRPr="02C26BB6" w:rsidR="00B41974">
        <w:rPr>
          <w:rFonts w:ascii="Arial" w:hAnsi="Arial" w:eastAsia="Times New Roman" w:cs="Arial"/>
          <w:sz w:val="22"/>
          <w:szCs w:val="22"/>
          <w:lang w:val="es-ES"/>
        </w:rPr>
        <w:t xml:space="preserve"> Las sedes para las que no hay información tendrán cero en este criterio.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2E35FF" w:rsidP="02C26BB6" w:rsidRDefault="00B41974" w14:paraId="360C19C8" w14:textId="67ACCA0C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Matrícula en transición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5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: recibirá mayor puntaje la sede que tenga más matrícula en transición y disminuirá linealmente. Las sedes para las que no hay información tendrán cero en este criterio.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53402E" w:rsidP="02C26BB6" w:rsidRDefault="0053402E" w14:paraId="0FD824BA" w14:textId="4B7B0B51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Matrícula en básica primaria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6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: recibirá mayor puntaje la sede que tenga más matrícula en básica primaria y disminuirá linealmente. Las sedes para las que no hay información tendrán cero en este criterio.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D358A6" w:rsidP="02C26BB6" w:rsidRDefault="0053402E" w14:paraId="01A00537" w14:textId="7A33FA32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Matrícula en media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7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: </w:t>
      </w:r>
      <w:r w:rsidRPr="02C26BB6" w:rsidR="00D358A6">
        <w:rPr>
          <w:rFonts w:ascii="Arial" w:hAnsi="Arial" w:eastAsia="Times New Roman" w:cs="Arial"/>
          <w:sz w:val="22"/>
          <w:szCs w:val="22"/>
          <w:lang w:val="es-ES"/>
        </w:rPr>
        <w:t>recibirá mayor puntaje la sede que tenga más matrícula en media y disminuirá linealmente. Las sedes para las que no hay información tendrán cero en este criterio.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8F233B" w:rsidP="02C26BB6" w:rsidRDefault="00D358A6" w14:paraId="5B11B16C" w14:textId="55F528A2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Matrícula en jornada única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8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:</w:t>
      </w:r>
      <w:r w:rsidRPr="02C26BB6" w:rsidR="008F233B">
        <w:rPr>
          <w:rFonts w:ascii="Arial" w:hAnsi="Arial" w:eastAsia="Times New Roman" w:cs="Arial"/>
          <w:sz w:val="22"/>
          <w:szCs w:val="22"/>
          <w:lang w:val="es-ES"/>
        </w:rPr>
        <w:t xml:space="preserve"> recibirá mayor puntaje la sede que tenga más matrícula en jornada única y disminuirá linealmente. Las sedes para las que no hay información tendrán cero en este criterio.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C43833" w:rsidP="02C26BB6" w:rsidRDefault="00C43833" w14:paraId="0B5D29D8" w14:textId="513F9F41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Deserción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9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: recibe mayor ponderación el municipio con mayores tasas de deserción en la zona PDET. Las sedes para las que no hay información tendrán cero en este criterio.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B41974" w:rsidP="02C26BB6" w:rsidRDefault="00584D72" w14:paraId="2FD7C3B2" w14:textId="1AB6168F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Focalización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 PTA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10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: recibe el 100% de los puntos en este criterio la sede focalizadas por el PTA, la sede no 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focalizada</w:t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 xml:space="preserve"> recibe cero en este criterio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>. El peso de este criterio es 7,8%.</w:t>
      </w:r>
    </w:p>
    <w:p w:rsidRPr="00011F92" w:rsidR="00584D72" w:rsidP="02C26BB6" w:rsidRDefault="00DF77F8" w14:paraId="377CA793" w14:textId="5CEE389B" w14:noSpellErr="1">
      <w:pPr>
        <w:pStyle w:val="ListParagraph"/>
        <w:numPr>
          <w:ilvl w:val="0"/>
          <w:numId w:val="22"/>
        </w:num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>
        <w:rPr>
          <w:rFonts w:ascii="Arial" w:hAnsi="Arial" w:eastAsia="Times New Roman" w:cs="Arial"/>
          <w:sz w:val="22"/>
          <w:szCs w:val="22"/>
          <w:lang w:val="es-ES"/>
        </w:rPr>
        <w:t>Trayectorias educativas</w:t>
      </w:r>
      <w:r w:rsidRPr="02C26BB6">
        <w:rPr>
          <w:rStyle w:val="FootnoteReference"/>
          <w:rFonts w:ascii="Arial" w:hAnsi="Arial" w:eastAsia="Times New Roman" w:cs="Arial"/>
          <w:sz w:val="22"/>
          <w:szCs w:val="22"/>
          <w:lang w:val="es-ES"/>
        </w:rPr>
        <w:footnoteReference w:id="11"/>
      </w:r>
      <w:r w:rsidRPr="02C26BB6">
        <w:rPr>
          <w:rFonts w:ascii="Arial" w:hAnsi="Arial" w:eastAsia="Times New Roman" w:cs="Arial"/>
          <w:sz w:val="22"/>
          <w:szCs w:val="22"/>
          <w:lang w:val="es-ES"/>
        </w:rPr>
        <w:t>:</w:t>
      </w:r>
      <w:r w:rsidRPr="02C26BB6" w:rsidR="00674AA0">
        <w:rPr>
          <w:rFonts w:ascii="Arial" w:hAnsi="Arial" w:eastAsia="Times New Roman" w:cs="Arial"/>
          <w:sz w:val="22"/>
          <w:szCs w:val="22"/>
          <w:lang w:val="es-ES"/>
        </w:rPr>
        <w:t xml:space="preserve"> recibe mayor puntaje la sede que tiene los 4 niveles (preescolar, básica primaria, básica secundaria y media) y disminuye linealmente si tiene menos niveles. El menor puntaje en este criterio es del 25% para las sedes que tienen solo un nivel educativo.</w:t>
      </w:r>
      <w:r w:rsidRPr="02C26BB6" w:rsidR="00B31774">
        <w:rPr>
          <w:rFonts w:ascii="Arial" w:hAnsi="Arial" w:eastAsia="Times New Roman" w:cs="Arial"/>
          <w:sz w:val="22"/>
          <w:szCs w:val="22"/>
          <w:lang w:val="es-ES"/>
        </w:rPr>
        <w:t xml:space="preserve"> El peso de este criterio es 7,8%.</w:t>
      </w:r>
    </w:p>
    <w:p w:rsidRPr="00011F92" w:rsidR="0056233A" w:rsidP="02C26BB6" w:rsidRDefault="0056233A" w14:paraId="7115ABD7" w14:textId="77777777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</w:p>
    <w:p w:rsidRPr="00011F92" w:rsidR="003D6516" w:rsidP="02C26BB6" w:rsidRDefault="001A448F" w14:paraId="50DB2E50" w14:textId="0563DFEC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Es importante tener presente que si bien el MEN genera el listado de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escuelas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a focalizar, esta selección debe ser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concertada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con cada una de las 27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ntidades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T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erritoriales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C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ertificadas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que tienen escuelas dentro de los territorios del PDET.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 </w:t>
      </w:r>
    </w:p>
    <w:p w:rsidRPr="00011F92" w:rsidR="003D6516" w:rsidP="02C26BB6" w:rsidRDefault="003D6516" w14:paraId="4381BA85" w14:textId="77777777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</w:p>
    <w:p w:rsidRPr="003D6516" w:rsidR="003D6516" w:rsidP="02C26BB6" w:rsidRDefault="003D6516" w14:paraId="312ABA7C" w14:textId="6AC62E73" w14:noSpellErr="1">
      <w:pPr>
        <w:spacing w:before="120" w:after="0" w:line="240" w:lineRule="auto"/>
        <w:jc w:val="both"/>
        <w:outlineLvl w:val="1"/>
        <w:rPr>
          <w:rFonts w:ascii="Arial" w:hAnsi="Arial" w:eastAsia="Times New Roman" w:cs="Arial"/>
          <w:sz w:val="22"/>
          <w:szCs w:val="22"/>
          <w:lang w:val="es-ES"/>
        </w:rPr>
      </w:pP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Adicionalmente, el programa atenderá la educación básica y media en 25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 xml:space="preserve">escuelas de </w:t>
      </w:r>
      <w:r w:rsidRPr="02C26BB6" w:rsidR="02C26BB6">
        <w:rPr>
          <w:rFonts w:ascii="Arial" w:hAnsi="Arial" w:eastAsia="Times New Roman" w:cs="Arial"/>
          <w:sz w:val="22"/>
          <w:szCs w:val="22"/>
          <w:lang w:val="es-ES"/>
        </w:rPr>
        <w:t>zonas indígenas con Proyectos Educativos Comunitarios y las 129 Escuelas Normales Superiores.</w:t>
      </w:r>
    </w:p>
    <w:p w:rsidR="00DF36E0" w:rsidP="02C26BB6" w:rsidRDefault="00DF36E0" w14:paraId="34EA1441" w14:textId="77777777" w14:noSpellErr="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eastAsia="Arial" w:cs="Arial"/>
          <w:b w:val="1"/>
          <w:bCs w:val="1"/>
          <w:smallCaps w:val="1"/>
          <w:sz w:val="22"/>
          <w:szCs w:val="22"/>
          <w:lang w:val="es-ES"/>
        </w:rPr>
      </w:pPr>
    </w:p>
    <w:sectPr w:rsidR="00DF36E0" w:rsidSect="0003602F">
      <w:headerReference w:type="even" r:id="rId14"/>
      <w:headerReference w:type="default" r:id="rId15"/>
      <w:footnotePr>
        <w:numFmt w:val="lowerLetter"/>
        <w:numRestart w:val="eachSect"/>
      </w:footnotePr>
      <w:type w:val="continuous"/>
      <w:pgSz w:w="12240" w:h="15840" w:orient="portrait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91D" w:rsidP="007B6ECD" w:rsidRDefault="009E191D" w14:paraId="721AC402" w14:textId="77777777">
      <w:pPr>
        <w:spacing w:after="0" w:line="240" w:lineRule="auto"/>
      </w:pPr>
      <w:r>
        <w:separator/>
      </w:r>
    </w:p>
  </w:endnote>
  <w:endnote w:type="continuationSeparator" w:id="0">
    <w:p w:rsidR="009E191D" w:rsidP="007B6ECD" w:rsidRDefault="009E191D" w14:paraId="7AFCDF1F" w14:textId="77777777">
      <w:pPr>
        <w:spacing w:after="0" w:line="240" w:lineRule="auto"/>
      </w:pPr>
      <w:r>
        <w:continuationSeparator/>
      </w:r>
    </w:p>
  </w:endnote>
  <w:endnote w:type="continuationNotice" w:id="1">
    <w:p w:rsidR="009E191D" w:rsidRDefault="009E191D" w14:paraId="3233836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91D" w:rsidP="007B6ECD" w:rsidRDefault="009E191D" w14:paraId="33C994FE" w14:textId="77777777">
      <w:pPr>
        <w:spacing w:after="0" w:line="240" w:lineRule="auto"/>
      </w:pPr>
      <w:r>
        <w:separator/>
      </w:r>
    </w:p>
  </w:footnote>
  <w:footnote w:type="continuationSeparator" w:id="0">
    <w:p w:rsidR="009E191D" w:rsidP="007B6ECD" w:rsidRDefault="009E191D" w14:paraId="73A456E5" w14:textId="77777777">
      <w:pPr>
        <w:spacing w:after="0" w:line="240" w:lineRule="auto"/>
      </w:pPr>
      <w:r>
        <w:continuationSeparator/>
      </w:r>
    </w:p>
  </w:footnote>
  <w:footnote w:type="continuationNotice" w:id="1">
    <w:p w:rsidR="009E191D" w:rsidRDefault="009E191D" w14:paraId="468DD8D7" w14:textId="77777777">
      <w:pPr>
        <w:spacing w:after="0" w:line="240" w:lineRule="auto"/>
      </w:pPr>
    </w:p>
  </w:footnote>
  <w:footnote w:id="2">
    <w:p w:rsidRPr="00E0494D" w:rsidR="00B31774" w:rsidP="00B31774" w:rsidRDefault="00B31774" w14:paraId="6E0CBDC8" w14:textId="77777777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139 sedes focalizadas por el MEN</w:t>
      </w:r>
    </w:p>
  </w:footnote>
  <w:footnote w:id="3">
    <w:p w:rsidRPr="00E0494D" w:rsidR="00826CD2" w:rsidRDefault="00826CD2" w14:paraId="1745D285" w14:textId="75B089B9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Solo hay información para 4.565 sedes</w:t>
      </w:r>
    </w:p>
  </w:footnote>
  <w:footnote w:id="4">
    <w:p w:rsidRPr="00E0494D" w:rsidR="00EB76D8" w:rsidRDefault="00EB76D8" w14:paraId="1580E621" w14:textId="10F97CFC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E0494D" w:rsidR="00BD5DA6">
        <w:rPr>
          <w:rFonts w:ascii="Arial" w:hAnsi="Arial" w:cs="Arial"/>
          <w:sz w:val="18"/>
          <w:szCs w:val="18"/>
          <w:lang w:val="es-ES_tradnl"/>
        </w:rPr>
        <w:t xml:space="preserve">Solo hay información desagregada para 808 sedes </w:t>
      </w:r>
    </w:p>
  </w:footnote>
  <w:footnote w:id="5">
    <w:p w:rsidRPr="00E0494D" w:rsidR="00B41974" w:rsidRDefault="00B41974" w14:paraId="6ADF1F40" w14:textId="5024C424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7.931 sedes con matrícula en transición </w:t>
      </w:r>
    </w:p>
  </w:footnote>
  <w:footnote w:id="6">
    <w:p w:rsidRPr="00E0494D" w:rsidR="0053402E" w:rsidRDefault="0053402E" w14:paraId="71E4432A" w14:textId="1D07666B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10.093 sedes con matrícula en básica primaria</w:t>
      </w:r>
    </w:p>
  </w:footnote>
  <w:footnote w:id="7">
    <w:p w:rsidRPr="00E0494D" w:rsidR="0053402E" w:rsidRDefault="0053402E" w14:paraId="31BB7AE2" w14:textId="6E886538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E0494D" w:rsidR="00D358A6">
        <w:rPr>
          <w:rFonts w:ascii="Arial" w:hAnsi="Arial" w:cs="Arial"/>
          <w:sz w:val="18"/>
          <w:szCs w:val="18"/>
          <w:lang w:val="es-ES_tradnl"/>
        </w:rPr>
        <w:t>1.060 sedes con matrícula en media</w:t>
      </w:r>
    </w:p>
  </w:footnote>
  <w:footnote w:id="8">
    <w:p w:rsidRPr="00E0494D" w:rsidR="00D358A6" w:rsidRDefault="00D358A6" w14:paraId="6D73EFC8" w14:textId="0F753FC2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E0494D" w:rsidR="008F233B">
        <w:rPr>
          <w:rFonts w:ascii="Arial" w:hAnsi="Arial" w:cs="Arial"/>
          <w:sz w:val="18"/>
          <w:szCs w:val="18"/>
          <w:lang w:val="es-ES_tradnl"/>
        </w:rPr>
        <w:t>684 sedes con jornada única en al menos uno de sus grados</w:t>
      </w:r>
    </w:p>
  </w:footnote>
  <w:footnote w:id="9">
    <w:p w:rsidRPr="00E0494D" w:rsidR="00C43833" w:rsidRDefault="00C43833" w14:paraId="37662823" w14:textId="7C370723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10.030 sedes con </w:t>
      </w:r>
      <w:r w:rsidRPr="00E0494D" w:rsidR="001A448F">
        <w:rPr>
          <w:rFonts w:ascii="Arial" w:hAnsi="Arial" w:cs="Arial"/>
          <w:sz w:val="18"/>
          <w:szCs w:val="18"/>
          <w:lang w:val="es-ES_tradnl"/>
        </w:rPr>
        <w:t>información</w:t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de deserción</w:t>
      </w:r>
    </w:p>
  </w:footnote>
  <w:footnote w:id="10">
    <w:p w:rsidRPr="00E0494D" w:rsidR="00584D72" w:rsidRDefault="00584D72" w14:paraId="7F6BB4DA" w14:textId="43FFD687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6.014 sedes focalizadas por el PTA</w:t>
      </w:r>
    </w:p>
  </w:footnote>
  <w:footnote w:id="11">
    <w:p w:rsidRPr="00E0494D" w:rsidR="00DF77F8" w:rsidRDefault="00DF77F8" w14:paraId="117501CE" w14:textId="1833D9D3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E0494D">
        <w:rPr>
          <w:rStyle w:val="FootnoteReference"/>
          <w:rFonts w:ascii="Arial" w:hAnsi="Arial" w:cs="Arial"/>
          <w:sz w:val="18"/>
          <w:szCs w:val="18"/>
          <w:lang w:val="es-ES_tradnl"/>
        </w:rPr>
        <w:footnoteRef/>
      </w:r>
      <w:r w:rsidRPr="00E0494D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E0494D" w:rsidR="00674AA0">
        <w:rPr>
          <w:rFonts w:ascii="Arial" w:hAnsi="Arial" w:cs="Arial"/>
          <w:sz w:val="18"/>
          <w:szCs w:val="18"/>
          <w:lang w:val="es-ES_tradnl"/>
        </w:rPr>
        <w:t>Todas las sedes cuentan con al menos un nivel educativo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583D67" w:rsidR="007E0A50" w:rsidP="007E0A50" w:rsidRDefault="007E0A50" w14:paraId="44306ACE" w14:textId="77777777">
    <w:pPr>
      <w:pStyle w:val="Header"/>
      <w:rPr>
        <w:rFonts w:ascii="Arial" w:hAnsi="Arial" w:cs="Arial"/>
        <w:sz w:val="20"/>
        <w:szCs w:val="20"/>
        <w:lang w:val="pt-BR"/>
      </w:rPr>
    </w:pPr>
    <w:r>
      <w:rPr>
        <w:rFonts w:ascii="Arial" w:hAnsi="Arial" w:cs="Arial"/>
        <w:sz w:val="20"/>
        <w:szCs w:val="20"/>
        <w:lang w:val="pt-BR"/>
      </w:rPr>
      <w:t>EEO# 4</w:t>
    </w:r>
    <w:r w:rsidRPr="00583D67">
      <w:rPr>
        <w:rFonts w:ascii="Arial" w:hAnsi="Arial" w:cs="Arial"/>
        <w:sz w:val="20"/>
        <w:szCs w:val="20"/>
        <w:lang w:val="pt-BR"/>
      </w:rPr>
      <w:t xml:space="preserve"> </w:t>
    </w:r>
    <w:r>
      <w:rPr>
        <w:rFonts w:ascii="Arial" w:hAnsi="Arial" w:cs="Arial"/>
        <w:sz w:val="20"/>
        <w:szCs w:val="20"/>
        <w:lang w:val="pt-BR"/>
      </w:rPr>
      <w:t>–</w:t>
    </w:r>
    <w:r w:rsidRPr="00583D67">
      <w:rPr>
        <w:rFonts w:ascii="Arial" w:hAnsi="Arial" w:cs="Arial"/>
        <w:sz w:val="20"/>
        <w:szCs w:val="20"/>
        <w:lang w:val="pt-BR"/>
      </w:rPr>
      <w:t xml:space="preserve"> </w:t>
    </w:r>
    <w:r w:rsidRPr="004D3BD3">
      <w:rPr>
        <w:rFonts w:ascii="Arial" w:hAnsi="Arial" w:cs="Arial"/>
        <w:sz w:val="20"/>
        <w:szCs w:val="20"/>
        <w:lang w:val="pt-BR"/>
      </w:rPr>
      <w:t>CO-</w:t>
    </w:r>
    <w:r>
      <w:rPr>
        <w:rFonts w:ascii="Arial" w:hAnsi="Arial" w:cs="Arial"/>
        <w:sz w:val="20"/>
        <w:szCs w:val="20"/>
        <w:lang w:val="pt-BR"/>
      </w:rPr>
      <w:t>L1229</w:t>
    </w:r>
  </w:p>
  <w:p w:rsidRPr="00583D67" w:rsidR="007E0A50" w:rsidP="007E0A50" w:rsidRDefault="007E0A50" w14:paraId="107E3E46" w14:textId="77777777">
    <w:pPr>
      <w:pStyle w:val="Header"/>
      <w:rPr>
        <w:rFonts w:ascii="Arial" w:hAnsi="Arial" w:cs="Arial"/>
        <w:sz w:val="20"/>
        <w:szCs w:val="20"/>
        <w:lang w:val="pt-BR"/>
      </w:rPr>
    </w:pPr>
    <w:r w:rsidRPr="00583D67">
      <w:rPr>
        <w:rFonts w:ascii="Arial" w:hAnsi="Arial" w:cs="Arial"/>
        <w:sz w:val="20"/>
        <w:szCs w:val="20"/>
        <w:lang w:val="pt-BR"/>
      </w:rPr>
      <w:t xml:space="preserve">Página </w:t>
    </w:r>
    <w:r w:rsidRPr="00583D67">
      <w:rPr>
        <w:rFonts w:ascii="Arial" w:hAnsi="Arial" w:cs="Arial"/>
        <w:bCs/>
        <w:sz w:val="20"/>
        <w:szCs w:val="20"/>
      </w:rPr>
      <w:fldChar w:fldCharType="begin"/>
    </w:r>
    <w:r w:rsidRPr="00583D67">
      <w:rPr>
        <w:rFonts w:ascii="Arial" w:hAnsi="Arial" w:cs="Arial"/>
        <w:bCs/>
        <w:sz w:val="20"/>
        <w:szCs w:val="20"/>
        <w:lang w:val="pt-BR"/>
      </w:rPr>
      <w:instrText xml:space="preserve"> PAGE </w:instrText>
    </w:r>
    <w:r w:rsidRPr="00583D67">
      <w:rPr>
        <w:rFonts w:ascii="Arial" w:hAnsi="Arial" w:cs="Arial"/>
        <w:bCs/>
        <w:sz w:val="20"/>
        <w:szCs w:val="20"/>
      </w:rPr>
      <w:fldChar w:fldCharType="separate"/>
    </w:r>
    <w:r w:rsidRPr="00B31774">
      <w:rPr>
        <w:rFonts w:ascii="Arial" w:hAnsi="Arial" w:cs="Arial"/>
        <w:bCs/>
        <w:sz w:val="20"/>
        <w:szCs w:val="20"/>
        <w:lang w:val="es-CO"/>
      </w:rPr>
      <w:t>1</w:t>
    </w:r>
    <w:r w:rsidRPr="00583D67">
      <w:rPr>
        <w:rFonts w:ascii="Arial" w:hAnsi="Arial" w:cs="Arial"/>
        <w:bCs/>
        <w:sz w:val="20"/>
        <w:szCs w:val="20"/>
      </w:rPr>
      <w:fldChar w:fldCharType="end"/>
    </w:r>
    <w:r w:rsidRPr="00583D67">
      <w:rPr>
        <w:rFonts w:ascii="Arial" w:hAnsi="Arial" w:cs="Arial"/>
        <w:sz w:val="20"/>
        <w:szCs w:val="20"/>
        <w:lang w:val="pt-BR"/>
      </w:rPr>
      <w:t xml:space="preserve"> de </w:t>
    </w:r>
    <w:r w:rsidRPr="00583D67">
      <w:rPr>
        <w:rFonts w:ascii="Arial" w:hAnsi="Arial" w:cs="Arial"/>
        <w:bCs/>
        <w:sz w:val="20"/>
        <w:szCs w:val="20"/>
      </w:rPr>
      <w:fldChar w:fldCharType="begin"/>
    </w:r>
    <w:r w:rsidRPr="00583D67">
      <w:rPr>
        <w:rFonts w:ascii="Arial" w:hAnsi="Arial" w:cs="Arial"/>
        <w:bCs/>
        <w:sz w:val="20"/>
        <w:szCs w:val="20"/>
        <w:lang w:val="pt-BR"/>
      </w:rPr>
      <w:instrText xml:space="preserve"> NUMPAGES  </w:instrText>
    </w:r>
    <w:r w:rsidRPr="00583D67">
      <w:rPr>
        <w:rFonts w:ascii="Arial" w:hAnsi="Arial" w:cs="Arial"/>
        <w:bCs/>
        <w:sz w:val="20"/>
        <w:szCs w:val="20"/>
      </w:rPr>
      <w:fldChar w:fldCharType="separate"/>
    </w:r>
    <w:r w:rsidRPr="00B31774">
      <w:rPr>
        <w:rFonts w:ascii="Arial" w:hAnsi="Arial" w:cs="Arial"/>
        <w:bCs/>
        <w:sz w:val="20"/>
        <w:szCs w:val="20"/>
        <w:lang w:val="es-CO"/>
      </w:rPr>
      <w:t>2</w:t>
    </w:r>
    <w:r w:rsidRPr="00583D67">
      <w:rPr>
        <w:rFonts w:ascii="Arial" w:hAnsi="Arial" w:cs="Arial"/>
        <w:bCs/>
        <w:sz w:val="20"/>
        <w:szCs w:val="20"/>
      </w:rPr>
      <w:fldChar w:fldCharType="end"/>
    </w:r>
  </w:p>
  <w:p w:rsidRPr="00B31774" w:rsidR="007E0A50" w:rsidRDefault="007E0A50" w14:paraId="774B35F7" w14:textId="77777777">
    <w:pPr>
      <w:pStyle w:val="Header"/>
      <w:rPr>
        <w:lang w:val="es-C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583D67" w:rsidR="007E0A50" w:rsidP="007E0A50" w:rsidRDefault="007E0A50" w14:paraId="2E33E8F5" w14:textId="7E6C9DA7">
    <w:pPr>
      <w:pStyle w:val="Header"/>
      <w:jc w:val="right"/>
      <w:rPr>
        <w:rFonts w:ascii="Arial" w:hAnsi="Arial" w:cs="Arial"/>
        <w:sz w:val="20"/>
        <w:szCs w:val="20"/>
        <w:lang w:val="pt-BR"/>
      </w:rPr>
    </w:pPr>
    <w:r>
      <w:rPr>
        <w:rFonts w:ascii="Arial" w:hAnsi="Arial" w:cs="Arial"/>
        <w:sz w:val="20"/>
        <w:szCs w:val="20"/>
        <w:lang w:val="pt-BR"/>
      </w:rPr>
      <w:t>EEO# 4</w:t>
    </w:r>
    <w:r w:rsidRPr="00583D67">
      <w:rPr>
        <w:rFonts w:ascii="Arial" w:hAnsi="Arial" w:cs="Arial"/>
        <w:sz w:val="20"/>
        <w:szCs w:val="20"/>
        <w:lang w:val="pt-BR"/>
      </w:rPr>
      <w:t xml:space="preserve"> </w:t>
    </w:r>
    <w:r>
      <w:rPr>
        <w:rFonts w:ascii="Arial" w:hAnsi="Arial" w:cs="Arial"/>
        <w:sz w:val="20"/>
        <w:szCs w:val="20"/>
        <w:lang w:val="pt-BR"/>
      </w:rPr>
      <w:t>–</w:t>
    </w:r>
    <w:r w:rsidRPr="00583D67">
      <w:rPr>
        <w:rFonts w:ascii="Arial" w:hAnsi="Arial" w:cs="Arial"/>
        <w:sz w:val="20"/>
        <w:szCs w:val="20"/>
        <w:lang w:val="pt-BR"/>
      </w:rPr>
      <w:t xml:space="preserve"> </w:t>
    </w:r>
    <w:r w:rsidRPr="004D3BD3">
      <w:rPr>
        <w:rFonts w:ascii="Arial" w:hAnsi="Arial" w:cs="Arial"/>
        <w:sz w:val="20"/>
        <w:szCs w:val="20"/>
        <w:lang w:val="pt-BR"/>
      </w:rPr>
      <w:t>CO-</w:t>
    </w:r>
    <w:r>
      <w:rPr>
        <w:rFonts w:ascii="Arial" w:hAnsi="Arial" w:cs="Arial"/>
        <w:sz w:val="20"/>
        <w:szCs w:val="20"/>
        <w:lang w:val="pt-BR"/>
      </w:rPr>
      <w:t>L1229</w:t>
    </w:r>
  </w:p>
  <w:p w:rsidRPr="00583D67" w:rsidR="007E0A50" w:rsidP="007E0A50" w:rsidRDefault="007E0A50" w14:paraId="187CBE05" w14:textId="77777777">
    <w:pPr>
      <w:pStyle w:val="Header"/>
      <w:jc w:val="right"/>
      <w:rPr>
        <w:rFonts w:ascii="Arial" w:hAnsi="Arial" w:cs="Arial"/>
        <w:sz w:val="20"/>
        <w:szCs w:val="20"/>
        <w:lang w:val="pt-BR"/>
      </w:rPr>
    </w:pPr>
    <w:r w:rsidRPr="00583D67">
      <w:rPr>
        <w:rFonts w:ascii="Arial" w:hAnsi="Arial" w:cs="Arial"/>
        <w:sz w:val="20"/>
        <w:szCs w:val="20"/>
        <w:lang w:val="pt-BR"/>
      </w:rPr>
      <w:t xml:space="preserve">Página </w:t>
    </w:r>
    <w:r w:rsidRPr="00583D67">
      <w:rPr>
        <w:rFonts w:ascii="Arial" w:hAnsi="Arial" w:cs="Arial"/>
        <w:bCs/>
        <w:sz w:val="20"/>
        <w:szCs w:val="20"/>
      </w:rPr>
      <w:fldChar w:fldCharType="begin"/>
    </w:r>
    <w:r w:rsidRPr="00583D67">
      <w:rPr>
        <w:rFonts w:ascii="Arial" w:hAnsi="Arial" w:cs="Arial"/>
        <w:bCs/>
        <w:sz w:val="20"/>
        <w:szCs w:val="20"/>
        <w:lang w:val="pt-BR"/>
      </w:rPr>
      <w:instrText xml:space="preserve"> PAGE </w:instrText>
    </w:r>
    <w:r w:rsidRPr="00583D67">
      <w:rPr>
        <w:rFonts w:ascii="Arial" w:hAnsi="Arial" w:cs="Arial"/>
        <w:bCs/>
        <w:sz w:val="20"/>
        <w:szCs w:val="20"/>
      </w:rPr>
      <w:fldChar w:fldCharType="separate"/>
    </w:r>
    <w:r w:rsidRPr="007E0A50">
      <w:rPr>
        <w:rFonts w:ascii="Arial" w:hAnsi="Arial" w:cs="Arial"/>
        <w:bCs/>
        <w:sz w:val="20"/>
        <w:szCs w:val="20"/>
        <w:lang w:val="pt-BR"/>
      </w:rPr>
      <w:t>1</w:t>
    </w:r>
    <w:r w:rsidRPr="00583D67">
      <w:rPr>
        <w:rFonts w:ascii="Arial" w:hAnsi="Arial" w:cs="Arial"/>
        <w:bCs/>
        <w:sz w:val="20"/>
        <w:szCs w:val="20"/>
      </w:rPr>
      <w:fldChar w:fldCharType="end"/>
    </w:r>
    <w:r w:rsidRPr="00583D67">
      <w:rPr>
        <w:rFonts w:ascii="Arial" w:hAnsi="Arial" w:cs="Arial"/>
        <w:sz w:val="20"/>
        <w:szCs w:val="20"/>
        <w:lang w:val="pt-BR"/>
      </w:rPr>
      <w:t xml:space="preserve"> de </w:t>
    </w:r>
    <w:r w:rsidRPr="00583D67">
      <w:rPr>
        <w:rFonts w:ascii="Arial" w:hAnsi="Arial" w:cs="Arial"/>
        <w:bCs/>
        <w:sz w:val="20"/>
        <w:szCs w:val="20"/>
      </w:rPr>
      <w:fldChar w:fldCharType="begin"/>
    </w:r>
    <w:r w:rsidRPr="00583D67">
      <w:rPr>
        <w:rFonts w:ascii="Arial" w:hAnsi="Arial" w:cs="Arial"/>
        <w:bCs/>
        <w:sz w:val="20"/>
        <w:szCs w:val="20"/>
        <w:lang w:val="pt-BR"/>
      </w:rPr>
      <w:instrText xml:space="preserve"> NUMPAGES  </w:instrText>
    </w:r>
    <w:r w:rsidRPr="00583D67">
      <w:rPr>
        <w:rFonts w:ascii="Arial" w:hAnsi="Arial" w:cs="Arial"/>
        <w:bCs/>
        <w:sz w:val="20"/>
        <w:szCs w:val="20"/>
      </w:rPr>
      <w:fldChar w:fldCharType="separate"/>
    </w:r>
    <w:r w:rsidRPr="007E0A50">
      <w:rPr>
        <w:rFonts w:ascii="Arial" w:hAnsi="Arial" w:cs="Arial"/>
        <w:bCs/>
        <w:sz w:val="20"/>
        <w:szCs w:val="20"/>
        <w:lang w:val="pt-BR"/>
      </w:rPr>
      <w:t>7</w:t>
    </w:r>
    <w:r w:rsidRPr="00583D67">
      <w:rPr>
        <w:rFonts w:ascii="Arial" w:hAnsi="Arial" w:cs="Arial"/>
        <w:bCs/>
        <w:sz w:val="20"/>
        <w:szCs w:val="20"/>
      </w:rPr>
      <w:fldChar w:fldCharType="end"/>
    </w:r>
  </w:p>
  <w:p w:rsidRPr="007E0A50" w:rsidR="007E0A50" w:rsidRDefault="007E0A50" w14:paraId="5AE2BED2" w14:textId="77777777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0518"/>
    <w:multiLevelType w:val="hybridMultilevel"/>
    <w:tmpl w:val="12A21D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B38DB"/>
    <w:multiLevelType w:val="hybridMultilevel"/>
    <w:tmpl w:val="D046BCB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AB7FC9"/>
    <w:multiLevelType w:val="multilevel"/>
    <w:tmpl w:val="83D8661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3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9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hint="default" w:ascii="Symbol" w:hAnsi="Symbol" w:eastAsia="Calibri" w:cs="Times New Roman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hint="default" w:ascii="Wingdings" w:hAnsi="Wingdings"/>
      </w:rPr>
    </w:lvl>
  </w:abstractNum>
  <w:abstractNum w:abstractNumId="12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4" w15:restartNumberingAfterBreak="0">
    <w:nsid w:val="567D4ACA"/>
    <w:multiLevelType w:val="hybridMultilevel"/>
    <w:tmpl w:val="DED2B9C2"/>
    <w:lvl w:ilvl="0" w:tplc="04090001">
      <w:start w:val="1"/>
      <w:numFmt w:val="bullet"/>
      <w:lvlText w:val=""/>
      <w:lvlJc w:val="left"/>
      <w:pPr>
        <w:ind w:left="782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2" w:hanging="360"/>
      </w:pPr>
      <w:rPr>
        <w:rFonts w:hint="default" w:ascii="Wingdings" w:hAnsi="Wingdings"/>
      </w:rPr>
    </w:lvl>
  </w:abstractNum>
  <w:abstractNum w:abstractNumId="15" w15:restartNumberingAfterBreak="0">
    <w:nsid w:val="5DC51FE8"/>
    <w:multiLevelType w:val="hybridMultilevel"/>
    <w:tmpl w:val="9A041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EF82530"/>
    <w:multiLevelType w:val="hybridMultilevel"/>
    <w:tmpl w:val="C35AC6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hAnsi="Cambria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 w:cs="Times New Roman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 w:cs="Times New Roman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 w:cs="Times New Roman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18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5"/>
  </w:num>
  <w:num w:numId="12">
    <w:abstractNumId w:val="4"/>
  </w:num>
  <w:num w:numId="13">
    <w:abstractNumId w:val="18"/>
  </w:num>
  <w:num w:numId="14">
    <w:abstractNumId w:val="12"/>
  </w:num>
  <w:num w:numId="1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</w:num>
  <w:num w:numId="17">
    <w:abstractNumId w:val="2"/>
  </w:num>
  <w:num w:numId="18">
    <w:abstractNumId w:val="14"/>
  </w:num>
  <w:num w:numId="19">
    <w:abstractNumId w:val="16"/>
  </w:num>
  <w:num w:numId="20">
    <w:abstractNumId w:val="1"/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dirty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numFmt w:val="lowerLetter"/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59"/>
    <w:rsid w:val="00000163"/>
    <w:rsid w:val="00000A82"/>
    <w:rsid w:val="00002FBE"/>
    <w:rsid w:val="00004122"/>
    <w:rsid w:val="000051CB"/>
    <w:rsid w:val="00005605"/>
    <w:rsid w:val="00007303"/>
    <w:rsid w:val="0000776A"/>
    <w:rsid w:val="000113FE"/>
    <w:rsid w:val="00011F92"/>
    <w:rsid w:val="0001484C"/>
    <w:rsid w:val="00014957"/>
    <w:rsid w:val="00016F82"/>
    <w:rsid w:val="0002055E"/>
    <w:rsid w:val="00020F4C"/>
    <w:rsid w:val="00020FEC"/>
    <w:rsid w:val="00022A27"/>
    <w:rsid w:val="00023C33"/>
    <w:rsid w:val="00023C48"/>
    <w:rsid w:val="0002526D"/>
    <w:rsid w:val="00026183"/>
    <w:rsid w:val="00026FC2"/>
    <w:rsid w:val="00035ED9"/>
    <w:rsid w:val="0003602F"/>
    <w:rsid w:val="00042B5C"/>
    <w:rsid w:val="00042D75"/>
    <w:rsid w:val="0004302D"/>
    <w:rsid w:val="00051DA0"/>
    <w:rsid w:val="00051DF2"/>
    <w:rsid w:val="00052B9A"/>
    <w:rsid w:val="00053F49"/>
    <w:rsid w:val="00056F4C"/>
    <w:rsid w:val="00057A8A"/>
    <w:rsid w:val="00060AE9"/>
    <w:rsid w:val="0006189B"/>
    <w:rsid w:val="000622DF"/>
    <w:rsid w:val="000660DE"/>
    <w:rsid w:val="000701B1"/>
    <w:rsid w:val="000702E4"/>
    <w:rsid w:val="000751B3"/>
    <w:rsid w:val="0007762F"/>
    <w:rsid w:val="00080701"/>
    <w:rsid w:val="00080F3B"/>
    <w:rsid w:val="00082353"/>
    <w:rsid w:val="00084092"/>
    <w:rsid w:val="00086217"/>
    <w:rsid w:val="000A2132"/>
    <w:rsid w:val="000A55DE"/>
    <w:rsid w:val="000A59C7"/>
    <w:rsid w:val="000A6743"/>
    <w:rsid w:val="000B046E"/>
    <w:rsid w:val="000B1D5E"/>
    <w:rsid w:val="000B219E"/>
    <w:rsid w:val="000B254C"/>
    <w:rsid w:val="000B4FB5"/>
    <w:rsid w:val="000B58B8"/>
    <w:rsid w:val="000B6C8C"/>
    <w:rsid w:val="000B7EC5"/>
    <w:rsid w:val="000C00A2"/>
    <w:rsid w:val="000C0515"/>
    <w:rsid w:val="000C128D"/>
    <w:rsid w:val="000C163E"/>
    <w:rsid w:val="000C2252"/>
    <w:rsid w:val="000C5B0A"/>
    <w:rsid w:val="000D0AC1"/>
    <w:rsid w:val="000D4515"/>
    <w:rsid w:val="000E00BC"/>
    <w:rsid w:val="000E2BF0"/>
    <w:rsid w:val="000E32F0"/>
    <w:rsid w:val="000E410D"/>
    <w:rsid w:val="000E5438"/>
    <w:rsid w:val="000E5B08"/>
    <w:rsid w:val="000E5FC0"/>
    <w:rsid w:val="000E6EBD"/>
    <w:rsid w:val="000E7768"/>
    <w:rsid w:val="000F27AA"/>
    <w:rsid w:val="000F3099"/>
    <w:rsid w:val="000F3755"/>
    <w:rsid w:val="000F44DF"/>
    <w:rsid w:val="000F5D84"/>
    <w:rsid w:val="000F7635"/>
    <w:rsid w:val="00100406"/>
    <w:rsid w:val="00100F34"/>
    <w:rsid w:val="00102FB9"/>
    <w:rsid w:val="001076D7"/>
    <w:rsid w:val="00110E29"/>
    <w:rsid w:val="00111FF8"/>
    <w:rsid w:val="00112E1A"/>
    <w:rsid w:val="001139F5"/>
    <w:rsid w:val="00113B4A"/>
    <w:rsid w:val="00114074"/>
    <w:rsid w:val="0011501A"/>
    <w:rsid w:val="00115379"/>
    <w:rsid w:val="001153A2"/>
    <w:rsid w:val="00117A23"/>
    <w:rsid w:val="00121C5B"/>
    <w:rsid w:val="001236DE"/>
    <w:rsid w:val="001242E7"/>
    <w:rsid w:val="00124AB9"/>
    <w:rsid w:val="0012516F"/>
    <w:rsid w:val="00127CA3"/>
    <w:rsid w:val="00130169"/>
    <w:rsid w:val="00132425"/>
    <w:rsid w:val="00133434"/>
    <w:rsid w:val="00134095"/>
    <w:rsid w:val="00135048"/>
    <w:rsid w:val="00135F64"/>
    <w:rsid w:val="00136802"/>
    <w:rsid w:val="0014088A"/>
    <w:rsid w:val="00141989"/>
    <w:rsid w:val="00143BD3"/>
    <w:rsid w:val="00143CAC"/>
    <w:rsid w:val="001440F8"/>
    <w:rsid w:val="0014431B"/>
    <w:rsid w:val="00144C44"/>
    <w:rsid w:val="00150D0B"/>
    <w:rsid w:val="001516C4"/>
    <w:rsid w:val="00151C91"/>
    <w:rsid w:val="00152193"/>
    <w:rsid w:val="001524B9"/>
    <w:rsid w:val="001539B8"/>
    <w:rsid w:val="001539B9"/>
    <w:rsid w:val="0015401A"/>
    <w:rsid w:val="0015435C"/>
    <w:rsid w:val="00154E58"/>
    <w:rsid w:val="001556EC"/>
    <w:rsid w:val="00160CFF"/>
    <w:rsid w:val="00163C04"/>
    <w:rsid w:val="00167DD5"/>
    <w:rsid w:val="00172549"/>
    <w:rsid w:val="00172B73"/>
    <w:rsid w:val="00173CE4"/>
    <w:rsid w:val="00175010"/>
    <w:rsid w:val="001771AC"/>
    <w:rsid w:val="00177249"/>
    <w:rsid w:val="00177769"/>
    <w:rsid w:val="00177DE4"/>
    <w:rsid w:val="00180BFF"/>
    <w:rsid w:val="0018147E"/>
    <w:rsid w:val="00183019"/>
    <w:rsid w:val="00185F7B"/>
    <w:rsid w:val="00186711"/>
    <w:rsid w:val="0019045E"/>
    <w:rsid w:val="00191A42"/>
    <w:rsid w:val="00192135"/>
    <w:rsid w:val="001932EF"/>
    <w:rsid w:val="00194902"/>
    <w:rsid w:val="00195981"/>
    <w:rsid w:val="001A1FA7"/>
    <w:rsid w:val="001A448F"/>
    <w:rsid w:val="001A4F42"/>
    <w:rsid w:val="001A625A"/>
    <w:rsid w:val="001B2561"/>
    <w:rsid w:val="001B4470"/>
    <w:rsid w:val="001B46BF"/>
    <w:rsid w:val="001B53CA"/>
    <w:rsid w:val="001B59EF"/>
    <w:rsid w:val="001B6506"/>
    <w:rsid w:val="001B67D9"/>
    <w:rsid w:val="001C148F"/>
    <w:rsid w:val="001C231B"/>
    <w:rsid w:val="001C2BCA"/>
    <w:rsid w:val="001C7B29"/>
    <w:rsid w:val="001D1B01"/>
    <w:rsid w:val="001D542B"/>
    <w:rsid w:val="001D5AD8"/>
    <w:rsid w:val="001D691E"/>
    <w:rsid w:val="001D7187"/>
    <w:rsid w:val="001E0C89"/>
    <w:rsid w:val="001E1C23"/>
    <w:rsid w:val="001E37F7"/>
    <w:rsid w:val="001E3C2C"/>
    <w:rsid w:val="001E55F3"/>
    <w:rsid w:val="001E562E"/>
    <w:rsid w:val="001E79B8"/>
    <w:rsid w:val="001F1423"/>
    <w:rsid w:val="001F5546"/>
    <w:rsid w:val="001F7374"/>
    <w:rsid w:val="002010E1"/>
    <w:rsid w:val="00202939"/>
    <w:rsid w:val="002047F5"/>
    <w:rsid w:val="002053B2"/>
    <w:rsid w:val="00205AC6"/>
    <w:rsid w:val="00205C50"/>
    <w:rsid w:val="00210E99"/>
    <w:rsid w:val="0021157A"/>
    <w:rsid w:val="002127FB"/>
    <w:rsid w:val="0021296A"/>
    <w:rsid w:val="0021583D"/>
    <w:rsid w:val="002174C9"/>
    <w:rsid w:val="0022128F"/>
    <w:rsid w:val="00221E06"/>
    <w:rsid w:val="00222B61"/>
    <w:rsid w:val="0022498F"/>
    <w:rsid w:val="002259FA"/>
    <w:rsid w:val="0022614F"/>
    <w:rsid w:val="00233600"/>
    <w:rsid w:val="00233A74"/>
    <w:rsid w:val="002356B9"/>
    <w:rsid w:val="00235E88"/>
    <w:rsid w:val="002369F2"/>
    <w:rsid w:val="00237E31"/>
    <w:rsid w:val="00242405"/>
    <w:rsid w:val="00243ECB"/>
    <w:rsid w:val="0025603F"/>
    <w:rsid w:val="0025638D"/>
    <w:rsid w:val="002603B8"/>
    <w:rsid w:val="00261C0E"/>
    <w:rsid w:val="00261EE3"/>
    <w:rsid w:val="00266F2C"/>
    <w:rsid w:val="00266F4D"/>
    <w:rsid w:val="0026716B"/>
    <w:rsid w:val="00267D14"/>
    <w:rsid w:val="00270FED"/>
    <w:rsid w:val="00271D2B"/>
    <w:rsid w:val="002727A4"/>
    <w:rsid w:val="0027350B"/>
    <w:rsid w:val="0027411D"/>
    <w:rsid w:val="00276BC2"/>
    <w:rsid w:val="002805D5"/>
    <w:rsid w:val="00281B5E"/>
    <w:rsid w:val="00284E26"/>
    <w:rsid w:val="00285D55"/>
    <w:rsid w:val="00287270"/>
    <w:rsid w:val="00287836"/>
    <w:rsid w:val="00291086"/>
    <w:rsid w:val="00292337"/>
    <w:rsid w:val="00292862"/>
    <w:rsid w:val="0029519E"/>
    <w:rsid w:val="002952DD"/>
    <w:rsid w:val="002A0A5E"/>
    <w:rsid w:val="002A1994"/>
    <w:rsid w:val="002A2752"/>
    <w:rsid w:val="002A3627"/>
    <w:rsid w:val="002A460D"/>
    <w:rsid w:val="002A4D3B"/>
    <w:rsid w:val="002B291D"/>
    <w:rsid w:val="002B5CA4"/>
    <w:rsid w:val="002B5E08"/>
    <w:rsid w:val="002B6A6F"/>
    <w:rsid w:val="002B754F"/>
    <w:rsid w:val="002C6ADB"/>
    <w:rsid w:val="002C7D1C"/>
    <w:rsid w:val="002D0040"/>
    <w:rsid w:val="002D154A"/>
    <w:rsid w:val="002D309C"/>
    <w:rsid w:val="002D5C61"/>
    <w:rsid w:val="002E05FE"/>
    <w:rsid w:val="002E31A8"/>
    <w:rsid w:val="002E35FF"/>
    <w:rsid w:val="002E5C74"/>
    <w:rsid w:val="002E5DDD"/>
    <w:rsid w:val="002E60DE"/>
    <w:rsid w:val="002F04CE"/>
    <w:rsid w:val="002F08D6"/>
    <w:rsid w:val="002F1064"/>
    <w:rsid w:val="002F1991"/>
    <w:rsid w:val="002F1F5B"/>
    <w:rsid w:val="002F2F27"/>
    <w:rsid w:val="002F481B"/>
    <w:rsid w:val="002F5FD4"/>
    <w:rsid w:val="002F676D"/>
    <w:rsid w:val="002F6774"/>
    <w:rsid w:val="002F6A68"/>
    <w:rsid w:val="003001D4"/>
    <w:rsid w:val="003002CE"/>
    <w:rsid w:val="00300C59"/>
    <w:rsid w:val="00302181"/>
    <w:rsid w:val="003028E3"/>
    <w:rsid w:val="00303BBE"/>
    <w:rsid w:val="00306655"/>
    <w:rsid w:val="00306AC0"/>
    <w:rsid w:val="00306D38"/>
    <w:rsid w:val="00310915"/>
    <w:rsid w:val="003158DF"/>
    <w:rsid w:val="00316598"/>
    <w:rsid w:val="003225C8"/>
    <w:rsid w:val="003247B2"/>
    <w:rsid w:val="0032634D"/>
    <w:rsid w:val="00326973"/>
    <w:rsid w:val="003301B8"/>
    <w:rsid w:val="00332A67"/>
    <w:rsid w:val="00333C96"/>
    <w:rsid w:val="003400CB"/>
    <w:rsid w:val="00341979"/>
    <w:rsid w:val="00341A7E"/>
    <w:rsid w:val="00345CC8"/>
    <w:rsid w:val="00347930"/>
    <w:rsid w:val="00347BBC"/>
    <w:rsid w:val="00354689"/>
    <w:rsid w:val="00354D7A"/>
    <w:rsid w:val="00355CDE"/>
    <w:rsid w:val="003602A9"/>
    <w:rsid w:val="00361DF3"/>
    <w:rsid w:val="00363D79"/>
    <w:rsid w:val="00365414"/>
    <w:rsid w:val="00366C4C"/>
    <w:rsid w:val="0037043C"/>
    <w:rsid w:val="003709F5"/>
    <w:rsid w:val="00372642"/>
    <w:rsid w:val="00373A4F"/>
    <w:rsid w:val="0038117A"/>
    <w:rsid w:val="00382251"/>
    <w:rsid w:val="00383068"/>
    <w:rsid w:val="0038334C"/>
    <w:rsid w:val="00387E97"/>
    <w:rsid w:val="003901F3"/>
    <w:rsid w:val="003920ED"/>
    <w:rsid w:val="00395036"/>
    <w:rsid w:val="00397428"/>
    <w:rsid w:val="003A1F08"/>
    <w:rsid w:val="003A2482"/>
    <w:rsid w:val="003A273B"/>
    <w:rsid w:val="003A2ABD"/>
    <w:rsid w:val="003A36DE"/>
    <w:rsid w:val="003A4BEF"/>
    <w:rsid w:val="003A5056"/>
    <w:rsid w:val="003B4026"/>
    <w:rsid w:val="003B6A72"/>
    <w:rsid w:val="003C12EB"/>
    <w:rsid w:val="003C1A3C"/>
    <w:rsid w:val="003C2A93"/>
    <w:rsid w:val="003C2C13"/>
    <w:rsid w:val="003C34B0"/>
    <w:rsid w:val="003C4654"/>
    <w:rsid w:val="003C4E15"/>
    <w:rsid w:val="003C70EB"/>
    <w:rsid w:val="003D0620"/>
    <w:rsid w:val="003D3ACC"/>
    <w:rsid w:val="003D4B6F"/>
    <w:rsid w:val="003D5B36"/>
    <w:rsid w:val="003D6516"/>
    <w:rsid w:val="003E13A0"/>
    <w:rsid w:val="003E258D"/>
    <w:rsid w:val="003E33B3"/>
    <w:rsid w:val="003E4BDC"/>
    <w:rsid w:val="003F12E6"/>
    <w:rsid w:val="003F2D80"/>
    <w:rsid w:val="003F343D"/>
    <w:rsid w:val="003F4374"/>
    <w:rsid w:val="003F58AE"/>
    <w:rsid w:val="003F6982"/>
    <w:rsid w:val="004002FD"/>
    <w:rsid w:val="00404238"/>
    <w:rsid w:val="004051F3"/>
    <w:rsid w:val="004058FE"/>
    <w:rsid w:val="0040752D"/>
    <w:rsid w:val="00407E88"/>
    <w:rsid w:val="00412F6C"/>
    <w:rsid w:val="00413073"/>
    <w:rsid w:val="004139B5"/>
    <w:rsid w:val="00416C20"/>
    <w:rsid w:val="00420A72"/>
    <w:rsid w:val="00422A0F"/>
    <w:rsid w:val="00423B2B"/>
    <w:rsid w:val="004252EA"/>
    <w:rsid w:val="00426C31"/>
    <w:rsid w:val="00427C79"/>
    <w:rsid w:val="00432037"/>
    <w:rsid w:val="004321D9"/>
    <w:rsid w:val="004331B0"/>
    <w:rsid w:val="004338A0"/>
    <w:rsid w:val="00434F7D"/>
    <w:rsid w:val="00436377"/>
    <w:rsid w:val="00436E41"/>
    <w:rsid w:val="004402AF"/>
    <w:rsid w:val="0044170E"/>
    <w:rsid w:val="00446F79"/>
    <w:rsid w:val="00447F07"/>
    <w:rsid w:val="004508F3"/>
    <w:rsid w:val="0045340B"/>
    <w:rsid w:val="00454C83"/>
    <w:rsid w:val="00456C3D"/>
    <w:rsid w:val="0046310E"/>
    <w:rsid w:val="004632FE"/>
    <w:rsid w:val="00463EB0"/>
    <w:rsid w:val="004642CE"/>
    <w:rsid w:val="00465853"/>
    <w:rsid w:val="004668B9"/>
    <w:rsid w:val="0046791C"/>
    <w:rsid w:val="00470D84"/>
    <w:rsid w:val="0047106B"/>
    <w:rsid w:val="004719B2"/>
    <w:rsid w:val="00472FC8"/>
    <w:rsid w:val="0047735D"/>
    <w:rsid w:val="004811BC"/>
    <w:rsid w:val="004812A8"/>
    <w:rsid w:val="0048587F"/>
    <w:rsid w:val="00491F1E"/>
    <w:rsid w:val="004920B6"/>
    <w:rsid w:val="00493D21"/>
    <w:rsid w:val="004961C8"/>
    <w:rsid w:val="004A10DB"/>
    <w:rsid w:val="004A2488"/>
    <w:rsid w:val="004A25D2"/>
    <w:rsid w:val="004A4350"/>
    <w:rsid w:val="004A5238"/>
    <w:rsid w:val="004A68BA"/>
    <w:rsid w:val="004B032D"/>
    <w:rsid w:val="004B2214"/>
    <w:rsid w:val="004B25FC"/>
    <w:rsid w:val="004B2CC6"/>
    <w:rsid w:val="004B40D4"/>
    <w:rsid w:val="004B6D3C"/>
    <w:rsid w:val="004B7EA8"/>
    <w:rsid w:val="004C288A"/>
    <w:rsid w:val="004C2EFE"/>
    <w:rsid w:val="004C2F9C"/>
    <w:rsid w:val="004C3D99"/>
    <w:rsid w:val="004C7DC2"/>
    <w:rsid w:val="004D5D3E"/>
    <w:rsid w:val="004D7BD1"/>
    <w:rsid w:val="004E1929"/>
    <w:rsid w:val="004E2563"/>
    <w:rsid w:val="004E604B"/>
    <w:rsid w:val="004F0875"/>
    <w:rsid w:val="004F0C2A"/>
    <w:rsid w:val="004F3F16"/>
    <w:rsid w:val="004F40AC"/>
    <w:rsid w:val="004F55A0"/>
    <w:rsid w:val="004F5774"/>
    <w:rsid w:val="004F5EA1"/>
    <w:rsid w:val="004F5F9C"/>
    <w:rsid w:val="004F6477"/>
    <w:rsid w:val="004F7099"/>
    <w:rsid w:val="004F7EEE"/>
    <w:rsid w:val="00500A3A"/>
    <w:rsid w:val="00501E3D"/>
    <w:rsid w:val="00503580"/>
    <w:rsid w:val="005041EE"/>
    <w:rsid w:val="00505B69"/>
    <w:rsid w:val="00505E46"/>
    <w:rsid w:val="00507157"/>
    <w:rsid w:val="00510EC1"/>
    <w:rsid w:val="0051285D"/>
    <w:rsid w:val="005145CC"/>
    <w:rsid w:val="00514902"/>
    <w:rsid w:val="00514EA2"/>
    <w:rsid w:val="005153FE"/>
    <w:rsid w:val="00516831"/>
    <w:rsid w:val="00516F98"/>
    <w:rsid w:val="00523B0F"/>
    <w:rsid w:val="00524650"/>
    <w:rsid w:val="005247B6"/>
    <w:rsid w:val="00524F25"/>
    <w:rsid w:val="00525BA9"/>
    <w:rsid w:val="00527F9C"/>
    <w:rsid w:val="00530E5D"/>
    <w:rsid w:val="0053402E"/>
    <w:rsid w:val="0053473D"/>
    <w:rsid w:val="00534C5C"/>
    <w:rsid w:val="00535810"/>
    <w:rsid w:val="00536BC4"/>
    <w:rsid w:val="00546A56"/>
    <w:rsid w:val="005509E6"/>
    <w:rsid w:val="005543E3"/>
    <w:rsid w:val="00560B63"/>
    <w:rsid w:val="0056233A"/>
    <w:rsid w:val="00562981"/>
    <w:rsid w:val="00562D13"/>
    <w:rsid w:val="00563C79"/>
    <w:rsid w:val="00564D11"/>
    <w:rsid w:val="00564EE5"/>
    <w:rsid w:val="00565162"/>
    <w:rsid w:val="00565E31"/>
    <w:rsid w:val="00566117"/>
    <w:rsid w:val="0057181E"/>
    <w:rsid w:val="00576594"/>
    <w:rsid w:val="00577C26"/>
    <w:rsid w:val="00577F0E"/>
    <w:rsid w:val="005808DF"/>
    <w:rsid w:val="00584D72"/>
    <w:rsid w:val="00586AB5"/>
    <w:rsid w:val="00587A38"/>
    <w:rsid w:val="00591F0C"/>
    <w:rsid w:val="00596969"/>
    <w:rsid w:val="00597251"/>
    <w:rsid w:val="005A07F9"/>
    <w:rsid w:val="005A0CDB"/>
    <w:rsid w:val="005A11A0"/>
    <w:rsid w:val="005A4237"/>
    <w:rsid w:val="005A4AC4"/>
    <w:rsid w:val="005A5CAF"/>
    <w:rsid w:val="005A6480"/>
    <w:rsid w:val="005A6C85"/>
    <w:rsid w:val="005A70FC"/>
    <w:rsid w:val="005A7AFD"/>
    <w:rsid w:val="005A7EE1"/>
    <w:rsid w:val="005B1138"/>
    <w:rsid w:val="005B238B"/>
    <w:rsid w:val="005B2468"/>
    <w:rsid w:val="005B474D"/>
    <w:rsid w:val="005B47E8"/>
    <w:rsid w:val="005B4808"/>
    <w:rsid w:val="005B7039"/>
    <w:rsid w:val="005B780E"/>
    <w:rsid w:val="005C0113"/>
    <w:rsid w:val="005C1F47"/>
    <w:rsid w:val="005C29E5"/>
    <w:rsid w:val="005C34EC"/>
    <w:rsid w:val="005D087F"/>
    <w:rsid w:val="005D11F6"/>
    <w:rsid w:val="005D2688"/>
    <w:rsid w:val="005D3C08"/>
    <w:rsid w:val="005D7F3E"/>
    <w:rsid w:val="005E1B7D"/>
    <w:rsid w:val="005E23F8"/>
    <w:rsid w:val="005E2AC0"/>
    <w:rsid w:val="005E464B"/>
    <w:rsid w:val="005E5075"/>
    <w:rsid w:val="005E5B98"/>
    <w:rsid w:val="005E7E65"/>
    <w:rsid w:val="005F095E"/>
    <w:rsid w:val="005F0B7D"/>
    <w:rsid w:val="005F0F86"/>
    <w:rsid w:val="005F10A0"/>
    <w:rsid w:val="005F3D8A"/>
    <w:rsid w:val="005F7323"/>
    <w:rsid w:val="005F7EAB"/>
    <w:rsid w:val="006033E2"/>
    <w:rsid w:val="00604287"/>
    <w:rsid w:val="00604668"/>
    <w:rsid w:val="00605B53"/>
    <w:rsid w:val="00610F99"/>
    <w:rsid w:val="0061249A"/>
    <w:rsid w:val="00615058"/>
    <w:rsid w:val="00621B5C"/>
    <w:rsid w:val="006224BC"/>
    <w:rsid w:val="00623016"/>
    <w:rsid w:val="00624474"/>
    <w:rsid w:val="00625795"/>
    <w:rsid w:val="00626484"/>
    <w:rsid w:val="006325B6"/>
    <w:rsid w:val="00633071"/>
    <w:rsid w:val="00637F8D"/>
    <w:rsid w:val="006416F5"/>
    <w:rsid w:val="00642A53"/>
    <w:rsid w:val="00651678"/>
    <w:rsid w:val="00654810"/>
    <w:rsid w:val="006617D1"/>
    <w:rsid w:val="00664B31"/>
    <w:rsid w:val="00666567"/>
    <w:rsid w:val="00666C17"/>
    <w:rsid w:val="0067482D"/>
    <w:rsid w:val="00674AA0"/>
    <w:rsid w:val="00674AFC"/>
    <w:rsid w:val="00674F2E"/>
    <w:rsid w:val="00677D11"/>
    <w:rsid w:val="00681262"/>
    <w:rsid w:val="00681A01"/>
    <w:rsid w:val="00682867"/>
    <w:rsid w:val="0068379B"/>
    <w:rsid w:val="00687723"/>
    <w:rsid w:val="00691B4E"/>
    <w:rsid w:val="00693FBE"/>
    <w:rsid w:val="00694A80"/>
    <w:rsid w:val="00697BC0"/>
    <w:rsid w:val="00697CFB"/>
    <w:rsid w:val="006A33E9"/>
    <w:rsid w:val="006A40A3"/>
    <w:rsid w:val="006A43E0"/>
    <w:rsid w:val="006A480C"/>
    <w:rsid w:val="006A70A8"/>
    <w:rsid w:val="006A73EB"/>
    <w:rsid w:val="006B3E7D"/>
    <w:rsid w:val="006B6810"/>
    <w:rsid w:val="006B7266"/>
    <w:rsid w:val="006B7C72"/>
    <w:rsid w:val="006B7DF7"/>
    <w:rsid w:val="006C382E"/>
    <w:rsid w:val="006C5375"/>
    <w:rsid w:val="006C6CE5"/>
    <w:rsid w:val="006D02BD"/>
    <w:rsid w:val="006D0A00"/>
    <w:rsid w:val="006D1FD2"/>
    <w:rsid w:val="006D3787"/>
    <w:rsid w:val="006D5012"/>
    <w:rsid w:val="006D7666"/>
    <w:rsid w:val="006E45D5"/>
    <w:rsid w:val="006E4629"/>
    <w:rsid w:val="006E506C"/>
    <w:rsid w:val="006E6637"/>
    <w:rsid w:val="006E7B9F"/>
    <w:rsid w:val="006E7DA5"/>
    <w:rsid w:val="006F4B96"/>
    <w:rsid w:val="006F5BF6"/>
    <w:rsid w:val="006F5C64"/>
    <w:rsid w:val="007002E7"/>
    <w:rsid w:val="00703D8B"/>
    <w:rsid w:val="00704028"/>
    <w:rsid w:val="00705E45"/>
    <w:rsid w:val="00706387"/>
    <w:rsid w:val="0071000E"/>
    <w:rsid w:val="00713D10"/>
    <w:rsid w:val="00715517"/>
    <w:rsid w:val="007167FF"/>
    <w:rsid w:val="00716D47"/>
    <w:rsid w:val="007205D0"/>
    <w:rsid w:val="00720899"/>
    <w:rsid w:val="00720EF4"/>
    <w:rsid w:val="00721F27"/>
    <w:rsid w:val="0072279A"/>
    <w:rsid w:val="00722B27"/>
    <w:rsid w:val="00724604"/>
    <w:rsid w:val="00730197"/>
    <w:rsid w:val="007301CE"/>
    <w:rsid w:val="007305F6"/>
    <w:rsid w:val="00730AB4"/>
    <w:rsid w:val="00732FFD"/>
    <w:rsid w:val="00733023"/>
    <w:rsid w:val="00736466"/>
    <w:rsid w:val="007364A3"/>
    <w:rsid w:val="007409CD"/>
    <w:rsid w:val="00740FE3"/>
    <w:rsid w:val="00743411"/>
    <w:rsid w:val="007444E0"/>
    <w:rsid w:val="00744A07"/>
    <w:rsid w:val="00746120"/>
    <w:rsid w:val="007538A1"/>
    <w:rsid w:val="007544FA"/>
    <w:rsid w:val="00754CC9"/>
    <w:rsid w:val="00755CF9"/>
    <w:rsid w:val="00756C05"/>
    <w:rsid w:val="00760A38"/>
    <w:rsid w:val="0076121D"/>
    <w:rsid w:val="007626C0"/>
    <w:rsid w:val="00762BB5"/>
    <w:rsid w:val="00764B2C"/>
    <w:rsid w:val="00765098"/>
    <w:rsid w:val="00766693"/>
    <w:rsid w:val="00767CDB"/>
    <w:rsid w:val="00770D03"/>
    <w:rsid w:val="00774118"/>
    <w:rsid w:val="00776935"/>
    <w:rsid w:val="00777DBB"/>
    <w:rsid w:val="00781455"/>
    <w:rsid w:val="00784B5E"/>
    <w:rsid w:val="00785013"/>
    <w:rsid w:val="00785E24"/>
    <w:rsid w:val="0078646A"/>
    <w:rsid w:val="00787925"/>
    <w:rsid w:val="007925ED"/>
    <w:rsid w:val="00795640"/>
    <w:rsid w:val="0079632C"/>
    <w:rsid w:val="00796409"/>
    <w:rsid w:val="007975CD"/>
    <w:rsid w:val="007A015A"/>
    <w:rsid w:val="007A1D00"/>
    <w:rsid w:val="007A1E69"/>
    <w:rsid w:val="007A2E03"/>
    <w:rsid w:val="007A4E9B"/>
    <w:rsid w:val="007A538E"/>
    <w:rsid w:val="007A657D"/>
    <w:rsid w:val="007B2A95"/>
    <w:rsid w:val="007B4391"/>
    <w:rsid w:val="007B4EDD"/>
    <w:rsid w:val="007B5F4F"/>
    <w:rsid w:val="007B66D6"/>
    <w:rsid w:val="007B6ECD"/>
    <w:rsid w:val="007B7C28"/>
    <w:rsid w:val="007C461C"/>
    <w:rsid w:val="007C5BF5"/>
    <w:rsid w:val="007C784D"/>
    <w:rsid w:val="007D1607"/>
    <w:rsid w:val="007D1A17"/>
    <w:rsid w:val="007D5E86"/>
    <w:rsid w:val="007E0A50"/>
    <w:rsid w:val="007E22A3"/>
    <w:rsid w:val="007E2CE9"/>
    <w:rsid w:val="007E4F27"/>
    <w:rsid w:val="007E630F"/>
    <w:rsid w:val="007F0B43"/>
    <w:rsid w:val="007F2E05"/>
    <w:rsid w:val="007F3A94"/>
    <w:rsid w:val="007F7953"/>
    <w:rsid w:val="00802744"/>
    <w:rsid w:val="008069CA"/>
    <w:rsid w:val="00817B08"/>
    <w:rsid w:val="00821FAD"/>
    <w:rsid w:val="00822153"/>
    <w:rsid w:val="008234FA"/>
    <w:rsid w:val="0082356E"/>
    <w:rsid w:val="008261BD"/>
    <w:rsid w:val="00826CD2"/>
    <w:rsid w:val="00831349"/>
    <w:rsid w:val="00834D4C"/>
    <w:rsid w:val="008370B2"/>
    <w:rsid w:val="00842EB8"/>
    <w:rsid w:val="00851ABF"/>
    <w:rsid w:val="008545DC"/>
    <w:rsid w:val="0085472E"/>
    <w:rsid w:val="00857D67"/>
    <w:rsid w:val="00861B76"/>
    <w:rsid w:val="008624C9"/>
    <w:rsid w:val="00862AF6"/>
    <w:rsid w:val="00863D2B"/>
    <w:rsid w:val="008645ED"/>
    <w:rsid w:val="008648FC"/>
    <w:rsid w:val="00870C92"/>
    <w:rsid w:val="008737F9"/>
    <w:rsid w:val="00873F19"/>
    <w:rsid w:val="00873FD0"/>
    <w:rsid w:val="00874FB2"/>
    <w:rsid w:val="008755DD"/>
    <w:rsid w:val="008765DC"/>
    <w:rsid w:val="008766A5"/>
    <w:rsid w:val="00877287"/>
    <w:rsid w:val="00877CFA"/>
    <w:rsid w:val="00880DD7"/>
    <w:rsid w:val="008828A6"/>
    <w:rsid w:val="00883361"/>
    <w:rsid w:val="00884F40"/>
    <w:rsid w:val="00885AB3"/>
    <w:rsid w:val="00886018"/>
    <w:rsid w:val="00886201"/>
    <w:rsid w:val="008866F0"/>
    <w:rsid w:val="00890E63"/>
    <w:rsid w:val="00891C03"/>
    <w:rsid w:val="00892544"/>
    <w:rsid w:val="00892E4A"/>
    <w:rsid w:val="00895C43"/>
    <w:rsid w:val="008A05BE"/>
    <w:rsid w:val="008A0AF5"/>
    <w:rsid w:val="008A2C40"/>
    <w:rsid w:val="008A36EA"/>
    <w:rsid w:val="008A41E7"/>
    <w:rsid w:val="008A4621"/>
    <w:rsid w:val="008B25EC"/>
    <w:rsid w:val="008B438B"/>
    <w:rsid w:val="008B5637"/>
    <w:rsid w:val="008B5B2C"/>
    <w:rsid w:val="008C30B6"/>
    <w:rsid w:val="008C4556"/>
    <w:rsid w:val="008C74B8"/>
    <w:rsid w:val="008C765B"/>
    <w:rsid w:val="008D19D4"/>
    <w:rsid w:val="008D5F6C"/>
    <w:rsid w:val="008D7064"/>
    <w:rsid w:val="008D788C"/>
    <w:rsid w:val="008E2063"/>
    <w:rsid w:val="008E6F03"/>
    <w:rsid w:val="008F22AC"/>
    <w:rsid w:val="008F233B"/>
    <w:rsid w:val="008F2E3F"/>
    <w:rsid w:val="008F43F4"/>
    <w:rsid w:val="008F782C"/>
    <w:rsid w:val="00900E21"/>
    <w:rsid w:val="00901604"/>
    <w:rsid w:val="00901707"/>
    <w:rsid w:val="00903E67"/>
    <w:rsid w:val="00905CD4"/>
    <w:rsid w:val="009101D7"/>
    <w:rsid w:val="009102B2"/>
    <w:rsid w:val="00910B62"/>
    <w:rsid w:val="00912ED1"/>
    <w:rsid w:val="00914313"/>
    <w:rsid w:val="00920FEC"/>
    <w:rsid w:val="00922991"/>
    <w:rsid w:val="00923B4E"/>
    <w:rsid w:val="009249FE"/>
    <w:rsid w:val="00924ADD"/>
    <w:rsid w:val="009250B4"/>
    <w:rsid w:val="00926CE3"/>
    <w:rsid w:val="00930DAA"/>
    <w:rsid w:val="00932973"/>
    <w:rsid w:val="00932D09"/>
    <w:rsid w:val="00933D96"/>
    <w:rsid w:val="00935090"/>
    <w:rsid w:val="0094042E"/>
    <w:rsid w:val="00940EEA"/>
    <w:rsid w:val="00943CCF"/>
    <w:rsid w:val="00952E20"/>
    <w:rsid w:val="00953774"/>
    <w:rsid w:val="00954034"/>
    <w:rsid w:val="00954CB3"/>
    <w:rsid w:val="009559D9"/>
    <w:rsid w:val="00955D6B"/>
    <w:rsid w:val="00956193"/>
    <w:rsid w:val="00960CE6"/>
    <w:rsid w:val="00961C70"/>
    <w:rsid w:val="00962137"/>
    <w:rsid w:val="009676D9"/>
    <w:rsid w:val="00967D18"/>
    <w:rsid w:val="00967DA8"/>
    <w:rsid w:val="009706B6"/>
    <w:rsid w:val="00980F07"/>
    <w:rsid w:val="00983093"/>
    <w:rsid w:val="00983A39"/>
    <w:rsid w:val="009853C1"/>
    <w:rsid w:val="00985A94"/>
    <w:rsid w:val="00990B34"/>
    <w:rsid w:val="00993D17"/>
    <w:rsid w:val="009962DF"/>
    <w:rsid w:val="00996C8B"/>
    <w:rsid w:val="0099759E"/>
    <w:rsid w:val="009A6506"/>
    <w:rsid w:val="009A7AE3"/>
    <w:rsid w:val="009A7DA5"/>
    <w:rsid w:val="009B0293"/>
    <w:rsid w:val="009B05D6"/>
    <w:rsid w:val="009B5091"/>
    <w:rsid w:val="009B5773"/>
    <w:rsid w:val="009B6433"/>
    <w:rsid w:val="009B6B54"/>
    <w:rsid w:val="009C1AF4"/>
    <w:rsid w:val="009C2619"/>
    <w:rsid w:val="009C2E6B"/>
    <w:rsid w:val="009C3484"/>
    <w:rsid w:val="009C47EE"/>
    <w:rsid w:val="009C52A2"/>
    <w:rsid w:val="009C79A5"/>
    <w:rsid w:val="009D0086"/>
    <w:rsid w:val="009D01B5"/>
    <w:rsid w:val="009D376C"/>
    <w:rsid w:val="009D3CBC"/>
    <w:rsid w:val="009D5047"/>
    <w:rsid w:val="009D5419"/>
    <w:rsid w:val="009D696D"/>
    <w:rsid w:val="009E191D"/>
    <w:rsid w:val="009E3A64"/>
    <w:rsid w:val="009E3BD1"/>
    <w:rsid w:val="009E4142"/>
    <w:rsid w:val="009E4E96"/>
    <w:rsid w:val="009F034D"/>
    <w:rsid w:val="009F4B1A"/>
    <w:rsid w:val="009F6A78"/>
    <w:rsid w:val="009F778C"/>
    <w:rsid w:val="00A03FDC"/>
    <w:rsid w:val="00A046D9"/>
    <w:rsid w:val="00A06B07"/>
    <w:rsid w:val="00A07FC1"/>
    <w:rsid w:val="00A108FA"/>
    <w:rsid w:val="00A13929"/>
    <w:rsid w:val="00A15177"/>
    <w:rsid w:val="00A152BB"/>
    <w:rsid w:val="00A16624"/>
    <w:rsid w:val="00A17EC7"/>
    <w:rsid w:val="00A2161F"/>
    <w:rsid w:val="00A22776"/>
    <w:rsid w:val="00A2577D"/>
    <w:rsid w:val="00A26640"/>
    <w:rsid w:val="00A32A31"/>
    <w:rsid w:val="00A33AB7"/>
    <w:rsid w:val="00A349DE"/>
    <w:rsid w:val="00A4216E"/>
    <w:rsid w:val="00A431B5"/>
    <w:rsid w:val="00A43F21"/>
    <w:rsid w:val="00A4641B"/>
    <w:rsid w:val="00A46C3E"/>
    <w:rsid w:val="00A46CB3"/>
    <w:rsid w:val="00A47C19"/>
    <w:rsid w:val="00A47D9C"/>
    <w:rsid w:val="00A5004C"/>
    <w:rsid w:val="00A538F8"/>
    <w:rsid w:val="00A53E24"/>
    <w:rsid w:val="00A61E8A"/>
    <w:rsid w:val="00A637BA"/>
    <w:rsid w:val="00A66384"/>
    <w:rsid w:val="00A665DC"/>
    <w:rsid w:val="00A66701"/>
    <w:rsid w:val="00A708A9"/>
    <w:rsid w:val="00A71582"/>
    <w:rsid w:val="00A73420"/>
    <w:rsid w:val="00A763AE"/>
    <w:rsid w:val="00A773BA"/>
    <w:rsid w:val="00A80B02"/>
    <w:rsid w:val="00A82307"/>
    <w:rsid w:val="00A834D1"/>
    <w:rsid w:val="00A850A4"/>
    <w:rsid w:val="00A86592"/>
    <w:rsid w:val="00A87960"/>
    <w:rsid w:val="00A91CFD"/>
    <w:rsid w:val="00A92B62"/>
    <w:rsid w:val="00A93488"/>
    <w:rsid w:val="00A9405A"/>
    <w:rsid w:val="00A955C8"/>
    <w:rsid w:val="00A95DF4"/>
    <w:rsid w:val="00AA18C1"/>
    <w:rsid w:val="00AA330D"/>
    <w:rsid w:val="00AA36F0"/>
    <w:rsid w:val="00AA4B04"/>
    <w:rsid w:val="00AA4C42"/>
    <w:rsid w:val="00AA5B7B"/>
    <w:rsid w:val="00AA5FB7"/>
    <w:rsid w:val="00AA67FB"/>
    <w:rsid w:val="00AB1710"/>
    <w:rsid w:val="00AB3BA4"/>
    <w:rsid w:val="00AB483B"/>
    <w:rsid w:val="00AC0E00"/>
    <w:rsid w:val="00AC2323"/>
    <w:rsid w:val="00AC5EF4"/>
    <w:rsid w:val="00AC6755"/>
    <w:rsid w:val="00AC797F"/>
    <w:rsid w:val="00AD0943"/>
    <w:rsid w:val="00AD0BA5"/>
    <w:rsid w:val="00AD1FF6"/>
    <w:rsid w:val="00AD4080"/>
    <w:rsid w:val="00AE0A90"/>
    <w:rsid w:val="00AE0E83"/>
    <w:rsid w:val="00AE13C2"/>
    <w:rsid w:val="00AE2D69"/>
    <w:rsid w:val="00AE371C"/>
    <w:rsid w:val="00AE3F0D"/>
    <w:rsid w:val="00AE4154"/>
    <w:rsid w:val="00AE584C"/>
    <w:rsid w:val="00AE617E"/>
    <w:rsid w:val="00AF4732"/>
    <w:rsid w:val="00AF4DDC"/>
    <w:rsid w:val="00AF5CD4"/>
    <w:rsid w:val="00AF6F76"/>
    <w:rsid w:val="00B033BD"/>
    <w:rsid w:val="00B03495"/>
    <w:rsid w:val="00B03ECC"/>
    <w:rsid w:val="00B04319"/>
    <w:rsid w:val="00B062FA"/>
    <w:rsid w:val="00B06842"/>
    <w:rsid w:val="00B06874"/>
    <w:rsid w:val="00B137CB"/>
    <w:rsid w:val="00B161CA"/>
    <w:rsid w:val="00B16590"/>
    <w:rsid w:val="00B226AB"/>
    <w:rsid w:val="00B22BFF"/>
    <w:rsid w:val="00B24CD9"/>
    <w:rsid w:val="00B24E8F"/>
    <w:rsid w:val="00B2657F"/>
    <w:rsid w:val="00B30EDB"/>
    <w:rsid w:val="00B31774"/>
    <w:rsid w:val="00B31875"/>
    <w:rsid w:val="00B31900"/>
    <w:rsid w:val="00B32010"/>
    <w:rsid w:val="00B36B75"/>
    <w:rsid w:val="00B36E99"/>
    <w:rsid w:val="00B37936"/>
    <w:rsid w:val="00B407EC"/>
    <w:rsid w:val="00B4102D"/>
    <w:rsid w:val="00B41974"/>
    <w:rsid w:val="00B43770"/>
    <w:rsid w:val="00B43FAE"/>
    <w:rsid w:val="00B45870"/>
    <w:rsid w:val="00B47C8A"/>
    <w:rsid w:val="00B50A41"/>
    <w:rsid w:val="00B5559F"/>
    <w:rsid w:val="00B602AC"/>
    <w:rsid w:val="00B60ECD"/>
    <w:rsid w:val="00B65902"/>
    <w:rsid w:val="00B670E6"/>
    <w:rsid w:val="00B6757D"/>
    <w:rsid w:val="00B67C09"/>
    <w:rsid w:val="00B715AA"/>
    <w:rsid w:val="00B71CE2"/>
    <w:rsid w:val="00B71E5E"/>
    <w:rsid w:val="00B728DC"/>
    <w:rsid w:val="00B73EE1"/>
    <w:rsid w:val="00B752D5"/>
    <w:rsid w:val="00B75835"/>
    <w:rsid w:val="00B75EC1"/>
    <w:rsid w:val="00B76A39"/>
    <w:rsid w:val="00B812E8"/>
    <w:rsid w:val="00B843E3"/>
    <w:rsid w:val="00B906ED"/>
    <w:rsid w:val="00B93DBC"/>
    <w:rsid w:val="00B95455"/>
    <w:rsid w:val="00B95C25"/>
    <w:rsid w:val="00B965B8"/>
    <w:rsid w:val="00BA107F"/>
    <w:rsid w:val="00BA1485"/>
    <w:rsid w:val="00BB123C"/>
    <w:rsid w:val="00BB2B99"/>
    <w:rsid w:val="00BB329C"/>
    <w:rsid w:val="00BB726B"/>
    <w:rsid w:val="00BC3D7B"/>
    <w:rsid w:val="00BC4908"/>
    <w:rsid w:val="00BC5588"/>
    <w:rsid w:val="00BC75B0"/>
    <w:rsid w:val="00BC75B1"/>
    <w:rsid w:val="00BD1A45"/>
    <w:rsid w:val="00BD2060"/>
    <w:rsid w:val="00BD313A"/>
    <w:rsid w:val="00BD38DB"/>
    <w:rsid w:val="00BD39F0"/>
    <w:rsid w:val="00BD3A1F"/>
    <w:rsid w:val="00BD5DA6"/>
    <w:rsid w:val="00BD6C56"/>
    <w:rsid w:val="00BD6FEB"/>
    <w:rsid w:val="00BE00D4"/>
    <w:rsid w:val="00BE520A"/>
    <w:rsid w:val="00BF00CF"/>
    <w:rsid w:val="00BF0EDD"/>
    <w:rsid w:val="00BF4A33"/>
    <w:rsid w:val="00BF4FBB"/>
    <w:rsid w:val="00BF788C"/>
    <w:rsid w:val="00C01001"/>
    <w:rsid w:val="00C022E2"/>
    <w:rsid w:val="00C0464D"/>
    <w:rsid w:val="00C06C13"/>
    <w:rsid w:val="00C10A28"/>
    <w:rsid w:val="00C10FD9"/>
    <w:rsid w:val="00C136B2"/>
    <w:rsid w:val="00C1387E"/>
    <w:rsid w:val="00C15792"/>
    <w:rsid w:val="00C20670"/>
    <w:rsid w:val="00C2184C"/>
    <w:rsid w:val="00C22C8F"/>
    <w:rsid w:val="00C243AA"/>
    <w:rsid w:val="00C30C70"/>
    <w:rsid w:val="00C31EA1"/>
    <w:rsid w:val="00C329B6"/>
    <w:rsid w:val="00C32E31"/>
    <w:rsid w:val="00C3455E"/>
    <w:rsid w:val="00C35EE8"/>
    <w:rsid w:val="00C35F10"/>
    <w:rsid w:val="00C37547"/>
    <w:rsid w:val="00C407D5"/>
    <w:rsid w:val="00C4082B"/>
    <w:rsid w:val="00C41E44"/>
    <w:rsid w:val="00C429FC"/>
    <w:rsid w:val="00C43833"/>
    <w:rsid w:val="00C43E84"/>
    <w:rsid w:val="00C444FB"/>
    <w:rsid w:val="00C448CE"/>
    <w:rsid w:val="00C4492D"/>
    <w:rsid w:val="00C44A58"/>
    <w:rsid w:val="00C44F5A"/>
    <w:rsid w:val="00C47D38"/>
    <w:rsid w:val="00C52A59"/>
    <w:rsid w:val="00C54CC9"/>
    <w:rsid w:val="00C54F5D"/>
    <w:rsid w:val="00C609A1"/>
    <w:rsid w:val="00C60EE2"/>
    <w:rsid w:val="00C64472"/>
    <w:rsid w:val="00C64754"/>
    <w:rsid w:val="00C710E2"/>
    <w:rsid w:val="00C7742B"/>
    <w:rsid w:val="00C81324"/>
    <w:rsid w:val="00C81E07"/>
    <w:rsid w:val="00C849AC"/>
    <w:rsid w:val="00C85925"/>
    <w:rsid w:val="00C86439"/>
    <w:rsid w:val="00C876EE"/>
    <w:rsid w:val="00C9043D"/>
    <w:rsid w:val="00C91B93"/>
    <w:rsid w:val="00C92B26"/>
    <w:rsid w:val="00C9581F"/>
    <w:rsid w:val="00C95DC5"/>
    <w:rsid w:val="00C96046"/>
    <w:rsid w:val="00C96206"/>
    <w:rsid w:val="00C97F5C"/>
    <w:rsid w:val="00CA22C0"/>
    <w:rsid w:val="00CA25B4"/>
    <w:rsid w:val="00CA4A30"/>
    <w:rsid w:val="00CA610F"/>
    <w:rsid w:val="00CB0208"/>
    <w:rsid w:val="00CB26A2"/>
    <w:rsid w:val="00CB3963"/>
    <w:rsid w:val="00CB3F45"/>
    <w:rsid w:val="00CB4780"/>
    <w:rsid w:val="00CB6769"/>
    <w:rsid w:val="00CB67B0"/>
    <w:rsid w:val="00CB6E1E"/>
    <w:rsid w:val="00CC1E3B"/>
    <w:rsid w:val="00CC213E"/>
    <w:rsid w:val="00CC29C8"/>
    <w:rsid w:val="00CC3B1F"/>
    <w:rsid w:val="00CC5590"/>
    <w:rsid w:val="00CC587B"/>
    <w:rsid w:val="00CC6937"/>
    <w:rsid w:val="00CD6B46"/>
    <w:rsid w:val="00CD743B"/>
    <w:rsid w:val="00CE1B79"/>
    <w:rsid w:val="00CE51BC"/>
    <w:rsid w:val="00CF1633"/>
    <w:rsid w:val="00CF1F5D"/>
    <w:rsid w:val="00CF6712"/>
    <w:rsid w:val="00D001B6"/>
    <w:rsid w:val="00D00CD7"/>
    <w:rsid w:val="00D00F7D"/>
    <w:rsid w:val="00D01744"/>
    <w:rsid w:val="00D02610"/>
    <w:rsid w:val="00D04F88"/>
    <w:rsid w:val="00D1137F"/>
    <w:rsid w:val="00D12C64"/>
    <w:rsid w:val="00D14F9D"/>
    <w:rsid w:val="00D169CB"/>
    <w:rsid w:val="00D17366"/>
    <w:rsid w:val="00D17F85"/>
    <w:rsid w:val="00D230F5"/>
    <w:rsid w:val="00D23D48"/>
    <w:rsid w:val="00D23FA1"/>
    <w:rsid w:val="00D2462F"/>
    <w:rsid w:val="00D25292"/>
    <w:rsid w:val="00D25610"/>
    <w:rsid w:val="00D26C6F"/>
    <w:rsid w:val="00D30DDD"/>
    <w:rsid w:val="00D3148B"/>
    <w:rsid w:val="00D32324"/>
    <w:rsid w:val="00D358A6"/>
    <w:rsid w:val="00D35C2E"/>
    <w:rsid w:val="00D37ACE"/>
    <w:rsid w:val="00D43EFD"/>
    <w:rsid w:val="00D44FAB"/>
    <w:rsid w:val="00D45496"/>
    <w:rsid w:val="00D45B7D"/>
    <w:rsid w:val="00D52166"/>
    <w:rsid w:val="00D53FD6"/>
    <w:rsid w:val="00D54A67"/>
    <w:rsid w:val="00D57312"/>
    <w:rsid w:val="00D57B4C"/>
    <w:rsid w:val="00D57E27"/>
    <w:rsid w:val="00D62E88"/>
    <w:rsid w:val="00D7185B"/>
    <w:rsid w:val="00D732E6"/>
    <w:rsid w:val="00D813F4"/>
    <w:rsid w:val="00D841C0"/>
    <w:rsid w:val="00D850F0"/>
    <w:rsid w:val="00D866DA"/>
    <w:rsid w:val="00D9004F"/>
    <w:rsid w:val="00D909AB"/>
    <w:rsid w:val="00D93B00"/>
    <w:rsid w:val="00D9454C"/>
    <w:rsid w:val="00D959B3"/>
    <w:rsid w:val="00D96121"/>
    <w:rsid w:val="00D9782F"/>
    <w:rsid w:val="00D97B13"/>
    <w:rsid w:val="00DA0085"/>
    <w:rsid w:val="00DA0EC0"/>
    <w:rsid w:val="00DA2B97"/>
    <w:rsid w:val="00DA75FB"/>
    <w:rsid w:val="00DB1987"/>
    <w:rsid w:val="00DB2CE8"/>
    <w:rsid w:val="00DB3666"/>
    <w:rsid w:val="00DB4CCB"/>
    <w:rsid w:val="00DB6331"/>
    <w:rsid w:val="00DC02C9"/>
    <w:rsid w:val="00DD1691"/>
    <w:rsid w:val="00DD332D"/>
    <w:rsid w:val="00DD40B6"/>
    <w:rsid w:val="00DD4E69"/>
    <w:rsid w:val="00DD6316"/>
    <w:rsid w:val="00DD7FC2"/>
    <w:rsid w:val="00DE0E20"/>
    <w:rsid w:val="00DE18E4"/>
    <w:rsid w:val="00DE41F3"/>
    <w:rsid w:val="00DE5B79"/>
    <w:rsid w:val="00DF0AB7"/>
    <w:rsid w:val="00DF36E0"/>
    <w:rsid w:val="00DF4DA1"/>
    <w:rsid w:val="00DF5B3D"/>
    <w:rsid w:val="00DF77F8"/>
    <w:rsid w:val="00E01C28"/>
    <w:rsid w:val="00E0457D"/>
    <w:rsid w:val="00E046D0"/>
    <w:rsid w:val="00E0494D"/>
    <w:rsid w:val="00E04A80"/>
    <w:rsid w:val="00E05C22"/>
    <w:rsid w:val="00E10B72"/>
    <w:rsid w:val="00E1317D"/>
    <w:rsid w:val="00E15CF7"/>
    <w:rsid w:val="00E1626C"/>
    <w:rsid w:val="00E16851"/>
    <w:rsid w:val="00E2119F"/>
    <w:rsid w:val="00E2213D"/>
    <w:rsid w:val="00E23A19"/>
    <w:rsid w:val="00E23AAA"/>
    <w:rsid w:val="00E25A6F"/>
    <w:rsid w:val="00E260AD"/>
    <w:rsid w:val="00E30EFF"/>
    <w:rsid w:val="00E3450E"/>
    <w:rsid w:val="00E34FE3"/>
    <w:rsid w:val="00E36DFD"/>
    <w:rsid w:val="00E37E63"/>
    <w:rsid w:val="00E410B2"/>
    <w:rsid w:val="00E412E6"/>
    <w:rsid w:val="00E4318A"/>
    <w:rsid w:val="00E459CA"/>
    <w:rsid w:val="00E45D94"/>
    <w:rsid w:val="00E46733"/>
    <w:rsid w:val="00E51602"/>
    <w:rsid w:val="00E526B1"/>
    <w:rsid w:val="00E52DD0"/>
    <w:rsid w:val="00E55DCD"/>
    <w:rsid w:val="00E576D4"/>
    <w:rsid w:val="00E64C9F"/>
    <w:rsid w:val="00E71AFD"/>
    <w:rsid w:val="00E7367E"/>
    <w:rsid w:val="00E7413C"/>
    <w:rsid w:val="00E74320"/>
    <w:rsid w:val="00E74E2A"/>
    <w:rsid w:val="00E764A0"/>
    <w:rsid w:val="00E76893"/>
    <w:rsid w:val="00E76DA3"/>
    <w:rsid w:val="00E76FEE"/>
    <w:rsid w:val="00E817E5"/>
    <w:rsid w:val="00E81FDD"/>
    <w:rsid w:val="00E82204"/>
    <w:rsid w:val="00E8517F"/>
    <w:rsid w:val="00E8570A"/>
    <w:rsid w:val="00E8694E"/>
    <w:rsid w:val="00E91FCD"/>
    <w:rsid w:val="00E92D07"/>
    <w:rsid w:val="00E93B45"/>
    <w:rsid w:val="00E94175"/>
    <w:rsid w:val="00E9490A"/>
    <w:rsid w:val="00E962AB"/>
    <w:rsid w:val="00E97EF2"/>
    <w:rsid w:val="00EA044B"/>
    <w:rsid w:val="00EA456F"/>
    <w:rsid w:val="00EA510F"/>
    <w:rsid w:val="00EA6609"/>
    <w:rsid w:val="00EA787B"/>
    <w:rsid w:val="00EB04A7"/>
    <w:rsid w:val="00EB04B3"/>
    <w:rsid w:val="00EB1A12"/>
    <w:rsid w:val="00EB76D8"/>
    <w:rsid w:val="00EC3981"/>
    <w:rsid w:val="00EC5738"/>
    <w:rsid w:val="00EC6360"/>
    <w:rsid w:val="00EC7016"/>
    <w:rsid w:val="00ED1743"/>
    <w:rsid w:val="00ED1F08"/>
    <w:rsid w:val="00ED28A5"/>
    <w:rsid w:val="00ED2DBD"/>
    <w:rsid w:val="00ED4070"/>
    <w:rsid w:val="00ED44A2"/>
    <w:rsid w:val="00ED50CE"/>
    <w:rsid w:val="00ED570C"/>
    <w:rsid w:val="00ED5B6F"/>
    <w:rsid w:val="00ED6D0E"/>
    <w:rsid w:val="00ED75A7"/>
    <w:rsid w:val="00EE0A00"/>
    <w:rsid w:val="00EE2B0E"/>
    <w:rsid w:val="00EE5764"/>
    <w:rsid w:val="00EF0E32"/>
    <w:rsid w:val="00EF0FD4"/>
    <w:rsid w:val="00EF10CB"/>
    <w:rsid w:val="00EF4283"/>
    <w:rsid w:val="00EF5F14"/>
    <w:rsid w:val="00EF6CB0"/>
    <w:rsid w:val="00F0219F"/>
    <w:rsid w:val="00F022F3"/>
    <w:rsid w:val="00F0461C"/>
    <w:rsid w:val="00F04B25"/>
    <w:rsid w:val="00F078BA"/>
    <w:rsid w:val="00F120A1"/>
    <w:rsid w:val="00F1213B"/>
    <w:rsid w:val="00F12DA0"/>
    <w:rsid w:val="00F133CB"/>
    <w:rsid w:val="00F16187"/>
    <w:rsid w:val="00F174B9"/>
    <w:rsid w:val="00F17A08"/>
    <w:rsid w:val="00F2144A"/>
    <w:rsid w:val="00F225E7"/>
    <w:rsid w:val="00F226E1"/>
    <w:rsid w:val="00F23496"/>
    <w:rsid w:val="00F24815"/>
    <w:rsid w:val="00F2603F"/>
    <w:rsid w:val="00F27887"/>
    <w:rsid w:val="00F27E50"/>
    <w:rsid w:val="00F321B0"/>
    <w:rsid w:val="00F41E94"/>
    <w:rsid w:val="00F42F9A"/>
    <w:rsid w:val="00F43DD0"/>
    <w:rsid w:val="00F45011"/>
    <w:rsid w:val="00F4544B"/>
    <w:rsid w:val="00F469E9"/>
    <w:rsid w:val="00F510E9"/>
    <w:rsid w:val="00F51376"/>
    <w:rsid w:val="00F51F1C"/>
    <w:rsid w:val="00F562BF"/>
    <w:rsid w:val="00F56DA7"/>
    <w:rsid w:val="00F57B2A"/>
    <w:rsid w:val="00F61D62"/>
    <w:rsid w:val="00F645E1"/>
    <w:rsid w:val="00F65277"/>
    <w:rsid w:val="00F71CEC"/>
    <w:rsid w:val="00F74030"/>
    <w:rsid w:val="00F76A1D"/>
    <w:rsid w:val="00F77BC4"/>
    <w:rsid w:val="00F8232A"/>
    <w:rsid w:val="00F825EE"/>
    <w:rsid w:val="00F83111"/>
    <w:rsid w:val="00F83B6C"/>
    <w:rsid w:val="00F86A99"/>
    <w:rsid w:val="00F956AB"/>
    <w:rsid w:val="00F962A5"/>
    <w:rsid w:val="00F971DA"/>
    <w:rsid w:val="00F97EA3"/>
    <w:rsid w:val="00FA247B"/>
    <w:rsid w:val="00FA3E25"/>
    <w:rsid w:val="00FA48FE"/>
    <w:rsid w:val="00FA6B74"/>
    <w:rsid w:val="00FA758A"/>
    <w:rsid w:val="00FA7DD8"/>
    <w:rsid w:val="00FB15CE"/>
    <w:rsid w:val="00FB1C95"/>
    <w:rsid w:val="00FB200A"/>
    <w:rsid w:val="00FB555B"/>
    <w:rsid w:val="00FB6C13"/>
    <w:rsid w:val="00FB6CE7"/>
    <w:rsid w:val="00FC3E88"/>
    <w:rsid w:val="00FC3F4C"/>
    <w:rsid w:val="00FC552D"/>
    <w:rsid w:val="00FC5988"/>
    <w:rsid w:val="00FC65DE"/>
    <w:rsid w:val="00FC7A5A"/>
    <w:rsid w:val="00FD0163"/>
    <w:rsid w:val="00FD3C13"/>
    <w:rsid w:val="00FE1BA4"/>
    <w:rsid w:val="00FE40E8"/>
    <w:rsid w:val="00FE53C1"/>
    <w:rsid w:val="00FE58C6"/>
    <w:rsid w:val="00FE5CE0"/>
    <w:rsid w:val="00FE615C"/>
    <w:rsid w:val="00FE66E0"/>
    <w:rsid w:val="00FE75A2"/>
    <w:rsid w:val="00FF0BC3"/>
    <w:rsid w:val="00FF229D"/>
    <w:rsid w:val="00FF2324"/>
    <w:rsid w:val="00FF50D1"/>
    <w:rsid w:val="00FF6797"/>
    <w:rsid w:val="00FF716E"/>
    <w:rsid w:val="02C26BB6"/>
    <w:rsid w:val="1D34EA52"/>
    <w:rsid w:val="2E8D4CEF"/>
    <w:rsid w:val="2EB3815C"/>
    <w:rsid w:val="2EFF36C8"/>
    <w:rsid w:val="50EDA06D"/>
    <w:rsid w:val="570B034C"/>
    <w:rsid w:val="5B7DCADE"/>
    <w:rsid w:val="5D604470"/>
    <w:rsid w:val="68831D4C"/>
    <w:rsid w:val="6A95C36E"/>
    <w:rsid w:val="76F941EE"/>
    <w:rsid w:val="7D0B8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B223D0A"/>
  <w15:docId w15:val="{A5DA1DFB-C103-43A5-8184-5081548D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aliases w:val="Referencia pie de página,PhDfonote,Geneva 9,Font: Geneva 9,Boston 10,f,Fußnotentextr,texto de nota al pie,NOTA AL PIE TESIS PUCP Car Car,NOTA AL PIE TESIS PUCP Car,fn,footnote text,Footnote ak,Footnotes,single space,ADB,footnote,FOOTNOTES"/>
    <w:basedOn w:val="Normal"/>
    <w:link w:val="FootnoteTextChar"/>
    <w:uiPriority w:val="99"/>
    <w:qFormat/>
    <w:rsid w:val="00110E29"/>
    <w:pPr>
      <w:spacing w:after="0" w:line="240" w:lineRule="auto"/>
    </w:pPr>
    <w:rPr>
      <w:rFonts w:ascii="Times New Roman" w:hAnsi="Times New Roman" w:eastAsia="Times New Roman"/>
      <w:sz w:val="20"/>
      <w:szCs w:val="20"/>
      <w:lang w:val="es-ES"/>
    </w:rPr>
  </w:style>
  <w:style w:type="character" w:styleId="FootnoteTextChar" w:customStyle="1">
    <w:name w:val="Footnote Text Char"/>
    <w:aliases w:val="Referencia pie de página Char,PhDfonote Char,Geneva 9 Char,Font: Geneva 9 Char,Boston 10 Char,f Char,Fußnotentextr Char,texto de nota al pie Char,NOTA AL PIE TESIS PUCP Car Car Char,NOTA AL PIE TESIS PUCP Car Char,fn Char,ADB Char"/>
    <w:link w:val="FootnoteText"/>
    <w:uiPriority w:val="99"/>
    <w:rsid w:val="00110E29"/>
    <w:rPr>
      <w:rFonts w:ascii="Times New Roman" w:hAnsi="Times New Roman" w:eastAsia="Times New Roman"/>
      <w:lang w:val="es-ES"/>
    </w:rPr>
  </w:style>
  <w:style w:type="paragraph" w:styleId="Default" w:customStyle="1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ableText" w:customStyle="1">
    <w:name w:val="Table Text"/>
    <w:basedOn w:val="Normal"/>
    <w:rsid w:val="00DF4DA1"/>
    <w:pPr>
      <w:spacing w:after="0" w:line="280" w:lineRule="atLeast"/>
      <w:jc w:val="both"/>
    </w:pPr>
    <w:rPr>
      <w:rFonts w:ascii="Arial" w:hAnsi="Arial" w:eastAsia="Times New Roman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styleId="ListParagraphChar" w:customStyle="1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aliases w:val="referencia nota al pie,titulo 2,FC,Footnote Reference.SES,Fußnotenzeichen DISS,16 Point,Superscript 6 Point,ftref,Ref. de nota al pie.,Ref,de nota al pie,BVI fnr,Знак сноски 1,Footnote Referencefra,Style 24,pie pddes,fr,SUPERS"/>
    <w:uiPriority w:val="99"/>
    <w:unhideWhenUsed/>
    <w:qFormat/>
    <w:rsid w:val="00B32010"/>
    <w:rPr>
      <w:vertAlign w:val="superscript"/>
    </w:rPr>
  </w:style>
  <w:style w:type="paragraph" w:styleId="Chapter" w:customStyle="1">
    <w:name w:val="Chapter"/>
    <w:basedOn w:val="Normal"/>
    <w:next w:val="Normal"/>
    <w:qFormat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hAnsi="Times New Roman" w:eastAsia="Times New Roman"/>
      <w:b/>
      <w:smallCaps/>
      <w:sz w:val="24"/>
      <w:szCs w:val="20"/>
      <w:lang w:val="es-ES"/>
    </w:rPr>
  </w:style>
  <w:style w:type="paragraph" w:styleId="Paragraph" w:customStyle="1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hAnsi="Times New Roman" w:eastAsia="Times New Roman"/>
      <w:sz w:val="24"/>
      <w:szCs w:val="20"/>
      <w:lang w:val="es-ES"/>
    </w:rPr>
  </w:style>
  <w:style w:type="paragraph" w:styleId="subpar" w:customStyle="1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hAnsi="Times New Roman" w:eastAsia="Times New Roman"/>
      <w:sz w:val="24"/>
      <w:szCs w:val="20"/>
      <w:lang w:val="es-ES_tradnl"/>
    </w:rPr>
  </w:style>
  <w:style w:type="paragraph" w:styleId="SubSubPar" w:customStyle="1">
    <w:name w:val="SubSubPar"/>
    <w:basedOn w:val="subpar"/>
    <w:qFormat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styleId="ParagraphChar" w:customStyle="1">
    <w:name w:val="Paragraph Char"/>
    <w:aliases w:val="paragraph Char,p Char,PARAGRAPH Char,PG Char,pa Char,at Char"/>
    <w:link w:val="Paragraph"/>
    <w:rsid w:val="00795640"/>
    <w:rPr>
      <w:rFonts w:ascii="Times New Roman" w:hAnsi="Times New Roman" w:eastAsia="Times New Roman"/>
      <w:sz w:val="24"/>
      <w:lang w:val="es-ES" w:eastAsia="en-US"/>
    </w:rPr>
  </w:style>
  <w:style w:type="character" w:styleId="hps" w:customStyle="1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472FC8"/>
    <w:rPr>
      <w:color w:val="0000FF" w:themeColor="hyperlink"/>
      <w:u w:val="single"/>
    </w:rPr>
  </w:style>
  <w:style w:type="character" w:styleId="spellingerror" w:customStyle="1">
    <w:name w:val="spellingerror"/>
    <w:basedOn w:val="DefaultParagraphFont"/>
    <w:rsid w:val="00EB04A7"/>
  </w:style>
  <w:style w:type="character" w:styleId="normaltextrun1" w:customStyle="1">
    <w:name w:val="normaltextrun1"/>
    <w:basedOn w:val="DefaultParagraphFont"/>
    <w:rsid w:val="00EB04A7"/>
  </w:style>
  <w:style w:type="character" w:styleId="eop" w:customStyle="1">
    <w:name w:val="eop"/>
    <w:basedOn w:val="DefaultParagraphFont"/>
    <w:rsid w:val="00EB04A7"/>
  </w:style>
  <w:style w:type="paragraph" w:styleId="EndnoteText">
    <w:name w:val="endnote text"/>
    <w:basedOn w:val="Normal"/>
    <w:link w:val="EndnoteTextChar"/>
    <w:uiPriority w:val="99"/>
    <w:unhideWhenUsed/>
    <w:rsid w:val="000B58B8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rsid w:val="000B58B8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049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05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1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67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185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713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685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22395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922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2465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250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893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82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2569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customXml" Target="../customXml/item8.xml" Id="rId18" /><Relationship Type="http://schemas.openxmlformats.org/officeDocument/2006/relationships/customXml" Target="../customXml/item3.xml" Id="rId3" /><Relationship Type="http://schemas.openxmlformats.org/officeDocument/2006/relationships/customXml" Target="../customXml/item7.xml" Id="rId7" /><Relationship Type="http://schemas.openxmlformats.org/officeDocument/2006/relationships/footnotes" Target="footnote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0.xml" Id="rId20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header" Target="header2.xml" Id="rId15" /><Relationship Type="http://schemas.openxmlformats.org/officeDocument/2006/relationships/settings" Target="settings.xml" Id="rId10" /><Relationship Type="http://schemas.openxmlformats.org/officeDocument/2006/relationships/customXml" Target="../customXml/item9.xml" Id="rId19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10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SCL/EDU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4902/OC-CO;</Approval_x0020_Number>
    <Phase xmlns="cdc7663a-08f0-4737-9e8c-148ce897a09c" xsi:nil="true"/>
    <Document_x0020_Author xmlns="cdc7663a-08f0-4737-9e8c-148ce897a09c">Blasco, Ivana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GENDER EQUALITY ＆ WOMEN'S EMPOWERMENT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48</Value>
      <Value>74</Value>
      <Value>31</Value>
      <Value>310</Value>
      <Value>1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CO-L1229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EZSHARE-896476866-29</_dlc_DocId>
    <_dlc_DocIdUrl xmlns="cdc7663a-08f0-4737-9e8c-148ce897a09c">
      <Url>https://idbg.sharepoint.com/teams/EZ-CO-LON/CO-L1229/_layouts/15/DocIdRedir.aspx?ID=EZSHARE-896476866-29</Url>
      <Description>EZSHARE-896476866-29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B3813C017495D4F8278DD8C83D291EE" ma:contentTypeVersion="2403" ma:contentTypeDescription="A content type to manage public (operations) IDB documents" ma:contentTypeScope="" ma:versionID="50f360fecdedb770d6d75030f2cabfb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dd0ae7ebf202fb676562ea9e9adc8f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L122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4B36C4F-2970-4E64-84A7-682A1C044B04}"/>
</file>

<file path=customXml/itemProps10.xml><?xml version="1.0" encoding="utf-8"?>
<ds:datastoreItem xmlns:ds="http://schemas.openxmlformats.org/officeDocument/2006/customXml" ds:itemID="{D6A4DE16-918C-44AB-828D-68C69A2032E2}"/>
</file>

<file path=customXml/itemProps2.xml><?xml version="1.0" encoding="utf-8"?>
<ds:datastoreItem xmlns:ds="http://schemas.openxmlformats.org/officeDocument/2006/customXml" ds:itemID="{699296BA-07DC-5D48-8805-089BA8040155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71137BCF-EDDE-447A-9102-467A6C899F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2B0DFD-68FB-4DC4-B6EB-80906EE96E53}">
  <ds:schemaRefs>
    <ds:schemaRef ds:uri="http://schemas.openxmlformats.org/officeDocument/2006/bibliography"/>
    <ds:schemaRef ds:uri="http://www.w3.org/2000/xmlns/"/>
  </ds:schemaRefs>
</ds:datastoreItem>
</file>

<file path=customXml/itemProps5.xml><?xml version="1.0" encoding="utf-8"?>
<ds:datastoreItem xmlns:ds="http://schemas.openxmlformats.org/officeDocument/2006/customXml" ds:itemID="{3D7247FA-86D0-4023-9CD3-679B53722376}">
  <ds:schemaRefs>
    <ds:schemaRef ds:uri="http://schemas.openxmlformats.org/officeDocument/2006/bibliography"/>
    <ds:schemaRef ds:uri="http://www.w3.org/2000/xmlns/"/>
  </ds:schemaRefs>
</ds:datastoreItem>
</file>

<file path=customXml/itemProps6.xml><?xml version="1.0" encoding="utf-8"?>
<ds:datastoreItem xmlns:ds="http://schemas.openxmlformats.org/officeDocument/2006/customXml" ds:itemID="{5E04B564-42B7-417E-A09C-8468903C27B9}">
  <ds:schemaRefs>
    <ds:schemaRef ds:uri="http://schemas.microsoft.com/office/2006/metadata/properties"/>
    <ds:schemaRef ds:uri="http://www.w3.org/2000/xmlns/"/>
  </ds:schemaRefs>
</ds:datastoreItem>
</file>

<file path=customXml/itemProps7.xml><?xml version="1.0" encoding="utf-8"?>
<ds:datastoreItem xmlns:ds="http://schemas.openxmlformats.org/officeDocument/2006/customXml" ds:itemID="{FD790C41-0D7C-514E-A164-F0C923C2E2F3}">
  <ds:schemaRefs>
    <ds:schemaRef ds:uri="http://schemas.openxmlformats.org/officeDocument/2006/bibliography"/>
    <ds:schemaRef ds:uri="http://www.w3.org/2000/xmlns/"/>
  </ds:schemaRefs>
</ds:datastoreItem>
</file>

<file path=customXml/itemProps8.xml><?xml version="1.0" encoding="utf-8"?>
<ds:datastoreItem xmlns:ds="http://schemas.openxmlformats.org/officeDocument/2006/customXml" ds:itemID="{8F3001F1-58DA-4B5F-B3C2-01C05AE2AB5C}"/>
</file>

<file path=customXml/itemProps9.xml><?xml version="1.0" encoding="utf-8"?>
<ds:datastoreItem xmlns:ds="http://schemas.openxmlformats.org/officeDocument/2006/customXml" ds:itemID="{0FD01BFE-3E3B-4B10-82B6-C00CE66C899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Inter-American Development Bank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Vazquez, Claudia</dc:creator>
  <cp:keywords/>
  <cp:lastModifiedBy>Blasco, Ivana</cp:lastModifiedBy>
  <cp:revision>3</cp:revision>
  <cp:lastPrinted>2018-08-31T20:04:00Z</cp:lastPrinted>
  <dcterms:created xsi:type="dcterms:W3CDTF">2019-08-21T18:21:00Z</dcterms:created>
  <dcterms:modified xsi:type="dcterms:W3CDTF">2019-08-21T21:56:49Z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29;#Guideline|b87520e0-9f78-4604-afc7-b360fd9c6e69</vt:lpwstr>
  </property>
  <property fmtid="{D5CDD505-2E9C-101B-9397-08002B2CF9AE}" pid="5" name="TaxKeywordTaxHTField">
    <vt:lpwstr/>
  </property>
  <property fmtid="{D5CDD505-2E9C-101B-9397-08002B2CF9AE}" pid="6" name="Country">
    <vt:lpwstr>74;#Argentina|eb1b705c-195f-4c3b-9661-b201f2fee3c5</vt:lpwstr>
  </property>
  <property fmtid="{D5CDD505-2E9C-101B-9397-08002B2CF9AE}" pid="7" name="Function Corporate IDB">
    <vt:lpwstr>4;#Guideline, Standard and Policy|55052825-ede1-4fc0-9b73-7b2230e7239d</vt:lpwstr>
  </property>
  <property fmtid="{D5CDD505-2E9C-101B-9397-08002B2CF9AE}" pid="8" name="_dlc_DocIdItemGuid">
    <vt:lpwstr>8b2693e9-d43a-4c1b-9454-6ca1adbd3c24</vt:lpwstr>
  </property>
  <property fmtid="{D5CDD505-2E9C-101B-9397-08002B2CF9AE}" pid="9" name="Series Operations IDB">
    <vt:lpwstr/>
  </property>
  <property fmtid="{D5CDD505-2E9C-101B-9397-08002B2CF9AE}" pid="10" name="Sub-Sector">
    <vt:lpwstr>310;#GENDER EQUALITY ＆ WOMEN'S EMPOWERMENT|f715ad4c-c890-4d3e-a783-2ca5da1f8d08</vt:lpwstr>
  </property>
  <property fmtid="{D5CDD505-2E9C-101B-9397-08002B2CF9AE}" pid="11" name="Fund IDB">
    <vt:lpwstr>31;#ORC|c028a4b2-ad8b-4cf4-9cac-a2ae6a778e23</vt:lpwstr>
  </property>
  <property fmtid="{D5CDD505-2E9C-101B-9397-08002B2CF9AE}" pid="12" name="Sector IDB">
    <vt:lpwstr>48;#SOCIAL INVESTMENT|3f908695-d5b5-49f6-941f-76876b39564f</vt:lpwstr>
  </property>
  <property fmtid="{D5CDD505-2E9C-101B-9397-08002B2CF9AE}" pid="13" name="Function Operations IDB">
    <vt:lpwstr>1;#Project Preparation, Planning and Design|29ca0c72-1fc4-435f-a09c-28585cb5eac9</vt:lpwstr>
  </property>
  <property fmtid="{D5CDD505-2E9C-101B-9397-08002B2CF9AE}" pid="14" name="ContentTypeId">
    <vt:lpwstr>0x0101001A458A224826124E8B45B1D613300CFC003B3813C017495D4F8278DD8C83D291EE</vt:lpwstr>
  </property>
</Properties>
</file>