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theme/themeOverride1.xml" ContentType="application/vnd.openxmlformats-officedocument.themeOverrid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2C45" w:rsidRPr="003741D2" w:rsidRDefault="00540901" w:rsidP="00540901">
      <w:pPr>
        <w:jc w:val="center"/>
        <w:rPr>
          <w:rFonts w:ascii="Verdana" w:hAnsi="Verdana"/>
          <w:b/>
          <w:szCs w:val="24"/>
          <w:lang w:val="es-ES"/>
        </w:rPr>
      </w:pPr>
      <w:bookmarkStart w:id="0" w:name="_GoBack"/>
      <w:bookmarkEnd w:id="0"/>
      <w:r w:rsidRPr="003741D2">
        <w:rPr>
          <w:rFonts w:ascii="Verdana" w:hAnsi="Verdana"/>
          <w:b/>
          <w:szCs w:val="24"/>
          <w:lang w:val="es-ES"/>
        </w:rPr>
        <w:t xml:space="preserve">MARCO </w:t>
      </w:r>
      <w:r w:rsidR="008D787B" w:rsidRPr="003741D2">
        <w:rPr>
          <w:rFonts w:ascii="Verdana" w:hAnsi="Verdana"/>
          <w:b/>
          <w:szCs w:val="24"/>
          <w:lang w:val="es-ES"/>
        </w:rPr>
        <w:t xml:space="preserve">SECTORIAL </w:t>
      </w:r>
      <w:r w:rsidRPr="003741D2">
        <w:rPr>
          <w:rFonts w:ascii="Verdana" w:hAnsi="Verdana"/>
          <w:b/>
          <w:szCs w:val="24"/>
          <w:lang w:val="es-ES"/>
        </w:rPr>
        <w:t>EN EL QUE SE INSERTA LA OPERACIÓN NI-L1071</w:t>
      </w:r>
    </w:p>
    <w:p w:rsidR="003741D2" w:rsidRPr="00092B8A" w:rsidRDefault="003741D2" w:rsidP="00540901">
      <w:pPr>
        <w:rPr>
          <w:lang w:val="es-ES"/>
        </w:rPr>
      </w:pPr>
    </w:p>
    <w:p w:rsidR="00540901" w:rsidRPr="003741D2" w:rsidRDefault="005926CE" w:rsidP="00470BD6">
      <w:pPr>
        <w:pStyle w:val="FirstHeading"/>
        <w:numPr>
          <w:ilvl w:val="0"/>
          <w:numId w:val="7"/>
        </w:numPr>
        <w:rPr>
          <w:rFonts w:ascii="Verdana" w:hAnsi="Verdana"/>
          <w:u w:val="single"/>
        </w:rPr>
      </w:pPr>
      <w:bookmarkStart w:id="1" w:name="_Toc337196615"/>
      <w:bookmarkStart w:id="2" w:name="_Toc190151126"/>
      <w:bookmarkStart w:id="3" w:name="_Toc203361947"/>
      <w:bookmarkStart w:id="4" w:name="_Toc203380413"/>
      <w:bookmarkStart w:id="5" w:name="_Toc203380790"/>
      <w:bookmarkStart w:id="6" w:name="_Toc205005141"/>
      <w:r w:rsidRPr="003741D2">
        <w:rPr>
          <w:rFonts w:ascii="Verdana" w:hAnsi="Verdana"/>
          <w:u w:val="single"/>
        </w:rPr>
        <w:t xml:space="preserve">El sector transporte </w:t>
      </w:r>
      <w:r w:rsidR="00F71A59" w:rsidRPr="003741D2">
        <w:rPr>
          <w:rFonts w:ascii="Verdana" w:hAnsi="Verdana"/>
          <w:u w:val="single"/>
        </w:rPr>
        <w:t xml:space="preserve">vial </w:t>
      </w:r>
      <w:r w:rsidRPr="003741D2">
        <w:rPr>
          <w:rFonts w:ascii="Verdana" w:hAnsi="Verdana"/>
          <w:u w:val="single"/>
        </w:rPr>
        <w:t>en Nicaragua</w:t>
      </w:r>
      <w:bookmarkEnd w:id="1"/>
    </w:p>
    <w:p w:rsidR="00540901" w:rsidRPr="00092B8A" w:rsidRDefault="00540901" w:rsidP="00540901">
      <w:pPr>
        <w:pStyle w:val="Paragraph"/>
        <w:numPr>
          <w:ilvl w:val="1"/>
          <w:numId w:val="2"/>
        </w:numPr>
        <w:ind w:left="720" w:hanging="720"/>
      </w:pPr>
      <w:bookmarkStart w:id="7" w:name="_Ref332892059"/>
      <w:bookmarkStart w:id="8" w:name="_Toc429646039"/>
      <w:bookmarkStart w:id="9" w:name="_Toc429652571"/>
      <w:bookmarkStart w:id="10" w:name="_Toc429655307"/>
      <w:bookmarkStart w:id="11" w:name="_Toc429655342"/>
      <w:bookmarkStart w:id="12" w:name="_Toc429655486"/>
      <w:bookmarkStart w:id="13" w:name="_Toc429655683"/>
      <w:bookmarkStart w:id="14" w:name="_Toc429657376"/>
      <w:bookmarkStart w:id="15" w:name="_Toc430679369"/>
      <w:bookmarkStart w:id="16" w:name="_Toc430679393"/>
      <w:bookmarkStart w:id="17" w:name="_Toc434845950"/>
      <w:bookmarkStart w:id="18" w:name="_Toc434846218"/>
      <w:bookmarkStart w:id="19" w:name="_Toc434846931"/>
      <w:bookmarkStart w:id="20" w:name="_Toc437759759"/>
      <w:bookmarkStart w:id="21" w:name="_Toc444883300"/>
      <w:bookmarkStart w:id="22" w:name="_Toc445703751"/>
      <w:bookmarkStart w:id="23" w:name="_Toc445703970"/>
      <w:bookmarkStart w:id="24" w:name="_Toc450478040"/>
      <w:bookmarkStart w:id="25" w:name="_Toc450478115"/>
      <w:bookmarkStart w:id="26" w:name="_Toc451059692"/>
      <w:bookmarkStart w:id="27" w:name="_Toc451059756"/>
      <w:bookmarkStart w:id="28" w:name="_Toc451922464"/>
      <w:bookmarkStart w:id="29" w:name="_Toc456499455"/>
      <w:bookmarkStart w:id="30" w:name="_Toc456499549"/>
      <w:bookmarkStart w:id="31" w:name="_Toc456499744"/>
      <w:bookmarkStart w:id="32" w:name="_Toc456503312"/>
      <w:bookmarkStart w:id="33" w:name="_Toc456503682"/>
      <w:bookmarkStart w:id="34" w:name="_Toc456504234"/>
      <w:bookmarkStart w:id="35" w:name="_Toc456504322"/>
      <w:bookmarkStart w:id="36" w:name="_Toc456504416"/>
      <w:bookmarkStart w:id="37" w:name="_Toc456504503"/>
      <w:bookmarkStart w:id="38" w:name="_Ref267505219"/>
      <w:bookmarkEnd w:id="2"/>
      <w:bookmarkEnd w:id="3"/>
      <w:bookmarkEnd w:id="4"/>
      <w:bookmarkEnd w:id="5"/>
      <w:bookmarkEnd w:id="6"/>
      <w:r w:rsidRPr="00092B8A">
        <w:rPr>
          <w:b/>
          <w:lang w:eastAsia="es-ES_tradnl"/>
        </w:rPr>
        <w:t>Importancia del transporte por carretera</w:t>
      </w:r>
      <w:r w:rsidRPr="00092B8A">
        <w:rPr>
          <w:lang w:eastAsia="es-ES_tradnl"/>
        </w:rPr>
        <w:t xml:space="preserve">. </w:t>
      </w:r>
      <w:r w:rsidRPr="00092B8A">
        <w:t>El transporte por carreteras juega un p</w:t>
      </w:r>
      <w:r w:rsidRPr="00092B8A">
        <w:rPr>
          <w:rFonts w:eastAsia="Calibri"/>
          <w:szCs w:val="24"/>
        </w:rPr>
        <w:t xml:space="preserve">apel determinante en el desarrollo económico de Nicaragua. La competitividad de su industria, agricultura y comercio </w:t>
      </w:r>
      <w:r w:rsidRPr="00092B8A">
        <w:t xml:space="preserve">está vinculada estrechamente a la eficacia y eficiencia de la operación del transporte. </w:t>
      </w:r>
      <w:r w:rsidR="00DB50F1" w:rsidRPr="00092B8A">
        <w:t xml:space="preserve">Diariamente </w:t>
      </w:r>
      <w:r w:rsidRPr="00092B8A">
        <w:t xml:space="preserve">circulan cerca de 437.000 vehículos en la red vial nacional y </w:t>
      </w:r>
      <w:r w:rsidR="00DB50F1" w:rsidRPr="00092B8A">
        <w:t xml:space="preserve">anualmente </w:t>
      </w:r>
      <w:r w:rsidRPr="00092B8A">
        <w:t xml:space="preserve">se movilizan más de 13 millones de toneladas de carga, de las cuales más del </w:t>
      </w:r>
      <w:r w:rsidR="004769C1" w:rsidRPr="00092B8A">
        <w:t>4</w:t>
      </w:r>
      <w:r w:rsidR="003234CF">
        <w:t>3</w:t>
      </w:r>
      <w:r w:rsidRPr="00092B8A">
        <w:t>% corresponde a carga de comercio exterior</w:t>
      </w:r>
      <w:r w:rsidR="00B10758" w:rsidRPr="00092B8A">
        <w:t>.</w:t>
      </w:r>
      <w:bookmarkEnd w:id="7"/>
    </w:p>
    <w:p w:rsidR="004F7E43" w:rsidRPr="00092B8A" w:rsidRDefault="00540901" w:rsidP="00540901">
      <w:pPr>
        <w:pStyle w:val="Paragraph"/>
        <w:numPr>
          <w:ilvl w:val="1"/>
          <w:numId w:val="2"/>
        </w:numPr>
        <w:spacing w:after="200"/>
        <w:ind w:left="720" w:hanging="720"/>
        <w:rPr>
          <w:lang w:eastAsia="es-ES_tradnl"/>
        </w:rPr>
      </w:pPr>
      <w:bookmarkStart w:id="39" w:name="_Ref334090892"/>
      <w:r w:rsidRPr="00092B8A">
        <w:rPr>
          <w:b/>
          <w:lang w:eastAsia="es-ES_tradnl"/>
        </w:rPr>
        <w:t>Caracterización de la red vial nacional.</w:t>
      </w:r>
      <w:r w:rsidRPr="00092B8A">
        <w:rPr>
          <w:lang w:eastAsia="es-ES_tradnl"/>
        </w:rPr>
        <w:t xml:space="preserve"> El sistema vial del país se caracteriza por</w:t>
      </w:r>
      <w:r w:rsidR="004F7E43" w:rsidRPr="00092B8A">
        <w:rPr>
          <w:lang w:eastAsia="es-ES_tradnl"/>
        </w:rPr>
        <w:t xml:space="preserve"> (ver </w:t>
      </w:r>
      <w:hyperlink r:id="rId9" w:history="1">
        <w:r w:rsidR="002D4396" w:rsidRPr="002D4396">
          <w:rPr>
            <w:rStyle w:val="Hyperlink"/>
            <w:szCs w:val="24"/>
            <w:lang w:eastAsia="es-ES_tradnl"/>
          </w:rPr>
          <w:t>Mapa del Proyecto</w:t>
        </w:r>
      </w:hyperlink>
      <w:r w:rsidR="004F7E43" w:rsidRPr="00092B8A">
        <w:rPr>
          <w:lang w:eastAsia="es-ES_tradnl"/>
        </w:rPr>
        <w:t>):</w:t>
      </w:r>
      <w:r w:rsidRPr="00092B8A">
        <w:rPr>
          <w:lang w:eastAsia="es-ES_tradnl"/>
        </w:rPr>
        <w:t xml:space="preserve"> i) la baja densidad respecto a su territorio (181,37</w:t>
      </w:r>
      <w:r w:rsidR="00B10758" w:rsidRPr="00092B8A">
        <w:rPr>
          <w:lang w:eastAsia="es-ES_tradnl"/>
        </w:rPr>
        <w:t xml:space="preserve"> </w:t>
      </w:r>
      <w:r w:rsidRPr="00092B8A">
        <w:rPr>
          <w:lang w:eastAsia="es-ES_tradnl"/>
        </w:rPr>
        <w:t>km/1.000</w:t>
      </w:r>
      <w:r w:rsidR="00B10758" w:rsidRPr="00092B8A">
        <w:rPr>
          <w:lang w:eastAsia="es-ES_tradnl"/>
        </w:rPr>
        <w:t xml:space="preserve"> </w:t>
      </w:r>
      <w:r w:rsidRPr="00092B8A">
        <w:rPr>
          <w:lang w:eastAsia="es-ES_tradnl"/>
        </w:rPr>
        <w:t>km</w:t>
      </w:r>
      <w:r w:rsidRPr="00092B8A">
        <w:rPr>
          <w:vertAlign w:val="superscript"/>
          <w:lang w:eastAsia="es-ES_tradnl"/>
        </w:rPr>
        <w:t>2</w:t>
      </w:r>
      <w:r w:rsidRPr="00092B8A">
        <w:rPr>
          <w:lang w:eastAsia="es-ES_tradnl"/>
        </w:rPr>
        <w:t>)</w:t>
      </w:r>
      <w:r w:rsidR="00DB50F1" w:rsidRPr="00092B8A">
        <w:rPr>
          <w:lang w:eastAsia="es-ES_tradnl"/>
        </w:rPr>
        <w:t xml:space="preserve">, </w:t>
      </w:r>
      <w:r w:rsidR="004A1929" w:rsidRPr="00092B8A">
        <w:rPr>
          <w:lang w:eastAsia="es-ES_tradnl"/>
        </w:rPr>
        <w:t>45</w:t>
      </w:r>
      <w:r w:rsidR="00DB50F1" w:rsidRPr="00092B8A">
        <w:rPr>
          <w:lang w:eastAsia="es-ES_tradnl"/>
        </w:rPr>
        <w:t>%</w:t>
      </w:r>
      <w:r w:rsidRPr="00092B8A">
        <w:rPr>
          <w:lang w:eastAsia="es-ES_tradnl"/>
        </w:rPr>
        <w:t xml:space="preserve"> por debajo del promedio centro-americano</w:t>
      </w:r>
      <w:r w:rsidR="002C4B35" w:rsidRPr="00092B8A">
        <w:rPr>
          <w:lang w:eastAsia="es-ES_tradnl"/>
        </w:rPr>
        <w:t xml:space="preserve"> (331,33 km/1.000 km</w:t>
      </w:r>
      <w:r w:rsidR="002C4B35" w:rsidRPr="00092B8A">
        <w:rPr>
          <w:vertAlign w:val="superscript"/>
          <w:lang w:eastAsia="es-ES_tradnl"/>
        </w:rPr>
        <w:t>2)</w:t>
      </w:r>
      <w:r w:rsidRPr="00092B8A">
        <w:rPr>
          <w:lang w:eastAsia="es-ES_tradnl"/>
        </w:rPr>
        <w:t>, y ii) el mal estado de la red pavimentada y no pavimentada</w:t>
      </w:r>
      <w:r w:rsidR="00277AE3" w:rsidRPr="00092B8A">
        <w:rPr>
          <w:lang w:eastAsia="es-ES_tradnl"/>
        </w:rPr>
        <w:t xml:space="preserve"> (</w:t>
      </w:r>
      <w:r w:rsidR="005B40E9" w:rsidRPr="00092B8A">
        <w:rPr>
          <w:lang w:eastAsia="es-ES_tradnl"/>
        </w:rPr>
        <w:t>94,7% de la red vial total se encuentra en estado regular y malo)</w:t>
      </w:r>
      <w:r w:rsidRPr="00092B8A">
        <w:rPr>
          <w:lang w:eastAsia="es-ES_tradnl"/>
        </w:rPr>
        <w:t>. Esta situación se traduce en elevados costos de transporte limitando así el potencial de alcanzar los objetivos nacionales de crecimiento económico y reducción de la pobreza</w:t>
      </w:r>
      <w:r w:rsidRPr="00092B8A">
        <w:rPr>
          <w:rStyle w:val="FootnoteReference"/>
        </w:rPr>
        <w:footnoteReference w:id="1"/>
      </w:r>
      <w:r w:rsidRPr="00092B8A">
        <w:t>.</w:t>
      </w:r>
    </w:p>
    <w:p w:rsidR="00682F30" w:rsidRPr="00092B8A" w:rsidRDefault="00540901" w:rsidP="00540901">
      <w:pPr>
        <w:pStyle w:val="Paragraph"/>
        <w:numPr>
          <w:ilvl w:val="1"/>
          <w:numId w:val="2"/>
        </w:numPr>
        <w:spacing w:after="200"/>
        <w:ind w:left="720" w:hanging="720"/>
        <w:rPr>
          <w:lang w:eastAsia="es-ES_tradnl"/>
        </w:rPr>
      </w:pPr>
      <w:r w:rsidRPr="00092B8A">
        <w:t xml:space="preserve">Según datos del </w:t>
      </w:r>
      <w:r w:rsidRPr="00092B8A">
        <w:rPr>
          <w:lang w:eastAsia="es-ES_tradnl"/>
        </w:rPr>
        <w:t xml:space="preserve">Ministerio de Transporte e Infraestructura (MTI) </w:t>
      </w:r>
      <w:r w:rsidRPr="00092B8A">
        <w:t>publicados en el informe Red Vial Nicaragua de 2011</w:t>
      </w:r>
      <w:r w:rsidRPr="00092B8A">
        <w:rPr>
          <w:rStyle w:val="FootnoteReference"/>
          <w:lang w:eastAsia="es-ES_tradnl"/>
        </w:rPr>
        <w:footnoteReference w:id="2"/>
      </w:r>
      <w:r w:rsidRPr="00092B8A">
        <w:rPr>
          <w:lang w:eastAsia="es-ES_tradnl"/>
        </w:rPr>
        <w:t>, la red vial nacional total comprende 23.647,1 km, de la cual solamente 3.150,8</w:t>
      </w:r>
      <w:r w:rsidR="00936D4F" w:rsidRPr="00092B8A">
        <w:rPr>
          <w:lang w:eastAsia="es-ES_tradnl"/>
        </w:rPr>
        <w:t xml:space="preserve"> </w:t>
      </w:r>
      <w:r w:rsidRPr="00092B8A">
        <w:rPr>
          <w:lang w:eastAsia="es-ES_tradnl"/>
        </w:rPr>
        <w:t>km (13,3%) está pavimentada.</w:t>
      </w:r>
    </w:p>
    <w:p w:rsidR="00482236" w:rsidRPr="00092B8A" w:rsidRDefault="00682F30" w:rsidP="00540901">
      <w:pPr>
        <w:pStyle w:val="Paragraph"/>
        <w:numPr>
          <w:ilvl w:val="1"/>
          <w:numId w:val="2"/>
        </w:numPr>
        <w:spacing w:after="200"/>
        <w:ind w:left="720" w:hanging="720"/>
        <w:rPr>
          <w:lang w:eastAsia="es-ES_tradnl"/>
        </w:rPr>
      </w:pPr>
      <w:r w:rsidRPr="00092B8A">
        <w:rPr>
          <w:lang w:eastAsia="es-ES_tradnl"/>
        </w:rPr>
        <w:t>El</w:t>
      </w:r>
      <w:r w:rsidR="00540901" w:rsidRPr="00092B8A">
        <w:rPr>
          <w:lang w:eastAsia="es-ES_tradnl"/>
        </w:rPr>
        <w:t xml:space="preserve"> </w:t>
      </w:r>
      <w:r w:rsidRPr="00092B8A">
        <w:rPr>
          <w:lang w:eastAsia="es-ES_tradnl"/>
        </w:rPr>
        <w:t>Cuadro 1</w:t>
      </w:r>
      <w:r w:rsidR="00540901" w:rsidRPr="00092B8A">
        <w:rPr>
          <w:lang w:eastAsia="es-ES_tradnl"/>
        </w:rPr>
        <w:t xml:space="preserve"> muestra la distribución de la red por clasificación funcional y superficie de rodadura. Dentro de esta red vial se diferencia una parte denominada red vial básica, que para 2011 fue definida por el MTI con una longitud de 7.985,3 km</w:t>
      </w:r>
      <w:bookmarkEnd w:id="39"/>
      <w:r w:rsidR="00E71E31" w:rsidRPr="00092B8A">
        <w:rPr>
          <w:lang w:eastAsia="es-ES_tradnl"/>
        </w:rPr>
        <w:t xml:space="preserve">. De esa longitud, solamente </w:t>
      </w:r>
      <w:r w:rsidR="00540901" w:rsidRPr="00092B8A">
        <w:rPr>
          <w:lang w:eastAsia="es-ES_tradnl"/>
        </w:rPr>
        <w:t>2.777,6 km corresponden a vías pavimentadas y 5.207,7 km a vías no pavimentadas.</w:t>
      </w:r>
    </w:p>
    <w:p w:rsidR="00540901" w:rsidRPr="00092B8A" w:rsidRDefault="00482236" w:rsidP="00FF3E90">
      <w:pPr>
        <w:pStyle w:val="Paragraph"/>
        <w:numPr>
          <w:ilvl w:val="1"/>
          <w:numId w:val="2"/>
        </w:numPr>
        <w:spacing w:after="200"/>
        <w:ind w:left="720" w:hanging="720"/>
        <w:rPr>
          <w:lang w:eastAsia="es-ES_tradnl"/>
        </w:rPr>
      </w:pPr>
      <w:r w:rsidRPr="00092B8A">
        <w:rPr>
          <w:lang w:eastAsia="es-ES_tradnl"/>
        </w:rPr>
        <w:t xml:space="preserve">Por su parte, </w:t>
      </w:r>
      <w:r w:rsidR="00540901" w:rsidRPr="00092B8A">
        <w:rPr>
          <w:lang w:eastAsia="es-ES_tradnl"/>
        </w:rPr>
        <w:t xml:space="preserve">sólo el 27,5% de los tramos pavimentados </w:t>
      </w:r>
      <w:r w:rsidRPr="00092B8A">
        <w:rPr>
          <w:lang w:eastAsia="es-ES_tradnl"/>
        </w:rPr>
        <w:t xml:space="preserve">de la red vial básica </w:t>
      </w:r>
      <w:r w:rsidR="00540901" w:rsidRPr="00092B8A">
        <w:rPr>
          <w:lang w:eastAsia="es-ES_tradnl"/>
        </w:rPr>
        <w:t>tienen un índice de rugosidad internacional menor o igual a 4,5</w:t>
      </w:r>
      <w:r w:rsidRPr="00092B8A">
        <w:rPr>
          <w:lang w:eastAsia="es-ES_tradnl"/>
        </w:rPr>
        <w:t xml:space="preserve"> </w:t>
      </w:r>
      <w:r w:rsidR="00540901" w:rsidRPr="00092B8A">
        <w:rPr>
          <w:lang w:eastAsia="es-ES_tradnl"/>
        </w:rPr>
        <w:t>m/km</w:t>
      </w:r>
      <w:r w:rsidR="00555043" w:rsidRPr="00092B8A">
        <w:rPr>
          <w:lang w:eastAsia="es-ES_tradnl"/>
        </w:rPr>
        <w:t xml:space="preserve">, lo que corresponde a una </w:t>
      </w:r>
      <w:r w:rsidR="00540901" w:rsidRPr="00092B8A">
        <w:rPr>
          <w:lang w:eastAsia="es-ES_tradnl"/>
        </w:rPr>
        <w:t>clasifica</w:t>
      </w:r>
      <w:r w:rsidR="00555043" w:rsidRPr="00092B8A">
        <w:rPr>
          <w:lang w:eastAsia="es-ES_tradnl"/>
        </w:rPr>
        <w:t>ció</w:t>
      </w:r>
      <w:r w:rsidR="00540901" w:rsidRPr="00092B8A">
        <w:rPr>
          <w:lang w:eastAsia="es-ES_tradnl"/>
        </w:rPr>
        <w:t xml:space="preserve">n </w:t>
      </w:r>
      <w:r w:rsidR="00555043" w:rsidRPr="00092B8A">
        <w:rPr>
          <w:lang w:eastAsia="es-ES_tradnl"/>
        </w:rPr>
        <w:t xml:space="preserve">de </w:t>
      </w:r>
      <w:r w:rsidR="00540901" w:rsidRPr="00092B8A">
        <w:rPr>
          <w:lang w:eastAsia="es-ES_tradnl"/>
        </w:rPr>
        <w:t xml:space="preserve">condición buena o muy buena. </w:t>
      </w:r>
      <w:r w:rsidR="00555043" w:rsidRPr="00092B8A">
        <w:rPr>
          <w:lang w:eastAsia="es-ES_tradnl"/>
        </w:rPr>
        <w:t xml:space="preserve">A su vez, </w:t>
      </w:r>
      <w:r w:rsidR="00540901" w:rsidRPr="00092B8A">
        <w:rPr>
          <w:lang w:eastAsia="es-ES_tradnl"/>
        </w:rPr>
        <w:t xml:space="preserve">sólo el 9,5% de la red no pavimentada se encuentra en </w:t>
      </w:r>
      <w:r w:rsidR="00555043" w:rsidRPr="00092B8A">
        <w:rPr>
          <w:lang w:eastAsia="es-ES_tradnl"/>
        </w:rPr>
        <w:t xml:space="preserve">condición </w:t>
      </w:r>
      <w:r w:rsidR="00540901" w:rsidRPr="00092B8A">
        <w:rPr>
          <w:lang w:eastAsia="es-ES_tradnl"/>
        </w:rPr>
        <w:t>buen</w:t>
      </w:r>
      <w:r w:rsidR="00555043" w:rsidRPr="00092B8A">
        <w:rPr>
          <w:lang w:eastAsia="es-ES_tradnl"/>
        </w:rPr>
        <w:t>a</w:t>
      </w:r>
      <w:r w:rsidR="00540901" w:rsidRPr="00092B8A">
        <w:rPr>
          <w:lang w:eastAsia="es-ES_tradnl"/>
        </w:rPr>
        <w:t xml:space="preserve"> o muy buen</w:t>
      </w:r>
      <w:r w:rsidR="00555043" w:rsidRPr="00092B8A">
        <w:rPr>
          <w:lang w:eastAsia="es-ES_tradnl"/>
        </w:rPr>
        <w:t>a</w:t>
      </w:r>
      <w:r w:rsidR="00540901" w:rsidRPr="00092B8A">
        <w:rPr>
          <w:lang w:eastAsia="es-ES_tradnl"/>
        </w:rPr>
        <w:t>.</w:t>
      </w:r>
      <w:r w:rsidR="00482CF4" w:rsidRPr="00092B8A">
        <w:rPr>
          <w:lang w:eastAsia="es-ES_tradnl"/>
        </w:rPr>
        <w:t xml:space="preserve"> </w:t>
      </w:r>
      <w:r w:rsidR="00293F5F" w:rsidRPr="00092B8A">
        <w:rPr>
          <w:lang w:eastAsia="es-ES_tradnl"/>
        </w:rPr>
        <w:t xml:space="preserve">Considerando que la red vial no básica se encuentra en estado regular o malo, el balance final no resulta muy </w:t>
      </w:r>
      <w:r w:rsidR="00E77FB4" w:rsidRPr="00092B8A">
        <w:rPr>
          <w:lang w:eastAsia="es-ES_tradnl"/>
        </w:rPr>
        <w:t>h</w:t>
      </w:r>
      <w:r w:rsidR="00293F5F" w:rsidRPr="00092B8A">
        <w:rPr>
          <w:lang w:eastAsia="es-ES_tradnl"/>
        </w:rPr>
        <w:t>alagador. El Cuadro 2 muestra dicha situación</w:t>
      </w:r>
      <w:r w:rsidR="00E77FB4" w:rsidRPr="00092B8A">
        <w:rPr>
          <w:lang w:eastAsia="es-ES_tradnl"/>
        </w:rPr>
        <w:t>, concluyendo que el 84,2% de la red vial básica y que hasta un 94,7% de la red vial total, se encuentran en estado regular y malo</w:t>
      </w:r>
      <w:r w:rsidR="00293F5F" w:rsidRPr="00092B8A">
        <w:rPr>
          <w:lang w:eastAsia="es-ES_tradnl"/>
        </w:rPr>
        <w:t>.</w:t>
      </w:r>
    </w:p>
    <w:p w:rsidR="00FF3E90" w:rsidRDefault="00FF3E90" w:rsidP="00FF3E90">
      <w:pPr>
        <w:pStyle w:val="Paragraph"/>
        <w:numPr>
          <w:ilvl w:val="1"/>
          <w:numId w:val="2"/>
        </w:numPr>
        <w:spacing w:before="280"/>
        <w:ind w:left="720" w:hanging="720"/>
      </w:pPr>
      <w:bookmarkStart w:id="40" w:name="C1"/>
      <w:r w:rsidRPr="00092B8A">
        <w:rPr>
          <w:b/>
        </w:rPr>
        <w:t>Inversiones en el sector vial.</w:t>
      </w:r>
      <w:r w:rsidRPr="00092B8A">
        <w:t xml:space="preserve"> El MTI es el organismo responsable de organizar y dirigir la política sectorial de transporte y de planificar, preparar, contratar y administrar los proyectos de mejoramiento, apertura y rehabilitación vial. En los últimos años, el MTI ha aumentado su presupuesto, mostrando crecientes niveles de ejecución, según se muestra en el Cuadro 3.</w:t>
      </w:r>
    </w:p>
    <w:p w:rsidR="003234CF" w:rsidRDefault="003234CF" w:rsidP="00D0736A"/>
    <w:p w:rsidR="00D0736A" w:rsidRPr="00092B8A" w:rsidRDefault="00D0736A" w:rsidP="00D0736A"/>
    <w:p w:rsidR="00540901" w:rsidRPr="00092B8A" w:rsidRDefault="00540901" w:rsidP="001F6DED">
      <w:pPr>
        <w:spacing w:before="120"/>
        <w:jc w:val="center"/>
        <w:rPr>
          <w:rFonts w:eastAsia="MS Mincho"/>
          <w:b/>
          <w:sz w:val="20"/>
          <w:lang w:val="es-ES"/>
        </w:rPr>
      </w:pPr>
      <w:r w:rsidRPr="00092B8A">
        <w:rPr>
          <w:rFonts w:eastAsia="MS Mincho"/>
          <w:b/>
          <w:sz w:val="20"/>
          <w:lang w:val="es-ES"/>
        </w:rPr>
        <w:lastRenderedPageBreak/>
        <w:t>Cuadro 1. Red Vial de Nicaragua 2011 - Consolidado por clasificación funcional y tipo de superficie</w:t>
      </w:r>
    </w:p>
    <w:tbl>
      <w:tblPr>
        <w:tblW w:w="9961" w:type="dxa"/>
        <w:jc w:val="center"/>
        <w:tblCellMar>
          <w:top w:w="29" w:type="dxa"/>
          <w:left w:w="14" w:type="dxa"/>
          <w:bottom w:w="29" w:type="dxa"/>
          <w:right w:w="14" w:type="dxa"/>
        </w:tblCellMar>
        <w:tblLook w:val="04A0" w:firstRow="1" w:lastRow="0" w:firstColumn="1" w:lastColumn="0" w:noHBand="0" w:noVBand="1"/>
      </w:tblPr>
      <w:tblGrid>
        <w:gridCol w:w="2257"/>
        <w:gridCol w:w="931"/>
        <w:gridCol w:w="1167"/>
        <w:gridCol w:w="1007"/>
        <w:gridCol w:w="882"/>
        <w:gridCol w:w="898"/>
        <w:gridCol w:w="990"/>
        <w:gridCol w:w="990"/>
        <w:gridCol w:w="839"/>
      </w:tblGrid>
      <w:tr w:rsidR="00737791" w:rsidRPr="00092B8A" w:rsidTr="00737791">
        <w:trPr>
          <w:trHeight w:val="20"/>
          <w:jc w:val="center"/>
        </w:trPr>
        <w:tc>
          <w:tcPr>
            <w:tcW w:w="2257" w:type="dxa"/>
            <w:tcBorders>
              <w:top w:val="single" w:sz="4" w:space="0" w:color="auto"/>
              <w:left w:val="single" w:sz="4" w:space="0" w:color="auto"/>
              <w:bottom w:val="single" w:sz="4" w:space="0" w:color="auto"/>
              <w:right w:val="single" w:sz="4" w:space="0" w:color="auto"/>
            </w:tcBorders>
            <w:shd w:val="clear" w:color="auto" w:fill="D9D9D9"/>
            <w:vAlign w:val="center"/>
            <w:hideMark/>
          </w:tcPr>
          <w:bookmarkEnd w:id="40"/>
          <w:p w:rsidR="00540901" w:rsidRPr="00092B8A" w:rsidRDefault="00540901" w:rsidP="00FF3E90">
            <w:pPr>
              <w:jc w:val="center"/>
              <w:rPr>
                <w:b/>
                <w:sz w:val="20"/>
                <w:lang w:val="es-ES"/>
              </w:rPr>
            </w:pPr>
            <w:r w:rsidRPr="00092B8A">
              <w:rPr>
                <w:b/>
                <w:sz w:val="20"/>
                <w:lang w:val="es-ES"/>
              </w:rPr>
              <w:t>Tipo superficie/</w:t>
            </w:r>
            <w:proofErr w:type="spellStart"/>
            <w:r w:rsidRPr="00092B8A">
              <w:rPr>
                <w:b/>
                <w:sz w:val="20"/>
                <w:lang w:val="es-ES"/>
              </w:rPr>
              <w:t>clas</w:t>
            </w:r>
            <w:proofErr w:type="spellEnd"/>
            <w:r w:rsidRPr="00092B8A">
              <w:rPr>
                <w:b/>
                <w:sz w:val="20"/>
                <w:lang w:val="es-ES"/>
              </w:rPr>
              <w:t>. Funcional</w:t>
            </w:r>
          </w:p>
        </w:tc>
        <w:tc>
          <w:tcPr>
            <w:tcW w:w="931" w:type="dxa"/>
            <w:tcBorders>
              <w:top w:val="single" w:sz="4" w:space="0" w:color="auto"/>
              <w:left w:val="nil"/>
              <w:bottom w:val="single" w:sz="4" w:space="0" w:color="auto"/>
              <w:right w:val="single" w:sz="4" w:space="0" w:color="auto"/>
            </w:tcBorders>
            <w:shd w:val="clear" w:color="auto" w:fill="D9D9D9"/>
            <w:noWrap/>
            <w:vAlign w:val="center"/>
            <w:hideMark/>
          </w:tcPr>
          <w:p w:rsidR="00540901" w:rsidRPr="00092B8A" w:rsidRDefault="00540901" w:rsidP="00FF3E90">
            <w:pPr>
              <w:jc w:val="center"/>
              <w:rPr>
                <w:b/>
                <w:sz w:val="20"/>
                <w:lang w:val="es-ES"/>
              </w:rPr>
            </w:pPr>
            <w:r w:rsidRPr="00092B8A">
              <w:rPr>
                <w:b/>
                <w:sz w:val="20"/>
                <w:lang w:val="es-ES"/>
              </w:rPr>
              <w:t>Asfaltado</w:t>
            </w:r>
          </w:p>
        </w:tc>
        <w:tc>
          <w:tcPr>
            <w:tcW w:w="1167" w:type="dxa"/>
            <w:tcBorders>
              <w:top w:val="single" w:sz="4" w:space="0" w:color="auto"/>
              <w:left w:val="nil"/>
              <w:bottom w:val="single" w:sz="4" w:space="0" w:color="auto"/>
              <w:right w:val="single" w:sz="4" w:space="0" w:color="auto"/>
            </w:tcBorders>
            <w:shd w:val="clear" w:color="auto" w:fill="D9D9D9"/>
            <w:noWrap/>
            <w:vAlign w:val="center"/>
            <w:hideMark/>
          </w:tcPr>
          <w:p w:rsidR="00540901" w:rsidRPr="00092B8A" w:rsidRDefault="00540901" w:rsidP="00FF3E90">
            <w:pPr>
              <w:jc w:val="center"/>
              <w:rPr>
                <w:b/>
                <w:sz w:val="20"/>
                <w:lang w:val="es-ES"/>
              </w:rPr>
            </w:pPr>
            <w:r w:rsidRPr="00092B8A">
              <w:rPr>
                <w:b/>
                <w:sz w:val="20"/>
                <w:lang w:val="es-ES"/>
              </w:rPr>
              <w:t>Adoquinado</w:t>
            </w:r>
          </w:p>
        </w:tc>
        <w:tc>
          <w:tcPr>
            <w:tcW w:w="1007" w:type="dxa"/>
            <w:tcBorders>
              <w:top w:val="single" w:sz="4" w:space="0" w:color="auto"/>
              <w:left w:val="nil"/>
              <w:bottom w:val="single" w:sz="4" w:space="0" w:color="auto"/>
              <w:right w:val="single" w:sz="4" w:space="0" w:color="auto"/>
            </w:tcBorders>
            <w:shd w:val="clear" w:color="auto" w:fill="D9D9D9"/>
            <w:vAlign w:val="center"/>
            <w:hideMark/>
          </w:tcPr>
          <w:p w:rsidR="00540901" w:rsidRPr="00092B8A" w:rsidRDefault="00540901" w:rsidP="00FF3E90">
            <w:pPr>
              <w:jc w:val="center"/>
              <w:rPr>
                <w:b/>
                <w:sz w:val="20"/>
                <w:lang w:val="es-ES"/>
              </w:rPr>
            </w:pPr>
            <w:r w:rsidRPr="00092B8A">
              <w:rPr>
                <w:b/>
                <w:sz w:val="20"/>
                <w:lang w:val="es-ES"/>
              </w:rPr>
              <w:t>Concreto hidráulico</w:t>
            </w:r>
          </w:p>
        </w:tc>
        <w:tc>
          <w:tcPr>
            <w:tcW w:w="882" w:type="dxa"/>
            <w:tcBorders>
              <w:top w:val="single" w:sz="4" w:space="0" w:color="auto"/>
              <w:left w:val="nil"/>
              <w:bottom w:val="single" w:sz="4" w:space="0" w:color="auto"/>
              <w:right w:val="single" w:sz="4" w:space="0" w:color="auto"/>
            </w:tcBorders>
            <w:shd w:val="clear" w:color="auto" w:fill="D9D9D9"/>
            <w:vAlign w:val="center"/>
            <w:hideMark/>
          </w:tcPr>
          <w:p w:rsidR="00540901" w:rsidRPr="00092B8A" w:rsidRDefault="00540901" w:rsidP="00FF3E90">
            <w:pPr>
              <w:jc w:val="center"/>
              <w:rPr>
                <w:b/>
                <w:sz w:val="20"/>
                <w:lang w:val="es-ES"/>
              </w:rPr>
            </w:pPr>
            <w:r w:rsidRPr="00092B8A">
              <w:rPr>
                <w:b/>
                <w:sz w:val="20"/>
                <w:lang w:val="es-ES"/>
              </w:rPr>
              <w:t>Revestido</w:t>
            </w:r>
          </w:p>
        </w:tc>
        <w:tc>
          <w:tcPr>
            <w:tcW w:w="898" w:type="dxa"/>
            <w:tcBorders>
              <w:top w:val="single" w:sz="4" w:space="0" w:color="auto"/>
              <w:left w:val="nil"/>
              <w:bottom w:val="single" w:sz="4" w:space="0" w:color="auto"/>
              <w:right w:val="single" w:sz="4" w:space="0" w:color="auto"/>
            </w:tcBorders>
            <w:shd w:val="clear" w:color="auto" w:fill="D9D9D9"/>
            <w:vAlign w:val="center"/>
            <w:hideMark/>
          </w:tcPr>
          <w:p w:rsidR="00540901" w:rsidRPr="00092B8A" w:rsidRDefault="00540901" w:rsidP="00FF3E90">
            <w:pPr>
              <w:jc w:val="center"/>
              <w:rPr>
                <w:b/>
                <w:sz w:val="20"/>
                <w:lang w:val="es-ES"/>
              </w:rPr>
            </w:pPr>
            <w:r w:rsidRPr="00092B8A">
              <w:rPr>
                <w:b/>
                <w:sz w:val="20"/>
                <w:lang w:val="es-ES"/>
              </w:rPr>
              <w:t>Todo tiempo</w:t>
            </w:r>
          </w:p>
        </w:tc>
        <w:tc>
          <w:tcPr>
            <w:tcW w:w="990" w:type="dxa"/>
            <w:tcBorders>
              <w:top w:val="single" w:sz="4" w:space="0" w:color="auto"/>
              <w:left w:val="nil"/>
              <w:bottom w:val="single" w:sz="4" w:space="0" w:color="auto"/>
              <w:right w:val="single" w:sz="4" w:space="0" w:color="auto"/>
            </w:tcBorders>
            <w:shd w:val="clear" w:color="auto" w:fill="D9D9D9"/>
            <w:vAlign w:val="center"/>
            <w:hideMark/>
          </w:tcPr>
          <w:p w:rsidR="00540901" w:rsidRPr="00092B8A" w:rsidRDefault="00540901" w:rsidP="00FF3E90">
            <w:pPr>
              <w:jc w:val="center"/>
              <w:rPr>
                <w:b/>
                <w:sz w:val="20"/>
                <w:lang w:val="es-ES"/>
              </w:rPr>
            </w:pPr>
            <w:r w:rsidRPr="00092B8A">
              <w:rPr>
                <w:b/>
                <w:sz w:val="20"/>
                <w:lang w:val="es-ES"/>
              </w:rPr>
              <w:t>Estación seca</w:t>
            </w:r>
          </w:p>
        </w:tc>
        <w:tc>
          <w:tcPr>
            <w:tcW w:w="990" w:type="dxa"/>
            <w:tcBorders>
              <w:top w:val="single" w:sz="4" w:space="0" w:color="auto"/>
              <w:left w:val="nil"/>
              <w:bottom w:val="single" w:sz="4" w:space="0" w:color="auto"/>
              <w:right w:val="single" w:sz="4" w:space="0" w:color="auto"/>
            </w:tcBorders>
            <w:shd w:val="clear" w:color="auto" w:fill="D9D9D9"/>
            <w:vAlign w:val="center"/>
            <w:hideMark/>
          </w:tcPr>
          <w:p w:rsidR="00540901" w:rsidRPr="00092B8A" w:rsidRDefault="00540901" w:rsidP="00FF3E90">
            <w:pPr>
              <w:jc w:val="center"/>
              <w:rPr>
                <w:b/>
                <w:sz w:val="20"/>
                <w:lang w:val="es-ES"/>
              </w:rPr>
            </w:pPr>
            <w:r w:rsidRPr="00092B8A">
              <w:rPr>
                <w:b/>
                <w:sz w:val="20"/>
                <w:lang w:val="es-ES"/>
              </w:rPr>
              <w:t>Total General (km)</w:t>
            </w:r>
          </w:p>
        </w:tc>
        <w:tc>
          <w:tcPr>
            <w:tcW w:w="839" w:type="dxa"/>
            <w:tcBorders>
              <w:top w:val="single" w:sz="4" w:space="0" w:color="auto"/>
              <w:left w:val="nil"/>
              <w:bottom w:val="single" w:sz="4" w:space="0" w:color="auto"/>
              <w:right w:val="single" w:sz="4" w:space="0" w:color="auto"/>
            </w:tcBorders>
            <w:shd w:val="clear" w:color="auto" w:fill="D9D9D9"/>
            <w:vAlign w:val="center"/>
            <w:hideMark/>
          </w:tcPr>
          <w:p w:rsidR="00540901" w:rsidRPr="00092B8A" w:rsidRDefault="00540901" w:rsidP="00FF3E90">
            <w:pPr>
              <w:jc w:val="center"/>
              <w:rPr>
                <w:b/>
                <w:sz w:val="20"/>
                <w:lang w:val="es-ES"/>
              </w:rPr>
            </w:pPr>
            <w:r w:rsidRPr="00092B8A">
              <w:rPr>
                <w:b/>
                <w:sz w:val="20"/>
                <w:lang w:val="es-ES"/>
              </w:rPr>
              <w:t>%</w:t>
            </w:r>
          </w:p>
        </w:tc>
      </w:tr>
      <w:tr w:rsidR="00737791" w:rsidRPr="00092B8A" w:rsidTr="00737791">
        <w:trPr>
          <w:trHeight w:val="20"/>
          <w:jc w:val="center"/>
        </w:trPr>
        <w:tc>
          <w:tcPr>
            <w:tcW w:w="2257" w:type="dxa"/>
            <w:tcBorders>
              <w:top w:val="nil"/>
              <w:left w:val="single" w:sz="4" w:space="0" w:color="auto"/>
              <w:bottom w:val="single" w:sz="4" w:space="0" w:color="auto"/>
              <w:right w:val="single" w:sz="4" w:space="0" w:color="auto"/>
            </w:tcBorders>
            <w:shd w:val="clear" w:color="auto" w:fill="auto"/>
            <w:vAlign w:val="center"/>
            <w:hideMark/>
          </w:tcPr>
          <w:p w:rsidR="00540901" w:rsidRPr="00092B8A" w:rsidRDefault="00540901" w:rsidP="00FF3E90">
            <w:pPr>
              <w:rPr>
                <w:sz w:val="20"/>
                <w:lang w:val="es-ES"/>
              </w:rPr>
            </w:pPr>
            <w:r w:rsidRPr="00092B8A">
              <w:rPr>
                <w:sz w:val="20"/>
                <w:lang w:val="es-ES"/>
              </w:rPr>
              <w:t>Troncal Principal (km)</w:t>
            </w:r>
          </w:p>
        </w:tc>
        <w:tc>
          <w:tcPr>
            <w:tcW w:w="931" w:type="dxa"/>
            <w:tcBorders>
              <w:top w:val="nil"/>
              <w:left w:val="nil"/>
              <w:bottom w:val="single" w:sz="4" w:space="0" w:color="auto"/>
              <w:right w:val="single" w:sz="4" w:space="0" w:color="auto"/>
            </w:tcBorders>
            <w:shd w:val="clear" w:color="auto" w:fill="auto"/>
            <w:noWrap/>
            <w:vAlign w:val="center"/>
            <w:hideMark/>
          </w:tcPr>
          <w:p w:rsidR="00540901" w:rsidRPr="00092B8A" w:rsidRDefault="00540901" w:rsidP="00594DF5">
            <w:pPr>
              <w:ind w:right="144"/>
              <w:jc w:val="right"/>
              <w:rPr>
                <w:sz w:val="20"/>
                <w:lang w:val="es-ES"/>
              </w:rPr>
            </w:pPr>
            <w:r w:rsidRPr="00092B8A">
              <w:rPr>
                <w:sz w:val="20"/>
                <w:lang w:val="es-ES"/>
              </w:rPr>
              <w:t>1.079,5</w:t>
            </w:r>
          </w:p>
        </w:tc>
        <w:tc>
          <w:tcPr>
            <w:tcW w:w="1167" w:type="dxa"/>
            <w:tcBorders>
              <w:top w:val="nil"/>
              <w:left w:val="nil"/>
              <w:bottom w:val="single" w:sz="4" w:space="0" w:color="auto"/>
              <w:right w:val="single" w:sz="4" w:space="0" w:color="auto"/>
            </w:tcBorders>
            <w:shd w:val="clear" w:color="auto" w:fill="auto"/>
            <w:noWrap/>
            <w:vAlign w:val="center"/>
            <w:hideMark/>
          </w:tcPr>
          <w:p w:rsidR="00540901" w:rsidRPr="00092B8A" w:rsidRDefault="00540901" w:rsidP="00594DF5">
            <w:pPr>
              <w:ind w:right="144"/>
              <w:jc w:val="right"/>
              <w:rPr>
                <w:sz w:val="20"/>
                <w:lang w:val="es-ES"/>
              </w:rPr>
            </w:pPr>
            <w:r w:rsidRPr="00092B8A">
              <w:rPr>
                <w:sz w:val="20"/>
                <w:lang w:val="es-ES"/>
              </w:rPr>
              <w:t>1,2</w:t>
            </w:r>
          </w:p>
        </w:tc>
        <w:tc>
          <w:tcPr>
            <w:tcW w:w="1007" w:type="dxa"/>
            <w:tcBorders>
              <w:top w:val="nil"/>
              <w:left w:val="nil"/>
              <w:bottom w:val="single" w:sz="4" w:space="0" w:color="auto"/>
              <w:right w:val="single" w:sz="4" w:space="0" w:color="auto"/>
            </w:tcBorders>
            <w:shd w:val="clear" w:color="auto" w:fill="auto"/>
            <w:noWrap/>
            <w:vAlign w:val="center"/>
            <w:hideMark/>
          </w:tcPr>
          <w:p w:rsidR="00540901" w:rsidRPr="00092B8A" w:rsidRDefault="00540901" w:rsidP="00594DF5">
            <w:pPr>
              <w:ind w:right="144"/>
              <w:jc w:val="right"/>
              <w:rPr>
                <w:sz w:val="20"/>
                <w:lang w:val="es-ES"/>
              </w:rPr>
            </w:pPr>
            <w:r w:rsidRPr="00092B8A">
              <w:rPr>
                <w:sz w:val="20"/>
                <w:lang w:val="es-ES"/>
              </w:rPr>
              <w:t>0</w:t>
            </w:r>
            <w:r w:rsidR="00594DF5" w:rsidRPr="00092B8A">
              <w:rPr>
                <w:sz w:val="20"/>
                <w:lang w:val="es-ES"/>
              </w:rPr>
              <w:t>,0</w:t>
            </w:r>
          </w:p>
        </w:tc>
        <w:tc>
          <w:tcPr>
            <w:tcW w:w="882" w:type="dxa"/>
            <w:tcBorders>
              <w:top w:val="nil"/>
              <w:left w:val="nil"/>
              <w:bottom w:val="single" w:sz="4" w:space="0" w:color="auto"/>
              <w:right w:val="single" w:sz="4" w:space="0" w:color="auto"/>
            </w:tcBorders>
            <w:shd w:val="clear" w:color="auto" w:fill="auto"/>
            <w:noWrap/>
            <w:vAlign w:val="center"/>
            <w:hideMark/>
          </w:tcPr>
          <w:p w:rsidR="00540901" w:rsidRPr="00092B8A" w:rsidRDefault="00540901" w:rsidP="00594DF5">
            <w:pPr>
              <w:ind w:right="144"/>
              <w:jc w:val="right"/>
              <w:rPr>
                <w:sz w:val="20"/>
                <w:lang w:val="es-ES"/>
              </w:rPr>
            </w:pPr>
            <w:r w:rsidRPr="00092B8A">
              <w:rPr>
                <w:sz w:val="20"/>
                <w:lang w:val="es-ES"/>
              </w:rPr>
              <w:t>0</w:t>
            </w:r>
            <w:r w:rsidR="00594DF5" w:rsidRPr="00092B8A">
              <w:rPr>
                <w:sz w:val="20"/>
                <w:lang w:val="es-ES"/>
              </w:rPr>
              <w:t>,0</w:t>
            </w:r>
          </w:p>
        </w:tc>
        <w:tc>
          <w:tcPr>
            <w:tcW w:w="898" w:type="dxa"/>
            <w:tcBorders>
              <w:top w:val="nil"/>
              <w:left w:val="nil"/>
              <w:bottom w:val="single" w:sz="4" w:space="0" w:color="auto"/>
              <w:right w:val="single" w:sz="4" w:space="0" w:color="auto"/>
            </w:tcBorders>
            <w:shd w:val="clear" w:color="auto" w:fill="auto"/>
            <w:noWrap/>
            <w:vAlign w:val="center"/>
            <w:hideMark/>
          </w:tcPr>
          <w:p w:rsidR="00540901" w:rsidRPr="00092B8A" w:rsidRDefault="00540901" w:rsidP="00594DF5">
            <w:pPr>
              <w:ind w:right="144"/>
              <w:jc w:val="right"/>
              <w:rPr>
                <w:sz w:val="20"/>
                <w:lang w:val="es-ES"/>
              </w:rPr>
            </w:pPr>
            <w:r w:rsidRPr="00092B8A">
              <w:rPr>
                <w:sz w:val="20"/>
                <w:lang w:val="es-ES"/>
              </w:rPr>
              <w:t>0</w:t>
            </w:r>
            <w:r w:rsidR="00594DF5" w:rsidRPr="00092B8A">
              <w:rPr>
                <w:sz w:val="20"/>
                <w:lang w:val="es-ES"/>
              </w:rPr>
              <w:t>,0</w:t>
            </w:r>
          </w:p>
        </w:tc>
        <w:tc>
          <w:tcPr>
            <w:tcW w:w="990" w:type="dxa"/>
            <w:tcBorders>
              <w:top w:val="nil"/>
              <w:left w:val="nil"/>
              <w:bottom w:val="single" w:sz="4" w:space="0" w:color="auto"/>
              <w:right w:val="single" w:sz="4" w:space="0" w:color="auto"/>
            </w:tcBorders>
            <w:shd w:val="clear" w:color="auto" w:fill="auto"/>
            <w:noWrap/>
            <w:vAlign w:val="center"/>
            <w:hideMark/>
          </w:tcPr>
          <w:p w:rsidR="00540901" w:rsidRPr="00092B8A" w:rsidRDefault="00540901" w:rsidP="00594DF5">
            <w:pPr>
              <w:ind w:right="144"/>
              <w:jc w:val="right"/>
              <w:rPr>
                <w:sz w:val="20"/>
                <w:lang w:val="es-ES"/>
              </w:rPr>
            </w:pPr>
            <w:r w:rsidRPr="00092B8A">
              <w:rPr>
                <w:sz w:val="20"/>
                <w:lang w:val="es-ES"/>
              </w:rPr>
              <w:t>0</w:t>
            </w:r>
            <w:r w:rsidR="00594DF5" w:rsidRPr="00092B8A">
              <w:rPr>
                <w:sz w:val="20"/>
                <w:lang w:val="es-ES"/>
              </w:rPr>
              <w:t>,0</w:t>
            </w:r>
          </w:p>
        </w:tc>
        <w:tc>
          <w:tcPr>
            <w:tcW w:w="990" w:type="dxa"/>
            <w:tcBorders>
              <w:top w:val="nil"/>
              <w:left w:val="nil"/>
              <w:bottom w:val="single" w:sz="4" w:space="0" w:color="auto"/>
              <w:right w:val="single" w:sz="4" w:space="0" w:color="auto"/>
            </w:tcBorders>
            <w:shd w:val="clear" w:color="auto" w:fill="auto"/>
            <w:noWrap/>
            <w:vAlign w:val="center"/>
            <w:hideMark/>
          </w:tcPr>
          <w:p w:rsidR="00540901" w:rsidRPr="00092B8A" w:rsidRDefault="00540901" w:rsidP="00594DF5">
            <w:pPr>
              <w:ind w:right="144"/>
              <w:jc w:val="right"/>
              <w:rPr>
                <w:sz w:val="20"/>
                <w:lang w:val="es-ES"/>
              </w:rPr>
            </w:pPr>
            <w:r w:rsidRPr="00092B8A">
              <w:rPr>
                <w:sz w:val="20"/>
                <w:lang w:val="es-ES"/>
              </w:rPr>
              <w:t>1.080,7</w:t>
            </w:r>
          </w:p>
        </w:tc>
        <w:tc>
          <w:tcPr>
            <w:tcW w:w="839" w:type="dxa"/>
            <w:tcBorders>
              <w:top w:val="nil"/>
              <w:left w:val="nil"/>
              <w:bottom w:val="single" w:sz="4" w:space="0" w:color="auto"/>
              <w:right w:val="single" w:sz="4" w:space="0" w:color="auto"/>
            </w:tcBorders>
            <w:shd w:val="clear" w:color="auto" w:fill="auto"/>
            <w:noWrap/>
            <w:vAlign w:val="center"/>
            <w:hideMark/>
          </w:tcPr>
          <w:p w:rsidR="00540901" w:rsidRPr="00092B8A" w:rsidRDefault="00540901" w:rsidP="00594DF5">
            <w:pPr>
              <w:ind w:right="144"/>
              <w:jc w:val="right"/>
              <w:rPr>
                <w:sz w:val="20"/>
                <w:lang w:val="es-ES"/>
              </w:rPr>
            </w:pPr>
            <w:r w:rsidRPr="00092B8A">
              <w:rPr>
                <w:sz w:val="20"/>
                <w:lang w:val="es-ES"/>
              </w:rPr>
              <w:t>4,5%</w:t>
            </w:r>
          </w:p>
        </w:tc>
      </w:tr>
      <w:tr w:rsidR="00737791" w:rsidRPr="00092B8A" w:rsidTr="00737791">
        <w:trPr>
          <w:trHeight w:val="20"/>
          <w:jc w:val="center"/>
        </w:trPr>
        <w:tc>
          <w:tcPr>
            <w:tcW w:w="2257" w:type="dxa"/>
            <w:tcBorders>
              <w:top w:val="nil"/>
              <w:left w:val="single" w:sz="4" w:space="0" w:color="auto"/>
              <w:bottom w:val="single" w:sz="4" w:space="0" w:color="auto"/>
              <w:right w:val="single" w:sz="4" w:space="0" w:color="auto"/>
            </w:tcBorders>
            <w:shd w:val="clear" w:color="auto" w:fill="auto"/>
            <w:vAlign w:val="center"/>
            <w:hideMark/>
          </w:tcPr>
          <w:p w:rsidR="00540901" w:rsidRPr="00092B8A" w:rsidRDefault="00540901" w:rsidP="00FF3E90">
            <w:pPr>
              <w:rPr>
                <w:sz w:val="20"/>
                <w:lang w:val="es-ES"/>
              </w:rPr>
            </w:pPr>
            <w:r w:rsidRPr="00092B8A">
              <w:rPr>
                <w:sz w:val="20"/>
                <w:lang w:val="es-ES"/>
              </w:rPr>
              <w:t>Troncal Secundaria (km)</w:t>
            </w:r>
          </w:p>
        </w:tc>
        <w:tc>
          <w:tcPr>
            <w:tcW w:w="931" w:type="dxa"/>
            <w:tcBorders>
              <w:top w:val="nil"/>
              <w:left w:val="nil"/>
              <w:bottom w:val="single" w:sz="4" w:space="0" w:color="auto"/>
              <w:right w:val="single" w:sz="4" w:space="0" w:color="auto"/>
            </w:tcBorders>
            <w:shd w:val="clear" w:color="auto" w:fill="auto"/>
            <w:noWrap/>
            <w:vAlign w:val="center"/>
            <w:hideMark/>
          </w:tcPr>
          <w:p w:rsidR="00540901" w:rsidRPr="00092B8A" w:rsidRDefault="00540901" w:rsidP="00594DF5">
            <w:pPr>
              <w:ind w:right="144"/>
              <w:jc w:val="right"/>
              <w:rPr>
                <w:sz w:val="20"/>
                <w:lang w:val="es-ES"/>
              </w:rPr>
            </w:pPr>
            <w:r w:rsidRPr="00092B8A">
              <w:rPr>
                <w:sz w:val="20"/>
                <w:lang w:val="es-ES"/>
              </w:rPr>
              <w:t>546,4</w:t>
            </w:r>
          </w:p>
        </w:tc>
        <w:tc>
          <w:tcPr>
            <w:tcW w:w="1167" w:type="dxa"/>
            <w:tcBorders>
              <w:top w:val="nil"/>
              <w:left w:val="nil"/>
              <w:bottom w:val="single" w:sz="4" w:space="0" w:color="auto"/>
              <w:right w:val="single" w:sz="4" w:space="0" w:color="auto"/>
            </w:tcBorders>
            <w:shd w:val="clear" w:color="auto" w:fill="auto"/>
            <w:noWrap/>
            <w:vAlign w:val="center"/>
            <w:hideMark/>
          </w:tcPr>
          <w:p w:rsidR="00540901" w:rsidRPr="00092B8A" w:rsidRDefault="00540901" w:rsidP="00594DF5">
            <w:pPr>
              <w:ind w:right="144"/>
              <w:jc w:val="right"/>
              <w:rPr>
                <w:sz w:val="20"/>
                <w:lang w:val="es-ES"/>
              </w:rPr>
            </w:pPr>
            <w:r w:rsidRPr="00092B8A">
              <w:rPr>
                <w:sz w:val="20"/>
                <w:lang w:val="es-ES"/>
              </w:rPr>
              <w:t>73,9</w:t>
            </w:r>
          </w:p>
        </w:tc>
        <w:tc>
          <w:tcPr>
            <w:tcW w:w="1007" w:type="dxa"/>
            <w:tcBorders>
              <w:top w:val="nil"/>
              <w:left w:val="nil"/>
              <w:bottom w:val="single" w:sz="4" w:space="0" w:color="auto"/>
              <w:right w:val="single" w:sz="4" w:space="0" w:color="auto"/>
            </w:tcBorders>
            <w:shd w:val="clear" w:color="auto" w:fill="auto"/>
            <w:noWrap/>
            <w:vAlign w:val="center"/>
            <w:hideMark/>
          </w:tcPr>
          <w:p w:rsidR="00540901" w:rsidRPr="00092B8A" w:rsidRDefault="00540901" w:rsidP="00594DF5">
            <w:pPr>
              <w:ind w:right="144"/>
              <w:jc w:val="right"/>
              <w:rPr>
                <w:sz w:val="20"/>
                <w:lang w:val="es-ES"/>
              </w:rPr>
            </w:pPr>
            <w:r w:rsidRPr="00092B8A">
              <w:rPr>
                <w:sz w:val="20"/>
                <w:lang w:val="es-ES"/>
              </w:rPr>
              <w:t>15,6</w:t>
            </w:r>
          </w:p>
        </w:tc>
        <w:tc>
          <w:tcPr>
            <w:tcW w:w="882" w:type="dxa"/>
            <w:tcBorders>
              <w:top w:val="nil"/>
              <w:left w:val="nil"/>
              <w:bottom w:val="single" w:sz="4" w:space="0" w:color="auto"/>
              <w:right w:val="single" w:sz="4" w:space="0" w:color="auto"/>
            </w:tcBorders>
            <w:shd w:val="clear" w:color="auto" w:fill="auto"/>
            <w:noWrap/>
            <w:vAlign w:val="center"/>
            <w:hideMark/>
          </w:tcPr>
          <w:p w:rsidR="00540901" w:rsidRPr="00092B8A" w:rsidRDefault="00540901" w:rsidP="00594DF5">
            <w:pPr>
              <w:ind w:right="144"/>
              <w:jc w:val="right"/>
              <w:rPr>
                <w:sz w:val="20"/>
                <w:lang w:val="es-ES"/>
              </w:rPr>
            </w:pPr>
            <w:r w:rsidRPr="00092B8A">
              <w:rPr>
                <w:sz w:val="20"/>
                <w:lang w:val="es-ES"/>
              </w:rPr>
              <w:t>364,9</w:t>
            </w:r>
          </w:p>
        </w:tc>
        <w:tc>
          <w:tcPr>
            <w:tcW w:w="898" w:type="dxa"/>
            <w:tcBorders>
              <w:top w:val="nil"/>
              <w:left w:val="nil"/>
              <w:bottom w:val="single" w:sz="4" w:space="0" w:color="auto"/>
              <w:right w:val="single" w:sz="4" w:space="0" w:color="auto"/>
            </w:tcBorders>
            <w:shd w:val="clear" w:color="auto" w:fill="auto"/>
            <w:noWrap/>
            <w:vAlign w:val="center"/>
            <w:hideMark/>
          </w:tcPr>
          <w:p w:rsidR="00540901" w:rsidRPr="00092B8A" w:rsidRDefault="00540901" w:rsidP="00594DF5">
            <w:pPr>
              <w:ind w:right="144"/>
              <w:jc w:val="right"/>
              <w:rPr>
                <w:sz w:val="20"/>
                <w:lang w:val="es-ES"/>
              </w:rPr>
            </w:pPr>
            <w:r w:rsidRPr="00092B8A">
              <w:rPr>
                <w:sz w:val="20"/>
                <w:lang w:val="es-ES"/>
              </w:rPr>
              <w:t>0</w:t>
            </w:r>
            <w:r w:rsidR="00594DF5" w:rsidRPr="00092B8A">
              <w:rPr>
                <w:sz w:val="20"/>
                <w:lang w:val="es-ES"/>
              </w:rPr>
              <w:t>,0</w:t>
            </w:r>
          </w:p>
        </w:tc>
        <w:tc>
          <w:tcPr>
            <w:tcW w:w="990" w:type="dxa"/>
            <w:tcBorders>
              <w:top w:val="nil"/>
              <w:left w:val="nil"/>
              <w:bottom w:val="single" w:sz="4" w:space="0" w:color="auto"/>
              <w:right w:val="single" w:sz="4" w:space="0" w:color="auto"/>
            </w:tcBorders>
            <w:shd w:val="clear" w:color="auto" w:fill="auto"/>
            <w:noWrap/>
            <w:vAlign w:val="center"/>
            <w:hideMark/>
          </w:tcPr>
          <w:p w:rsidR="00540901" w:rsidRPr="00092B8A" w:rsidRDefault="00540901" w:rsidP="00594DF5">
            <w:pPr>
              <w:ind w:right="144"/>
              <w:jc w:val="right"/>
              <w:rPr>
                <w:sz w:val="20"/>
                <w:lang w:val="es-ES"/>
              </w:rPr>
            </w:pPr>
            <w:r w:rsidRPr="00092B8A">
              <w:rPr>
                <w:sz w:val="20"/>
                <w:lang w:val="es-ES"/>
              </w:rPr>
              <w:t>0</w:t>
            </w:r>
            <w:r w:rsidR="00594DF5" w:rsidRPr="00092B8A">
              <w:rPr>
                <w:sz w:val="20"/>
                <w:lang w:val="es-ES"/>
              </w:rPr>
              <w:t>,0</w:t>
            </w:r>
          </w:p>
        </w:tc>
        <w:tc>
          <w:tcPr>
            <w:tcW w:w="990" w:type="dxa"/>
            <w:tcBorders>
              <w:top w:val="nil"/>
              <w:left w:val="nil"/>
              <w:bottom w:val="single" w:sz="4" w:space="0" w:color="auto"/>
              <w:right w:val="single" w:sz="4" w:space="0" w:color="auto"/>
            </w:tcBorders>
            <w:shd w:val="clear" w:color="auto" w:fill="auto"/>
            <w:noWrap/>
            <w:vAlign w:val="center"/>
            <w:hideMark/>
          </w:tcPr>
          <w:p w:rsidR="00540901" w:rsidRPr="00092B8A" w:rsidRDefault="00540901" w:rsidP="00594DF5">
            <w:pPr>
              <w:ind w:right="144"/>
              <w:jc w:val="right"/>
              <w:rPr>
                <w:sz w:val="20"/>
                <w:lang w:val="es-ES"/>
              </w:rPr>
            </w:pPr>
            <w:r w:rsidRPr="00092B8A">
              <w:rPr>
                <w:sz w:val="20"/>
                <w:lang w:val="es-ES"/>
              </w:rPr>
              <w:t>1.000,9</w:t>
            </w:r>
          </w:p>
        </w:tc>
        <w:tc>
          <w:tcPr>
            <w:tcW w:w="839" w:type="dxa"/>
            <w:tcBorders>
              <w:top w:val="nil"/>
              <w:left w:val="nil"/>
              <w:bottom w:val="single" w:sz="4" w:space="0" w:color="auto"/>
              <w:right w:val="single" w:sz="4" w:space="0" w:color="auto"/>
            </w:tcBorders>
            <w:shd w:val="clear" w:color="auto" w:fill="auto"/>
            <w:noWrap/>
            <w:vAlign w:val="center"/>
            <w:hideMark/>
          </w:tcPr>
          <w:p w:rsidR="00540901" w:rsidRPr="00092B8A" w:rsidRDefault="00540901" w:rsidP="00594DF5">
            <w:pPr>
              <w:ind w:right="144"/>
              <w:jc w:val="right"/>
              <w:rPr>
                <w:sz w:val="20"/>
                <w:lang w:val="es-ES"/>
              </w:rPr>
            </w:pPr>
            <w:r w:rsidRPr="00092B8A">
              <w:rPr>
                <w:sz w:val="20"/>
                <w:lang w:val="es-ES"/>
              </w:rPr>
              <w:t>4,2%</w:t>
            </w:r>
          </w:p>
        </w:tc>
      </w:tr>
      <w:tr w:rsidR="00737791" w:rsidRPr="00092B8A" w:rsidTr="00737791">
        <w:trPr>
          <w:trHeight w:val="20"/>
          <w:jc w:val="center"/>
        </w:trPr>
        <w:tc>
          <w:tcPr>
            <w:tcW w:w="2257" w:type="dxa"/>
            <w:tcBorders>
              <w:top w:val="nil"/>
              <w:left w:val="single" w:sz="4" w:space="0" w:color="auto"/>
              <w:bottom w:val="single" w:sz="4" w:space="0" w:color="auto"/>
              <w:right w:val="single" w:sz="4" w:space="0" w:color="auto"/>
            </w:tcBorders>
            <w:shd w:val="clear" w:color="auto" w:fill="auto"/>
            <w:vAlign w:val="center"/>
            <w:hideMark/>
          </w:tcPr>
          <w:p w:rsidR="00540901" w:rsidRPr="00092B8A" w:rsidRDefault="00540901" w:rsidP="00FF3E90">
            <w:pPr>
              <w:rPr>
                <w:sz w:val="20"/>
                <w:lang w:val="es-ES"/>
              </w:rPr>
            </w:pPr>
            <w:r w:rsidRPr="00092B8A">
              <w:rPr>
                <w:sz w:val="20"/>
                <w:lang w:val="es-ES"/>
              </w:rPr>
              <w:t>Colectora Principal (km)</w:t>
            </w:r>
          </w:p>
        </w:tc>
        <w:tc>
          <w:tcPr>
            <w:tcW w:w="931" w:type="dxa"/>
            <w:tcBorders>
              <w:top w:val="nil"/>
              <w:left w:val="nil"/>
              <w:bottom w:val="single" w:sz="4" w:space="0" w:color="auto"/>
              <w:right w:val="single" w:sz="4" w:space="0" w:color="auto"/>
            </w:tcBorders>
            <w:shd w:val="clear" w:color="auto" w:fill="auto"/>
            <w:noWrap/>
            <w:vAlign w:val="center"/>
            <w:hideMark/>
          </w:tcPr>
          <w:p w:rsidR="00540901" w:rsidRPr="00092B8A" w:rsidRDefault="00540901" w:rsidP="00594DF5">
            <w:pPr>
              <w:ind w:right="144"/>
              <w:jc w:val="right"/>
              <w:rPr>
                <w:sz w:val="20"/>
                <w:lang w:val="es-ES"/>
              </w:rPr>
            </w:pPr>
            <w:r w:rsidRPr="00092B8A">
              <w:rPr>
                <w:sz w:val="20"/>
                <w:lang w:val="es-ES"/>
              </w:rPr>
              <w:t>440,3</w:t>
            </w:r>
          </w:p>
        </w:tc>
        <w:tc>
          <w:tcPr>
            <w:tcW w:w="1167" w:type="dxa"/>
            <w:tcBorders>
              <w:top w:val="nil"/>
              <w:left w:val="nil"/>
              <w:bottom w:val="single" w:sz="4" w:space="0" w:color="auto"/>
              <w:right w:val="single" w:sz="4" w:space="0" w:color="auto"/>
            </w:tcBorders>
            <w:shd w:val="clear" w:color="auto" w:fill="auto"/>
            <w:noWrap/>
            <w:vAlign w:val="center"/>
            <w:hideMark/>
          </w:tcPr>
          <w:p w:rsidR="00540901" w:rsidRPr="00092B8A" w:rsidRDefault="00540901" w:rsidP="00594DF5">
            <w:pPr>
              <w:ind w:right="144"/>
              <w:jc w:val="right"/>
              <w:rPr>
                <w:sz w:val="20"/>
                <w:lang w:val="es-ES"/>
              </w:rPr>
            </w:pPr>
            <w:r w:rsidRPr="00092B8A">
              <w:rPr>
                <w:sz w:val="20"/>
                <w:lang w:val="es-ES"/>
              </w:rPr>
              <w:t>310,2</w:t>
            </w:r>
          </w:p>
        </w:tc>
        <w:tc>
          <w:tcPr>
            <w:tcW w:w="1007" w:type="dxa"/>
            <w:tcBorders>
              <w:top w:val="nil"/>
              <w:left w:val="nil"/>
              <w:bottom w:val="single" w:sz="4" w:space="0" w:color="auto"/>
              <w:right w:val="single" w:sz="4" w:space="0" w:color="auto"/>
            </w:tcBorders>
            <w:shd w:val="clear" w:color="auto" w:fill="auto"/>
            <w:noWrap/>
            <w:vAlign w:val="center"/>
            <w:hideMark/>
          </w:tcPr>
          <w:p w:rsidR="00540901" w:rsidRPr="00092B8A" w:rsidRDefault="00540901" w:rsidP="00594DF5">
            <w:pPr>
              <w:ind w:right="144"/>
              <w:jc w:val="right"/>
              <w:rPr>
                <w:sz w:val="20"/>
                <w:lang w:val="es-ES"/>
              </w:rPr>
            </w:pPr>
            <w:r w:rsidRPr="00092B8A">
              <w:rPr>
                <w:sz w:val="20"/>
                <w:lang w:val="es-ES"/>
              </w:rPr>
              <w:t>12,1</w:t>
            </w:r>
          </w:p>
        </w:tc>
        <w:tc>
          <w:tcPr>
            <w:tcW w:w="882" w:type="dxa"/>
            <w:tcBorders>
              <w:top w:val="nil"/>
              <w:left w:val="nil"/>
              <w:bottom w:val="single" w:sz="4" w:space="0" w:color="auto"/>
              <w:right w:val="single" w:sz="4" w:space="0" w:color="auto"/>
            </w:tcBorders>
            <w:shd w:val="clear" w:color="auto" w:fill="auto"/>
            <w:noWrap/>
            <w:vAlign w:val="center"/>
            <w:hideMark/>
          </w:tcPr>
          <w:p w:rsidR="00540901" w:rsidRPr="00092B8A" w:rsidRDefault="00540901" w:rsidP="00594DF5">
            <w:pPr>
              <w:ind w:right="144"/>
              <w:jc w:val="right"/>
              <w:rPr>
                <w:sz w:val="20"/>
                <w:lang w:val="es-ES"/>
              </w:rPr>
            </w:pPr>
            <w:r w:rsidRPr="00092B8A">
              <w:rPr>
                <w:sz w:val="20"/>
                <w:lang w:val="es-ES"/>
              </w:rPr>
              <w:t>450,8</w:t>
            </w:r>
          </w:p>
        </w:tc>
        <w:tc>
          <w:tcPr>
            <w:tcW w:w="898" w:type="dxa"/>
            <w:tcBorders>
              <w:top w:val="nil"/>
              <w:left w:val="nil"/>
              <w:bottom w:val="single" w:sz="4" w:space="0" w:color="auto"/>
              <w:right w:val="single" w:sz="4" w:space="0" w:color="auto"/>
            </w:tcBorders>
            <w:shd w:val="clear" w:color="auto" w:fill="auto"/>
            <w:noWrap/>
            <w:vAlign w:val="center"/>
            <w:hideMark/>
          </w:tcPr>
          <w:p w:rsidR="00540901" w:rsidRPr="00092B8A" w:rsidRDefault="00540901" w:rsidP="00594DF5">
            <w:pPr>
              <w:ind w:right="144"/>
              <w:jc w:val="right"/>
              <w:rPr>
                <w:sz w:val="20"/>
                <w:lang w:val="es-ES"/>
              </w:rPr>
            </w:pPr>
            <w:r w:rsidRPr="00092B8A">
              <w:rPr>
                <w:sz w:val="20"/>
                <w:lang w:val="es-ES"/>
              </w:rPr>
              <w:t>12,4</w:t>
            </w:r>
          </w:p>
        </w:tc>
        <w:tc>
          <w:tcPr>
            <w:tcW w:w="990" w:type="dxa"/>
            <w:tcBorders>
              <w:top w:val="nil"/>
              <w:left w:val="nil"/>
              <w:bottom w:val="single" w:sz="4" w:space="0" w:color="auto"/>
              <w:right w:val="single" w:sz="4" w:space="0" w:color="auto"/>
            </w:tcBorders>
            <w:shd w:val="clear" w:color="auto" w:fill="auto"/>
            <w:noWrap/>
            <w:vAlign w:val="center"/>
            <w:hideMark/>
          </w:tcPr>
          <w:p w:rsidR="00540901" w:rsidRPr="00092B8A" w:rsidRDefault="00540901" w:rsidP="00594DF5">
            <w:pPr>
              <w:ind w:right="144"/>
              <w:jc w:val="right"/>
              <w:rPr>
                <w:sz w:val="20"/>
                <w:lang w:val="es-ES"/>
              </w:rPr>
            </w:pPr>
            <w:r w:rsidRPr="00092B8A">
              <w:rPr>
                <w:sz w:val="20"/>
                <w:lang w:val="es-ES"/>
              </w:rPr>
              <w:t>0</w:t>
            </w:r>
            <w:r w:rsidR="00594DF5" w:rsidRPr="00092B8A">
              <w:rPr>
                <w:sz w:val="20"/>
                <w:lang w:val="es-ES"/>
              </w:rPr>
              <w:t>,0</w:t>
            </w:r>
          </w:p>
        </w:tc>
        <w:tc>
          <w:tcPr>
            <w:tcW w:w="990" w:type="dxa"/>
            <w:tcBorders>
              <w:top w:val="nil"/>
              <w:left w:val="nil"/>
              <w:bottom w:val="single" w:sz="4" w:space="0" w:color="auto"/>
              <w:right w:val="single" w:sz="4" w:space="0" w:color="auto"/>
            </w:tcBorders>
            <w:shd w:val="clear" w:color="auto" w:fill="auto"/>
            <w:noWrap/>
            <w:vAlign w:val="center"/>
            <w:hideMark/>
          </w:tcPr>
          <w:p w:rsidR="00540901" w:rsidRPr="00092B8A" w:rsidRDefault="00540901" w:rsidP="00594DF5">
            <w:pPr>
              <w:ind w:right="144"/>
              <w:jc w:val="right"/>
              <w:rPr>
                <w:sz w:val="20"/>
                <w:lang w:val="es-ES"/>
              </w:rPr>
            </w:pPr>
            <w:r w:rsidRPr="00092B8A">
              <w:rPr>
                <w:sz w:val="20"/>
                <w:lang w:val="es-ES"/>
              </w:rPr>
              <w:t>1.225,8</w:t>
            </w:r>
          </w:p>
        </w:tc>
        <w:tc>
          <w:tcPr>
            <w:tcW w:w="839" w:type="dxa"/>
            <w:tcBorders>
              <w:top w:val="nil"/>
              <w:left w:val="nil"/>
              <w:bottom w:val="single" w:sz="4" w:space="0" w:color="auto"/>
              <w:right w:val="single" w:sz="4" w:space="0" w:color="auto"/>
            </w:tcBorders>
            <w:shd w:val="clear" w:color="auto" w:fill="auto"/>
            <w:noWrap/>
            <w:vAlign w:val="center"/>
            <w:hideMark/>
          </w:tcPr>
          <w:p w:rsidR="00540901" w:rsidRPr="00092B8A" w:rsidRDefault="00540901" w:rsidP="00594DF5">
            <w:pPr>
              <w:ind w:right="144"/>
              <w:jc w:val="right"/>
              <w:rPr>
                <w:sz w:val="20"/>
                <w:lang w:val="es-ES"/>
              </w:rPr>
            </w:pPr>
            <w:r w:rsidRPr="00092B8A">
              <w:rPr>
                <w:sz w:val="20"/>
                <w:lang w:val="es-ES"/>
              </w:rPr>
              <w:t>5,2%</w:t>
            </w:r>
          </w:p>
        </w:tc>
      </w:tr>
      <w:tr w:rsidR="00737791" w:rsidRPr="00092B8A" w:rsidTr="00737791">
        <w:trPr>
          <w:trHeight w:val="20"/>
          <w:jc w:val="center"/>
        </w:trPr>
        <w:tc>
          <w:tcPr>
            <w:tcW w:w="2257" w:type="dxa"/>
            <w:tcBorders>
              <w:top w:val="nil"/>
              <w:left w:val="single" w:sz="4" w:space="0" w:color="auto"/>
              <w:bottom w:val="single" w:sz="4" w:space="0" w:color="auto"/>
              <w:right w:val="single" w:sz="4" w:space="0" w:color="auto"/>
            </w:tcBorders>
            <w:shd w:val="clear" w:color="auto" w:fill="auto"/>
            <w:vAlign w:val="center"/>
            <w:hideMark/>
          </w:tcPr>
          <w:p w:rsidR="00540901" w:rsidRPr="00092B8A" w:rsidRDefault="00540901" w:rsidP="00FF3E90">
            <w:pPr>
              <w:rPr>
                <w:sz w:val="20"/>
                <w:lang w:val="es-ES"/>
              </w:rPr>
            </w:pPr>
            <w:r w:rsidRPr="00092B8A">
              <w:rPr>
                <w:sz w:val="20"/>
                <w:lang w:val="es-ES"/>
              </w:rPr>
              <w:t>Colectora Secundaria (km)</w:t>
            </w:r>
          </w:p>
        </w:tc>
        <w:tc>
          <w:tcPr>
            <w:tcW w:w="931" w:type="dxa"/>
            <w:tcBorders>
              <w:top w:val="nil"/>
              <w:left w:val="nil"/>
              <w:bottom w:val="single" w:sz="4" w:space="0" w:color="auto"/>
              <w:right w:val="single" w:sz="4" w:space="0" w:color="auto"/>
            </w:tcBorders>
            <w:shd w:val="clear" w:color="auto" w:fill="auto"/>
            <w:noWrap/>
            <w:vAlign w:val="center"/>
            <w:hideMark/>
          </w:tcPr>
          <w:p w:rsidR="00540901" w:rsidRPr="00092B8A" w:rsidRDefault="00540901" w:rsidP="00594DF5">
            <w:pPr>
              <w:ind w:right="144"/>
              <w:jc w:val="right"/>
              <w:rPr>
                <w:sz w:val="20"/>
                <w:lang w:val="es-ES"/>
              </w:rPr>
            </w:pPr>
            <w:r w:rsidRPr="00092B8A">
              <w:rPr>
                <w:sz w:val="20"/>
                <w:lang w:val="es-ES"/>
              </w:rPr>
              <w:t>98,2</w:t>
            </w:r>
          </w:p>
        </w:tc>
        <w:tc>
          <w:tcPr>
            <w:tcW w:w="1167" w:type="dxa"/>
            <w:tcBorders>
              <w:top w:val="nil"/>
              <w:left w:val="nil"/>
              <w:bottom w:val="single" w:sz="4" w:space="0" w:color="auto"/>
              <w:right w:val="single" w:sz="4" w:space="0" w:color="auto"/>
            </w:tcBorders>
            <w:shd w:val="clear" w:color="auto" w:fill="auto"/>
            <w:noWrap/>
            <w:vAlign w:val="center"/>
            <w:hideMark/>
          </w:tcPr>
          <w:p w:rsidR="00540901" w:rsidRPr="00092B8A" w:rsidRDefault="00540901" w:rsidP="00594DF5">
            <w:pPr>
              <w:ind w:right="144"/>
              <w:jc w:val="right"/>
              <w:rPr>
                <w:sz w:val="20"/>
                <w:lang w:val="es-ES"/>
              </w:rPr>
            </w:pPr>
            <w:r w:rsidRPr="00092B8A">
              <w:rPr>
                <w:sz w:val="20"/>
                <w:lang w:val="es-ES"/>
              </w:rPr>
              <w:t>262,4</w:t>
            </w:r>
          </w:p>
        </w:tc>
        <w:tc>
          <w:tcPr>
            <w:tcW w:w="1007" w:type="dxa"/>
            <w:tcBorders>
              <w:top w:val="nil"/>
              <w:left w:val="nil"/>
              <w:bottom w:val="single" w:sz="4" w:space="0" w:color="auto"/>
              <w:right w:val="single" w:sz="4" w:space="0" w:color="auto"/>
            </w:tcBorders>
            <w:shd w:val="clear" w:color="auto" w:fill="auto"/>
            <w:noWrap/>
            <w:vAlign w:val="center"/>
            <w:hideMark/>
          </w:tcPr>
          <w:p w:rsidR="00540901" w:rsidRPr="00092B8A" w:rsidRDefault="00540901" w:rsidP="00594DF5">
            <w:pPr>
              <w:ind w:right="144"/>
              <w:jc w:val="right"/>
              <w:rPr>
                <w:sz w:val="20"/>
                <w:lang w:val="es-ES"/>
              </w:rPr>
            </w:pPr>
            <w:r w:rsidRPr="00092B8A">
              <w:rPr>
                <w:sz w:val="20"/>
                <w:lang w:val="es-ES"/>
              </w:rPr>
              <w:t>13,8</w:t>
            </w:r>
          </w:p>
        </w:tc>
        <w:tc>
          <w:tcPr>
            <w:tcW w:w="882" w:type="dxa"/>
            <w:tcBorders>
              <w:top w:val="nil"/>
              <w:left w:val="nil"/>
              <w:bottom w:val="single" w:sz="4" w:space="0" w:color="auto"/>
              <w:right w:val="single" w:sz="4" w:space="0" w:color="auto"/>
            </w:tcBorders>
            <w:shd w:val="clear" w:color="auto" w:fill="auto"/>
            <w:noWrap/>
            <w:vAlign w:val="center"/>
            <w:hideMark/>
          </w:tcPr>
          <w:p w:rsidR="00540901" w:rsidRPr="00092B8A" w:rsidRDefault="00540901" w:rsidP="00594DF5">
            <w:pPr>
              <w:ind w:right="144"/>
              <w:jc w:val="right"/>
              <w:rPr>
                <w:sz w:val="20"/>
                <w:lang w:val="es-ES"/>
              </w:rPr>
            </w:pPr>
            <w:r w:rsidRPr="00092B8A">
              <w:rPr>
                <w:sz w:val="20"/>
                <w:lang w:val="es-ES"/>
              </w:rPr>
              <w:t>1.647,8</w:t>
            </w:r>
          </w:p>
        </w:tc>
        <w:tc>
          <w:tcPr>
            <w:tcW w:w="898" w:type="dxa"/>
            <w:tcBorders>
              <w:top w:val="nil"/>
              <w:left w:val="nil"/>
              <w:bottom w:val="single" w:sz="4" w:space="0" w:color="auto"/>
              <w:right w:val="single" w:sz="4" w:space="0" w:color="auto"/>
            </w:tcBorders>
            <w:shd w:val="clear" w:color="auto" w:fill="auto"/>
            <w:noWrap/>
            <w:vAlign w:val="center"/>
            <w:hideMark/>
          </w:tcPr>
          <w:p w:rsidR="00540901" w:rsidRPr="00092B8A" w:rsidRDefault="00540901" w:rsidP="00594DF5">
            <w:pPr>
              <w:ind w:right="144"/>
              <w:jc w:val="right"/>
              <w:rPr>
                <w:sz w:val="20"/>
                <w:lang w:val="es-ES"/>
              </w:rPr>
            </w:pPr>
            <w:r w:rsidRPr="00092B8A">
              <w:rPr>
                <w:sz w:val="20"/>
                <w:lang w:val="es-ES"/>
              </w:rPr>
              <w:t>595,2</w:t>
            </w:r>
          </w:p>
        </w:tc>
        <w:tc>
          <w:tcPr>
            <w:tcW w:w="990" w:type="dxa"/>
            <w:tcBorders>
              <w:top w:val="nil"/>
              <w:left w:val="nil"/>
              <w:bottom w:val="single" w:sz="4" w:space="0" w:color="auto"/>
              <w:right w:val="single" w:sz="4" w:space="0" w:color="auto"/>
            </w:tcBorders>
            <w:shd w:val="clear" w:color="auto" w:fill="auto"/>
            <w:noWrap/>
            <w:vAlign w:val="center"/>
            <w:hideMark/>
          </w:tcPr>
          <w:p w:rsidR="00540901" w:rsidRPr="00092B8A" w:rsidRDefault="00540901" w:rsidP="00594DF5">
            <w:pPr>
              <w:ind w:right="144"/>
              <w:jc w:val="right"/>
              <w:rPr>
                <w:sz w:val="20"/>
                <w:lang w:val="es-ES"/>
              </w:rPr>
            </w:pPr>
            <w:r w:rsidRPr="00092B8A">
              <w:rPr>
                <w:sz w:val="20"/>
                <w:lang w:val="es-ES"/>
              </w:rPr>
              <w:t>92,7</w:t>
            </w:r>
          </w:p>
        </w:tc>
        <w:tc>
          <w:tcPr>
            <w:tcW w:w="990" w:type="dxa"/>
            <w:tcBorders>
              <w:top w:val="nil"/>
              <w:left w:val="nil"/>
              <w:bottom w:val="single" w:sz="4" w:space="0" w:color="auto"/>
              <w:right w:val="single" w:sz="4" w:space="0" w:color="auto"/>
            </w:tcBorders>
            <w:shd w:val="clear" w:color="auto" w:fill="auto"/>
            <w:noWrap/>
            <w:vAlign w:val="center"/>
            <w:hideMark/>
          </w:tcPr>
          <w:p w:rsidR="00540901" w:rsidRPr="00092B8A" w:rsidRDefault="00540901" w:rsidP="00594DF5">
            <w:pPr>
              <w:ind w:right="144"/>
              <w:jc w:val="right"/>
              <w:rPr>
                <w:sz w:val="20"/>
                <w:lang w:val="es-ES"/>
              </w:rPr>
            </w:pPr>
            <w:r w:rsidRPr="00092B8A">
              <w:rPr>
                <w:sz w:val="20"/>
                <w:lang w:val="es-ES"/>
              </w:rPr>
              <w:t>2.710,2</w:t>
            </w:r>
          </w:p>
        </w:tc>
        <w:tc>
          <w:tcPr>
            <w:tcW w:w="839" w:type="dxa"/>
            <w:tcBorders>
              <w:top w:val="nil"/>
              <w:left w:val="nil"/>
              <w:bottom w:val="single" w:sz="4" w:space="0" w:color="auto"/>
              <w:right w:val="single" w:sz="4" w:space="0" w:color="auto"/>
            </w:tcBorders>
            <w:shd w:val="clear" w:color="auto" w:fill="auto"/>
            <w:noWrap/>
            <w:vAlign w:val="center"/>
            <w:hideMark/>
          </w:tcPr>
          <w:p w:rsidR="00540901" w:rsidRPr="00092B8A" w:rsidRDefault="00540901" w:rsidP="00594DF5">
            <w:pPr>
              <w:ind w:right="144"/>
              <w:jc w:val="right"/>
              <w:rPr>
                <w:sz w:val="20"/>
                <w:lang w:val="es-ES"/>
              </w:rPr>
            </w:pPr>
            <w:r w:rsidRPr="00092B8A">
              <w:rPr>
                <w:sz w:val="20"/>
                <w:lang w:val="es-ES"/>
              </w:rPr>
              <w:t>11,5%</w:t>
            </w:r>
          </w:p>
        </w:tc>
      </w:tr>
      <w:tr w:rsidR="00737791" w:rsidRPr="00092B8A" w:rsidTr="00737791">
        <w:trPr>
          <w:trHeight w:val="20"/>
          <w:jc w:val="center"/>
        </w:trPr>
        <w:tc>
          <w:tcPr>
            <w:tcW w:w="2257" w:type="dxa"/>
            <w:tcBorders>
              <w:top w:val="nil"/>
              <w:left w:val="single" w:sz="4" w:space="0" w:color="auto"/>
              <w:bottom w:val="single" w:sz="4" w:space="0" w:color="auto"/>
              <w:right w:val="single" w:sz="4" w:space="0" w:color="auto"/>
            </w:tcBorders>
            <w:shd w:val="clear" w:color="auto" w:fill="auto"/>
            <w:vAlign w:val="center"/>
            <w:hideMark/>
          </w:tcPr>
          <w:p w:rsidR="00540901" w:rsidRPr="00092B8A" w:rsidRDefault="00540901" w:rsidP="00FF3E90">
            <w:pPr>
              <w:rPr>
                <w:sz w:val="20"/>
                <w:lang w:val="es-ES"/>
              </w:rPr>
            </w:pPr>
            <w:r w:rsidRPr="00092B8A">
              <w:rPr>
                <w:sz w:val="20"/>
                <w:lang w:val="es-ES"/>
              </w:rPr>
              <w:t>Camino Vecinal (km)</w:t>
            </w:r>
          </w:p>
        </w:tc>
        <w:tc>
          <w:tcPr>
            <w:tcW w:w="931" w:type="dxa"/>
            <w:tcBorders>
              <w:top w:val="nil"/>
              <w:left w:val="nil"/>
              <w:bottom w:val="single" w:sz="4" w:space="0" w:color="auto"/>
              <w:right w:val="single" w:sz="4" w:space="0" w:color="auto"/>
            </w:tcBorders>
            <w:shd w:val="clear" w:color="auto" w:fill="auto"/>
            <w:noWrap/>
            <w:vAlign w:val="center"/>
            <w:hideMark/>
          </w:tcPr>
          <w:p w:rsidR="00540901" w:rsidRPr="00092B8A" w:rsidRDefault="00540901" w:rsidP="00594DF5">
            <w:pPr>
              <w:ind w:right="144"/>
              <w:jc w:val="right"/>
              <w:rPr>
                <w:sz w:val="20"/>
                <w:lang w:val="es-ES"/>
              </w:rPr>
            </w:pPr>
            <w:r w:rsidRPr="00092B8A">
              <w:rPr>
                <w:sz w:val="20"/>
                <w:lang w:val="es-ES"/>
              </w:rPr>
              <w:t>134,4</w:t>
            </w:r>
          </w:p>
        </w:tc>
        <w:tc>
          <w:tcPr>
            <w:tcW w:w="1167" w:type="dxa"/>
            <w:tcBorders>
              <w:top w:val="nil"/>
              <w:left w:val="nil"/>
              <w:bottom w:val="single" w:sz="4" w:space="0" w:color="auto"/>
              <w:right w:val="single" w:sz="4" w:space="0" w:color="auto"/>
            </w:tcBorders>
            <w:shd w:val="clear" w:color="auto" w:fill="auto"/>
            <w:noWrap/>
            <w:vAlign w:val="center"/>
            <w:hideMark/>
          </w:tcPr>
          <w:p w:rsidR="00540901" w:rsidRPr="00092B8A" w:rsidRDefault="00540901" w:rsidP="00594DF5">
            <w:pPr>
              <w:ind w:right="144"/>
              <w:jc w:val="right"/>
              <w:rPr>
                <w:sz w:val="20"/>
                <w:lang w:val="es-ES"/>
              </w:rPr>
            </w:pPr>
            <w:r w:rsidRPr="00092B8A">
              <w:rPr>
                <w:sz w:val="20"/>
                <w:lang w:val="es-ES"/>
              </w:rPr>
              <w:t>149,8</w:t>
            </w:r>
          </w:p>
        </w:tc>
        <w:tc>
          <w:tcPr>
            <w:tcW w:w="1007" w:type="dxa"/>
            <w:tcBorders>
              <w:top w:val="nil"/>
              <w:left w:val="nil"/>
              <w:bottom w:val="single" w:sz="4" w:space="0" w:color="auto"/>
              <w:right w:val="single" w:sz="4" w:space="0" w:color="auto"/>
            </w:tcBorders>
            <w:shd w:val="clear" w:color="auto" w:fill="auto"/>
            <w:noWrap/>
            <w:vAlign w:val="center"/>
            <w:hideMark/>
          </w:tcPr>
          <w:p w:rsidR="00540901" w:rsidRPr="00092B8A" w:rsidRDefault="00540901" w:rsidP="00594DF5">
            <w:pPr>
              <w:ind w:right="144"/>
              <w:jc w:val="right"/>
              <w:rPr>
                <w:sz w:val="20"/>
                <w:lang w:val="es-ES"/>
              </w:rPr>
            </w:pPr>
            <w:r w:rsidRPr="00092B8A">
              <w:rPr>
                <w:sz w:val="20"/>
                <w:lang w:val="es-ES"/>
              </w:rPr>
              <w:t>12,8</w:t>
            </w:r>
          </w:p>
        </w:tc>
        <w:tc>
          <w:tcPr>
            <w:tcW w:w="882" w:type="dxa"/>
            <w:tcBorders>
              <w:top w:val="nil"/>
              <w:left w:val="nil"/>
              <w:bottom w:val="single" w:sz="4" w:space="0" w:color="auto"/>
              <w:right w:val="single" w:sz="4" w:space="0" w:color="auto"/>
            </w:tcBorders>
            <w:shd w:val="clear" w:color="auto" w:fill="auto"/>
            <w:noWrap/>
            <w:vAlign w:val="center"/>
            <w:hideMark/>
          </w:tcPr>
          <w:p w:rsidR="00540901" w:rsidRPr="00092B8A" w:rsidRDefault="00540901" w:rsidP="00594DF5">
            <w:pPr>
              <w:ind w:right="144"/>
              <w:jc w:val="right"/>
              <w:rPr>
                <w:sz w:val="20"/>
                <w:lang w:val="es-ES"/>
              </w:rPr>
            </w:pPr>
            <w:r w:rsidRPr="00092B8A">
              <w:rPr>
                <w:sz w:val="20"/>
                <w:lang w:val="es-ES"/>
              </w:rPr>
              <w:t>1.187,3</w:t>
            </w:r>
          </w:p>
        </w:tc>
        <w:tc>
          <w:tcPr>
            <w:tcW w:w="898" w:type="dxa"/>
            <w:tcBorders>
              <w:top w:val="nil"/>
              <w:left w:val="nil"/>
              <w:bottom w:val="single" w:sz="4" w:space="0" w:color="auto"/>
              <w:right w:val="single" w:sz="4" w:space="0" w:color="auto"/>
            </w:tcBorders>
            <w:shd w:val="clear" w:color="auto" w:fill="auto"/>
            <w:noWrap/>
            <w:vAlign w:val="center"/>
            <w:hideMark/>
          </w:tcPr>
          <w:p w:rsidR="00540901" w:rsidRPr="00092B8A" w:rsidRDefault="00540901" w:rsidP="00594DF5">
            <w:pPr>
              <w:ind w:right="144"/>
              <w:jc w:val="right"/>
              <w:rPr>
                <w:sz w:val="20"/>
                <w:lang w:val="es-ES"/>
              </w:rPr>
            </w:pPr>
            <w:r w:rsidRPr="00092B8A">
              <w:rPr>
                <w:sz w:val="20"/>
                <w:lang w:val="es-ES"/>
              </w:rPr>
              <w:t>9.113,6</w:t>
            </w:r>
          </w:p>
        </w:tc>
        <w:tc>
          <w:tcPr>
            <w:tcW w:w="990" w:type="dxa"/>
            <w:tcBorders>
              <w:top w:val="nil"/>
              <w:left w:val="nil"/>
              <w:bottom w:val="single" w:sz="4" w:space="0" w:color="auto"/>
              <w:right w:val="single" w:sz="4" w:space="0" w:color="auto"/>
            </w:tcBorders>
            <w:shd w:val="clear" w:color="auto" w:fill="auto"/>
            <w:noWrap/>
            <w:vAlign w:val="center"/>
            <w:hideMark/>
          </w:tcPr>
          <w:p w:rsidR="00540901" w:rsidRPr="00092B8A" w:rsidRDefault="00540901" w:rsidP="00594DF5">
            <w:pPr>
              <w:ind w:right="144"/>
              <w:jc w:val="right"/>
              <w:rPr>
                <w:sz w:val="20"/>
                <w:lang w:val="es-ES"/>
              </w:rPr>
            </w:pPr>
            <w:r w:rsidRPr="00092B8A">
              <w:rPr>
                <w:sz w:val="20"/>
                <w:lang w:val="es-ES"/>
              </w:rPr>
              <w:t>7.031,5</w:t>
            </w:r>
          </w:p>
        </w:tc>
        <w:tc>
          <w:tcPr>
            <w:tcW w:w="990" w:type="dxa"/>
            <w:tcBorders>
              <w:top w:val="nil"/>
              <w:left w:val="nil"/>
              <w:bottom w:val="single" w:sz="4" w:space="0" w:color="auto"/>
              <w:right w:val="single" w:sz="4" w:space="0" w:color="auto"/>
            </w:tcBorders>
            <w:shd w:val="clear" w:color="auto" w:fill="auto"/>
            <w:noWrap/>
            <w:vAlign w:val="center"/>
            <w:hideMark/>
          </w:tcPr>
          <w:p w:rsidR="00540901" w:rsidRPr="00092B8A" w:rsidRDefault="00540901" w:rsidP="00594DF5">
            <w:pPr>
              <w:ind w:right="144"/>
              <w:jc w:val="right"/>
              <w:rPr>
                <w:sz w:val="20"/>
                <w:lang w:val="es-ES"/>
              </w:rPr>
            </w:pPr>
            <w:r w:rsidRPr="00092B8A">
              <w:rPr>
                <w:sz w:val="20"/>
                <w:lang w:val="es-ES"/>
              </w:rPr>
              <w:t>17.629,5</w:t>
            </w:r>
          </w:p>
        </w:tc>
        <w:tc>
          <w:tcPr>
            <w:tcW w:w="839" w:type="dxa"/>
            <w:tcBorders>
              <w:top w:val="nil"/>
              <w:left w:val="nil"/>
              <w:bottom w:val="single" w:sz="4" w:space="0" w:color="auto"/>
              <w:right w:val="single" w:sz="4" w:space="0" w:color="auto"/>
            </w:tcBorders>
            <w:shd w:val="clear" w:color="auto" w:fill="auto"/>
            <w:noWrap/>
            <w:vAlign w:val="center"/>
            <w:hideMark/>
          </w:tcPr>
          <w:p w:rsidR="00540901" w:rsidRPr="00092B8A" w:rsidRDefault="00540901" w:rsidP="00594DF5">
            <w:pPr>
              <w:ind w:right="144"/>
              <w:jc w:val="right"/>
              <w:rPr>
                <w:sz w:val="20"/>
                <w:lang w:val="es-ES"/>
              </w:rPr>
            </w:pPr>
            <w:r w:rsidRPr="00092B8A">
              <w:rPr>
                <w:sz w:val="20"/>
                <w:lang w:val="es-ES"/>
              </w:rPr>
              <w:t>74,6%</w:t>
            </w:r>
          </w:p>
        </w:tc>
      </w:tr>
      <w:tr w:rsidR="00737791" w:rsidRPr="00092B8A" w:rsidTr="00737791">
        <w:trPr>
          <w:trHeight w:val="20"/>
          <w:jc w:val="center"/>
        </w:trPr>
        <w:tc>
          <w:tcPr>
            <w:tcW w:w="2257" w:type="dxa"/>
            <w:tcBorders>
              <w:top w:val="nil"/>
              <w:left w:val="single" w:sz="4" w:space="0" w:color="auto"/>
              <w:bottom w:val="single" w:sz="4" w:space="0" w:color="auto"/>
              <w:right w:val="single" w:sz="4" w:space="0" w:color="auto"/>
            </w:tcBorders>
            <w:shd w:val="clear" w:color="auto" w:fill="D9D9D9"/>
            <w:vAlign w:val="center"/>
            <w:hideMark/>
          </w:tcPr>
          <w:p w:rsidR="00540901" w:rsidRPr="00092B8A" w:rsidRDefault="00540901" w:rsidP="00FF3E90">
            <w:pPr>
              <w:jc w:val="center"/>
              <w:rPr>
                <w:b/>
                <w:sz w:val="20"/>
                <w:lang w:val="es-ES"/>
              </w:rPr>
            </w:pPr>
            <w:r w:rsidRPr="00092B8A">
              <w:rPr>
                <w:b/>
                <w:sz w:val="20"/>
                <w:lang w:val="es-ES"/>
              </w:rPr>
              <w:t>TOTAL</w:t>
            </w:r>
          </w:p>
        </w:tc>
        <w:tc>
          <w:tcPr>
            <w:tcW w:w="931" w:type="dxa"/>
            <w:tcBorders>
              <w:top w:val="nil"/>
              <w:left w:val="nil"/>
              <w:bottom w:val="single" w:sz="4" w:space="0" w:color="auto"/>
              <w:right w:val="single" w:sz="4" w:space="0" w:color="auto"/>
            </w:tcBorders>
            <w:shd w:val="clear" w:color="auto" w:fill="D9D9D9"/>
            <w:noWrap/>
            <w:vAlign w:val="center"/>
            <w:hideMark/>
          </w:tcPr>
          <w:p w:rsidR="00540901" w:rsidRPr="00092B8A" w:rsidRDefault="00540901" w:rsidP="00594DF5">
            <w:pPr>
              <w:ind w:right="144"/>
              <w:jc w:val="right"/>
              <w:rPr>
                <w:b/>
                <w:sz w:val="20"/>
                <w:lang w:val="es-ES"/>
              </w:rPr>
            </w:pPr>
            <w:r w:rsidRPr="00092B8A">
              <w:rPr>
                <w:b/>
                <w:sz w:val="20"/>
                <w:lang w:val="es-ES"/>
              </w:rPr>
              <w:t>2.298,9</w:t>
            </w:r>
          </w:p>
        </w:tc>
        <w:tc>
          <w:tcPr>
            <w:tcW w:w="1167" w:type="dxa"/>
            <w:tcBorders>
              <w:top w:val="nil"/>
              <w:left w:val="nil"/>
              <w:bottom w:val="single" w:sz="4" w:space="0" w:color="auto"/>
              <w:right w:val="single" w:sz="4" w:space="0" w:color="auto"/>
            </w:tcBorders>
            <w:shd w:val="clear" w:color="auto" w:fill="D9D9D9"/>
            <w:noWrap/>
            <w:vAlign w:val="center"/>
            <w:hideMark/>
          </w:tcPr>
          <w:p w:rsidR="00540901" w:rsidRPr="00092B8A" w:rsidRDefault="00540901" w:rsidP="00594DF5">
            <w:pPr>
              <w:ind w:right="144"/>
              <w:jc w:val="right"/>
              <w:rPr>
                <w:b/>
                <w:sz w:val="20"/>
                <w:lang w:val="es-ES"/>
              </w:rPr>
            </w:pPr>
            <w:r w:rsidRPr="00092B8A">
              <w:rPr>
                <w:b/>
                <w:sz w:val="20"/>
                <w:lang w:val="es-ES"/>
              </w:rPr>
              <w:t>797,5</w:t>
            </w:r>
          </w:p>
        </w:tc>
        <w:tc>
          <w:tcPr>
            <w:tcW w:w="1007" w:type="dxa"/>
            <w:tcBorders>
              <w:top w:val="nil"/>
              <w:left w:val="nil"/>
              <w:bottom w:val="single" w:sz="4" w:space="0" w:color="auto"/>
              <w:right w:val="single" w:sz="4" w:space="0" w:color="auto"/>
            </w:tcBorders>
            <w:shd w:val="clear" w:color="auto" w:fill="D9D9D9"/>
            <w:noWrap/>
            <w:vAlign w:val="center"/>
            <w:hideMark/>
          </w:tcPr>
          <w:p w:rsidR="00540901" w:rsidRPr="00092B8A" w:rsidRDefault="00540901" w:rsidP="00594DF5">
            <w:pPr>
              <w:ind w:right="144"/>
              <w:jc w:val="right"/>
              <w:rPr>
                <w:b/>
                <w:sz w:val="20"/>
                <w:lang w:val="es-ES"/>
              </w:rPr>
            </w:pPr>
            <w:r w:rsidRPr="00092B8A">
              <w:rPr>
                <w:b/>
                <w:sz w:val="20"/>
                <w:lang w:val="es-ES"/>
              </w:rPr>
              <w:t>54,3</w:t>
            </w:r>
          </w:p>
        </w:tc>
        <w:tc>
          <w:tcPr>
            <w:tcW w:w="882" w:type="dxa"/>
            <w:tcBorders>
              <w:top w:val="nil"/>
              <w:left w:val="nil"/>
              <w:bottom w:val="single" w:sz="4" w:space="0" w:color="auto"/>
              <w:right w:val="single" w:sz="4" w:space="0" w:color="auto"/>
            </w:tcBorders>
            <w:shd w:val="clear" w:color="auto" w:fill="D9D9D9"/>
            <w:noWrap/>
            <w:vAlign w:val="center"/>
            <w:hideMark/>
          </w:tcPr>
          <w:p w:rsidR="00540901" w:rsidRPr="00092B8A" w:rsidRDefault="00540901" w:rsidP="00594DF5">
            <w:pPr>
              <w:ind w:right="144"/>
              <w:jc w:val="right"/>
              <w:rPr>
                <w:b/>
                <w:sz w:val="20"/>
                <w:lang w:val="es-ES"/>
              </w:rPr>
            </w:pPr>
            <w:r w:rsidRPr="00092B8A">
              <w:rPr>
                <w:b/>
                <w:sz w:val="20"/>
                <w:lang w:val="es-ES"/>
              </w:rPr>
              <w:t>3.650,8</w:t>
            </w:r>
          </w:p>
        </w:tc>
        <w:tc>
          <w:tcPr>
            <w:tcW w:w="898" w:type="dxa"/>
            <w:tcBorders>
              <w:top w:val="nil"/>
              <w:left w:val="nil"/>
              <w:bottom w:val="single" w:sz="4" w:space="0" w:color="auto"/>
              <w:right w:val="single" w:sz="4" w:space="0" w:color="auto"/>
            </w:tcBorders>
            <w:shd w:val="clear" w:color="auto" w:fill="D9D9D9"/>
            <w:noWrap/>
            <w:vAlign w:val="center"/>
            <w:hideMark/>
          </w:tcPr>
          <w:p w:rsidR="00540901" w:rsidRPr="00092B8A" w:rsidRDefault="00540901" w:rsidP="00594DF5">
            <w:pPr>
              <w:ind w:right="144"/>
              <w:jc w:val="right"/>
              <w:rPr>
                <w:b/>
                <w:sz w:val="20"/>
                <w:lang w:val="es-ES"/>
              </w:rPr>
            </w:pPr>
            <w:r w:rsidRPr="00092B8A">
              <w:rPr>
                <w:b/>
                <w:sz w:val="20"/>
                <w:lang w:val="es-ES"/>
              </w:rPr>
              <w:t>9.721,3</w:t>
            </w:r>
          </w:p>
        </w:tc>
        <w:tc>
          <w:tcPr>
            <w:tcW w:w="990" w:type="dxa"/>
            <w:tcBorders>
              <w:top w:val="nil"/>
              <w:left w:val="nil"/>
              <w:bottom w:val="single" w:sz="4" w:space="0" w:color="auto"/>
              <w:right w:val="single" w:sz="4" w:space="0" w:color="auto"/>
            </w:tcBorders>
            <w:shd w:val="clear" w:color="auto" w:fill="D9D9D9"/>
            <w:noWrap/>
            <w:vAlign w:val="center"/>
            <w:hideMark/>
          </w:tcPr>
          <w:p w:rsidR="00540901" w:rsidRPr="00092B8A" w:rsidRDefault="00540901" w:rsidP="00594DF5">
            <w:pPr>
              <w:ind w:right="144"/>
              <w:jc w:val="right"/>
              <w:rPr>
                <w:b/>
                <w:sz w:val="20"/>
                <w:lang w:val="es-ES"/>
              </w:rPr>
            </w:pPr>
            <w:r w:rsidRPr="00092B8A">
              <w:rPr>
                <w:b/>
                <w:sz w:val="20"/>
                <w:lang w:val="es-ES"/>
              </w:rPr>
              <w:t>7.124,2</w:t>
            </w:r>
          </w:p>
        </w:tc>
        <w:tc>
          <w:tcPr>
            <w:tcW w:w="990" w:type="dxa"/>
            <w:tcBorders>
              <w:top w:val="nil"/>
              <w:left w:val="nil"/>
              <w:bottom w:val="single" w:sz="4" w:space="0" w:color="auto"/>
              <w:right w:val="single" w:sz="4" w:space="0" w:color="auto"/>
            </w:tcBorders>
            <w:shd w:val="clear" w:color="auto" w:fill="D9D9D9"/>
            <w:noWrap/>
            <w:vAlign w:val="center"/>
            <w:hideMark/>
          </w:tcPr>
          <w:p w:rsidR="00540901" w:rsidRPr="00092B8A" w:rsidRDefault="00540901" w:rsidP="00594DF5">
            <w:pPr>
              <w:ind w:right="144"/>
              <w:jc w:val="right"/>
              <w:rPr>
                <w:b/>
                <w:sz w:val="20"/>
                <w:lang w:val="es-ES"/>
              </w:rPr>
            </w:pPr>
            <w:r w:rsidRPr="00092B8A">
              <w:rPr>
                <w:b/>
                <w:sz w:val="20"/>
                <w:lang w:val="es-ES"/>
              </w:rPr>
              <w:t>23.647,1</w:t>
            </w:r>
          </w:p>
        </w:tc>
        <w:tc>
          <w:tcPr>
            <w:tcW w:w="839" w:type="dxa"/>
            <w:tcBorders>
              <w:top w:val="nil"/>
              <w:left w:val="nil"/>
              <w:bottom w:val="single" w:sz="4" w:space="0" w:color="auto"/>
              <w:right w:val="single" w:sz="4" w:space="0" w:color="auto"/>
            </w:tcBorders>
            <w:shd w:val="clear" w:color="auto" w:fill="D9D9D9"/>
            <w:noWrap/>
            <w:vAlign w:val="center"/>
            <w:hideMark/>
          </w:tcPr>
          <w:p w:rsidR="00540901" w:rsidRPr="00092B8A" w:rsidRDefault="00540901" w:rsidP="00594DF5">
            <w:pPr>
              <w:ind w:right="144"/>
              <w:jc w:val="right"/>
              <w:rPr>
                <w:b/>
                <w:sz w:val="20"/>
                <w:lang w:val="es-ES"/>
              </w:rPr>
            </w:pPr>
            <w:r w:rsidRPr="00092B8A">
              <w:rPr>
                <w:b/>
                <w:sz w:val="20"/>
                <w:lang w:val="es-ES"/>
              </w:rPr>
              <w:t>100</w:t>
            </w:r>
            <w:r w:rsidR="00594DF5" w:rsidRPr="00092B8A">
              <w:rPr>
                <w:b/>
                <w:sz w:val="20"/>
                <w:lang w:val="es-ES"/>
              </w:rPr>
              <w:t>,0</w:t>
            </w:r>
            <w:r w:rsidRPr="00092B8A">
              <w:rPr>
                <w:b/>
                <w:sz w:val="20"/>
                <w:lang w:val="es-ES"/>
              </w:rPr>
              <w:t>%</w:t>
            </w:r>
          </w:p>
        </w:tc>
      </w:tr>
      <w:tr w:rsidR="00737791" w:rsidRPr="00092B8A" w:rsidTr="00737791">
        <w:trPr>
          <w:trHeight w:val="20"/>
          <w:jc w:val="center"/>
        </w:trPr>
        <w:tc>
          <w:tcPr>
            <w:tcW w:w="2257" w:type="dxa"/>
            <w:tcBorders>
              <w:top w:val="nil"/>
              <w:left w:val="single" w:sz="4" w:space="0" w:color="auto"/>
              <w:bottom w:val="single" w:sz="4" w:space="0" w:color="auto"/>
              <w:right w:val="single" w:sz="4" w:space="0" w:color="auto"/>
            </w:tcBorders>
            <w:shd w:val="clear" w:color="auto" w:fill="auto"/>
            <w:noWrap/>
            <w:vAlign w:val="center"/>
            <w:hideMark/>
          </w:tcPr>
          <w:p w:rsidR="00540901" w:rsidRPr="00092B8A" w:rsidRDefault="00540901" w:rsidP="00FF3E90">
            <w:pPr>
              <w:jc w:val="center"/>
              <w:rPr>
                <w:sz w:val="20"/>
                <w:lang w:val="es-ES"/>
              </w:rPr>
            </w:pPr>
            <w:r w:rsidRPr="00092B8A">
              <w:rPr>
                <w:sz w:val="20"/>
                <w:lang w:val="es-ES"/>
              </w:rPr>
              <w:t>%</w:t>
            </w:r>
          </w:p>
        </w:tc>
        <w:tc>
          <w:tcPr>
            <w:tcW w:w="931" w:type="dxa"/>
            <w:tcBorders>
              <w:top w:val="nil"/>
              <w:left w:val="nil"/>
              <w:bottom w:val="single" w:sz="4" w:space="0" w:color="auto"/>
              <w:right w:val="single" w:sz="4" w:space="0" w:color="auto"/>
            </w:tcBorders>
            <w:shd w:val="clear" w:color="auto" w:fill="auto"/>
            <w:noWrap/>
            <w:vAlign w:val="center"/>
            <w:hideMark/>
          </w:tcPr>
          <w:p w:rsidR="00540901" w:rsidRPr="00092B8A" w:rsidRDefault="00540901" w:rsidP="00FF3E90">
            <w:pPr>
              <w:jc w:val="center"/>
              <w:rPr>
                <w:sz w:val="20"/>
                <w:lang w:val="es-ES"/>
              </w:rPr>
            </w:pPr>
            <w:r w:rsidRPr="00092B8A">
              <w:rPr>
                <w:sz w:val="20"/>
                <w:lang w:val="es-ES"/>
              </w:rPr>
              <w:t>9,7%</w:t>
            </w:r>
          </w:p>
        </w:tc>
        <w:tc>
          <w:tcPr>
            <w:tcW w:w="1167" w:type="dxa"/>
            <w:tcBorders>
              <w:top w:val="nil"/>
              <w:left w:val="nil"/>
              <w:bottom w:val="single" w:sz="4" w:space="0" w:color="auto"/>
              <w:right w:val="single" w:sz="4" w:space="0" w:color="auto"/>
            </w:tcBorders>
            <w:shd w:val="clear" w:color="auto" w:fill="auto"/>
            <w:noWrap/>
            <w:vAlign w:val="center"/>
            <w:hideMark/>
          </w:tcPr>
          <w:p w:rsidR="00540901" w:rsidRPr="00092B8A" w:rsidRDefault="00540901" w:rsidP="00FF3E90">
            <w:pPr>
              <w:jc w:val="center"/>
              <w:rPr>
                <w:sz w:val="20"/>
                <w:lang w:val="es-ES"/>
              </w:rPr>
            </w:pPr>
            <w:r w:rsidRPr="00092B8A">
              <w:rPr>
                <w:sz w:val="20"/>
                <w:lang w:val="es-ES"/>
              </w:rPr>
              <w:t>3,4%</w:t>
            </w:r>
          </w:p>
        </w:tc>
        <w:tc>
          <w:tcPr>
            <w:tcW w:w="1007" w:type="dxa"/>
            <w:tcBorders>
              <w:top w:val="nil"/>
              <w:left w:val="nil"/>
              <w:bottom w:val="single" w:sz="4" w:space="0" w:color="auto"/>
              <w:right w:val="single" w:sz="4" w:space="0" w:color="auto"/>
            </w:tcBorders>
            <w:shd w:val="clear" w:color="auto" w:fill="auto"/>
            <w:noWrap/>
            <w:vAlign w:val="center"/>
            <w:hideMark/>
          </w:tcPr>
          <w:p w:rsidR="00540901" w:rsidRPr="00092B8A" w:rsidRDefault="00540901" w:rsidP="00FF3E90">
            <w:pPr>
              <w:jc w:val="center"/>
              <w:rPr>
                <w:sz w:val="20"/>
                <w:lang w:val="es-ES"/>
              </w:rPr>
            </w:pPr>
            <w:r w:rsidRPr="00092B8A">
              <w:rPr>
                <w:sz w:val="20"/>
                <w:lang w:val="es-ES"/>
              </w:rPr>
              <w:t>0,2%</w:t>
            </w:r>
          </w:p>
        </w:tc>
        <w:tc>
          <w:tcPr>
            <w:tcW w:w="882" w:type="dxa"/>
            <w:tcBorders>
              <w:top w:val="nil"/>
              <w:left w:val="nil"/>
              <w:bottom w:val="single" w:sz="4" w:space="0" w:color="auto"/>
              <w:right w:val="single" w:sz="4" w:space="0" w:color="auto"/>
            </w:tcBorders>
            <w:shd w:val="clear" w:color="auto" w:fill="auto"/>
            <w:noWrap/>
            <w:vAlign w:val="center"/>
            <w:hideMark/>
          </w:tcPr>
          <w:p w:rsidR="00540901" w:rsidRPr="00092B8A" w:rsidRDefault="00540901" w:rsidP="00FF3E90">
            <w:pPr>
              <w:jc w:val="center"/>
              <w:rPr>
                <w:sz w:val="20"/>
                <w:lang w:val="es-ES"/>
              </w:rPr>
            </w:pPr>
            <w:r w:rsidRPr="00092B8A">
              <w:rPr>
                <w:sz w:val="20"/>
                <w:lang w:val="es-ES"/>
              </w:rPr>
              <w:t>15,4%</w:t>
            </w:r>
          </w:p>
        </w:tc>
        <w:tc>
          <w:tcPr>
            <w:tcW w:w="898" w:type="dxa"/>
            <w:tcBorders>
              <w:top w:val="nil"/>
              <w:left w:val="nil"/>
              <w:bottom w:val="single" w:sz="4" w:space="0" w:color="auto"/>
              <w:right w:val="single" w:sz="4" w:space="0" w:color="auto"/>
            </w:tcBorders>
            <w:shd w:val="clear" w:color="auto" w:fill="auto"/>
            <w:noWrap/>
            <w:vAlign w:val="center"/>
            <w:hideMark/>
          </w:tcPr>
          <w:p w:rsidR="00540901" w:rsidRPr="00092B8A" w:rsidRDefault="00540901" w:rsidP="00FF3E90">
            <w:pPr>
              <w:jc w:val="center"/>
              <w:rPr>
                <w:sz w:val="20"/>
                <w:lang w:val="es-ES"/>
              </w:rPr>
            </w:pPr>
            <w:r w:rsidRPr="00092B8A">
              <w:rPr>
                <w:sz w:val="20"/>
                <w:lang w:val="es-ES"/>
              </w:rPr>
              <w:t>41,1%</w:t>
            </w:r>
          </w:p>
        </w:tc>
        <w:tc>
          <w:tcPr>
            <w:tcW w:w="990" w:type="dxa"/>
            <w:tcBorders>
              <w:top w:val="nil"/>
              <w:left w:val="nil"/>
              <w:bottom w:val="single" w:sz="4" w:space="0" w:color="auto"/>
              <w:right w:val="single" w:sz="4" w:space="0" w:color="auto"/>
            </w:tcBorders>
            <w:shd w:val="clear" w:color="auto" w:fill="auto"/>
            <w:noWrap/>
            <w:vAlign w:val="center"/>
            <w:hideMark/>
          </w:tcPr>
          <w:p w:rsidR="00540901" w:rsidRPr="00092B8A" w:rsidRDefault="00540901" w:rsidP="00FF3E90">
            <w:pPr>
              <w:jc w:val="center"/>
              <w:rPr>
                <w:sz w:val="20"/>
                <w:lang w:val="es-ES"/>
              </w:rPr>
            </w:pPr>
            <w:r w:rsidRPr="00092B8A">
              <w:rPr>
                <w:sz w:val="20"/>
                <w:lang w:val="es-ES"/>
              </w:rPr>
              <w:t>30,1%</w:t>
            </w:r>
          </w:p>
        </w:tc>
        <w:tc>
          <w:tcPr>
            <w:tcW w:w="990" w:type="dxa"/>
            <w:tcBorders>
              <w:top w:val="nil"/>
              <w:left w:val="nil"/>
              <w:bottom w:val="single" w:sz="4" w:space="0" w:color="auto"/>
              <w:right w:val="single" w:sz="4" w:space="0" w:color="auto"/>
            </w:tcBorders>
            <w:shd w:val="clear" w:color="auto" w:fill="auto"/>
            <w:noWrap/>
            <w:vAlign w:val="center"/>
            <w:hideMark/>
          </w:tcPr>
          <w:p w:rsidR="00540901" w:rsidRPr="00092B8A" w:rsidRDefault="00540901" w:rsidP="00FF3E90">
            <w:pPr>
              <w:jc w:val="center"/>
              <w:rPr>
                <w:sz w:val="20"/>
                <w:lang w:val="es-ES"/>
              </w:rPr>
            </w:pPr>
            <w:r w:rsidRPr="00092B8A">
              <w:rPr>
                <w:sz w:val="20"/>
                <w:lang w:val="es-ES"/>
              </w:rPr>
              <w:t>100%</w:t>
            </w:r>
          </w:p>
        </w:tc>
        <w:tc>
          <w:tcPr>
            <w:tcW w:w="839" w:type="dxa"/>
            <w:tcBorders>
              <w:top w:val="nil"/>
              <w:left w:val="nil"/>
              <w:bottom w:val="single" w:sz="4" w:space="0" w:color="auto"/>
              <w:right w:val="single" w:sz="4" w:space="0" w:color="auto"/>
            </w:tcBorders>
            <w:shd w:val="clear" w:color="auto" w:fill="auto"/>
            <w:noWrap/>
            <w:vAlign w:val="center"/>
            <w:hideMark/>
          </w:tcPr>
          <w:p w:rsidR="00540901" w:rsidRPr="00092B8A" w:rsidRDefault="00540901" w:rsidP="00FF3E90">
            <w:pPr>
              <w:jc w:val="center"/>
              <w:rPr>
                <w:sz w:val="20"/>
                <w:lang w:val="es-ES"/>
              </w:rPr>
            </w:pPr>
          </w:p>
        </w:tc>
      </w:tr>
    </w:tbl>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p w:rsidR="00293F5F" w:rsidRPr="00092B8A" w:rsidRDefault="008F0E86" w:rsidP="00293F5F">
      <w:pPr>
        <w:rPr>
          <w:sz w:val="20"/>
          <w:lang w:val="es-ES"/>
        </w:rPr>
      </w:pPr>
      <w:r w:rsidRPr="00092B8A">
        <w:rPr>
          <w:sz w:val="20"/>
          <w:lang w:val="es-ES"/>
        </w:rPr>
        <w:t>Fuente: MTI</w:t>
      </w:r>
    </w:p>
    <w:p w:rsidR="00293F5F" w:rsidRPr="00092B8A" w:rsidRDefault="001F6DED" w:rsidP="002C4B35">
      <w:pPr>
        <w:spacing w:before="200"/>
        <w:jc w:val="center"/>
        <w:rPr>
          <w:b/>
          <w:sz w:val="20"/>
          <w:lang w:val="es-ES"/>
        </w:rPr>
      </w:pPr>
      <w:r w:rsidRPr="00092B8A">
        <w:rPr>
          <w:b/>
          <w:sz w:val="20"/>
          <w:lang w:val="es-ES"/>
        </w:rPr>
        <w:t>Cuadro 2. Resumen de Estado de la Red Vial de Nicaragua 2011 - Consolidado por clasificación funcional</w:t>
      </w:r>
    </w:p>
    <w:tbl>
      <w:tblPr>
        <w:tblStyle w:val="TableGrid"/>
        <w:tblW w:w="9990" w:type="dxa"/>
        <w:jc w:val="center"/>
        <w:tblInd w:w="90" w:type="dxa"/>
        <w:tblLayout w:type="fixed"/>
        <w:tblCellMar>
          <w:top w:w="29" w:type="dxa"/>
          <w:left w:w="14" w:type="dxa"/>
          <w:bottom w:w="29" w:type="dxa"/>
          <w:right w:w="14" w:type="dxa"/>
        </w:tblCellMar>
        <w:tblLook w:val="04A0" w:firstRow="1" w:lastRow="0" w:firstColumn="1" w:lastColumn="0" w:noHBand="0" w:noVBand="1"/>
      </w:tblPr>
      <w:tblGrid>
        <w:gridCol w:w="1170"/>
        <w:gridCol w:w="1260"/>
        <w:gridCol w:w="1261"/>
        <w:gridCol w:w="1261"/>
        <w:gridCol w:w="1261"/>
        <w:gridCol w:w="1261"/>
        <w:gridCol w:w="1261"/>
        <w:gridCol w:w="1255"/>
      </w:tblGrid>
      <w:tr w:rsidR="001F6DED" w:rsidRPr="00092B8A" w:rsidTr="00737791">
        <w:trPr>
          <w:trHeight w:val="20"/>
          <w:jc w:val="center"/>
        </w:trPr>
        <w:tc>
          <w:tcPr>
            <w:tcW w:w="5000" w:type="pct"/>
            <w:gridSpan w:val="8"/>
            <w:shd w:val="clear" w:color="auto" w:fill="F2DBDB" w:themeFill="accent2" w:themeFillTint="33"/>
            <w:noWrap/>
            <w:vAlign w:val="center"/>
            <w:hideMark/>
          </w:tcPr>
          <w:p w:rsidR="001F6DED" w:rsidRPr="00092B8A" w:rsidRDefault="001F6DED" w:rsidP="001F6DED">
            <w:pPr>
              <w:jc w:val="center"/>
              <w:rPr>
                <w:b/>
                <w:sz w:val="20"/>
                <w:lang w:val="es-ES"/>
              </w:rPr>
            </w:pPr>
            <w:r w:rsidRPr="00092B8A">
              <w:rPr>
                <w:b/>
                <w:sz w:val="20"/>
                <w:lang w:val="es-ES"/>
              </w:rPr>
              <w:t>Red Total</w:t>
            </w:r>
            <w:r w:rsidR="00B45DB8" w:rsidRPr="00092B8A">
              <w:rPr>
                <w:b/>
                <w:sz w:val="20"/>
                <w:lang w:val="es-ES"/>
              </w:rPr>
              <w:t>: 23,647.10 km</w:t>
            </w:r>
          </w:p>
        </w:tc>
      </w:tr>
      <w:tr w:rsidR="00290FD5" w:rsidRPr="00092B8A" w:rsidTr="00737791">
        <w:trPr>
          <w:trHeight w:val="20"/>
          <w:jc w:val="center"/>
        </w:trPr>
        <w:tc>
          <w:tcPr>
            <w:tcW w:w="2477" w:type="pct"/>
            <w:gridSpan w:val="4"/>
            <w:shd w:val="clear" w:color="auto" w:fill="F2DBDB" w:themeFill="accent2" w:themeFillTint="33"/>
            <w:noWrap/>
            <w:vAlign w:val="center"/>
            <w:hideMark/>
          </w:tcPr>
          <w:p w:rsidR="001F6DED" w:rsidRPr="00092B8A" w:rsidRDefault="001F6DED" w:rsidP="001F6DED">
            <w:pPr>
              <w:jc w:val="center"/>
              <w:rPr>
                <w:b/>
                <w:sz w:val="20"/>
                <w:lang w:val="es-ES"/>
              </w:rPr>
            </w:pPr>
            <w:r w:rsidRPr="00092B8A">
              <w:rPr>
                <w:b/>
                <w:sz w:val="20"/>
                <w:lang w:val="es-ES"/>
              </w:rPr>
              <w:t>Red Básica</w:t>
            </w:r>
            <w:r w:rsidR="00B45DB8" w:rsidRPr="00092B8A">
              <w:rPr>
                <w:b/>
                <w:sz w:val="20"/>
                <w:lang w:val="es-ES"/>
              </w:rPr>
              <w:t>: 7,985.30 km</w:t>
            </w:r>
          </w:p>
        </w:tc>
        <w:tc>
          <w:tcPr>
            <w:tcW w:w="2523" w:type="pct"/>
            <w:gridSpan w:val="4"/>
            <w:shd w:val="clear" w:color="auto" w:fill="F2DBDB" w:themeFill="accent2" w:themeFillTint="33"/>
            <w:noWrap/>
            <w:vAlign w:val="center"/>
            <w:hideMark/>
          </w:tcPr>
          <w:p w:rsidR="001F6DED" w:rsidRPr="00092B8A" w:rsidRDefault="001F6DED" w:rsidP="001F6DED">
            <w:pPr>
              <w:jc w:val="center"/>
              <w:rPr>
                <w:b/>
                <w:sz w:val="20"/>
                <w:lang w:val="es-ES"/>
              </w:rPr>
            </w:pPr>
            <w:r w:rsidRPr="00092B8A">
              <w:rPr>
                <w:b/>
                <w:sz w:val="20"/>
                <w:lang w:val="es-ES"/>
              </w:rPr>
              <w:t>Red No Básica</w:t>
            </w:r>
            <w:r w:rsidR="00B45DB8" w:rsidRPr="00092B8A">
              <w:rPr>
                <w:b/>
                <w:sz w:val="20"/>
                <w:lang w:val="es-ES"/>
              </w:rPr>
              <w:t>: 15,661.80 km</w:t>
            </w:r>
          </w:p>
        </w:tc>
      </w:tr>
      <w:tr w:rsidR="00C11803" w:rsidRPr="00092B8A" w:rsidTr="00737791">
        <w:trPr>
          <w:trHeight w:val="20"/>
          <w:jc w:val="center"/>
        </w:trPr>
        <w:tc>
          <w:tcPr>
            <w:tcW w:w="1216" w:type="pct"/>
            <w:gridSpan w:val="2"/>
            <w:noWrap/>
            <w:vAlign w:val="center"/>
            <w:hideMark/>
          </w:tcPr>
          <w:p w:rsidR="001F6DED" w:rsidRPr="00092B8A" w:rsidRDefault="001F6DED" w:rsidP="001F6DED">
            <w:pPr>
              <w:jc w:val="center"/>
              <w:rPr>
                <w:sz w:val="20"/>
                <w:lang w:val="es-ES"/>
              </w:rPr>
            </w:pPr>
            <w:r w:rsidRPr="00092B8A">
              <w:rPr>
                <w:sz w:val="20"/>
                <w:lang w:val="es-ES"/>
              </w:rPr>
              <w:t>Pavimentada</w:t>
            </w:r>
          </w:p>
          <w:p w:rsidR="00B45DB8" w:rsidRPr="00092B8A" w:rsidRDefault="00B45DB8" w:rsidP="001F6DED">
            <w:pPr>
              <w:jc w:val="center"/>
              <w:rPr>
                <w:sz w:val="20"/>
                <w:lang w:val="es-ES"/>
              </w:rPr>
            </w:pPr>
            <w:r w:rsidRPr="00092B8A">
              <w:rPr>
                <w:sz w:val="20"/>
                <w:lang w:val="es-ES"/>
              </w:rPr>
              <w:t>2,777.60 km</w:t>
            </w:r>
          </w:p>
        </w:tc>
        <w:tc>
          <w:tcPr>
            <w:tcW w:w="1261" w:type="pct"/>
            <w:gridSpan w:val="2"/>
            <w:noWrap/>
            <w:vAlign w:val="center"/>
            <w:hideMark/>
          </w:tcPr>
          <w:p w:rsidR="001F6DED" w:rsidRPr="00092B8A" w:rsidRDefault="001F6DED" w:rsidP="001F6DED">
            <w:pPr>
              <w:jc w:val="center"/>
              <w:rPr>
                <w:sz w:val="20"/>
                <w:lang w:val="es-ES"/>
              </w:rPr>
            </w:pPr>
            <w:r w:rsidRPr="00092B8A">
              <w:rPr>
                <w:sz w:val="20"/>
                <w:lang w:val="es-ES"/>
              </w:rPr>
              <w:t>No Pavimentada</w:t>
            </w:r>
          </w:p>
          <w:p w:rsidR="00B45DB8" w:rsidRPr="00092B8A" w:rsidRDefault="00B45DB8" w:rsidP="001F6DED">
            <w:pPr>
              <w:jc w:val="center"/>
              <w:rPr>
                <w:sz w:val="20"/>
                <w:lang w:val="es-ES"/>
              </w:rPr>
            </w:pPr>
            <w:r w:rsidRPr="00092B8A">
              <w:rPr>
                <w:sz w:val="20"/>
                <w:lang w:val="es-ES"/>
              </w:rPr>
              <w:t>5,207.70 km</w:t>
            </w:r>
          </w:p>
        </w:tc>
        <w:tc>
          <w:tcPr>
            <w:tcW w:w="1261" w:type="pct"/>
            <w:gridSpan w:val="2"/>
            <w:noWrap/>
            <w:vAlign w:val="center"/>
            <w:hideMark/>
          </w:tcPr>
          <w:p w:rsidR="001F6DED" w:rsidRPr="00092B8A" w:rsidRDefault="001F6DED" w:rsidP="001F6DED">
            <w:pPr>
              <w:jc w:val="center"/>
              <w:rPr>
                <w:sz w:val="20"/>
                <w:lang w:val="es-ES"/>
              </w:rPr>
            </w:pPr>
            <w:r w:rsidRPr="00092B8A">
              <w:rPr>
                <w:sz w:val="20"/>
                <w:lang w:val="es-ES"/>
              </w:rPr>
              <w:t>Pavimentada</w:t>
            </w:r>
          </w:p>
          <w:p w:rsidR="00B45DB8" w:rsidRPr="00092B8A" w:rsidRDefault="00B45DB8" w:rsidP="001F6DED">
            <w:pPr>
              <w:jc w:val="center"/>
              <w:rPr>
                <w:sz w:val="20"/>
                <w:lang w:val="es-ES"/>
              </w:rPr>
            </w:pPr>
            <w:r w:rsidRPr="00092B8A">
              <w:rPr>
                <w:sz w:val="20"/>
                <w:lang w:val="es-ES"/>
              </w:rPr>
              <w:t>373.20 km</w:t>
            </w:r>
          </w:p>
        </w:tc>
        <w:tc>
          <w:tcPr>
            <w:tcW w:w="1261" w:type="pct"/>
            <w:gridSpan w:val="2"/>
            <w:noWrap/>
            <w:vAlign w:val="center"/>
            <w:hideMark/>
          </w:tcPr>
          <w:p w:rsidR="001F6DED" w:rsidRPr="00092B8A" w:rsidRDefault="001F6DED" w:rsidP="001F6DED">
            <w:pPr>
              <w:jc w:val="center"/>
              <w:rPr>
                <w:sz w:val="20"/>
                <w:lang w:val="es-ES"/>
              </w:rPr>
            </w:pPr>
            <w:r w:rsidRPr="00092B8A">
              <w:rPr>
                <w:sz w:val="20"/>
                <w:lang w:val="es-ES"/>
              </w:rPr>
              <w:t>No Pavimentada</w:t>
            </w:r>
          </w:p>
          <w:p w:rsidR="00B45DB8" w:rsidRPr="00092B8A" w:rsidRDefault="00B45DB8" w:rsidP="001F6DED">
            <w:pPr>
              <w:jc w:val="center"/>
              <w:rPr>
                <w:sz w:val="20"/>
                <w:lang w:val="es-ES"/>
              </w:rPr>
            </w:pPr>
            <w:r w:rsidRPr="00092B8A">
              <w:rPr>
                <w:sz w:val="20"/>
                <w:lang w:val="es-ES"/>
              </w:rPr>
              <w:t>15,288.60 km</w:t>
            </w:r>
          </w:p>
        </w:tc>
      </w:tr>
      <w:tr w:rsidR="00290FD5" w:rsidRPr="00092B8A" w:rsidTr="00737791">
        <w:trPr>
          <w:trHeight w:val="20"/>
          <w:jc w:val="center"/>
        </w:trPr>
        <w:tc>
          <w:tcPr>
            <w:tcW w:w="586" w:type="pct"/>
            <w:noWrap/>
            <w:vAlign w:val="center"/>
            <w:hideMark/>
          </w:tcPr>
          <w:p w:rsidR="001F6DED" w:rsidRPr="00092B8A" w:rsidRDefault="001F6DED" w:rsidP="001F6DED">
            <w:pPr>
              <w:jc w:val="center"/>
              <w:rPr>
                <w:sz w:val="20"/>
                <w:lang w:val="es-ES"/>
              </w:rPr>
            </w:pPr>
            <w:r w:rsidRPr="00092B8A">
              <w:rPr>
                <w:sz w:val="20"/>
                <w:lang w:val="es-ES"/>
              </w:rPr>
              <w:t>E. Bueno o Muy Bueno</w:t>
            </w:r>
          </w:p>
        </w:tc>
        <w:tc>
          <w:tcPr>
            <w:tcW w:w="631" w:type="pct"/>
            <w:noWrap/>
            <w:vAlign w:val="center"/>
            <w:hideMark/>
          </w:tcPr>
          <w:p w:rsidR="001F6DED" w:rsidRPr="00092B8A" w:rsidRDefault="001F6DED" w:rsidP="001F6DED">
            <w:pPr>
              <w:jc w:val="center"/>
              <w:rPr>
                <w:sz w:val="20"/>
                <w:lang w:val="es-ES"/>
              </w:rPr>
            </w:pPr>
            <w:r w:rsidRPr="00092B8A">
              <w:rPr>
                <w:sz w:val="20"/>
                <w:lang w:val="es-ES"/>
              </w:rPr>
              <w:t>E. Regular o Malo</w:t>
            </w:r>
          </w:p>
        </w:tc>
        <w:tc>
          <w:tcPr>
            <w:tcW w:w="631" w:type="pct"/>
            <w:noWrap/>
            <w:vAlign w:val="center"/>
            <w:hideMark/>
          </w:tcPr>
          <w:p w:rsidR="001F6DED" w:rsidRPr="00092B8A" w:rsidRDefault="001F6DED" w:rsidP="001F6DED">
            <w:pPr>
              <w:jc w:val="center"/>
              <w:rPr>
                <w:sz w:val="20"/>
                <w:lang w:val="es-ES"/>
              </w:rPr>
            </w:pPr>
            <w:r w:rsidRPr="00092B8A">
              <w:rPr>
                <w:sz w:val="20"/>
                <w:lang w:val="es-ES"/>
              </w:rPr>
              <w:t>E. Bueno o Muy Bueno</w:t>
            </w:r>
          </w:p>
        </w:tc>
        <w:tc>
          <w:tcPr>
            <w:tcW w:w="631" w:type="pct"/>
            <w:noWrap/>
            <w:vAlign w:val="center"/>
            <w:hideMark/>
          </w:tcPr>
          <w:p w:rsidR="001F6DED" w:rsidRPr="00092B8A" w:rsidRDefault="001F6DED" w:rsidP="001F6DED">
            <w:pPr>
              <w:jc w:val="center"/>
              <w:rPr>
                <w:sz w:val="20"/>
                <w:lang w:val="es-ES"/>
              </w:rPr>
            </w:pPr>
            <w:r w:rsidRPr="00092B8A">
              <w:rPr>
                <w:sz w:val="20"/>
                <w:lang w:val="es-ES"/>
              </w:rPr>
              <w:t>E. Regular o Malo</w:t>
            </w:r>
          </w:p>
        </w:tc>
        <w:tc>
          <w:tcPr>
            <w:tcW w:w="631" w:type="pct"/>
            <w:noWrap/>
            <w:vAlign w:val="center"/>
            <w:hideMark/>
          </w:tcPr>
          <w:p w:rsidR="001F6DED" w:rsidRPr="00092B8A" w:rsidRDefault="001F6DED" w:rsidP="001F6DED">
            <w:pPr>
              <w:jc w:val="center"/>
              <w:rPr>
                <w:sz w:val="20"/>
                <w:lang w:val="es-ES"/>
              </w:rPr>
            </w:pPr>
            <w:r w:rsidRPr="00092B8A">
              <w:rPr>
                <w:sz w:val="20"/>
                <w:lang w:val="es-ES"/>
              </w:rPr>
              <w:t>E. Bueno o Muy Bueno</w:t>
            </w:r>
          </w:p>
        </w:tc>
        <w:tc>
          <w:tcPr>
            <w:tcW w:w="631" w:type="pct"/>
            <w:noWrap/>
            <w:vAlign w:val="center"/>
            <w:hideMark/>
          </w:tcPr>
          <w:p w:rsidR="001F6DED" w:rsidRPr="00092B8A" w:rsidRDefault="001F6DED" w:rsidP="001F6DED">
            <w:pPr>
              <w:jc w:val="center"/>
              <w:rPr>
                <w:sz w:val="20"/>
                <w:lang w:val="es-ES"/>
              </w:rPr>
            </w:pPr>
            <w:r w:rsidRPr="00092B8A">
              <w:rPr>
                <w:sz w:val="20"/>
                <w:lang w:val="es-ES"/>
              </w:rPr>
              <w:t>E. Regular o Malo</w:t>
            </w:r>
          </w:p>
        </w:tc>
        <w:tc>
          <w:tcPr>
            <w:tcW w:w="631" w:type="pct"/>
            <w:noWrap/>
            <w:vAlign w:val="center"/>
            <w:hideMark/>
          </w:tcPr>
          <w:p w:rsidR="001F6DED" w:rsidRPr="00092B8A" w:rsidRDefault="001F6DED" w:rsidP="001F6DED">
            <w:pPr>
              <w:jc w:val="center"/>
              <w:rPr>
                <w:sz w:val="20"/>
                <w:lang w:val="es-ES"/>
              </w:rPr>
            </w:pPr>
            <w:r w:rsidRPr="00092B8A">
              <w:rPr>
                <w:sz w:val="20"/>
                <w:lang w:val="es-ES"/>
              </w:rPr>
              <w:t>E. Bueno o Muy Bueno</w:t>
            </w:r>
          </w:p>
        </w:tc>
        <w:tc>
          <w:tcPr>
            <w:tcW w:w="631" w:type="pct"/>
            <w:noWrap/>
            <w:vAlign w:val="center"/>
            <w:hideMark/>
          </w:tcPr>
          <w:p w:rsidR="001F6DED" w:rsidRPr="00092B8A" w:rsidRDefault="001F6DED" w:rsidP="001F6DED">
            <w:pPr>
              <w:jc w:val="center"/>
              <w:rPr>
                <w:sz w:val="20"/>
                <w:lang w:val="es-ES"/>
              </w:rPr>
            </w:pPr>
            <w:r w:rsidRPr="00092B8A">
              <w:rPr>
                <w:sz w:val="20"/>
                <w:lang w:val="es-ES"/>
              </w:rPr>
              <w:t>E. Regular o Malo</w:t>
            </w:r>
          </w:p>
        </w:tc>
      </w:tr>
      <w:tr w:rsidR="00290FD5" w:rsidRPr="00092B8A" w:rsidTr="00737791">
        <w:trPr>
          <w:trHeight w:val="20"/>
          <w:jc w:val="center"/>
        </w:trPr>
        <w:tc>
          <w:tcPr>
            <w:tcW w:w="586" w:type="pct"/>
            <w:noWrap/>
            <w:vAlign w:val="center"/>
            <w:hideMark/>
          </w:tcPr>
          <w:p w:rsidR="001F6DED" w:rsidRPr="00092B8A" w:rsidRDefault="001F6DED" w:rsidP="001F6DED">
            <w:pPr>
              <w:jc w:val="center"/>
              <w:rPr>
                <w:sz w:val="20"/>
                <w:lang w:val="es-ES"/>
              </w:rPr>
            </w:pPr>
            <w:r w:rsidRPr="00092B8A">
              <w:rPr>
                <w:sz w:val="20"/>
                <w:lang w:val="es-ES"/>
              </w:rPr>
              <w:t>27.5%</w:t>
            </w:r>
          </w:p>
        </w:tc>
        <w:tc>
          <w:tcPr>
            <w:tcW w:w="631" w:type="pct"/>
            <w:noWrap/>
            <w:vAlign w:val="center"/>
            <w:hideMark/>
          </w:tcPr>
          <w:p w:rsidR="001F6DED" w:rsidRPr="00092B8A" w:rsidRDefault="001F6DED" w:rsidP="001F6DED">
            <w:pPr>
              <w:jc w:val="center"/>
              <w:rPr>
                <w:sz w:val="20"/>
                <w:lang w:val="es-ES"/>
              </w:rPr>
            </w:pPr>
            <w:r w:rsidRPr="00092B8A">
              <w:rPr>
                <w:sz w:val="20"/>
                <w:lang w:val="es-ES"/>
              </w:rPr>
              <w:t>72.5%</w:t>
            </w:r>
          </w:p>
        </w:tc>
        <w:tc>
          <w:tcPr>
            <w:tcW w:w="631" w:type="pct"/>
            <w:noWrap/>
            <w:vAlign w:val="center"/>
            <w:hideMark/>
          </w:tcPr>
          <w:p w:rsidR="001F6DED" w:rsidRPr="00092B8A" w:rsidRDefault="001F6DED" w:rsidP="001F6DED">
            <w:pPr>
              <w:jc w:val="center"/>
              <w:rPr>
                <w:sz w:val="20"/>
                <w:lang w:val="es-ES"/>
              </w:rPr>
            </w:pPr>
            <w:r w:rsidRPr="00092B8A">
              <w:rPr>
                <w:sz w:val="20"/>
                <w:lang w:val="es-ES"/>
              </w:rPr>
              <w:t>9.5%</w:t>
            </w:r>
          </w:p>
        </w:tc>
        <w:tc>
          <w:tcPr>
            <w:tcW w:w="631" w:type="pct"/>
            <w:noWrap/>
            <w:vAlign w:val="center"/>
            <w:hideMark/>
          </w:tcPr>
          <w:p w:rsidR="001F6DED" w:rsidRPr="00092B8A" w:rsidRDefault="001F6DED" w:rsidP="001F6DED">
            <w:pPr>
              <w:jc w:val="center"/>
              <w:rPr>
                <w:sz w:val="20"/>
                <w:lang w:val="es-ES"/>
              </w:rPr>
            </w:pPr>
            <w:r w:rsidRPr="00092B8A">
              <w:rPr>
                <w:sz w:val="20"/>
                <w:lang w:val="es-ES"/>
              </w:rPr>
              <w:t>90.5%</w:t>
            </w:r>
          </w:p>
        </w:tc>
        <w:tc>
          <w:tcPr>
            <w:tcW w:w="631" w:type="pct"/>
            <w:noWrap/>
            <w:vAlign w:val="center"/>
            <w:hideMark/>
          </w:tcPr>
          <w:p w:rsidR="001F6DED" w:rsidRPr="00092B8A" w:rsidRDefault="001F6DED" w:rsidP="001F6DED">
            <w:pPr>
              <w:jc w:val="center"/>
              <w:rPr>
                <w:sz w:val="20"/>
                <w:lang w:val="es-ES"/>
              </w:rPr>
            </w:pPr>
            <w:r w:rsidRPr="00092B8A">
              <w:rPr>
                <w:sz w:val="20"/>
                <w:lang w:val="es-ES"/>
              </w:rPr>
              <w:t>0.0%</w:t>
            </w:r>
          </w:p>
        </w:tc>
        <w:tc>
          <w:tcPr>
            <w:tcW w:w="631" w:type="pct"/>
            <w:noWrap/>
            <w:vAlign w:val="center"/>
            <w:hideMark/>
          </w:tcPr>
          <w:p w:rsidR="001F6DED" w:rsidRPr="00092B8A" w:rsidRDefault="001F6DED" w:rsidP="001F6DED">
            <w:pPr>
              <w:jc w:val="center"/>
              <w:rPr>
                <w:sz w:val="20"/>
                <w:lang w:val="es-ES"/>
              </w:rPr>
            </w:pPr>
            <w:r w:rsidRPr="00092B8A">
              <w:rPr>
                <w:sz w:val="20"/>
                <w:lang w:val="es-ES"/>
              </w:rPr>
              <w:t>100.0%</w:t>
            </w:r>
          </w:p>
        </w:tc>
        <w:tc>
          <w:tcPr>
            <w:tcW w:w="631" w:type="pct"/>
            <w:noWrap/>
            <w:vAlign w:val="center"/>
            <w:hideMark/>
          </w:tcPr>
          <w:p w:rsidR="001F6DED" w:rsidRPr="00092B8A" w:rsidRDefault="001F6DED" w:rsidP="001F6DED">
            <w:pPr>
              <w:jc w:val="center"/>
              <w:rPr>
                <w:sz w:val="20"/>
                <w:lang w:val="es-ES"/>
              </w:rPr>
            </w:pPr>
            <w:r w:rsidRPr="00092B8A">
              <w:rPr>
                <w:sz w:val="20"/>
                <w:lang w:val="es-ES"/>
              </w:rPr>
              <w:t>0.0%</w:t>
            </w:r>
          </w:p>
        </w:tc>
        <w:tc>
          <w:tcPr>
            <w:tcW w:w="631" w:type="pct"/>
            <w:noWrap/>
            <w:vAlign w:val="center"/>
            <w:hideMark/>
          </w:tcPr>
          <w:p w:rsidR="001F6DED" w:rsidRPr="00092B8A" w:rsidRDefault="001F6DED" w:rsidP="001F6DED">
            <w:pPr>
              <w:jc w:val="center"/>
              <w:rPr>
                <w:sz w:val="20"/>
                <w:lang w:val="es-ES"/>
              </w:rPr>
            </w:pPr>
            <w:r w:rsidRPr="00092B8A">
              <w:rPr>
                <w:sz w:val="20"/>
                <w:lang w:val="es-ES"/>
              </w:rPr>
              <w:t>100.0%</w:t>
            </w:r>
          </w:p>
        </w:tc>
      </w:tr>
      <w:tr w:rsidR="00290FD5" w:rsidRPr="00092B8A" w:rsidTr="00737791">
        <w:trPr>
          <w:trHeight w:val="20"/>
          <w:jc w:val="center"/>
        </w:trPr>
        <w:tc>
          <w:tcPr>
            <w:tcW w:w="586" w:type="pct"/>
            <w:noWrap/>
            <w:vAlign w:val="center"/>
            <w:hideMark/>
          </w:tcPr>
          <w:p w:rsidR="001F6DED" w:rsidRPr="00092B8A" w:rsidRDefault="001F6DED" w:rsidP="001F6DED">
            <w:pPr>
              <w:jc w:val="center"/>
              <w:rPr>
                <w:sz w:val="20"/>
                <w:lang w:val="es-ES"/>
              </w:rPr>
            </w:pPr>
            <w:r w:rsidRPr="00092B8A">
              <w:rPr>
                <w:sz w:val="20"/>
                <w:lang w:val="es-ES"/>
              </w:rPr>
              <w:t>763.84</w:t>
            </w:r>
            <w:r w:rsidR="00C11803" w:rsidRPr="00092B8A">
              <w:rPr>
                <w:sz w:val="20"/>
                <w:lang w:val="es-ES"/>
              </w:rPr>
              <w:t xml:space="preserve"> km</w:t>
            </w:r>
          </w:p>
        </w:tc>
        <w:tc>
          <w:tcPr>
            <w:tcW w:w="631" w:type="pct"/>
            <w:noWrap/>
            <w:vAlign w:val="center"/>
            <w:hideMark/>
          </w:tcPr>
          <w:p w:rsidR="001F6DED" w:rsidRPr="00092B8A" w:rsidRDefault="001F6DED" w:rsidP="001F6DED">
            <w:pPr>
              <w:jc w:val="center"/>
              <w:rPr>
                <w:sz w:val="20"/>
                <w:lang w:val="es-ES"/>
              </w:rPr>
            </w:pPr>
            <w:r w:rsidRPr="00092B8A">
              <w:rPr>
                <w:sz w:val="20"/>
                <w:lang w:val="es-ES"/>
              </w:rPr>
              <w:t>2,013.76</w:t>
            </w:r>
            <w:r w:rsidR="00C11803" w:rsidRPr="00092B8A">
              <w:rPr>
                <w:sz w:val="20"/>
                <w:lang w:val="es-ES"/>
              </w:rPr>
              <w:t xml:space="preserve"> km</w:t>
            </w:r>
          </w:p>
        </w:tc>
        <w:tc>
          <w:tcPr>
            <w:tcW w:w="631" w:type="pct"/>
            <w:noWrap/>
            <w:vAlign w:val="center"/>
            <w:hideMark/>
          </w:tcPr>
          <w:p w:rsidR="001F6DED" w:rsidRPr="00092B8A" w:rsidRDefault="001F6DED" w:rsidP="001F6DED">
            <w:pPr>
              <w:jc w:val="center"/>
              <w:rPr>
                <w:sz w:val="20"/>
                <w:lang w:val="es-ES"/>
              </w:rPr>
            </w:pPr>
            <w:r w:rsidRPr="00092B8A">
              <w:rPr>
                <w:sz w:val="20"/>
                <w:lang w:val="es-ES"/>
              </w:rPr>
              <w:t>494.73</w:t>
            </w:r>
            <w:r w:rsidR="00C11803" w:rsidRPr="00092B8A">
              <w:rPr>
                <w:sz w:val="20"/>
                <w:lang w:val="es-ES"/>
              </w:rPr>
              <w:t xml:space="preserve"> km</w:t>
            </w:r>
          </w:p>
        </w:tc>
        <w:tc>
          <w:tcPr>
            <w:tcW w:w="631" w:type="pct"/>
            <w:noWrap/>
            <w:vAlign w:val="center"/>
            <w:hideMark/>
          </w:tcPr>
          <w:p w:rsidR="001F6DED" w:rsidRPr="00092B8A" w:rsidRDefault="001F6DED" w:rsidP="001F6DED">
            <w:pPr>
              <w:jc w:val="center"/>
              <w:rPr>
                <w:sz w:val="20"/>
                <w:lang w:val="es-ES"/>
              </w:rPr>
            </w:pPr>
            <w:r w:rsidRPr="00092B8A">
              <w:rPr>
                <w:sz w:val="20"/>
                <w:lang w:val="es-ES"/>
              </w:rPr>
              <w:t>4,712.97</w:t>
            </w:r>
            <w:r w:rsidR="00C11803" w:rsidRPr="00092B8A">
              <w:rPr>
                <w:sz w:val="20"/>
                <w:lang w:val="es-ES"/>
              </w:rPr>
              <w:t xml:space="preserve"> km</w:t>
            </w:r>
          </w:p>
        </w:tc>
        <w:tc>
          <w:tcPr>
            <w:tcW w:w="631" w:type="pct"/>
            <w:noWrap/>
            <w:vAlign w:val="center"/>
            <w:hideMark/>
          </w:tcPr>
          <w:p w:rsidR="001F6DED" w:rsidRPr="00092B8A" w:rsidRDefault="001F6DED" w:rsidP="001F6DED">
            <w:pPr>
              <w:jc w:val="center"/>
              <w:rPr>
                <w:sz w:val="20"/>
                <w:lang w:val="es-ES"/>
              </w:rPr>
            </w:pPr>
            <w:r w:rsidRPr="00092B8A">
              <w:rPr>
                <w:sz w:val="20"/>
                <w:lang w:val="es-ES"/>
              </w:rPr>
              <w:t>0.00</w:t>
            </w:r>
            <w:r w:rsidR="007B4A76" w:rsidRPr="00092B8A">
              <w:rPr>
                <w:sz w:val="20"/>
                <w:lang w:val="es-ES"/>
              </w:rPr>
              <w:t xml:space="preserve"> km</w:t>
            </w:r>
          </w:p>
        </w:tc>
        <w:tc>
          <w:tcPr>
            <w:tcW w:w="631" w:type="pct"/>
            <w:noWrap/>
            <w:vAlign w:val="center"/>
            <w:hideMark/>
          </w:tcPr>
          <w:p w:rsidR="001F6DED" w:rsidRPr="00092B8A" w:rsidRDefault="001F6DED" w:rsidP="001F6DED">
            <w:pPr>
              <w:jc w:val="center"/>
              <w:rPr>
                <w:sz w:val="20"/>
                <w:lang w:val="es-ES"/>
              </w:rPr>
            </w:pPr>
            <w:r w:rsidRPr="00092B8A">
              <w:rPr>
                <w:sz w:val="20"/>
                <w:lang w:val="es-ES"/>
              </w:rPr>
              <w:t>373.20</w:t>
            </w:r>
            <w:r w:rsidR="007B4A76" w:rsidRPr="00092B8A">
              <w:rPr>
                <w:sz w:val="20"/>
                <w:lang w:val="es-ES"/>
              </w:rPr>
              <w:t xml:space="preserve"> km</w:t>
            </w:r>
          </w:p>
        </w:tc>
        <w:tc>
          <w:tcPr>
            <w:tcW w:w="631" w:type="pct"/>
            <w:noWrap/>
            <w:vAlign w:val="center"/>
            <w:hideMark/>
          </w:tcPr>
          <w:p w:rsidR="001F6DED" w:rsidRPr="00092B8A" w:rsidRDefault="001F6DED" w:rsidP="001F6DED">
            <w:pPr>
              <w:jc w:val="center"/>
              <w:rPr>
                <w:sz w:val="20"/>
                <w:lang w:val="es-ES"/>
              </w:rPr>
            </w:pPr>
            <w:r w:rsidRPr="00092B8A">
              <w:rPr>
                <w:sz w:val="20"/>
                <w:lang w:val="es-ES"/>
              </w:rPr>
              <w:t>0.00</w:t>
            </w:r>
            <w:r w:rsidR="007B4A76" w:rsidRPr="00092B8A">
              <w:rPr>
                <w:sz w:val="20"/>
                <w:lang w:val="es-ES"/>
              </w:rPr>
              <w:t xml:space="preserve"> km</w:t>
            </w:r>
          </w:p>
        </w:tc>
        <w:tc>
          <w:tcPr>
            <w:tcW w:w="631" w:type="pct"/>
            <w:noWrap/>
            <w:vAlign w:val="center"/>
            <w:hideMark/>
          </w:tcPr>
          <w:p w:rsidR="001F6DED" w:rsidRPr="00092B8A" w:rsidRDefault="001F6DED" w:rsidP="001F6DED">
            <w:pPr>
              <w:jc w:val="center"/>
              <w:rPr>
                <w:sz w:val="20"/>
                <w:lang w:val="es-ES"/>
              </w:rPr>
            </w:pPr>
            <w:r w:rsidRPr="00092B8A">
              <w:rPr>
                <w:sz w:val="20"/>
                <w:lang w:val="es-ES"/>
              </w:rPr>
              <w:t>15,288.60</w:t>
            </w:r>
            <w:r w:rsidR="007B4A76" w:rsidRPr="00092B8A">
              <w:rPr>
                <w:sz w:val="20"/>
                <w:lang w:val="es-ES"/>
              </w:rPr>
              <w:t xml:space="preserve"> km</w:t>
            </w:r>
          </w:p>
        </w:tc>
      </w:tr>
      <w:tr w:rsidR="00D40A24" w:rsidRPr="00092B8A" w:rsidTr="00737791">
        <w:trPr>
          <w:trHeight w:val="20"/>
          <w:jc w:val="center"/>
        </w:trPr>
        <w:tc>
          <w:tcPr>
            <w:tcW w:w="2477" w:type="pct"/>
            <w:gridSpan w:val="4"/>
            <w:shd w:val="clear" w:color="auto" w:fill="F2DBDB" w:themeFill="accent2" w:themeFillTint="33"/>
            <w:noWrap/>
            <w:vAlign w:val="center"/>
            <w:hideMark/>
          </w:tcPr>
          <w:p w:rsidR="00D40A24" w:rsidRPr="00092B8A" w:rsidRDefault="00D40A24" w:rsidP="001F6DED">
            <w:pPr>
              <w:jc w:val="center"/>
              <w:rPr>
                <w:b/>
                <w:sz w:val="20"/>
                <w:lang w:val="es-ES"/>
              </w:rPr>
            </w:pPr>
            <w:r w:rsidRPr="00092B8A">
              <w:rPr>
                <w:b/>
                <w:sz w:val="20"/>
                <w:lang w:val="es-ES"/>
              </w:rPr>
              <w:t>Red Básica en E. Regular o Malo</w:t>
            </w:r>
          </w:p>
          <w:p w:rsidR="00290FD5" w:rsidRPr="00092B8A" w:rsidRDefault="00290FD5" w:rsidP="001F6DED">
            <w:pPr>
              <w:jc w:val="center"/>
              <w:rPr>
                <w:b/>
                <w:sz w:val="20"/>
                <w:lang w:val="es-ES"/>
              </w:rPr>
            </w:pPr>
            <w:r w:rsidRPr="00092B8A">
              <w:rPr>
                <w:b/>
                <w:sz w:val="20"/>
                <w:lang w:val="es-ES"/>
              </w:rPr>
              <w:t>6,726.73 km / 84.2% de la Red Básica</w:t>
            </w:r>
          </w:p>
        </w:tc>
        <w:tc>
          <w:tcPr>
            <w:tcW w:w="2523" w:type="pct"/>
            <w:gridSpan w:val="4"/>
            <w:shd w:val="clear" w:color="auto" w:fill="F2DBDB" w:themeFill="accent2" w:themeFillTint="33"/>
            <w:noWrap/>
            <w:vAlign w:val="center"/>
            <w:hideMark/>
          </w:tcPr>
          <w:p w:rsidR="00D40A24" w:rsidRPr="00092B8A" w:rsidRDefault="00D40A24" w:rsidP="001F6DED">
            <w:pPr>
              <w:jc w:val="center"/>
              <w:rPr>
                <w:b/>
                <w:sz w:val="20"/>
                <w:lang w:val="es-ES"/>
              </w:rPr>
            </w:pPr>
            <w:r w:rsidRPr="00092B8A">
              <w:rPr>
                <w:b/>
                <w:sz w:val="20"/>
                <w:lang w:val="es-ES"/>
              </w:rPr>
              <w:t>Red No Básica en E. Regular o Malo</w:t>
            </w:r>
          </w:p>
          <w:p w:rsidR="00290FD5" w:rsidRPr="00092B8A" w:rsidRDefault="00290FD5" w:rsidP="001F6DED">
            <w:pPr>
              <w:jc w:val="center"/>
              <w:rPr>
                <w:b/>
                <w:sz w:val="20"/>
                <w:lang w:val="es-ES"/>
              </w:rPr>
            </w:pPr>
            <w:r w:rsidRPr="00092B8A">
              <w:rPr>
                <w:b/>
                <w:sz w:val="20"/>
                <w:lang w:val="es-ES"/>
              </w:rPr>
              <w:t>15,661.80 km / 100.0% de la Red No Básica</w:t>
            </w:r>
          </w:p>
        </w:tc>
      </w:tr>
      <w:tr w:rsidR="00D40A24" w:rsidRPr="00092B8A" w:rsidTr="00737791">
        <w:trPr>
          <w:trHeight w:val="20"/>
          <w:jc w:val="center"/>
        </w:trPr>
        <w:tc>
          <w:tcPr>
            <w:tcW w:w="5000" w:type="pct"/>
            <w:gridSpan w:val="8"/>
            <w:shd w:val="clear" w:color="auto" w:fill="F2DBDB" w:themeFill="accent2" w:themeFillTint="33"/>
            <w:noWrap/>
            <w:vAlign w:val="center"/>
          </w:tcPr>
          <w:p w:rsidR="00D40A24" w:rsidRPr="00092B8A" w:rsidRDefault="00D40A24" w:rsidP="001F6DED">
            <w:pPr>
              <w:jc w:val="center"/>
              <w:rPr>
                <w:b/>
                <w:sz w:val="20"/>
                <w:lang w:val="es-ES"/>
              </w:rPr>
            </w:pPr>
            <w:r w:rsidRPr="00092B8A">
              <w:rPr>
                <w:b/>
                <w:sz w:val="20"/>
                <w:lang w:val="es-ES"/>
              </w:rPr>
              <w:t>Red Total en E. Regular o Malo</w:t>
            </w:r>
          </w:p>
          <w:p w:rsidR="00290FD5" w:rsidRPr="00092B8A" w:rsidRDefault="00290FD5" w:rsidP="001F6DED">
            <w:pPr>
              <w:jc w:val="center"/>
              <w:rPr>
                <w:b/>
                <w:sz w:val="20"/>
                <w:lang w:val="es-ES"/>
              </w:rPr>
            </w:pPr>
            <w:r w:rsidRPr="00092B8A">
              <w:rPr>
                <w:b/>
                <w:sz w:val="20"/>
                <w:lang w:val="es-ES"/>
              </w:rPr>
              <w:t>22,388.53 km / 94.7% de la Red Total</w:t>
            </w:r>
          </w:p>
        </w:tc>
      </w:tr>
    </w:tbl>
    <w:p w:rsidR="00293F5F" w:rsidRPr="00092B8A" w:rsidRDefault="008F0E86" w:rsidP="00293F5F">
      <w:pPr>
        <w:rPr>
          <w:sz w:val="20"/>
          <w:lang w:val="es-ES"/>
        </w:rPr>
      </w:pPr>
      <w:r w:rsidRPr="00092B8A">
        <w:rPr>
          <w:sz w:val="20"/>
          <w:lang w:val="es-ES"/>
        </w:rPr>
        <w:t>Fuente: MTI</w:t>
      </w:r>
    </w:p>
    <w:p w:rsidR="00540901" w:rsidRPr="00092B8A" w:rsidRDefault="00540901" w:rsidP="00540901">
      <w:pPr>
        <w:spacing w:before="200"/>
        <w:jc w:val="center"/>
        <w:rPr>
          <w:b/>
          <w:sz w:val="20"/>
          <w:lang w:val="es-ES"/>
        </w:rPr>
      </w:pPr>
      <w:bookmarkStart w:id="41" w:name="_Ref267055351"/>
      <w:bookmarkStart w:id="42" w:name="_Ref292978219"/>
      <w:bookmarkStart w:id="43" w:name="C2"/>
      <w:bookmarkStart w:id="44" w:name="OLE_LINK7"/>
      <w:bookmarkStart w:id="45" w:name="OLE_LINK14"/>
      <w:r w:rsidRPr="00092B8A">
        <w:rPr>
          <w:b/>
          <w:sz w:val="20"/>
          <w:lang w:val="es-ES"/>
        </w:rPr>
        <w:t xml:space="preserve">Cuadro </w:t>
      </w:r>
      <w:bookmarkEnd w:id="41"/>
      <w:bookmarkEnd w:id="42"/>
      <w:bookmarkEnd w:id="43"/>
      <w:r w:rsidR="00FE6149" w:rsidRPr="00092B8A">
        <w:rPr>
          <w:b/>
          <w:sz w:val="20"/>
          <w:lang w:val="es-ES"/>
        </w:rPr>
        <w:t>3</w:t>
      </w:r>
      <w:r w:rsidRPr="00092B8A">
        <w:rPr>
          <w:b/>
          <w:sz w:val="20"/>
          <w:lang w:val="es-ES"/>
        </w:rPr>
        <w:t xml:space="preserve">. Inversiones del MTI </w:t>
      </w:r>
      <w:r w:rsidR="00FE6149" w:rsidRPr="00092B8A">
        <w:rPr>
          <w:b/>
          <w:sz w:val="20"/>
          <w:lang w:val="es-ES"/>
        </w:rPr>
        <w:t xml:space="preserve">en la Red Vial  durante </w:t>
      </w:r>
      <w:r w:rsidRPr="00092B8A">
        <w:rPr>
          <w:b/>
          <w:sz w:val="20"/>
          <w:lang w:val="es-ES"/>
        </w:rPr>
        <w:t>2006 – 2011 (US$ millones)</w:t>
      </w:r>
    </w:p>
    <w:bookmarkEnd w:id="44"/>
    <w:bookmarkEnd w:id="45"/>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4" w:type="dxa"/>
          <w:bottom w:w="29" w:type="dxa"/>
          <w:right w:w="14" w:type="dxa"/>
        </w:tblCellMar>
        <w:tblLook w:val="04A0" w:firstRow="1" w:lastRow="0" w:firstColumn="1" w:lastColumn="0" w:noHBand="0" w:noVBand="1"/>
      </w:tblPr>
      <w:tblGrid>
        <w:gridCol w:w="2598"/>
        <w:gridCol w:w="968"/>
        <w:gridCol w:w="971"/>
        <w:gridCol w:w="971"/>
        <w:gridCol w:w="971"/>
        <w:gridCol w:w="971"/>
        <w:gridCol w:w="971"/>
        <w:gridCol w:w="967"/>
      </w:tblGrid>
      <w:tr w:rsidR="00652911" w:rsidRPr="00092B8A" w:rsidTr="00652911">
        <w:trPr>
          <w:trHeight w:val="20"/>
          <w:jc w:val="center"/>
        </w:trPr>
        <w:tc>
          <w:tcPr>
            <w:tcW w:w="1384" w:type="pct"/>
            <w:shd w:val="clear" w:color="auto" w:fill="D9D9D9"/>
          </w:tcPr>
          <w:p w:rsidR="00652911" w:rsidRPr="00092B8A" w:rsidRDefault="00652911" w:rsidP="00FF3E90">
            <w:pPr>
              <w:rPr>
                <w:rFonts w:eastAsia="Arial"/>
                <w:b/>
                <w:sz w:val="20"/>
                <w:lang w:val="es-ES"/>
              </w:rPr>
            </w:pPr>
          </w:p>
        </w:tc>
        <w:tc>
          <w:tcPr>
            <w:tcW w:w="516" w:type="pct"/>
            <w:shd w:val="clear" w:color="auto" w:fill="D9D9D9"/>
          </w:tcPr>
          <w:p w:rsidR="00652911" w:rsidRPr="00092B8A" w:rsidRDefault="00652911" w:rsidP="00FF3E90">
            <w:pPr>
              <w:jc w:val="center"/>
              <w:rPr>
                <w:rFonts w:eastAsia="Arial"/>
                <w:b/>
                <w:sz w:val="20"/>
                <w:lang w:val="es-ES"/>
              </w:rPr>
            </w:pPr>
            <w:r w:rsidRPr="00092B8A">
              <w:rPr>
                <w:rFonts w:eastAsia="Arial"/>
                <w:b/>
                <w:sz w:val="20"/>
                <w:lang w:val="es-ES"/>
              </w:rPr>
              <w:t>2006</w:t>
            </w:r>
          </w:p>
        </w:tc>
        <w:tc>
          <w:tcPr>
            <w:tcW w:w="517" w:type="pct"/>
            <w:shd w:val="clear" w:color="auto" w:fill="D9D9D9"/>
          </w:tcPr>
          <w:p w:rsidR="00652911" w:rsidRPr="00092B8A" w:rsidRDefault="00652911" w:rsidP="00FF3E90">
            <w:pPr>
              <w:jc w:val="center"/>
              <w:rPr>
                <w:rFonts w:eastAsia="Arial"/>
                <w:b/>
                <w:sz w:val="20"/>
                <w:lang w:val="es-ES"/>
              </w:rPr>
            </w:pPr>
            <w:r w:rsidRPr="00092B8A">
              <w:rPr>
                <w:rFonts w:eastAsia="Arial"/>
                <w:b/>
                <w:sz w:val="20"/>
                <w:lang w:val="es-ES"/>
              </w:rPr>
              <w:t>2007</w:t>
            </w:r>
          </w:p>
        </w:tc>
        <w:tc>
          <w:tcPr>
            <w:tcW w:w="517" w:type="pct"/>
            <w:shd w:val="clear" w:color="auto" w:fill="D9D9D9"/>
          </w:tcPr>
          <w:p w:rsidR="00652911" w:rsidRPr="00092B8A" w:rsidRDefault="00652911" w:rsidP="00FF3E90">
            <w:pPr>
              <w:jc w:val="center"/>
              <w:rPr>
                <w:rFonts w:eastAsia="Arial"/>
                <w:b/>
                <w:sz w:val="20"/>
                <w:lang w:val="es-ES"/>
              </w:rPr>
            </w:pPr>
            <w:r w:rsidRPr="00092B8A">
              <w:rPr>
                <w:rFonts w:eastAsia="Arial"/>
                <w:b/>
                <w:sz w:val="20"/>
                <w:lang w:val="es-ES"/>
              </w:rPr>
              <w:t>2008</w:t>
            </w:r>
          </w:p>
        </w:tc>
        <w:tc>
          <w:tcPr>
            <w:tcW w:w="517" w:type="pct"/>
            <w:shd w:val="clear" w:color="auto" w:fill="D9D9D9"/>
          </w:tcPr>
          <w:p w:rsidR="00652911" w:rsidRPr="00092B8A" w:rsidRDefault="00652911" w:rsidP="00FF3E90">
            <w:pPr>
              <w:jc w:val="center"/>
              <w:rPr>
                <w:rFonts w:eastAsia="Arial"/>
                <w:b/>
                <w:sz w:val="20"/>
                <w:lang w:val="es-ES"/>
              </w:rPr>
            </w:pPr>
            <w:r w:rsidRPr="00092B8A">
              <w:rPr>
                <w:rFonts w:eastAsia="Arial"/>
                <w:b/>
                <w:sz w:val="20"/>
                <w:lang w:val="es-ES"/>
              </w:rPr>
              <w:t>2009</w:t>
            </w:r>
          </w:p>
        </w:tc>
        <w:tc>
          <w:tcPr>
            <w:tcW w:w="517" w:type="pct"/>
            <w:shd w:val="clear" w:color="auto" w:fill="D9D9D9"/>
          </w:tcPr>
          <w:p w:rsidR="00652911" w:rsidRPr="00092B8A" w:rsidRDefault="00652911" w:rsidP="00FF3E90">
            <w:pPr>
              <w:jc w:val="center"/>
              <w:rPr>
                <w:rFonts w:eastAsia="Arial"/>
                <w:b/>
                <w:sz w:val="20"/>
                <w:lang w:val="es-ES"/>
              </w:rPr>
            </w:pPr>
            <w:r w:rsidRPr="00092B8A">
              <w:rPr>
                <w:rFonts w:eastAsia="Arial"/>
                <w:b/>
                <w:sz w:val="20"/>
                <w:lang w:val="es-ES"/>
              </w:rPr>
              <w:t>2010</w:t>
            </w:r>
          </w:p>
        </w:tc>
        <w:tc>
          <w:tcPr>
            <w:tcW w:w="517" w:type="pct"/>
            <w:shd w:val="clear" w:color="auto" w:fill="D9D9D9"/>
          </w:tcPr>
          <w:p w:rsidR="00652911" w:rsidRPr="00092B8A" w:rsidRDefault="00652911" w:rsidP="00FF3E90">
            <w:pPr>
              <w:jc w:val="center"/>
              <w:rPr>
                <w:rFonts w:eastAsia="Arial"/>
                <w:b/>
                <w:sz w:val="20"/>
                <w:lang w:val="es-ES"/>
              </w:rPr>
            </w:pPr>
            <w:r w:rsidRPr="00092B8A">
              <w:rPr>
                <w:rFonts w:eastAsia="Arial"/>
                <w:b/>
                <w:sz w:val="20"/>
                <w:lang w:val="es-ES"/>
              </w:rPr>
              <w:t>2011</w:t>
            </w:r>
          </w:p>
        </w:tc>
        <w:tc>
          <w:tcPr>
            <w:tcW w:w="515" w:type="pct"/>
            <w:shd w:val="clear" w:color="auto" w:fill="D9D9D9"/>
          </w:tcPr>
          <w:p w:rsidR="00652911" w:rsidRPr="00092B8A" w:rsidRDefault="00652911" w:rsidP="00FF3E90">
            <w:pPr>
              <w:jc w:val="center"/>
              <w:rPr>
                <w:rFonts w:eastAsia="Arial"/>
                <w:b/>
                <w:sz w:val="20"/>
                <w:lang w:val="es-ES"/>
              </w:rPr>
            </w:pPr>
            <w:r w:rsidRPr="00092B8A">
              <w:rPr>
                <w:rFonts w:eastAsia="Arial"/>
                <w:b/>
                <w:sz w:val="20"/>
                <w:lang w:val="es-ES"/>
              </w:rPr>
              <w:t>2012</w:t>
            </w:r>
          </w:p>
        </w:tc>
      </w:tr>
      <w:tr w:rsidR="00F9514D" w:rsidRPr="00092B8A" w:rsidTr="00652911">
        <w:trPr>
          <w:trHeight w:val="20"/>
          <w:jc w:val="center"/>
        </w:trPr>
        <w:tc>
          <w:tcPr>
            <w:tcW w:w="1384" w:type="pct"/>
          </w:tcPr>
          <w:p w:rsidR="00F9514D" w:rsidRPr="00092B8A" w:rsidRDefault="00F9514D" w:rsidP="00FF3E90">
            <w:pPr>
              <w:rPr>
                <w:rFonts w:eastAsia="Arial"/>
                <w:sz w:val="20"/>
                <w:lang w:val="es-ES"/>
              </w:rPr>
            </w:pPr>
            <w:r w:rsidRPr="00092B8A">
              <w:rPr>
                <w:rFonts w:eastAsia="Arial"/>
                <w:sz w:val="20"/>
                <w:lang w:val="es-ES"/>
              </w:rPr>
              <w:t>Recursos externos asignados</w:t>
            </w:r>
          </w:p>
        </w:tc>
        <w:tc>
          <w:tcPr>
            <w:tcW w:w="516" w:type="pct"/>
          </w:tcPr>
          <w:p w:rsidR="00F9514D" w:rsidRPr="00092B8A" w:rsidRDefault="00F9514D" w:rsidP="00FF3E90">
            <w:pPr>
              <w:jc w:val="center"/>
              <w:rPr>
                <w:rFonts w:eastAsia="Arial"/>
                <w:sz w:val="20"/>
                <w:lang w:val="es-ES"/>
              </w:rPr>
            </w:pPr>
            <w:r w:rsidRPr="00092B8A">
              <w:rPr>
                <w:rFonts w:eastAsia="Arial"/>
                <w:sz w:val="20"/>
                <w:lang w:val="es-ES"/>
              </w:rPr>
              <w:t>50,51</w:t>
            </w:r>
          </w:p>
        </w:tc>
        <w:tc>
          <w:tcPr>
            <w:tcW w:w="517" w:type="pct"/>
          </w:tcPr>
          <w:p w:rsidR="00F9514D" w:rsidRPr="00092B8A" w:rsidRDefault="00F9514D" w:rsidP="00FF3E90">
            <w:pPr>
              <w:jc w:val="center"/>
              <w:rPr>
                <w:rFonts w:eastAsia="Arial"/>
                <w:sz w:val="20"/>
                <w:lang w:val="es-ES"/>
              </w:rPr>
            </w:pPr>
            <w:r w:rsidRPr="00092B8A">
              <w:rPr>
                <w:rFonts w:eastAsia="Arial"/>
                <w:sz w:val="20"/>
                <w:lang w:val="es-ES"/>
              </w:rPr>
              <w:t>62,66</w:t>
            </w:r>
          </w:p>
        </w:tc>
        <w:tc>
          <w:tcPr>
            <w:tcW w:w="517" w:type="pct"/>
          </w:tcPr>
          <w:p w:rsidR="00F9514D" w:rsidRPr="00092B8A" w:rsidRDefault="00F9514D" w:rsidP="00FF3E90">
            <w:pPr>
              <w:jc w:val="center"/>
              <w:rPr>
                <w:rFonts w:eastAsia="Arial"/>
                <w:sz w:val="20"/>
                <w:lang w:val="es-ES"/>
              </w:rPr>
            </w:pPr>
            <w:r w:rsidRPr="00092B8A">
              <w:rPr>
                <w:rFonts w:eastAsia="Arial"/>
                <w:sz w:val="20"/>
                <w:lang w:val="es-ES"/>
              </w:rPr>
              <w:t>72,49</w:t>
            </w:r>
          </w:p>
        </w:tc>
        <w:tc>
          <w:tcPr>
            <w:tcW w:w="517" w:type="pct"/>
          </w:tcPr>
          <w:p w:rsidR="00F9514D" w:rsidRPr="00092B8A" w:rsidRDefault="00F9514D" w:rsidP="00FF3E90">
            <w:pPr>
              <w:jc w:val="center"/>
              <w:rPr>
                <w:rFonts w:eastAsia="Arial"/>
                <w:sz w:val="20"/>
                <w:lang w:val="es-ES"/>
              </w:rPr>
            </w:pPr>
            <w:r w:rsidRPr="00092B8A">
              <w:rPr>
                <w:rFonts w:eastAsia="Arial"/>
                <w:sz w:val="20"/>
                <w:lang w:val="es-ES"/>
              </w:rPr>
              <w:t>73,83</w:t>
            </w:r>
          </w:p>
        </w:tc>
        <w:tc>
          <w:tcPr>
            <w:tcW w:w="517" w:type="pct"/>
          </w:tcPr>
          <w:p w:rsidR="00F9514D" w:rsidRPr="00092B8A" w:rsidRDefault="00F9514D" w:rsidP="00FF3E90">
            <w:pPr>
              <w:jc w:val="center"/>
              <w:rPr>
                <w:rFonts w:eastAsia="Arial"/>
                <w:sz w:val="20"/>
                <w:lang w:val="es-ES"/>
              </w:rPr>
            </w:pPr>
            <w:r w:rsidRPr="00092B8A">
              <w:rPr>
                <w:rFonts w:eastAsia="Arial"/>
                <w:sz w:val="20"/>
                <w:lang w:val="es-ES"/>
              </w:rPr>
              <w:t>80,66</w:t>
            </w:r>
          </w:p>
        </w:tc>
        <w:tc>
          <w:tcPr>
            <w:tcW w:w="517" w:type="pct"/>
          </w:tcPr>
          <w:p w:rsidR="00F9514D" w:rsidRPr="00092B8A" w:rsidRDefault="00F9514D" w:rsidP="00FF3E90">
            <w:pPr>
              <w:jc w:val="center"/>
              <w:rPr>
                <w:rFonts w:eastAsia="Arial"/>
                <w:sz w:val="20"/>
                <w:lang w:val="es-ES"/>
              </w:rPr>
            </w:pPr>
            <w:r w:rsidRPr="00092B8A">
              <w:rPr>
                <w:rFonts w:eastAsia="Arial"/>
                <w:sz w:val="20"/>
                <w:lang w:val="es-ES"/>
              </w:rPr>
              <w:t>77,30</w:t>
            </w:r>
          </w:p>
        </w:tc>
        <w:tc>
          <w:tcPr>
            <w:tcW w:w="515" w:type="pct"/>
          </w:tcPr>
          <w:p w:rsidR="00F9514D" w:rsidRPr="00092B8A" w:rsidRDefault="00F9514D" w:rsidP="00F9514D">
            <w:pPr>
              <w:jc w:val="center"/>
              <w:rPr>
                <w:rFonts w:eastAsia="Arial"/>
                <w:sz w:val="20"/>
                <w:lang w:val="es-ES"/>
              </w:rPr>
            </w:pPr>
            <w:r w:rsidRPr="00092B8A">
              <w:rPr>
                <w:rFonts w:eastAsia="Arial"/>
                <w:sz w:val="20"/>
                <w:lang w:val="es-ES"/>
              </w:rPr>
              <w:t>84.28</w:t>
            </w:r>
          </w:p>
        </w:tc>
      </w:tr>
      <w:tr w:rsidR="00F9514D" w:rsidRPr="00092B8A" w:rsidTr="00652911">
        <w:trPr>
          <w:trHeight w:val="20"/>
          <w:jc w:val="center"/>
        </w:trPr>
        <w:tc>
          <w:tcPr>
            <w:tcW w:w="1384" w:type="pct"/>
          </w:tcPr>
          <w:p w:rsidR="00F9514D" w:rsidRPr="00092B8A" w:rsidRDefault="00F9514D" w:rsidP="00FF3E90">
            <w:pPr>
              <w:rPr>
                <w:rFonts w:eastAsia="Arial"/>
                <w:sz w:val="20"/>
                <w:lang w:val="es-ES"/>
              </w:rPr>
            </w:pPr>
            <w:r w:rsidRPr="00092B8A">
              <w:rPr>
                <w:rFonts w:eastAsia="Arial"/>
                <w:sz w:val="20"/>
                <w:lang w:val="es-ES"/>
              </w:rPr>
              <w:t>Recursos nacionales asignados</w:t>
            </w:r>
          </w:p>
        </w:tc>
        <w:tc>
          <w:tcPr>
            <w:tcW w:w="516" w:type="pct"/>
          </w:tcPr>
          <w:p w:rsidR="00F9514D" w:rsidRPr="00092B8A" w:rsidRDefault="00F9514D" w:rsidP="00FF3E90">
            <w:pPr>
              <w:jc w:val="center"/>
              <w:rPr>
                <w:rFonts w:eastAsia="Arial"/>
                <w:sz w:val="20"/>
                <w:lang w:val="es-ES"/>
              </w:rPr>
            </w:pPr>
            <w:r w:rsidRPr="00092B8A">
              <w:rPr>
                <w:rFonts w:eastAsia="Arial"/>
                <w:sz w:val="20"/>
                <w:lang w:val="es-ES"/>
              </w:rPr>
              <w:t>25,38</w:t>
            </w:r>
          </w:p>
        </w:tc>
        <w:tc>
          <w:tcPr>
            <w:tcW w:w="517" w:type="pct"/>
          </w:tcPr>
          <w:p w:rsidR="00F9514D" w:rsidRPr="00092B8A" w:rsidRDefault="00F9514D" w:rsidP="00FF3E90">
            <w:pPr>
              <w:jc w:val="center"/>
              <w:rPr>
                <w:rFonts w:eastAsia="Arial"/>
                <w:sz w:val="20"/>
                <w:lang w:val="es-ES"/>
              </w:rPr>
            </w:pPr>
            <w:r w:rsidRPr="00092B8A">
              <w:rPr>
                <w:rFonts w:eastAsia="Arial"/>
                <w:sz w:val="20"/>
                <w:lang w:val="es-ES"/>
              </w:rPr>
              <w:t>33,91</w:t>
            </w:r>
          </w:p>
        </w:tc>
        <w:tc>
          <w:tcPr>
            <w:tcW w:w="517" w:type="pct"/>
          </w:tcPr>
          <w:p w:rsidR="00F9514D" w:rsidRPr="00092B8A" w:rsidRDefault="00F9514D" w:rsidP="00FF3E90">
            <w:pPr>
              <w:jc w:val="center"/>
              <w:rPr>
                <w:rFonts w:eastAsia="Arial"/>
                <w:sz w:val="20"/>
                <w:lang w:val="es-ES"/>
              </w:rPr>
            </w:pPr>
            <w:r w:rsidRPr="00092B8A">
              <w:rPr>
                <w:rFonts w:eastAsia="Arial"/>
                <w:sz w:val="20"/>
                <w:lang w:val="es-ES"/>
              </w:rPr>
              <w:t>17,78</w:t>
            </w:r>
          </w:p>
        </w:tc>
        <w:tc>
          <w:tcPr>
            <w:tcW w:w="517" w:type="pct"/>
          </w:tcPr>
          <w:p w:rsidR="00F9514D" w:rsidRPr="00092B8A" w:rsidRDefault="00F9514D" w:rsidP="00FF3E90">
            <w:pPr>
              <w:jc w:val="center"/>
              <w:rPr>
                <w:rFonts w:eastAsia="Arial"/>
                <w:sz w:val="20"/>
                <w:lang w:val="es-ES"/>
              </w:rPr>
            </w:pPr>
            <w:r w:rsidRPr="00092B8A">
              <w:rPr>
                <w:rFonts w:eastAsia="Arial"/>
                <w:sz w:val="20"/>
                <w:lang w:val="es-ES"/>
              </w:rPr>
              <w:t>26,61</w:t>
            </w:r>
          </w:p>
        </w:tc>
        <w:tc>
          <w:tcPr>
            <w:tcW w:w="517" w:type="pct"/>
          </w:tcPr>
          <w:p w:rsidR="00F9514D" w:rsidRPr="00092B8A" w:rsidRDefault="00F9514D" w:rsidP="00FF3E90">
            <w:pPr>
              <w:jc w:val="center"/>
              <w:rPr>
                <w:rFonts w:eastAsia="Arial"/>
                <w:sz w:val="20"/>
                <w:lang w:val="es-ES"/>
              </w:rPr>
            </w:pPr>
            <w:r w:rsidRPr="00092B8A">
              <w:rPr>
                <w:rFonts w:eastAsia="Arial"/>
                <w:sz w:val="20"/>
                <w:lang w:val="es-ES"/>
              </w:rPr>
              <w:t>30,87</w:t>
            </w:r>
          </w:p>
        </w:tc>
        <w:tc>
          <w:tcPr>
            <w:tcW w:w="517" w:type="pct"/>
          </w:tcPr>
          <w:p w:rsidR="00F9514D" w:rsidRPr="00092B8A" w:rsidRDefault="00F9514D" w:rsidP="00FF3E90">
            <w:pPr>
              <w:jc w:val="center"/>
              <w:rPr>
                <w:rFonts w:eastAsia="Arial"/>
                <w:sz w:val="20"/>
                <w:lang w:val="es-ES"/>
              </w:rPr>
            </w:pPr>
            <w:r w:rsidRPr="00092B8A">
              <w:rPr>
                <w:rFonts w:eastAsia="Arial"/>
                <w:sz w:val="20"/>
                <w:lang w:val="es-ES"/>
              </w:rPr>
              <w:t>39.52</w:t>
            </w:r>
          </w:p>
        </w:tc>
        <w:tc>
          <w:tcPr>
            <w:tcW w:w="515" w:type="pct"/>
          </w:tcPr>
          <w:p w:rsidR="00F9514D" w:rsidRPr="00092B8A" w:rsidRDefault="00F9514D" w:rsidP="00F9514D">
            <w:pPr>
              <w:jc w:val="center"/>
              <w:rPr>
                <w:rFonts w:eastAsia="Arial"/>
                <w:sz w:val="20"/>
                <w:lang w:val="es-ES"/>
              </w:rPr>
            </w:pPr>
            <w:r w:rsidRPr="00092B8A">
              <w:rPr>
                <w:rFonts w:eastAsia="Arial"/>
                <w:sz w:val="20"/>
                <w:lang w:val="es-ES"/>
              </w:rPr>
              <w:t>40.06</w:t>
            </w:r>
          </w:p>
        </w:tc>
      </w:tr>
      <w:tr w:rsidR="00F9514D" w:rsidRPr="00092B8A" w:rsidTr="00652911">
        <w:trPr>
          <w:trHeight w:val="20"/>
          <w:jc w:val="center"/>
        </w:trPr>
        <w:tc>
          <w:tcPr>
            <w:tcW w:w="1384" w:type="pct"/>
            <w:tcBorders>
              <w:bottom w:val="single" w:sz="4" w:space="0" w:color="auto"/>
            </w:tcBorders>
          </w:tcPr>
          <w:p w:rsidR="00F9514D" w:rsidRPr="00092B8A" w:rsidRDefault="00F9514D" w:rsidP="00FF3E90">
            <w:pPr>
              <w:rPr>
                <w:rFonts w:eastAsia="Arial"/>
                <w:sz w:val="20"/>
                <w:lang w:val="es-ES"/>
              </w:rPr>
            </w:pPr>
            <w:r w:rsidRPr="00092B8A">
              <w:rPr>
                <w:rFonts w:eastAsia="Arial"/>
                <w:sz w:val="20"/>
                <w:lang w:val="es-ES"/>
              </w:rPr>
              <w:t>Presupuesto asignado</w:t>
            </w:r>
          </w:p>
        </w:tc>
        <w:tc>
          <w:tcPr>
            <w:tcW w:w="516" w:type="pct"/>
            <w:tcBorders>
              <w:bottom w:val="single" w:sz="4" w:space="0" w:color="auto"/>
            </w:tcBorders>
          </w:tcPr>
          <w:p w:rsidR="00F9514D" w:rsidRPr="00092B8A" w:rsidRDefault="00F9514D" w:rsidP="00FF3E90">
            <w:pPr>
              <w:jc w:val="center"/>
              <w:rPr>
                <w:rFonts w:eastAsia="Arial"/>
                <w:sz w:val="20"/>
                <w:lang w:val="es-ES"/>
              </w:rPr>
            </w:pPr>
            <w:r w:rsidRPr="00092B8A">
              <w:rPr>
                <w:rFonts w:eastAsia="Arial"/>
                <w:sz w:val="20"/>
                <w:lang w:val="es-ES"/>
              </w:rPr>
              <w:t>75,89</w:t>
            </w:r>
          </w:p>
        </w:tc>
        <w:tc>
          <w:tcPr>
            <w:tcW w:w="517" w:type="pct"/>
            <w:tcBorders>
              <w:bottom w:val="single" w:sz="4" w:space="0" w:color="auto"/>
            </w:tcBorders>
          </w:tcPr>
          <w:p w:rsidR="00F9514D" w:rsidRPr="00092B8A" w:rsidRDefault="00F9514D" w:rsidP="00FF3E90">
            <w:pPr>
              <w:jc w:val="center"/>
              <w:rPr>
                <w:rFonts w:eastAsia="Arial"/>
                <w:sz w:val="20"/>
                <w:lang w:val="es-ES"/>
              </w:rPr>
            </w:pPr>
            <w:r w:rsidRPr="00092B8A">
              <w:rPr>
                <w:rFonts w:eastAsia="Arial"/>
                <w:sz w:val="20"/>
                <w:lang w:val="es-ES"/>
              </w:rPr>
              <w:t>96,57</w:t>
            </w:r>
          </w:p>
        </w:tc>
        <w:tc>
          <w:tcPr>
            <w:tcW w:w="517" w:type="pct"/>
            <w:tcBorders>
              <w:bottom w:val="single" w:sz="4" w:space="0" w:color="auto"/>
            </w:tcBorders>
          </w:tcPr>
          <w:p w:rsidR="00F9514D" w:rsidRPr="00092B8A" w:rsidRDefault="00F9514D" w:rsidP="00FF3E90">
            <w:pPr>
              <w:jc w:val="center"/>
              <w:rPr>
                <w:rFonts w:eastAsia="Arial"/>
                <w:sz w:val="20"/>
                <w:lang w:val="es-ES"/>
              </w:rPr>
            </w:pPr>
            <w:r w:rsidRPr="00092B8A">
              <w:rPr>
                <w:rFonts w:eastAsia="Arial"/>
                <w:sz w:val="20"/>
                <w:lang w:val="es-ES"/>
              </w:rPr>
              <w:t>90,27</w:t>
            </w:r>
          </w:p>
        </w:tc>
        <w:tc>
          <w:tcPr>
            <w:tcW w:w="517" w:type="pct"/>
            <w:tcBorders>
              <w:bottom w:val="single" w:sz="4" w:space="0" w:color="auto"/>
            </w:tcBorders>
          </w:tcPr>
          <w:p w:rsidR="00F9514D" w:rsidRPr="00092B8A" w:rsidRDefault="00F9514D" w:rsidP="00FF3E90">
            <w:pPr>
              <w:jc w:val="center"/>
              <w:rPr>
                <w:rFonts w:eastAsia="Arial"/>
                <w:sz w:val="20"/>
                <w:lang w:val="es-ES"/>
              </w:rPr>
            </w:pPr>
            <w:r w:rsidRPr="00092B8A">
              <w:rPr>
                <w:rFonts w:eastAsia="Arial"/>
                <w:sz w:val="20"/>
                <w:lang w:val="es-ES"/>
              </w:rPr>
              <w:t>100,44</w:t>
            </w:r>
          </w:p>
        </w:tc>
        <w:tc>
          <w:tcPr>
            <w:tcW w:w="517" w:type="pct"/>
            <w:tcBorders>
              <w:bottom w:val="single" w:sz="4" w:space="0" w:color="auto"/>
            </w:tcBorders>
          </w:tcPr>
          <w:p w:rsidR="00F9514D" w:rsidRPr="00092B8A" w:rsidRDefault="00F9514D" w:rsidP="00FF3E90">
            <w:pPr>
              <w:jc w:val="center"/>
              <w:rPr>
                <w:rFonts w:eastAsia="Arial"/>
                <w:sz w:val="20"/>
                <w:lang w:val="es-ES"/>
              </w:rPr>
            </w:pPr>
            <w:r w:rsidRPr="00092B8A">
              <w:rPr>
                <w:rFonts w:eastAsia="Arial"/>
                <w:sz w:val="20"/>
                <w:lang w:val="es-ES"/>
              </w:rPr>
              <w:t>111,53</w:t>
            </w:r>
          </w:p>
        </w:tc>
        <w:tc>
          <w:tcPr>
            <w:tcW w:w="517" w:type="pct"/>
            <w:tcBorders>
              <w:bottom w:val="single" w:sz="4" w:space="0" w:color="auto"/>
            </w:tcBorders>
          </w:tcPr>
          <w:p w:rsidR="00F9514D" w:rsidRPr="00092B8A" w:rsidRDefault="00F9514D" w:rsidP="00FF3E90">
            <w:pPr>
              <w:jc w:val="center"/>
              <w:rPr>
                <w:rFonts w:eastAsia="Arial"/>
                <w:sz w:val="20"/>
                <w:lang w:val="es-ES"/>
              </w:rPr>
            </w:pPr>
            <w:r w:rsidRPr="00092B8A">
              <w:rPr>
                <w:rFonts w:eastAsia="Arial"/>
                <w:sz w:val="20"/>
                <w:lang w:val="es-ES"/>
              </w:rPr>
              <w:t>116,82</w:t>
            </w:r>
          </w:p>
        </w:tc>
        <w:tc>
          <w:tcPr>
            <w:tcW w:w="515" w:type="pct"/>
            <w:tcBorders>
              <w:bottom w:val="single" w:sz="4" w:space="0" w:color="auto"/>
            </w:tcBorders>
          </w:tcPr>
          <w:p w:rsidR="00F9514D" w:rsidRPr="00092B8A" w:rsidRDefault="00F9514D" w:rsidP="00F9514D">
            <w:pPr>
              <w:jc w:val="center"/>
              <w:rPr>
                <w:rFonts w:eastAsia="Arial"/>
                <w:sz w:val="20"/>
                <w:lang w:val="es-ES"/>
              </w:rPr>
            </w:pPr>
            <w:r w:rsidRPr="00092B8A">
              <w:rPr>
                <w:rFonts w:eastAsia="Arial"/>
                <w:sz w:val="20"/>
                <w:lang w:val="es-ES"/>
              </w:rPr>
              <w:t>124.34</w:t>
            </w:r>
          </w:p>
        </w:tc>
      </w:tr>
      <w:tr w:rsidR="00F9514D" w:rsidRPr="00092B8A" w:rsidTr="00652911">
        <w:trPr>
          <w:trHeight w:val="20"/>
          <w:jc w:val="center"/>
        </w:trPr>
        <w:tc>
          <w:tcPr>
            <w:tcW w:w="1384" w:type="pct"/>
            <w:tcBorders>
              <w:bottom w:val="single" w:sz="4" w:space="0" w:color="auto"/>
            </w:tcBorders>
            <w:shd w:val="clear" w:color="auto" w:fill="F2DBDB" w:themeFill="accent2" w:themeFillTint="33"/>
          </w:tcPr>
          <w:p w:rsidR="00F9514D" w:rsidRPr="00092B8A" w:rsidRDefault="00F9514D" w:rsidP="00FF3E90">
            <w:pPr>
              <w:rPr>
                <w:rFonts w:eastAsia="Arial"/>
                <w:sz w:val="20"/>
                <w:lang w:val="es-ES"/>
              </w:rPr>
            </w:pPr>
            <w:r w:rsidRPr="00092B8A">
              <w:rPr>
                <w:rFonts w:eastAsia="Arial"/>
                <w:sz w:val="20"/>
                <w:lang w:val="es-ES"/>
              </w:rPr>
              <w:t>Presupuesto ejecutado</w:t>
            </w:r>
          </w:p>
        </w:tc>
        <w:tc>
          <w:tcPr>
            <w:tcW w:w="516" w:type="pct"/>
            <w:tcBorders>
              <w:bottom w:val="single" w:sz="4" w:space="0" w:color="auto"/>
            </w:tcBorders>
            <w:shd w:val="clear" w:color="auto" w:fill="F2DBDB" w:themeFill="accent2" w:themeFillTint="33"/>
          </w:tcPr>
          <w:p w:rsidR="00F9514D" w:rsidRPr="00092B8A" w:rsidRDefault="00F9514D" w:rsidP="00FF3E90">
            <w:pPr>
              <w:jc w:val="center"/>
              <w:rPr>
                <w:rFonts w:eastAsia="Arial"/>
                <w:sz w:val="20"/>
                <w:lang w:val="es-ES"/>
              </w:rPr>
            </w:pPr>
            <w:r w:rsidRPr="00092B8A">
              <w:rPr>
                <w:rFonts w:eastAsia="Arial"/>
                <w:sz w:val="20"/>
                <w:lang w:val="es-ES"/>
              </w:rPr>
              <w:t>46,63</w:t>
            </w:r>
          </w:p>
        </w:tc>
        <w:tc>
          <w:tcPr>
            <w:tcW w:w="517" w:type="pct"/>
            <w:tcBorders>
              <w:bottom w:val="single" w:sz="4" w:space="0" w:color="auto"/>
            </w:tcBorders>
            <w:shd w:val="clear" w:color="auto" w:fill="F2DBDB" w:themeFill="accent2" w:themeFillTint="33"/>
          </w:tcPr>
          <w:p w:rsidR="00F9514D" w:rsidRPr="00092B8A" w:rsidRDefault="00F9514D" w:rsidP="00FF3E90">
            <w:pPr>
              <w:jc w:val="center"/>
              <w:rPr>
                <w:rFonts w:eastAsia="Arial"/>
                <w:sz w:val="20"/>
                <w:lang w:val="es-ES"/>
              </w:rPr>
            </w:pPr>
            <w:r w:rsidRPr="00092B8A">
              <w:rPr>
                <w:rFonts w:eastAsia="Arial"/>
                <w:sz w:val="20"/>
                <w:lang w:val="es-ES"/>
              </w:rPr>
              <w:t>81,91</w:t>
            </w:r>
          </w:p>
        </w:tc>
        <w:tc>
          <w:tcPr>
            <w:tcW w:w="517" w:type="pct"/>
            <w:tcBorders>
              <w:bottom w:val="single" w:sz="4" w:space="0" w:color="auto"/>
            </w:tcBorders>
            <w:shd w:val="clear" w:color="auto" w:fill="F2DBDB" w:themeFill="accent2" w:themeFillTint="33"/>
          </w:tcPr>
          <w:p w:rsidR="00F9514D" w:rsidRPr="00092B8A" w:rsidRDefault="00F9514D" w:rsidP="00FF3E90">
            <w:pPr>
              <w:jc w:val="center"/>
              <w:rPr>
                <w:rFonts w:eastAsia="Arial"/>
                <w:sz w:val="20"/>
                <w:lang w:val="es-ES"/>
              </w:rPr>
            </w:pPr>
            <w:r w:rsidRPr="00092B8A">
              <w:rPr>
                <w:rFonts w:eastAsia="Arial"/>
                <w:sz w:val="20"/>
                <w:lang w:val="es-ES"/>
              </w:rPr>
              <w:t>80,61</w:t>
            </w:r>
          </w:p>
        </w:tc>
        <w:tc>
          <w:tcPr>
            <w:tcW w:w="517" w:type="pct"/>
            <w:tcBorders>
              <w:bottom w:val="single" w:sz="4" w:space="0" w:color="auto"/>
            </w:tcBorders>
            <w:shd w:val="clear" w:color="auto" w:fill="F2DBDB" w:themeFill="accent2" w:themeFillTint="33"/>
          </w:tcPr>
          <w:p w:rsidR="00F9514D" w:rsidRPr="00092B8A" w:rsidRDefault="00F9514D" w:rsidP="00FF3E90">
            <w:pPr>
              <w:jc w:val="center"/>
              <w:rPr>
                <w:rFonts w:eastAsia="Arial"/>
                <w:sz w:val="20"/>
                <w:lang w:val="es-ES"/>
              </w:rPr>
            </w:pPr>
            <w:r w:rsidRPr="00092B8A">
              <w:rPr>
                <w:rFonts w:eastAsia="Arial"/>
                <w:sz w:val="20"/>
                <w:lang w:val="es-ES"/>
              </w:rPr>
              <w:t>98,49</w:t>
            </w:r>
          </w:p>
        </w:tc>
        <w:tc>
          <w:tcPr>
            <w:tcW w:w="517" w:type="pct"/>
            <w:tcBorders>
              <w:bottom w:val="single" w:sz="4" w:space="0" w:color="auto"/>
            </w:tcBorders>
            <w:shd w:val="clear" w:color="auto" w:fill="F2DBDB" w:themeFill="accent2" w:themeFillTint="33"/>
          </w:tcPr>
          <w:p w:rsidR="00F9514D" w:rsidRPr="00092B8A" w:rsidRDefault="00F9514D" w:rsidP="00FF3E90">
            <w:pPr>
              <w:jc w:val="center"/>
              <w:rPr>
                <w:rFonts w:eastAsia="Arial"/>
                <w:sz w:val="20"/>
                <w:lang w:val="es-ES"/>
              </w:rPr>
            </w:pPr>
            <w:r w:rsidRPr="00092B8A">
              <w:rPr>
                <w:rFonts w:eastAsia="Arial"/>
                <w:sz w:val="20"/>
                <w:lang w:val="es-ES"/>
              </w:rPr>
              <w:t>111,34</w:t>
            </w:r>
          </w:p>
        </w:tc>
        <w:tc>
          <w:tcPr>
            <w:tcW w:w="517" w:type="pct"/>
            <w:tcBorders>
              <w:bottom w:val="single" w:sz="4" w:space="0" w:color="auto"/>
            </w:tcBorders>
            <w:shd w:val="clear" w:color="auto" w:fill="F2DBDB" w:themeFill="accent2" w:themeFillTint="33"/>
          </w:tcPr>
          <w:p w:rsidR="00F9514D" w:rsidRPr="00092B8A" w:rsidRDefault="00F9514D" w:rsidP="00FF3E90">
            <w:pPr>
              <w:jc w:val="center"/>
              <w:rPr>
                <w:rFonts w:eastAsia="Arial"/>
                <w:sz w:val="20"/>
                <w:lang w:val="es-ES"/>
              </w:rPr>
            </w:pPr>
            <w:r w:rsidRPr="00092B8A">
              <w:rPr>
                <w:rFonts w:eastAsia="Arial"/>
                <w:sz w:val="20"/>
                <w:lang w:val="es-ES"/>
              </w:rPr>
              <w:t>116,62</w:t>
            </w:r>
          </w:p>
        </w:tc>
        <w:tc>
          <w:tcPr>
            <w:tcW w:w="515" w:type="pct"/>
            <w:tcBorders>
              <w:bottom w:val="single" w:sz="4" w:space="0" w:color="auto"/>
            </w:tcBorders>
            <w:shd w:val="clear" w:color="auto" w:fill="F2DBDB" w:themeFill="accent2" w:themeFillTint="33"/>
          </w:tcPr>
          <w:p w:rsidR="00F9514D" w:rsidRPr="00092B8A" w:rsidRDefault="00F9514D" w:rsidP="00F9514D">
            <w:pPr>
              <w:jc w:val="center"/>
              <w:rPr>
                <w:rFonts w:eastAsia="Arial"/>
                <w:sz w:val="20"/>
                <w:lang w:val="es-ES"/>
              </w:rPr>
            </w:pPr>
            <w:r w:rsidRPr="00092B8A">
              <w:rPr>
                <w:rFonts w:eastAsia="Arial"/>
                <w:sz w:val="20"/>
                <w:lang w:val="es-ES"/>
              </w:rPr>
              <w:t>119.91</w:t>
            </w:r>
          </w:p>
        </w:tc>
      </w:tr>
    </w:tbl>
    <w:p w:rsidR="00652911" w:rsidRPr="00092B8A" w:rsidRDefault="00652911">
      <w:pPr>
        <w:rPr>
          <w:lang w:val="es-ES"/>
        </w:rPr>
      </w:pPr>
      <w:r w:rsidRPr="00092B8A">
        <w:rPr>
          <w:rFonts w:eastAsia="Arial"/>
          <w:sz w:val="20"/>
          <w:lang w:val="es-ES"/>
        </w:rPr>
        <w:t>Fuente</w:t>
      </w:r>
      <w:r w:rsidR="008F0E86" w:rsidRPr="00092B8A">
        <w:rPr>
          <w:rFonts w:eastAsia="Arial"/>
          <w:sz w:val="20"/>
          <w:lang w:val="es-ES"/>
        </w:rPr>
        <w:t>:</w:t>
      </w:r>
      <w:r w:rsidRPr="00092B8A">
        <w:rPr>
          <w:rFonts w:eastAsia="Arial"/>
          <w:sz w:val="20"/>
          <w:lang w:val="es-ES"/>
        </w:rPr>
        <w:t xml:space="preserve"> MTI-SIFGA-MHCP (datos al 2012)</w:t>
      </w:r>
    </w:p>
    <w:p w:rsidR="00540901" w:rsidRPr="00092B8A" w:rsidRDefault="00540901" w:rsidP="006D176D">
      <w:pPr>
        <w:spacing w:before="200"/>
        <w:jc w:val="center"/>
        <w:rPr>
          <w:b/>
          <w:sz w:val="20"/>
          <w:lang w:val="es-ES"/>
        </w:rPr>
      </w:pPr>
      <w:bookmarkStart w:id="46" w:name="_Ref267057158"/>
      <w:bookmarkStart w:id="47" w:name="c3"/>
      <w:r w:rsidRPr="00092B8A">
        <w:rPr>
          <w:b/>
          <w:sz w:val="20"/>
          <w:lang w:val="es-ES"/>
        </w:rPr>
        <w:t xml:space="preserve">Cuadro </w:t>
      </w:r>
      <w:bookmarkEnd w:id="46"/>
      <w:r w:rsidR="00652911" w:rsidRPr="00092B8A">
        <w:rPr>
          <w:b/>
          <w:sz w:val="20"/>
          <w:lang w:val="es-ES"/>
        </w:rPr>
        <w:t>4</w:t>
      </w:r>
      <w:r w:rsidRPr="00092B8A">
        <w:rPr>
          <w:b/>
          <w:sz w:val="20"/>
          <w:lang w:val="es-ES"/>
        </w:rPr>
        <w:t xml:space="preserve">. Gasto en mantenimiento </w:t>
      </w:r>
      <w:r w:rsidR="00F63716" w:rsidRPr="00092B8A">
        <w:rPr>
          <w:b/>
          <w:sz w:val="20"/>
          <w:lang w:val="es-ES"/>
        </w:rPr>
        <w:t xml:space="preserve">en la Red Vial Básica </w:t>
      </w:r>
      <w:proofErr w:type="spellStart"/>
      <w:r w:rsidR="00F63716" w:rsidRPr="00092B8A">
        <w:rPr>
          <w:b/>
          <w:sz w:val="20"/>
          <w:lang w:val="es-ES"/>
        </w:rPr>
        <w:t>Mantenible</w:t>
      </w:r>
      <w:proofErr w:type="spellEnd"/>
      <w:r w:rsidR="00F63716" w:rsidRPr="00092B8A">
        <w:rPr>
          <w:b/>
          <w:sz w:val="20"/>
          <w:lang w:val="es-ES"/>
        </w:rPr>
        <w:t xml:space="preserve"> </w:t>
      </w:r>
      <w:r w:rsidRPr="00092B8A">
        <w:rPr>
          <w:b/>
          <w:sz w:val="20"/>
          <w:lang w:val="es-ES"/>
        </w:rPr>
        <w:t>del FOMAV 2006 – 2011 (US$ millones)</w:t>
      </w:r>
    </w:p>
    <w:bookmarkEnd w:id="47"/>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4" w:type="dxa"/>
          <w:bottom w:w="29" w:type="dxa"/>
          <w:right w:w="14" w:type="dxa"/>
        </w:tblCellMar>
        <w:tblLook w:val="04A0" w:firstRow="1" w:lastRow="0" w:firstColumn="1" w:lastColumn="0" w:noHBand="0" w:noVBand="1"/>
      </w:tblPr>
      <w:tblGrid>
        <w:gridCol w:w="2594"/>
        <w:gridCol w:w="970"/>
        <w:gridCol w:w="971"/>
        <w:gridCol w:w="971"/>
        <w:gridCol w:w="971"/>
        <w:gridCol w:w="971"/>
        <w:gridCol w:w="971"/>
        <w:gridCol w:w="969"/>
      </w:tblGrid>
      <w:tr w:rsidR="00652911" w:rsidRPr="00092B8A" w:rsidTr="00F32073">
        <w:trPr>
          <w:trHeight w:val="20"/>
          <w:jc w:val="center"/>
        </w:trPr>
        <w:tc>
          <w:tcPr>
            <w:tcW w:w="1382" w:type="pct"/>
            <w:shd w:val="clear" w:color="auto" w:fill="D9D9D9"/>
          </w:tcPr>
          <w:p w:rsidR="00652911" w:rsidRPr="00092B8A" w:rsidRDefault="00652911" w:rsidP="00C7710C">
            <w:pPr>
              <w:spacing w:beforeLines="20" w:before="48" w:afterLines="20" w:after="48"/>
              <w:rPr>
                <w:rFonts w:eastAsia="Arial"/>
                <w:b/>
                <w:sz w:val="20"/>
                <w:lang w:val="es-ES"/>
              </w:rPr>
            </w:pPr>
          </w:p>
        </w:tc>
        <w:tc>
          <w:tcPr>
            <w:tcW w:w="517" w:type="pct"/>
            <w:shd w:val="clear" w:color="auto" w:fill="D9D9D9"/>
          </w:tcPr>
          <w:p w:rsidR="00652911" w:rsidRPr="00092B8A" w:rsidRDefault="00652911" w:rsidP="00C7710C">
            <w:pPr>
              <w:spacing w:beforeLines="20" w:before="48" w:afterLines="20" w:after="48"/>
              <w:jc w:val="center"/>
              <w:rPr>
                <w:rFonts w:eastAsia="Arial"/>
                <w:b/>
                <w:sz w:val="20"/>
                <w:lang w:val="es-ES"/>
              </w:rPr>
            </w:pPr>
            <w:r w:rsidRPr="00092B8A">
              <w:rPr>
                <w:rFonts w:eastAsia="Arial"/>
                <w:b/>
                <w:sz w:val="20"/>
                <w:lang w:val="es-ES"/>
              </w:rPr>
              <w:t>2006</w:t>
            </w:r>
          </w:p>
        </w:tc>
        <w:tc>
          <w:tcPr>
            <w:tcW w:w="517" w:type="pct"/>
            <w:shd w:val="clear" w:color="auto" w:fill="D9D9D9"/>
          </w:tcPr>
          <w:p w:rsidR="00652911" w:rsidRPr="00092B8A" w:rsidRDefault="00652911" w:rsidP="00C7710C">
            <w:pPr>
              <w:spacing w:beforeLines="20" w:before="48" w:afterLines="20" w:after="48"/>
              <w:jc w:val="center"/>
              <w:rPr>
                <w:rFonts w:eastAsia="Arial"/>
                <w:b/>
                <w:sz w:val="20"/>
                <w:lang w:val="es-ES"/>
              </w:rPr>
            </w:pPr>
            <w:r w:rsidRPr="00092B8A">
              <w:rPr>
                <w:rFonts w:eastAsia="Arial"/>
                <w:b/>
                <w:sz w:val="20"/>
                <w:lang w:val="es-ES"/>
              </w:rPr>
              <w:t>2007</w:t>
            </w:r>
          </w:p>
        </w:tc>
        <w:tc>
          <w:tcPr>
            <w:tcW w:w="517" w:type="pct"/>
            <w:shd w:val="clear" w:color="auto" w:fill="D9D9D9"/>
          </w:tcPr>
          <w:p w:rsidR="00652911" w:rsidRPr="00092B8A" w:rsidRDefault="00652911" w:rsidP="00C7710C">
            <w:pPr>
              <w:spacing w:beforeLines="20" w:before="48" w:afterLines="20" w:after="48"/>
              <w:jc w:val="center"/>
              <w:rPr>
                <w:rFonts w:eastAsia="Arial"/>
                <w:b/>
                <w:sz w:val="20"/>
                <w:lang w:val="es-ES"/>
              </w:rPr>
            </w:pPr>
            <w:r w:rsidRPr="00092B8A">
              <w:rPr>
                <w:rFonts w:eastAsia="Arial"/>
                <w:b/>
                <w:sz w:val="20"/>
                <w:lang w:val="es-ES"/>
              </w:rPr>
              <w:t>2008</w:t>
            </w:r>
          </w:p>
        </w:tc>
        <w:tc>
          <w:tcPr>
            <w:tcW w:w="517" w:type="pct"/>
            <w:shd w:val="clear" w:color="auto" w:fill="D9D9D9"/>
          </w:tcPr>
          <w:p w:rsidR="00652911" w:rsidRPr="00092B8A" w:rsidRDefault="00652911" w:rsidP="00C7710C">
            <w:pPr>
              <w:spacing w:beforeLines="20" w:before="48" w:afterLines="20" w:after="48"/>
              <w:jc w:val="center"/>
              <w:rPr>
                <w:rFonts w:eastAsia="Arial"/>
                <w:b/>
                <w:sz w:val="20"/>
                <w:lang w:val="es-ES"/>
              </w:rPr>
            </w:pPr>
            <w:r w:rsidRPr="00092B8A">
              <w:rPr>
                <w:rFonts w:eastAsia="Arial"/>
                <w:b/>
                <w:sz w:val="20"/>
                <w:lang w:val="es-ES"/>
              </w:rPr>
              <w:t>2009</w:t>
            </w:r>
          </w:p>
        </w:tc>
        <w:tc>
          <w:tcPr>
            <w:tcW w:w="517" w:type="pct"/>
            <w:shd w:val="clear" w:color="auto" w:fill="D9D9D9"/>
          </w:tcPr>
          <w:p w:rsidR="00652911" w:rsidRPr="00092B8A" w:rsidRDefault="00652911" w:rsidP="00C7710C">
            <w:pPr>
              <w:spacing w:beforeLines="20" w:before="48" w:afterLines="20" w:after="48"/>
              <w:jc w:val="center"/>
              <w:rPr>
                <w:rFonts w:eastAsia="Arial"/>
                <w:b/>
                <w:sz w:val="20"/>
                <w:lang w:val="es-ES"/>
              </w:rPr>
            </w:pPr>
            <w:r w:rsidRPr="00092B8A">
              <w:rPr>
                <w:rFonts w:eastAsia="Arial"/>
                <w:b/>
                <w:sz w:val="20"/>
                <w:lang w:val="es-ES"/>
              </w:rPr>
              <w:t>2010</w:t>
            </w:r>
          </w:p>
        </w:tc>
        <w:tc>
          <w:tcPr>
            <w:tcW w:w="517" w:type="pct"/>
            <w:shd w:val="clear" w:color="auto" w:fill="D9D9D9"/>
          </w:tcPr>
          <w:p w:rsidR="00652911" w:rsidRPr="00092B8A" w:rsidRDefault="00652911" w:rsidP="00C7710C">
            <w:pPr>
              <w:spacing w:beforeLines="20" w:before="48" w:afterLines="20" w:after="48"/>
              <w:jc w:val="center"/>
              <w:rPr>
                <w:rFonts w:eastAsia="Arial"/>
                <w:b/>
                <w:sz w:val="20"/>
                <w:lang w:val="es-ES"/>
              </w:rPr>
            </w:pPr>
            <w:r w:rsidRPr="00092B8A">
              <w:rPr>
                <w:rFonts w:eastAsia="Arial"/>
                <w:b/>
                <w:sz w:val="20"/>
                <w:lang w:val="es-ES"/>
              </w:rPr>
              <w:t>2011</w:t>
            </w:r>
          </w:p>
        </w:tc>
        <w:tc>
          <w:tcPr>
            <w:tcW w:w="516" w:type="pct"/>
            <w:shd w:val="clear" w:color="auto" w:fill="D9D9D9"/>
          </w:tcPr>
          <w:p w:rsidR="00652911" w:rsidRPr="00092B8A" w:rsidRDefault="00652911" w:rsidP="00C7710C">
            <w:pPr>
              <w:spacing w:beforeLines="20" w:before="48" w:afterLines="20" w:after="48"/>
              <w:jc w:val="center"/>
              <w:rPr>
                <w:rFonts w:eastAsia="Arial"/>
                <w:b/>
                <w:sz w:val="20"/>
                <w:lang w:val="es-ES"/>
              </w:rPr>
            </w:pPr>
            <w:r w:rsidRPr="00092B8A">
              <w:rPr>
                <w:rFonts w:eastAsia="Arial"/>
                <w:b/>
                <w:sz w:val="20"/>
                <w:lang w:val="es-ES"/>
              </w:rPr>
              <w:t>2012</w:t>
            </w:r>
          </w:p>
        </w:tc>
      </w:tr>
      <w:tr w:rsidR="00F32073" w:rsidRPr="00092B8A" w:rsidTr="00F32073">
        <w:trPr>
          <w:trHeight w:val="20"/>
          <w:jc w:val="center"/>
        </w:trPr>
        <w:tc>
          <w:tcPr>
            <w:tcW w:w="1382" w:type="pct"/>
          </w:tcPr>
          <w:p w:rsidR="00F32073" w:rsidRPr="00092B8A" w:rsidRDefault="00F32073" w:rsidP="00C7710C">
            <w:pPr>
              <w:rPr>
                <w:rFonts w:eastAsia="Arial"/>
                <w:sz w:val="20"/>
                <w:lang w:val="es-ES"/>
              </w:rPr>
            </w:pPr>
            <w:r w:rsidRPr="00092B8A">
              <w:rPr>
                <w:rFonts w:eastAsia="Arial"/>
                <w:sz w:val="20"/>
                <w:lang w:val="es-ES"/>
              </w:rPr>
              <w:t>Monto presupuestado</w:t>
            </w:r>
          </w:p>
        </w:tc>
        <w:tc>
          <w:tcPr>
            <w:tcW w:w="517" w:type="pct"/>
          </w:tcPr>
          <w:p w:rsidR="00F32073" w:rsidRPr="00092B8A" w:rsidRDefault="00F32073" w:rsidP="00F63716">
            <w:pPr>
              <w:ind w:right="288"/>
              <w:jc w:val="right"/>
              <w:rPr>
                <w:rFonts w:eastAsia="Arial"/>
                <w:sz w:val="20"/>
                <w:lang w:val="es-ES"/>
              </w:rPr>
            </w:pPr>
            <w:r w:rsidRPr="00092B8A">
              <w:rPr>
                <w:rFonts w:eastAsia="Arial"/>
                <w:sz w:val="20"/>
                <w:lang w:val="es-ES"/>
              </w:rPr>
              <w:t>11,5</w:t>
            </w:r>
          </w:p>
        </w:tc>
        <w:tc>
          <w:tcPr>
            <w:tcW w:w="517" w:type="pct"/>
          </w:tcPr>
          <w:p w:rsidR="00F32073" w:rsidRPr="00092B8A" w:rsidRDefault="00F32073" w:rsidP="00F63716">
            <w:pPr>
              <w:ind w:right="288"/>
              <w:jc w:val="right"/>
              <w:rPr>
                <w:rFonts w:eastAsia="Arial"/>
                <w:sz w:val="20"/>
                <w:lang w:val="es-ES"/>
              </w:rPr>
            </w:pPr>
            <w:r w:rsidRPr="00092B8A">
              <w:rPr>
                <w:rFonts w:eastAsia="Arial"/>
                <w:sz w:val="20"/>
                <w:lang w:val="es-ES"/>
              </w:rPr>
              <w:t>22,7</w:t>
            </w:r>
          </w:p>
        </w:tc>
        <w:tc>
          <w:tcPr>
            <w:tcW w:w="517" w:type="pct"/>
          </w:tcPr>
          <w:p w:rsidR="00F32073" w:rsidRPr="00092B8A" w:rsidRDefault="00F32073" w:rsidP="00F63716">
            <w:pPr>
              <w:ind w:right="288"/>
              <w:jc w:val="right"/>
              <w:rPr>
                <w:rFonts w:eastAsia="Arial"/>
                <w:sz w:val="20"/>
                <w:lang w:val="es-ES"/>
              </w:rPr>
            </w:pPr>
            <w:r w:rsidRPr="00092B8A">
              <w:rPr>
                <w:rFonts w:eastAsia="Arial"/>
                <w:sz w:val="20"/>
                <w:lang w:val="es-ES"/>
              </w:rPr>
              <w:t>31,7</w:t>
            </w:r>
          </w:p>
        </w:tc>
        <w:tc>
          <w:tcPr>
            <w:tcW w:w="517" w:type="pct"/>
          </w:tcPr>
          <w:p w:rsidR="00F32073" w:rsidRPr="00092B8A" w:rsidRDefault="00F32073" w:rsidP="00F63716">
            <w:pPr>
              <w:ind w:right="288"/>
              <w:jc w:val="right"/>
              <w:rPr>
                <w:rFonts w:eastAsia="Arial"/>
                <w:sz w:val="20"/>
                <w:lang w:val="es-ES"/>
              </w:rPr>
            </w:pPr>
            <w:r w:rsidRPr="00092B8A">
              <w:rPr>
                <w:rFonts w:eastAsia="Arial"/>
                <w:sz w:val="20"/>
                <w:lang w:val="es-ES"/>
              </w:rPr>
              <w:t>36,0</w:t>
            </w:r>
          </w:p>
        </w:tc>
        <w:tc>
          <w:tcPr>
            <w:tcW w:w="517" w:type="pct"/>
          </w:tcPr>
          <w:p w:rsidR="00F32073" w:rsidRPr="00092B8A" w:rsidRDefault="00F32073" w:rsidP="00F63716">
            <w:pPr>
              <w:ind w:right="288"/>
              <w:jc w:val="right"/>
              <w:rPr>
                <w:rFonts w:eastAsia="Arial"/>
                <w:sz w:val="20"/>
                <w:lang w:val="es-ES"/>
              </w:rPr>
            </w:pPr>
            <w:r w:rsidRPr="00092B8A">
              <w:rPr>
                <w:rFonts w:eastAsia="Arial"/>
                <w:sz w:val="20"/>
                <w:lang w:val="es-ES"/>
              </w:rPr>
              <w:t>41,5</w:t>
            </w:r>
          </w:p>
        </w:tc>
        <w:tc>
          <w:tcPr>
            <w:tcW w:w="517" w:type="pct"/>
          </w:tcPr>
          <w:p w:rsidR="00F32073" w:rsidRPr="00092B8A" w:rsidRDefault="00F32073" w:rsidP="00F63716">
            <w:pPr>
              <w:ind w:right="288"/>
              <w:jc w:val="right"/>
              <w:rPr>
                <w:rFonts w:eastAsia="Arial"/>
                <w:sz w:val="20"/>
                <w:lang w:val="es-ES"/>
              </w:rPr>
            </w:pPr>
            <w:r w:rsidRPr="00092B8A">
              <w:rPr>
                <w:rFonts w:eastAsia="Arial"/>
                <w:sz w:val="20"/>
                <w:lang w:val="es-ES"/>
              </w:rPr>
              <w:t>38,3</w:t>
            </w:r>
          </w:p>
        </w:tc>
        <w:tc>
          <w:tcPr>
            <w:tcW w:w="516" w:type="pct"/>
          </w:tcPr>
          <w:p w:rsidR="00F32073" w:rsidRPr="00092B8A" w:rsidRDefault="00F32073" w:rsidP="00F32073">
            <w:pPr>
              <w:ind w:right="288"/>
              <w:jc w:val="right"/>
              <w:rPr>
                <w:rFonts w:eastAsia="Arial"/>
                <w:sz w:val="20"/>
                <w:lang w:val="es-ES"/>
              </w:rPr>
            </w:pPr>
            <w:r w:rsidRPr="00092B8A">
              <w:rPr>
                <w:rFonts w:eastAsia="Arial"/>
                <w:sz w:val="20"/>
                <w:lang w:val="es-ES"/>
              </w:rPr>
              <w:t>46.58</w:t>
            </w:r>
          </w:p>
        </w:tc>
      </w:tr>
      <w:tr w:rsidR="00F32073" w:rsidRPr="00092B8A" w:rsidTr="00F32073">
        <w:trPr>
          <w:trHeight w:val="20"/>
          <w:jc w:val="center"/>
        </w:trPr>
        <w:tc>
          <w:tcPr>
            <w:tcW w:w="1382" w:type="pct"/>
            <w:shd w:val="clear" w:color="auto" w:fill="F2DBDB" w:themeFill="accent2" w:themeFillTint="33"/>
          </w:tcPr>
          <w:p w:rsidR="00F32073" w:rsidRPr="00092B8A" w:rsidRDefault="00F32073" w:rsidP="00C7710C">
            <w:pPr>
              <w:rPr>
                <w:rFonts w:eastAsia="Arial"/>
                <w:sz w:val="20"/>
                <w:lang w:val="es-ES"/>
              </w:rPr>
            </w:pPr>
            <w:r w:rsidRPr="00092B8A">
              <w:rPr>
                <w:rFonts w:eastAsia="Arial"/>
                <w:sz w:val="20"/>
                <w:lang w:val="es-ES"/>
              </w:rPr>
              <w:t>Monto ejecutado</w:t>
            </w:r>
          </w:p>
        </w:tc>
        <w:tc>
          <w:tcPr>
            <w:tcW w:w="517" w:type="pct"/>
            <w:shd w:val="clear" w:color="auto" w:fill="F2DBDB" w:themeFill="accent2" w:themeFillTint="33"/>
          </w:tcPr>
          <w:p w:rsidR="00F32073" w:rsidRPr="00092B8A" w:rsidRDefault="00F32073" w:rsidP="00F63716">
            <w:pPr>
              <w:ind w:right="288"/>
              <w:jc w:val="right"/>
              <w:rPr>
                <w:rFonts w:eastAsia="Arial"/>
                <w:sz w:val="20"/>
                <w:lang w:val="es-ES"/>
              </w:rPr>
            </w:pPr>
            <w:r w:rsidRPr="00092B8A">
              <w:rPr>
                <w:rFonts w:eastAsia="Arial"/>
                <w:sz w:val="20"/>
                <w:lang w:val="es-ES"/>
              </w:rPr>
              <w:t>10,6</w:t>
            </w:r>
          </w:p>
        </w:tc>
        <w:tc>
          <w:tcPr>
            <w:tcW w:w="517" w:type="pct"/>
            <w:shd w:val="clear" w:color="auto" w:fill="F2DBDB" w:themeFill="accent2" w:themeFillTint="33"/>
          </w:tcPr>
          <w:p w:rsidR="00F32073" w:rsidRPr="00092B8A" w:rsidRDefault="00F32073" w:rsidP="00F63716">
            <w:pPr>
              <w:ind w:right="288"/>
              <w:jc w:val="right"/>
              <w:rPr>
                <w:rFonts w:eastAsia="Arial"/>
                <w:sz w:val="20"/>
                <w:lang w:val="es-ES"/>
              </w:rPr>
            </w:pPr>
            <w:r w:rsidRPr="00092B8A">
              <w:rPr>
                <w:rFonts w:eastAsia="Arial"/>
                <w:sz w:val="20"/>
                <w:lang w:val="es-ES"/>
              </w:rPr>
              <w:t>18,5</w:t>
            </w:r>
          </w:p>
        </w:tc>
        <w:tc>
          <w:tcPr>
            <w:tcW w:w="517" w:type="pct"/>
            <w:shd w:val="clear" w:color="auto" w:fill="F2DBDB" w:themeFill="accent2" w:themeFillTint="33"/>
          </w:tcPr>
          <w:p w:rsidR="00F32073" w:rsidRPr="00092B8A" w:rsidRDefault="00F32073" w:rsidP="00F63716">
            <w:pPr>
              <w:ind w:right="288"/>
              <w:jc w:val="right"/>
              <w:rPr>
                <w:rFonts w:eastAsia="Arial"/>
                <w:sz w:val="20"/>
                <w:lang w:val="es-ES"/>
              </w:rPr>
            </w:pPr>
            <w:r w:rsidRPr="00092B8A">
              <w:rPr>
                <w:rFonts w:eastAsia="Arial"/>
                <w:sz w:val="20"/>
                <w:lang w:val="es-ES"/>
              </w:rPr>
              <w:t>27,1</w:t>
            </w:r>
          </w:p>
        </w:tc>
        <w:tc>
          <w:tcPr>
            <w:tcW w:w="517" w:type="pct"/>
            <w:shd w:val="clear" w:color="auto" w:fill="F2DBDB" w:themeFill="accent2" w:themeFillTint="33"/>
          </w:tcPr>
          <w:p w:rsidR="00F32073" w:rsidRPr="00092B8A" w:rsidRDefault="00F32073" w:rsidP="00F63716">
            <w:pPr>
              <w:ind w:right="288"/>
              <w:jc w:val="right"/>
              <w:rPr>
                <w:rFonts w:eastAsia="Arial"/>
                <w:sz w:val="20"/>
                <w:lang w:val="es-ES"/>
              </w:rPr>
            </w:pPr>
            <w:r w:rsidRPr="00092B8A">
              <w:rPr>
                <w:rFonts w:eastAsia="Arial"/>
                <w:sz w:val="20"/>
                <w:lang w:val="es-ES"/>
              </w:rPr>
              <w:t>30,1</w:t>
            </w:r>
          </w:p>
        </w:tc>
        <w:tc>
          <w:tcPr>
            <w:tcW w:w="517" w:type="pct"/>
            <w:shd w:val="clear" w:color="auto" w:fill="F2DBDB" w:themeFill="accent2" w:themeFillTint="33"/>
          </w:tcPr>
          <w:p w:rsidR="00F32073" w:rsidRPr="00092B8A" w:rsidRDefault="00F32073" w:rsidP="00F63716">
            <w:pPr>
              <w:ind w:right="288"/>
              <w:jc w:val="right"/>
              <w:rPr>
                <w:rFonts w:eastAsia="Arial"/>
                <w:sz w:val="20"/>
                <w:lang w:val="es-ES"/>
              </w:rPr>
            </w:pPr>
            <w:r w:rsidRPr="00092B8A">
              <w:rPr>
                <w:rFonts w:eastAsia="Arial"/>
                <w:sz w:val="20"/>
                <w:lang w:val="es-ES"/>
              </w:rPr>
              <w:t>38,4</w:t>
            </w:r>
          </w:p>
        </w:tc>
        <w:tc>
          <w:tcPr>
            <w:tcW w:w="517" w:type="pct"/>
            <w:shd w:val="clear" w:color="auto" w:fill="F2DBDB" w:themeFill="accent2" w:themeFillTint="33"/>
          </w:tcPr>
          <w:p w:rsidR="00F32073" w:rsidRPr="00092B8A" w:rsidRDefault="00F32073" w:rsidP="00F63716">
            <w:pPr>
              <w:ind w:right="288"/>
              <w:jc w:val="right"/>
              <w:rPr>
                <w:rFonts w:eastAsia="Arial"/>
                <w:sz w:val="20"/>
                <w:lang w:val="es-ES"/>
              </w:rPr>
            </w:pPr>
            <w:r w:rsidRPr="00092B8A">
              <w:rPr>
                <w:rFonts w:eastAsia="Arial"/>
                <w:sz w:val="20"/>
                <w:lang w:val="es-ES"/>
              </w:rPr>
              <w:t>36,0</w:t>
            </w:r>
          </w:p>
        </w:tc>
        <w:tc>
          <w:tcPr>
            <w:tcW w:w="516" w:type="pct"/>
            <w:shd w:val="clear" w:color="auto" w:fill="F2DBDB" w:themeFill="accent2" w:themeFillTint="33"/>
          </w:tcPr>
          <w:p w:rsidR="00F32073" w:rsidRPr="00092B8A" w:rsidRDefault="00F32073" w:rsidP="00F32073">
            <w:pPr>
              <w:ind w:right="288"/>
              <w:jc w:val="right"/>
              <w:rPr>
                <w:rFonts w:eastAsia="Arial"/>
                <w:sz w:val="20"/>
                <w:lang w:val="es-ES"/>
              </w:rPr>
            </w:pPr>
            <w:r w:rsidRPr="00092B8A">
              <w:rPr>
                <w:rFonts w:eastAsia="Arial"/>
                <w:sz w:val="20"/>
                <w:lang w:val="es-ES"/>
              </w:rPr>
              <w:t>43.76</w:t>
            </w:r>
          </w:p>
        </w:tc>
      </w:tr>
      <w:tr w:rsidR="00F32073" w:rsidRPr="00092B8A" w:rsidTr="00F32073">
        <w:trPr>
          <w:trHeight w:val="20"/>
          <w:jc w:val="center"/>
        </w:trPr>
        <w:tc>
          <w:tcPr>
            <w:tcW w:w="1382" w:type="pct"/>
          </w:tcPr>
          <w:p w:rsidR="00F32073" w:rsidRPr="00092B8A" w:rsidRDefault="00F32073" w:rsidP="00652911">
            <w:pPr>
              <w:ind w:left="270"/>
              <w:rPr>
                <w:rFonts w:eastAsia="Arial"/>
                <w:i/>
                <w:sz w:val="20"/>
                <w:lang w:val="es-ES"/>
              </w:rPr>
            </w:pPr>
            <w:r w:rsidRPr="00092B8A">
              <w:rPr>
                <w:rFonts w:eastAsia="Arial"/>
                <w:i/>
                <w:sz w:val="20"/>
                <w:lang w:val="es-ES"/>
              </w:rPr>
              <w:t>a) Mantenimiento periódico</w:t>
            </w:r>
          </w:p>
        </w:tc>
        <w:tc>
          <w:tcPr>
            <w:tcW w:w="517" w:type="pct"/>
          </w:tcPr>
          <w:p w:rsidR="00F32073" w:rsidRPr="00092B8A" w:rsidRDefault="00F32073" w:rsidP="00F63716">
            <w:pPr>
              <w:ind w:right="288"/>
              <w:jc w:val="right"/>
              <w:rPr>
                <w:rFonts w:eastAsia="Arial"/>
                <w:i/>
                <w:sz w:val="20"/>
                <w:lang w:val="es-ES"/>
              </w:rPr>
            </w:pPr>
            <w:r w:rsidRPr="00092B8A">
              <w:rPr>
                <w:rFonts w:eastAsia="Arial"/>
                <w:i/>
                <w:sz w:val="20"/>
                <w:lang w:val="es-ES"/>
              </w:rPr>
              <w:t>2,2</w:t>
            </w:r>
          </w:p>
        </w:tc>
        <w:tc>
          <w:tcPr>
            <w:tcW w:w="517" w:type="pct"/>
          </w:tcPr>
          <w:p w:rsidR="00F32073" w:rsidRPr="00092B8A" w:rsidRDefault="00F32073" w:rsidP="00F63716">
            <w:pPr>
              <w:ind w:right="288"/>
              <w:jc w:val="right"/>
              <w:rPr>
                <w:rFonts w:eastAsia="Arial"/>
                <w:i/>
                <w:sz w:val="20"/>
                <w:lang w:val="es-ES"/>
              </w:rPr>
            </w:pPr>
            <w:r w:rsidRPr="00092B8A">
              <w:rPr>
                <w:rFonts w:eastAsia="Arial"/>
                <w:i/>
                <w:sz w:val="20"/>
                <w:lang w:val="es-ES"/>
              </w:rPr>
              <w:t>4,1</w:t>
            </w:r>
          </w:p>
        </w:tc>
        <w:tc>
          <w:tcPr>
            <w:tcW w:w="517" w:type="pct"/>
          </w:tcPr>
          <w:p w:rsidR="00F32073" w:rsidRPr="00092B8A" w:rsidRDefault="00F32073" w:rsidP="00F63716">
            <w:pPr>
              <w:ind w:right="288"/>
              <w:jc w:val="right"/>
              <w:rPr>
                <w:rFonts w:eastAsia="Arial"/>
                <w:i/>
                <w:sz w:val="20"/>
                <w:lang w:val="es-ES"/>
              </w:rPr>
            </w:pPr>
            <w:r w:rsidRPr="00092B8A">
              <w:rPr>
                <w:rFonts w:eastAsia="Arial"/>
                <w:i/>
                <w:sz w:val="20"/>
                <w:lang w:val="es-ES"/>
              </w:rPr>
              <w:t>5,8</w:t>
            </w:r>
          </w:p>
        </w:tc>
        <w:tc>
          <w:tcPr>
            <w:tcW w:w="517" w:type="pct"/>
          </w:tcPr>
          <w:p w:rsidR="00F32073" w:rsidRPr="00092B8A" w:rsidRDefault="00F32073" w:rsidP="00F63716">
            <w:pPr>
              <w:ind w:right="288"/>
              <w:jc w:val="right"/>
              <w:rPr>
                <w:rFonts w:eastAsia="Arial"/>
                <w:i/>
                <w:sz w:val="20"/>
                <w:lang w:val="es-ES"/>
              </w:rPr>
            </w:pPr>
            <w:r w:rsidRPr="00092B8A">
              <w:rPr>
                <w:rFonts w:eastAsia="Arial"/>
                <w:i/>
                <w:sz w:val="20"/>
                <w:lang w:val="es-ES"/>
              </w:rPr>
              <w:t>6,3</w:t>
            </w:r>
          </w:p>
        </w:tc>
        <w:tc>
          <w:tcPr>
            <w:tcW w:w="517" w:type="pct"/>
          </w:tcPr>
          <w:p w:rsidR="00F32073" w:rsidRPr="00092B8A" w:rsidRDefault="00F32073" w:rsidP="00F63716">
            <w:pPr>
              <w:ind w:right="288"/>
              <w:jc w:val="right"/>
              <w:rPr>
                <w:rFonts w:eastAsia="Arial"/>
                <w:i/>
                <w:sz w:val="20"/>
                <w:lang w:val="es-ES"/>
              </w:rPr>
            </w:pPr>
            <w:r w:rsidRPr="00092B8A">
              <w:rPr>
                <w:rFonts w:eastAsia="Arial"/>
                <w:i/>
                <w:sz w:val="20"/>
                <w:lang w:val="es-ES"/>
              </w:rPr>
              <w:t>9,0</w:t>
            </w:r>
          </w:p>
        </w:tc>
        <w:tc>
          <w:tcPr>
            <w:tcW w:w="517" w:type="pct"/>
          </w:tcPr>
          <w:p w:rsidR="00F32073" w:rsidRPr="00092B8A" w:rsidRDefault="00F32073" w:rsidP="00F63716">
            <w:pPr>
              <w:ind w:right="288"/>
              <w:jc w:val="right"/>
              <w:rPr>
                <w:rFonts w:eastAsia="Arial"/>
                <w:i/>
                <w:sz w:val="20"/>
                <w:lang w:val="es-ES"/>
              </w:rPr>
            </w:pPr>
            <w:r w:rsidRPr="00092B8A">
              <w:rPr>
                <w:rFonts w:eastAsia="Arial"/>
                <w:i/>
                <w:sz w:val="20"/>
                <w:lang w:val="es-ES"/>
              </w:rPr>
              <w:t>11,0</w:t>
            </w:r>
          </w:p>
        </w:tc>
        <w:tc>
          <w:tcPr>
            <w:tcW w:w="516" w:type="pct"/>
          </w:tcPr>
          <w:p w:rsidR="00F32073" w:rsidRPr="00092B8A" w:rsidRDefault="00F32073" w:rsidP="00F32073">
            <w:pPr>
              <w:ind w:right="288"/>
              <w:jc w:val="right"/>
              <w:rPr>
                <w:rFonts w:eastAsia="Arial"/>
                <w:i/>
                <w:sz w:val="20"/>
                <w:lang w:val="es-ES"/>
              </w:rPr>
            </w:pPr>
            <w:r w:rsidRPr="00092B8A">
              <w:rPr>
                <w:rFonts w:eastAsia="Arial"/>
                <w:i/>
                <w:sz w:val="20"/>
                <w:lang w:val="es-ES"/>
              </w:rPr>
              <w:t>13.58</w:t>
            </w:r>
          </w:p>
        </w:tc>
      </w:tr>
      <w:tr w:rsidR="00F32073" w:rsidRPr="00092B8A" w:rsidTr="00F32073">
        <w:trPr>
          <w:trHeight w:val="20"/>
          <w:jc w:val="center"/>
        </w:trPr>
        <w:tc>
          <w:tcPr>
            <w:tcW w:w="1382" w:type="pct"/>
          </w:tcPr>
          <w:p w:rsidR="00F32073" w:rsidRPr="00092B8A" w:rsidRDefault="00F32073" w:rsidP="00652911">
            <w:pPr>
              <w:ind w:left="270"/>
              <w:rPr>
                <w:rFonts w:eastAsia="Arial"/>
                <w:i/>
                <w:sz w:val="20"/>
                <w:lang w:val="es-ES"/>
              </w:rPr>
            </w:pPr>
            <w:r w:rsidRPr="00092B8A">
              <w:rPr>
                <w:rFonts w:eastAsia="Arial"/>
                <w:i/>
                <w:sz w:val="20"/>
                <w:lang w:val="es-ES"/>
              </w:rPr>
              <w:t>b) Mantenimiento rutinario</w:t>
            </w:r>
          </w:p>
        </w:tc>
        <w:tc>
          <w:tcPr>
            <w:tcW w:w="517" w:type="pct"/>
          </w:tcPr>
          <w:p w:rsidR="00F32073" w:rsidRPr="00092B8A" w:rsidRDefault="00F32073" w:rsidP="00F63716">
            <w:pPr>
              <w:ind w:right="288"/>
              <w:jc w:val="right"/>
              <w:rPr>
                <w:rFonts w:eastAsia="Arial"/>
                <w:i/>
                <w:sz w:val="20"/>
                <w:lang w:val="es-ES"/>
              </w:rPr>
            </w:pPr>
            <w:r w:rsidRPr="00092B8A">
              <w:rPr>
                <w:rFonts w:eastAsia="Arial"/>
                <w:i/>
                <w:sz w:val="20"/>
                <w:lang w:val="es-ES"/>
              </w:rPr>
              <w:t>5,2</w:t>
            </w:r>
          </w:p>
        </w:tc>
        <w:tc>
          <w:tcPr>
            <w:tcW w:w="517" w:type="pct"/>
          </w:tcPr>
          <w:p w:rsidR="00F32073" w:rsidRPr="00092B8A" w:rsidRDefault="00F32073" w:rsidP="00F63716">
            <w:pPr>
              <w:ind w:right="288"/>
              <w:jc w:val="right"/>
              <w:rPr>
                <w:rFonts w:eastAsia="Arial"/>
                <w:i/>
                <w:sz w:val="20"/>
                <w:lang w:val="es-ES"/>
              </w:rPr>
            </w:pPr>
            <w:r w:rsidRPr="00092B8A">
              <w:rPr>
                <w:rFonts w:eastAsia="Arial"/>
                <w:i/>
                <w:sz w:val="20"/>
                <w:lang w:val="es-ES"/>
              </w:rPr>
              <w:t>8,9</w:t>
            </w:r>
          </w:p>
        </w:tc>
        <w:tc>
          <w:tcPr>
            <w:tcW w:w="517" w:type="pct"/>
          </w:tcPr>
          <w:p w:rsidR="00F32073" w:rsidRPr="00092B8A" w:rsidRDefault="00F32073" w:rsidP="00F63716">
            <w:pPr>
              <w:ind w:right="288"/>
              <w:jc w:val="right"/>
              <w:rPr>
                <w:rFonts w:eastAsia="Arial"/>
                <w:i/>
                <w:sz w:val="20"/>
                <w:lang w:val="es-ES"/>
              </w:rPr>
            </w:pPr>
            <w:r w:rsidRPr="00092B8A">
              <w:rPr>
                <w:rFonts w:eastAsia="Arial"/>
                <w:i/>
                <w:sz w:val="20"/>
                <w:lang w:val="es-ES"/>
              </w:rPr>
              <w:t>13,5</w:t>
            </w:r>
          </w:p>
        </w:tc>
        <w:tc>
          <w:tcPr>
            <w:tcW w:w="517" w:type="pct"/>
          </w:tcPr>
          <w:p w:rsidR="00F32073" w:rsidRPr="00092B8A" w:rsidRDefault="00F32073" w:rsidP="00F63716">
            <w:pPr>
              <w:ind w:right="288"/>
              <w:jc w:val="right"/>
              <w:rPr>
                <w:rFonts w:eastAsia="Arial"/>
                <w:i/>
                <w:sz w:val="20"/>
                <w:lang w:val="es-ES"/>
              </w:rPr>
            </w:pPr>
            <w:r w:rsidRPr="00092B8A">
              <w:rPr>
                <w:rFonts w:eastAsia="Arial"/>
                <w:i/>
                <w:sz w:val="20"/>
                <w:lang w:val="es-ES"/>
              </w:rPr>
              <w:t>14,8</w:t>
            </w:r>
          </w:p>
        </w:tc>
        <w:tc>
          <w:tcPr>
            <w:tcW w:w="517" w:type="pct"/>
          </w:tcPr>
          <w:p w:rsidR="00F32073" w:rsidRPr="00092B8A" w:rsidRDefault="00F32073" w:rsidP="00F63716">
            <w:pPr>
              <w:ind w:right="288"/>
              <w:jc w:val="right"/>
              <w:rPr>
                <w:rFonts w:eastAsia="Arial"/>
                <w:i/>
                <w:sz w:val="20"/>
                <w:lang w:val="es-ES"/>
              </w:rPr>
            </w:pPr>
            <w:r w:rsidRPr="00092B8A">
              <w:rPr>
                <w:rFonts w:eastAsia="Arial"/>
                <w:i/>
                <w:sz w:val="20"/>
                <w:lang w:val="es-ES"/>
              </w:rPr>
              <w:t>16,6</w:t>
            </w:r>
          </w:p>
        </w:tc>
        <w:tc>
          <w:tcPr>
            <w:tcW w:w="517" w:type="pct"/>
          </w:tcPr>
          <w:p w:rsidR="00F32073" w:rsidRPr="00092B8A" w:rsidRDefault="00F32073" w:rsidP="00F63716">
            <w:pPr>
              <w:pStyle w:val="Heading2"/>
              <w:numPr>
                <w:ilvl w:val="0"/>
                <w:numId w:val="0"/>
              </w:numPr>
              <w:spacing w:before="0" w:after="0"/>
              <w:ind w:left="-10" w:right="288"/>
              <w:jc w:val="right"/>
              <w:rPr>
                <w:rFonts w:ascii="Times New Roman" w:eastAsia="Arial" w:hAnsi="Times New Roman"/>
                <w:b w:val="0"/>
                <w:sz w:val="20"/>
                <w:lang w:val="es-ES"/>
              </w:rPr>
            </w:pPr>
            <w:r w:rsidRPr="00092B8A">
              <w:rPr>
                <w:rFonts w:ascii="Times New Roman" w:eastAsia="Arial" w:hAnsi="Times New Roman"/>
                <w:b w:val="0"/>
                <w:sz w:val="20"/>
                <w:lang w:val="es-ES"/>
              </w:rPr>
              <w:t>13,4</w:t>
            </w:r>
          </w:p>
        </w:tc>
        <w:tc>
          <w:tcPr>
            <w:tcW w:w="516" w:type="pct"/>
          </w:tcPr>
          <w:p w:rsidR="00F32073" w:rsidRPr="00092B8A" w:rsidRDefault="00F32073" w:rsidP="00F32073">
            <w:pPr>
              <w:ind w:right="288"/>
              <w:jc w:val="right"/>
              <w:rPr>
                <w:rFonts w:eastAsia="Arial"/>
                <w:i/>
                <w:sz w:val="20"/>
                <w:lang w:val="es-ES"/>
              </w:rPr>
            </w:pPr>
            <w:r w:rsidRPr="00092B8A">
              <w:rPr>
                <w:rFonts w:eastAsia="Arial"/>
                <w:i/>
                <w:sz w:val="20"/>
                <w:lang w:val="es-ES"/>
              </w:rPr>
              <w:t>19.47</w:t>
            </w:r>
          </w:p>
        </w:tc>
      </w:tr>
      <w:tr w:rsidR="00F32073" w:rsidRPr="00092B8A" w:rsidTr="00F32073">
        <w:trPr>
          <w:trHeight w:val="20"/>
          <w:jc w:val="center"/>
        </w:trPr>
        <w:tc>
          <w:tcPr>
            <w:tcW w:w="1382" w:type="pct"/>
          </w:tcPr>
          <w:p w:rsidR="00F32073" w:rsidRPr="00092B8A" w:rsidRDefault="00F32073" w:rsidP="00652911">
            <w:pPr>
              <w:ind w:left="270"/>
              <w:rPr>
                <w:rFonts w:eastAsia="Arial"/>
                <w:i/>
                <w:sz w:val="20"/>
                <w:lang w:val="es-ES"/>
              </w:rPr>
            </w:pPr>
            <w:r w:rsidRPr="00092B8A">
              <w:rPr>
                <w:rFonts w:eastAsia="Arial"/>
                <w:i/>
                <w:sz w:val="20"/>
                <w:lang w:val="es-ES"/>
              </w:rPr>
              <w:t>c) Transferencia municipal</w:t>
            </w:r>
          </w:p>
        </w:tc>
        <w:tc>
          <w:tcPr>
            <w:tcW w:w="517" w:type="pct"/>
          </w:tcPr>
          <w:p w:rsidR="00F32073" w:rsidRPr="00092B8A" w:rsidRDefault="00F32073" w:rsidP="00F63716">
            <w:pPr>
              <w:ind w:right="288"/>
              <w:jc w:val="right"/>
              <w:rPr>
                <w:rFonts w:eastAsia="Arial"/>
                <w:i/>
                <w:sz w:val="20"/>
                <w:lang w:val="es-ES"/>
              </w:rPr>
            </w:pPr>
            <w:r w:rsidRPr="00092B8A">
              <w:rPr>
                <w:rFonts w:eastAsia="Arial"/>
                <w:i/>
                <w:sz w:val="20"/>
                <w:lang w:val="es-ES"/>
              </w:rPr>
              <w:t>2,3</w:t>
            </w:r>
          </w:p>
        </w:tc>
        <w:tc>
          <w:tcPr>
            <w:tcW w:w="517" w:type="pct"/>
          </w:tcPr>
          <w:p w:rsidR="00F32073" w:rsidRPr="00092B8A" w:rsidRDefault="00F32073" w:rsidP="00F63716">
            <w:pPr>
              <w:ind w:right="288"/>
              <w:jc w:val="right"/>
              <w:rPr>
                <w:rFonts w:eastAsia="Arial"/>
                <w:i/>
                <w:sz w:val="20"/>
                <w:lang w:val="es-ES"/>
              </w:rPr>
            </w:pPr>
            <w:r w:rsidRPr="00092B8A">
              <w:rPr>
                <w:rFonts w:eastAsia="Arial"/>
                <w:i/>
                <w:sz w:val="20"/>
                <w:lang w:val="es-ES"/>
              </w:rPr>
              <w:t>3,2</w:t>
            </w:r>
          </w:p>
        </w:tc>
        <w:tc>
          <w:tcPr>
            <w:tcW w:w="517" w:type="pct"/>
          </w:tcPr>
          <w:p w:rsidR="00F32073" w:rsidRPr="00092B8A" w:rsidRDefault="00F32073" w:rsidP="00F63716">
            <w:pPr>
              <w:ind w:right="288"/>
              <w:jc w:val="right"/>
              <w:rPr>
                <w:rFonts w:eastAsia="Arial"/>
                <w:i/>
                <w:sz w:val="20"/>
                <w:lang w:val="es-ES"/>
              </w:rPr>
            </w:pPr>
            <w:r w:rsidRPr="00092B8A">
              <w:rPr>
                <w:rFonts w:eastAsia="Arial"/>
                <w:i/>
                <w:sz w:val="20"/>
                <w:lang w:val="es-ES"/>
              </w:rPr>
              <w:t>4,5</w:t>
            </w:r>
          </w:p>
        </w:tc>
        <w:tc>
          <w:tcPr>
            <w:tcW w:w="517" w:type="pct"/>
          </w:tcPr>
          <w:p w:rsidR="00F32073" w:rsidRPr="00092B8A" w:rsidRDefault="00F32073" w:rsidP="00F63716">
            <w:pPr>
              <w:ind w:right="288"/>
              <w:jc w:val="right"/>
              <w:rPr>
                <w:rFonts w:eastAsia="Arial"/>
                <w:i/>
                <w:sz w:val="20"/>
                <w:lang w:val="es-ES"/>
              </w:rPr>
            </w:pPr>
            <w:r w:rsidRPr="00092B8A">
              <w:rPr>
                <w:rFonts w:eastAsia="Arial"/>
                <w:i/>
                <w:sz w:val="20"/>
                <w:lang w:val="es-ES"/>
              </w:rPr>
              <w:t>6,1</w:t>
            </w:r>
          </w:p>
        </w:tc>
        <w:tc>
          <w:tcPr>
            <w:tcW w:w="517" w:type="pct"/>
          </w:tcPr>
          <w:p w:rsidR="00F32073" w:rsidRPr="00092B8A" w:rsidRDefault="00F32073" w:rsidP="00F63716">
            <w:pPr>
              <w:ind w:right="288"/>
              <w:jc w:val="right"/>
              <w:rPr>
                <w:rFonts w:eastAsia="Arial"/>
                <w:i/>
                <w:sz w:val="20"/>
                <w:lang w:val="es-ES"/>
              </w:rPr>
            </w:pPr>
            <w:r w:rsidRPr="00092B8A">
              <w:rPr>
                <w:rFonts w:eastAsia="Arial"/>
                <w:i/>
                <w:sz w:val="20"/>
                <w:lang w:val="es-ES"/>
              </w:rPr>
              <w:t>8,3</w:t>
            </w:r>
          </w:p>
        </w:tc>
        <w:tc>
          <w:tcPr>
            <w:tcW w:w="517" w:type="pct"/>
          </w:tcPr>
          <w:p w:rsidR="00F32073" w:rsidRPr="00092B8A" w:rsidRDefault="00F32073" w:rsidP="00F63716">
            <w:pPr>
              <w:ind w:right="288"/>
              <w:jc w:val="right"/>
              <w:rPr>
                <w:rFonts w:eastAsia="Arial"/>
                <w:i/>
                <w:sz w:val="20"/>
                <w:lang w:val="es-ES"/>
              </w:rPr>
            </w:pPr>
            <w:r w:rsidRPr="00092B8A">
              <w:rPr>
                <w:rFonts w:eastAsia="Arial"/>
                <w:i/>
                <w:sz w:val="20"/>
                <w:lang w:val="es-ES"/>
              </w:rPr>
              <w:t>7,7</w:t>
            </w:r>
          </w:p>
        </w:tc>
        <w:tc>
          <w:tcPr>
            <w:tcW w:w="516" w:type="pct"/>
          </w:tcPr>
          <w:p w:rsidR="00F32073" w:rsidRPr="00092B8A" w:rsidRDefault="00F32073" w:rsidP="00F32073">
            <w:pPr>
              <w:ind w:right="288"/>
              <w:jc w:val="right"/>
              <w:rPr>
                <w:rFonts w:eastAsia="Arial"/>
                <w:i/>
                <w:sz w:val="20"/>
                <w:lang w:val="es-ES"/>
              </w:rPr>
            </w:pPr>
            <w:r w:rsidRPr="00092B8A">
              <w:rPr>
                <w:rFonts w:eastAsia="Arial"/>
                <w:i/>
                <w:sz w:val="20"/>
                <w:lang w:val="es-ES"/>
              </w:rPr>
              <w:t>7.16</w:t>
            </w:r>
          </w:p>
        </w:tc>
      </w:tr>
      <w:tr w:rsidR="00F32073" w:rsidRPr="00092B8A" w:rsidTr="00F32073">
        <w:trPr>
          <w:trHeight w:val="20"/>
          <w:jc w:val="center"/>
        </w:trPr>
        <w:tc>
          <w:tcPr>
            <w:tcW w:w="1382" w:type="pct"/>
          </w:tcPr>
          <w:p w:rsidR="00F32073" w:rsidRPr="00092B8A" w:rsidRDefault="00F32073" w:rsidP="00652911">
            <w:pPr>
              <w:ind w:left="270"/>
              <w:rPr>
                <w:rFonts w:eastAsia="Arial"/>
                <w:i/>
                <w:sz w:val="20"/>
                <w:lang w:val="es-ES"/>
              </w:rPr>
            </w:pPr>
            <w:r w:rsidRPr="00092B8A">
              <w:rPr>
                <w:rFonts w:eastAsia="Arial"/>
                <w:i/>
                <w:sz w:val="20"/>
                <w:lang w:val="es-ES"/>
              </w:rPr>
              <w:t xml:space="preserve">d) Supervisión </w:t>
            </w:r>
          </w:p>
        </w:tc>
        <w:tc>
          <w:tcPr>
            <w:tcW w:w="517" w:type="pct"/>
          </w:tcPr>
          <w:p w:rsidR="00F32073" w:rsidRPr="00092B8A" w:rsidRDefault="00F32073" w:rsidP="00F63716">
            <w:pPr>
              <w:ind w:right="288"/>
              <w:jc w:val="right"/>
              <w:rPr>
                <w:rFonts w:eastAsia="Arial"/>
                <w:i/>
                <w:sz w:val="20"/>
                <w:lang w:val="es-ES"/>
              </w:rPr>
            </w:pPr>
            <w:r w:rsidRPr="00092B8A">
              <w:rPr>
                <w:rFonts w:eastAsia="Arial"/>
                <w:i/>
                <w:sz w:val="20"/>
                <w:lang w:val="es-ES"/>
              </w:rPr>
              <w:t>0,3</w:t>
            </w:r>
          </w:p>
        </w:tc>
        <w:tc>
          <w:tcPr>
            <w:tcW w:w="517" w:type="pct"/>
          </w:tcPr>
          <w:p w:rsidR="00F32073" w:rsidRPr="00092B8A" w:rsidRDefault="00F32073" w:rsidP="00F63716">
            <w:pPr>
              <w:ind w:right="288"/>
              <w:jc w:val="right"/>
              <w:rPr>
                <w:rFonts w:eastAsia="Arial"/>
                <w:i/>
                <w:sz w:val="20"/>
                <w:lang w:val="es-ES"/>
              </w:rPr>
            </w:pPr>
            <w:r w:rsidRPr="00092B8A">
              <w:rPr>
                <w:rFonts w:eastAsia="Arial"/>
                <w:i/>
                <w:sz w:val="20"/>
                <w:lang w:val="es-ES"/>
              </w:rPr>
              <w:t>1,2</w:t>
            </w:r>
          </w:p>
        </w:tc>
        <w:tc>
          <w:tcPr>
            <w:tcW w:w="517" w:type="pct"/>
          </w:tcPr>
          <w:p w:rsidR="00F32073" w:rsidRPr="00092B8A" w:rsidRDefault="00F32073" w:rsidP="00F63716">
            <w:pPr>
              <w:ind w:right="288"/>
              <w:jc w:val="right"/>
              <w:rPr>
                <w:rFonts w:eastAsia="Arial"/>
                <w:i/>
                <w:sz w:val="20"/>
                <w:lang w:val="es-ES"/>
              </w:rPr>
            </w:pPr>
            <w:r w:rsidRPr="00092B8A">
              <w:rPr>
                <w:rFonts w:eastAsia="Arial"/>
                <w:i/>
                <w:sz w:val="20"/>
                <w:lang w:val="es-ES"/>
              </w:rPr>
              <w:t>2,1</w:t>
            </w:r>
          </w:p>
        </w:tc>
        <w:tc>
          <w:tcPr>
            <w:tcW w:w="517" w:type="pct"/>
          </w:tcPr>
          <w:p w:rsidR="00F32073" w:rsidRPr="00092B8A" w:rsidRDefault="00F32073" w:rsidP="00F63716">
            <w:pPr>
              <w:ind w:right="288"/>
              <w:jc w:val="right"/>
              <w:rPr>
                <w:rFonts w:eastAsia="Arial"/>
                <w:i/>
                <w:sz w:val="20"/>
                <w:lang w:val="es-ES"/>
              </w:rPr>
            </w:pPr>
            <w:r w:rsidRPr="00092B8A">
              <w:rPr>
                <w:rFonts w:eastAsia="Arial"/>
                <w:i/>
                <w:sz w:val="20"/>
                <w:lang w:val="es-ES"/>
              </w:rPr>
              <w:t>1,7</w:t>
            </w:r>
          </w:p>
        </w:tc>
        <w:tc>
          <w:tcPr>
            <w:tcW w:w="517" w:type="pct"/>
          </w:tcPr>
          <w:p w:rsidR="00F32073" w:rsidRPr="00092B8A" w:rsidRDefault="00F32073" w:rsidP="00F63716">
            <w:pPr>
              <w:ind w:right="288"/>
              <w:jc w:val="right"/>
              <w:rPr>
                <w:rFonts w:eastAsia="Arial"/>
                <w:i/>
                <w:sz w:val="20"/>
                <w:lang w:val="es-ES"/>
              </w:rPr>
            </w:pPr>
            <w:r w:rsidRPr="00092B8A">
              <w:rPr>
                <w:rFonts w:eastAsia="Arial"/>
                <w:i/>
                <w:sz w:val="20"/>
                <w:lang w:val="es-ES"/>
              </w:rPr>
              <w:t>2,9</w:t>
            </w:r>
          </w:p>
        </w:tc>
        <w:tc>
          <w:tcPr>
            <w:tcW w:w="517" w:type="pct"/>
          </w:tcPr>
          <w:p w:rsidR="00F32073" w:rsidRPr="00092B8A" w:rsidRDefault="00F32073" w:rsidP="00F63716">
            <w:pPr>
              <w:ind w:right="288"/>
              <w:jc w:val="right"/>
              <w:rPr>
                <w:rFonts w:eastAsia="Arial"/>
                <w:i/>
                <w:sz w:val="20"/>
                <w:lang w:val="es-ES"/>
              </w:rPr>
            </w:pPr>
            <w:r w:rsidRPr="00092B8A">
              <w:rPr>
                <w:rFonts w:eastAsia="Arial"/>
                <w:i/>
                <w:sz w:val="20"/>
                <w:lang w:val="es-ES"/>
              </w:rPr>
              <w:t>2,5</w:t>
            </w:r>
          </w:p>
        </w:tc>
        <w:tc>
          <w:tcPr>
            <w:tcW w:w="516" w:type="pct"/>
          </w:tcPr>
          <w:p w:rsidR="00F32073" w:rsidRPr="00092B8A" w:rsidRDefault="00F32073" w:rsidP="00F32073">
            <w:pPr>
              <w:ind w:right="288"/>
              <w:jc w:val="right"/>
              <w:rPr>
                <w:rFonts w:eastAsia="Arial"/>
                <w:i/>
                <w:sz w:val="20"/>
                <w:lang w:val="es-ES"/>
              </w:rPr>
            </w:pPr>
            <w:r w:rsidRPr="00092B8A">
              <w:rPr>
                <w:rFonts w:eastAsia="Arial"/>
                <w:i/>
                <w:sz w:val="20"/>
                <w:lang w:val="es-ES"/>
              </w:rPr>
              <w:t>2.13</w:t>
            </w:r>
          </w:p>
        </w:tc>
      </w:tr>
      <w:tr w:rsidR="00F32073" w:rsidRPr="00092B8A" w:rsidTr="00F32073">
        <w:trPr>
          <w:trHeight w:val="20"/>
          <w:jc w:val="center"/>
        </w:trPr>
        <w:tc>
          <w:tcPr>
            <w:tcW w:w="1382" w:type="pct"/>
          </w:tcPr>
          <w:p w:rsidR="00F32073" w:rsidRPr="00092B8A" w:rsidRDefault="00F32073" w:rsidP="00652911">
            <w:pPr>
              <w:ind w:left="270"/>
              <w:rPr>
                <w:rFonts w:eastAsia="Arial"/>
                <w:i/>
                <w:sz w:val="20"/>
                <w:lang w:val="es-ES"/>
              </w:rPr>
            </w:pPr>
            <w:r w:rsidRPr="00092B8A">
              <w:rPr>
                <w:rFonts w:eastAsia="Arial"/>
                <w:i/>
                <w:sz w:val="20"/>
                <w:lang w:val="es-ES"/>
              </w:rPr>
              <w:t xml:space="preserve">e) Otros gastos </w:t>
            </w:r>
          </w:p>
        </w:tc>
        <w:tc>
          <w:tcPr>
            <w:tcW w:w="517" w:type="pct"/>
          </w:tcPr>
          <w:p w:rsidR="00F32073" w:rsidRPr="00092B8A" w:rsidRDefault="00F32073" w:rsidP="00F63716">
            <w:pPr>
              <w:ind w:right="288"/>
              <w:jc w:val="right"/>
              <w:rPr>
                <w:rFonts w:eastAsia="Arial"/>
                <w:i/>
                <w:sz w:val="20"/>
                <w:lang w:val="es-ES"/>
              </w:rPr>
            </w:pPr>
            <w:r w:rsidRPr="00092B8A">
              <w:rPr>
                <w:rFonts w:eastAsia="Arial"/>
                <w:i/>
                <w:sz w:val="20"/>
                <w:lang w:val="es-ES"/>
              </w:rPr>
              <w:t>0,6</w:t>
            </w:r>
          </w:p>
        </w:tc>
        <w:tc>
          <w:tcPr>
            <w:tcW w:w="517" w:type="pct"/>
          </w:tcPr>
          <w:p w:rsidR="00F32073" w:rsidRPr="00092B8A" w:rsidRDefault="00F32073" w:rsidP="00F63716">
            <w:pPr>
              <w:ind w:right="288"/>
              <w:jc w:val="right"/>
              <w:rPr>
                <w:rFonts w:eastAsia="Arial"/>
                <w:i/>
                <w:sz w:val="20"/>
                <w:lang w:val="es-ES"/>
              </w:rPr>
            </w:pPr>
            <w:r w:rsidRPr="00092B8A">
              <w:rPr>
                <w:rFonts w:eastAsia="Arial"/>
                <w:i/>
                <w:sz w:val="20"/>
                <w:lang w:val="es-ES"/>
              </w:rPr>
              <w:t>1,0</w:t>
            </w:r>
          </w:p>
        </w:tc>
        <w:tc>
          <w:tcPr>
            <w:tcW w:w="517" w:type="pct"/>
          </w:tcPr>
          <w:p w:rsidR="00F32073" w:rsidRPr="00092B8A" w:rsidRDefault="00F32073" w:rsidP="00F63716">
            <w:pPr>
              <w:ind w:right="288"/>
              <w:jc w:val="right"/>
              <w:rPr>
                <w:rFonts w:eastAsia="Arial"/>
                <w:i/>
                <w:sz w:val="20"/>
                <w:lang w:val="es-ES"/>
              </w:rPr>
            </w:pPr>
            <w:r w:rsidRPr="00092B8A">
              <w:rPr>
                <w:rFonts w:eastAsia="Arial"/>
                <w:i/>
                <w:sz w:val="20"/>
                <w:lang w:val="es-ES"/>
              </w:rPr>
              <w:t>1,2</w:t>
            </w:r>
          </w:p>
        </w:tc>
        <w:tc>
          <w:tcPr>
            <w:tcW w:w="517" w:type="pct"/>
          </w:tcPr>
          <w:p w:rsidR="00F32073" w:rsidRPr="00092B8A" w:rsidRDefault="00F32073" w:rsidP="00F63716">
            <w:pPr>
              <w:ind w:right="288"/>
              <w:jc w:val="right"/>
              <w:rPr>
                <w:rFonts w:eastAsia="Arial"/>
                <w:i/>
                <w:sz w:val="20"/>
                <w:lang w:val="es-ES"/>
              </w:rPr>
            </w:pPr>
            <w:r w:rsidRPr="00092B8A">
              <w:rPr>
                <w:rFonts w:eastAsia="Arial"/>
                <w:i/>
                <w:sz w:val="20"/>
                <w:lang w:val="es-ES"/>
              </w:rPr>
              <w:t>1,2</w:t>
            </w:r>
          </w:p>
        </w:tc>
        <w:tc>
          <w:tcPr>
            <w:tcW w:w="517" w:type="pct"/>
          </w:tcPr>
          <w:p w:rsidR="00F32073" w:rsidRPr="00092B8A" w:rsidRDefault="00F32073" w:rsidP="00F63716">
            <w:pPr>
              <w:ind w:right="288"/>
              <w:jc w:val="right"/>
              <w:rPr>
                <w:rFonts w:eastAsia="Arial"/>
                <w:i/>
                <w:sz w:val="20"/>
                <w:lang w:val="es-ES"/>
              </w:rPr>
            </w:pPr>
            <w:r w:rsidRPr="00092B8A">
              <w:rPr>
                <w:rFonts w:eastAsia="Arial"/>
                <w:i/>
                <w:sz w:val="20"/>
                <w:lang w:val="es-ES"/>
              </w:rPr>
              <w:t>1,5</w:t>
            </w:r>
          </w:p>
        </w:tc>
        <w:tc>
          <w:tcPr>
            <w:tcW w:w="517" w:type="pct"/>
          </w:tcPr>
          <w:p w:rsidR="00F32073" w:rsidRPr="00092B8A" w:rsidRDefault="00F32073" w:rsidP="00F63716">
            <w:pPr>
              <w:ind w:right="288"/>
              <w:jc w:val="right"/>
              <w:rPr>
                <w:rFonts w:eastAsia="Arial"/>
                <w:i/>
                <w:sz w:val="20"/>
                <w:lang w:val="es-ES"/>
              </w:rPr>
            </w:pPr>
            <w:r w:rsidRPr="00092B8A">
              <w:rPr>
                <w:rFonts w:eastAsia="Arial"/>
                <w:i/>
                <w:sz w:val="20"/>
                <w:lang w:val="es-ES"/>
              </w:rPr>
              <w:t>1,5</w:t>
            </w:r>
          </w:p>
        </w:tc>
        <w:tc>
          <w:tcPr>
            <w:tcW w:w="516" w:type="pct"/>
          </w:tcPr>
          <w:p w:rsidR="00F32073" w:rsidRPr="00092B8A" w:rsidRDefault="00F32073" w:rsidP="00F32073">
            <w:pPr>
              <w:ind w:right="288"/>
              <w:jc w:val="right"/>
              <w:rPr>
                <w:rFonts w:eastAsia="Arial"/>
                <w:i/>
                <w:sz w:val="20"/>
                <w:lang w:val="es-ES"/>
              </w:rPr>
            </w:pPr>
            <w:r w:rsidRPr="00092B8A">
              <w:rPr>
                <w:rFonts w:eastAsia="Arial"/>
                <w:i/>
                <w:sz w:val="20"/>
                <w:lang w:val="es-ES"/>
              </w:rPr>
              <w:t>1.43</w:t>
            </w:r>
          </w:p>
        </w:tc>
      </w:tr>
    </w:tbl>
    <w:p w:rsidR="00540901" w:rsidRPr="00092B8A" w:rsidRDefault="008F0E86" w:rsidP="00540901">
      <w:pPr>
        <w:rPr>
          <w:sz w:val="20"/>
          <w:lang w:val="es-ES"/>
        </w:rPr>
      </w:pPr>
      <w:r w:rsidRPr="00092B8A">
        <w:rPr>
          <w:sz w:val="20"/>
          <w:lang w:val="es-ES"/>
        </w:rPr>
        <w:t>Fuente: FOMAV</w:t>
      </w:r>
    </w:p>
    <w:p w:rsidR="008F0E86" w:rsidRPr="00092B8A" w:rsidRDefault="008F0E86" w:rsidP="00540901">
      <w:pPr>
        <w:rPr>
          <w:sz w:val="20"/>
          <w:lang w:val="es-ES"/>
        </w:rPr>
      </w:pPr>
    </w:p>
    <w:p w:rsidR="006D755F" w:rsidRPr="00092B8A" w:rsidRDefault="006D176D" w:rsidP="006D176D">
      <w:pPr>
        <w:pStyle w:val="Paragraph"/>
        <w:numPr>
          <w:ilvl w:val="1"/>
          <w:numId w:val="2"/>
        </w:numPr>
        <w:ind w:left="720" w:hanging="720"/>
      </w:pPr>
      <w:bookmarkStart w:id="48" w:name="_Ref292982959"/>
      <w:r w:rsidRPr="00092B8A">
        <w:lastRenderedPageBreak/>
        <w:t xml:space="preserve">Uno de los principales avances institucionales en Nicaragua, en materia vial, es la creación del Fondo de Mantenimiento Vial (FOMAV), un ente autónomo del Estado que tiene por función garantizar la conservación de la red vial </w:t>
      </w:r>
      <w:proofErr w:type="spellStart"/>
      <w:r w:rsidRPr="00092B8A">
        <w:t>mantenible</w:t>
      </w:r>
      <w:proofErr w:type="spellEnd"/>
      <w:r w:rsidRPr="00092B8A">
        <w:t xml:space="preserve"> a nivel nacional</w:t>
      </w:r>
      <w:r w:rsidRPr="00092B8A">
        <w:rPr>
          <w:vertAlign w:val="superscript"/>
        </w:rPr>
        <w:footnoteReference w:id="3"/>
      </w:r>
      <w:r w:rsidRPr="00092B8A">
        <w:t>.</w:t>
      </w:r>
      <w:r w:rsidRPr="00092B8A">
        <w:rPr>
          <w:vertAlign w:val="superscript"/>
        </w:rPr>
        <w:t xml:space="preserve"> </w:t>
      </w:r>
      <w:r w:rsidRPr="00092B8A">
        <w:t xml:space="preserve">Su financiamiento proviene principalmente de una sobretasa </w:t>
      </w:r>
      <w:r w:rsidR="00E91D3A" w:rsidRPr="00092B8A">
        <w:t>aplicada al costo de</w:t>
      </w:r>
      <w:r w:rsidRPr="00092B8A">
        <w:t xml:space="preserve"> la gasolina y el </w:t>
      </w:r>
      <w:proofErr w:type="spellStart"/>
      <w:r w:rsidRPr="00092B8A">
        <w:t>diesel</w:t>
      </w:r>
      <w:proofErr w:type="spellEnd"/>
      <w:r w:rsidRPr="00092B8A">
        <w:t xml:space="preserve"> (US$0,16 por galón), </w:t>
      </w:r>
      <w:r w:rsidR="006D755F" w:rsidRPr="00092B8A">
        <w:t>como así también de recursos de préstamos o donaciones provistos por organismos bilaterales o multilaterales de desarrollo. L</w:t>
      </w:r>
      <w:r w:rsidR="00E91D3A" w:rsidRPr="00092B8A">
        <w:t>a</w:t>
      </w:r>
      <w:r w:rsidR="006D755F" w:rsidRPr="00092B8A">
        <w:t xml:space="preserve"> ley de creación de FOMAV establece que un 20% de lo</w:t>
      </w:r>
      <w:r w:rsidR="00E91D3A" w:rsidRPr="00092B8A">
        <w:t xml:space="preserve"> percibido por la sobretasa </w:t>
      </w:r>
      <w:r w:rsidR="006D755F" w:rsidRPr="00092B8A">
        <w:t xml:space="preserve">debe transferirse a las municipalidades, </w:t>
      </w:r>
      <w:r w:rsidR="00E91D3A" w:rsidRPr="00092B8A">
        <w:t xml:space="preserve">razón por la cual lo aplicable al mantenimiento de la red básica es sustancialmente menor que lo percibido. En 2012 se percibieron US$ </w:t>
      </w:r>
      <w:r w:rsidR="00F9514D" w:rsidRPr="00092B8A">
        <w:t>46,6</w:t>
      </w:r>
      <w:r w:rsidR="00E91D3A" w:rsidRPr="00092B8A">
        <w:t xml:space="preserve"> millones pero el </w:t>
      </w:r>
      <w:r w:rsidRPr="00092B8A">
        <w:t xml:space="preserve">presupuesto efectivo </w:t>
      </w:r>
      <w:r w:rsidR="00E91D3A" w:rsidRPr="00092B8A">
        <w:t xml:space="preserve">aplicable a la </w:t>
      </w:r>
      <w:r w:rsidR="00217B41" w:rsidRPr="00092B8A">
        <w:t xml:space="preserve">red básica </w:t>
      </w:r>
      <w:proofErr w:type="spellStart"/>
      <w:r w:rsidR="00217B41" w:rsidRPr="00092B8A">
        <w:t>mantenible</w:t>
      </w:r>
      <w:proofErr w:type="spellEnd"/>
      <w:r w:rsidR="00217B41" w:rsidRPr="00092B8A">
        <w:t xml:space="preserve"> fue de </w:t>
      </w:r>
      <w:r w:rsidRPr="00092B8A">
        <w:t>US$</w:t>
      </w:r>
      <w:r w:rsidR="00F9514D" w:rsidRPr="00092B8A">
        <w:t xml:space="preserve"> </w:t>
      </w:r>
      <w:r w:rsidR="0014268E" w:rsidRPr="00092B8A">
        <w:t>36,6</w:t>
      </w:r>
      <w:r w:rsidRPr="00092B8A">
        <w:t xml:space="preserve"> millones</w:t>
      </w:r>
      <w:r w:rsidR="00217B41" w:rsidRPr="00092B8A">
        <w:t>.</w:t>
      </w:r>
    </w:p>
    <w:bookmarkEnd w:id="48"/>
    <w:p w:rsidR="00AE35E5" w:rsidRPr="00092B8A" w:rsidRDefault="002D2DB4" w:rsidP="00540901">
      <w:pPr>
        <w:pStyle w:val="Paragraph"/>
        <w:numPr>
          <w:ilvl w:val="1"/>
          <w:numId w:val="2"/>
        </w:numPr>
        <w:ind w:left="720" w:hanging="720"/>
      </w:pPr>
      <w:r w:rsidRPr="00092B8A">
        <w:rPr>
          <w:noProof/>
          <w:lang w:val="en-US"/>
        </w:rPr>
        <w:drawing>
          <wp:anchor distT="0" distB="0" distL="114300" distR="114300" simplePos="0" relativeHeight="251658240" behindDoc="0" locked="0" layoutInCell="1" allowOverlap="1" wp14:anchorId="2B2C4514" wp14:editId="5C62E828">
            <wp:simplePos x="0" y="0"/>
            <wp:positionH relativeFrom="margin">
              <wp:posOffset>3028950</wp:posOffset>
            </wp:positionH>
            <wp:positionV relativeFrom="margin">
              <wp:posOffset>2072005</wp:posOffset>
            </wp:positionV>
            <wp:extent cx="2922905" cy="1979295"/>
            <wp:effectExtent l="0" t="0" r="0" b="190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22905" cy="1979295"/>
                    </a:xfrm>
                    <a:prstGeom prst="rect">
                      <a:avLst/>
                    </a:prstGeom>
                    <a:noFill/>
                  </pic:spPr>
                </pic:pic>
              </a:graphicData>
            </a:graphic>
            <wp14:sizeRelH relativeFrom="margin">
              <wp14:pctWidth>0</wp14:pctWidth>
            </wp14:sizeRelH>
            <wp14:sizeRelV relativeFrom="margin">
              <wp14:pctHeight>0</wp14:pctHeight>
            </wp14:sizeRelV>
          </wp:anchor>
        </w:drawing>
      </w:r>
      <w:r w:rsidR="00A06E61" w:rsidRPr="00092B8A">
        <w:t>Los Cuadros 3 y 4 muestran que el sector vial nicaragüense ha recibido en el pasado reciente importantes financiamientos. Las cifras muestran un crecimiento promedio anual del 19% en los presupuestos ejecutados, que van desde US$ 55 millones en 2006 a US$ 157 millones en 2012. El crecimiento es también reflejo de un incremento de la capacidad institucional del MTI y de la asignación incremental de recursos a</w:t>
      </w:r>
      <w:r w:rsidR="00A86BCE" w:rsidRPr="00092B8A">
        <w:t>l</w:t>
      </w:r>
      <w:r w:rsidR="00A06E61" w:rsidRPr="00092B8A">
        <w:t xml:space="preserve"> FOMAV.</w:t>
      </w:r>
      <w:r w:rsidR="0057665B" w:rsidRPr="00092B8A">
        <w:t xml:space="preserve"> Las tendencias observadas indican que</w:t>
      </w:r>
      <w:r w:rsidR="00276AFE" w:rsidRPr="00092B8A">
        <w:t xml:space="preserve">, de seguir la misma inercia, </w:t>
      </w:r>
      <w:r w:rsidR="0057665B" w:rsidRPr="00092B8A">
        <w:t>en los próximos años el total a ejecutar podrá ubicarse entre US$ 160 y 180 millones.</w:t>
      </w:r>
    </w:p>
    <w:p w:rsidR="00C421F6" w:rsidRPr="00092B8A" w:rsidRDefault="00A06E61" w:rsidP="000475A4">
      <w:pPr>
        <w:pStyle w:val="Paragraph"/>
        <w:numPr>
          <w:ilvl w:val="1"/>
          <w:numId w:val="2"/>
        </w:numPr>
        <w:ind w:left="720" w:hanging="720"/>
      </w:pPr>
      <w:r w:rsidRPr="00092B8A">
        <w:t xml:space="preserve">El Cuadro 4 muestra el gasto en mantenimiento del FOMAV en los últimos </w:t>
      </w:r>
      <w:r w:rsidR="000475A4" w:rsidRPr="00092B8A">
        <w:t xml:space="preserve">siete </w:t>
      </w:r>
      <w:r w:rsidRPr="00092B8A">
        <w:t>años, consecuencia de un aumento incremental de la sobretasa</w:t>
      </w:r>
      <w:r w:rsidR="00A22931" w:rsidRPr="00092B8A">
        <w:t xml:space="preserve"> y del mayor consumo de combustibles</w:t>
      </w:r>
      <w:r w:rsidRPr="00092B8A">
        <w:t xml:space="preserve">. Sin embargo, </w:t>
      </w:r>
      <w:r w:rsidR="000475A4" w:rsidRPr="00092B8A">
        <w:t xml:space="preserve">sus estimaciones indican que </w:t>
      </w:r>
      <w:r w:rsidRPr="00092B8A">
        <w:t xml:space="preserve">lo percibido por la sobretasa </w:t>
      </w:r>
      <w:r w:rsidR="000475A4" w:rsidRPr="00092B8A">
        <w:t xml:space="preserve">no será suficiente para atender </w:t>
      </w:r>
      <w:r w:rsidR="00A22931" w:rsidRPr="00092B8A">
        <w:t xml:space="preserve">las necesidades que han quedado postergadas, ni tampoco las nuevas que general </w:t>
      </w:r>
      <w:r w:rsidR="00276AFE" w:rsidRPr="00092B8A">
        <w:t xml:space="preserve">una red que se deteriora rápidamente. Por su parte, </w:t>
      </w:r>
      <w:r w:rsidR="00A22931" w:rsidRPr="00092B8A">
        <w:t>la duplicación de</w:t>
      </w:r>
      <w:r w:rsidR="00276AFE" w:rsidRPr="00092B8A">
        <w:t>l</w:t>
      </w:r>
      <w:r w:rsidR="00A22931" w:rsidRPr="00092B8A">
        <w:t xml:space="preserve"> </w:t>
      </w:r>
      <w:r w:rsidR="00276AFE" w:rsidRPr="00092B8A">
        <w:t xml:space="preserve">monto de </w:t>
      </w:r>
      <w:r w:rsidR="00A22931" w:rsidRPr="00092B8A">
        <w:t>inversiones que ha hecho el MTI</w:t>
      </w:r>
      <w:r w:rsidR="00276AFE" w:rsidRPr="00092B8A">
        <w:t xml:space="preserve"> en los recientes años, vendrá a crear en </w:t>
      </w:r>
      <w:r w:rsidR="0096493D" w:rsidRPr="00092B8A">
        <w:t>el futuro cercano mayores presiones para el financiamiento del mantenimiento</w:t>
      </w:r>
      <w:r w:rsidR="00385677" w:rsidRPr="00092B8A">
        <w:t xml:space="preserve"> (con el objetivo de conservar patrimonio)</w:t>
      </w:r>
      <w:r w:rsidR="00A22931" w:rsidRPr="00092B8A">
        <w:t>.</w:t>
      </w:r>
    </w:p>
    <w:p w:rsidR="00A06E61" w:rsidRPr="00092B8A" w:rsidRDefault="00385677" w:rsidP="000475A4">
      <w:pPr>
        <w:pStyle w:val="Paragraph"/>
        <w:numPr>
          <w:ilvl w:val="1"/>
          <w:numId w:val="2"/>
        </w:numPr>
        <w:ind w:left="720" w:hanging="720"/>
      </w:pPr>
      <w:r w:rsidRPr="00092B8A">
        <w:t>Lo anterior sugiere que e</w:t>
      </w:r>
      <w:r w:rsidR="00A06E61" w:rsidRPr="00092B8A">
        <w:t xml:space="preserve">l principal reto </w:t>
      </w:r>
      <w:r w:rsidR="0096493D" w:rsidRPr="00092B8A">
        <w:t xml:space="preserve">para el sector es </w:t>
      </w:r>
      <w:r w:rsidR="00A06E61" w:rsidRPr="00092B8A">
        <w:t>encontrar nuevas fuentes de financiación</w:t>
      </w:r>
      <w:r w:rsidRPr="00092B8A">
        <w:t xml:space="preserve">. </w:t>
      </w:r>
      <w:r w:rsidR="00A22931" w:rsidRPr="00092B8A">
        <w:t xml:space="preserve">Más adelante en la Sección D de este documento se </w:t>
      </w:r>
      <w:r w:rsidRPr="00092B8A">
        <w:t xml:space="preserve">estimarán las necesidades para la rehabilitación y el mantenimiento de la red vial nicaragüense y se </w:t>
      </w:r>
      <w:r w:rsidR="00A22931" w:rsidRPr="00092B8A">
        <w:t xml:space="preserve">compararán </w:t>
      </w:r>
      <w:r w:rsidRPr="00092B8A">
        <w:t>con las ejecuciones actuales.</w:t>
      </w:r>
    </w:p>
    <w:p w:rsidR="003968BA" w:rsidRPr="00092B8A" w:rsidRDefault="003968BA">
      <w:pPr>
        <w:jc w:val="both"/>
        <w:rPr>
          <w:lang w:val="es-ES"/>
        </w:rPr>
      </w:pPr>
    </w:p>
    <w:p w:rsidR="00470BD6" w:rsidRPr="00092B8A" w:rsidRDefault="00470BD6">
      <w:pPr>
        <w:jc w:val="both"/>
        <w:rPr>
          <w:b/>
          <w:lang w:val="es-ES"/>
        </w:rPr>
      </w:pPr>
      <w:r w:rsidRPr="00092B8A">
        <w:rPr>
          <w:lang w:val="es-ES"/>
        </w:rPr>
        <w:br w:type="page"/>
      </w:r>
    </w:p>
    <w:p w:rsidR="003968BA" w:rsidRPr="003741D2" w:rsidRDefault="003968BA" w:rsidP="00470BD6">
      <w:pPr>
        <w:pStyle w:val="FirstHeading"/>
        <w:numPr>
          <w:ilvl w:val="0"/>
          <w:numId w:val="7"/>
        </w:numPr>
        <w:rPr>
          <w:rFonts w:ascii="Verdana" w:hAnsi="Verdana"/>
          <w:u w:val="single"/>
        </w:rPr>
      </w:pPr>
      <w:r w:rsidRPr="003741D2">
        <w:rPr>
          <w:rFonts w:ascii="Verdana" w:hAnsi="Verdana"/>
          <w:u w:val="single"/>
        </w:rPr>
        <w:t>Logística e integración en Mesoamérica</w:t>
      </w:r>
    </w:p>
    <w:p w:rsidR="008D2E06" w:rsidRPr="00092B8A" w:rsidRDefault="008D2E06" w:rsidP="008D2E06">
      <w:pPr>
        <w:pStyle w:val="Paragraph"/>
        <w:numPr>
          <w:ilvl w:val="1"/>
          <w:numId w:val="8"/>
        </w:numPr>
        <w:ind w:left="720" w:hanging="720"/>
      </w:pPr>
      <w:r w:rsidRPr="00092B8A">
        <w:rPr>
          <w:b/>
        </w:rPr>
        <w:t>Antecedentes.</w:t>
      </w:r>
      <w:r w:rsidRPr="00092B8A">
        <w:t xml:space="preserve"> En julio de 2009 se celebró en Guanacaste, Costa Rica, la XI Cumbre de Mandatarios del Mecanismo de Diálogo y Concertación de Tuxtla, del cual el Proyecto Mesoamérica (PM) es el brazo ejecutor. En dicha Cumbre los Mandatarios acordaron orientar la agenda del transporte del PM hacia la creación de un sistema de transporte multimodal. En este marco se decidió realizar estudios integrados que incluyeran los modos ferroviario, marítimo y carretero. Así, se fijó una agenda del sector transporte del PM, orientada a facilitar la conectividad interna y externa de las economías de la región, mediante el mejoramiento de la infraestructura de transporte y para la integración. La agenda incluye también la armonización de legislaciones y regulaciones, con el objetivo de reducir costos de transporte, mejorar la competitividad y mejorar el acceso a mercados internos y externos.</w:t>
      </w:r>
    </w:p>
    <w:p w:rsidR="008D2E06" w:rsidRPr="00092B8A" w:rsidRDefault="008D2E06" w:rsidP="008D2E06">
      <w:pPr>
        <w:pStyle w:val="Paragraph"/>
        <w:numPr>
          <w:ilvl w:val="1"/>
          <w:numId w:val="8"/>
        </w:numPr>
        <w:ind w:left="720" w:hanging="720"/>
      </w:pPr>
      <w:r w:rsidRPr="00092B8A">
        <w:t xml:space="preserve">Además de disponer de infraestructura de integración y multimodal apropiada, otra de las necesidades imprescindibles discutida para el desarrollo de Mesoamérica como región, es asegurar cadenas logísticas eficientes. En el ámbito del PM se ha convenido que la mayor eficiencia se logrará considerando las mejores capacidades de cada modo de transporte para adaptarse a las características del comercio internacional en cada país, a la naturaleza de los flujos atendidos y a las ventajas competitivas de la región en general. Se convino también en que la estrategia para desarrollar cadenas logísticas eficientes no debe remitirse exclusivamente a la logística del comercio exterior, sino también enfocarse en la logística doméstica de cada país. Lo aprendido hasta ahora indica que la logística doméstica impacta los costos de distribución interna y éstos a su vez comprometen el acceso a servicios de transporte de calidad de las </w:t>
      </w:r>
      <w:proofErr w:type="spellStart"/>
      <w:r w:rsidRPr="00092B8A">
        <w:t>PyMES</w:t>
      </w:r>
      <w:proofErr w:type="spellEnd"/>
      <w:r w:rsidRPr="00092B8A">
        <w:t>, verdadero motor de la economía de Mesoamérica.</w:t>
      </w:r>
    </w:p>
    <w:p w:rsidR="008D2E06" w:rsidRPr="00092B8A" w:rsidRDefault="008D2E06" w:rsidP="008D2E06">
      <w:pPr>
        <w:pStyle w:val="Paragraph"/>
        <w:numPr>
          <w:ilvl w:val="1"/>
          <w:numId w:val="8"/>
        </w:numPr>
        <w:ind w:left="720" w:hanging="720"/>
      </w:pPr>
      <w:r w:rsidRPr="00092B8A">
        <w:rPr>
          <w:b/>
        </w:rPr>
        <w:t>Trabajo realizado y en curso.</w:t>
      </w:r>
      <w:r w:rsidRPr="00092B8A">
        <w:t xml:space="preserve"> De conformidad con lo anterior, el Banco Interamericano de Desarrollo (BID) ejecuta </w:t>
      </w:r>
      <w:r w:rsidR="00705649" w:rsidRPr="00092B8A">
        <w:t xml:space="preserve">en Mesoamérica diversas cooperaciones técnicas. De ellas, la más importante en temas de logística e integración es </w:t>
      </w:r>
      <w:r w:rsidRPr="00092B8A">
        <w:t>la RG-T1660 “</w:t>
      </w:r>
      <w:r w:rsidRPr="00092B8A">
        <w:rPr>
          <w:i/>
        </w:rPr>
        <w:t>Análisis de la Logística de Cargas en Mesoamérica</w:t>
      </w:r>
      <w:r w:rsidRPr="00092B8A">
        <w:t xml:space="preserve">”. Su propósito es identificar los principales flujos y las características del transporte de carga, los desafíos existentes a la logística y los aspectos a mejorar para la facilitación del comercio y para el funcionamiento de las aduanas. Entre otros, la CT ha generado un sistema de información para apoyar procesos de toma de decisión, ha identificado cuellos de botella que comprometen el desempeño logístico, ha identificado oportunidades y requerimientos para mejorar los servicios de transporte (regulación, modernización de operadores, terminales portuarias, instalaciones de infraestructura logística especializada, accesos y </w:t>
      </w:r>
      <w:proofErr w:type="spellStart"/>
      <w:r w:rsidRPr="00092B8A">
        <w:t>by-passes</w:t>
      </w:r>
      <w:proofErr w:type="spellEnd"/>
      <w:r w:rsidRPr="00092B8A">
        <w:t xml:space="preserve"> urbanos, etc.) y ha identificado medidas para mayor facilitación del comercio y mejor funcionamiento de las aduanas.</w:t>
      </w:r>
    </w:p>
    <w:p w:rsidR="008D2E06" w:rsidRPr="00092B8A" w:rsidRDefault="008D2E06" w:rsidP="008D2E06">
      <w:pPr>
        <w:pStyle w:val="Paragraph"/>
        <w:numPr>
          <w:ilvl w:val="1"/>
          <w:numId w:val="8"/>
        </w:numPr>
        <w:ind w:left="720" w:hanging="720"/>
      </w:pPr>
      <w:r w:rsidRPr="00092B8A">
        <w:t>Además de la RG-T1660, existen en el ámbito del PM otras c</w:t>
      </w:r>
      <w:r w:rsidRPr="00092B8A">
        <w:rPr>
          <w:bCs/>
        </w:rPr>
        <w:t xml:space="preserve">ooperaciones técnicas no reembolsables </w:t>
      </w:r>
      <w:r w:rsidR="00E668D3" w:rsidRPr="00092B8A">
        <w:rPr>
          <w:bCs/>
        </w:rPr>
        <w:t xml:space="preserve">en ejecución, también </w:t>
      </w:r>
      <w:r w:rsidRPr="00092B8A">
        <w:rPr>
          <w:bCs/>
        </w:rPr>
        <w:t>financiadas por el BID</w:t>
      </w:r>
      <w:r w:rsidR="00E668D3" w:rsidRPr="00092B8A">
        <w:rPr>
          <w:bCs/>
        </w:rPr>
        <w:t>. Como muestra la tabla a continuación, con distintos objetivos específicos y distinto grado de avance, todas estas cooperaciones técnicas contribuyen al interés general de facilitar la conectividad interna y externa de Mesoamérica.</w:t>
      </w:r>
    </w:p>
    <w:p w:rsidR="00DF27CB" w:rsidRPr="00092B8A" w:rsidRDefault="00DF27CB" w:rsidP="00DF27CB">
      <w:pPr>
        <w:rPr>
          <w:lang w:val="es-ES"/>
        </w:rPr>
      </w:pPr>
    </w:p>
    <w:p w:rsidR="00DF27CB" w:rsidRPr="00092B8A" w:rsidRDefault="00DF27CB" w:rsidP="00DF27CB">
      <w:pPr>
        <w:rPr>
          <w:lang w:val="es-ES"/>
        </w:rPr>
      </w:pPr>
    </w:p>
    <w:tbl>
      <w:tblPr>
        <w:tblW w:w="8669" w:type="dxa"/>
        <w:tblInd w:w="720" w:type="dxa"/>
        <w:tblBorders>
          <w:insideH w:val="single" w:sz="4" w:space="0" w:color="auto"/>
        </w:tblBorders>
        <w:tblLayout w:type="fixed"/>
        <w:tblCellMar>
          <w:left w:w="29" w:type="dxa"/>
          <w:bottom w:w="58" w:type="dxa"/>
          <w:right w:w="29" w:type="dxa"/>
        </w:tblCellMar>
        <w:tblLook w:val="0000" w:firstRow="0" w:lastRow="0" w:firstColumn="0" w:lastColumn="0" w:noHBand="0" w:noVBand="0"/>
      </w:tblPr>
      <w:tblGrid>
        <w:gridCol w:w="7049"/>
        <w:gridCol w:w="1620"/>
      </w:tblGrid>
      <w:tr w:rsidR="008D2E06" w:rsidRPr="00092B8A" w:rsidTr="00C7710C">
        <w:trPr>
          <w:trHeight w:val="158"/>
        </w:trPr>
        <w:tc>
          <w:tcPr>
            <w:tcW w:w="8669" w:type="dxa"/>
            <w:gridSpan w:val="2"/>
            <w:tcBorders>
              <w:top w:val="nil"/>
              <w:bottom w:val="single" w:sz="8" w:space="0" w:color="auto"/>
            </w:tcBorders>
            <w:vAlign w:val="center"/>
          </w:tcPr>
          <w:p w:rsidR="008D2E06" w:rsidRPr="00092B8A" w:rsidRDefault="008D2E06" w:rsidP="00C7710C">
            <w:pPr>
              <w:autoSpaceDE w:val="0"/>
              <w:autoSpaceDN w:val="0"/>
              <w:adjustRightInd w:val="0"/>
              <w:jc w:val="center"/>
              <w:rPr>
                <w:b/>
                <w:sz w:val="20"/>
                <w:szCs w:val="24"/>
                <w:lang w:val="es-ES"/>
              </w:rPr>
            </w:pPr>
            <w:r w:rsidRPr="00092B8A">
              <w:rPr>
                <w:b/>
                <w:bCs/>
                <w:sz w:val="20"/>
                <w:szCs w:val="24"/>
                <w:lang w:val="es-ES"/>
              </w:rPr>
              <w:t>Cooperaciones Técnicas no reembolsables financiadas por el BID en actual ejecución</w:t>
            </w:r>
            <w:r w:rsidR="00507A15" w:rsidRPr="00092B8A">
              <w:rPr>
                <w:b/>
                <w:bCs/>
                <w:sz w:val="20"/>
                <w:szCs w:val="24"/>
                <w:lang w:val="es-ES"/>
              </w:rPr>
              <w:t xml:space="preserve"> en Mesoamérica</w:t>
            </w:r>
          </w:p>
        </w:tc>
      </w:tr>
      <w:tr w:rsidR="008D2E06" w:rsidRPr="00092B8A" w:rsidTr="00C7710C">
        <w:trPr>
          <w:trHeight w:val="158"/>
        </w:trPr>
        <w:tc>
          <w:tcPr>
            <w:tcW w:w="7049" w:type="dxa"/>
            <w:tcBorders>
              <w:top w:val="single" w:sz="8" w:space="0" w:color="auto"/>
            </w:tcBorders>
            <w:shd w:val="clear" w:color="auto" w:fill="BFBFBF" w:themeFill="background1" w:themeFillShade="BF"/>
            <w:vAlign w:val="center"/>
          </w:tcPr>
          <w:p w:rsidR="008D2E06" w:rsidRPr="00092B8A" w:rsidRDefault="008D2E06" w:rsidP="00C7710C">
            <w:pPr>
              <w:autoSpaceDE w:val="0"/>
              <w:autoSpaceDN w:val="0"/>
              <w:adjustRightInd w:val="0"/>
              <w:jc w:val="center"/>
              <w:rPr>
                <w:b/>
                <w:i/>
                <w:sz w:val="20"/>
                <w:szCs w:val="24"/>
                <w:lang w:val="es-ES"/>
              </w:rPr>
            </w:pPr>
            <w:r w:rsidRPr="00092B8A">
              <w:rPr>
                <w:b/>
                <w:bCs/>
                <w:i/>
                <w:sz w:val="20"/>
                <w:szCs w:val="24"/>
                <w:lang w:val="es-ES"/>
              </w:rPr>
              <w:t>Eje temático</w:t>
            </w:r>
          </w:p>
        </w:tc>
        <w:tc>
          <w:tcPr>
            <w:tcW w:w="1620" w:type="dxa"/>
            <w:tcBorders>
              <w:top w:val="single" w:sz="8" w:space="0" w:color="auto"/>
            </w:tcBorders>
            <w:shd w:val="clear" w:color="auto" w:fill="BFBFBF" w:themeFill="background1" w:themeFillShade="BF"/>
            <w:vAlign w:val="center"/>
          </w:tcPr>
          <w:p w:rsidR="008D2E06" w:rsidRPr="00092B8A" w:rsidRDefault="008D2E06" w:rsidP="00C7710C">
            <w:pPr>
              <w:autoSpaceDE w:val="0"/>
              <w:autoSpaceDN w:val="0"/>
              <w:adjustRightInd w:val="0"/>
              <w:jc w:val="center"/>
              <w:rPr>
                <w:b/>
                <w:i/>
                <w:sz w:val="20"/>
                <w:szCs w:val="24"/>
                <w:lang w:val="es-ES"/>
              </w:rPr>
            </w:pPr>
            <w:r w:rsidRPr="00092B8A">
              <w:rPr>
                <w:b/>
                <w:bCs/>
                <w:i/>
                <w:sz w:val="20"/>
                <w:szCs w:val="24"/>
                <w:lang w:val="es-ES"/>
              </w:rPr>
              <w:t>Valor</w:t>
            </w:r>
          </w:p>
        </w:tc>
      </w:tr>
      <w:tr w:rsidR="00301647" w:rsidRPr="00092B8A" w:rsidTr="00C7710C">
        <w:trPr>
          <w:trHeight w:val="158"/>
        </w:trPr>
        <w:tc>
          <w:tcPr>
            <w:tcW w:w="7049" w:type="dxa"/>
            <w:tcBorders>
              <w:top w:val="single" w:sz="4" w:space="0" w:color="auto"/>
              <w:bottom w:val="single" w:sz="8" w:space="0" w:color="auto"/>
            </w:tcBorders>
            <w:vAlign w:val="center"/>
          </w:tcPr>
          <w:p w:rsidR="00301647" w:rsidRPr="00092B8A" w:rsidRDefault="00301647" w:rsidP="00C7710C">
            <w:pPr>
              <w:autoSpaceDE w:val="0"/>
              <w:autoSpaceDN w:val="0"/>
              <w:adjustRightInd w:val="0"/>
              <w:jc w:val="both"/>
              <w:rPr>
                <w:sz w:val="20"/>
                <w:szCs w:val="24"/>
                <w:lang w:val="es-ES"/>
              </w:rPr>
            </w:pPr>
            <w:r w:rsidRPr="00092B8A">
              <w:rPr>
                <w:sz w:val="20"/>
                <w:szCs w:val="24"/>
                <w:lang w:val="es-ES"/>
              </w:rPr>
              <w:t>Apoyo a la facilitación: Aduanas y Pasos Fronterizos para el PM (RG-T1645)</w:t>
            </w:r>
          </w:p>
        </w:tc>
        <w:tc>
          <w:tcPr>
            <w:tcW w:w="1620" w:type="dxa"/>
            <w:tcBorders>
              <w:top w:val="single" w:sz="4" w:space="0" w:color="auto"/>
              <w:bottom w:val="single" w:sz="8" w:space="0" w:color="auto"/>
            </w:tcBorders>
            <w:vAlign w:val="center"/>
          </w:tcPr>
          <w:p w:rsidR="00301647" w:rsidRPr="00092B8A" w:rsidRDefault="00301647" w:rsidP="00C7710C">
            <w:pPr>
              <w:autoSpaceDE w:val="0"/>
              <w:autoSpaceDN w:val="0"/>
              <w:adjustRightInd w:val="0"/>
              <w:jc w:val="right"/>
              <w:rPr>
                <w:sz w:val="20"/>
                <w:szCs w:val="24"/>
                <w:lang w:val="es-ES"/>
              </w:rPr>
            </w:pPr>
            <w:r w:rsidRPr="00092B8A">
              <w:rPr>
                <w:sz w:val="20"/>
                <w:szCs w:val="24"/>
                <w:lang w:val="es-ES"/>
              </w:rPr>
              <w:t>US$     906</w:t>
            </w:r>
            <w:r w:rsidR="00550F37" w:rsidRPr="00092B8A">
              <w:rPr>
                <w:sz w:val="20"/>
                <w:szCs w:val="24"/>
                <w:lang w:val="es-ES"/>
              </w:rPr>
              <w:t>.</w:t>
            </w:r>
            <w:r w:rsidRPr="00092B8A">
              <w:rPr>
                <w:sz w:val="20"/>
                <w:szCs w:val="24"/>
                <w:lang w:val="es-ES"/>
              </w:rPr>
              <w:t>000</w:t>
            </w:r>
          </w:p>
        </w:tc>
      </w:tr>
      <w:tr w:rsidR="002C0C0B" w:rsidRPr="00092B8A" w:rsidTr="00C7710C">
        <w:trPr>
          <w:trHeight w:val="158"/>
        </w:trPr>
        <w:tc>
          <w:tcPr>
            <w:tcW w:w="7049" w:type="dxa"/>
            <w:vAlign w:val="center"/>
          </w:tcPr>
          <w:p w:rsidR="002C0C0B" w:rsidRPr="00092B8A" w:rsidRDefault="002C0C0B" w:rsidP="00C7710C">
            <w:pPr>
              <w:autoSpaceDE w:val="0"/>
              <w:autoSpaceDN w:val="0"/>
              <w:adjustRightInd w:val="0"/>
              <w:jc w:val="both"/>
              <w:rPr>
                <w:sz w:val="20"/>
                <w:szCs w:val="24"/>
                <w:lang w:val="es-ES"/>
              </w:rPr>
            </w:pPr>
            <w:r w:rsidRPr="00092B8A">
              <w:rPr>
                <w:sz w:val="20"/>
                <w:szCs w:val="24"/>
                <w:lang w:val="es-ES"/>
              </w:rPr>
              <w:t>Análisis de la Logística de Cargas en Mesoamérica (RG-T1660)</w:t>
            </w:r>
          </w:p>
        </w:tc>
        <w:tc>
          <w:tcPr>
            <w:tcW w:w="1620" w:type="dxa"/>
            <w:vAlign w:val="center"/>
          </w:tcPr>
          <w:p w:rsidR="002C0C0B" w:rsidRPr="00092B8A" w:rsidRDefault="002C0C0B" w:rsidP="002C0C0B">
            <w:pPr>
              <w:autoSpaceDE w:val="0"/>
              <w:autoSpaceDN w:val="0"/>
              <w:adjustRightInd w:val="0"/>
              <w:jc w:val="right"/>
              <w:rPr>
                <w:sz w:val="20"/>
                <w:szCs w:val="24"/>
                <w:lang w:val="es-ES"/>
              </w:rPr>
            </w:pPr>
            <w:r w:rsidRPr="00092B8A">
              <w:rPr>
                <w:sz w:val="20"/>
                <w:szCs w:val="24"/>
                <w:lang w:val="es-ES"/>
              </w:rPr>
              <w:t>US$  1</w:t>
            </w:r>
            <w:r w:rsidR="00550F37" w:rsidRPr="00092B8A">
              <w:rPr>
                <w:sz w:val="20"/>
                <w:szCs w:val="24"/>
                <w:lang w:val="es-ES"/>
              </w:rPr>
              <w:t>.</w:t>
            </w:r>
            <w:r w:rsidRPr="00092B8A">
              <w:rPr>
                <w:sz w:val="20"/>
                <w:szCs w:val="24"/>
                <w:lang w:val="es-ES"/>
              </w:rPr>
              <w:t>500</w:t>
            </w:r>
            <w:r w:rsidR="00550F37" w:rsidRPr="00092B8A">
              <w:rPr>
                <w:sz w:val="20"/>
                <w:szCs w:val="24"/>
                <w:lang w:val="es-ES"/>
              </w:rPr>
              <w:t>.</w:t>
            </w:r>
            <w:r w:rsidRPr="00092B8A">
              <w:rPr>
                <w:sz w:val="20"/>
                <w:szCs w:val="24"/>
                <w:lang w:val="es-ES"/>
              </w:rPr>
              <w:t>000</w:t>
            </w:r>
          </w:p>
        </w:tc>
      </w:tr>
      <w:tr w:rsidR="002C0C0B" w:rsidRPr="00092B8A" w:rsidTr="002C0C0B">
        <w:trPr>
          <w:trHeight w:val="158"/>
        </w:trPr>
        <w:tc>
          <w:tcPr>
            <w:tcW w:w="7049" w:type="dxa"/>
            <w:tcBorders>
              <w:top w:val="single" w:sz="4" w:space="0" w:color="auto"/>
              <w:bottom w:val="single" w:sz="4" w:space="0" w:color="auto"/>
              <w:right w:val="single" w:sz="4" w:space="0" w:color="auto"/>
            </w:tcBorders>
            <w:vAlign w:val="center"/>
          </w:tcPr>
          <w:p w:rsidR="002C0C0B" w:rsidRPr="00092B8A" w:rsidRDefault="002C0C0B" w:rsidP="00C7710C">
            <w:pPr>
              <w:autoSpaceDE w:val="0"/>
              <w:autoSpaceDN w:val="0"/>
              <w:adjustRightInd w:val="0"/>
              <w:jc w:val="both"/>
              <w:rPr>
                <w:sz w:val="20"/>
                <w:szCs w:val="24"/>
                <w:lang w:val="es-ES"/>
              </w:rPr>
            </w:pPr>
            <w:r w:rsidRPr="00092B8A">
              <w:rPr>
                <w:sz w:val="20"/>
                <w:szCs w:val="24"/>
                <w:lang w:val="es-ES"/>
              </w:rPr>
              <w:t>Plan de acción para el desarrollo de transporte marítimo a corta distancia (RG-T1661)</w:t>
            </w:r>
          </w:p>
        </w:tc>
        <w:tc>
          <w:tcPr>
            <w:tcW w:w="1620" w:type="dxa"/>
            <w:tcBorders>
              <w:top w:val="single" w:sz="4" w:space="0" w:color="auto"/>
              <w:bottom w:val="single" w:sz="4" w:space="0" w:color="auto"/>
            </w:tcBorders>
            <w:vAlign w:val="center"/>
          </w:tcPr>
          <w:p w:rsidR="002C0C0B" w:rsidRPr="00092B8A" w:rsidRDefault="002C0C0B" w:rsidP="00C7710C">
            <w:pPr>
              <w:autoSpaceDE w:val="0"/>
              <w:autoSpaceDN w:val="0"/>
              <w:adjustRightInd w:val="0"/>
              <w:jc w:val="right"/>
              <w:rPr>
                <w:sz w:val="20"/>
                <w:szCs w:val="24"/>
                <w:lang w:val="es-ES"/>
              </w:rPr>
            </w:pPr>
            <w:r w:rsidRPr="00092B8A">
              <w:rPr>
                <w:sz w:val="20"/>
                <w:szCs w:val="24"/>
                <w:lang w:val="es-ES"/>
              </w:rPr>
              <w:t>US$  1</w:t>
            </w:r>
            <w:r w:rsidR="00550F37" w:rsidRPr="00092B8A">
              <w:rPr>
                <w:sz w:val="20"/>
                <w:szCs w:val="24"/>
                <w:lang w:val="es-ES"/>
              </w:rPr>
              <w:t>.</w:t>
            </w:r>
            <w:r w:rsidRPr="00092B8A">
              <w:rPr>
                <w:sz w:val="20"/>
                <w:szCs w:val="24"/>
                <w:lang w:val="es-ES"/>
              </w:rPr>
              <w:t>000</w:t>
            </w:r>
            <w:r w:rsidR="00550F37" w:rsidRPr="00092B8A">
              <w:rPr>
                <w:sz w:val="20"/>
                <w:szCs w:val="24"/>
                <w:lang w:val="es-ES"/>
              </w:rPr>
              <w:t>.</w:t>
            </w:r>
            <w:r w:rsidRPr="00092B8A">
              <w:rPr>
                <w:sz w:val="20"/>
                <w:szCs w:val="24"/>
                <w:lang w:val="es-ES"/>
              </w:rPr>
              <w:t>000</w:t>
            </w:r>
          </w:p>
        </w:tc>
      </w:tr>
      <w:tr w:rsidR="008D2E06" w:rsidRPr="00092B8A" w:rsidTr="00C7710C">
        <w:trPr>
          <w:trHeight w:val="158"/>
        </w:trPr>
        <w:tc>
          <w:tcPr>
            <w:tcW w:w="7049" w:type="dxa"/>
            <w:vAlign w:val="center"/>
          </w:tcPr>
          <w:p w:rsidR="008D2E06" w:rsidRPr="00092B8A" w:rsidRDefault="008D2E06" w:rsidP="00C7710C">
            <w:pPr>
              <w:autoSpaceDE w:val="0"/>
              <w:autoSpaceDN w:val="0"/>
              <w:adjustRightInd w:val="0"/>
              <w:jc w:val="both"/>
              <w:rPr>
                <w:sz w:val="20"/>
                <w:szCs w:val="24"/>
                <w:lang w:val="es-ES"/>
              </w:rPr>
            </w:pPr>
            <w:r w:rsidRPr="00092B8A">
              <w:rPr>
                <w:sz w:val="20"/>
                <w:szCs w:val="24"/>
                <w:lang w:val="es-ES"/>
              </w:rPr>
              <w:t>Definición de Operación y Optimización de Pasos de Frontera del CP (RG-T1662)</w:t>
            </w:r>
          </w:p>
        </w:tc>
        <w:tc>
          <w:tcPr>
            <w:tcW w:w="1620" w:type="dxa"/>
            <w:vAlign w:val="center"/>
          </w:tcPr>
          <w:p w:rsidR="008D2E06" w:rsidRPr="00092B8A" w:rsidRDefault="008D2E06" w:rsidP="00C7710C">
            <w:pPr>
              <w:autoSpaceDE w:val="0"/>
              <w:autoSpaceDN w:val="0"/>
              <w:adjustRightInd w:val="0"/>
              <w:jc w:val="right"/>
              <w:rPr>
                <w:sz w:val="20"/>
                <w:szCs w:val="24"/>
                <w:lang w:val="es-ES"/>
              </w:rPr>
            </w:pPr>
            <w:r w:rsidRPr="00092B8A">
              <w:rPr>
                <w:sz w:val="20"/>
                <w:szCs w:val="24"/>
                <w:lang w:val="es-ES"/>
              </w:rPr>
              <w:t>US$  1</w:t>
            </w:r>
            <w:r w:rsidR="00550F37" w:rsidRPr="00092B8A">
              <w:rPr>
                <w:sz w:val="20"/>
                <w:szCs w:val="24"/>
                <w:lang w:val="es-ES"/>
              </w:rPr>
              <w:t>.</w:t>
            </w:r>
            <w:r w:rsidRPr="00092B8A">
              <w:rPr>
                <w:sz w:val="20"/>
                <w:szCs w:val="24"/>
                <w:lang w:val="es-ES"/>
              </w:rPr>
              <w:t>100</w:t>
            </w:r>
            <w:r w:rsidR="00550F37" w:rsidRPr="00092B8A">
              <w:rPr>
                <w:sz w:val="20"/>
                <w:szCs w:val="24"/>
                <w:lang w:val="es-ES"/>
              </w:rPr>
              <w:t>.</w:t>
            </w:r>
            <w:r w:rsidRPr="00092B8A">
              <w:rPr>
                <w:sz w:val="20"/>
                <w:szCs w:val="24"/>
                <w:lang w:val="es-ES"/>
              </w:rPr>
              <w:t>000</w:t>
            </w:r>
          </w:p>
        </w:tc>
      </w:tr>
      <w:tr w:rsidR="008D2E06" w:rsidRPr="00092B8A" w:rsidTr="00C7710C">
        <w:trPr>
          <w:trHeight w:val="158"/>
        </w:trPr>
        <w:tc>
          <w:tcPr>
            <w:tcW w:w="7049" w:type="dxa"/>
            <w:tcBorders>
              <w:bottom w:val="single" w:sz="4" w:space="0" w:color="auto"/>
            </w:tcBorders>
            <w:vAlign w:val="center"/>
          </w:tcPr>
          <w:p w:rsidR="008D2E06" w:rsidRPr="00092B8A" w:rsidRDefault="008D2E06" w:rsidP="00C7710C">
            <w:pPr>
              <w:autoSpaceDE w:val="0"/>
              <w:autoSpaceDN w:val="0"/>
              <w:adjustRightInd w:val="0"/>
              <w:jc w:val="both"/>
              <w:rPr>
                <w:sz w:val="20"/>
                <w:szCs w:val="24"/>
                <w:lang w:val="es-ES"/>
              </w:rPr>
            </w:pPr>
            <w:r w:rsidRPr="00092B8A">
              <w:rPr>
                <w:sz w:val="20"/>
                <w:szCs w:val="24"/>
                <w:lang w:val="es-ES"/>
              </w:rPr>
              <w:t>Adecuación, Mantenimiento y Operación de Tramos Viales del CP (RG-T1744)</w:t>
            </w:r>
          </w:p>
        </w:tc>
        <w:tc>
          <w:tcPr>
            <w:tcW w:w="1620" w:type="dxa"/>
            <w:tcBorders>
              <w:bottom w:val="single" w:sz="4" w:space="0" w:color="auto"/>
            </w:tcBorders>
            <w:vAlign w:val="center"/>
          </w:tcPr>
          <w:p w:rsidR="008D2E06" w:rsidRPr="00092B8A" w:rsidRDefault="008D2E06" w:rsidP="00C7710C">
            <w:pPr>
              <w:autoSpaceDE w:val="0"/>
              <w:autoSpaceDN w:val="0"/>
              <w:adjustRightInd w:val="0"/>
              <w:jc w:val="right"/>
              <w:rPr>
                <w:sz w:val="20"/>
                <w:szCs w:val="24"/>
                <w:lang w:val="es-ES"/>
              </w:rPr>
            </w:pPr>
            <w:r w:rsidRPr="00092B8A">
              <w:rPr>
                <w:sz w:val="20"/>
                <w:szCs w:val="24"/>
                <w:lang w:val="es-ES"/>
              </w:rPr>
              <w:t>US$  1</w:t>
            </w:r>
            <w:r w:rsidR="00550F37" w:rsidRPr="00092B8A">
              <w:rPr>
                <w:sz w:val="20"/>
                <w:szCs w:val="24"/>
                <w:lang w:val="es-ES"/>
              </w:rPr>
              <w:t>.</w:t>
            </w:r>
            <w:r w:rsidRPr="00092B8A">
              <w:rPr>
                <w:sz w:val="20"/>
                <w:szCs w:val="24"/>
                <w:lang w:val="es-ES"/>
              </w:rPr>
              <w:t>500</w:t>
            </w:r>
            <w:r w:rsidR="00550F37" w:rsidRPr="00092B8A">
              <w:rPr>
                <w:sz w:val="20"/>
                <w:szCs w:val="24"/>
                <w:lang w:val="es-ES"/>
              </w:rPr>
              <w:t>.</w:t>
            </w:r>
            <w:r w:rsidRPr="00092B8A">
              <w:rPr>
                <w:sz w:val="20"/>
                <w:szCs w:val="24"/>
                <w:lang w:val="es-ES"/>
              </w:rPr>
              <w:t>000</w:t>
            </w:r>
          </w:p>
        </w:tc>
      </w:tr>
    </w:tbl>
    <w:p w:rsidR="008D2E06" w:rsidRPr="00092B8A" w:rsidRDefault="008D2E06" w:rsidP="00DF27CB">
      <w:pPr>
        <w:rPr>
          <w:lang w:val="es-ES"/>
        </w:rPr>
      </w:pPr>
    </w:p>
    <w:p w:rsidR="00DF27CB" w:rsidRPr="00092B8A" w:rsidRDefault="00782574" w:rsidP="00976880">
      <w:pPr>
        <w:pStyle w:val="Paragraph"/>
        <w:numPr>
          <w:ilvl w:val="1"/>
          <w:numId w:val="8"/>
        </w:numPr>
        <w:ind w:left="720" w:hanging="720"/>
      </w:pPr>
      <w:r w:rsidRPr="00092B8A">
        <w:t xml:space="preserve">La </w:t>
      </w:r>
      <w:r w:rsidR="00DF27CB" w:rsidRPr="00092B8A">
        <w:t>RG-T1</w:t>
      </w:r>
      <w:r w:rsidR="00166E4F" w:rsidRPr="00092B8A">
        <w:t>7</w:t>
      </w:r>
      <w:r w:rsidR="00DF27CB" w:rsidRPr="00092B8A">
        <w:t xml:space="preserve">44 </w:t>
      </w:r>
      <w:r w:rsidRPr="00092B8A">
        <w:t xml:space="preserve">ha financiado y </w:t>
      </w:r>
      <w:r w:rsidR="00DF27CB" w:rsidRPr="00092B8A">
        <w:t xml:space="preserve">está financiando </w:t>
      </w:r>
      <w:r w:rsidRPr="00092B8A">
        <w:t xml:space="preserve">en este momento estudios </w:t>
      </w:r>
      <w:r w:rsidR="00846229" w:rsidRPr="00092B8A">
        <w:t xml:space="preserve">en el Corredor Pacífico (CP) de la RICAM </w:t>
      </w:r>
      <w:r w:rsidRPr="00092B8A">
        <w:t>con importantes implicancias para la región</w:t>
      </w:r>
      <w:r w:rsidR="00166E4F" w:rsidRPr="00092B8A">
        <w:t xml:space="preserve">: </w:t>
      </w:r>
      <w:r w:rsidR="00976880" w:rsidRPr="00092B8A">
        <w:t xml:space="preserve">i) Estudios </w:t>
      </w:r>
      <w:r w:rsidR="006D7D0B" w:rsidRPr="00092B8A">
        <w:t>t</w:t>
      </w:r>
      <w:r w:rsidR="00976880" w:rsidRPr="00092B8A">
        <w:t xml:space="preserve">écnicos </w:t>
      </w:r>
      <w:r w:rsidR="006D7D0B" w:rsidRPr="00092B8A">
        <w:t>p</w:t>
      </w:r>
      <w:r w:rsidR="00976880" w:rsidRPr="00092B8A">
        <w:t>reparatorios para adecuación, mantenimiento, y operación de tramos viales del C</w:t>
      </w:r>
      <w:r w:rsidR="00846229" w:rsidRPr="00092B8A">
        <w:t>P</w:t>
      </w:r>
      <w:r w:rsidR="00976880" w:rsidRPr="00092B8A">
        <w:t xml:space="preserve">; ii) </w:t>
      </w:r>
      <w:r w:rsidR="00846229" w:rsidRPr="00092B8A">
        <w:t xml:space="preserve">Análisis de condiciones e intervenciones para el mejoramiento de la seguridad vial; iii) </w:t>
      </w:r>
      <w:r w:rsidR="00F15A11" w:rsidRPr="00092B8A">
        <w:t>Armonización de normas y regulaciones de operación del transporte terrestre en el Corredor Pacífico de la RICAM; i</w:t>
      </w:r>
      <w:r w:rsidR="00542BAC" w:rsidRPr="00092B8A">
        <w:t>v</w:t>
      </w:r>
      <w:r w:rsidR="00F15A11" w:rsidRPr="00092B8A">
        <w:t xml:space="preserve">) Consultoría en seguridad personal y del transporte de mercancías; </w:t>
      </w:r>
      <w:r w:rsidR="00542BAC" w:rsidRPr="00092B8A">
        <w:t xml:space="preserve">y </w:t>
      </w:r>
      <w:r w:rsidR="00F15A11" w:rsidRPr="00092B8A">
        <w:t xml:space="preserve">v) </w:t>
      </w:r>
      <w:r w:rsidR="00542BAC" w:rsidRPr="00092B8A">
        <w:t>Análisis y definición de tramos pasibles de ser incorporados al CP.</w:t>
      </w:r>
    </w:p>
    <w:p w:rsidR="00A413EE" w:rsidRPr="00092B8A" w:rsidRDefault="00A413EE" w:rsidP="00976880">
      <w:pPr>
        <w:pStyle w:val="Paragraph"/>
        <w:numPr>
          <w:ilvl w:val="1"/>
          <w:numId w:val="8"/>
        </w:numPr>
        <w:ind w:left="720" w:hanging="720"/>
      </w:pPr>
      <w:r w:rsidRPr="00092B8A">
        <w:t xml:space="preserve">Además de lo anterior, la importancia que a nivel corporativo tiene el tema de logística e integración en Mesoamérica, hace que el Banco </w:t>
      </w:r>
      <w:r w:rsidR="007A22E9" w:rsidRPr="00092B8A">
        <w:t xml:space="preserve">esté considerando la aprobación de dos nuevas cooperaciones técnicas: i) </w:t>
      </w:r>
      <w:r w:rsidR="00550F37" w:rsidRPr="00092B8A">
        <w:t xml:space="preserve">Apoyo a la mejora de pasos de frontera </w:t>
      </w:r>
      <w:r w:rsidR="00E64A4C" w:rsidRPr="00092B8A">
        <w:t xml:space="preserve">en Mesoamérica </w:t>
      </w:r>
      <w:r w:rsidR="00550F37" w:rsidRPr="00092B8A">
        <w:t xml:space="preserve">(RG-T2267) (US$ 1.400.000); y ii) </w:t>
      </w:r>
      <w:r w:rsidR="00E64A4C" w:rsidRPr="00092B8A">
        <w:t>Apoyo a la definición, desarrollo e implementación de planes nacionales de logística en países de Mesoamérica (RG-T2275 + RG-T 2324) (US$ 2.500.000).</w:t>
      </w:r>
    </w:p>
    <w:p w:rsidR="0093319A" w:rsidRPr="00092B8A" w:rsidRDefault="0093319A" w:rsidP="00976880">
      <w:pPr>
        <w:pStyle w:val="Paragraph"/>
        <w:numPr>
          <w:ilvl w:val="1"/>
          <w:numId w:val="8"/>
        </w:numPr>
        <w:ind w:left="720" w:hanging="720"/>
      </w:pPr>
      <w:r w:rsidRPr="00092B8A">
        <w:t xml:space="preserve">En todos estos estudios y operaciones se encuentra incluida Nicaragua. Los avances disponibles </w:t>
      </w:r>
      <w:r w:rsidR="009474B0" w:rsidRPr="00092B8A">
        <w:t xml:space="preserve">indican la necesidad del país </w:t>
      </w:r>
      <w:r w:rsidR="00EC3D83" w:rsidRPr="00092B8A">
        <w:t xml:space="preserve">de continuar invirtiendo en la mejora y mantenimiento de los diferentes tramos del CP, en especial en aquellos que </w:t>
      </w:r>
      <w:r w:rsidR="00A75467" w:rsidRPr="00092B8A">
        <w:t>conforman cuellos de botella al transporte internacional de mercancías. Pero también se detectan necesidades en todos los tramo</w:t>
      </w:r>
      <w:r w:rsidR="001750EA" w:rsidRPr="00092B8A">
        <w:t>s</w:t>
      </w:r>
      <w:r w:rsidR="00A75467" w:rsidRPr="00092B8A">
        <w:t xml:space="preserve"> de la red vial </w:t>
      </w:r>
      <w:r w:rsidR="001750EA" w:rsidRPr="00092B8A">
        <w:t xml:space="preserve">que dan soporte a las cadenas productivas principales </w:t>
      </w:r>
      <w:r w:rsidR="00A75467" w:rsidRPr="00092B8A">
        <w:t xml:space="preserve">y </w:t>
      </w:r>
      <w:r w:rsidR="00FB7EEA" w:rsidRPr="00092B8A">
        <w:t>al turismo. La sección siguiente explora estos conceptos.</w:t>
      </w:r>
    </w:p>
    <w:p w:rsidR="003968BA" w:rsidRPr="00092B8A" w:rsidRDefault="003968BA" w:rsidP="003968BA">
      <w:pPr>
        <w:rPr>
          <w:lang w:val="es-ES"/>
        </w:rPr>
      </w:pPr>
    </w:p>
    <w:p w:rsidR="003968BA" w:rsidRPr="00092B8A" w:rsidRDefault="003968BA" w:rsidP="003968BA">
      <w:pPr>
        <w:rPr>
          <w:lang w:val="es-ES"/>
        </w:rPr>
      </w:pPr>
    </w:p>
    <w:p w:rsidR="003968BA" w:rsidRPr="00092B8A" w:rsidRDefault="003968BA">
      <w:pPr>
        <w:jc w:val="both"/>
        <w:rPr>
          <w:lang w:val="es-ES"/>
        </w:rPr>
      </w:pPr>
      <w:r w:rsidRPr="00092B8A">
        <w:rPr>
          <w:lang w:val="es-ES"/>
        </w:rPr>
        <w:br w:type="page"/>
      </w:r>
    </w:p>
    <w:p w:rsidR="003968BA" w:rsidRPr="003741D2" w:rsidRDefault="003968BA" w:rsidP="005F6919">
      <w:pPr>
        <w:pStyle w:val="FirstHeading"/>
        <w:numPr>
          <w:ilvl w:val="0"/>
          <w:numId w:val="7"/>
        </w:numPr>
        <w:rPr>
          <w:rFonts w:ascii="Verdana" w:hAnsi="Verdana"/>
          <w:u w:val="single"/>
        </w:rPr>
      </w:pPr>
      <w:r w:rsidRPr="003741D2">
        <w:rPr>
          <w:rFonts w:ascii="Verdana" w:hAnsi="Verdana"/>
          <w:u w:val="single"/>
        </w:rPr>
        <w:t xml:space="preserve">Situación de Nicaragua en materia de </w:t>
      </w:r>
      <w:r w:rsidR="005F6919" w:rsidRPr="003741D2">
        <w:rPr>
          <w:rFonts w:ascii="Verdana" w:hAnsi="Verdana"/>
          <w:u w:val="single"/>
        </w:rPr>
        <w:t xml:space="preserve">logística y </w:t>
      </w:r>
      <w:r w:rsidRPr="003741D2">
        <w:rPr>
          <w:rFonts w:ascii="Verdana" w:hAnsi="Verdana"/>
          <w:u w:val="single"/>
        </w:rPr>
        <w:t>competitividad</w:t>
      </w:r>
    </w:p>
    <w:p w:rsidR="007C6198" w:rsidRDefault="007C6198" w:rsidP="00D9435B">
      <w:pPr>
        <w:pStyle w:val="Paragraph"/>
        <w:numPr>
          <w:ilvl w:val="1"/>
          <w:numId w:val="5"/>
        </w:numPr>
      </w:pPr>
      <w:r w:rsidRPr="00092B8A">
        <w:rPr>
          <w:b/>
        </w:rPr>
        <w:t xml:space="preserve">Importancia </w:t>
      </w:r>
      <w:r w:rsidR="00782574" w:rsidRPr="00092B8A">
        <w:rPr>
          <w:b/>
        </w:rPr>
        <w:t>de lo regional para el caso de Nicaragua.</w:t>
      </w:r>
      <w:r w:rsidR="00782574" w:rsidRPr="00092B8A">
        <w:t xml:space="preserve"> La sección anterior pone </w:t>
      </w:r>
      <w:r w:rsidR="00076923" w:rsidRPr="00092B8A">
        <w:t xml:space="preserve">de manifiesto la importancia de todos los ejercicios regionales en logística e integración </w:t>
      </w:r>
      <w:r w:rsidR="004141E8" w:rsidRPr="00092B8A">
        <w:t>para el caso de Nicaragua. Esta importancia tiene dos aspectos diferentes</w:t>
      </w:r>
      <w:r w:rsidR="00BD3A0A" w:rsidRPr="00092B8A">
        <w:t xml:space="preserve">. El primero </w:t>
      </w:r>
      <w:r w:rsidR="004141E8" w:rsidRPr="00092B8A">
        <w:t xml:space="preserve">tiene que ver con </w:t>
      </w:r>
      <w:r w:rsidR="00AE72F0" w:rsidRPr="00092B8A">
        <w:t>el aprovechamiento de las conclusiones y recomendaciones que surjan de los diferentes estudios y consultorías (y la mayor facilidad que se espera generar para la obtención de financiamientos</w:t>
      </w:r>
      <w:r w:rsidR="00D05497" w:rsidRPr="00092B8A">
        <w:t xml:space="preserve"> para proyectos regionales</w:t>
      </w:r>
      <w:r w:rsidR="00AE72F0" w:rsidRPr="00092B8A">
        <w:t xml:space="preserve">). Y el segundo, tiene que ver con </w:t>
      </w:r>
      <w:r w:rsidR="004141E8" w:rsidRPr="00092B8A">
        <w:t xml:space="preserve">los compromisos que deberá asumir el país para adaptarse a nuevas exigencias y </w:t>
      </w:r>
      <w:r w:rsidR="006E360C" w:rsidRPr="00092B8A">
        <w:t xml:space="preserve">para </w:t>
      </w:r>
      <w:r w:rsidR="004141E8" w:rsidRPr="00092B8A">
        <w:t xml:space="preserve">cumplir con nuevas regulaciones para </w:t>
      </w:r>
      <w:r w:rsidR="006E360C" w:rsidRPr="00092B8A">
        <w:t>contribuir</w:t>
      </w:r>
      <w:r w:rsidR="004141E8" w:rsidRPr="00092B8A">
        <w:t xml:space="preserve"> plenamente </w:t>
      </w:r>
      <w:r w:rsidR="00BD3A0A" w:rsidRPr="00092B8A">
        <w:t>al PM</w:t>
      </w:r>
      <w:r w:rsidR="006E360C" w:rsidRPr="00092B8A">
        <w:t>.</w:t>
      </w:r>
    </w:p>
    <w:p w:rsidR="00D05497" w:rsidRPr="00E6532E" w:rsidRDefault="003C1CC9" w:rsidP="00D922C7">
      <w:pPr>
        <w:pStyle w:val="Paragraph"/>
        <w:numPr>
          <w:ilvl w:val="1"/>
          <w:numId w:val="5"/>
        </w:numPr>
      </w:pPr>
      <w:r>
        <w:t>D</w:t>
      </w:r>
      <w:r w:rsidR="007E1BE0" w:rsidRPr="00092B8A">
        <w:t xml:space="preserve">ebido a la posición geográfica tan especial de Nicaragua, </w:t>
      </w:r>
      <w:r>
        <w:t>t</w:t>
      </w:r>
      <w:r w:rsidRPr="00092B8A">
        <w:t xml:space="preserve">odo esto </w:t>
      </w:r>
      <w:r w:rsidR="007E1BE0" w:rsidRPr="00092B8A">
        <w:t>adquiere una expresión superlativa. No debe olvidarse que Nicaragua contribuye con su infraestructura vial a importantísimos movimientos de carga internacional que ocurren a través de su territorio entre Costa Rica</w:t>
      </w:r>
      <w:r w:rsidR="008059F4">
        <w:t xml:space="preserve"> y </w:t>
      </w:r>
      <w:r>
        <w:t>El Salvador, Honduras</w:t>
      </w:r>
      <w:r w:rsidR="007E1BE0" w:rsidRPr="00092B8A">
        <w:t xml:space="preserve"> y Guatemala.</w:t>
      </w:r>
      <w:r w:rsidR="00D922C7" w:rsidRPr="00D922C7">
        <w:rPr>
          <w:snapToGrid w:val="0"/>
          <w:color w:val="000000"/>
          <w:w w:val="0"/>
          <w:sz w:val="0"/>
          <w:szCs w:val="0"/>
          <w:u w:color="000000"/>
          <w:bdr w:val="none" w:sz="0" w:space="0" w:color="000000"/>
          <w:shd w:val="clear" w:color="000000" w:fill="000000"/>
          <w:lang w:val="x-none" w:eastAsia="x-none" w:bidi="x-none"/>
        </w:rPr>
        <w:t xml:space="preserve"> </w:t>
      </w:r>
    </w:p>
    <w:p w:rsidR="00E6532E" w:rsidRPr="00E6532E" w:rsidRDefault="00E6532E" w:rsidP="00E6532E">
      <w:pPr>
        <w:ind w:left="720"/>
        <w:jc w:val="both"/>
        <w:rPr>
          <w:lang w:val="es-ES"/>
        </w:rPr>
      </w:pPr>
      <w:r w:rsidRPr="00E6532E">
        <w:rPr>
          <w:noProof/>
          <w:lang w:val="en-US"/>
        </w:rPr>
        <w:drawing>
          <wp:inline distT="0" distB="0" distL="0" distR="0" wp14:anchorId="08FEDC81" wp14:editId="345DF085">
            <wp:extent cx="2807208" cy="3108819"/>
            <wp:effectExtent l="0" t="0" r="0" b="0"/>
            <wp:docPr id="9" name="Picture 9" descr="D:\DATA.IDB\Pictures\New Picture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DATA.IDB\Pictures\New Picture (2).jpg"/>
                    <pic:cNvPicPr>
                      <a:picLocks noChangeAspect="1" noChangeArrowheads="1"/>
                    </pic:cNvPicPr>
                  </pic:nvPicPr>
                  <pic:blipFill>
                    <a:blip r:embed="rId11">
                      <a:extLst>
                        <a:ext uri="{BEBA8EAE-BF5A-486C-A8C5-ECC9F3942E4B}">
                          <a14:imgProps xmlns:a14="http://schemas.microsoft.com/office/drawing/2010/main">
                            <a14:imgLayer r:embed="rId12">
                              <a14:imgEffect>
                                <a14:sharpenSoften amount="25000"/>
                              </a14:imgEffect>
                            </a14:imgLayer>
                          </a14:imgProps>
                        </a:ext>
                        <a:ext uri="{28A0092B-C50C-407E-A947-70E740481C1C}">
                          <a14:useLocalDpi xmlns:a14="http://schemas.microsoft.com/office/drawing/2010/main" val="0"/>
                        </a:ext>
                      </a:extLst>
                    </a:blip>
                    <a:srcRect/>
                    <a:stretch>
                      <a:fillRect/>
                    </a:stretch>
                  </pic:blipFill>
                  <pic:spPr bwMode="auto">
                    <a:xfrm>
                      <a:off x="0" y="0"/>
                      <a:ext cx="2807208" cy="3108819"/>
                    </a:xfrm>
                    <a:prstGeom prst="rect">
                      <a:avLst/>
                    </a:prstGeom>
                    <a:noFill/>
                    <a:ln>
                      <a:noFill/>
                    </a:ln>
                  </pic:spPr>
                </pic:pic>
              </a:graphicData>
            </a:graphic>
          </wp:inline>
        </w:drawing>
      </w:r>
      <w:r w:rsidRPr="00E6532E">
        <w:rPr>
          <w:lang w:val="es-ES"/>
        </w:rPr>
        <w:t xml:space="preserve"> </w:t>
      </w:r>
      <w:r>
        <w:rPr>
          <w:noProof/>
          <w:lang w:val="en-US"/>
        </w:rPr>
        <w:drawing>
          <wp:inline distT="0" distB="0" distL="0" distR="0" wp14:anchorId="12E0E5E0" wp14:editId="58DF87C2">
            <wp:extent cx="2624328" cy="3113329"/>
            <wp:effectExtent l="0" t="0" r="5080" b="0"/>
            <wp:docPr id="7" name="Picture 7" descr="D:\DATA.IDB\Pictures\New Picture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DATA.IDB\Pictures\New Picture (1).jpg"/>
                    <pic:cNvPicPr>
                      <a:picLocks noChangeAspect="1" noChangeArrowheads="1"/>
                    </pic:cNvPicPr>
                  </pic:nvPicPr>
                  <pic:blipFill>
                    <a:blip r:embed="rId13">
                      <a:extLst>
                        <a:ext uri="{BEBA8EAE-BF5A-486C-A8C5-ECC9F3942E4B}">
                          <a14:imgProps xmlns:a14="http://schemas.microsoft.com/office/drawing/2010/main">
                            <a14:imgLayer r:embed="rId14">
                              <a14:imgEffect>
                                <a14:sharpenSoften amount="40000"/>
                              </a14:imgEffect>
                            </a14:imgLayer>
                          </a14:imgProps>
                        </a:ext>
                        <a:ext uri="{28A0092B-C50C-407E-A947-70E740481C1C}">
                          <a14:useLocalDpi xmlns:a14="http://schemas.microsoft.com/office/drawing/2010/main" val="0"/>
                        </a:ext>
                      </a:extLst>
                    </a:blip>
                    <a:srcRect/>
                    <a:stretch>
                      <a:fillRect/>
                    </a:stretch>
                  </pic:blipFill>
                  <pic:spPr bwMode="auto">
                    <a:xfrm>
                      <a:off x="0" y="0"/>
                      <a:ext cx="2624328" cy="3113329"/>
                    </a:xfrm>
                    <a:prstGeom prst="rect">
                      <a:avLst/>
                    </a:prstGeom>
                    <a:noFill/>
                    <a:ln>
                      <a:noFill/>
                    </a:ln>
                  </pic:spPr>
                </pic:pic>
              </a:graphicData>
            </a:graphic>
          </wp:inline>
        </w:drawing>
      </w:r>
    </w:p>
    <w:p w:rsidR="00664FE7" w:rsidRDefault="009A5214" w:rsidP="00664FE7">
      <w:pPr>
        <w:pStyle w:val="Paragraph"/>
        <w:numPr>
          <w:ilvl w:val="1"/>
          <w:numId w:val="5"/>
        </w:numPr>
      </w:pPr>
      <w:r>
        <w:rPr>
          <w:b/>
        </w:rPr>
        <w:t>S</w:t>
      </w:r>
      <w:r w:rsidR="00664FE7" w:rsidRPr="00092B8A">
        <w:rPr>
          <w:b/>
        </w:rPr>
        <w:t>ituación en materia de logística y competitividad</w:t>
      </w:r>
      <w:r>
        <w:rPr>
          <w:b/>
        </w:rPr>
        <w:t xml:space="preserve"> – Escenario </w:t>
      </w:r>
      <w:r w:rsidR="00E9150E">
        <w:rPr>
          <w:b/>
        </w:rPr>
        <w:t xml:space="preserve">hacia lo </w:t>
      </w:r>
      <w:r>
        <w:rPr>
          <w:b/>
        </w:rPr>
        <w:t>externo</w:t>
      </w:r>
      <w:r w:rsidR="00664FE7" w:rsidRPr="00092B8A">
        <w:rPr>
          <w:b/>
        </w:rPr>
        <w:t>.</w:t>
      </w:r>
      <w:r w:rsidR="00664FE7" w:rsidRPr="00092B8A">
        <w:t xml:space="preserve"> Los resultados del estudio “</w:t>
      </w:r>
      <w:r w:rsidR="00664FE7" w:rsidRPr="00092B8A">
        <w:rPr>
          <w:i/>
        </w:rPr>
        <w:t xml:space="preserve">Análisis, estrategia e instrumentos para el mejoramiento de la logística de cargas y el comercio en </w:t>
      </w:r>
      <w:proofErr w:type="spellStart"/>
      <w:r w:rsidR="00664FE7" w:rsidRPr="00092B8A">
        <w:rPr>
          <w:i/>
        </w:rPr>
        <w:t>Mesoamérica</w:t>
      </w:r>
      <w:proofErr w:type="spellEnd"/>
      <w:r w:rsidR="00664FE7" w:rsidRPr="00092B8A">
        <w:t>” en su capítulo para Nicaragua permiten afirmar que</w:t>
      </w:r>
      <w:r w:rsidR="001C1B87">
        <w:t xml:space="preserve"> en 2011</w:t>
      </w:r>
      <w:r w:rsidR="008059F4">
        <w:t>:</w:t>
      </w:r>
    </w:p>
    <w:p w:rsidR="00595EA1" w:rsidRDefault="00E6532E" w:rsidP="00624CE2">
      <w:pPr>
        <w:pStyle w:val="ListParagraph"/>
        <w:numPr>
          <w:ilvl w:val="0"/>
          <w:numId w:val="9"/>
        </w:numPr>
        <w:ind w:left="1080"/>
        <w:jc w:val="both"/>
        <w:rPr>
          <w:lang w:val="es-ES"/>
        </w:rPr>
      </w:pPr>
      <w:r w:rsidRPr="00624CE2">
        <w:rPr>
          <w:lang w:val="es-ES"/>
        </w:rPr>
        <w:t>Los pasos de frontera terrestres son los principales puntos de entrada y salida del comercio exterior.</w:t>
      </w:r>
      <w:r w:rsidR="007B6722" w:rsidRPr="00624CE2">
        <w:rPr>
          <w:lang w:val="es-ES"/>
        </w:rPr>
        <w:t xml:space="preserve"> </w:t>
      </w:r>
      <w:r w:rsidR="00A67C61">
        <w:rPr>
          <w:lang w:val="es-ES"/>
        </w:rPr>
        <w:t>E</w:t>
      </w:r>
      <w:r w:rsidR="00A67C61" w:rsidRPr="00624CE2">
        <w:rPr>
          <w:lang w:val="es-ES"/>
        </w:rPr>
        <w:t>n volumen</w:t>
      </w:r>
      <w:r w:rsidR="00A67C61">
        <w:rPr>
          <w:lang w:val="es-ES"/>
        </w:rPr>
        <w:t>, l</w:t>
      </w:r>
      <w:r w:rsidRPr="00624CE2">
        <w:rPr>
          <w:lang w:val="es-ES"/>
        </w:rPr>
        <w:t xml:space="preserve">os pasos de frontera </w:t>
      </w:r>
      <w:r w:rsidR="00624CE2">
        <w:rPr>
          <w:lang w:val="es-ES"/>
        </w:rPr>
        <w:t>manejan 5</w:t>
      </w:r>
      <w:r w:rsidR="00A67C61">
        <w:rPr>
          <w:lang w:val="es-ES"/>
        </w:rPr>
        <w:t>4</w:t>
      </w:r>
      <w:r w:rsidR="00624CE2">
        <w:rPr>
          <w:lang w:val="es-ES"/>
        </w:rPr>
        <w:t xml:space="preserve">% </w:t>
      </w:r>
      <w:r w:rsidRPr="00624CE2">
        <w:rPr>
          <w:lang w:val="es-ES"/>
        </w:rPr>
        <w:t xml:space="preserve">de las exportaciones </w:t>
      </w:r>
      <w:r w:rsidR="00A67C61">
        <w:rPr>
          <w:lang w:val="es-ES"/>
        </w:rPr>
        <w:t>(864.000 ton) y 39% de las importaciones (1.5670.000 ton).</w:t>
      </w:r>
      <w:r w:rsidRPr="00624CE2">
        <w:rPr>
          <w:lang w:val="es-ES"/>
        </w:rPr>
        <w:t xml:space="preserve"> </w:t>
      </w:r>
      <w:r w:rsidR="00A67C61">
        <w:rPr>
          <w:lang w:val="es-ES"/>
        </w:rPr>
        <w:t>E</w:t>
      </w:r>
      <w:r w:rsidRPr="00624CE2">
        <w:rPr>
          <w:lang w:val="es-ES"/>
        </w:rPr>
        <w:t xml:space="preserve">n valor, </w:t>
      </w:r>
      <w:r w:rsidR="00595EA1">
        <w:rPr>
          <w:lang w:val="es-ES"/>
        </w:rPr>
        <w:t>los pasos de frontera manejan 58% de las exportaciones (US$ 1.356 millones) y 42% de las importaciones (US$ 2.120 millones).</w:t>
      </w:r>
    </w:p>
    <w:p w:rsidR="00E6532E" w:rsidRPr="00624CE2" w:rsidRDefault="00E6532E" w:rsidP="00624CE2">
      <w:pPr>
        <w:pStyle w:val="ListParagraph"/>
        <w:numPr>
          <w:ilvl w:val="0"/>
          <w:numId w:val="9"/>
        </w:numPr>
        <w:ind w:left="1080"/>
        <w:jc w:val="both"/>
        <w:rPr>
          <w:lang w:val="es-ES"/>
        </w:rPr>
      </w:pPr>
      <w:r w:rsidRPr="00624CE2">
        <w:rPr>
          <w:lang w:val="es-ES"/>
        </w:rPr>
        <w:t xml:space="preserve">Peñas </w:t>
      </w:r>
      <w:r w:rsidR="00A67C61">
        <w:rPr>
          <w:lang w:val="es-ES"/>
        </w:rPr>
        <w:t>B</w:t>
      </w:r>
      <w:r w:rsidRPr="00624CE2">
        <w:rPr>
          <w:lang w:val="es-ES"/>
        </w:rPr>
        <w:t xml:space="preserve">lancas (Costa Rica) y </w:t>
      </w:r>
      <w:proofErr w:type="spellStart"/>
      <w:r w:rsidRPr="00624CE2">
        <w:rPr>
          <w:lang w:val="es-ES"/>
        </w:rPr>
        <w:t>Guasaule</w:t>
      </w:r>
      <w:proofErr w:type="spellEnd"/>
      <w:r w:rsidRPr="00624CE2">
        <w:rPr>
          <w:lang w:val="es-ES"/>
        </w:rPr>
        <w:t xml:space="preserve"> (Honduras) son los nodos terrestres con mayor actividad, mostrando gran diferencia con los otros dos pasos</w:t>
      </w:r>
      <w:r w:rsidR="00A67C61">
        <w:rPr>
          <w:lang w:val="es-ES"/>
        </w:rPr>
        <w:t xml:space="preserve"> en Las Manos y El Espino (ambos con Honduras). </w:t>
      </w:r>
      <w:r w:rsidR="00CD7218">
        <w:rPr>
          <w:lang w:val="es-ES"/>
        </w:rPr>
        <w:t>Las transferencias de exportación e importación con Honduras superan en total las 1.500.000 toneladas, mientras que con Costa Rica alcanzan casi 900.000 toneladas.</w:t>
      </w:r>
      <w:r w:rsidR="00E365C4">
        <w:rPr>
          <w:lang w:val="es-ES"/>
        </w:rPr>
        <w:t xml:space="preserve"> Los movimientos </w:t>
      </w:r>
      <w:r w:rsidR="0080437C">
        <w:rPr>
          <w:lang w:val="es-ES"/>
        </w:rPr>
        <w:t>de importación son siempre los principales, con más de 1.000.000 toneladas desde Honduras y 500.000 toneladas desde Costa Rica.</w:t>
      </w:r>
    </w:p>
    <w:p w:rsidR="00E6532E" w:rsidRDefault="00E6532E" w:rsidP="00624CE2">
      <w:pPr>
        <w:pStyle w:val="ListParagraph"/>
        <w:numPr>
          <w:ilvl w:val="0"/>
          <w:numId w:val="9"/>
        </w:numPr>
        <w:ind w:left="1080"/>
        <w:jc w:val="both"/>
        <w:rPr>
          <w:lang w:val="es-ES"/>
        </w:rPr>
      </w:pPr>
      <w:r w:rsidRPr="00624CE2">
        <w:rPr>
          <w:lang w:val="es-ES"/>
        </w:rPr>
        <w:t xml:space="preserve">América del Norte es </w:t>
      </w:r>
      <w:r w:rsidR="007B6722" w:rsidRPr="00624CE2">
        <w:rPr>
          <w:lang w:val="es-ES"/>
        </w:rPr>
        <w:t xml:space="preserve">el mayor destino de exportaciones </w:t>
      </w:r>
      <w:r w:rsidRPr="00624CE2">
        <w:rPr>
          <w:lang w:val="es-ES"/>
        </w:rPr>
        <w:t>según valor</w:t>
      </w:r>
      <w:r w:rsidR="00455587" w:rsidRPr="00624CE2">
        <w:rPr>
          <w:lang w:val="es-ES"/>
        </w:rPr>
        <w:t xml:space="preserve"> (US$ 919 millones en 2011, 296</w:t>
      </w:r>
      <w:r w:rsidR="007E0F85" w:rsidRPr="00624CE2">
        <w:rPr>
          <w:lang w:val="es-ES"/>
        </w:rPr>
        <w:t>.</w:t>
      </w:r>
      <w:r w:rsidR="00455587" w:rsidRPr="00624CE2">
        <w:rPr>
          <w:lang w:val="es-ES"/>
        </w:rPr>
        <w:t>000 ton)</w:t>
      </w:r>
      <w:r w:rsidR="007B6722" w:rsidRPr="00624CE2">
        <w:rPr>
          <w:lang w:val="es-ES"/>
        </w:rPr>
        <w:t xml:space="preserve"> y</w:t>
      </w:r>
      <w:r w:rsidRPr="00624CE2">
        <w:rPr>
          <w:lang w:val="es-ES"/>
        </w:rPr>
        <w:t xml:space="preserve"> Mesoamérica lo es según peso</w:t>
      </w:r>
      <w:r w:rsidR="00CE6D94" w:rsidRPr="00624CE2">
        <w:rPr>
          <w:lang w:val="es-ES"/>
        </w:rPr>
        <w:t xml:space="preserve"> (US$ 559 millones en 2011, 635</w:t>
      </w:r>
      <w:r w:rsidR="007E0F85" w:rsidRPr="00624CE2">
        <w:rPr>
          <w:lang w:val="es-ES"/>
        </w:rPr>
        <w:t>.</w:t>
      </w:r>
      <w:r w:rsidR="00CE6D94" w:rsidRPr="00624CE2">
        <w:rPr>
          <w:lang w:val="es-ES"/>
        </w:rPr>
        <w:t>000 ton)</w:t>
      </w:r>
      <w:r w:rsidRPr="00624CE2">
        <w:rPr>
          <w:lang w:val="es-ES"/>
        </w:rPr>
        <w:t>.</w:t>
      </w:r>
      <w:r w:rsidR="007B6722" w:rsidRPr="00624CE2">
        <w:rPr>
          <w:lang w:val="es-ES"/>
        </w:rPr>
        <w:t xml:space="preserve"> Mesoamérica es el mayor origen de </w:t>
      </w:r>
      <w:r w:rsidR="007E0F85" w:rsidRPr="00624CE2">
        <w:rPr>
          <w:lang w:val="es-ES"/>
        </w:rPr>
        <w:t>importaciones en valor y peso (US$ 1.575 millones y 1.424.000 ton).</w:t>
      </w:r>
    </w:p>
    <w:p w:rsidR="008D414C" w:rsidRPr="00624CE2" w:rsidRDefault="008D414C" w:rsidP="00624CE2">
      <w:pPr>
        <w:pStyle w:val="ListParagraph"/>
        <w:numPr>
          <w:ilvl w:val="0"/>
          <w:numId w:val="9"/>
        </w:numPr>
        <w:ind w:left="1080"/>
        <w:jc w:val="both"/>
        <w:rPr>
          <w:lang w:val="es-ES"/>
        </w:rPr>
      </w:pPr>
      <w:r w:rsidRPr="00624CE2">
        <w:rPr>
          <w:lang w:val="es-ES"/>
        </w:rPr>
        <w:t>Puerto Corinto es el principal puerto del país y además es el segundo nodo en importancia de valor para las exportaciones y para las importaciones</w:t>
      </w:r>
      <w:r>
        <w:rPr>
          <w:lang w:val="es-ES"/>
        </w:rPr>
        <w:t>. En total maneja unas 3.500.000 toneladas</w:t>
      </w:r>
      <w:r w:rsidR="00E9150E">
        <w:rPr>
          <w:lang w:val="es-ES"/>
        </w:rPr>
        <w:t xml:space="preserve">, incluyendo unos 80.000 </w:t>
      </w:r>
      <w:proofErr w:type="spellStart"/>
      <w:r w:rsidR="00E9150E">
        <w:rPr>
          <w:lang w:val="es-ES"/>
        </w:rPr>
        <w:t>TEUs</w:t>
      </w:r>
      <w:proofErr w:type="spellEnd"/>
      <w:r>
        <w:rPr>
          <w:lang w:val="es-ES"/>
        </w:rPr>
        <w:t>.</w:t>
      </w:r>
    </w:p>
    <w:p w:rsidR="008E133A" w:rsidRPr="001C1B87" w:rsidRDefault="008E133A" w:rsidP="001C1B87">
      <w:pPr>
        <w:pStyle w:val="Paragraph"/>
        <w:numPr>
          <w:ilvl w:val="1"/>
          <w:numId w:val="5"/>
        </w:numPr>
      </w:pPr>
      <w:r w:rsidRPr="001C1B87">
        <w:t xml:space="preserve">Estas cifras muestran la importancia que tiene para el comercio exterior </w:t>
      </w:r>
      <w:r w:rsidR="009C79C0" w:rsidRPr="001C1B87">
        <w:t xml:space="preserve">de Nicaragua </w:t>
      </w:r>
      <w:r w:rsidRPr="001C1B87">
        <w:t>el transporte terrestre y la necesidad de continuar invirtiendo en la mejora de la infraestructura vial, con dos propósitos: uno, para contribuir a reducir los costos y tiempos de transporte</w:t>
      </w:r>
      <w:r w:rsidR="009C79C0" w:rsidRPr="001C1B87">
        <w:t xml:space="preserve"> de los movimientos actuales</w:t>
      </w:r>
      <w:r w:rsidRPr="001C1B87">
        <w:t xml:space="preserve">, y otro, para generar </w:t>
      </w:r>
      <w:r w:rsidR="009C79C0" w:rsidRPr="001C1B87">
        <w:t>nuevas alternativas de movimientos hacia otros nodos de la región (puertos principalmente)</w:t>
      </w:r>
      <w:r w:rsidRPr="001C1B87">
        <w:t>.</w:t>
      </w:r>
    </w:p>
    <w:p w:rsidR="004A41FA" w:rsidRDefault="009A5214" w:rsidP="009A5214">
      <w:pPr>
        <w:pStyle w:val="Paragraph"/>
        <w:numPr>
          <w:ilvl w:val="1"/>
          <w:numId w:val="5"/>
        </w:numPr>
      </w:pPr>
      <w:r>
        <w:rPr>
          <w:b/>
        </w:rPr>
        <w:t>S</w:t>
      </w:r>
      <w:r w:rsidRPr="00092B8A">
        <w:rPr>
          <w:b/>
        </w:rPr>
        <w:t>ituación en materia de logística y competitividad</w:t>
      </w:r>
      <w:r>
        <w:rPr>
          <w:b/>
        </w:rPr>
        <w:t xml:space="preserve"> – Escenario </w:t>
      </w:r>
      <w:r w:rsidR="00E9150E">
        <w:rPr>
          <w:b/>
        </w:rPr>
        <w:t xml:space="preserve">hacia lo </w:t>
      </w:r>
      <w:r w:rsidR="009C005B">
        <w:rPr>
          <w:b/>
        </w:rPr>
        <w:t>interno</w:t>
      </w:r>
      <w:r w:rsidRPr="00092B8A">
        <w:rPr>
          <w:b/>
        </w:rPr>
        <w:t>.</w:t>
      </w:r>
      <w:r w:rsidRPr="009A5214">
        <w:t xml:space="preserve"> </w:t>
      </w:r>
      <w:r w:rsidR="004A41FA" w:rsidRPr="00092B8A">
        <w:t>Según datos del Banco Central de Nicaragua el sector transporte y comunicaciones representó un 8,1% del PIB en el año 2009, el mayor nivel de contribución del sector en los últimos diez años. Durante el período 2001-2010 mantuvo un crecimiento anual promedio del 5,2% mientras que el PIB tuvo un crecimiento anual promedio del 2,9%, siendo con ello el sector transporte un importante factor dentro de la economía del país</w:t>
      </w:r>
      <w:r w:rsidR="004A41FA">
        <w:t>, con impacto sobre los demás sectores.</w:t>
      </w:r>
    </w:p>
    <w:p w:rsidR="00F64C28" w:rsidRDefault="00E9150E" w:rsidP="009A5214">
      <w:pPr>
        <w:pStyle w:val="Paragraph"/>
        <w:numPr>
          <w:ilvl w:val="1"/>
          <w:numId w:val="5"/>
        </w:numPr>
      </w:pPr>
      <w:r w:rsidRPr="009742BB">
        <w:t>La economía de Nicaragua se basa en la agricultura y ganadería, y en menor medida en la industria de maquila orientada a la exportación</w:t>
      </w:r>
      <w:r>
        <w:t xml:space="preserve">. </w:t>
      </w:r>
      <w:r w:rsidRPr="009742BB">
        <w:t xml:space="preserve">En la estructura económica de Nicaragua el sector primario y secundario tienen un peso relevante </w:t>
      </w:r>
      <w:r>
        <w:t xml:space="preserve">con 21% y 28% respectivamente del </w:t>
      </w:r>
      <w:r w:rsidRPr="009742BB">
        <w:t xml:space="preserve">PIB </w:t>
      </w:r>
      <w:r>
        <w:t xml:space="preserve">en </w:t>
      </w:r>
      <w:r w:rsidRPr="009742BB">
        <w:t>2011</w:t>
      </w:r>
      <w:r>
        <w:t>. El</w:t>
      </w:r>
      <w:r w:rsidRPr="009742BB">
        <w:t xml:space="preserve"> sector terciario (servicios) represent</w:t>
      </w:r>
      <w:r>
        <w:t>ó</w:t>
      </w:r>
      <w:r w:rsidRPr="009742BB">
        <w:t xml:space="preserve"> </w:t>
      </w:r>
      <w:r>
        <w:t xml:space="preserve">el </w:t>
      </w:r>
      <w:r w:rsidRPr="009742BB">
        <w:t>5</w:t>
      </w:r>
      <w:r>
        <w:t>1</w:t>
      </w:r>
      <w:r w:rsidRPr="009742BB">
        <w:t>% del</w:t>
      </w:r>
      <w:r>
        <w:t xml:space="preserve"> PIB en ese mismo año.</w:t>
      </w:r>
    </w:p>
    <w:p w:rsidR="00664FE7" w:rsidRDefault="00E9150E" w:rsidP="009A5214">
      <w:pPr>
        <w:pStyle w:val="Paragraph"/>
        <w:numPr>
          <w:ilvl w:val="1"/>
          <w:numId w:val="5"/>
        </w:numPr>
      </w:pPr>
      <w:r w:rsidRPr="009E180F">
        <w:t>La actividad agropecuaria del país se dirige, en parte, a la exportación, principalmente de rubros como café, azúcar, cacahuete y carne bovina</w:t>
      </w:r>
      <w:r>
        <w:t xml:space="preserve">. La carne y el café </w:t>
      </w:r>
      <w:r w:rsidRPr="009E180F">
        <w:t>tienen su principal destino en el mercado internacional</w:t>
      </w:r>
      <w:r>
        <w:t>.</w:t>
      </w:r>
      <w:r w:rsidR="00F64C28" w:rsidRPr="00F64C28">
        <w:t xml:space="preserve"> </w:t>
      </w:r>
      <w:r w:rsidR="00F64C28" w:rsidRPr="000D7D05">
        <w:t xml:space="preserve">Nicaragua presenta un </w:t>
      </w:r>
      <w:r w:rsidR="00A47D4F">
        <w:t xml:space="preserve">nivel </w:t>
      </w:r>
      <w:r w:rsidR="00F64C28" w:rsidRPr="000D7D05">
        <w:t>de exportaciones hacia Mesoamérica</w:t>
      </w:r>
      <w:r w:rsidR="00F64C28">
        <w:t xml:space="preserve"> </w:t>
      </w:r>
      <w:r w:rsidR="00F64C28" w:rsidRPr="000D7D05">
        <w:t>relativamente bajo a pesar de encontrarse en el centro geográfico de la</w:t>
      </w:r>
      <w:r w:rsidR="00F64C28">
        <w:t xml:space="preserve"> </w:t>
      </w:r>
      <w:r w:rsidR="00F64C28" w:rsidRPr="000D7D05">
        <w:t>región</w:t>
      </w:r>
      <w:r w:rsidR="00A47D4F">
        <w:t>. S</w:t>
      </w:r>
      <w:r w:rsidR="00F64C28" w:rsidRPr="000D7D05">
        <w:t>u exportación de productos agropecuarios e industriales</w:t>
      </w:r>
      <w:r w:rsidR="00F64C28">
        <w:t xml:space="preserve"> </w:t>
      </w:r>
      <w:r w:rsidR="00F64C28" w:rsidRPr="000D7D05">
        <w:t xml:space="preserve">está orientado </w:t>
      </w:r>
      <w:r w:rsidR="00A47D4F">
        <w:t xml:space="preserve">tanto a Mesoamérica como </w:t>
      </w:r>
      <w:r w:rsidR="00F64C28" w:rsidRPr="000D7D05">
        <w:t>al consumo en países de América del Norte y Europa</w:t>
      </w:r>
      <w:r w:rsidR="00F64C28">
        <w:t>.</w:t>
      </w:r>
    </w:p>
    <w:p w:rsidR="004A41FA" w:rsidRDefault="004A41FA" w:rsidP="004A41FA">
      <w:pPr>
        <w:pStyle w:val="Paragraph"/>
        <w:numPr>
          <w:ilvl w:val="1"/>
          <w:numId w:val="5"/>
        </w:numPr>
      </w:pPr>
      <w:r>
        <w:t>El sector rural es de gran importancia para el país, concentra el 42% de la población total, 35% del empleo, y, a través de la actividad agropecuaria, abastece cerca del 70% de la oferta alimentaria local y constituye la base de las exportaciones de Nicaragua (el PIB agropecuario representa el 22% del PIB y el 75% de las exportaciones). La dinámica del PIB agropecuario ha determinado el crecimiento del país de manera directa. Por otro lado, concentra gran parte de la población pobre, registrando tasas de pobreza (63%) que duplican las tasas urbanas, siendo el problema aún más acuciante en términos de pobreza extrema (26,6% vs 5,6%).</w:t>
      </w:r>
    </w:p>
    <w:p w:rsidR="00431774" w:rsidRDefault="004A41FA" w:rsidP="004A41FA">
      <w:pPr>
        <w:pStyle w:val="Paragraph"/>
        <w:numPr>
          <w:ilvl w:val="1"/>
          <w:numId w:val="5"/>
        </w:numPr>
      </w:pPr>
      <w:r>
        <w:t>La participación en cadenas de valor modernas en el sector agrícola, con el fin de vender a mercados de exportación o contratar con supermercados en zonas urbanas, representa para los productores pequeños la posibilidad de recibir precios más altos y estables por su producción agropecuaria. Precios más altos implicarían un aumento en ingresos de corto plazo, y precios más estables podrían dar a los productores pequeños un incentivo por invertir en sus actividades agropecuarias y generar un aumento de sus ingresos de largo plazo.</w:t>
      </w:r>
    </w:p>
    <w:p w:rsidR="004A41FA" w:rsidRDefault="00431774" w:rsidP="004A41FA">
      <w:pPr>
        <w:pStyle w:val="Paragraph"/>
        <w:numPr>
          <w:ilvl w:val="1"/>
          <w:numId w:val="5"/>
        </w:numPr>
      </w:pPr>
      <w:r>
        <w:t xml:space="preserve">Precios más altos pueden lograrse a través de un incremento de la calidad de los productos, que en parte depende de mejores condiciones de transporte que garanticen que la carga no se estropee y que llegue a destino en tiempos que garanticen sus cualidades. Otra manera de </w:t>
      </w:r>
      <w:r w:rsidR="004A41FA">
        <w:t>lograr</w:t>
      </w:r>
      <w:r>
        <w:t xml:space="preserve"> mayores beneficios es a través de</w:t>
      </w:r>
      <w:r w:rsidR="00AD48A6">
        <w:t xml:space="preserve"> </w:t>
      </w:r>
      <w:r>
        <w:t>la re</w:t>
      </w:r>
      <w:r w:rsidR="00AD48A6">
        <w:t>ducción de costos de transporte (de insumos y productos), algo que puede lograrse también a partir de la mejora de las condiciones de transporte (esto es, gracias a mejores condiciones de servicio de los caminos productivos y las carreteras).</w:t>
      </w:r>
    </w:p>
    <w:p w:rsidR="00182379" w:rsidRDefault="00875867" w:rsidP="009A5214">
      <w:pPr>
        <w:pStyle w:val="Paragraph"/>
        <w:numPr>
          <w:ilvl w:val="1"/>
          <w:numId w:val="5"/>
        </w:numPr>
      </w:pPr>
      <w:r>
        <w:t>El “</w:t>
      </w:r>
      <w:proofErr w:type="spellStart"/>
      <w:r>
        <w:t>Logistics</w:t>
      </w:r>
      <w:proofErr w:type="spellEnd"/>
      <w:r>
        <w:t xml:space="preserve"> Performance </w:t>
      </w:r>
      <w:proofErr w:type="spellStart"/>
      <w:r>
        <w:t>Index</w:t>
      </w:r>
      <w:proofErr w:type="spellEnd"/>
      <w:r>
        <w:t>” del Banco Mundial (</w:t>
      </w:r>
      <w:r w:rsidRPr="002213C2">
        <w:t>LPI 2010</w:t>
      </w:r>
      <w:r>
        <w:t xml:space="preserve">), indica que Nicaragua está en el </w:t>
      </w:r>
      <w:r w:rsidRPr="002213C2">
        <w:t>ranking 10</w:t>
      </w:r>
      <w:r>
        <w:t>7</w:t>
      </w:r>
      <w:r w:rsidRPr="002213C2">
        <w:t xml:space="preserve"> de 1</w:t>
      </w:r>
      <w:r>
        <w:t xml:space="preserve">55 países, con un puntaje total de 2,54/5,00 (no hay datos para 2012). </w:t>
      </w:r>
      <w:r w:rsidR="00F64C28">
        <w:t xml:space="preserve">En el capítulo de Infraestructura, el país está en el </w:t>
      </w:r>
      <w:r w:rsidR="00F64C28" w:rsidRPr="002213C2">
        <w:t>ranking 102</w:t>
      </w:r>
      <w:r w:rsidR="00F64C28">
        <w:t>, con un puntaje de 2,23.</w:t>
      </w:r>
    </w:p>
    <w:p w:rsidR="00F64C28" w:rsidRDefault="00875867" w:rsidP="009A5214">
      <w:pPr>
        <w:pStyle w:val="Paragraph"/>
        <w:numPr>
          <w:ilvl w:val="1"/>
          <w:numId w:val="5"/>
        </w:numPr>
      </w:pPr>
      <w:r>
        <w:t xml:space="preserve">Según el “Global </w:t>
      </w:r>
      <w:proofErr w:type="spellStart"/>
      <w:r>
        <w:t>Competitive</w:t>
      </w:r>
      <w:proofErr w:type="spellEnd"/>
      <w:r>
        <w:t xml:space="preserve"> </w:t>
      </w:r>
      <w:proofErr w:type="spellStart"/>
      <w:r>
        <w:t>Index</w:t>
      </w:r>
      <w:proofErr w:type="spellEnd"/>
      <w:r>
        <w:t xml:space="preserve">” del </w:t>
      </w:r>
      <w:proofErr w:type="spellStart"/>
      <w:r>
        <w:t>World</w:t>
      </w:r>
      <w:proofErr w:type="spellEnd"/>
      <w:r>
        <w:t xml:space="preserve"> </w:t>
      </w:r>
      <w:proofErr w:type="spellStart"/>
      <w:r>
        <w:t>Economic</w:t>
      </w:r>
      <w:proofErr w:type="spellEnd"/>
      <w:r>
        <w:t xml:space="preserve"> </w:t>
      </w:r>
      <w:proofErr w:type="spellStart"/>
      <w:r>
        <w:t>Forum</w:t>
      </w:r>
      <w:proofErr w:type="spellEnd"/>
      <w:r>
        <w:t xml:space="preserve"> en 2</w:t>
      </w:r>
      <w:r w:rsidRPr="00092B8A">
        <w:t>011 Nicaragua se enc</w:t>
      </w:r>
      <w:r>
        <w:t xml:space="preserve">ontraba en </w:t>
      </w:r>
      <w:r w:rsidRPr="00092B8A">
        <w:t>el puesto 115</w:t>
      </w:r>
      <w:r>
        <w:t xml:space="preserve"> de </w:t>
      </w:r>
      <w:r w:rsidRPr="00092B8A">
        <w:t>14</w:t>
      </w:r>
      <w:r>
        <w:t xml:space="preserve">2 países analizados, con un puntaje de </w:t>
      </w:r>
      <w:r w:rsidR="006B7931">
        <w:t>3,6/7,0</w:t>
      </w:r>
      <w:r w:rsidRPr="00092B8A">
        <w:t>.</w:t>
      </w:r>
      <w:r w:rsidR="006B7931">
        <w:t xml:space="preserve"> En materia de infraestructura este indicador ubica a Nicaragua en el lugar 106 con un puntaje de 3,0. En esta encuesta la “falta de oferta adecuada de infraestructura” fue citada como segund</w:t>
      </w:r>
      <w:r w:rsidR="00182379">
        <w:t>o factor problemático para hacer negocios, con una frecuencia de 12,3% en las respuestas. Curiosamente esta encuesta otorga a la calidad de la vialidad un puntaje de 3,8.</w:t>
      </w:r>
    </w:p>
    <w:p w:rsidR="00F64C28" w:rsidRDefault="00F64C28" w:rsidP="009A5214">
      <w:pPr>
        <w:pStyle w:val="Paragraph"/>
        <w:numPr>
          <w:ilvl w:val="1"/>
          <w:numId w:val="5"/>
        </w:numPr>
      </w:pPr>
      <w:r>
        <w:t>En materia de desempeño de logística interna (“</w:t>
      </w:r>
      <w:proofErr w:type="spellStart"/>
      <w:r>
        <w:t>Domestic</w:t>
      </w:r>
      <w:proofErr w:type="spellEnd"/>
      <w:r>
        <w:t xml:space="preserve"> LPI”), para 2010 el Banco Mundial reporta que en exportación, las operaciones con movimientos por puertos o aeropuertos involucran un recorrido terrestre promedio de más de 600 km, con una duración superior a 3 días y un costo de US$ 1.225,00. En importación, las cifras cambian a 300 km, 3 días de duración y un costo de US$ 866.</w:t>
      </w:r>
    </w:p>
    <w:p w:rsidR="00F64C28" w:rsidRPr="009A5214" w:rsidRDefault="00FC1385" w:rsidP="00FC1385">
      <w:pPr>
        <w:pStyle w:val="Paragraph"/>
        <w:numPr>
          <w:ilvl w:val="1"/>
          <w:numId w:val="5"/>
        </w:numPr>
      </w:pPr>
      <w:r>
        <w:t xml:space="preserve">En el </w:t>
      </w:r>
      <w:r w:rsidRPr="00FC1385">
        <w:t>estudio “</w:t>
      </w:r>
      <w:r w:rsidRPr="00FC1385">
        <w:rPr>
          <w:i/>
        </w:rPr>
        <w:t xml:space="preserve">Análisis, estrategia e instrumentos para el mejoramiento de la logística de cargas y el comercio en </w:t>
      </w:r>
      <w:proofErr w:type="spellStart"/>
      <w:r w:rsidRPr="00FC1385">
        <w:rPr>
          <w:i/>
        </w:rPr>
        <w:t>Mesoamérica</w:t>
      </w:r>
      <w:proofErr w:type="spellEnd"/>
      <w:r w:rsidRPr="00FC1385">
        <w:t>”</w:t>
      </w:r>
      <w:r>
        <w:t>,</w:t>
      </w:r>
      <w:r w:rsidRPr="00FC1385">
        <w:t xml:space="preserve"> </w:t>
      </w:r>
      <w:r>
        <w:t>c</w:t>
      </w:r>
      <w:r w:rsidR="003741D2" w:rsidRPr="00E1329D">
        <w:t xml:space="preserve">uatro </w:t>
      </w:r>
      <w:r w:rsidR="003741D2">
        <w:t xml:space="preserve">son las </w:t>
      </w:r>
      <w:r w:rsidR="003741D2" w:rsidRPr="00E1329D">
        <w:t xml:space="preserve">cadenas representativas </w:t>
      </w:r>
      <w:r w:rsidR="003741D2">
        <w:t xml:space="preserve">para analizar el desempeño logístico en la integración comercial de </w:t>
      </w:r>
      <w:r w:rsidR="003741D2" w:rsidRPr="00E1329D">
        <w:t>Nicaragua</w:t>
      </w:r>
      <w:r w:rsidR="003741D2">
        <w:t xml:space="preserve"> con Mesoamérica: c</w:t>
      </w:r>
      <w:r w:rsidR="003741D2" w:rsidRPr="00D964B5">
        <w:t>arne bovina</w:t>
      </w:r>
      <w:r w:rsidR="003741D2">
        <w:t>, l</w:t>
      </w:r>
      <w:r w:rsidR="003741D2" w:rsidRPr="00D964B5">
        <w:t>ácteos y derivados</w:t>
      </w:r>
      <w:r w:rsidR="003741D2">
        <w:t>, a</w:t>
      </w:r>
      <w:r w:rsidR="003741D2" w:rsidRPr="00D964B5">
        <w:t>zúcar de caña</w:t>
      </w:r>
      <w:r w:rsidR="003741D2">
        <w:t>, y c</w:t>
      </w:r>
      <w:r w:rsidR="003741D2" w:rsidRPr="00D964B5">
        <w:t xml:space="preserve">acahuetes y </w:t>
      </w:r>
      <w:r w:rsidR="003741D2">
        <w:t>m</w:t>
      </w:r>
      <w:r w:rsidR="003741D2" w:rsidRPr="00D964B5">
        <w:t>aníes</w:t>
      </w:r>
      <w:r w:rsidR="003741D2">
        <w:t xml:space="preserve">. </w:t>
      </w:r>
      <w:r>
        <w:t xml:space="preserve">El estudio </w:t>
      </w:r>
      <w:r w:rsidR="003741D2">
        <w:t>conclu</w:t>
      </w:r>
      <w:r>
        <w:t>ye que</w:t>
      </w:r>
      <w:r w:rsidR="003741D2">
        <w:t>:</w:t>
      </w:r>
    </w:p>
    <w:p w:rsidR="00E9150E" w:rsidRPr="002D0EF5" w:rsidRDefault="00FC1385" w:rsidP="005764EF">
      <w:pPr>
        <w:pStyle w:val="ListParagraph"/>
        <w:numPr>
          <w:ilvl w:val="0"/>
          <w:numId w:val="9"/>
        </w:numPr>
        <w:ind w:left="1080"/>
        <w:jc w:val="both"/>
        <w:rPr>
          <w:lang w:val="es-ES"/>
        </w:rPr>
      </w:pPr>
      <w:r w:rsidRPr="002D0EF5">
        <w:rPr>
          <w:lang w:val="es-ES"/>
        </w:rPr>
        <w:t xml:space="preserve">Managua es el nodo logístico principal del país, por lo que dispone de relaciones logísticas consolidadas con </w:t>
      </w:r>
      <w:r w:rsidR="005764EF">
        <w:rPr>
          <w:lang w:val="es-ES"/>
        </w:rPr>
        <w:t>la mayor parte del territorio.</w:t>
      </w:r>
    </w:p>
    <w:p w:rsidR="00FC1385" w:rsidRPr="00FC1385" w:rsidRDefault="00FC1385" w:rsidP="005764EF">
      <w:pPr>
        <w:pStyle w:val="ListParagraph"/>
        <w:numPr>
          <w:ilvl w:val="0"/>
          <w:numId w:val="9"/>
        </w:numPr>
        <w:ind w:left="1080"/>
        <w:jc w:val="both"/>
        <w:rPr>
          <w:lang w:val="es-ES"/>
        </w:rPr>
      </w:pPr>
      <w:r w:rsidRPr="00FC1385">
        <w:rPr>
          <w:lang w:val="es-ES"/>
        </w:rPr>
        <w:t xml:space="preserve">Los principales centros de consumo y producción se encuentran entorno </w:t>
      </w:r>
      <w:r w:rsidR="005764EF">
        <w:rPr>
          <w:lang w:val="es-ES"/>
        </w:rPr>
        <w:t>a</w:t>
      </w:r>
      <w:r w:rsidRPr="00FC1385">
        <w:rPr>
          <w:lang w:val="es-ES"/>
        </w:rPr>
        <w:t xml:space="preserve">l Lago </w:t>
      </w:r>
      <w:r w:rsidR="005764EF">
        <w:rPr>
          <w:lang w:val="es-ES"/>
        </w:rPr>
        <w:t xml:space="preserve">de </w:t>
      </w:r>
      <w:r w:rsidRPr="00FC1385">
        <w:rPr>
          <w:lang w:val="es-ES"/>
        </w:rPr>
        <w:t>Managua y a lo largo de la Costa Pacífica</w:t>
      </w:r>
      <w:r>
        <w:rPr>
          <w:lang w:val="es-ES"/>
        </w:rPr>
        <w:t>.</w:t>
      </w:r>
    </w:p>
    <w:p w:rsidR="00FC1385" w:rsidRPr="00FC1385" w:rsidRDefault="00FC1385" w:rsidP="005764EF">
      <w:pPr>
        <w:pStyle w:val="ListParagraph"/>
        <w:numPr>
          <w:ilvl w:val="0"/>
          <w:numId w:val="9"/>
        </w:numPr>
        <w:ind w:left="1080"/>
        <w:jc w:val="both"/>
        <w:rPr>
          <w:lang w:val="es-ES"/>
        </w:rPr>
      </w:pPr>
      <w:r w:rsidRPr="00FC1385">
        <w:rPr>
          <w:lang w:val="es-ES"/>
        </w:rPr>
        <w:t xml:space="preserve">León es el segundo nodo logístico principal, el cual tiene una actividad de consumo y producción relevante junto con las ciudades de Chinandega y </w:t>
      </w:r>
      <w:proofErr w:type="spellStart"/>
      <w:r w:rsidRPr="00FC1385">
        <w:rPr>
          <w:lang w:val="es-ES"/>
        </w:rPr>
        <w:t>Chichigalpa</w:t>
      </w:r>
      <w:proofErr w:type="spellEnd"/>
      <w:r>
        <w:rPr>
          <w:lang w:val="es-ES"/>
        </w:rPr>
        <w:t>.</w:t>
      </w:r>
    </w:p>
    <w:p w:rsidR="009742BB" w:rsidRDefault="00FC1385" w:rsidP="005764EF">
      <w:pPr>
        <w:pStyle w:val="ListParagraph"/>
        <w:numPr>
          <w:ilvl w:val="0"/>
          <w:numId w:val="9"/>
        </w:numPr>
        <w:ind w:left="1080"/>
        <w:jc w:val="both"/>
        <w:rPr>
          <w:lang w:val="es-ES"/>
        </w:rPr>
      </w:pPr>
      <w:r w:rsidRPr="00FC1385">
        <w:rPr>
          <w:lang w:val="es-ES"/>
        </w:rPr>
        <w:t>Entre los nodos logísticos secundarios se encuentran: Chinandega, Estelí, Matagalpa, Corinto, Puerto Sandino, Masaya, Rivas, El Rama y Puerto Cabezas</w:t>
      </w:r>
      <w:r>
        <w:rPr>
          <w:lang w:val="es-ES"/>
        </w:rPr>
        <w:t>.</w:t>
      </w:r>
    </w:p>
    <w:p w:rsidR="009742BB" w:rsidRPr="00092B8A" w:rsidRDefault="00FC1385" w:rsidP="005764EF">
      <w:pPr>
        <w:pStyle w:val="ListParagraph"/>
        <w:numPr>
          <w:ilvl w:val="0"/>
          <w:numId w:val="9"/>
        </w:numPr>
        <w:ind w:left="1080"/>
        <w:jc w:val="both"/>
        <w:rPr>
          <w:lang w:val="es-ES"/>
        </w:rPr>
      </w:pPr>
      <w:r w:rsidRPr="00FC1385">
        <w:rPr>
          <w:lang w:val="es-ES"/>
        </w:rPr>
        <w:t>Se identifican dos ámbitos logísticos en Nicaragua: Managua y su entorno, y las ciudades de León y Chinandega</w:t>
      </w:r>
      <w:r>
        <w:rPr>
          <w:lang w:val="es-ES"/>
        </w:rPr>
        <w:t>.</w:t>
      </w:r>
    </w:p>
    <w:p w:rsidR="00E6532E" w:rsidRDefault="002D0EF5" w:rsidP="005764EF">
      <w:pPr>
        <w:pStyle w:val="ListParagraph"/>
        <w:numPr>
          <w:ilvl w:val="0"/>
          <w:numId w:val="9"/>
        </w:numPr>
        <w:ind w:left="1080"/>
        <w:jc w:val="both"/>
        <w:rPr>
          <w:lang w:val="es-ES"/>
        </w:rPr>
      </w:pPr>
      <w:r w:rsidRPr="002D0EF5">
        <w:rPr>
          <w:lang w:val="es-ES"/>
        </w:rPr>
        <w:t xml:space="preserve">Los ejes Corinto – Managua – Granada y Managua – Estelí son los ejes </w:t>
      </w:r>
      <w:proofErr w:type="spellStart"/>
      <w:r w:rsidRPr="002D0EF5">
        <w:rPr>
          <w:lang w:val="es-ES"/>
        </w:rPr>
        <w:t>estructurantes</w:t>
      </w:r>
      <w:proofErr w:type="spellEnd"/>
      <w:r w:rsidRPr="002D0EF5">
        <w:rPr>
          <w:lang w:val="es-ES"/>
        </w:rPr>
        <w:t xml:space="preserve"> de Nicaragua</w:t>
      </w:r>
    </w:p>
    <w:p w:rsidR="00370506" w:rsidRDefault="00370506" w:rsidP="00370506">
      <w:pPr>
        <w:rPr>
          <w:lang w:val="es-ES"/>
        </w:rPr>
      </w:pPr>
    </w:p>
    <w:p w:rsidR="00370506" w:rsidRDefault="00AC777C" w:rsidP="00D0458B">
      <w:pPr>
        <w:ind w:left="720"/>
        <w:jc w:val="center"/>
        <w:rPr>
          <w:lang w:val="es-ES"/>
        </w:rPr>
      </w:pPr>
      <w:r>
        <w:rPr>
          <w:noProof/>
          <w:lang w:val="en-US"/>
        </w:rPr>
        <w:drawing>
          <wp:inline distT="0" distB="0" distL="0" distR="0" wp14:anchorId="44909E3A" wp14:editId="7B12DEC6">
            <wp:extent cx="5470497" cy="4676394"/>
            <wp:effectExtent l="19050" t="19050" r="16510" b="10160"/>
            <wp:docPr id="10" name="Picture 10" descr="D:\DATA.IDB\Pictures\New Picture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DATA.IDB\Pictures\New Picture (3).jpg"/>
                    <pic:cNvPicPr>
                      <a:picLocks noChangeAspect="1" noChangeArrowheads="1"/>
                    </pic:cNvPicPr>
                  </pic:nvPicPr>
                  <pic:blipFill>
                    <a:blip r:embed="rId15" cstate="print">
                      <a:extLst>
                        <a:ext uri="{BEBA8EAE-BF5A-486C-A8C5-ECC9F3942E4B}">
                          <a14:imgProps xmlns:a14="http://schemas.microsoft.com/office/drawing/2010/main">
                            <a14:imgLayer r:embed="rId16">
                              <a14:imgEffect>
                                <a14:sharpenSoften amount="40000"/>
                              </a14:imgEffect>
                            </a14:imgLayer>
                          </a14:imgProps>
                        </a:ext>
                        <a:ext uri="{28A0092B-C50C-407E-A947-70E740481C1C}">
                          <a14:useLocalDpi xmlns:a14="http://schemas.microsoft.com/office/drawing/2010/main" val="0"/>
                        </a:ext>
                      </a:extLst>
                    </a:blip>
                    <a:srcRect/>
                    <a:stretch>
                      <a:fillRect/>
                    </a:stretch>
                  </pic:blipFill>
                  <pic:spPr bwMode="auto">
                    <a:xfrm>
                      <a:off x="0" y="0"/>
                      <a:ext cx="5471620" cy="4677354"/>
                    </a:xfrm>
                    <a:prstGeom prst="rect">
                      <a:avLst/>
                    </a:prstGeom>
                    <a:noFill/>
                    <a:ln>
                      <a:solidFill>
                        <a:schemeClr val="accent1"/>
                      </a:solidFill>
                    </a:ln>
                  </pic:spPr>
                </pic:pic>
              </a:graphicData>
            </a:graphic>
          </wp:inline>
        </w:drawing>
      </w:r>
    </w:p>
    <w:p w:rsidR="00370506" w:rsidRPr="00092B8A" w:rsidRDefault="00370506" w:rsidP="00370506">
      <w:pPr>
        <w:rPr>
          <w:lang w:val="es-ES"/>
        </w:rPr>
      </w:pPr>
    </w:p>
    <w:p w:rsidR="002D0EF5" w:rsidRPr="002D0EF5" w:rsidRDefault="002D0EF5" w:rsidP="005764EF">
      <w:pPr>
        <w:pStyle w:val="ListParagraph"/>
        <w:numPr>
          <w:ilvl w:val="0"/>
          <w:numId w:val="9"/>
        </w:numPr>
        <w:ind w:left="1080"/>
        <w:jc w:val="both"/>
        <w:rPr>
          <w:lang w:val="es-ES"/>
        </w:rPr>
      </w:pPr>
      <w:r w:rsidRPr="002D0EF5">
        <w:rPr>
          <w:lang w:val="es-ES"/>
        </w:rPr>
        <w:t xml:space="preserve">Entre los corredores logísticos a consolidar conviene destacar el Managua- Rivas, con un nivel de actividad considerable, y en menor medida el </w:t>
      </w:r>
      <w:r w:rsidR="005764EF">
        <w:rPr>
          <w:lang w:val="es-ES"/>
        </w:rPr>
        <w:t xml:space="preserve">corredor </w:t>
      </w:r>
      <w:r w:rsidRPr="002D0EF5">
        <w:rPr>
          <w:lang w:val="es-ES"/>
        </w:rPr>
        <w:t>Managua – Boaco.</w:t>
      </w:r>
    </w:p>
    <w:p w:rsidR="002D0EF5" w:rsidRDefault="002D0EF5" w:rsidP="005764EF">
      <w:pPr>
        <w:pStyle w:val="ListParagraph"/>
        <w:numPr>
          <w:ilvl w:val="0"/>
          <w:numId w:val="9"/>
        </w:numPr>
        <w:ind w:left="1080"/>
        <w:jc w:val="both"/>
        <w:rPr>
          <w:lang w:val="es-ES"/>
        </w:rPr>
      </w:pPr>
      <w:r w:rsidRPr="002D0EF5">
        <w:rPr>
          <w:lang w:val="es-ES"/>
        </w:rPr>
        <w:t>Se identifican dos corredores logísticos por consolidar entre Managua y las principales ciudades del Caribe (El Rama- Bluefields y Puerto Cabezas), no porqué estén muy desarrollados en su mayor parte, sino porque por razones de equilibrio territorial y para conectar la costa del Caribe con el resto del país es de vital importancia incentivar su desarrollo</w:t>
      </w:r>
      <w:r w:rsidR="00635CE2">
        <w:rPr>
          <w:lang w:val="es-ES"/>
        </w:rPr>
        <w:t>.</w:t>
      </w:r>
    </w:p>
    <w:p w:rsidR="00635CE2" w:rsidRDefault="00635CE2" w:rsidP="005764EF">
      <w:pPr>
        <w:pStyle w:val="ListParagraph"/>
        <w:numPr>
          <w:ilvl w:val="0"/>
          <w:numId w:val="9"/>
        </w:numPr>
        <w:ind w:left="1080"/>
        <w:jc w:val="both"/>
        <w:rPr>
          <w:lang w:val="es-ES"/>
        </w:rPr>
      </w:pPr>
      <w:r w:rsidRPr="00635CE2">
        <w:rPr>
          <w:lang w:val="es-ES"/>
        </w:rPr>
        <w:t xml:space="preserve">En cuanto al transporte carretero, existe una demanda importante de transporte en contenedor a los puertos (especialmente Puerto Corinto en Nicaragua, Cortés en Honduras y Limón en Costa Rica) desde los principales centros productivos, mayoritariamente de los Nodos Chinandega-León y Managua- Masaya- Granada, aunque también de otros de 2º orden como Rivas, Estelí, Matagalpa, etc. </w:t>
      </w:r>
    </w:p>
    <w:p w:rsidR="00635CE2" w:rsidRDefault="00635CE2" w:rsidP="005764EF">
      <w:pPr>
        <w:pStyle w:val="ListParagraph"/>
        <w:numPr>
          <w:ilvl w:val="0"/>
          <w:numId w:val="9"/>
        </w:numPr>
        <w:ind w:left="1080"/>
        <w:jc w:val="both"/>
        <w:rPr>
          <w:lang w:val="es-ES"/>
        </w:rPr>
      </w:pPr>
      <w:r>
        <w:rPr>
          <w:lang w:val="es-ES"/>
        </w:rPr>
        <w:t>L</w:t>
      </w:r>
      <w:r w:rsidRPr="00635CE2">
        <w:rPr>
          <w:lang w:val="es-ES"/>
        </w:rPr>
        <w:t xml:space="preserve">a demanda de transporte terrestre de </w:t>
      </w:r>
      <w:proofErr w:type="spellStart"/>
      <w:r w:rsidRPr="00635CE2">
        <w:rPr>
          <w:lang w:val="es-ES"/>
        </w:rPr>
        <w:t>graneles</w:t>
      </w:r>
      <w:proofErr w:type="spellEnd"/>
      <w:r w:rsidRPr="00635CE2">
        <w:rPr>
          <w:lang w:val="es-ES"/>
        </w:rPr>
        <w:t xml:space="preserve"> líquidos y sólidos es básicamente de transporte nacional</w:t>
      </w:r>
      <w:r>
        <w:rPr>
          <w:lang w:val="es-ES"/>
        </w:rPr>
        <w:t>. L</w:t>
      </w:r>
      <w:r w:rsidRPr="00635CE2">
        <w:rPr>
          <w:lang w:val="es-ES"/>
        </w:rPr>
        <w:t xml:space="preserve">a demanda de transporte terrestre de carga general no </w:t>
      </w:r>
      <w:proofErr w:type="spellStart"/>
      <w:r w:rsidRPr="00635CE2">
        <w:rPr>
          <w:lang w:val="es-ES"/>
        </w:rPr>
        <w:t>contenedorizada</w:t>
      </w:r>
      <w:proofErr w:type="spellEnd"/>
      <w:r w:rsidRPr="00635CE2">
        <w:rPr>
          <w:lang w:val="es-ES"/>
        </w:rPr>
        <w:t xml:space="preserve">, </w:t>
      </w:r>
      <w:r>
        <w:rPr>
          <w:lang w:val="es-ES"/>
        </w:rPr>
        <w:t xml:space="preserve">es de transporte </w:t>
      </w:r>
      <w:r w:rsidR="0012192B">
        <w:rPr>
          <w:lang w:val="es-ES"/>
        </w:rPr>
        <w:t xml:space="preserve">nacional no portuario </w:t>
      </w:r>
      <w:r w:rsidRPr="00635CE2">
        <w:rPr>
          <w:lang w:val="es-ES"/>
        </w:rPr>
        <w:t>e internacional</w:t>
      </w:r>
      <w:r w:rsidR="0012192B">
        <w:rPr>
          <w:lang w:val="es-ES"/>
        </w:rPr>
        <w:t>.</w:t>
      </w:r>
    </w:p>
    <w:p w:rsidR="0012192B" w:rsidRPr="0012192B" w:rsidRDefault="0012192B" w:rsidP="0012192B">
      <w:pPr>
        <w:pStyle w:val="ListParagraph"/>
        <w:numPr>
          <w:ilvl w:val="0"/>
          <w:numId w:val="9"/>
        </w:numPr>
        <w:ind w:left="1080"/>
        <w:jc w:val="both"/>
        <w:rPr>
          <w:lang w:val="es-ES"/>
        </w:rPr>
      </w:pPr>
      <w:r w:rsidRPr="0012192B">
        <w:rPr>
          <w:lang w:val="es-ES"/>
        </w:rPr>
        <w:t>La oferta de servicios de transporte terrestre se encuentra muy segmentada, con diferencias importantes en la calidad del servicio y precio. El flete es muy variable, entre 1.1 USD/ km y los 1.3 USD/km en general, pero para algunos trayectos alcanza los 3.6 USD/km debido a la reducida demanda y mala calidad de las vías (que permite el paso de vehículos de reducida capacidad además). Esto sucede especialmente en la zona Este del país, en las conexiones terrestres con el Caribe</w:t>
      </w:r>
      <w:r>
        <w:rPr>
          <w:lang w:val="es-ES"/>
        </w:rPr>
        <w:t>.</w:t>
      </w:r>
    </w:p>
    <w:p w:rsidR="0012192B" w:rsidRPr="0012192B" w:rsidRDefault="0012192B" w:rsidP="0012192B">
      <w:pPr>
        <w:pStyle w:val="ListParagraph"/>
        <w:numPr>
          <w:ilvl w:val="0"/>
          <w:numId w:val="9"/>
        </w:numPr>
        <w:ind w:left="1080"/>
        <w:jc w:val="both"/>
        <w:rPr>
          <w:lang w:val="es-ES"/>
        </w:rPr>
      </w:pPr>
      <w:r w:rsidRPr="0012192B">
        <w:rPr>
          <w:lang w:val="es-ES"/>
        </w:rPr>
        <w:t xml:space="preserve">Curiosamente </w:t>
      </w:r>
      <w:r>
        <w:rPr>
          <w:lang w:val="es-ES"/>
        </w:rPr>
        <w:t>e</w:t>
      </w:r>
      <w:r w:rsidRPr="0012192B">
        <w:rPr>
          <w:lang w:val="es-ES"/>
        </w:rPr>
        <w:t>l flete de transporte terrestre de carga es el más bajo de la región en promedio según se ha analizado (1.15 a 1.20 USD/km), aunque estos fletes promedio son especialmente representativos en los principales trayectos (en los que la red vial se encuentra en muy buen estado)</w:t>
      </w:r>
      <w:r>
        <w:rPr>
          <w:lang w:val="es-ES"/>
        </w:rPr>
        <w:t>.</w:t>
      </w:r>
    </w:p>
    <w:p w:rsidR="0012192B" w:rsidRDefault="00083C8B" w:rsidP="005764EF">
      <w:pPr>
        <w:pStyle w:val="ListParagraph"/>
        <w:numPr>
          <w:ilvl w:val="0"/>
          <w:numId w:val="9"/>
        </w:numPr>
        <w:ind w:left="1080"/>
        <w:jc w:val="both"/>
        <w:rPr>
          <w:lang w:val="es-ES"/>
        </w:rPr>
      </w:pPr>
      <w:r w:rsidRPr="0012192B">
        <w:rPr>
          <w:lang w:val="es-ES"/>
        </w:rPr>
        <w:t>La mayor parte de la red vial no se encuentra pavimentada, y una parte importante son vías practicables únicamente durante la estación seca (7,128 km; 30%). Esta situación deja extensas zonas del país sin una conexión carretera permanente y de calidad, especialmente en las Regiones Autónomas del Caribe</w:t>
      </w:r>
      <w:r>
        <w:rPr>
          <w:lang w:val="es-ES"/>
        </w:rPr>
        <w:t>.</w:t>
      </w:r>
    </w:p>
    <w:p w:rsidR="0055600B" w:rsidRPr="002D0EF5" w:rsidRDefault="0055600B" w:rsidP="005764EF">
      <w:pPr>
        <w:pStyle w:val="ListParagraph"/>
        <w:numPr>
          <w:ilvl w:val="0"/>
          <w:numId w:val="9"/>
        </w:numPr>
        <w:ind w:left="1080"/>
        <w:jc w:val="both"/>
        <w:rPr>
          <w:lang w:val="es-ES"/>
        </w:rPr>
      </w:pPr>
      <w:r w:rsidRPr="0055600B">
        <w:rPr>
          <w:lang w:val="es-ES"/>
        </w:rPr>
        <w:t>La desconexión de las Regiones de Caribe de la red viaria principal puede incrementar las diferencias sociales y económicas entre estas regiones y las zonas más activas económicamente del Pacífico</w:t>
      </w:r>
      <w:r>
        <w:rPr>
          <w:lang w:val="es-ES"/>
        </w:rPr>
        <w:t>.</w:t>
      </w:r>
    </w:p>
    <w:p w:rsidR="00053B60" w:rsidRDefault="00B25674" w:rsidP="00B25674">
      <w:pPr>
        <w:pStyle w:val="Paragraph"/>
        <w:numPr>
          <w:ilvl w:val="1"/>
          <w:numId w:val="5"/>
        </w:numPr>
      </w:pPr>
      <w:r>
        <w:t>Todo lo anterior lleva a analizar las necesidades de inversión en infraestructura vial que son necesarias para dar solución a las necesidades de Nicaragua en lo relativo a su logística interna y para su integración comercial con Mesoamérica. La Sección a continuación trata este tema.</w:t>
      </w:r>
    </w:p>
    <w:p w:rsidR="00053B60" w:rsidRPr="00092B8A" w:rsidRDefault="00053B60">
      <w:pPr>
        <w:jc w:val="both"/>
        <w:rPr>
          <w:lang w:val="es-ES"/>
        </w:rPr>
      </w:pPr>
    </w:p>
    <w:p w:rsidR="003968BA" w:rsidRPr="00092B8A" w:rsidRDefault="003968BA">
      <w:pPr>
        <w:jc w:val="both"/>
        <w:rPr>
          <w:lang w:val="es-ES"/>
        </w:rPr>
      </w:pPr>
    </w:p>
    <w:p w:rsidR="003968BA" w:rsidRPr="00092B8A" w:rsidRDefault="003968BA">
      <w:pPr>
        <w:jc w:val="both"/>
        <w:rPr>
          <w:lang w:val="es-ES"/>
        </w:rPr>
      </w:pPr>
      <w:r w:rsidRPr="00092B8A">
        <w:rPr>
          <w:lang w:val="es-ES"/>
        </w:rPr>
        <w:br w:type="page"/>
      </w:r>
    </w:p>
    <w:p w:rsidR="003968BA" w:rsidRPr="00D9235F" w:rsidRDefault="003968BA" w:rsidP="005F6919">
      <w:pPr>
        <w:pStyle w:val="FirstHeading"/>
        <w:numPr>
          <w:ilvl w:val="0"/>
          <w:numId w:val="7"/>
        </w:numPr>
        <w:rPr>
          <w:rFonts w:ascii="Verdana" w:hAnsi="Verdana"/>
          <w:u w:val="single"/>
        </w:rPr>
      </w:pPr>
      <w:r w:rsidRPr="00D9235F">
        <w:rPr>
          <w:rFonts w:ascii="Verdana" w:hAnsi="Verdana"/>
          <w:u w:val="single"/>
        </w:rPr>
        <w:t>Necesidades de inversión en infraestructura vial en Nicaragua</w:t>
      </w:r>
    </w:p>
    <w:p w:rsidR="001A509E" w:rsidRPr="001A509E" w:rsidRDefault="008059F4" w:rsidP="00D9435B">
      <w:pPr>
        <w:pStyle w:val="Paragraph"/>
        <w:numPr>
          <w:ilvl w:val="1"/>
          <w:numId w:val="6"/>
        </w:numPr>
      </w:pPr>
      <w:r w:rsidRPr="00092B8A">
        <w:rPr>
          <w:b/>
        </w:rPr>
        <w:t>Estimación de necesidades</w:t>
      </w:r>
      <w:r>
        <w:rPr>
          <w:b/>
        </w:rPr>
        <w:t xml:space="preserve"> </w:t>
      </w:r>
      <w:r w:rsidR="008F7D36">
        <w:rPr>
          <w:b/>
        </w:rPr>
        <w:t xml:space="preserve">específicas </w:t>
      </w:r>
      <w:r>
        <w:rPr>
          <w:b/>
        </w:rPr>
        <w:t>para el Corredor Pacífico</w:t>
      </w:r>
      <w:r w:rsidRPr="00092B8A">
        <w:rPr>
          <w:b/>
        </w:rPr>
        <w:t>.</w:t>
      </w:r>
      <w:r>
        <w:rPr>
          <w:b/>
        </w:rPr>
        <w:t xml:space="preserve"> </w:t>
      </w:r>
      <w:r w:rsidRPr="008059F4">
        <w:t xml:space="preserve">En su oportunidad (enero de 2012), el estudio de adecuación, mantenimiento, y operación de tramos viales del Corredor Pacífico había determinado para Nicaragua una necesidad de inversión de US$ 234 millones en intervenciones de infraestructura vial (US$ 221 millones) y de seguridad vial (US$ 13 millones). Con una longitud total de 345 km, con </w:t>
      </w:r>
      <w:proofErr w:type="spellStart"/>
      <w:r w:rsidRPr="008059F4">
        <w:t>TIREs</w:t>
      </w:r>
      <w:proofErr w:type="spellEnd"/>
      <w:r w:rsidRPr="008059F4">
        <w:t xml:space="preserve"> variando entre 13% </w:t>
      </w:r>
      <w:r w:rsidRPr="001A509E">
        <w:t>y 45%, el VANE de las inversiones propuestas alcanza US$ 180 millones.</w:t>
      </w:r>
    </w:p>
    <w:p w:rsidR="008059F4" w:rsidRDefault="00E13828" w:rsidP="00D9435B">
      <w:pPr>
        <w:pStyle w:val="Paragraph"/>
        <w:numPr>
          <w:ilvl w:val="1"/>
          <w:numId w:val="6"/>
        </w:numPr>
      </w:pPr>
      <w:r>
        <w:t>Este resulta</w:t>
      </w:r>
      <w:r w:rsidR="004B49D6">
        <w:t xml:space="preserve">do justifica plenamente </w:t>
      </w:r>
      <w:r w:rsidR="004D42A2">
        <w:t>realizar las intervenciones del CP en Nicaragua</w:t>
      </w:r>
      <w:r w:rsidR="001A509E">
        <w:t xml:space="preserve">, e incluso considerar la realización de obra nueva, especialmente </w:t>
      </w:r>
      <w:r w:rsidR="004C46FA">
        <w:t xml:space="preserve">en el sector </w:t>
      </w:r>
      <w:r w:rsidR="001A509E">
        <w:t xml:space="preserve">entre </w:t>
      </w:r>
      <w:r w:rsidR="00DA6198">
        <w:t xml:space="preserve">la salida sur de Managua </w:t>
      </w:r>
      <w:r w:rsidR="008E38FC">
        <w:t>(</w:t>
      </w:r>
      <w:proofErr w:type="spellStart"/>
      <w:r w:rsidR="008E38FC">
        <w:t>Nejapa</w:t>
      </w:r>
      <w:proofErr w:type="spellEnd"/>
      <w:r w:rsidR="008E38FC">
        <w:t xml:space="preserve">) </w:t>
      </w:r>
      <w:r w:rsidR="00DA6198">
        <w:t xml:space="preserve">y </w:t>
      </w:r>
      <w:proofErr w:type="spellStart"/>
      <w:r w:rsidR="008E38FC">
        <w:t>Nandaime</w:t>
      </w:r>
      <w:proofErr w:type="spellEnd"/>
      <w:r w:rsidR="00DA6198">
        <w:t xml:space="preserve"> (proyecto de </w:t>
      </w:r>
      <w:r w:rsidR="008E38FC">
        <w:t>58</w:t>
      </w:r>
      <w:r w:rsidR="00DA6198">
        <w:t xml:space="preserve"> km estimado en US$ 60 millones)</w:t>
      </w:r>
      <w:r w:rsidR="004D42A2">
        <w:t>.</w:t>
      </w:r>
    </w:p>
    <w:p w:rsidR="008059F4" w:rsidRPr="008059F4" w:rsidRDefault="008059F4" w:rsidP="00D9435B">
      <w:pPr>
        <w:pStyle w:val="Paragraph"/>
        <w:numPr>
          <w:ilvl w:val="1"/>
          <w:numId w:val="6"/>
        </w:numPr>
      </w:pPr>
      <w:r w:rsidRPr="008059F4">
        <w:t>E</w:t>
      </w:r>
      <w:r>
        <w:t xml:space="preserve">l período de inversión que se sugería en </w:t>
      </w:r>
      <w:r w:rsidR="00105267">
        <w:t xml:space="preserve">el estudio </w:t>
      </w:r>
      <w:r>
        <w:t>abarcaba el período 201</w:t>
      </w:r>
      <w:r w:rsidR="00201358">
        <w:t>2</w:t>
      </w:r>
      <w:r>
        <w:t>-201</w:t>
      </w:r>
      <w:r w:rsidR="00201358">
        <w:t>3</w:t>
      </w:r>
      <w:r>
        <w:t xml:space="preserve">, pero </w:t>
      </w:r>
      <w:r w:rsidR="00CD5764">
        <w:t xml:space="preserve">por imposibilidad de encontrar un esquema de inversión </w:t>
      </w:r>
      <w:r w:rsidR="00BD55AF">
        <w:t xml:space="preserve">regional </w:t>
      </w:r>
      <w:r w:rsidR="00CD5764">
        <w:t xml:space="preserve">expedito, </w:t>
      </w:r>
      <w:r w:rsidR="00BD55AF">
        <w:t xml:space="preserve">ya se verifica un atraso de implementación en las propuestas para Nicaragua. Esto hace pensar que </w:t>
      </w:r>
      <w:r w:rsidR="00DF0E08">
        <w:t>dichas inversiones deberán resolverse en el marco normal de la programación del MTI y del FOMAV, movilizando recursos propios y recursos de financiamiento externo</w:t>
      </w:r>
      <w:r w:rsidR="00105267">
        <w:t xml:space="preserve"> </w:t>
      </w:r>
      <w:r w:rsidR="00640189">
        <w:t>que consiga el país.</w:t>
      </w:r>
    </w:p>
    <w:p w:rsidR="00015914" w:rsidRDefault="005515D8" w:rsidP="00D9435B">
      <w:pPr>
        <w:pStyle w:val="Paragraph"/>
        <w:numPr>
          <w:ilvl w:val="1"/>
          <w:numId w:val="6"/>
        </w:numPr>
      </w:pPr>
      <w:r w:rsidRPr="00092B8A">
        <w:rPr>
          <w:b/>
        </w:rPr>
        <w:t>Estimación de necesidades</w:t>
      </w:r>
      <w:r w:rsidR="00BD55AF">
        <w:rPr>
          <w:b/>
        </w:rPr>
        <w:t xml:space="preserve"> para la red vial básica</w:t>
      </w:r>
      <w:r w:rsidRPr="00092B8A">
        <w:rPr>
          <w:b/>
        </w:rPr>
        <w:t>.</w:t>
      </w:r>
      <w:r w:rsidR="00D9435B" w:rsidRPr="00092B8A">
        <w:t xml:space="preserve"> </w:t>
      </w:r>
      <w:r w:rsidRPr="00E11197">
        <w:t xml:space="preserve">Un ejercicio realizado con ayuda del Modelo </w:t>
      </w:r>
      <w:r w:rsidR="00E11197">
        <w:t>RONET</w:t>
      </w:r>
      <w:r w:rsidRPr="00E11197">
        <w:t xml:space="preserve"> para la red vial </w:t>
      </w:r>
      <w:r w:rsidR="00E11197">
        <w:t xml:space="preserve">básica </w:t>
      </w:r>
      <w:r w:rsidRPr="00E11197">
        <w:t>de Nicarag</w:t>
      </w:r>
      <w:r w:rsidR="00A82F36">
        <w:t>u</w:t>
      </w:r>
      <w:r w:rsidRPr="00E11197">
        <w:t xml:space="preserve">a </w:t>
      </w:r>
      <w:r w:rsidR="00E11197">
        <w:t>(</w:t>
      </w:r>
      <w:r w:rsidR="00A82F36">
        <w:t>7.985 km)</w:t>
      </w:r>
      <w:r w:rsidR="00640189">
        <w:t>,</w:t>
      </w:r>
      <w:r w:rsidR="00E11197">
        <w:t xml:space="preserve"> </w:t>
      </w:r>
      <w:r w:rsidR="00640189">
        <w:t xml:space="preserve">permitió </w:t>
      </w:r>
      <w:r w:rsidRPr="00E11197">
        <w:t>in</w:t>
      </w:r>
      <w:r w:rsidR="00640189">
        <w:t xml:space="preserve">vestigar </w:t>
      </w:r>
      <w:r w:rsidR="00D96553">
        <w:t xml:space="preserve">8 </w:t>
      </w:r>
      <w:r w:rsidR="00640189">
        <w:t>diferentes escenarios de inversión y sus impactos sobre los costos de transporte y la red para los próximos 20 años</w:t>
      </w:r>
      <w:r w:rsidR="006B3138">
        <w:t xml:space="preserve"> (Ver Anexo 1)</w:t>
      </w:r>
      <w:r w:rsidR="00640189">
        <w:t xml:space="preserve">. </w:t>
      </w:r>
      <w:r w:rsidR="001F7888">
        <w:t>De todos ellos, el denominado “</w:t>
      </w:r>
      <w:r w:rsidR="001F7888" w:rsidRPr="004B1EFF">
        <w:rPr>
          <w:i/>
        </w:rPr>
        <w:t>Optimo</w:t>
      </w:r>
      <w:r w:rsidR="001F7888">
        <w:t>” corresponde al nivel de inversiones que permite maximizar los beneficios netos para la sociedad, es decir, aquel nivel de inversiones que minimiza los costos de inversión y los costos de los usuarios</w:t>
      </w:r>
      <w:r w:rsidRPr="00E11197">
        <w:t>.</w:t>
      </w:r>
    </w:p>
    <w:p w:rsidR="00D9435B" w:rsidRDefault="00015914" w:rsidP="00D9435B">
      <w:pPr>
        <w:pStyle w:val="Paragraph"/>
        <w:numPr>
          <w:ilvl w:val="1"/>
          <w:numId w:val="6"/>
        </w:numPr>
      </w:pPr>
      <w:r>
        <w:t>Tal escenario establece varios parámetros interesantes:</w:t>
      </w:r>
    </w:p>
    <w:p w:rsidR="00015914" w:rsidRDefault="00AC3ECD" w:rsidP="006D6DBA">
      <w:pPr>
        <w:pStyle w:val="ListParagraph"/>
        <w:numPr>
          <w:ilvl w:val="0"/>
          <w:numId w:val="9"/>
        </w:numPr>
        <w:ind w:left="1080"/>
        <w:jc w:val="both"/>
        <w:rPr>
          <w:lang w:val="es-ES"/>
        </w:rPr>
      </w:pPr>
      <w:r w:rsidRPr="004B1EFF">
        <w:rPr>
          <w:u w:val="single"/>
          <w:lang w:val="es-ES"/>
        </w:rPr>
        <w:t>El monto anualizado de inversión es de US$ 1</w:t>
      </w:r>
      <w:r w:rsidR="006B3138" w:rsidRPr="004B1EFF">
        <w:rPr>
          <w:u w:val="single"/>
          <w:lang w:val="es-ES"/>
        </w:rPr>
        <w:t>80</w:t>
      </w:r>
      <w:r w:rsidRPr="004B1EFF">
        <w:rPr>
          <w:u w:val="single"/>
          <w:lang w:val="es-ES"/>
        </w:rPr>
        <w:t>,</w:t>
      </w:r>
      <w:r w:rsidR="006B3138" w:rsidRPr="004B1EFF">
        <w:rPr>
          <w:u w:val="single"/>
          <w:lang w:val="es-ES"/>
        </w:rPr>
        <w:t>6</w:t>
      </w:r>
      <w:r w:rsidRPr="004B1EFF">
        <w:rPr>
          <w:u w:val="single"/>
          <w:lang w:val="es-ES"/>
        </w:rPr>
        <w:t xml:space="preserve"> millones por año durante los 20 años de análisis</w:t>
      </w:r>
      <w:r w:rsidR="00C2312B">
        <w:rPr>
          <w:u w:val="single"/>
          <w:lang w:val="es-ES"/>
        </w:rPr>
        <w:t xml:space="preserve"> </w:t>
      </w:r>
      <w:r w:rsidR="00242ECA">
        <w:rPr>
          <w:u w:val="single"/>
          <w:lang w:val="es-ES"/>
        </w:rPr>
        <w:t>(a valores corrientes)</w:t>
      </w:r>
      <w:r>
        <w:rPr>
          <w:lang w:val="es-ES"/>
        </w:rPr>
        <w:t>.</w:t>
      </w:r>
      <w:r w:rsidR="00FA7904">
        <w:rPr>
          <w:lang w:val="es-ES"/>
        </w:rPr>
        <w:t xml:space="preserve"> De esa cifra US$ 1</w:t>
      </w:r>
      <w:r w:rsidR="006B3138">
        <w:rPr>
          <w:lang w:val="es-ES"/>
        </w:rPr>
        <w:t>7</w:t>
      </w:r>
      <w:r w:rsidR="00FA7904">
        <w:rPr>
          <w:lang w:val="es-ES"/>
        </w:rPr>
        <w:t>,</w:t>
      </w:r>
      <w:r w:rsidR="006B3138">
        <w:rPr>
          <w:lang w:val="es-ES"/>
        </w:rPr>
        <w:t>9</w:t>
      </w:r>
      <w:r w:rsidR="00FA7904">
        <w:rPr>
          <w:lang w:val="es-ES"/>
        </w:rPr>
        <w:t xml:space="preserve"> millones corresponden a rehabilitación (10%), US$ 1</w:t>
      </w:r>
      <w:r w:rsidR="006B3138">
        <w:rPr>
          <w:lang w:val="es-ES"/>
        </w:rPr>
        <w:t>38</w:t>
      </w:r>
      <w:r w:rsidR="00FA7904">
        <w:rPr>
          <w:lang w:val="es-ES"/>
        </w:rPr>
        <w:t>,</w:t>
      </w:r>
      <w:r w:rsidR="006B3138">
        <w:rPr>
          <w:lang w:val="es-ES"/>
        </w:rPr>
        <w:t>6</w:t>
      </w:r>
      <w:r w:rsidR="00FA7904">
        <w:rPr>
          <w:lang w:val="es-ES"/>
        </w:rPr>
        <w:t xml:space="preserve"> millones corresponden a mantenimiento periódico </w:t>
      </w:r>
      <w:r w:rsidR="006B3138">
        <w:rPr>
          <w:lang w:val="es-ES"/>
        </w:rPr>
        <w:t>(77%)</w:t>
      </w:r>
      <w:r w:rsidR="00FA7904">
        <w:rPr>
          <w:lang w:val="es-ES"/>
        </w:rPr>
        <w:t xml:space="preserve"> y US$ 2</w:t>
      </w:r>
      <w:r w:rsidR="006B3138">
        <w:rPr>
          <w:lang w:val="es-ES"/>
        </w:rPr>
        <w:t>4</w:t>
      </w:r>
      <w:r w:rsidR="00FA7904">
        <w:rPr>
          <w:lang w:val="es-ES"/>
        </w:rPr>
        <w:t>,</w:t>
      </w:r>
      <w:r w:rsidR="006B3138">
        <w:rPr>
          <w:lang w:val="es-ES"/>
        </w:rPr>
        <w:t>1</w:t>
      </w:r>
      <w:r w:rsidR="00FA7904">
        <w:rPr>
          <w:lang w:val="es-ES"/>
        </w:rPr>
        <w:t xml:space="preserve"> millones corresponden a mantenimiento rutinario</w:t>
      </w:r>
      <w:r w:rsidR="006B3138">
        <w:rPr>
          <w:lang w:val="es-ES"/>
        </w:rPr>
        <w:t xml:space="preserve"> (13%).</w:t>
      </w:r>
      <w:r w:rsidR="00813B72">
        <w:rPr>
          <w:lang w:val="es-ES"/>
        </w:rPr>
        <w:t xml:space="preserve"> Esto significa que en las hipótesis utilizadas, el mantenimiento periódico resulta preponderante sobre otras formas de intervención sobre la red vial básica si se desea minimizar los costos totales de transporte.</w:t>
      </w:r>
    </w:p>
    <w:p w:rsidR="008C28B1" w:rsidRDefault="00081050" w:rsidP="006D6DBA">
      <w:pPr>
        <w:pStyle w:val="ListParagraph"/>
        <w:numPr>
          <w:ilvl w:val="0"/>
          <w:numId w:val="9"/>
        </w:numPr>
        <w:ind w:left="1080"/>
        <w:jc w:val="both"/>
        <w:rPr>
          <w:lang w:val="es-ES"/>
        </w:rPr>
      </w:pPr>
      <w:r>
        <w:rPr>
          <w:lang w:val="es-ES"/>
        </w:rPr>
        <w:t>L</w:t>
      </w:r>
      <w:r w:rsidRPr="00081050">
        <w:rPr>
          <w:lang w:val="es-ES"/>
        </w:rPr>
        <w:t>os costos de operación vehicular</w:t>
      </w:r>
      <w:r w:rsidR="00714A81">
        <w:rPr>
          <w:lang w:val="es-ES"/>
        </w:rPr>
        <w:t xml:space="preserve"> </w:t>
      </w:r>
      <w:r w:rsidR="00242ECA">
        <w:rPr>
          <w:lang w:val="es-ES"/>
        </w:rPr>
        <w:t xml:space="preserve">(a valores económicos) </w:t>
      </w:r>
      <w:r w:rsidR="00714A81">
        <w:rPr>
          <w:lang w:val="es-ES"/>
        </w:rPr>
        <w:t xml:space="preserve">se reducen de </w:t>
      </w:r>
      <w:r w:rsidR="00714A81" w:rsidRPr="00714A81">
        <w:rPr>
          <w:lang w:val="es-ES"/>
        </w:rPr>
        <w:t>US$ 0,</w:t>
      </w:r>
      <w:r w:rsidR="00242ECA">
        <w:rPr>
          <w:lang w:val="es-ES"/>
        </w:rPr>
        <w:t>290</w:t>
      </w:r>
      <w:r w:rsidR="00714A81" w:rsidRPr="00714A81">
        <w:rPr>
          <w:lang w:val="es-ES"/>
        </w:rPr>
        <w:t>/</w:t>
      </w:r>
      <w:proofErr w:type="spellStart"/>
      <w:r w:rsidR="00714A81" w:rsidRPr="00714A81">
        <w:rPr>
          <w:lang w:val="es-ES"/>
        </w:rPr>
        <w:t>Veh</w:t>
      </w:r>
      <w:proofErr w:type="spellEnd"/>
      <w:r w:rsidR="00714A81" w:rsidRPr="00714A81">
        <w:rPr>
          <w:lang w:val="es-ES"/>
        </w:rPr>
        <w:t>-km promedio actual para toda la flota a US$ 0,</w:t>
      </w:r>
      <w:r w:rsidR="00242ECA">
        <w:rPr>
          <w:lang w:val="es-ES"/>
        </w:rPr>
        <w:t>277</w:t>
      </w:r>
      <w:r w:rsidR="00714A81" w:rsidRPr="00714A81">
        <w:rPr>
          <w:lang w:val="es-ES"/>
        </w:rPr>
        <w:t>/</w:t>
      </w:r>
      <w:proofErr w:type="spellStart"/>
      <w:r w:rsidR="00714A81" w:rsidRPr="00714A81">
        <w:rPr>
          <w:lang w:val="es-ES"/>
        </w:rPr>
        <w:t>Veh</w:t>
      </w:r>
      <w:proofErr w:type="spellEnd"/>
      <w:r w:rsidR="00714A81" w:rsidRPr="00714A81">
        <w:rPr>
          <w:lang w:val="es-ES"/>
        </w:rPr>
        <w:t xml:space="preserve">-km en 20 años – </w:t>
      </w:r>
      <w:r w:rsidR="00714A81">
        <w:rPr>
          <w:lang w:val="es-ES"/>
        </w:rPr>
        <w:t xml:space="preserve">reducción del </w:t>
      </w:r>
      <w:r w:rsidR="00A55AB4">
        <w:rPr>
          <w:lang w:val="es-ES"/>
        </w:rPr>
        <w:t>4,</w:t>
      </w:r>
      <w:r w:rsidR="00242ECA">
        <w:rPr>
          <w:lang w:val="es-ES"/>
        </w:rPr>
        <w:t>5</w:t>
      </w:r>
      <w:r w:rsidR="00714A81" w:rsidRPr="00714A81">
        <w:rPr>
          <w:lang w:val="es-ES"/>
        </w:rPr>
        <w:t>%</w:t>
      </w:r>
      <w:r w:rsidR="00714A81">
        <w:rPr>
          <w:lang w:val="es-ES"/>
        </w:rPr>
        <w:t>.</w:t>
      </w:r>
    </w:p>
    <w:p w:rsidR="00714A81" w:rsidRDefault="00714A81" w:rsidP="006D6DBA">
      <w:pPr>
        <w:pStyle w:val="ListParagraph"/>
        <w:numPr>
          <w:ilvl w:val="0"/>
          <w:numId w:val="9"/>
        </w:numPr>
        <w:ind w:left="1080"/>
        <w:jc w:val="both"/>
        <w:rPr>
          <w:lang w:val="es-ES"/>
        </w:rPr>
      </w:pPr>
      <w:r>
        <w:rPr>
          <w:lang w:val="es-ES"/>
        </w:rPr>
        <w:t xml:space="preserve">El valor patrimonial de la red vial básica </w:t>
      </w:r>
      <w:r w:rsidR="00242ECA">
        <w:rPr>
          <w:lang w:val="es-ES"/>
        </w:rPr>
        <w:t xml:space="preserve">(a valores económicos) </w:t>
      </w:r>
      <w:r>
        <w:rPr>
          <w:lang w:val="es-ES"/>
        </w:rPr>
        <w:t>aumenta de US$ 1.</w:t>
      </w:r>
      <w:r w:rsidR="0055622D">
        <w:rPr>
          <w:lang w:val="es-ES"/>
        </w:rPr>
        <w:t>6</w:t>
      </w:r>
      <w:r>
        <w:rPr>
          <w:lang w:val="es-ES"/>
        </w:rPr>
        <w:t>8</w:t>
      </w:r>
      <w:r w:rsidR="0055622D">
        <w:rPr>
          <w:lang w:val="es-ES"/>
        </w:rPr>
        <w:t>5</w:t>
      </w:r>
      <w:r>
        <w:rPr>
          <w:lang w:val="es-ES"/>
        </w:rPr>
        <w:t xml:space="preserve"> millones a US$ </w:t>
      </w:r>
      <w:r w:rsidR="0055622D">
        <w:rPr>
          <w:lang w:val="es-ES"/>
        </w:rPr>
        <w:t>1</w:t>
      </w:r>
      <w:r>
        <w:rPr>
          <w:lang w:val="es-ES"/>
        </w:rPr>
        <w:t>.</w:t>
      </w:r>
      <w:r w:rsidR="0055622D">
        <w:rPr>
          <w:lang w:val="es-ES"/>
        </w:rPr>
        <w:t>733</w:t>
      </w:r>
      <w:r>
        <w:rPr>
          <w:lang w:val="es-ES"/>
        </w:rPr>
        <w:t xml:space="preserve"> millones (</w:t>
      </w:r>
      <w:r w:rsidR="009E0051">
        <w:rPr>
          <w:lang w:val="es-ES"/>
        </w:rPr>
        <w:t>incremento del 2,9%).</w:t>
      </w:r>
    </w:p>
    <w:p w:rsidR="00E43413" w:rsidRDefault="00E43413" w:rsidP="006D6DBA">
      <w:pPr>
        <w:pStyle w:val="ListParagraph"/>
        <w:numPr>
          <w:ilvl w:val="0"/>
          <w:numId w:val="9"/>
        </w:numPr>
        <w:ind w:left="1080"/>
        <w:jc w:val="both"/>
        <w:rPr>
          <w:lang w:val="es-ES"/>
        </w:rPr>
      </w:pPr>
      <w:r>
        <w:rPr>
          <w:lang w:val="es-ES"/>
        </w:rPr>
        <w:t xml:space="preserve">La rugosidad ponderada por km pasa de los actuales 8,4 mm/km a 6,0 mm/km en el año 20. Cuando se pondera </w:t>
      </w:r>
      <w:r w:rsidR="00567023">
        <w:rPr>
          <w:lang w:val="es-ES"/>
        </w:rPr>
        <w:t xml:space="preserve">por </w:t>
      </w:r>
      <w:proofErr w:type="spellStart"/>
      <w:r w:rsidR="00567023">
        <w:rPr>
          <w:lang w:val="es-ES"/>
        </w:rPr>
        <w:t>veh</w:t>
      </w:r>
      <w:proofErr w:type="spellEnd"/>
      <w:r w:rsidR="00567023">
        <w:rPr>
          <w:lang w:val="es-ES"/>
        </w:rPr>
        <w:t xml:space="preserve">-km, entonces </w:t>
      </w:r>
      <w:r w:rsidR="00567023" w:rsidRPr="00567023">
        <w:rPr>
          <w:lang w:val="es-ES"/>
        </w:rPr>
        <w:t xml:space="preserve">pasa de los actuales </w:t>
      </w:r>
      <w:r w:rsidR="00567023">
        <w:rPr>
          <w:lang w:val="es-ES"/>
        </w:rPr>
        <w:t>4</w:t>
      </w:r>
      <w:r w:rsidR="00567023" w:rsidRPr="00567023">
        <w:rPr>
          <w:lang w:val="es-ES"/>
        </w:rPr>
        <w:t>,</w:t>
      </w:r>
      <w:r w:rsidR="00567023">
        <w:rPr>
          <w:lang w:val="es-ES"/>
        </w:rPr>
        <w:t>9</w:t>
      </w:r>
      <w:r w:rsidR="00567023" w:rsidRPr="00567023">
        <w:rPr>
          <w:lang w:val="es-ES"/>
        </w:rPr>
        <w:t xml:space="preserve"> mm/km a </w:t>
      </w:r>
      <w:r w:rsidR="00567023">
        <w:rPr>
          <w:lang w:val="es-ES"/>
        </w:rPr>
        <w:t>4</w:t>
      </w:r>
      <w:r w:rsidR="00567023" w:rsidRPr="00567023">
        <w:rPr>
          <w:lang w:val="es-ES"/>
        </w:rPr>
        <w:t>,</w:t>
      </w:r>
      <w:r w:rsidR="00567023">
        <w:rPr>
          <w:lang w:val="es-ES"/>
        </w:rPr>
        <w:t>1</w:t>
      </w:r>
      <w:r w:rsidR="00567023" w:rsidRPr="00567023">
        <w:rPr>
          <w:lang w:val="es-ES"/>
        </w:rPr>
        <w:t xml:space="preserve"> mm/km en el año 20</w:t>
      </w:r>
      <w:r w:rsidR="00567023">
        <w:rPr>
          <w:lang w:val="es-ES"/>
        </w:rPr>
        <w:t>.</w:t>
      </w:r>
    </w:p>
    <w:p w:rsidR="00676B3F" w:rsidRDefault="00676B3F" w:rsidP="006D6DBA">
      <w:pPr>
        <w:pStyle w:val="ListParagraph"/>
        <w:numPr>
          <w:ilvl w:val="0"/>
          <w:numId w:val="9"/>
        </w:numPr>
        <w:ind w:left="1080"/>
        <w:jc w:val="both"/>
        <w:rPr>
          <w:lang w:val="es-ES"/>
        </w:rPr>
      </w:pPr>
      <w:r>
        <w:rPr>
          <w:lang w:val="es-ES"/>
        </w:rPr>
        <w:t>El monto anualizado de inversión para la estrategia óptima equivale al 3,1% del PIB.</w:t>
      </w:r>
    </w:p>
    <w:p w:rsidR="00E63912" w:rsidRDefault="00E63912" w:rsidP="006D6DBA">
      <w:pPr>
        <w:pStyle w:val="ListParagraph"/>
        <w:numPr>
          <w:ilvl w:val="0"/>
          <w:numId w:val="9"/>
        </w:numPr>
        <w:ind w:left="1080"/>
        <w:jc w:val="both"/>
        <w:rPr>
          <w:lang w:val="es-ES"/>
        </w:rPr>
      </w:pPr>
      <w:r>
        <w:rPr>
          <w:lang w:val="es-ES"/>
        </w:rPr>
        <w:t>La evolución del estado de la red con ese nivel de inversión anual óptimo permitiría lograr que más del 76% se encuentre en estado “bueno” y “muy bueno”.</w:t>
      </w:r>
    </w:p>
    <w:p w:rsidR="00E63912" w:rsidRDefault="00E63912">
      <w:pPr>
        <w:jc w:val="both"/>
        <w:rPr>
          <w:lang w:val="es-ES"/>
        </w:rPr>
      </w:pPr>
      <w:r>
        <w:rPr>
          <w:lang w:val="es-ES"/>
        </w:rPr>
        <w:br w:type="page"/>
      </w:r>
    </w:p>
    <w:p w:rsidR="00813B72" w:rsidRDefault="00813B72" w:rsidP="00015914">
      <w:pPr>
        <w:jc w:val="both"/>
        <w:rPr>
          <w:lang w:val="es-ES"/>
        </w:rPr>
      </w:pPr>
    </w:p>
    <w:p w:rsidR="00AC3ECD" w:rsidRDefault="00BE45BD" w:rsidP="004B1EFF">
      <w:pPr>
        <w:ind w:left="720"/>
        <w:jc w:val="both"/>
        <w:rPr>
          <w:lang w:val="es-ES"/>
        </w:rPr>
      </w:pPr>
      <w:r>
        <w:rPr>
          <w:noProof/>
          <w:lang w:val="en-US"/>
        </w:rPr>
        <w:drawing>
          <wp:inline distT="0" distB="0" distL="0" distR="0" wp14:anchorId="2AC2694D" wp14:editId="7F4E77A6">
            <wp:extent cx="5429250" cy="3000375"/>
            <wp:effectExtent l="0" t="0" r="19050" b="952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0E2C85" w:rsidRDefault="000E2C85" w:rsidP="006D6DBA">
      <w:pPr>
        <w:pStyle w:val="Paragraph"/>
        <w:numPr>
          <w:ilvl w:val="1"/>
          <w:numId w:val="6"/>
        </w:numPr>
      </w:pPr>
      <w:r>
        <w:t>Solamente como comparación, hacer lo mínimo en materia de intervenciones durante los próximos 20 años</w:t>
      </w:r>
      <w:r w:rsidR="00600CF7">
        <w:t xml:space="preserve"> (estrategia en la que no hay beneficios para la sociedad)</w:t>
      </w:r>
      <w:r>
        <w:t xml:space="preserve">, implicaría inversiones anualizadas </w:t>
      </w:r>
      <w:r w:rsidR="00567023">
        <w:t xml:space="preserve">mínimas </w:t>
      </w:r>
      <w:r>
        <w:t>de US$ 44,0 millones</w:t>
      </w:r>
      <w:r w:rsidR="00F94709">
        <w:t xml:space="preserve"> (equivalente al 0,8% del PIB)</w:t>
      </w:r>
      <w:r>
        <w:t xml:space="preserve">. Sin embargo, esa estrategia </w:t>
      </w:r>
      <w:r w:rsidR="00600CF7">
        <w:t xml:space="preserve">significa </w:t>
      </w:r>
      <w:r>
        <w:t xml:space="preserve">una pérdida para la sociedad </w:t>
      </w:r>
      <w:r w:rsidR="00CF46FD">
        <w:t xml:space="preserve">de US$ </w:t>
      </w:r>
      <w:r w:rsidR="008C28B1">
        <w:t>556,2 millones por año, principalmente por</w:t>
      </w:r>
      <w:r w:rsidR="00081050">
        <w:t xml:space="preserve">que </w:t>
      </w:r>
      <w:r w:rsidR="003A0BA1">
        <w:t xml:space="preserve">la rugosidad y </w:t>
      </w:r>
      <w:r w:rsidR="00081050">
        <w:t>los costos de operación vehicular se incrementan con el tiempo</w:t>
      </w:r>
      <w:r w:rsidR="008C28B1">
        <w:t xml:space="preserve"> </w:t>
      </w:r>
      <w:r w:rsidR="00081050">
        <w:t>(de US$ 0,29/</w:t>
      </w:r>
      <w:proofErr w:type="spellStart"/>
      <w:r w:rsidR="00081050">
        <w:t>Veh</w:t>
      </w:r>
      <w:proofErr w:type="spellEnd"/>
      <w:r w:rsidR="00081050">
        <w:t>-km promedio actual para toda la flota a US$ 0,38/</w:t>
      </w:r>
      <w:proofErr w:type="spellStart"/>
      <w:r w:rsidR="00081050">
        <w:t>Veh</w:t>
      </w:r>
      <w:proofErr w:type="spellEnd"/>
      <w:r w:rsidR="00081050">
        <w:t>-km en 20 años – aumento del 30%)</w:t>
      </w:r>
      <w:r w:rsidR="008C28B1">
        <w:t>.</w:t>
      </w:r>
      <w:r w:rsidR="009E0051">
        <w:t xml:space="preserve"> Al mismo tiempo, el patrimonio vial se reduciría al </w:t>
      </w:r>
      <w:r w:rsidR="006D6DBA">
        <w:t>49% de su valor actual</w:t>
      </w:r>
      <w:r w:rsidR="00F94709">
        <w:t xml:space="preserve"> y casi el 98% de</w:t>
      </w:r>
      <w:r w:rsidR="005A7708">
        <w:t xml:space="preserve"> </w:t>
      </w:r>
      <w:r w:rsidR="00F94709">
        <w:t>l</w:t>
      </w:r>
      <w:r w:rsidR="005A7708">
        <w:t>a red pasaría a estar en estado malo y muy malo al final de 20 años</w:t>
      </w:r>
      <w:r w:rsidR="00E43413">
        <w:t>.</w:t>
      </w:r>
      <w:r w:rsidR="00567023">
        <w:t xml:space="preserve"> </w:t>
      </w:r>
      <w:r w:rsidR="005A7708">
        <w:t xml:space="preserve">Estas </w:t>
      </w:r>
      <w:r w:rsidR="00567023">
        <w:t xml:space="preserve">cifras indican la necesidad de hacer los esfuerzos necesarios para apartarse lo más posible del nivel </w:t>
      </w:r>
      <w:r w:rsidR="003A0BA1">
        <w:t>mínimo de inversión.</w:t>
      </w:r>
    </w:p>
    <w:p w:rsidR="00CF46FD" w:rsidRDefault="00CF46FD" w:rsidP="006D6DBA">
      <w:pPr>
        <w:pStyle w:val="Paragraph"/>
        <w:numPr>
          <w:ilvl w:val="1"/>
          <w:numId w:val="6"/>
        </w:numPr>
      </w:pPr>
      <w:r>
        <w:t>E</w:t>
      </w:r>
      <w:r w:rsidR="005A7708">
        <w:t xml:space="preserve">l </w:t>
      </w:r>
      <w:r>
        <w:t xml:space="preserve">análisis </w:t>
      </w:r>
      <w:r w:rsidR="005A7708">
        <w:t xml:space="preserve">descrito más arriba </w:t>
      </w:r>
      <w:r>
        <w:t>indica que solamente para la mejor conservación de la red vial básica, ya es necesario un nivel de inversión superior al que el MTI y FOMAV han ejecutado en el pasado año (</w:t>
      </w:r>
      <w:r w:rsidR="009A6C34">
        <w:t>US$ 156,5 millones – Ver Sección A de este documento). A continuación se analiza la situación para el total de la red vial de Nicaragua.</w:t>
      </w:r>
    </w:p>
    <w:p w:rsidR="008F7D36" w:rsidRPr="008F7D36" w:rsidRDefault="00A82F36" w:rsidP="008F7D36">
      <w:pPr>
        <w:pStyle w:val="Paragraph"/>
        <w:numPr>
          <w:ilvl w:val="1"/>
          <w:numId w:val="6"/>
        </w:numPr>
      </w:pPr>
      <w:r w:rsidRPr="00A82F36">
        <w:rPr>
          <w:b/>
          <w:lang w:val="es-ES_tradnl"/>
        </w:rPr>
        <w:t xml:space="preserve">Estimación de necesidades para la red vial </w:t>
      </w:r>
      <w:r>
        <w:rPr>
          <w:b/>
          <w:lang w:val="es-ES_tradnl"/>
        </w:rPr>
        <w:t>total</w:t>
      </w:r>
      <w:r w:rsidRPr="00A82F36">
        <w:rPr>
          <w:b/>
          <w:lang w:val="es-ES_tradnl"/>
        </w:rPr>
        <w:t>.</w:t>
      </w:r>
      <w:r w:rsidRPr="00A82F36">
        <w:rPr>
          <w:lang w:val="es-ES_tradnl"/>
        </w:rPr>
        <w:t xml:space="preserve"> </w:t>
      </w:r>
      <w:r>
        <w:rPr>
          <w:lang w:val="es-ES_tradnl"/>
        </w:rPr>
        <w:t xml:space="preserve">Similarmente, </w:t>
      </w:r>
      <w:r w:rsidR="00777836">
        <w:rPr>
          <w:lang w:val="es-ES_tradnl"/>
        </w:rPr>
        <w:t>fue realizado un</w:t>
      </w:r>
      <w:r>
        <w:rPr>
          <w:lang w:val="es-ES_tradnl"/>
        </w:rPr>
        <w:t xml:space="preserve"> </w:t>
      </w:r>
      <w:r w:rsidRPr="00A82F36">
        <w:rPr>
          <w:lang w:val="es-ES_tradnl"/>
        </w:rPr>
        <w:t xml:space="preserve">ejercicio con ayuda del Modelo RONET para </w:t>
      </w:r>
      <w:r>
        <w:rPr>
          <w:lang w:val="es-ES_tradnl"/>
        </w:rPr>
        <w:t xml:space="preserve">toda </w:t>
      </w:r>
      <w:r w:rsidRPr="00A82F36">
        <w:rPr>
          <w:lang w:val="es-ES_tradnl"/>
        </w:rPr>
        <w:t>la red vial de Nicarag</w:t>
      </w:r>
      <w:r>
        <w:rPr>
          <w:lang w:val="es-ES_tradnl"/>
        </w:rPr>
        <w:t>u</w:t>
      </w:r>
      <w:r w:rsidRPr="00A82F36">
        <w:rPr>
          <w:lang w:val="es-ES_tradnl"/>
        </w:rPr>
        <w:t>a (</w:t>
      </w:r>
      <w:r>
        <w:rPr>
          <w:lang w:val="es-ES_tradnl"/>
        </w:rPr>
        <w:t>23</w:t>
      </w:r>
      <w:r w:rsidRPr="00A82F36">
        <w:rPr>
          <w:lang w:val="es-ES_tradnl"/>
        </w:rPr>
        <w:t>.</w:t>
      </w:r>
      <w:r>
        <w:rPr>
          <w:lang w:val="es-ES_tradnl"/>
        </w:rPr>
        <w:t>647</w:t>
      </w:r>
      <w:r w:rsidRPr="00A82F36">
        <w:rPr>
          <w:lang w:val="es-ES_tradnl"/>
        </w:rPr>
        <w:t xml:space="preserve"> km)</w:t>
      </w:r>
      <w:r w:rsidR="00777836">
        <w:rPr>
          <w:lang w:val="es-ES_tradnl"/>
        </w:rPr>
        <w:t>.</w:t>
      </w:r>
      <w:r w:rsidR="008F7D36" w:rsidRPr="008F7D36">
        <w:t xml:space="preserve"> </w:t>
      </w:r>
      <w:r w:rsidR="008F7D36">
        <w:t xml:space="preserve">Una vez más se </w:t>
      </w:r>
      <w:r w:rsidR="008F7D36" w:rsidRPr="008F7D36">
        <w:rPr>
          <w:lang w:val="es-ES_tradnl"/>
        </w:rPr>
        <w:t>investigar</w:t>
      </w:r>
      <w:r w:rsidR="008F7D36">
        <w:rPr>
          <w:lang w:val="es-ES_tradnl"/>
        </w:rPr>
        <w:t>on</w:t>
      </w:r>
      <w:r w:rsidR="008F7D36" w:rsidRPr="008F7D36">
        <w:rPr>
          <w:lang w:val="es-ES_tradnl"/>
        </w:rPr>
        <w:t xml:space="preserve"> 8 diferentes escenarios de inversión y sus impactos sobre los costos de transporte y la red </w:t>
      </w:r>
      <w:r w:rsidR="008F7D36">
        <w:rPr>
          <w:lang w:val="es-ES_tradnl"/>
        </w:rPr>
        <w:t xml:space="preserve">vial total de Nicaragua </w:t>
      </w:r>
      <w:r w:rsidR="008F7D36" w:rsidRPr="008F7D36">
        <w:rPr>
          <w:lang w:val="es-ES_tradnl"/>
        </w:rPr>
        <w:t xml:space="preserve">para los próximos 20 años (Ver Anexo </w:t>
      </w:r>
      <w:r w:rsidR="008F7D36">
        <w:rPr>
          <w:lang w:val="es-ES_tradnl"/>
        </w:rPr>
        <w:t>2</w:t>
      </w:r>
      <w:r w:rsidR="008F7D36" w:rsidRPr="008F7D36">
        <w:rPr>
          <w:lang w:val="es-ES_tradnl"/>
        </w:rPr>
        <w:t xml:space="preserve">). </w:t>
      </w:r>
      <w:r w:rsidR="008F7D36">
        <w:rPr>
          <w:lang w:val="es-ES_tradnl"/>
        </w:rPr>
        <w:t xml:space="preserve">También en este caso </w:t>
      </w:r>
      <w:r w:rsidR="008F7D36" w:rsidRPr="008F7D36">
        <w:rPr>
          <w:lang w:val="es-ES_tradnl"/>
        </w:rPr>
        <w:t>el denominado “Optimo” corresponde al nivel de inversiones que permite maximizar los beneficios netos para la sociedad, es decir, aquel nivel de inversiones que minimiza los costos de inversión y los costos de los usuarios.</w:t>
      </w:r>
    </w:p>
    <w:p w:rsidR="00A82F36" w:rsidRPr="00533FFC" w:rsidRDefault="00777836" w:rsidP="00D9435B">
      <w:pPr>
        <w:pStyle w:val="Paragraph"/>
        <w:numPr>
          <w:ilvl w:val="1"/>
          <w:numId w:val="6"/>
        </w:numPr>
      </w:pPr>
      <w:r>
        <w:rPr>
          <w:lang w:val="es-ES_tradnl"/>
        </w:rPr>
        <w:t>Este ejercicio complementario indica lo siguiente:</w:t>
      </w:r>
    </w:p>
    <w:p w:rsidR="008F7D36" w:rsidRDefault="008F7D36" w:rsidP="00512A50">
      <w:pPr>
        <w:pStyle w:val="ListParagraph"/>
        <w:numPr>
          <w:ilvl w:val="0"/>
          <w:numId w:val="9"/>
        </w:numPr>
        <w:ind w:left="1080"/>
        <w:jc w:val="both"/>
        <w:rPr>
          <w:lang w:val="es-ES"/>
        </w:rPr>
      </w:pPr>
      <w:r w:rsidRPr="00512A50">
        <w:rPr>
          <w:u w:val="single"/>
          <w:lang w:val="es-ES"/>
        </w:rPr>
        <w:t xml:space="preserve">El monto anualizado de inversión es de US$ </w:t>
      </w:r>
      <w:r w:rsidR="00512A50">
        <w:rPr>
          <w:u w:val="single"/>
          <w:lang w:val="es-ES"/>
        </w:rPr>
        <w:t>241</w:t>
      </w:r>
      <w:r w:rsidRPr="00512A50">
        <w:rPr>
          <w:u w:val="single"/>
          <w:lang w:val="es-ES"/>
        </w:rPr>
        <w:t>,</w:t>
      </w:r>
      <w:r w:rsidR="00512A50">
        <w:rPr>
          <w:u w:val="single"/>
          <w:lang w:val="es-ES"/>
        </w:rPr>
        <w:t>9</w:t>
      </w:r>
      <w:r w:rsidRPr="00512A50">
        <w:rPr>
          <w:u w:val="single"/>
          <w:lang w:val="es-ES"/>
        </w:rPr>
        <w:t xml:space="preserve"> millones por año durante los 20 años de análisis</w:t>
      </w:r>
      <w:r w:rsidR="008D17D9">
        <w:rPr>
          <w:u w:val="single"/>
          <w:lang w:val="es-ES"/>
        </w:rPr>
        <w:t xml:space="preserve"> (a valores corrientes)</w:t>
      </w:r>
      <w:r>
        <w:rPr>
          <w:lang w:val="es-ES"/>
        </w:rPr>
        <w:t xml:space="preserve">. De esa cifra </w:t>
      </w:r>
      <w:r w:rsidR="005F0F83">
        <w:rPr>
          <w:lang w:val="es-ES"/>
        </w:rPr>
        <w:t xml:space="preserve">también </w:t>
      </w:r>
      <w:r>
        <w:rPr>
          <w:lang w:val="es-ES"/>
        </w:rPr>
        <w:t>US$ 17,9 millones corresponden a rehabilitación (</w:t>
      </w:r>
      <w:r w:rsidR="005F0F83">
        <w:rPr>
          <w:lang w:val="es-ES"/>
        </w:rPr>
        <w:t>7,4</w:t>
      </w:r>
      <w:r w:rsidR="00DF7CA9">
        <w:rPr>
          <w:lang w:val="es-ES"/>
        </w:rPr>
        <w:t>0</w:t>
      </w:r>
      <w:r>
        <w:rPr>
          <w:lang w:val="es-ES"/>
        </w:rPr>
        <w:t>%</w:t>
      </w:r>
      <w:r w:rsidR="005F0F83">
        <w:rPr>
          <w:lang w:val="es-ES"/>
        </w:rPr>
        <w:t>)</w:t>
      </w:r>
      <w:r>
        <w:rPr>
          <w:lang w:val="es-ES"/>
        </w:rPr>
        <w:t>, US$ 1</w:t>
      </w:r>
      <w:r w:rsidR="005F0F83">
        <w:rPr>
          <w:lang w:val="es-ES"/>
        </w:rPr>
        <w:t>85</w:t>
      </w:r>
      <w:r>
        <w:rPr>
          <w:lang w:val="es-ES"/>
        </w:rPr>
        <w:t>,</w:t>
      </w:r>
      <w:r w:rsidR="005F0F83">
        <w:rPr>
          <w:lang w:val="es-ES"/>
        </w:rPr>
        <w:t>9</w:t>
      </w:r>
      <w:r>
        <w:rPr>
          <w:lang w:val="es-ES"/>
        </w:rPr>
        <w:t xml:space="preserve"> millones corresponden a mantenimiento periódico (7</w:t>
      </w:r>
      <w:r w:rsidR="005F0F83">
        <w:rPr>
          <w:lang w:val="es-ES"/>
        </w:rPr>
        <w:t>6,</w:t>
      </w:r>
      <w:r w:rsidR="00DF7CA9">
        <w:rPr>
          <w:lang w:val="es-ES"/>
        </w:rPr>
        <w:t>85</w:t>
      </w:r>
      <w:r>
        <w:rPr>
          <w:lang w:val="es-ES"/>
        </w:rPr>
        <w:t xml:space="preserve">%) y US$ </w:t>
      </w:r>
      <w:r w:rsidR="00DF7CA9">
        <w:rPr>
          <w:lang w:val="es-ES"/>
        </w:rPr>
        <w:t>38,1</w:t>
      </w:r>
      <w:r>
        <w:rPr>
          <w:lang w:val="es-ES"/>
        </w:rPr>
        <w:t xml:space="preserve"> millones corresponden a mantenimiento rutinario (1</w:t>
      </w:r>
      <w:r w:rsidR="00DF7CA9">
        <w:rPr>
          <w:lang w:val="es-ES"/>
        </w:rPr>
        <w:t>5,75</w:t>
      </w:r>
      <w:r>
        <w:rPr>
          <w:lang w:val="es-ES"/>
        </w:rPr>
        <w:t>%). Esto</w:t>
      </w:r>
      <w:r w:rsidR="008C23C7">
        <w:rPr>
          <w:lang w:val="es-ES"/>
        </w:rPr>
        <w:t xml:space="preserve">s resultados </w:t>
      </w:r>
      <w:r w:rsidR="00DF7CA9">
        <w:rPr>
          <w:lang w:val="es-ES"/>
        </w:rPr>
        <w:t>vuelve</w:t>
      </w:r>
      <w:r w:rsidR="008C23C7">
        <w:rPr>
          <w:lang w:val="es-ES"/>
        </w:rPr>
        <w:t>n</w:t>
      </w:r>
      <w:r w:rsidR="00DF7CA9">
        <w:rPr>
          <w:lang w:val="es-ES"/>
        </w:rPr>
        <w:t xml:space="preserve"> a ratificar que </w:t>
      </w:r>
      <w:r>
        <w:rPr>
          <w:lang w:val="es-ES"/>
        </w:rPr>
        <w:t xml:space="preserve">en la hipótesis </w:t>
      </w:r>
      <w:r w:rsidR="00DF7CA9">
        <w:rPr>
          <w:lang w:val="es-ES"/>
        </w:rPr>
        <w:t xml:space="preserve">de maximizar </w:t>
      </w:r>
      <w:r w:rsidR="008C23C7">
        <w:rPr>
          <w:lang w:val="es-ES"/>
        </w:rPr>
        <w:t xml:space="preserve">beneficios para la sociedad, </w:t>
      </w:r>
      <w:r>
        <w:rPr>
          <w:lang w:val="es-ES"/>
        </w:rPr>
        <w:t>el mantenimiento periódico resulta preponderante sobre otras formas de intervención sobre la red vial.</w:t>
      </w:r>
      <w:r w:rsidR="008C23C7">
        <w:rPr>
          <w:lang w:val="es-ES"/>
        </w:rPr>
        <w:t xml:space="preserve"> El mantenimiento rutinario pasa también a ser más importante en volumen en el caso de la red total, reafirmando también la noción de que un buen mantenimiento rutinario es </w:t>
      </w:r>
      <w:r w:rsidR="00026F11">
        <w:rPr>
          <w:lang w:val="es-ES"/>
        </w:rPr>
        <w:t xml:space="preserve">importante </w:t>
      </w:r>
      <w:r w:rsidR="008C23C7">
        <w:rPr>
          <w:lang w:val="es-ES"/>
        </w:rPr>
        <w:t xml:space="preserve">como estrategia para </w:t>
      </w:r>
      <w:r w:rsidR="00026F11">
        <w:rPr>
          <w:lang w:val="es-ES"/>
        </w:rPr>
        <w:t>contribuir a la política de minimizar costos de transporte.</w:t>
      </w:r>
    </w:p>
    <w:p w:rsidR="008F7D36" w:rsidRDefault="008F7D36" w:rsidP="00512A50">
      <w:pPr>
        <w:pStyle w:val="ListParagraph"/>
        <w:numPr>
          <w:ilvl w:val="0"/>
          <w:numId w:val="9"/>
        </w:numPr>
        <w:ind w:left="1080"/>
        <w:jc w:val="both"/>
        <w:rPr>
          <w:lang w:val="es-ES"/>
        </w:rPr>
      </w:pPr>
      <w:r>
        <w:rPr>
          <w:lang w:val="es-ES"/>
        </w:rPr>
        <w:t>L</w:t>
      </w:r>
      <w:r w:rsidRPr="00081050">
        <w:rPr>
          <w:lang w:val="es-ES"/>
        </w:rPr>
        <w:t>os costos de operación vehicular</w:t>
      </w:r>
      <w:r>
        <w:rPr>
          <w:lang w:val="es-ES"/>
        </w:rPr>
        <w:t xml:space="preserve"> </w:t>
      </w:r>
      <w:r w:rsidR="008D17D9">
        <w:rPr>
          <w:lang w:val="es-ES"/>
        </w:rPr>
        <w:t xml:space="preserve">(a valores económicos) </w:t>
      </w:r>
      <w:r>
        <w:rPr>
          <w:lang w:val="es-ES"/>
        </w:rPr>
        <w:t xml:space="preserve">se reducen de </w:t>
      </w:r>
      <w:r w:rsidRPr="00714A81">
        <w:rPr>
          <w:lang w:val="es-ES"/>
        </w:rPr>
        <w:t>US$ 0,</w:t>
      </w:r>
      <w:r w:rsidR="008D17D9">
        <w:rPr>
          <w:lang w:val="es-ES"/>
        </w:rPr>
        <w:t>298</w:t>
      </w:r>
      <w:r w:rsidRPr="00714A81">
        <w:rPr>
          <w:lang w:val="es-ES"/>
        </w:rPr>
        <w:t>/</w:t>
      </w:r>
      <w:proofErr w:type="spellStart"/>
      <w:r w:rsidR="008D17D9">
        <w:rPr>
          <w:lang w:val="es-ES"/>
        </w:rPr>
        <w:t>v</w:t>
      </w:r>
      <w:r w:rsidRPr="00714A81">
        <w:rPr>
          <w:lang w:val="es-ES"/>
        </w:rPr>
        <w:t>eh</w:t>
      </w:r>
      <w:proofErr w:type="spellEnd"/>
      <w:r w:rsidRPr="00714A81">
        <w:rPr>
          <w:lang w:val="es-ES"/>
        </w:rPr>
        <w:t>-km promedio actual para toda la flota a US$ 0,</w:t>
      </w:r>
      <w:r>
        <w:rPr>
          <w:lang w:val="es-ES"/>
        </w:rPr>
        <w:t>2</w:t>
      </w:r>
      <w:r w:rsidR="00D829CA">
        <w:rPr>
          <w:lang w:val="es-ES"/>
        </w:rPr>
        <w:t>8</w:t>
      </w:r>
      <w:r>
        <w:rPr>
          <w:lang w:val="es-ES"/>
        </w:rPr>
        <w:t>6</w:t>
      </w:r>
      <w:r w:rsidRPr="00714A81">
        <w:rPr>
          <w:lang w:val="es-ES"/>
        </w:rPr>
        <w:t>/</w:t>
      </w:r>
      <w:proofErr w:type="spellStart"/>
      <w:r w:rsidR="008D17D9">
        <w:rPr>
          <w:lang w:val="es-ES"/>
        </w:rPr>
        <w:t>v</w:t>
      </w:r>
      <w:r w:rsidRPr="00714A81">
        <w:rPr>
          <w:lang w:val="es-ES"/>
        </w:rPr>
        <w:t>eh</w:t>
      </w:r>
      <w:proofErr w:type="spellEnd"/>
      <w:r w:rsidRPr="00714A81">
        <w:rPr>
          <w:lang w:val="es-ES"/>
        </w:rPr>
        <w:t xml:space="preserve">-km en 20 años – </w:t>
      </w:r>
      <w:r>
        <w:rPr>
          <w:lang w:val="es-ES"/>
        </w:rPr>
        <w:t>reducción del 4,</w:t>
      </w:r>
      <w:r w:rsidR="00D829CA">
        <w:rPr>
          <w:lang w:val="es-ES"/>
        </w:rPr>
        <w:t>0</w:t>
      </w:r>
      <w:r w:rsidRPr="00714A81">
        <w:rPr>
          <w:lang w:val="es-ES"/>
        </w:rPr>
        <w:t>%</w:t>
      </w:r>
      <w:r>
        <w:rPr>
          <w:lang w:val="es-ES"/>
        </w:rPr>
        <w:t>.</w:t>
      </w:r>
    </w:p>
    <w:p w:rsidR="008F7D36" w:rsidRDefault="008F7D36" w:rsidP="00512A50">
      <w:pPr>
        <w:pStyle w:val="ListParagraph"/>
        <w:numPr>
          <w:ilvl w:val="0"/>
          <w:numId w:val="9"/>
        </w:numPr>
        <w:ind w:left="1080"/>
        <w:jc w:val="both"/>
        <w:rPr>
          <w:lang w:val="es-ES"/>
        </w:rPr>
      </w:pPr>
      <w:r>
        <w:rPr>
          <w:lang w:val="es-ES"/>
        </w:rPr>
        <w:t xml:space="preserve">El valor patrimonial de la red vial </w:t>
      </w:r>
      <w:r w:rsidR="00D829CA">
        <w:rPr>
          <w:lang w:val="es-ES"/>
        </w:rPr>
        <w:t>total (a valores económicos)</w:t>
      </w:r>
      <w:r>
        <w:rPr>
          <w:lang w:val="es-ES"/>
        </w:rPr>
        <w:t xml:space="preserve"> </w:t>
      </w:r>
      <w:r w:rsidR="00DF7E0F">
        <w:rPr>
          <w:lang w:val="es-ES"/>
        </w:rPr>
        <w:t xml:space="preserve">se mantiene del mismo orden, pasando </w:t>
      </w:r>
      <w:r>
        <w:rPr>
          <w:lang w:val="es-ES"/>
        </w:rPr>
        <w:t xml:space="preserve">de US$ </w:t>
      </w:r>
      <w:r w:rsidR="00DF7E0F">
        <w:rPr>
          <w:lang w:val="es-ES"/>
        </w:rPr>
        <w:t>2</w:t>
      </w:r>
      <w:r>
        <w:rPr>
          <w:lang w:val="es-ES"/>
        </w:rPr>
        <w:t>.</w:t>
      </w:r>
      <w:r w:rsidR="00DF7E0F">
        <w:rPr>
          <w:lang w:val="es-ES"/>
        </w:rPr>
        <w:t>004</w:t>
      </w:r>
      <w:r>
        <w:rPr>
          <w:lang w:val="es-ES"/>
        </w:rPr>
        <w:t xml:space="preserve"> millones a US$ </w:t>
      </w:r>
      <w:r w:rsidR="00DF7E0F">
        <w:rPr>
          <w:lang w:val="es-ES"/>
        </w:rPr>
        <w:t>1</w:t>
      </w:r>
      <w:r>
        <w:rPr>
          <w:lang w:val="es-ES"/>
        </w:rPr>
        <w:t>.9</w:t>
      </w:r>
      <w:r w:rsidR="00DF7E0F">
        <w:rPr>
          <w:lang w:val="es-ES"/>
        </w:rPr>
        <w:t>59</w:t>
      </w:r>
      <w:r>
        <w:rPr>
          <w:lang w:val="es-ES"/>
        </w:rPr>
        <w:t xml:space="preserve"> millones (</w:t>
      </w:r>
      <w:r w:rsidR="00DF7E0F">
        <w:rPr>
          <w:lang w:val="es-ES"/>
        </w:rPr>
        <w:t xml:space="preserve">reducción </w:t>
      </w:r>
      <w:r>
        <w:rPr>
          <w:lang w:val="es-ES"/>
        </w:rPr>
        <w:t>del 2,</w:t>
      </w:r>
      <w:r w:rsidR="00DF7E0F">
        <w:rPr>
          <w:lang w:val="es-ES"/>
        </w:rPr>
        <w:t>3</w:t>
      </w:r>
      <w:r>
        <w:rPr>
          <w:lang w:val="es-ES"/>
        </w:rPr>
        <w:t>%).</w:t>
      </w:r>
    </w:p>
    <w:p w:rsidR="008F7D36" w:rsidRDefault="008F7D36" w:rsidP="00512A50">
      <w:pPr>
        <w:pStyle w:val="ListParagraph"/>
        <w:numPr>
          <w:ilvl w:val="0"/>
          <w:numId w:val="9"/>
        </w:numPr>
        <w:ind w:left="1080"/>
        <w:jc w:val="both"/>
        <w:rPr>
          <w:lang w:val="es-ES"/>
        </w:rPr>
      </w:pPr>
      <w:r>
        <w:rPr>
          <w:lang w:val="es-ES"/>
        </w:rPr>
        <w:t xml:space="preserve">La rugosidad ponderada por km pasa de los actuales </w:t>
      </w:r>
      <w:r w:rsidR="00DF7E0F">
        <w:rPr>
          <w:lang w:val="es-ES"/>
        </w:rPr>
        <w:t>16,0</w:t>
      </w:r>
      <w:r>
        <w:rPr>
          <w:lang w:val="es-ES"/>
        </w:rPr>
        <w:t xml:space="preserve"> mm/km a </w:t>
      </w:r>
      <w:r w:rsidR="00DF7E0F">
        <w:rPr>
          <w:lang w:val="es-ES"/>
        </w:rPr>
        <w:t>1</w:t>
      </w:r>
      <w:r>
        <w:rPr>
          <w:lang w:val="es-ES"/>
        </w:rPr>
        <w:t>6,</w:t>
      </w:r>
      <w:r w:rsidR="00DF7E0F">
        <w:rPr>
          <w:lang w:val="es-ES"/>
        </w:rPr>
        <w:t>6</w:t>
      </w:r>
      <w:r>
        <w:rPr>
          <w:lang w:val="es-ES"/>
        </w:rPr>
        <w:t xml:space="preserve"> mm/km en el año 20. Cuando se pondera por </w:t>
      </w:r>
      <w:proofErr w:type="spellStart"/>
      <w:r>
        <w:rPr>
          <w:lang w:val="es-ES"/>
        </w:rPr>
        <w:t>veh</w:t>
      </w:r>
      <w:proofErr w:type="spellEnd"/>
      <w:r>
        <w:rPr>
          <w:lang w:val="es-ES"/>
        </w:rPr>
        <w:t xml:space="preserve">-km, entonces </w:t>
      </w:r>
      <w:r w:rsidRPr="00567023">
        <w:rPr>
          <w:lang w:val="es-ES"/>
        </w:rPr>
        <w:t xml:space="preserve">pasa de los actuales </w:t>
      </w:r>
      <w:r w:rsidR="00DF7E0F">
        <w:rPr>
          <w:lang w:val="es-ES"/>
        </w:rPr>
        <w:t>5</w:t>
      </w:r>
      <w:r w:rsidRPr="00567023">
        <w:rPr>
          <w:lang w:val="es-ES"/>
        </w:rPr>
        <w:t>,</w:t>
      </w:r>
      <w:r w:rsidR="00DF7E0F">
        <w:rPr>
          <w:lang w:val="es-ES"/>
        </w:rPr>
        <w:t>4</w:t>
      </w:r>
      <w:r w:rsidRPr="00567023">
        <w:rPr>
          <w:lang w:val="es-ES"/>
        </w:rPr>
        <w:t xml:space="preserve"> mm/km a </w:t>
      </w:r>
      <w:r>
        <w:rPr>
          <w:lang w:val="es-ES"/>
        </w:rPr>
        <w:t>4</w:t>
      </w:r>
      <w:r w:rsidRPr="00567023">
        <w:rPr>
          <w:lang w:val="es-ES"/>
        </w:rPr>
        <w:t>,</w:t>
      </w:r>
      <w:r w:rsidR="00DF7E0F">
        <w:rPr>
          <w:lang w:val="es-ES"/>
        </w:rPr>
        <w:t>6</w:t>
      </w:r>
      <w:r w:rsidRPr="00567023">
        <w:rPr>
          <w:lang w:val="es-ES"/>
        </w:rPr>
        <w:t xml:space="preserve"> mm/km en el año 20</w:t>
      </w:r>
      <w:r>
        <w:rPr>
          <w:lang w:val="es-ES"/>
        </w:rPr>
        <w:t>.</w:t>
      </w:r>
    </w:p>
    <w:p w:rsidR="008F7D36" w:rsidRDefault="008F7D36" w:rsidP="00512A50">
      <w:pPr>
        <w:pStyle w:val="ListParagraph"/>
        <w:numPr>
          <w:ilvl w:val="0"/>
          <w:numId w:val="9"/>
        </w:numPr>
        <w:ind w:left="1080"/>
        <w:jc w:val="both"/>
        <w:rPr>
          <w:lang w:val="es-ES"/>
        </w:rPr>
      </w:pPr>
      <w:r>
        <w:rPr>
          <w:lang w:val="es-ES"/>
        </w:rPr>
        <w:t xml:space="preserve">El monto anualizado de inversión para la estrategia óptima equivale al </w:t>
      </w:r>
      <w:r w:rsidR="00DE3054">
        <w:rPr>
          <w:lang w:val="es-ES"/>
        </w:rPr>
        <w:t>4</w:t>
      </w:r>
      <w:r>
        <w:rPr>
          <w:lang w:val="es-ES"/>
        </w:rPr>
        <w:t>,</w:t>
      </w:r>
      <w:r w:rsidR="00DE3054">
        <w:rPr>
          <w:lang w:val="es-ES"/>
        </w:rPr>
        <w:t>2</w:t>
      </w:r>
      <w:r>
        <w:rPr>
          <w:lang w:val="es-ES"/>
        </w:rPr>
        <w:t>% del PIB.</w:t>
      </w:r>
    </w:p>
    <w:p w:rsidR="002037E0" w:rsidRDefault="008F7D36" w:rsidP="00512A50">
      <w:pPr>
        <w:pStyle w:val="ListParagraph"/>
        <w:numPr>
          <w:ilvl w:val="0"/>
          <w:numId w:val="9"/>
        </w:numPr>
        <w:ind w:left="1080"/>
        <w:jc w:val="both"/>
        <w:rPr>
          <w:lang w:val="es-ES"/>
        </w:rPr>
      </w:pPr>
      <w:r>
        <w:rPr>
          <w:lang w:val="es-ES"/>
        </w:rPr>
        <w:t xml:space="preserve">La evolución del estado de la red con ese nivel de inversión anual óptimo permitiría lograr que más del </w:t>
      </w:r>
      <w:r w:rsidR="00DE3054">
        <w:rPr>
          <w:lang w:val="es-ES"/>
        </w:rPr>
        <w:t>2</w:t>
      </w:r>
      <w:r>
        <w:rPr>
          <w:lang w:val="es-ES"/>
        </w:rPr>
        <w:t>6% se encuentre en estado “bueno” y “muy bueno”</w:t>
      </w:r>
      <w:r w:rsidR="00DE3054">
        <w:rPr>
          <w:lang w:val="es-ES"/>
        </w:rPr>
        <w:t>, comparado con el 12,8% actual</w:t>
      </w:r>
      <w:r>
        <w:rPr>
          <w:lang w:val="es-ES"/>
        </w:rPr>
        <w:t>.</w:t>
      </w:r>
      <w:r w:rsidR="002037E0">
        <w:rPr>
          <w:lang w:val="es-ES"/>
        </w:rPr>
        <w:t xml:space="preserve"> </w:t>
      </w:r>
    </w:p>
    <w:p w:rsidR="008F7D36" w:rsidRDefault="002037E0" w:rsidP="00512A50">
      <w:pPr>
        <w:pStyle w:val="ListParagraph"/>
        <w:numPr>
          <w:ilvl w:val="0"/>
          <w:numId w:val="9"/>
        </w:numPr>
        <w:ind w:left="1080"/>
        <w:jc w:val="both"/>
        <w:rPr>
          <w:lang w:val="es-ES"/>
        </w:rPr>
      </w:pPr>
      <w:r>
        <w:rPr>
          <w:lang w:val="es-ES"/>
        </w:rPr>
        <w:t xml:space="preserve">La figura a continuación muestra tal evolución, pero pone también de manifiesto que la cantidad de km en estado muy malo se incrementará de 40% a 47%. Este resultado </w:t>
      </w:r>
      <w:r w:rsidR="008558F5">
        <w:rPr>
          <w:lang w:val="es-ES"/>
        </w:rPr>
        <w:t>resalta que en una estrategia de minimizar costos totales a la sociedad, cuando todas las demás variables permaneces iguales, hay caminos que por su bajo tránsito no resultan rentables para realizar otras intervenciones más que mantenimiento mínimo.</w:t>
      </w:r>
    </w:p>
    <w:p w:rsidR="00533FFC" w:rsidRDefault="00533FFC" w:rsidP="00533FFC">
      <w:pPr>
        <w:jc w:val="both"/>
        <w:rPr>
          <w:lang w:val="es-ES"/>
        </w:rPr>
      </w:pPr>
    </w:p>
    <w:p w:rsidR="00533FFC" w:rsidRDefault="00BE45BD" w:rsidP="007B53B0">
      <w:pPr>
        <w:ind w:left="720"/>
        <w:jc w:val="both"/>
        <w:rPr>
          <w:lang w:val="es-ES"/>
        </w:rPr>
      </w:pPr>
      <w:r>
        <w:rPr>
          <w:noProof/>
          <w:lang w:val="en-US"/>
        </w:rPr>
        <w:drawing>
          <wp:inline distT="0" distB="0" distL="0" distR="0" wp14:anchorId="23CD050A" wp14:editId="0B471DF6">
            <wp:extent cx="5429250" cy="3000375"/>
            <wp:effectExtent l="0" t="0" r="19050" b="9525"/>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E3678E" w:rsidRDefault="00B271BE" w:rsidP="00B271BE">
      <w:pPr>
        <w:pStyle w:val="Paragraph"/>
        <w:numPr>
          <w:ilvl w:val="1"/>
          <w:numId w:val="6"/>
        </w:numPr>
        <w:rPr>
          <w:lang w:val="es-ES_tradnl"/>
        </w:rPr>
      </w:pPr>
      <w:r>
        <w:rPr>
          <w:lang w:val="es-ES_tradnl"/>
        </w:rPr>
        <w:t xml:space="preserve">Los resultados de no aplicar </w:t>
      </w:r>
      <w:r w:rsidR="00B6793A">
        <w:rPr>
          <w:lang w:val="es-ES_tradnl"/>
        </w:rPr>
        <w:t xml:space="preserve">la estrategia “óptima” son también evidentes como en el caso de la red vial básica. </w:t>
      </w:r>
      <w:r w:rsidR="00F06BDB">
        <w:rPr>
          <w:lang w:val="es-ES_tradnl"/>
        </w:rPr>
        <w:t>Considerando las inversiones realizadas por el MTI, el FOMAV y las Municipalidades en la red vial del país en 2012 (US$ 162,2 millones), y tomando ese nivel de inversión como regla para el futuro</w:t>
      </w:r>
      <w:r w:rsidR="00923A15">
        <w:rPr>
          <w:lang w:val="es-ES_tradnl"/>
        </w:rPr>
        <w:t xml:space="preserve"> (alrededor del 3% del PIB)</w:t>
      </w:r>
      <w:r w:rsidR="00F06BDB">
        <w:rPr>
          <w:lang w:val="es-ES_tradnl"/>
        </w:rPr>
        <w:t xml:space="preserve">, el análisis efectuado permite evaluar </w:t>
      </w:r>
      <w:r w:rsidR="003E23E0">
        <w:rPr>
          <w:lang w:val="es-ES_tradnl"/>
        </w:rPr>
        <w:t>lo</w:t>
      </w:r>
      <w:r w:rsidR="00F06BDB">
        <w:rPr>
          <w:lang w:val="es-ES_tradnl"/>
        </w:rPr>
        <w:t>s impactos</w:t>
      </w:r>
      <w:r w:rsidR="003E23E0">
        <w:rPr>
          <w:lang w:val="es-ES_tradnl"/>
        </w:rPr>
        <w:t xml:space="preserve"> de no estar en la situación “</w:t>
      </w:r>
      <w:r w:rsidR="00E5733B">
        <w:rPr>
          <w:lang w:val="es-ES_tradnl"/>
        </w:rPr>
        <w:t>ó</w:t>
      </w:r>
      <w:r w:rsidR="003E23E0">
        <w:rPr>
          <w:lang w:val="es-ES_tradnl"/>
        </w:rPr>
        <w:t>ptima”. Así</w:t>
      </w:r>
      <w:r w:rsidR="00F06BDB">
        <w:rPr>
          <w:lang w:val="es-ES_tradnl"/>
        </w:rPr>
        <w:t xml:space="preserve"> </w:t>
      </w:r>
      <w:r w:rsidR="003E23E0">
        <w:rPr>
          <w:lang w:val="es-ES_tradnl"/>
        </w:rPr>
        <w:t xml:space="preserve">la primera conclusión es que los beneficios netos para la sociedad serían del orden del 66% de </w:t>
      </w:r>
      <w:r w:rsidR="00E5733B">
        <w:rPr>
          <w:lang w:val="es-ES_tradnl"/>
        </w:rPr>
        <w:t xml:space="preserve">los que se obtienen en </w:t>
      </w:r>
      <w:r w:rsidR="003E23E0">
        <w:rPr>
          <w:lang w:val="es-ES_tradnl"/>
        </w:rPr>
        <w:t xml:space="preserve">la situación </w:t>
      </w:r>
      <w:r w:rsidR="00E5733B">
        <w:rPr>
          <w:lang w:val="es-ES_tradnl"/>
        </w:rPr>
        <w:t xml:space="preserve">“óptima”, ya que aparecen pérdidas económicas a los usuarios </w:t>
      </w:r>
      <w:r w:rsidR="00C4397D">
        <w:rPr>
          <w:lang w:val="es-ES_tradnl"/>
        </w:rPr>
        <w:t xml:space="preserve">del orden de US$ 160 millones por año (esto por aumento de los costos de operación, resultado del incremento de rugosidad en la red). </w:t>
      </w:r>
    </w:p>
    <w:p w:rsidR="00533FFC" w:rsidRPr="00150737" w:rsidRDefault="00C4397D" w:rsidP="00B271BE">
      <w:pPr>
        <w:pStyle w:val="Paragraph"/>
        <w:numPr>
          <w:ilvl w:val="1"/>
          <w:numId w:val="6"/>
        </w:numPr>
        <w:rPr>
          <w:lang w:val="es-ES_tradnl"/>
        </w:rPr>
      </w:pPr>
      <w:r>
        <w:rPr>
          <w:lang w:val="es-ES_tradnl"/>
        </w:rPr>
        <w:t xml:space="preserve">Tal vez el peor efecto es la pérdida de patrimonio vial de US$ </w:t>
      </w:r>
      <w:r w:rsidR="009C1D3E">
        <w:rPr>
          <w:lang w:val="es-ES_tradnl"/>
        </w:rPr>
        <w:t>2.004 millones actuales a unos US$ 1.500 millones en 20 años</w:t>
      </w:r>
      <w:r w:rsidR="00CB33BB">
        <w:rPr>
          <w:lang w:val="es-ES_tradnl"/>
        </w:rPr>
        <w:t xml:space="preserve">, y el hecho de que se pasaría de un </w:t>
      </w:r>
      <w:r w:rsidR="00E3678E">
        <w:t xml:space="preserve">12,8% de la longitud de red en estado “bueno” y “muy bueno” a solamente un </w:t>
      </w:r>
      <w:r w:rsidR="00923A15">
        <w:t>4</w:t>
      </w:r>
      <w:r w:rsidR="00E3678E">
        <w:t>% en ese período.</w:t>
      </w:r>
      <w:r w:rsidR="00923A15">
        <w:t xml:space="preserve"> La red en estado “malo” y “muy malo” aumentaría desde el actual 63,3% a un 77%.</w:t>
      </w:r>
    </w:p>
    <w:p w:rsidR="00150737" w:rsidRPr="002A14CC" w:rsidRDefault="00150737" w:rsidP="00B271BE">
      <w:pPr>
        <w:pStyle w:val="Paragraph"/>
        <w:numPr>
          <w:ilvl w:val="1"/>
          <w:numId w:val="6"/>
        </w:numPr>
        <w:rPr>
          <w:lang w:val="es-ES_tradnl"/>
        </w:rPr>
      </w:pPr>
      <w:r>
        <w:rPr>
          <w:lang w:val="es-ES_tradnl"/>
        </w:rPr>
        <w:t xml:space="preserve">Estas consideraciones muestran también que </w:t>
      </w:r>
      <w:r w:rsidR="00097A8E">
        <w:rPr>
          <w:lang w:val="es-ES_tradnl"/>
        </w:rPr>
        <w:t xml:space="preserve">aun cuando se analiza la red vial completa, la estrategia óptima da prioridad a </w:t>
      </w:r>
      <w:r w:rsidR="008D2D1D">
        <w:rPr>
          <w:lang w:val="es-ES_tradnl"/>
        </w:rPr>
        <w:t xml:space="preserve">las intervenciones en </w:t>
      </w:r>
      <w:r w:rsidR="00097A8E">
        <w:rPr>
          <w:lang w:val="es-ES_tradnl"/>
        </w:rPr>
        <w:t>la red vial básica (resultado obvio por ser ella la de mayor tráfico)</w:t>
      </w:r>
      <w:r w:rsidR="00B25037">
        <w:rPr>
          <w:lang w:val="es-ES_tradnl"/>
        </w:rPr>
        <w:t>. También se verifica que al incluir</w:t>
      </w:r>
      <w:r w:rsidR="00097A8E">
        <w:rPr>
          <w:lang w:val="es-ES_tradnl"/>
        </w:rPr>
        <w:t xml:space="preserve"> </w:t>
      </w:r>
      <w:r w:rsidR="00173F95">
        <w:rPr>
          <w:lang w:val="es-ES_tradnl"/>
        </w:rPr>
        <w:t>los 15.</w:t>
      </w:r>
      <w:r w:rsidR="00B25037">
        <w:rPr>
          <w:lang w:val="es-ES_tradnl"/>
        </w:rPr>
        <w:t>662</w:t>
      </w:r>
      <w:r w:rsidR="00173F95">
        <w:rPr>
          <w:lang w:val="es-ES_tradnl"/>
        </w:rPr>
        <w:t xml:space="preserve"> km </w:t>
      </w:r>
      <w:r w:rsidR="00B25037">
        <w:rPr>
          <w:lang w:val="es-ES_tradnl"/>
        </w:rPr>
        <w:t>de la red vial no básica en el análisis, la estrategia ópt</w:t>
      </w:r>
      <w:r w:rsidR="00054382">
        <w:rPr>
          <w:lang w:val="es-ES_tradnl"/>
        </w:rPr>
        <w:t>i</w:t>
      </w:r>
      <w:r w:rsidR="00B25037">
        <w:rPr>
          <w:lang w:val="es-ES_tradnl"/>
        </w:rPr>
        <w:t xml:space="preserve">ma </w:t>
      </w:r>
      <w:r w:rsidR="00054382">
        <w:rPr>
          <w:lang w:val="es-ES_tradnl"/>
        </w:rPr>
        <w:t xml:space="preserve">requiere solamente de US$ 61,3 millones anuales </w:t>
      </w:r>
      <w:r w:rsidR="002F3E1B">
        <w:rPr>
          <w:lang w:val="es-ES_tradnl"/>
        </w:rPr>
        <w:t>adicionales de inversión. Y esto justamente porque la red no básica, por sus bajos tránsitos y sus características físicas, puede brindar un buen servicio aun con un nivel reducido de gasto.</w:t>
      </w:r>
    </w:p>
    <w:p w:rsidR="00B271BE" w:rsidRDefault="002A14CC" w:rsidP="00533FFC">
      <w:pPr>
        <w:pStyle w:val="Paragraph"/>
        <w:numPr>
          <w:ilvl w:val="1"/>
          <w:numId w:val="6"/>
        </w:numPr>
      </w:pPr>
      <w:r>
        <w:t xml:space="preserve">Además de estas primeras conclusiones, es interesante ver gráficamente la diferencia </w:t>
      </w:r>
      <w:r w:rsidR="00150737">
        <w:t xml:space="preserve">que existirá (Brecha de Financiamiento) entre el nivel de inversión </w:t>
      </w:r>
      <w:r w:rsidR="002F3E1B">
        <w:t>correspondiente a</w:t>
      </w:r>
      <w:r w:rsidR="00150737">
        <w:t xml:space="preserve"> una estrategia </w:t>
      </w:r>
      <w:r w:rsidR="002F3E1B">
        <w:t>óptima y el nivel de inversión histórico</w:t>
      </w:r>
      <w:r w:rsidR="006C55AE">
        <w:t>/tendencial con recursos propios. Para el</w:t>
      </w:r>
      <w:r w:rsidR="002F3E1B">
        <w:t xml:space="preserve"> total de la red vial de </w:t>
      </w:r>
      <w:r w:rsidR="006C55AE">
        <w:t>Nicaragua, la Brecha de Financiamiento para los próximos 10 años se ubica en promedio en US$ 135 millones</w:t>
      </w:r>
      <w:r w:rsidR="00D0458B">
        <w:t xml:space="preserve"> anuales</w:t>
      </w:r>
      <w:r w:rsidR="006C55AE">
        <w:t>, tal como muestra la figura a continuación:</w:t>
      </w:r>
    </w:p>
    <w:p w:rsidR="002237CC" w:rsidRPr="002566BF" w:rsidRDefault="002237CC" w:rsidP="002237CC">
      <w:pPr>
        <w:jc w:val="both"/>
        <w:rPr>
          <w:lang w:val="es-ES"/>
        </w:rPr>
      </w:pPr>
    </w:p>
    <w:p w:rsidR="00B271BE" w:rsidRDefault="002566BF" w:rsidP="00D0458B">
      <w:pPr>
        <w:ind w:left="720"/>
        <w:jc w:val="center"/>
        <w:rPr>
          <w:lang w:val="es-ES"/>
        </w:rPr>
      </w:pPr>
      <w:r>
        <w:rPr>
          <w:noProof/>
          <w:lang w:val="en-US"/>
        </w:rPr>
        <w:drawing>
          <wp:inline distT="0" distB="0" distL="0" distR="0" wp14:anchorId="1C556D84" wp14:editId="6F358969">
            <wp:extent cx="4572000" cy="2743200"/>
            <wp:effectExtent l="0" t="0" r="19050" b="1905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2237CC" w:rsidRDefault="002237CC">
      <w:pPr>
        <w:jc w:val="both"/>
        <w:rPr>
          <w:lang w:val="es-ES"/>
        </w:rPr>
      </w:pPr>
      <w:r>
        <w:rPr>
          <w:lang w:val="es-ES"/>
        </w:rPr>
        <w:br w:type="page"/>
      </w:r>
    </w:p>
    <w:p w:rsidR="00B271BE" w:rsidRDefault="00B271BE" w:rsidP="00533FFC">
      <w:pPr>
        <w:jc w:val="both"/>
        <w:rPr>
          <w:lang w:val="es-ES"/>
        </w:rPr>
      </w:pPr>
    </w:p>
    <w:p w:rsidR="002566BF" w:rsidRDefault="002566BF" w:rsidP="002566BF">
      <w:pPr>
        <w:pStyle w:val="Paragraph"/>
        <w:numPr>
          <w:ilvl w:val="1"/>
          <w:numId w:val="6"/>
        </w:numPr>
      </w:pPr>
      <w:r>
        <w:t>E</w:t>
      </w:r>
      <w:r w:rsidR="002237CC">
        <w:t>n el corto plazo el</w:t>
      </w:r>
      <w:r>
        <w:t xml:space="preserve"> Banco y otras </w:t>
      </w:r>
      <w:r w:rsidR="008B0A04">
        <w:t xml:space="preserve">agencias </w:t>
      </w:r>
      <w:r>
        <w:t>contribuye</w:t>
      </w:r>
      <w:r w:rsidR="008B0A04">
        <w:t>n</w:t>
      </w:r>
      <w:r>
        <w:t xml:space="preserve"> con las operaciones actuales a cerrar dicha brecha de la siguiente manera:</w:t>
      </w:r>
    </w:p>
    <w:tbl>
      <w:tblPr>
        <w:tblW w:w="8320" w:type="dxa"/>
        <w:jc w:val="right"/>
        <w:tblInd w:w="2160" w:type="dxa"/>
        <w:tblCellMar>
          <w:left w:w="70" w:type="dxa"/>
          <w:right w:w="70" w:type="dxa"/>
        </w:tblCellMar>
        <w:tblLook w:val="04A0" w:firstRow="1" w:lastRow="0" w:firstColumn="1" w:lastColumn="0" w:noHBand="0" w:noVBand="1"/>
      </w:tblPr>
      <w:tblGrid>
        <w:gridCol w:w="2320"/>
        <w:gridCol w:w="1200"/>
        <w:gridCol w:w="1200"/>
        <w:gridCol w:w="1200"/>
        <w:gridCol w:w="1200"/>
        <w:gridCol w:w="1200"/>
      </w:tblGrid>
      <w:tr w:rsidR="00C60EB7" w:rsidRPr="00C60EB7" w:rsidTr="00C60EB7">
        <w:trPr>
          <w:trHeight w:val="300"/>
          <w:jc w:val="right"/>
        </w:trPr>
        <w:tc>
          <w:tcPr>
            <w:tcW w:w="232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C60EB7" w:rsidRPr="00C60EB7" w:rsidRDefault="00C60EB7" w:rsidP="00C60EB7">
            <w:pPr>
              <w:rPr>
                <w:color w:val="000000"/>
                <w:sz w:val="20"/>
                <w:lang w:val="es-SV" w:eastAsia="es-SV"/>
              </w:rPr>
            </w:pPr>
            <w:r w:rsidRPr="00C60EB7">
              <w:rPr>
                <w:color w:val="000000"/>
                <w:sz w:val="20"/>
                <w:lang w:val="es-ES" w:eastAsia="es-ES"/>
              </w:rPr>
              <w:t>(Valores en Millones US$)</w:t>
            </w:r>
          </w:p>
        </w:tc>
        <w:tc>
          <w:tcPr>
            <w:tcW w:w="1200" w:type="dxa"/>
            <w:tcBorders>
              <w:top w:val="single" w:sz="8" w:space="0" w:color="auto"/>
              <w:left w:val="nil"/>
              <w:bottom w:val="single" w:sz="8" w:space="0" w:color="auto"/>
              <w:right w:val="single" w:sz="8" w:space="0" w:color="auto"/>
            </w:tcBorders>
            <w:shd w:val="clear" w:color="auto" w:fill="auto"/>
            <w:noWrap/>
            <w:vAlign w:val="center"/>
            <w:hideMark/>
          </w:tcPr>
          <w:p w:rsidR="00C60EB7" w:rsidRPr="00C60EB7" w:rsidRDefault="00C60EB7" w:rsidP="00C60EB7">
            <w:pPr>
              <w:jc w:val="center"/>
              <w:rPr>
                <w:b/>
                <w:bCs/>
                <w:color w:val="000000"/>
                <w:sz w:val="20"/>
                <w:lang w:val="es-SV" w:eastAsia="es-SV"/>
              </w:rPr>
            </w:pPr>
            <w:r w:rsidRPr="00C60EB7">
              <w:rPr>
                <w:b/>
                <w:bCs/>
                <w:color w:val="000000"/>
                <w:sz w:val="20"/>
                <w:lang w:val="es-ES" w:eastAsia="es-ES"/>
              </w:rPr>
              <w:t>2013</w:t>
            </w:r>
          </w:p>
        </w:tc>
        <w:tc>
          <w:tcPr>
            <w:tcW w:w="1200" w:type="dxa"/>
            <w:tcBorders>
              <w:top w:val="single" w:sz="8" w:space="0" w:color="auto"/>
              <w:left w:val="nil"/>
              <w:bottom w:val="single" w:sz="8" w:space="0" w:color="auto"/>
              <w:right w:val="single" w:sz="8" w:space="0" w:color="auto"/>
            </w:tcBorders>
            <w:shd w:val="clear" w:color="auto" w:fill="auto"/>
            <w:noWrap/>
            <w:vAlign w:val="center"/>
            <w:hideMark/>
          </w:tcPr>
          <w:p w:rsidR="00C60EB7" w:rsidRPr="00C60EB7" w:rsidRDefault="00C60EB7" w:rsidP="00C60EB7">
            <w:pPr>
              <w:jc w:val="center"/>
              <w:rPr>
                <w:b/>
                <w:bCs/>
                <w:color w:val="000000"/>
                <w:sz w:val="20"/>
                <w:lang w:val="es-SV" w:eastAsia="es-SV"/>
              </w:rPr>
            </w:pPr>
            <w:r w:rsidRPr="00C60EB7">
              <w:rPr>
                <w:b/>
                <w:bCs/>
                <w:color w:val="000000"/>
                <w:sz w:val="20"/>
                <w:lang w:val="es-ES" w:eastAsia="es-ES"/>
              </w:rPr>
              <w:t>2014</w:t>
            </w:r>
          </w:p>
        </w:tc>
        <w:tc>
          <w:tcPr>
            <w:tcW w:w="1200" w:type="dxa"/>
            <w:tcBorders>
              <w:top w:val="single" w:sz="8" w:space="0" w:color="auto"/>
              <w:left w:val="nil"/>
              <w:bottom w:val="single" w:sz="8" w:space="0" w:color="auto"/>
              <w:right w:val="single" w:sz="8" w:space="0" w:color="auto"/>
            </w:tcBorders>
            <w:shd w:val="clear" w:color="auto" w:fill="auto"/>
            <w:noWrap/>
            <w:vAlign w:val="center"/>
            <w:hideMark/>
          </w:tcPr>
          <w:p w:rsidR="00C60EB7" w:rsidRPr="00C60EB7" w:rsidRDefault="00C60EB7" w:rsidP="00C60EB7">
            <w:pPr>
              <w:jc w:val="center"/>
              <w:rPr>
                <w:b/>
                <w:bCs/>
                <w:color w:val="000000"/>
                <w:sz w:val="20"/>
                <w:lang w:val="es-SV" w:eastAsia="es-SV"/>
              </w:rPr>
            </w:pPr>
            <w:r w:rsidRPr="00C60EB7">
              <w:rPr>
                <w:b/>
                <w:bCs/>
                <w:color w:val="000000"/>
                <w:sz w:val="20"/>
                <w:lang w:val="es-ES" w:eastAsia="es-ES"/>
              </w:rPr>
              <w:t>2015</w:t>
            </w:r>
          </w:p>
        </w:tc>
        <w:tc>
          <w:tcPr>
            <w:tcW w:w="1200" w:type="dxa"/>
            <w:tcBorders>
              <w:top w:val="single" w:sz="8" w:space="0" w:color="auto"/>
              <w:left w:val="nil"/>
              <w:bottom w:val="single" w:sz="8" w:space="0" w:color="auto"/>
              <w:right w:val="single" w:sz="8" w:space="0" w:color="auto"/>
            </w:tcBorders>
            <w:shd w:val="clear" w:color="auto" w:fill="auto"/>
            <w:noWrap/>
            <w:vAlign w:val="center"/>
            <w:hideMark/>
          </w:tcPr>
          <w:p w:rsidR="00C60EB7" w:rsidRPr="00C60EB7" w:rsidRDefault="00C60EB7" w:rsidP="00C60EB7">
            <w:pPr>
              <w:jc w:val="center"/>
              <w:rPr>
                <w:b/>
                <w:bCs/>
                <w:color w:val="000000"/>
                <w:sz w:val="20"/>
                <w:lang w:val="es-SV" w:eastAsia="es-SV"/>
              </w:rPr>
            </w:pPr>
            <w:r w:rsidRPr="00C60EB7">
              <w:rPr>
                <w:b/>
                <w:bCs/>
                <w:color w:val="000000"/>
                <w:sz w:val="20"/>
                <w:lang w:val="es-ES" w:eastAsia="es-ES"/>
              </w:rPr>
              <w:t>2016</w:t>
            </w:r>
          </w:p>
        </w:tc>
        <w:tc>
          <w:tcPr>
            <w:tcW w:w="1200" w:type="dxa"/>
            <w:tcBorders>
              <w:top w:val="single" w:sz="8" w:space="0" w:color="auto"/>
              <w:left w:val="nil"/>
              <w:bottom w:val="single" w:sz="8" w:space="0" w:color="auto"/>
              <w:right w:val="single" w:sz="8" w:space="0" w:color="auto"/>
            </w:tcBorders>
            <w:shd w:val="clear" w:color="auto" w:fill="auto"/>
            <w:noWrap/>
            <w:vAlign w:val="center"/>
            <w:hideMark/>
          </w:tcPr>
          <w:p w:rsidR="00C60EB7" w:rsidRPr="00C60EB7" w:rsidRDefault="00C60EB7" w:rsidP="00C60EB7">
            <w:pPr>
              <w:jc w:val="center"/>
              <w:rPr>
                <w:b/>
                <w:bCs/>
                <w:color w:val="000000"/>
                <w:sz w:val="20"/>
                <w:lang w:val="es-SV" w:eastAsia="es-SV"/>
              </w:rPr>
            </w:pPr>
            <w:r w:rsidRPr="00C60EB7">
              <w:rPr>
                <w:b/>
                <w:bCs/>
                <w:color w:val="000000"/>
                <w:sz w:val="20"/>
                <w:lang w:val="es-ES" w:eastAsia="es-ES"/>
              </w:rPr>
              <w:t>2017</w:t>
            </w:r>
          </w:p>
        </w:tc>
      </w:tr>
      <w:tr w:rsidR="00C60EB7" w:rsidRPr="00C60EB7" w:rsidTr="00C60EB7">
        <w:trPr>
          <w:trHeight w:val="300"/>
          <w:jc w:val="right"/>
        </w:trPr>
        <w:tc>
          <w:tcPr>
            <w:tcW w:w="2320" w:type="dxa"/>
            <w:tcBorders>
              <w:top w:val="nil"/>
              <w:left w:val="single" w:sz="8" w:space="0" w:color="auto"/>
              <w:bottom w:val="single" w:sz="8" w:space="0" w:color="auto"/>
              <w:right w:val="single" w:sz="8" w:space="0" w:color="auto"/>
            </w:tcBorders>
            <w:shd w:val="clear" w:color="auto" w:fill="auto"/>
            <w:noWrap/>
            <w:vAlign w:val="center"/>
            <w:hideMark/>
          </w:tcPr>
          <w:p w:rsidR="00C60EB7" w:rsidRPr="00C60EB7" w:rsidRDefault="00C60EB7" w:rsidP="00C60EB7">
            <w:pPr>
              <w:rPr>
                <w:color w:val="000000"/>
                <w:sz w:val="20"/>
                <w:lang w:val="es-SV" w:eastAsia="es-SV"/>
              </w:rPr>
            </w:pPr>
            <w:r w:rsidRPr="00C60EB7">
              <w:rPr>
                <w:color w:val="000000"/>
                <w:sz w:val="20"/>
                <w:lang w:val="es-ES" w:eastAsia="es-ES"/>
              </w:rPr>
              <w:t>Brecha de Financiamiento</w:t>
            </w:r>
          </w:p>
        </w:tc>
        <w:tc>
          <w:tcPr>
            <w:tcW w:w="1200" w:type="dxa"/>
            <w:tcBorders>
              <w:top w:val="nil"/>
              <w:left w:val="nil"/>
              <w:bottom w:val="single" w:sz="8" w:space="0" w:color="auto"/>
              <w:right w:val="single" w:sz="8" w:space="0" w:color="auto"/>
            </w:tcBorders>
            <w:shd w:val="clear" w:color="auto" w:fill="auto"/>
            <w:noWrap/>
            <w:vAlign w:val="center"/>
            <w:hideMark/>
          </w:tcPr>
          <w:p w:rsidR="00C60EB7" w:rsidRPr="00C60EB7" w:rsidRDefault="00C60EB7" w:rsidP="00C60EB7">
            <w:pPr>
              <w:jc w:val="center"/>
              <w:rPr>
                <w:color w:val="000000"/>
                <w:sz w:val="20"/>
                <w:lang w:val="es-SV" w:eastAsia="es-SV"/>
              </w:rPr>
            </w:pPr>
            <w:r w:rsidRPr="00C60EB7">
              <w:rPr>
                <w:color w:val="000000"/>
                <w:sz w:val="20"/>
                <w:lang w:val="es-ES" w:eastAsia="es-ES"/>
              </w:rPr>
              <w:t>157</w:t>
            </w:r>
            <w:r>
              <w:rPr>
                <w:color w:val="000000"/>
                <w:sz w:val="20"/>
                <w:lang w:val="es-ES" w:eastAsia="es-ES"/>
              </w:rPr>
              <w:t>,</w:t>
            </w:r>
            <w:r w:rsidRPr="00C60EB7">
              <w:rPr>
                <w:color w:val="000000"/>
                <w:sz w:val="20"/>
                <w:lang w:val="es-ES" w:eastAsia="es-ES"/>
              </w:rPr>
              <w:t>38</w:t>
            </w:r>
          </w:p>
        </w:tc>
        <w:tc>
          <w:tcPr>
            <w:tcW w:w="1200" w:type="dxa"/>
            <w:tcBorders>
              <w:top w:val="nil"/>
              <w:left w:val="nil"/>
              <w:bottom w:val="single" w:sz="8" w:space="0" w:color="auto"/>
              <w:right w:val="single" w:sz="8" w:space="0" w:color="auto"/>
            </w:tcBorders>
            <w:shd w:val="clear" w:color="auto" w:fill="auto"/>
            <w:noWrap/>
            <w:vAlign w:val="center"/>
            <w:hideMark/>
          </w:tcPr>
          <w:p w:rsidR="00C60EB7" w:rsidRPr="00C60EB7" w:rsidRDefault="00C60EB7" w:rsidP="00C60EB7">
            <w:pPr>
              <w:jc w:val="center"/>
              <w:rPr>
                <w:color w:val="000000"/>
                <w:sz w:val="20"/>
                <w:lang w:val="es-SV" w:eastAsia="es-SV"/>
              </w:rPr>
            </w:pPr>
            <w:r w:rsidRPr="00C60EB7">
              <w:rPr>
                <w:color w:val="000000"/>
                <w:sz w:val="20"/>
                <w:lang w:val="es-ES" w:eastAsia="es-ES"/>
              </w:rPr>
              <w:t>151</w:t>
            </w:r>
            <w:r>
              <w:rPr>
                <w:color w:val="000000"/>
                <w:sz w:val="20"/>
                <w:lang w:val="es-ES" w:eastAsia="es-ES"/>
              </w:rPr>
              <w:t>,</w:t>
            </w:r>
            <w:r w:rsidRPr="00C60EB7">
              <w:rPr>
                <w:color w:val="000000"/>
                <w:sz w:val="20"/>
                <w:lang w:val="es-ES" w:eastAsia="es-ES"/>
              </w:rPr>
              <w:t>77</w:t>
            </w:r>
          </w:p>
        </w:tc>
        <w:tc>
          <w:tcPr>
            <w:tcW w:w="1200" w:type="dxa"/>
            <w:tcBorders>
              <w:top w:val="nil"/>
              <w:left w:val="nil"/>
              <w:bottom w:val="single" w:sz="8" w:space="0" w:color="auto"/>
              <w:right w:val="single" w:sz="8" w:space="0" w:color="auto"/>
            </w:tcBorders>
            <w:shd w:val="clear" w:color="auto" w:fill="auto"/>
            <w:noWrap/>
            <w:vAlign w:val="center"/>
            <w:hideMark/>
          </w:tcPr>
          <w:p w:rsidR="00C60EB7" w:rsidRPr="00C60EB7" w:rsidRDefault="00C60EB7" w:rsidP="00C60EB7">
            <w:pPr>
              <w:jc w:val="center"/>
              <w:rPr>
                <w:color w:val="000000"/>
                <w:sz w:val="20"/>
                <w:lang w:val="es-SV" w:eastAsia="es-SV"/>
              </w:rPr>
            </w:pPr>
            <w:r w:rsidRPr="00C60EB7">
              <w:rPr>
                <w:color w:val="000000"/>
                <w:sz w:val="20"/>
                <w:lang w:val="es-ES" w:eastAsia="es-ES"/>
              </w:rPr>
              <w:t>146</w:t>
            </w:r>
            <w:r>
              <w:rPr>
                <w:color w:val="000000"/>
                <w:sz w:val="20"/>
                <w:lang w:val="es-ES" w:eastAsia="es-ES"/>
              </w:rPr>
              <w:t>,</w:t>
            </w:r>
            <w:r w:rsidRPr="00C60EB7">
              <w:rPr>
                <w:color w:val="000000"/>
                <w:sz w:val="20"/>
                <w:lang w:val="es-ES" w:eastAsia="es-ES"/>
              </w:rPr>
              <w:t>43</w:t>
            </w:r>
          </w:p>
        </w:tc>
        <w:tc>
          <w:tcPr>
            <w:tcW w:w="1200" w:type="dxa"/>
            <w:tcBorders>
              <w:top w:val="nil"/>
              <w:left w:val="nil"/>
              <w:bottom w:val="single" w:sz="8" w:space="0" w:color="auto"/>
              <w:right w:val="single" w:sz="8" w:space="0" w:color="auto"/>
            </w:tcBorders>
            <w:shd w:val="clear" w:color="auto" w:fill="auto"/>
            <w:noWrap/>
            <w:vAlign w:val="center"/>
            <w:hideMark/>
          </w:tcPr>
          <w:p w:rsidR="00C60EB7" w:rsidRPr="00C60EB7" w:rsidRDefault="00C60EB7" w:rsidP="00C60EB7">
            <w:pPr>
              <w:jc w:val="center"/>
              <w:rPr>
                <w:color w:val="000000"/>
                <w:sz w:val="20"/>
                <w:lang w:val="es-SV" w:eastAsia="es-SV"/>
              </w:rPr>
            </w:pPr>
            <w:r w:rsidRPr="00C60EB7">
              <w:rPr>
                <w:color w:val="000000"/>
                <w:sz w:val="20"/>
                <w:lang w:val="es-ES" w:eastAsia="es-ES"/>
              </w:rPr>
              <w:t>141</w:t>
            </w:r>
            <w:r>
              <w:rPr>
                <w:color w:val="000000"/>
                <w:sz w:val="20"/>
                <w:lang w:val="es-ES" w:eastAsia="es-ES"/>
              </w:rPr>
              <w:t>,</w:t>
            </w:r>
            <w:r w:rsidRPr="00C60EB7">
              <w:rPr>
                <w:color w:val="000000"/>
                <w:sz w:val="20"/>
                <w:lang w:val="es-ES" w:eastAsia="es-ES"/>
              </w:rPr>
              <w:t>33</w:t>
            </w:r>
          </w:p>
        </w:tc>
        <w:tc>
          <w:tcPr>
            <w:tcW w:w="1200" w:type="dxa"/>
            <w:tcBorders>
              <w:top w:val="nil"/>
              <w:left w:val="nil"/>
              <w:bottom w:val="single" w:sz="8" w:space="0" w:color="auto"/>
              <w:right w:val="single" w:sz="8" w:space="0" w:color="auto"/>
            </w:tcBorders>
            <w:shd w:val="clear" w:color="auto" w:fill="auto"/>
            <w:noWrap/>
            <w:vAlign w:val="center"/>
            <w:hideMark/>
          </w:tcPr>
          <w:p w:rsidR="00C60EB7" w:rsidRPr="00C60EB7" w:rsidRDefault="00C60EB7" w:rsidP="00C60EB7">
            <w:pPr>
              <w:jc w:val="center"/>
              <w:rPr>
                <w:color w:val="000000"/>
                <w:sz w:val="20"/>
                <w:lang w:val="es-SV" w:eastAsia="es-SV"/>
              </w:rPr>
            </w:pPr>
            <w:r w:rsidRPr="00C60EB7">
              <w:rPr>
                <w:color w:val="000000"/>
                <w:sz w:val="20"/>
                <w:lang w:val="es-ES" w:eastAsia="es-ES"/>
              </w:rPr>
              <w:t>136</w:t>
            </w:r>
            <w:r>
              <w:rPr>
                <w:color w:val="000000"/>
                <w:sz w:val="20"/>
                <w:lang w:val="es-ES" w:eastAsia="es-ES"/>
              </w:rPr>
              <w:t>,</w:t>
            </w:r>
            <w:r w:rsidRPr="00C60EB7">
              <w:rPr>
                <w:color w:val="000000"/>
                <w:sz w:val="20"/>
                <w:lang w:val="es-ES" w:eastAsia="es-ES"/>
              </w:rPr>
              <w:t>44</w:t>
            </w:r>
          </w:p>
        </w:tc>
      </w:tr>
      <w:tr w:rsidR="00C60EB7" w:rsidRPr="00C60EB7" w:rsidTr="00C60EB7">
        <w:trPr>
          <w:trHeight w:val="300"/>
          <w:jc w:val="right"/>
        </w:trPr>
        <w:tc>
          <w:tcPr>
            <w:tcW w:w="2320" w:type="dxa"/>
            <w:tcBorders>
              <w:top w:val="nil"/>
              <w:left w:val="single" w:sz="8" w:space="0" w:color="auto"/>
              <w:bottom w:val="single" w:sz="8" w:space="0" w:color="auto"/>
              <w:right w:val="single" w:sz="8" w:space="0" w:color="auto"/>
            </w:tcBorders>
            <w:shd w:val="clear" w:color="auto" w:fill="auto"/>
            <w:noWrap/>
            <w:vAlign w:val="center"/>
            <w:hideMark/>
          </w:tcPr>
          <w:p w:rsidR="00C60EB7" w:rsidRPr="00C60EB7" w:rsidRDefault="00C60EB7" w:rsidP="00C60EB7">
            <w:pPr>
              <w:rPr>
                <w:color w:val="000000"/>
                <w:sz w:val="20"/>
                <w:lang w:val="es-SV" w:eastAsia="es-SV"/>
              </w:rPr>
            </w:pPr>
            <w:r w:rsidRPr="00C60EB7">
              <w:rPr>
                <w:color w:val="000000"/>
                <w:sz w:val="20"/>
                <w:lang w:val="es-ES" w:eastAsia="es-ES"/>
              </w:rPr>
              <w:t>Contribución del BID</w:t>
            </w:r>
          </w:p>
        </w:tc>
        <w:tc>
          <w:tcPr>
            <w:tcW w:w="1200" w:type="dxa"/>
            <w:tcBorders>
              <w:top w:val="nil"/>
              <w:left w:val="nil"/>
              <w:bottom w:val="single" w:sz="8" w:space="0" w:color="auto"/>
              <w:right w:val="single" w:sz="8" w:space="0" w:color="auto"/>
            </w:tcBorders>
            <w:shd w:val="clear" w:color="auto" w:fill="auto"/>
            <w:noWrap/>
            <w:vAlign w:val="center"/>
            <w:hideMark/>
          </w:tcPr>
          <w:p w:rsidR="00C60EB7" w:rsidRPr="00C60EB7" w:rsidRDefault="00C60EB7" w:rsidP="00C60EB7">
            <w:pPr>
              <w:jc w:val="center"/>
              <w:rPr>
                <w:color w:val="000000"/>
                <w:sz w:val="20"/>
                <w:lang w:val="es-SV" w:eastAsia="es-SV"/>
              </w:rPr>
            </w:pPr>
            <w:r w:rsidRPr="00C60EB7">
              <w:rPr>
                <w:color w:val="000000"/>
                <w:sz w:val="20"/>
                <w:lang w:val="es-ES" w:eastAsia="es-ES"/>
              </w:rPr>
              <w:t>20</w:t>
            </w:r>
            <w:r>
              <w:rPr>
                <w:color w:val="000000"/>
                <w:sz w:val="20"/>
                <w:lang w:val="es-ES" w:eastAsia="es-ES"/>
              </w:rPr>
              <w:t>,</w:t>
            </w:r>
            <w:r w:rsidRPr="00C60EB7">
              <w:rPr>
                <w:color w:val="000000"/>
                <w:sz w:val="20"/>
                <w:lang w:val="es-ES" w:eastAsia="es-ES"/>
              </w:rPr>
              <w:t>8</w:t>
            </w:r>
          </w:p>
        </w:tc>
        <w:tc>
          <w:tcPr>
            <w:tcW w:w="1200" w:type="dxa"/>
            <w:tcBorders>
              <w:top w:val="nil"/>
              <w:left w:val="nil"/>
              <w:bottom w:val="single" w:sz="8" w:space="0" w:color="auto"/>
              <w:right w:val="single" w:sz="8" w:space="0" w:color="auto"/>
            </w:tcBorders>
            <w:shd w:val="clear" w:color="auto" w:fill="auto"/>
            <w:noWrap/>
            <w:vAlign w:val="center"/>
            <w:hideMark/>
          </w:tcPr>
          <w:p w:rsidR="00C60EB7" w:rsidRPr="00C60EB7" w:rsidRDefault="00C60EB7" w:rsidP="00C60EB7">
            <w:pPr>
              <w:jc w:val="center"/>
              <w:rPr>
                <w:color w:val="000000"/>
                <w:sz w:val="20"/>
                <w:lang w:val="es-SV" w:eastAsia="es-SV"/>
              </w:rPr>
            </w:pPr>
            <w:r w:rsidRPr="00C60EB7">
              <w:rPr>
                <w:color w:val="000000"/>
                <w:sz w:val="20"/>
                <w:lang w:val="es-ES" w:eastAsia="es-ES"/>
              </w:rPr>
              <w:t>38</w:t>
            </w:r>
            <w:r>
              <w:rPr>
                <w:color w:val="000000"/>
                <w:sz w:val="20"/>
                <w:lang w:val="es-ES" w:eastAsia="es-ES"/>
              </w:rPr>
              <w:t>,</w:t>
            </w:r>
            <w:r w:rsidRPr="00C60EB7">
              <w:rPr>
                <w:color w:val="000000"/>
                <w:sz w:val="20"/>
                <w:lang w:val="es-ES" w:eastAsia="es-ES"/>
              </w:rPr>
              <w:t>88</w:t>
            </w:r>
          </w:p>
        </w:tc>
        <w:tc>
          <w:tcPr>
            <w:tcW w:w="1200" w:type="dxa"/>
            <w:tcBorders>
              <w:top w:val="nil"/>
              <w:left w:val="nil"/>
              <w:bottom w:val="single" w:sz="8" w:space="0" w:color="auto"/>
              <w:right w:val="single" w:sz="8" w:space="0" w:color="auto"/>
            </w:tcBorders>
            <w:shd w:val="clear" w:color="auto" w:fill="auto"/>
            <w:noWrap/>
            <w:vAlign w:val="center"/>
            <w:hideMark/>
          </w:tcPr>
          <w:p w:rsidR="00C60EB7" w:rsidRPr="00C60EB7" w:rsidRDefault="00C60EB7" w:rsidP="00C60EB7">
            <w:pPr>
              <w:jc w:val="center"/>
              <w:rPr>
                <w:color w:val="000000"/>
                <w:sz w:val="20"/>
                <w:lang w:val="es-SV" w:eastAsia="es-SV"/>
              </w:rPr>
            </w:pPr>
            <w:r w:rsidRPr="00C60EB7">
              <w:rPr>
                <w:color w:val="000000"/>
                <w:sz w:val="20"/>
                <w:lang w:val="es-ES" w:eastAsia="es-ES"/>
              </w:rPr>
              <w:t>22</w:t>
            </w:r>
            <w:r>
              <w:rPr>
                <w:color w:val="000000"/>
                <w:sz w:val="20"/>
                <w:lang w:val="es-ES" w:eastAsia="es-ES"/>
              </w:rPr>
              <w:t>,</w:t>
            </w:r>
            <w:r w:rsidRPr="00C60EB7">
              <w:rPr>
                <w:color w:val="000000"/>
                <w:sz w:val="20"/>
                <w:lang w:val="es-ES" w:eastAsia="es-ES"/>
              </w:rPr>
              <w:t>24</w:t>
            </w:r>
          </w:p>
        </w:tc>
        <w:tc>
          <w:tcPr>
            <w:tcW w:w="1200" w:type="dxa"/>
            <w:tcBorders>
              <w:top w:val="nil"/>
              <w:left w:val="nil"/>
              <w:bottom w:val="single" w:sz="8" w:space="0" w:color="auto"/>
              <w:right w:val="single" w:sz="8" w:space="0" w:color="auto"/>
            </w:tcBorders>
            <w:shd w:val="clear" w:color="auto" w:fill="auto"/>
            <w:noWrap/>
            <w:vAlign w:val="center"/>
            <w:hideMark/>
          </w:tcPr>
          <w:p w:rsidR="00C60EB7" w:rsidRPr="00C60EB7" w:rsidRDefault="00C60EB7" w:rsidP="00C60EB7">
            <w:pPr>
              <w:jc w:val="center"/>
              <w:rPr>
                <w:color w:val="000000"/>
                <w:sz w:val="20"/>
                <w:lang w:val="es-SV" w:eastAsia="es-SV"/>
              </w:rPr>
            </w:pPr>
            <w:r w:rsidRPr="00C60EB7">
              <w:rPr>
                <w:color w:val="000000"/>
                <w:sz w:val="20"/>
                <w:lang w:val="es-ES" w:eastAsia="es-ES"/>
              </w:rPr>
              <w:t>48</w:t>
            </w:r>
            <w:r>
              <w:rPr>
                <w:color w:val="000000"/>
                <w:sz w:val="20"/>
                <w:lang w:val="es-ES" w:eastAsia="es-ES"/>
              </w:rPr>
              <w:t>,</w:t>
            </w:r>
            <w:r w:rsidRPr="00C60EB7">
              <w:rPr>
                <w:color w:val="000000"/>
                <w:sz w:val="20"/>
                <w:lang w:val="es-ES" w:eastAsia="es-ES"/>
              </w:rPr>
              <w:t>9</w:t>
            </w:r>
          </w:p>
        </w:tc>
        <w:tc>
          <w:tcPr>
            <w:tcW w:w="1200" w:type="dxa"/>
            <w:tcBorders>
              <w:top w:val="nil"/>
              <w:left w:val="nil"/>
              <w:bottom w:val="single" w:sz="8" w:space="0" w:color="auto"/>
              <w:right w:val="single" w:sz="8" w:space="0" w:color="auto"/>
            </w:tcBorders>
            <w:shd w:val="clear" w:color="auto" w:fill="auto"/>
            <w:noWrap/>
            <w:vAlign w:val="center"/>
            <w:hideMark/>
          </w:tcPr>
          <w:p w:rsidR="00C60EB7" w:rsidRPr="00C60EB7" w:rsidRDefault="00C60EB7" w:rsidP="00C60EB7">
            <w:pPr>
              <w:jc w:val="center"/>
              <w:rPr>
                <w:color w:val="000000"/>
                <w:sz w:val="20"/>
                <w:lang w:val="es-SV" w:eastAsia="es-SV"/>
              </w:rPr>
            </w:pPr>
            <w:r w:rsidRPr="00C60EB7">
              <w:rPr>
                <w:color w:val="000000"/>
                <w:sz w:val="20"/>
                <w:lang w:val="es-ES" w:eastAsia="es-ES"/>
              </w:rPr>
              <w:t>0</w:t>
            </w:r>
          </w:p>
        </w:tc>
      </w:tr>
      <w:tr w:rsidR="00C60EB7" w:rsidRPr="00C60EB7" w:rsidTr="00C60EB7">
        <w:trPr>
          <w:trHeight w:val="300"/>
          <w:jc w:val="right"/>
        </w:trPr>
        <w:tc>
          <w:tcPr>
            <w:tcW w:w="2320" w:type="dxa"/>
            <w:tcBorders>
              <w:top w:val="nil"/>
              <w:left w:val="single" w:sz="8" w:space="0" w:color="auto"/>
              <w:bottom w:val="single" w:sz="8" w:space="0" w:color="auto"/>
              <w:right w:val="single" w:sz="8" w:space="0" w:color="auto"/>
            </w:tcBorders>
            <w:shd w:val="clear" w:color="auto" w:fill="auto"/>
            <w:noWrap/>
            <w:vAlign w:val="center"/>
            <w:hideMark/>
          </w:tcPr>
          <w:p w:rsidR="00C60EB7" w:rsidRPr="00C60EB7" w:rsidRDefault="00C60EB7" w:rsidP="00C60EB7">
            <w:pPr>
              <w:rPr>
                <w:color w:val="000000"/>
                <w:sz w:val="20"/>
                <w:lang w:val="es-SV" w:eastAsia="es-SV"/>
              </w:rPr>
            </w:pPr>
            <w:r w:rsidRPr="00C60EB7">
              <w:rPr>
                <w:color w:val="000000"/>
                <w:sz w:val="20"/>
                <w:lang w:val="es-ES" w:eastAsia="es-ES"/>
              </w:rPr>
              <w:t>Otras Contribuciones</w:t>
            </w:r>
            <w:r>
              <w:rPr>
                <w:color w:val="000000"/>
                <w:sz w:val="20"/>
                <w:lang w:val="es-ES" w:eastAsia="es-ES"/>
              </w:rPr>
              <w:t xml:space="preserve"> *</w:t>
            </w:r>
          </w:p>
        </w:tc>
        <w:tc>
          <w:tcPr>
            <w:tcW w:w="1200" w:type="dxa"/>
            <w:tcBorders>
              <w:top w:val="single" w:sz="8" w:space="0" w:color="auto"/>
              <w:left w:val="nil"/>
              <w:bottom w:val="single" w:sz="8" w:space="0" w:color="auto"/>
              <w:right w:val="single" w:sz="8" w:space="0" w:color="auto"/>
            </w:tcBorders>
            <w:shd w:val="clear" w:color="000000" w:fill="auto"/>
            <w:noWrap/>
            <w:vAlign w:val="center"/>
            <w:hideMark/>
          </w:tcPr>
          <w:p w:rsidR="00C60EB7" w:rsidRPr="00C60EB7" w:rsidRDefault="00C60EB7" w:rsidP="00C60EB7">
            <w:pPr>
              <w:jc w:val="center"/>
              <w:rPr>
                <w:color w:val="000000"/>
                <w:sz w:val="20"/>
                <w:lang w:val="es-SV" w:eastAsia="es-SV"/>
              </w:rPr>
            </w:pPr>
            <w:r w:rsidRPr="00C60EB7">
              <w:rPr>
                <w:color w:val="000000"/>
                <w:sz w:val="20"/>
                <w:lang w:val="es-ES" w:eastAsia="es-ES"/>
              </w:rPr>
              <w:t>39,15</w:t>
            </w:r>
          </w:p>
        </w:tc>
        <w:tc>
          <w:tcPr>
            <w:tcW w:w="1200" w:type="dxa"/>
            <w:tcBorders>
              <w:top w:val="single" w:sz="8" w:space="0" w:color="auto"/>
              <w:left w:val="nil"/>
              <w:bottom w:val="single" w:sz="8" w:space="0" w:color="auto"/>
              <w:right w:val="single" w:sz="8" w:space="0" w:color="auto"/>
            </w:tcBorders>
            <w:shd w:val="clear" w:color="000000" w:fill="auto"/>
            <w:noWrap/>
            <w:vAlign w:val="center"/>
            <w:hideMark/>
          </w:tcPr>
          <w:p w:rsidR="00C60EB7" w:rsidRPr="00C60EB7" w:rsidRDefault="00C60EB7" w:rsidP="00C60EB7">
            <w:pPr>
              <w:jc w:val="center"/>
              <w:rPr>
                <w:color w:val="000000"/>
                <w:sz w:val="20"/>
                <w:lang w:val="es-SV" w:eastAsia="es-SV"/>
              </w:rPr>
            </w:pPr>
            <w:r w:rsidRPr="00C60EB7">
              <w:rPr>
                <w:color w:val="000000"/>
                <w:sz w:val="20"/>
                <w:lang w:val="es-ES" w:eastAsia="es-ES"/>
              </w:rPr>
              <w:t>39,15</w:t>
            </w:r>
          </w:p>
        </w:tc>
        <w:tc>
          <w:tcPr>
            <w:tcW w:w="1200" w:type="dxa"/>
            <w:tcBorders>
              <w:top w:val="single" w:sz="8" w:space="0" w:color="auto"/>
              <w:left w:val="nil"/>
              <w:bottom w:val="single" w:sz="8" w:space="0" w:color="auto"/>
              <w:right w:val="single" w:sz="8" w:space="0" w:color="auto"/>
            </w:tcBorders>
            <w:shd w:val="clear" w:color="000000" w:fill="auto"/>
            <w:noWrap/>
            <w:vAlign w:val="center"/>
            <w:hideMark/>
          </w:tcPr>
          <w:p w:rsidR="00C60EB7" w:rsidRPr="00C60EB7" w:rsidRDefault="00C60EB7" w:rsidP="00C60EB7">
            <w:pPr>
              <w:jc w:val="center"/>
              <w:rPr>
                <w:color w:val="000000"/>
                <w:sz w:val="20"/>
                <w:lang w:val="es-SV" w:eastAsia="es-SV"/>
              </w:rPr>
            </w:pPr>
            <w:r w:rsidRPr="00C60EB7">
              <w:rPr>
                <w:color w:val="000000"/>
                <w:sz w:val="20"/>
                <w:lang w:val="es-ES" w:eastAsia="es-ES"/>
              </w:rPr>
              <w:t>39,15</w:t>
            </w:r>
          </w:p>
        </w:tc>
        <w:tc>
          <w:tcPr>
            <w:tcW w:w="1200" w:type="dxa"/>
            <w:tcBorders>
              <w:top w:val="single" w:sz="8" w:space="0" w:color="auto"/>
              <w:left w:val="nil"/>
              <w:bottom w:val="single" w:sz="8" w:space="0" w:color="auto"/>
              <w:right w:val="single" w:sz="8" w:space="0" w:color="auto"/>
            </w:tcBorders>
            <w:shd w:val="clear" w:color="000000" w:fill="auto"/>
            <w:noWrap/>
            <w:vAlign w:val="center"/>
            <w:hideMark/>
          </w:tcPr>
          <w:p w:rsidR="00C60EB7" w:rsidRPr="00C60EB7" w:rsidRDefault="00C60EB7" w:rsidP="00C60EB7">
            <w:pPr>
              <w:jc w:val="center"/>
              <w:rPr>
                <w:color w:val="000000"/>
                <w:sz w:val="20"/>
                <w:lang w:val="es-SV" w:eastAsia="es-SV"/>
              </w:rPr>
            </w:pPr>
            <w:r w:rsidRPr="00C60EB7">
              <w:rPr>
                <w:color w:val="000000"/>
                <w:sz w:val="20"/>
                <w:lang w:val="es-ES" w:eastAsia="es-ES"/>
              </w:rPr>
              <w:t>39,15</w:t>
            </w:r>
          </w:p>
        </w:tc>
        <w:tc>
          <w:tcPr>
            <w:tcW w:w="1200" w:type="dxa"/>
            <w:tcBorders>
              <w:top w:val="single" w:sz="8" w:space="0" w:color="auto"/>
              <w:left w:val="nil"/>
              <w:bottom w:val="single" w:sz="8" w:space="0" w:color="auto"/>
              <w:right w:val="single" w:sz="8" w:space="0" w:color="auto"/>
            </w:tcBorders>
            <w:shd w:val="clear" w:color="000000" w:fill="auto"/>
            <w:noWrap/>
            <w:vAlign w:val="center"/>
            <w:hideMark/>
          </w:tcPr>
          <w:p w:rsidR="00C60EB7" w:rsidRPr="00C60EB7" w:rsidRDefault="00C60EB7" w:rsidP="00C60EB7">
            <w:pPr>
              <w:jc w:val="center"/>
              <w:rPr>
                <w:color w:val="000000"/>
                <w:sz w:val="20"/>
                <w:lang w:val="es-SV" w:eastAsia="es-SV"/>
              </w:rPr>
            </w:pPr>
            <w:r w:rsidRPr="00C60EB7">
              <w:rPr>
                <w:color w:val="000000"/>
                <w:sz w:val="20"/>
                <w:lang w:val="es-ES" w:eastAsia="es-ES"/>
              </w:rPr>
              <w:t>39,15</w:t>
            </w:r>
          </w:p>
        </w:tc>
      </w:tr>
      <w:tr w:rsidR="00C60EB7" w:rsidRPr="00C60EB7" w:rsidTr="00C60EB7">
        <w:trPr>
          <w:trHeight w:val="315"/>
          <w:jc w:val="right"/>
        </w:trPr>
        <w:tc>
          <w:tcPr>
            <w:tcW w:w="2320" w:type="dxa"/>
            <w:tcBorders>
              <w:top w:val="nil"/>
              <w:left w:val="single" w:sz="8" w:space="0" w:color="auto"/>
              <w:bottom w:val="single" w:sz="8" w:space="0" w:color="auto"/>
              <w:right w:val="single" w:sz="8" w:space="0" w:color="auto"/>
            </w:tcBorders>
            <w:shd w:val="clear" w:color="auto" w:fill="auto"/>
            <w:noWrap/>
            <w:vAlign w:val="center"/>
            <w:hideMark/>
          </w:tcPr>
          <w:p w:rsidR="00C60EB7" w:rsidRPr="00C60EB7" w:rsidRDefault="00C60EB7" w:rsidP="00C60EB7">
            <w:pPr>
              <w:rPr>
                <w:color w:val="000000"/>
                <w:sz w:val="20"/>
                <w:lang w:val="es-SV" w:eastAsia="es-SV"/>
              </w:rPr>
            </w:pPr>
            <w:r w:rsidRPr="00C60EB7">
              <w:rPr>
                <w:color w:val="000000"/>
                <w:sz w:val="20"/>
                <w:lang w:val="es-ES" w:eastAsia="es-ES"/>
              </w:rPr>
              <w:t>Saldo</w:t>
            </w:r>
          </w:p>
        </w:tc>
        <w:tc>
          <w:tcPr>
            <w:tcW w:w="1200" w:type="dxa"/>
            <w:tcBorders>
              <w:top w:val="single" w:sz="8" w:space="0" w:color="auto"/>
              <w:left w:val="nil"/>
              <w:bottom w:val="single" w:sz="8" w:space="0" w:color="auto"/>
              <w:right w:val="single" w:sz="8" w:space="0" w:color="auto"/>
            </w:tcBorders>
            <w:shd w:val="clear" w:color="000000" w:fill="auto"/>
            <w:noWrap/>
            <w:vAlign w:val="center"/>
            <w:hideMark/>
          </w:tcPr>
          <w:p w:rsidR="00C60EB7" w:rsidRPr="00C60EB7" w:rsidRDefault="00C60EB7" w:rsidP="00C60EB7">
            <w:pPr>
              <w:jc w:val="center"/>
              <w:rPr>
                <w:color w:val="000000"/>
                <w:sz w:val="20"/>
                <w:lang w:val="es-SV" w:eastAsia="es-SV"/>
              </w:rPr>
            </w:pPr>
            <w:r w:rsidRPr="00C60EB7">
              <w:rPr>
                <w:color w:val="000000"/>
                <w:sz w:val="20"/>
                <w:lang w:val="es-ES" w:eastAsia="es-ES"/>
              </w:rPr>
              <w:t>97,43</w:t>
            </w:r>
          </w:p>
        </w:tc>
        <w:tc>
          <w:tcPr>
            <w:tcW w:w="1200" w:type="dxa"/>
            <w:tcBorders>
              <w:top w:val="single" w:sz="8" w:space="0" w:color="auto"/>
              <w:left w:val="nil"/>
              <w:bottom w:val="single" w:sz="8" w:space="0" w:color="auto"/>
              <w:right w:val="single" w:sz="8" w:space="0" w:color="auto"/>
            </w:tcBorders>
            <w:shd w:val="clear" w:color="000000" w:fill="auto"/>
            <w:noWrap/>
            <w:vAlign w:val="center"/>
            <w:hideMark/>
          </w:tcPr>
          <w:p w:rsidR="00C60EB7" w:rsidRPr="00C60EB7" w:rsidRDefault="00C60EB7" w:rsidP="00C60EB7">
            <w:pPr>
              <w:jc w:val="center"/>
              <w:rPr>
                <w:color w:val="000000"/>
                <w:sz w:val="20"/>
                <w:lang w:val="es-SV" w:eastAsia="es-SV"/>
              </w:rPr>
            </w:pPr>
            <w:r w:rsidRPr="00C60EB7">
              <w:rPr>
                <w:color w:val="000000"/>
                <w:sz w:val="20"/>
                <w:lang w:val="es-ES" w:eastAsia="es-ES"/>
              </w:rPr>
              <w:t>73,74</w:t>
            </w:r>
          </w:p>
        </w:tc>
        <w:tc>
          <w:tcPr>
            <w:tcW w:w="1200" w:type="dxa"/>
            <w:tcBorders>
              <w:top w:val="single" w:sz="8" w:space="0" w:color="auto"/>
              <w:left w:val="nil"/>
              <w:bottom w:val="single" w:sz="8" w:space="0" w:color="auto"/>
              <w:right w:val="single" w:sz="8" w:space="0" w:color="auto"/>
            </w:tcBorders>
            <w:shd w:val="clear" w:color="000000" w:fill="auto"/>
            <w:noWrap/>
            <w:vAlign w:val="center"/>
            <w:hideMark/>
          </w:tcPr>
          <w:p w:rsidR="00C60EB7" w:rsidRPr="00C60EB7" w:rsidRDefault="00C60EB7" w:rsidP="00C60EB7">
            <w:pPr>
              <w:jc w:val="center"/>
              <w:rPr>
                <w:color w:val="000000"/>
                <w:sz w:val="20"/>
                <w:lang w:val="es-SV" w:eastAsia="es-SV"/>
              </w:rPr>
            </w:pPr>
            <w:r w:rsidRPr="00C60EB7">
              <w:rPr>
                <w:color w:val="000000"/>
                <w:sz w:val="20"/>
                <w:lang w:val="es-ES" w:eastAsia="es-ES"/>
              </w:rPr>
              <w:t>85,04</w:t>
            </w:r>
          </w:p>
        </w:tc>
        <w:tc>
          <w:tcPr>
            <w:tcW w:w="1200" w:type="dxa"/>
            <w:tcBorders>
              <w:top w:val="single" w:sz="8" w:space="0" w:color="auto"/>
              <w:left w:val="nil"/>
              <w:bottom w:val="single" w:sz="8" w:space="0" w:color="auto"/>
              <w:right w:val="single" w:sz="8" w:space="0" w:color="auto"/>
            </w:tcBorders>
            <w:shd w:val="clear" w:color="000000" w:fill="auto"/>
            <w:noWrap/>
            <w:vAlign w:val="center"/>
            <w:hideMark/>
          </w:tcPr>
          <w:p w:rsidR="00C60EB7" w:rsidRPr="00C60EB7" w:rsidRDefault="00C60EB7" w:rsidP="00C60EB7">
            <w:pPr>
              <w:jc w:val="center"/>
              <w:rPr>
                <w:color w:val="000000"/>
                <w:sz w:val="20"/>
                <w:lang w:val="es-SV" w:eastAsia="es-SV"/>
              </w:rPr>
            </w:pPr>
            <w:r w:rsidRPr="00C60EB7">
              <w:rPr>
                <w:color w:val="000000"/>
                <w:sz w:val="20"/>
                <w:lang w:val="es-ES" w:eastAsia="es-ES"/>
              </w:rPr>
              <w:t>53,28</w:t>
            </w:r>
          </w:p>
        </w:tc>
        <w:tc>
          <w:tcPr>
            <w:tcW w:w="1200" w:type="dxa"/>
            <w:tcBorders>
              <w:top w:val="single" w:sz="8" w:space="0" w:color="auto"/>
              <w:left w:val="nil"/>
              <w:bottom w:val="single" w:sz="8" w:space="0" w:color="auto"/>
              <w:right w:val="single" w:sz="8" w:space="0" w:color="auto"/>
            </w:tcBorders>
            <w:shd w:val="clear" w:color="000000" w:fill="auto"/>
            <w:noWrap/>
            <w:vAlign w:val="center"/>
            <w:hideMark/>
          </w:tcPr>
          <w:p w:rsidR="00C60EB7" w:rsidRPr="00C60EB7" w:rsidRDefault="00C60EB7" w:rsidP="00C60EB7">
            <w:pPr>
              <w:jc w:val="center"/>
              <w:rPr>
                <w:color w:val="000000"/>
                <w:sz w:val="20"/>
                <w:lang w:val="es-SV" w:eastAsia="es-SV"/>
              </w:rPr>
            </w:pPr>
            <w:r w:rsidRPr="00C60EB7">
              <w:rPr>
                <w:color w:val="000000"/>
                <w:sz w:val="20"/>
                <w:lang w:val="es-ES" w:eastAsia="es-ES"/>
              </w:rPr>
              <w:t>97,29</w:t>
            </w:r>
          </w:p>
        </w:tc>
      </w:tr>
    </w:tbl>
    <w:p w:rsidR="002237CC" w:rsidRDefault="00C60EB7" w:rsidP="00C60EB7">
      <w:pPr>
        <w:ind w:left="1440"/>
        <w:jc w:val="both"/>
        <w:rPr>
          <w:lang w:val="es-ES"/>
        </w:rPr>
      </w:pPr>
      <w:r>
        <w:rPr>
          <w:lang w:val="es-ES"/>
        </w:rPr>
        <w:t>(*) Proyección de los recursos disponibles en convenios de financiamiento vigentes, en base a la información proporcionada por el MTI.</w:t>
      </w:r>
    </w:p>
    <w:p w:rsidR="002237CC" w:rsidRDefault="007D027B" w:rsidP="007D027B">
      <w:pPr>
        <w:pStyle w:val="Paragraph"/>
        <w:numPr>
          <w:ilvl w:val="1"/>
          <w:numId w:val="6"/>
        </w:numPr>
      </w:pPr>
      <w:r>
        <w:t xml:space="preserve">La tabla anterior </w:t>
      </w:r>
      <w:r w:rsidR="00A42261">
        <w:t>pone de manifiesto la importante contribución del Banco, pero a la vez deja planteado a las autoridades de Nicaragua la necesidad de movilizar fondos adicionales para intervenciones en la red vial nacional</w:t>
      </w:r>
      <w:r w:rsidR="00C60EB7">
        <w:t>,</w:t>
      </w:r>
      <w:r w:rsidR="00A42261">
        <w:t xml:space="preserve"> </w:t>
      </w:r>
      <w:r w:rsidR="00E3398A">
        <w:t>Esto justifica realizar un estudio de los aspectos fiscales del sector transporte para investigar usos y fuentes, así como las posibilidades de redistribuir ingresos fiscales actuales o generar algún ingreso adicional</w:t>
      </w:r>
      <w:r w:rsidR="00284E1D">
        <w:t>.</w:t>
      </w:r>
    </w:p>
    <w:p w:rsidR="005C08C5" w:rsidRPr="00E3398A" w:rsidRDefault="0043193E" w:rsidP="005C08C5">
      <w:pPr>
        <w:pStyle w:val="Paragraph"/>
        <w:numPr>
          <w:ilvl w:val="1"/>
          <w:numId w:val="6"/>
        </w:numPr>
      </w:pPr>
      <w:r w:rsidRPr="00092B8A">
        <w:rPr>
          <w:b/>
        </w:rPr>
        <w:t>Estimación de necesidades</w:t>
      </w:r>
      <w:r>
        <w:rPr>
          <w:b/>
        </w:rPr>
        <w:t xml:space="preserve"> para puentes, seguridad vial y mitigación/adaptación</w:t>
      </w:r>
      <w:r w:rsidR="00F360B2">
        <w:rPr>
          <w:b/>
        </w:rPr>
        <w:t xml:space="preserve"> al cambio climático</w:t>
      </w:r>
      <w:r w:rsidR="00C60EB7">
        <w:rPr>
          <w:b/>
        </w:rPr>
        <w:t>,</w:t>
      </w:r>
      <w:r w:rsidR="00534006">
        <w:rPr>
          <w:b/>
        </w:rPr>
        <w:t xml:space="preserve"> </w:t>
      </w:r>
      <w:r w:rsidR="00E3398A" w:rsidRPr="00E3398A">
        <w:t xml:space="preserve">Al momento de </w:t>
      </w:r>
      <w:r w:rsidR="00534006" w:rsidRPr="00E3398A">
        <w:t xml:space="preserve">preparar </w:t>
      </w:r>
      <w:r w:rsidR="00E3398A">
        <w:t xml:space="preserve">este documento no se contaba con información precisa sobre </w:t>
      </w:r>
      <w:r w:rsidR="00F360B2">
        <w:t>las necesidades de inversión para sustitución y mantenimiento de puentes</w:t>
      </w:r>
      <w:r w:rsidR="00C60EB7">
        <w:t>,</w:t>
      </w:r>
      <w:r w:rsidR="00F360B2">
        <w:t xml:space="preserve"> Tampoco se c</w:t>
      </w:r>
      <w:r w:rsidR="00D55E47">
        <w:t xml:space="preserve">ontaba </w:t>
      </w:r>
      <w:r w:rsidR="00F360B2">
        <w:t>con un análisis completo para intervenciones de seguridad vial y mitigación/adaptación al cambio climático</w:t>
      </w:r>
      <w:r w:rsidR="00C60EB7">
        <w:t>,</w:t>
      </w:r>
      <w:r w:rsidR="00F360B2">
        <w:t xml:space="preserve"> Algunas estimaciones permiten pensar que la implementación de programas de mejora en esas </w:t>
      </w:r>
      <w:r w:rsidR="00D55E47">
        <w:t xml:space="preserve">tres </w:t>
      </w:r>
      <w:r w:rsidR="00F360B2">
        <w:t>áreas pueden a</w:t>
      </w:r>
      <w:r w:rsidR="00D55E47">
        <w:t xml:space="preserve">lcanzar </w:t>
      </w:r>
      <w:r w:rsidR="00F360B2">
        <w:t>en el corto plazo un</w:t>
      </w:r>
      <w:r w:rsidR="00D55E47">
        <w:t>a</w:t>
      </w:r>
      <w:r w:rsidR="00F360B2">
        <w:t xml:space="preserve"> </w:t>
      </w:r>
      <w:r w:rsidR="00D55E47">
        <w:t>cifra de US$ 12 millones por año</w:t>
      </w:r>
      <w:r w:rsidR="00C60EB7">
        <w:t>,</w:t>
      </w:r>
      <w:r w:rsidR="00D55E47">
        <w:t xml:space="preserve"> Este monto debe ser mejor investigado, pero obviamente aumenta la brecha de financiamiento calculada más arriba</w:t>
      </w:r>
      <w:r w:rsidR="00284E1D">
        <w:t>.</w:t>
      </w:r>
    </w:p>
    <w:p w:rsidR="00AE3CC2" w:rsidRDefault="008A03FF" w:rsidP="00540901">
      <w:pPr>
        <w:pStyle w:val="Paragraph"/>
        <w:numPr>
          <w:ilvl w:val="1"/>
          <w:numId w:val="6"/>
        </w:numPr>
      </w:pPr>
      <w:r w:rsidRPr="008A03FF">
        <w:rPr>
          <w:b/>
        </w:rPr>
        <w:t>Otras necesidades de inversión</w:t>
      </w:r>
      <w:r w:rsidR="00C60EB7">
        <w:rPr>
          <w:b/>
        </w:rPr>
        <w:t>,</w:t>
      </w:r>
      <w:r w:rsidRPr="008A03FF">
        <w:t xml:space="preserve"> Los análisis efectuados más arriba son </w:t>
      </w:r>
      <w:r>
        <w:t>de tipo “estático”, es decir, no toman en consideración nuevos desarrollos en el territorio</w:t>
      </w:r>
      <w:r w:rsidR="00C60EB7">
        <w:t>,</w:t>
      </w:r>
      <w:r>
        <w:t xml:space="preserve"> Si se considera que en el mediano plazo podrán aparecer en Nicaragua nuevas iniciativas, entonces los valores de brecha de financiamiento calculados podrán resultar en la práctica aun superiores</w:t>
      </w:r>
      <w:r w:rsidR="00C60EB7">
        <w:t>,</w:t>
      </w:r>
      <w:r>
        <w:t xml:space="preserve"> Por ejemplo, l</w:t>
      </w:r>
      <w:r w:rsidR="00AE3CC2" w:rsidRPr="008A03FF">
        <w:t>a próxima conclusión del Puente La Fe sobre el Río San Juan</w:t>
      </w:r>
      <w:r w:rsidR="00F360B2">
        <w:t>,</w:t>
      </w:r>
      <w:r w:rsidR="00AE3CC2" w:rsidRPr="008A03FF">
        <w:t xml:space="preserve"> dará continuidad al proyecto </w:t>
      </w:r>
      <w:proofErr w:type="spellStart"/>
      <w:r w:rsidR="00AE3CC2" w:rsidRPr="008A03FF">
        <w:t>Acoyapa</w:t>
      </w:r>
      <w:proofErr w:type="spellEnd"/>
      <w:r w:rsidR="00AE3CC2" w:rsidRPr="008A03FF">
        <w:t xml:space="preserve"> – San Carlos, abriendo una nueva vía de comunicación con Costa Rica</w:t>
      </w:r>
      <w:r w:rsidR="00C60EB7">
        <w:t>,</w:t>
      </w:r>
      <w:r w:rsidR="00AE3CC2" w:rsidRPr="008A03FF">
        <w:t xml:space="preserve"> Este nuevo nodo </w:t>
      </w:r>
      <w:r w:rsidR="002274A0" w:rsidRPr="008A03FF">
        <w:t xml:space="preserve">de la red de transporte provocará </w:t>
      </w:r>
      <w:r w:rsidR="00AE3CC2" w:rsidRPr="008A03FF">
        <w:t>un cambio en l</w:t>
      </w:r>
      <w:r w:rsidR="002274A0" w:rsidRPr="008A03FF">
        <w:t xml:space="preserve">os patrones de desplazamiento, </w:t>
      </w:r>
      <w:r w:rsidR="00D71BF8" w:rsidRPr="008A03FF">
        <w:t>ya que acortará la distancia hacia Puerto Limón en Costa Rica</w:t>
      </w:r>
      <w:r w:rsidR="00C60EB7">
        <w:t>,</w:t>
      </w:r>
      <w:r w:rsidR="00D71BF8" w:rsidRPr="008A03FF">
        <w:t xml:space="preserve"> I</w:t>
      </w:r>
      <w:r w:rsidR="002274A0" w:rsidRPr="008A03FF">
        <w:t>ncluso</w:t>
      </w:r>
      <w:r w:rsidR="00D71BF8" w:rsidRPr="008A03FF">
        <w:t xml:space="preserve">, el proyecto </w:t>
      </w:r>
      <w:r w:rsidR="002274A0" w:rsidRPr="008A03FF">
        <w:t>promoverá un mayor desarrollo productivo en la zona de influencia del puente</w:t>
      </w:r>
      <w:r w:rsidR="00D71BF8" w:rsidRPr="008A03FF">
        <w:t>, debido a que podrá ahora accederse más fácilmente al mercado costarricense</w:t>
      </w:r>
      <w:r w:rsidR="00C60EB7">
        <w:t>,</w:t>
      </w:r>
      <w:r w:rsidR="00D71BF8" w:rsidRPr="008A03FF">
        <w:t xml:space="preserve"> Dicho desarrollo vendrá a reclamar </w:t>
      </w:r>
      <w:r w:rsidR="00160DDA" w:rsidRPr="008A03FF">
        <w:t>mayores inversiones para la mejora de la red de caminos productivos</w:t>
      </w:r>
      <w:r w:rsidR="004979F2">
        <w:t xml:space="preserve">, construcción de puentes </w:t>
      </w:r>
      <w:r w:rsidR="00160DDA" w:rsidRPr="008A03FF">
        <w:t>y especialmente para mantenimiento, siendo que esa es la zona con mayor precipitación histórica en el país (4000 mm anuales)</w:t>
      </w:r>
      <w:r w:rsidR="00284E1D">
        <w:t>.</w:t>
      </w:r>
    </w:p>
    <w:p w:rsidR="00AE3CC2" w:rsidRPr="00284E1D" w:rsidRDefault="009B478F" w:rsidP="00540901">
      <w:pPr>
        <w:pStyle w:val="Paragraph"/>
        <w:numPr>
          <w:ilvl w:val="1"/>
          <w:numId w:val="6"/>
        </w:numPr>
      </w:pPr>
      <w:r w:rsidRPr="009B478F">
        <w:t xml:space="preserve">También dentro de otras </w:t>
      </w:r>
      <w:r>
        <w:t>necesidades de inversión se incluirán las que deriven de los proyectos de integración con Mesoamérica, que podrán implicar reconstrucciones para elevar especificaciones de ciertos tramos del Corredor Pacífico</w:t>
      </w:r>
      <w:r w:rsidR="00284E1D">
        <w:t>.</w:t>
      </w:r>
    </w:p>
    <w:p w:rsidR="00CC243C" w:rsidRPr="00092B8A" w:rsidRDefault="00CC243C">
      <w:pPr>
        <w:jc w:val="both"/>
        <w:rPr>
          <w:lang w:val="es-ES"/>
        </w:rPr>
      </w:pPr>
      <w:r w:rsidRPr="00092B8A">
        <w:rPr>
          <w:lang w:val="es-ES"/>
        </w:rPr>
        <w:br w:type="page"/>
      </w:r>
    </w:p>
    <w:p w:rsidR="00CC243C" w:rsidRPr="004979F2" w:rsidRDefault="00651DA8" w:rsidP="00CC243C">
      <w:pPr>
        <w:pStyle w:val="FirstHeading"/>
        <w:numPr>
          <w:ilvl w:val="0"/>
          <w:numId w:val="7"/>
        </w:numPr>
        <w:rPr>
          <w:rFonts w:ascii="Verdana" w:hAnsi="Verdana"/>
          <w:u w:val="single"/>
        </w:rPr>
      </w:pPr>
      <w:r>
        <w:rPr>
          <w:rFonts w:ascii="Verdana" w:hAnsi="Verdana"/>
          <w:u w:val="single"/>
        </w:rPr>
        <w:t>El trabajo del Banco</w:t>
      </w:r>
    </w:p>
    <w:p w:rsidR="00CC243C" w:rsidRDefault="00536CFB" w:rsidP="00845EC0">
      <w:pPr>
        <w:pStyle w:val="Paragraph"/>
        <w:numPr>
          <w:ilvl w:val="1"/>
          <w:numId w:val="10"/>
        </w:numPr>
      </w:pPr>
      <w:bookmarkStart w:id="49" w:name="_Ref272944599"/>
      <w:r w:rsidRPr="00845EC0">
        <w:rPr>
          <w:b/>
        </w:rPr>
        <w:t>Trabajo sectorial del Banco</w:t>
      </w:r>
      <w:r w:rsidR="00C60EB7">
        <w:rPr>
          <w:b/>
        </w:rPr>
        <w:t>,</w:t>
      </w:r>
      <w:r w:rsidRPr="00092B8A">
        <w:t xml:space="preserve"> </w:t>
      </w:r>
      <w:bookmarkEnd w:id="49"/>
      <w:r w:rsidR="00845EC0">
        <w:t>En los últimos 10 años el Banco ha sido un actor clave en el desarrollo del sector transporte del país, habiéndose aprobado operaciones de préstamo por un monto mayor de US$218 millones</w:t>
      </w:r>
      <w:r w:rsidR="00C60EB7">
        <w:t>,</w:t>
      </w:r>
      <w:r w:rsidR="00845EC0">
        <w:t xml:space="preserve"> Al finalizar la ejecución de estos proyectos se habrá: i) completado un conjunto de obras de rehabilitación y mejoramiento de más de 420 km de la red vial nacional; ii) brindado mantenimiento especial a más de 600 km de vías</w:t>
      </w:r>
      <w:r w:rsidR="00C60EB7">
        <w:t>,</w:t>
      </w:r>
      <w:r w:rsidR="00845EC0">
        <w:t xml:space="preserve"> Asimismo, se ha apoyado el fortalecimiento institucional tanto del Ministerio de Transporte e Infraestructura (MTI) como del Fondo de Mantenimiento Vial (FOMAV) a través de capacitación en la gestión por resultados, adquisición de hardware y software, desarrollo de sistemas, apoyo técnico, impulso de la seguridad vial, control de pesos y dimensiones, y reducción de vulnerabilidad al cambio climático</w:t>
      </w:r>
      <w:r w:rsidR="00284E1D">
        <w:t>.</w:t>
      </w:r>
    </w:p>
    <w:p w:rsidR="000412F9" w:rsidRDefault="000412F9" w:rsidP="00D32B6C">
      <w:pPr>
        <w:pStyle w:val="Paragraph"/>
        <w:numPr>
          <w:ilvl w:val="1"/>
          <w:numId w:val="10"/>
        </w:numPr>
      </w:pPr>
      <w:r>
        <w:rPr>
          <w:b/>
        </w:rPr>
        <w:t>El trabajo del Banco responde a una visión del MTI</w:t>
      </w:r>
      <w:r w:rsidR="00C60EB7">
        <w:rPr>
          <w:b/>
        </w:rPr>
        <w:t>,</w:t>
      </w:r>
      <w:r>
        <w:t xml:space="preserve"> </w:t>
      </w:r>
      <w:r w:rsidR="00D32B6C" w:rsidRPr="00D32B6C">
        <w:t>En 2010, las autoridades del MTI plantearon al Banco las siguientes metas para el trabajo en el sector vial: i) aumentar la inversión en la red vial a fin de mejorar su accesibilidad, niveles de servicio, calidad, y lograr funcionalidad permanente; ii) dirigir la inversión a vías que apoyen la producción y faciliten una mayor integración a nivel nacional y regional; iii) garantizar la sostenibilidad de las inversiones a través del mantenimiento vial; iv) apoyar a los municipios para ampliar sus capacidades de planificación, ejecución de proyectos y mantenimiento de las redes viales municipales; v) avanzar en el control de pesos en las carreteras, aumentar los niveles de seguridad vial, y disminuir los niveles de accidentalidad , y vi) avanzar en la reducción de la vulnerabilidad de la red vial a los efectos del cambio climático</w:t>
      </w:r>
      <w:r w:rsidR="00284E1D">
        <w:t>.</w:t>
      </w:r>
    </w:p>
    <w:p w:rsidR="00601C68" w:rsidRDefault="00FB314C" w:rsidP="00601C68">
      <w:pPr>
        <w:pStyle w:val="Paragraph"/>
        <w:numPr>
          <w:ilvl w:val="1"/>
          <w:numId w:val="10"/>
        </w:numPr>
      </w:pPr>
      <w:r>
        <w:rPr>
          <w:b/>
        </w:rPr>
        <w:t xml:space="preserve">El trabajo del Banco </w:t>
      </w:r>
      <w:r w:rsidR="00651DA8">
        <w:rPr>
          <w:b/>
        </w:rPr>
        <w:t>busca dar respuesta al problema</w:t>
      </w:r>
      <w:r w:rsidR="00C60EB7">
        <w:rPr>
          <w:b/>
        </w:rPr>
        <w:t>,</w:t>
      </w:r>
      <w:r>
        <w:t xml:space="preserve"> </w:t>
      </w:r>
      <w:r w:rsidR="00601C68" w:rsidRPr="00601C68">
        <w:t>El transporte carretero en Nicaragua se ve dificultado por numerosas razones</w:t>
      </w:r>
      <w:r w:rsidR="00C60EB7">
        <w:t>,</w:t>
      </w:r>
      <w:r w:rsidR="00601C68" w:rsidRPr="00601C68">
        <w:t xml:space="preserve"> La red vial se caracteriza por bajos niveles de servicio y operatividad, producto de un sistema de gestión sujeto a la presión de grandes necesidades y limitados recursos</w:t>
      </w:r>
      <w:r w:rsidR="00C60EB7">
        <w:t>,</w:t>
      </w:r>
      <w:r w:rsidR="00601C68" w:rsidRPr="00601C68">
        <w:t xml:space="preserve"> La situación anterior se manifiesta a través de: i) baja funcionalidad de parte de la red vial que une los centros productivos y los mercados de exportación, y mal estado de la red de caminos no pavimentados que brinda acceso a las áreas rurales de producción primaria o de potencial turístico; ii) deterioro acelerado de la red vial debido al limitado control de pesos y dimensiones, lo que crea la necesidad de mayor cobertura en mantenimiento; iii) incremento de los niveles de accidentalidad vial derivado del crecimiento del parque vehicular, de los patrones de conducción y de las limitantes de recursos para atender la problemática</w:t>
      </w:r>
      <w:r w:rsidR="00601C68">
        <w:t>;</w:t>
      </w:r>
      <w:r w:rsidR="00601C68" w:rsidRPr="00601C68">
        <w:t xml:space="preserve"> y iv) necesidad de fortalecer capacidades técnicas para considerar los efectos derivados del cambio climático, optimizar la planificación de inversiones y la gestión enfocada en resultados</w:t>
      </w:r>
      <w:r w:rsidR="00284E1D">
        <w:t>.</w:t>
      </w:r>
    </w:p>
    <w:p w:rsidR="00FB314C" w:rsidRDefault="00284E1D" w:rsidP="00651DA8">
      <w:pPr>
        <w:pStyle w:val="Paragraph"/>
        <w:numPr>
          <w:ilvl w:val="1"/>
          <w:numId w:val="10"/>
        </w:numPr>
      </w:pPr>
      <w:r w:rsidRPr="00E326AE">
        <w:rPr>
          <w:b/>
        </w:rPr>
        <w:t>Consecuencias del problema.</w:t>
      </w:r>
      <w:r>
        <w:t xml:space="preserve"> </w:t>
      </w:r>
      <w:r w:rsidRPr="004C22EF">
        <w:t xml:space="preserve">Literatura reciente </w:t>
      </w:r>
      <w:r w:rsidRPr="0062315D">
        <w:t xml:space="preserve"> destaca</w:t>
      </w:r>
      <w:r>
        <w:t xml:space="preserve"> el impacto del transporte y logística en los precios de los alimentos, refiriéndose</w:t>
      </w:r>
      <w:r w:rsidRPr="009B4CB8">
        <w:t xml:space="preserve"> que en los países en vía de desarrollo los costos de transporte y logística son desproporcionadamente  altos;</w:t>
      </w:r>
      <w:r>
        <w:t xml:space="preserve"> por ejemplo,</w:t>
      </w:r>
      <w:r w:rsidRPr="009B4CB8">
        <w:t xml:space="preserve"> </w:t>
      </w:r>
      <w:r>
        <w:t xml:space="preserve">para el caso del maíz importado por Nicaragua de Estados Unidos  dichos costos </w:t>
      </w:r>
      <w:r w:rsidRPr="009B4CB8">
        <w:t xml:space="preserve"> constituyen el 48% del costo de</w:t>
      </w:r>
      <w:r>
        <w:t>l producto</w:t>
      </w:r>
      <w:r w:rsidRPr="00F86C98">
        <w:rPr>
          <w:rStyle w:val="FootnoteReference"/>
        </w:rPr>
        <w:footnoteReference w:id="4"/>
      </w:r>
      <w:r>
        <w:t xml:space="preserve">, el impacto trasciende hasta la economía familiar en tanto que el maíz en un producto de la canasta básica de la población, principalmente la de más bajos recursos. </w:t>
      </w:r>
      <w:r w:rsidRPr="004C22EF">
        <w:rPr>
          <w:lang w:eastAsia="es-ES_tradnl"/>
        </w:rPr>
        <w:t>Estudios recientes concluyen que las inversiones en infraestructura de transporte pueden contribuir no sólo a la eficiencia económica a través de la reducción de costos de transporte sino reduciendo la necesidad de mantener altos y costosos inventarios</w:t>
      </w:r>
      <w:r w:rsidRPr="009A3E73">
        <w:rPr>
          <w:rStyle w:val="FootnoteReference"/>
        </w:rPr>
        <w:footnoteReference w:id="5"/>
      </w:r>
      <w:r w:rsidRPr="004C22EF">
        <w:rPr>
          <w:b/>
          <w:lang w:eastAsia="es-ES_tradnl"/>
        </w:rPr>
        <w:t>.</w:t>
      </w:r>
      <w:r>
        <w:rPr>
          <w:b/>
          <w:lang w:eastAsia="es-ES_tradnl"/>
        </w:rPr>
        <w:t xml:space="preserve"> </w:t>
      </w:r>
      <w:r>
        <w:t xml:space="preserve">Por otro lado, otras investigaciones </w:t>
      </w:r>
      <w:r w:rsidRPr="000C18D0">
        <w:rPr>
          <w:rFonts w:eastAsia="MS Mincho"/>
          <w:szCs w:val="24"/>
          <w:lang w:val="es-NI"/>
        </w:rPr>
        <w:t xml:space="preserve"> abordan los impactos de los servicios de infraestructura en las zonas rurales</w:t>
      </w:r>
      <w:r>
        <w:rPr>
          <w:rFonts w:eastAsia="MS Mincho"/>
          <w:szCs w:val="24"/>
          <w:lang w:val="es-NI"/>
        </w:rPr>
        <w:t xml:space="preserve"> del país</w:t>
      </w:r>
      <w:r w:rsidRPr="000C18D0">
        <w:rPr>
          <w:rFonts w:eastAsia="MS Mincho"/>
          <w:szCs w:val="24"/>
          <w:vertAlign w:val="superscript"/>
          <w:lang w:val="es-NI"/>
        </w:rPr>
        <w:footnoteReference w:id="6"/>
      </w:r>
      <w:r>
        <w:rPr>
          <w:rFonts w:eastAsia="MS Mincho"/>
          <w:szCs w:val="24"/>
          <w:lang w:val="es-NI"/>
        </w:rPr>
        <w:t xml:space="preserve">. </w:t>
      </w:r>
      <w:r w:rsidRPr="000C18D0">
        <w:rPr>
          <w:rFonts w:eastAsia="MS Mincho"/>
          <w:szCs w:val="24"/>
          <w:lang w:val="es-NI"/>
        </w:rPr>
        <w:t>En ell</w:t>
      </w:r>
      <w:r>
        <w:rPr>
          <w:rFonts w:eastAsia="MS Mincho"/>
          <w:szCs w:val="24"/>
          <w:lang w:val="es-NI"/>
        </w:rPr>
        <w:t>a</w:t>
      </w:r>
      <w:r w:rsidRPr="000C18D0">
        <w:rPr>
          <w:rFonts w:eastAsia="MS Mincho"/>
          <w:szCs w:val="24"/>
          <w:lang w:val="es-NI"/>
        </w:rPr>
        <w:t>s se plantea</w:t>
      </w:r>
      <w:r>
        <w:rPr>
          <w:rFonts w:eastAsia="MS Mincho"/>
          <w:szCs w:val="24"/>
          <w:lang w:val="es-NI"/>
        </w:rPr>
        <w:t xml:space="preserve"> </w:t>
      </w:r>
      <w:r w:rsidRPr="000C18D0">
        <w:rPr>
          <w:rFonts w:eastAsia="MS Mincho"/>
          <w:szCs w:val="24"/>
          <w:lang w:val="es-NI"/>
        </w:rPr>
        <w:t>que el mayor acceso a infraestructura productiva y básica en Nicaragua se asocia con mayor productividad, reducción de pobreza y menor mortalidad infantil. Los hogares con acceso a caminos rurales tienen cinco veces menos probabilidad de estar en</w:t>
      </w:r>
      <w:r>
        <w:rPr>
          <w:rFonts w:eastAsia="MS Mincho"/>
          <w:szCs w:val="24"/>
          <w:lang w:val="es-NI"/>
        </w:rPr>
        <w:t xml:space="preserve"> condición de </w:t>
      </w:r>
      <w:r w:rsidRPr="000C18D0">
        <w:rPr>
          <w:rFonts w:eastAsia="MS Mincho"/>
          <w:szCs w:val="24"/>
          <w:lang w:val="es-NI"/>
        </w:rPr>
        <w:t>pobreza que los que no lo tienen</w:t>
      </w:r>
      <w:r w:rsidRPr="000C18D0">
        <w:rPr>
          <w:rFonts w:eastAsia="MS Mincho"/>
          <w:szCs w:val="24"/>
          <w:vertAlign w:val="superscript"/>
          <w:lang w:val="es-NI"/>
        </w:rPr>
        <w:footnoteReference w:id="7"/>
      </w:r>
      <w:r>
        <w:rPr>
          <w:rFonts w:eastAsia="MS Mincho"/>
          <w:szCs w:val="24"/>
          <w:lang w:val="es-NI"/>
        </w:rPr>
        <w:t xml:space="preserve">. </w:t>
      </w:r>
      <w:r w:rsidRPr="000C18D0">
        <w:rPr>
          <w:rFonts w:eastAsia="MS Mincho"/>
          <w:szCs w:val="24"/>
          <w:lang w:val="es-NI"/>
        </w:rPr>
        <w:t xml:space="preserve"> La infraestructura </w:t>
      </w:r>
      <w:r>
        <w:rPr>
          <w:rFonts w:eastAsia="MS Mincho"/>
          <w:szCs w:val="24"/>
          <w:lang w:val="es-NI"/>
        </w:rPr>
        <w:t xml:space="preserve">productiva y </w:t>
      </w:r>
      <w:r w:rsidRPr="000C18D0">
        <w:rPr>
          <w:rFonts w:eastAsia="MS Mincho"/>
          <w:szCs w:val="24"/>
          <w:lang w:val="es-NI"/>
        </w:rPr>
        <w:t xml:space="preserve">básica a </w:t>
      </w:r>
      <w:r>
        <w:rPr>
          <w:rFonts w:eastAsia="MS Mincho"/>
          <w:szCs w:val="24"/>
          <w:lang w:val="es-NI"/>
        </w:rPr>
        <w:t xml:space="preserve">la </w:t>
      </w:r>
      <w:r w:rsidRPr="000C18D0">
        <w:rPr>
          <w:rFonts w:eastAsia="MS Mincho"/>
          <w:szCs w:val="24"/>
          <w:lang w:val="es-NI"/>
        </w:rPr>
        <w:t xml:space="preserve">que tienen acceso los hogares se relaciona directamente con las características de la vía </w:t>
      </w:r>
      <w:r>
        <w:rPr>
          <w:rFonts w:eastAsia="MS Mincho"/>
          <w:szCs w:val="24"/>
          <w:lang w:val="es-NI"/>
        </w:rPr>
        <w:t>de acceso más cercana</w:t>
      </w:r>
      <w:r w:rsidRPr="000C18D0">
        <w:rPr>
          <w:rFonts w:eastAsia="MS Mincho"/>
          <w:szCs w:val="24"/>
          <w:lang w:val="es-NI"/>
        </w:rPr>
        <w:t xml:space="preserve">. </w:t>
      </w:r>
      <w:r>
        <w:rPr>
          <w:rFonts w:eastAsia="MS Mincho"/>
          <w:szCs w:val="24"/>
          <w:lang w:val="es-NI"/>
        </w:rPr>
        <w:t xml:space="preserve">Dichos análisis  </w:t>
      </w:r>
      <w:r w:rsidRPr="000C18D0">
        <w:rPr>
          <w:rFonts w:eastAsia="MS Mincho"/>
          <w:szCs w:val="24"/>
          <w:lang w:val="es-NI"/>
        </w:rPr>
        <w:t>plantean que</w:t>
      </w:r>
      <w:r>
        <w:rPr>
          <w:rFonts w:eastAsia="MS Mincho"/>
          <w:szCs w:val="24"/>
          <w:lang w:val="es-NI"/>
        </w:rPr>
        <w:t xml:space="preserve"> </w:t>
      </w:r>
      <w:r w:rsidRPr="000C18D0">
        <w:rPr>
          <w:rFonts w:eastAsia="MS Mincho"/>
          <w:szCs w:val="24"/>
          <w:lang w:val="es-NI"/>
        </w:rPr>
        <w:t xml:space="preserve">los hogares con </w:t>
      </w:r>
      <w:r>
        <w:rPr>
          <w:rFonts w:eastAsia="MS Mincho"/>
          <w:szCs w:val="24"/>
          <w:lang w:val="es-NI"/>
        </w:rPr>
        <w:t xml:space="preserve">acceso a </w:t>
      </w:r>
      <w:r w:rsidRPr="000C18D0">
        <w:rPr>
          <w:rFonts w:eastAsia="MS Mincho"/>
          <w:szCs w:val="24"/>
          <w:lang w:val="es-NI"/>
        </w:rPr>
        <w:t xml:space="preserve">vías todo-tiempo tienen acceso a la infraestructura </w:t>
      </w:r>
      <w:r>
        <w:rPr>
          <w:rFonts w:eastAsia="MS Mincho"/>
          <w:szCs w:val="24"/>
          <w:lang w:val="es-NI"/>
        </w:rPr>
        <w:t xml:space="preserve">productiva y básica </w:t>
      </w:r>
      <w:r w:rsidRPr="000C18D0">
        <w:rPr>
          <w:rFonts w:eastAsia="MS Mincho"/>
          <w:szCs w:val="24"/>
          <w:lang w:val="es-NI"/>
        </w:rPr>
        <w:t>con mayor facilidad, lo que les abre oportunidades para diversificar su ingreso per cápita</w:t>
      </w:r>
      <w:r w:rsidR="009F5BAF">
        <w:rPr>
          <w:rFonts w:eastAsia="MS Mincho"/>
          <w:szCs w:val="24"/>
          <w:lang w:val="es-NI"/>
        </w:rPr>
        <w:t xml:space="preserve"> (ver el mapa de causalidad en el Anexo 3)</w:t>
      </w:r>
      <w:r>
        <w:rPr>
          <w:rFonts w:eastAsia="MS Mincho"/>
          <w:szCs w:val="24"/>
          <w:lang w:val="es-NI"/>
        </w:rPr>
        <w:t>.</w:t>
      </w:r>
    </w:p>
    <w:p w:rsidR="00755905" w:rsidRPr="00092B8A" w:rsidRDefault="00755905" w:rsidP="00D32B6C">
      <w:pPr>
        <w:pStyle w:val="Paragraph"/>
        <w:numPr>
          <w:ilvl w:val="1"/>
          <w:numId w:val="10"/>
        </w:numPr>
      </w:pPr>
      <w:bookmarkStart w:id="52" w:name="_Ref290546067"/>
      <w:r w:rsidRPr="00845EC0">
        <w:rPr>
          <w:b/>
        </w:rPr>
        <w:t>La Estrategia del BID con el País (2012-2017)</w:t>
      </w:r>
      <w:r w:rsidR="00C60EB7">
        <w:rPr>
          <w:b/>
        </w:rPr>
        <w:t>,</w:t>
      </w:r>
      <w:r w:rsidRPr="00092B8A">
        <w:t xml:space="preserve"> </w:t>
      </w:r>
      <w:bookmarkEnd w:id="52"/>
      <w:r>
        <w:t>La Estrategia recién aprobada tiene como objetivo promover el desarrollo económico y social inclusivo en Nicaragua a través de iniciativas que permitan superar los principales desafíos al crecimiento en materia de infraestructura, y reducir las brechas urbano-rurales de pobreza y acceso a los servicios</w:t>
      </w:r>
      <w:r w:rsidR="00C60EB7">
        <w:t>,</w:t>
      </w:r>
      <w:r>
        <w:t xml:space="preserve"> Para ello, se considera fundamental mejorar la infraestructura productiva básica en áreas focalizadas que permitan los mayores impactos</w:t>
      </w:r>
      <w:r w:rsidR="00C60EB7">
        <w:t>,</w:t>
      </w:r>
      <w:r>
        <w:t xml:space="preserve"> </w:t>
      </w:r>
      <w:r w:rsidR="00F977F9">
        <w:t>Para e</w:t>
      </w:r>
      <w:r>
        <w:t xml:space="preserve">l sector transporte, una de las cuatro prioridades de intervención del Banco, </w:t>
      </w:r>
      <w:r w:rsidR="00F977F9">
        <w:t>la nueva estrategia da continuidad a la anterior</w:t>
      </w:r>
      <w:r w:rsidR="00C60EB7">
        <w:t>,</w:t>
      </w:r>
      <w:r w:rsidR="00FB314C">
        <w:t xml:space="preserve"> Esto porque </w:t>
      </w:r>
      <w:r w:rsidR="00F977F9">
        <w:t xml:space="preserve">reitera </w:t>
      </w:r>
      <w:r>
        <w:t xml:space="preserve">apoyar los esfuerzos </w:t>
      </w:r>
      <w:r w:rsidR="00F977F9">
        <w:t>para</w:t>
      </w:r>
      <w:r>
        <w:t xml:space="preserve"> construir, mejorar, rehabilitar y mantener en buen estado los caminos rurales y las carreteras que garanticen la conexión permanente de los sectores productivos hacia los mercados internos y de exportación, con especial énfasis en la región mesoamericana</w:t>
      </w:r>
      <w:r w:rsidR="00284E1D">
        <w:t>.</w:t>
      </w:r>
    </w:p>
    <w:p w:rsidR="00D2183C" w:rsidRDefault="00D31884" w:rsidP="00771F5C">
      <w:pPr>
        <w:pStyle w:val="Paragraph"/>
        <w:numPr>
          <w:ilvl w:val="1"/>
          <w:numId w:val="10"/>
        </w:numPr>
      </w:pPr>
      <w:r w:rsidRPr="00771F5C">
        <w:rPr>
          <w:b/>
        </w:rPr>
        <w:t>El Programa de Apoyo al Sector Transporte</w:t>
      </w:r>
      <w:r w:rsidR="00771F5C">
        <w:rPr>
          <w:b/>
        </w:rPr>
        <w:t xml:space="preserve"> (PAST)</w:t>
      </w:r>
      <w:r w:rsidR="00C60EB7">
        <w:rPr>
          <w:b/>
        </w:rPr>
        <w:t>,</w:t>
      </w:r>
      <w:r w:rsidRPr="00092B8A">
        <w:t xml:space="preserve"> </w:t>
      </w:r>
      <w:r w:rsidR="00D2183C">
        <w:t>Para lograr mayores impactos en la</w:t>
      </w:r>
      <w:r w:rsidR="00771F5C">
        <w:t xml:space="preserve"> </w:t>
      </w:r>
      <w:r w:rsidR="00D2183C">
        <w:t xml:space="preserve">intervención en el sector, se ha acordado con </w:t>
      </w:r>
      <w:r w:rsidR="00771F5C">
        <w:t xml:space="preserve">las autoridades </w:t>
      </w:r>
      <w:r w:rsidR="00D2183C">
        <w:t>desarrollar una serie de</w:t>
      </w:r>
      <w:r w:rsidR="00771F5C">
        <w:t xml:space="preserve"> </w:t>
      </w:r>
      <w:r w:rsidR="00D2183C">
        <w:t>operaciones contempladas en el PAST que busca atender la problemática antes</w:t>
      </w:r>
      <w:r w:rsidR="00771F5C">
        <w:t xml:space="preserve"> descripta</w:t>
      </w:r>
      <w:r w:rsidR="00C60EB7">
        <w:t>,</w:t>
      </w:r>
      <w:r w:rsidR="00771F5C">
        <w:t xml:space="preserve"> La concepción conjunta de estas operaciones, bajo un marco de referencia único y con un enfoque programático, es de suma importancia para lograr una planificación estratégica de las inversiones enfocadas a componentes claves que atienden aspectos críticos de la infraestructura y que fortalecen la institucionalidad vial</w:t>
      </w:r>
      <w:r w:rsidR="00C60EB7">
        <w:t>,</w:t>
      </w:r>
      <w:r w:rsidR="00771F5C">
        <w:t xml:space="preserve"> Con dicho enfoque se han aprobado los últimos dos préstamos: i) PAST I (2427/BL-NI) por US$20,2 millones, que se encuentra en pleno proceso de ejecución; y ii) el PAST II (2840/BL-NI) por US$39,2 millones, firmado por las partes el 8 de febrero de 2013</w:t>
      </w:r>
      <w:r w:rsidR="00C60EB7">
        <w:t>,</w:t>
      </w:r>
      <w:r w:rsidR="00771F5C">
        <w:t xml:space="preserve"> El PAST III por US$66,2 millones es la tercera operación de este ciclo, contribuyendo al mismo objetivo, </w:t>
      </w:r>
      <w:r w:rsidR="004017DF">
        <w:t xml:space="preserve">y contemplando los mismos </w:t>
      </w:r>
      <w:r w:rsidR="00771F5C">
        <w:t>componentes y organismos ejecutores</w:t>
      </w:r>
      <w:r w:rsidR="00C60EB7">
        <w:t>,</w:t>
      </w:r>
    </w:p>
    <w:p w:rsidR="00D31884" w:rsidRPr="00092B8A" w:rsidRDefault="00D31884" w:rsidP="004979F2">
      <w:pPr>
        <w:pStyle w:val="Paragraph"/>
        <w:numPr>
          <w:ilvl w:val="1"/>
          <w:numId w:val="10"/>
        </w:numPr>
      </w:pPr>
      <w:bookmarkStart w:id="53" w:name="_Ref292994124"/>
      <w:bookmarkStart w:id="54" w:name="_Ref293042628"/>
      <w:r w:rsidRPr="00092B8A">
        <w:t>El Programa se ha concebido bajo la modalidad de obras múltiples, con el fin de disponer de la flexibilidad necesaria para ir ajustando el plan de inversiones en función de las definiciones de programación de recursos para el país</w:t>
      </w:r>
      <w:r w:rsidR="00C60EB7">
        <w:t>,</w:t>
      </w:r>
      <w:r w:rsidRPr="00092B8A">
        <w:t xml:space="preserve"> Las actividades a realizarse se agrupan en cinco componentes estratégicos, cada uno de ellos diseñado para que individualmente produzca beneficios suficientes para garantizar su factibilidad</w:t>
      </w:r>
      <w:r w:rsidR="00284E1D">
        <w:t>.</w:t>
      </w:r>
      <w:bookmarkEnd w:id="53"/>
      <w:bookmarkEnd w:id="54"/>
    </w:p>
    <w:p w:rsidR="00D31884" w:rsidRDefault="00D31884" w:rsidP="004979F2">
      <w:pPr>
        <w:pStyle w:val="Paragraph"/>
        <w:numPr>
          <w:ilvl w:val="1"/>
          <w:numId w:val="10"/>
        </w:numPr>
      </w:pPr>
      <w:r w:rsidRPr="00092B8A">
        <w:rPr>
          <w:b/>
        </w:rPr>
        <w:t>Justificación de la participación del Banco</w:t>
      </w:r>
      <w:r w:rsidR="00C60EB7">
        <w:rPr>
          <w:b/>
        </w:rPr>
        <w:t>,</w:t>
      </w:r>
      <w:r w:rsidRPr="00092B8A">
        <w:t xml:space="preserve"> </w:t>
      </w:r>
      <w:r w:rsidR="000412F9">
        <w:t xml:space="preserve">El PAST </w:t>
      </w:r>
      <w:r w:rsidRPr="00092B8A">
        <w:t xml:space="preserve">responde a las prioridades planteadas por el </w:t>
      </w:r>
      <w:proofErr w:type="spellStart"/>
      <w:r w:rsidRPr="00092B8A">
        <w:t>GdN</w:t>
      </w:r>
      <w:proofErr w:type="spellEnd"/>
      <w:r w:rsidR="000412F9">
        <w:t xml:space="preserve"> </w:t>
      </w:r>
      <w:r w:rsidRPr="00092B8A">
        <w:t xml:space="preserve">y se enmarca dentro de la EPN 2008-2012 </w:t>
      </w:r>
      <w:r w:rsidR="000412F9">
        <w:t>y dentro de la EPN 2012-2017 recientemente aprobada</w:t>
      </w:r>
      <w:r w:rsidR="00C60EB7">
        <w:t>,</w:t>
      </w:r>
      <w:r w:rsidRPr="00092B8A">
        <w:t xml:space="preserve"> Asimismo, el Proyecto se acoge a tres prioridades institucionales estratégicas del Banco definidas en el “Informe sobre el Noveno Aumento General de Recursos” (AB-2764</w:t>
      </w:r>
      <w:r w:rsidRPr="00092B8A">
        <w:rPr>
          <w:i/>
        </w:rPr>
        <w:t>): (b) infraestructura para la competitividad y el bienestar social</w:t>
      </w:r>
      <w:r w:rsidRPr="00092B8A">
        <w:t xml:space="preserve">, por medio de proyectos de mejoramiento de caminos productivos y de la red troncal; </w:t>
      </w:r>
      <w:r w:rsidRPr="00092B8A">
        <w:rPr>
          <w:i/>
        </w:rPr>
        <w:t>(d) integración internacional competitiva a nivel regional y mundial</w:t>
      </w:r>
      <w:r w:rsidRPr="00092B8A">
        <w:t>, por medio de intervenciones de mejoramiento y conservación vial en tramos de la Red Internacional de Carreteras Mesoamericanas (RICAM)</w:t>
      </w:r>
      <w:r w:rsidR="000412F9">
        <w:t>;</w:t>
      </w:r>
      <w:r w:rsidRPr="00092B8A">
        <w:t xml:space="preserve"> y </w:t>
      </w:r>
      <w:r w:rsidRPr="00092B8A">
        <w:rPr>
          <w:i/>
        </w:rPr>
        <w:t>(e) protección del medio ambiente, respuestas al cambio climático, promover la energía renovable y seguridad alimentaria</w:t>
      </w:r>
      <w:r w:rsidRPr="00092B8A">
        <w:t>, por medio de las diferentes actividades planteadas para disminuir la vulnerabilidad de la red vial a los efectos del cambio climático</w:t>
      </w:r>
      <w:r w:rsidR="00284E1D">
        <w:t>.</w:t>
      </w:r>
    </w:p>
    <w:p w:rsidR="003968BA" w:rsidRPr="00092B8A" w:rsidRDefault="003968BA" w:rsidP="00540901">
      <w:pPr>
        <w:rPr>
          <w:lang w:val="es-ES"/>
        </w:rPr>
      </w:pPr>
    </w:p>
    <w:p w:rsidR="003968BA" w:rsidRDefault="003968BA" w:rsidP="00540901">
      <w:pPr>
        <w:rPr>
          <w:lang w:val="es-ES"/>
        </w:rPr>
      </w:pPr>
    </w:p>
    <w:p w:rsidR="008D256A" w:rsidRDefault="008D256A" w:rsidP="00540901">
      <w:pPr>
        <w:rPr>
          <w:lang w:val="es-ES"/>
        </w:rPr>
      </w:pPr>
    </w:p>
    <w:p w:rsidR="008D256A" w:rsidRDefault="008D256A" w:rsidP="00540901">
      <w:pPr>
        <w:rPr>
          <w:lang w:val="es-ES"/>
        </w:rPr>
        <w:sectPr w:rsidR="008D256A">
          <w:footerReference w:type="default" r:id="rId20"/>
          <w:pgSz w:w="12240" w:h="15840"/>
          <w:pgMar w:top="1440" w:right="1440" w:bottom="1440" w:left="1440" w:header="720" w:footer="720" w:gutter="0"/>
          <w:cols w:space="720"/>
          <w:docGrid w:linePitch="360"/>
        </w:sectPr>
      </w:pPr>
    </w:p>
    <w:p w:rsidR="008D256A" w:rsidRDefault="008D256A" w:rsidP="00540901">
      <w:pPr>
        <w:rPr>
          <w:lang w:val="es-ES"/>
        </w:rPr>
      </w:pPr>
    </w:p>
    <w:p w:rsidR="00A76C80" w:rsidRDefault="00A76C80">
      <w:pPr>
        <w:jc w:val="both"/>
        <w:rPr>
          <w:lang w:val="es-ES"/>
        </w:rPr>
      </w:pPr>
    </w:p>
    <w:p w:rsidR="008D256A" w:rsidRDefault="00A76C80" w:rsidP="008D256A">
      <w:pPr>
        <w:jc w:val="center"/>
        <w:rPr>
          <w:b/>
          <w:lang w:val="es-ES"/>
        </w:rPr>
      </w:pPr>
      <w:r w:rsidRPr="008D256A">
        <w:rPr>
          <w:b/>
          <w:lang w:val="es-ES"/>
        </w:rPr>
        <w:t>ANEXO 1:</w:t>
      </w:r>
    </w:p>
    <w:p w:rsidR="008D256A" w:rsidRDefault="00AC15D1" w:rsidP="008D256A">
      <w:pPr>
        <w:jc w:val="center"/>
        <w:rPr>
          <w:b/>
          <w:lang w:val="es-ES"/>
        </w:rPr>
      </w:pPr>
      <w:r w:rsidRPr="008D256A">
        <w:rPr>
          <w:b/>
          <w:lang w:val="es-ES"/>
        </w:rPr>
        <w:t>RESUMEN DEL ANÁLISIS DE ESCENARIOS DE FINANCIAMIENTO PARA</w:t>
      </w:r>
    </w:p>
    <w:p w:rsidR="008D256A" w:rsidRDefault="00AC15D1" w:rsidP="008D256A">
      <w:pPr>
        <w:jc w:val="center"/>
        <w:rPr>
          <w:b/>
          <w:lang w:val="es-ES"/>
        </w:rPr>
      </w:pPr>
      <w:r w:rsidRPr="008D256A">
        <w:rPr>
          <w:b/>
          <w:lang w:val="es-ES"/>
        </w:rPr>
        <w:t>LA RED VIAL BÁSICA DE NICARAGUA</w:t>
      </w:r>
    </w:p>
    <w:p w:rsidR="00540901" w:rsidRPr="00D22D85" w:rsidRDefault="008D256A" w:rsidP="008D256A">
      <w:pPr>
        <w:jc w:val="center"/>
        <w:rPr>
          <w:b/>
          <w:lang w:val="pt-BR"/>
        </w:rPr>
      </w:pPr>
      <w:r w:rsidRPr="00D22D85">
        <w:rPr>
          <w:b/>
          <w:lang w:val="pt-BR"/>
        </w:rPr>
        <w:t>(NECESIDADES E IMPACTOS)</w:t>
      </w:r>
    </w:p>
    <w:p w:rsidR="00540901" w:rsidRDefault="00540901" w:rsidP="00540901">
      <w:pPr>
        <w:rPr>
          <w:lang w:val="pt-BR"/>
        </w:rPr>
      </w:pPr>
    </w:p>
    <w:p w:rsidR="00D22D85" w:rsidRDefault="00D22D85" w:rsidP="00540901">
      <w:pPr>
        <w:rPr>
          <w:lang w:val="pt-BR"/>
        </w:rPr>
      </w:pPr>
    </w:p>
    <w:p w:rsidR="00D22D85" w:rsidRDefault="00D22D85" w:rsidP="00540901">
      <w:pPr>
        <w:rPr>
          <w:lang w:val="pt-BR"/>
        </w:rPr>
      </w:pPr>
    </w:p>
    <w:p w:rsidR="00D22D85" w:rsidRPr="00D22D85" w:rsidRDefault="00D22D85" w:rsidP="00540901">
      <w:pPr>
        <w:rPr>
          <w:lang w:val="pt-BR"/>
        </w:rPr>
      </w:pPr>
    </w:p>
    <w:p w:rsidR="00540901" w:rsidRPr="00D22D85" w:rsidRDefault="00D22D85" w:rsidP="00540901">
      <w:pPr>
        <w:rPr>
          <w:lang w:val="pt-BR"/>
        </w:rPr>
      </w:pPr>
      <w:r w:rsidRPr="00D22D85">
        <w:rPr>
          <w:lang w:val="pt-BR"/>
        </w:rPr>
        <w:t xml:space="preserve">Ver </w:t>
      </w:r>
      <w:r w:rsidR="00011410">
        <w:fldChar w:fldCharType="begin"/>
      </w:r>
      <w:r w:rsidR="00011410" w:rsidRPr="00011410">
        <w:rPr>
          <w:lang w:val="pt-BR"/>
          <w:rPrChange w:id="55" w:author="Inter-American Development Bank" w:date="2013-06-27T15:49:00Z">
            <w:rPr/>
          </w:rPrChange>
        </w:rPr>
        <w:instrText xml:space="preserve"> HYPERLINK "http://idbdocs.iadb.org/WSDocs/getDocument.aspx?DOCNUM=37776064" </w:instrText>
      </w:r>
      <w:r w:rsidR="00011410">
        <w:fldChar w:fldCharType="separate"/>
      </w:r>
      <w:r w:rsidRPr="00D22D85">
        <w:rPr>
          <w:rStyle w:val="Hyperlink"/>
          <w:lang w:val="pt-BR"/>
        </w:rPr>
        <w:t>IDBDOCS #37776064</w:t>
      </w:r>
      <w:r w:rsidR="00011410">
        <w:rPr>
          <w:rStyle w:val="Hyperlink"/>
          <w:lang w:val="pt-BR"/>
        </w:rPr>
        <w:fldChar w:fldCharType="end"/>
      </w:r>
    </w:p>
    <w:p w:rsidR="00380B1E" w:rsidRPr="00D22D85" w:rsidRDefault="00380B1E" w:rsidP="00540901">
      <w:pPr>
        <w:rPr>
          <w:lang w:val="pt-BR"/>
        </w:rPr>
      </w:pPr>
    </w:p>
    <w:p w:rsidR="00380B1E" w:rsidRPr="00D22D85" w:rsidRDefault="00380B1E" w:rsidP="00540901">
      <w:pPr>
        <w:rPr>
          <w:lang w:val="pt-BR"/>
        </w:rPr>
      </w:pPr>
    </w:p>
    <w:p w:rsidR="00380B1E" w:rsidRPr="00D22D85" w:rsidRDefault="00380B1E" w:rsidP="00540901">
      <w:pPr>
        <w:rPr>
          <w:lang w:val="pt-BR"/>
        </w:rPr>
      </w:pPr>
    </w:p>
    <w:p w:rsidR="00380B1E" w:rsidRPr="00D22D85" w:rsidRDefault="00380B1E" w:rsidP="00540901">
      <w:pPr>
        <w:rPr>
          <w:lang w:val="pt-BR"/>
        </w:rPr>
      </w:pPr>
    </w:p>
    <w:p w:rsidR="00380B1E" w:rsidRPr="00D22D85" w:rsidRDefault="00380B1E" w:rsidP="00540901">
      <w:pPr>
        <w:rPr>
          <w:lang w:val="pt-BR"/>
        </w:rPr>
      </w:pPr>
    </w:p>
    <w:p w:rsidR="00380B1E" w:rsidRPr="00D22D85" w:rsidRDefault="00380B1E" w:rsidP="00540901">
      <w:pPr>
        <w:rPr>
          <w:lang w:val="pt-BR"/>
        </w:rPr>
      </w:pPr>
    </w:p>
    <w:p w:rsidR="00380B1E" w:rsidRPr="00D22D85" w:rsidRDefault="00380B1E" w:rsidP="00540901">
      <w:pPr>
        <w:rPr>
          <w:lang w:val="pt-BR"/>
        </w:rPr>
      </w:pPr>
    </w:p>
    <w:p w:rsidR="000A3780" w:rsidRPr="00D22D85" w:rsidRDefault="000A3780" w:rsidP="00540901">
      <w:pPr>
        <w:rPr>
          <w:lang w:val="pt-BR"/>
        </w:rPr>
      </w:pPr>
    </w:p>
    <w:p w:rsidR="000A3780" w:rsidRPr="00D22D85" w:rsidRDefault="000A3780" w:rsidP="00540901">
      <w:pPr>
        <w:rPr>
          <w:lang w:val="pt-BR"/>
        </w:rPr>
        <w:sectPr w:rsidR="000A3780" w:rsidRPr="00D22D85">
          <w:footerReference w:type="default" r:id="rId21"/>
          <w:pgSz w:w="12240" w:h="15840"/>
          <w:pgMar w:top="1440" w:right="1440" w:bottom="1440" w:left="1440" w:header="720" w:footer="720" w:gutter="0"/>
          <w:cols w:space="720"/>
          <w:docGrid w:linePitch="360"/>
        </w:sectPr>
      </w:pPr>
    </w:p>
    <w:p w:rsidR="000A3780" w:rsidRPr="00D22D85" w:rsidRDefault="000A3780" w:rsidP="00540901">
      <w:pPr>
        <w:rPr>
          <w:lang w:val="pt-BR"/>
        </w:rPr>
      </w:pPr>
    </w:p>
    <w:p w:rsidR="000A3780" w:rsidRPr="00D22D85" w:rsidRDefault="000A3780" w:rsidP="000A3780">
      <w:pPr>
        <w:jc w:val="both"/>
        <w:rPr>
          <w:lang w:val="pt-BR"/>
        </w:rPr>
      </w:pPr>
    </w:p>
    <w:p w:rsidR="000A3780" w:rsidRDefault="000A3780" w:rsidP="000A3780">
      <w:pPr>
        <w:jc w:val="center"/>
        <w:rPr>
          <w:b/>
          <w:lang w:val="es-ES"/>
        </w:rPr>
      </w:pPr>
      <w:r w:rsidRPr="008D256A">
        <w:rPr>
          <w:b/>
          <w:lang w:val="es-ES"/>
        </w:rPr>
        <w:t xml:space="preserve">ANEXO </w:t>
      </w:r>
      <w:r>
        <w:rPr>
          <w:b/>
          <w:lang w:val="es-ES"/>
        </w:rPr>
        <w:t>2</w:t>
      </w:r>
      <w:r w:rsidRPr="008D256A">
        <w:rPr>
          <w:b/>
          <w:lang w:val="es-ES"/>
        </w:rPr>
        <w:t>:</w:t>
      </w:r>
    </w:p>
    <w:p w:rsidR="000A3780" w:rsidRDefault="000A3780" w:rsidP="000A3780">
      <w:pPr>
        <w:jc w:val="center"/>
        <w:rPr>
          <w:b/>
          <w:lang w:val="es-ES"/>
        </w:rPr>
      </w:pPr>
      <w:r w:rsidRPr="008D256A">
        <w:rPr>
          <w:b/>
          <w:lang w:val="es-ES"/>
        </w:rPr>
        <w:t>RESUMEN DEL ANÁLISIS DE ESCENARIOS DE FINANCIAMIENTO PARA</w:t>
      </w:r>
    </w:p>
    <w:p w:rsidR="000A3780" w:rsidRDefault="000A3780" w:rsidP="000A3780">
      <w:pPr>
        <w:jc w:val="center"/>
        <w:rPr>
          <w:b/>
          <w:lang w:val="es-ES"/>
        </w:rPr>
      </w:pPr>
      <w:r w:rsidRPr="008D256A">
        <w:rPr>
          <w:b/>
          <w:lang w:val="es-ES"/>
        </w:rPr>
        <w:t xml:space="preserve">LA RED VIAL </w:t>
      </w:r>
      <w:r>
        <w:rPr>
          <w:b/>
          <w:lang w:val="es-ES"/>
        </w:rPr>
        <w:t xml:space="preserve">TOTAL </w:t>
      </w:r>
      <w:r w:rsidRPr="008D256A">
        <w:rPr>
          <w:b/>
          <w:lang w:val="es-ES"/>
        </w:rPr>
        <w:t>DE NICARAGUA</w:t>
      </w:r>
    </w:p>
    <w:p w:rsidR="000A3780" w:rsidRPr="002D4396" w:rsidRDefault="000A3780" w:rsidP="000A3780">
      <w:pPr>
        <w:jc w:val="center"/>
        <w:rPr>
          <w:b/>
          <w:lang w:val="pt-BR"/>
        </w:rPr>
      </w:pPr>
      <w:r w:rsidRPr="002D4396">
        <w:rPr>
          <w:b/>
          <w:lang w:val="pt-BR"/>
        </w:rPr>
        <w:t>(NECESIDADES E IMPACTOS)</w:t>
      </w:r>
    </w:p>
    <w:p w:rsidR="000A3780" w:rsidRPr="002D4396" w:rsidRDefault="000A3780" w:rsidP="000A3780">
      <w:pPr>
        <w:rPr>
          <w:lang w:val="pt-BR"/>
        </w:rPr>
      </w:pPr>
    </w:p>
    <w:p w:rsidR="000A3780" w:rsidRPr="002D4396" w:rsidRDefault="000A3780" w:rsidP="00540901">
      <w:pPr>
        <w:rPr>
          <w:lang w:val="pt-BR"/>
        </w:rPr>
      </w:pPr>
    </w:p>
    <w:p w:rsidR="000A3780" w:rsidRPr="002D4396" w:rsidRDefault="000A3780" w:rsidP="00540901">
      <w:pPr>
        <w:rPr>
          <w:lang w:val="pt-BR"/>
        </w:rPr>
      </w:pPr>
    </w:p>
    <w:p w:rsidR="00F35898" w:rsidRPr="002D4396" w:rsidRDefault="00F35898" w:rsidP="00F35898">
      <w:pPr>
        <w:rPr>
          <w:lang w:val="pt-BR"/>
        </w:rPr>
      </w:pPr>
    </w:p>
    <w:p w:rsidR="00D22D85" w:rsidRPr="00D22D85" w:rsidRDefault="00D22D85" w:rsidP="00D22D85">
      <w:pPr>
        <w:rPr>
          <w:lang w:val="pt-BR"/>
        </w:rPr>
      </w:pPr>
      <w:r w:rsidRPr="00D22D85">
        <w:rPr>
          <w:lang w:val="pt-BR"/>
        </w:rPr>
        <w:t xml:space="preserve">Ver </w:t>
      </w:r>
      <w:r w:rsidR="00011410">
        <w:fldChar w:fldCharType="begin"/>
      </w:r>
      <w:r w:rsidR="00011410" w:rsidRPr="00011410">
        <w:rPr>
          <w:lang w:val="pt-BR"/>
          <w:rPrChange w:id="56" w:author="Inter-American Development Bank" w:date="2013-06-27T15:49:00Z">
            <w:rPr/>
          </w:rPrChange>
        </w:rPr>
        <w:instrText xml:space="preserve"> HYPERLINK "http://idbdocs.iadb.org/WSDocs/getDocument.aspx?DOCNUM=37776066" </w:instrText>
      </w:r>
      <w:r w:rsidR="00011410">
        <w:fldChar w:fldCharType="separate"/>
      </w:r>
      <w:r>
        <w:rPr>
          <w:rStyle w:val="Hyperlink"/>
          <w:lang w:val="pt-BR"/>
        </w:rPr>
        <w:t>IDBDOCS #37776066</w:t>
      </w:r>
      <w:r w:rsidR="00011410">
        <w:rPr>
          <w:rStyle w:val="Hyperlink"/>
          <w:lang w:val="pt-BR"/>
        </w:rPr>
        <w:fldChar w:fldCharType="end"/>
      </w:r>
    </w:p>
    <w:p w:rsidR="00F35898" w:rsidRPr="002D4396" w:rsidRDefault="00F35898" w:rsidP="00F35898">
      <w:pPr>
        <w:rPr>
          <w:lang w:val="pt-BR"/>
        </w:rPr>
      </w:pPr>
    </w:p>
    <w:p w:rsidR="00F35898" w:rsidRPr="002D4396" w:rsidRDefault="00F35898" w:rsidP="00F35898">
      <w:pPr>
        <w:rPr>
          <w:lang w:val="pt-BR"/>
        </w:rPr>
      </w:pPr>
    </w:p>
    <w:p w:rsidR="006A1C14" w:rsidRDefault="006A1C14">
      <w:pPr>
        <w:jc w:val="both"/>
        <w:rPr>
          <w:lang w:val="pt-BR"/>
        </w:rPr>
      </w:pPr>
      <w:r>
        <w:rPr>
          <w:lang w:val="pt-BR"/>
        </w:rPr>
        <w:br w:type="page"/>
      </w:r>
    </w:p>
    <w:p w:rsidR="006A1C14" w:rsidRDefault="006A1C14" w:rsidP="006A1C14">
      <w:pPr>
        <w:jc w:val="center"/>
        <w:rPr>
          <w:b/>
          <w:lang w:val="es-ES"/>
        </w:rPr>
      </w:pPr>
      <w:r>
        <w:rPr>
          <w:b/>
          <w:lang w:val="es-ES"/>
        </w:rPr>
        <w:t>ANEXO 3</w:t>
      </w:r>
      <w:r w:rsidRPr="008D256A">
        <w:rPr>
          <w:b/>
          <w:lang w:val="es-ES"/>
        </w:rPr>
        <w:t>:</w:t>
      </w:r>
    </w:p>
    <w:p w:rsidR="006A1C14" w:rsidRPr="00D22D85" w:rsidRDefault="006A1C14" w:rsidP="006A1C14">
      <w:pPr>
        <w:jc w:val="center"/>
        <w:rPr>
          <w:b/>
          <w:lang w:val="pt-BR"/>
        </w:rPr>
      </w:pPr>
      <w:r>
        <w:rPr>
          <w:b/>
          <w:lang w:val="es-ES"/>
        </w:rPr>
        <w:t xml:space="preserve">MAPA DE CAUSALIDAD </w:t>
      </w:r>
    </w:p>
    <w:p w:rsidR="00F35898" w:rsidRPr="002D4396" w:rsidRDefault="003240C3" w:rsidP="00F35898">
      <w:pPr>
        <w:rPr>
          <w:lang w:val="pt-BR"/>
        </w:rPr>
      </w:pPr>
      <w:r w:rsidRPr="00C73359">
        <w:rPr>
          <w:noProof/>
          <w:lang w:val="en-US"/>
        </w:rPr>
        <mc:AlternateContent>
          <mc:Choice Requires="wps">
            <w:drawing>
              <wp:anchor distT="0" distB="0" distL="114300" distR="114300" simplePos="0" relativeHeight="251672576" behindDoc="0" locked="0" layoutInCell="1" allowOverlap="1" wp14:anchorId="5CEC3615" wp14:editId="6CE3AC00">
                <wp:simplePos x="0" y="0"/>
                <wp:positionH relativeFrom="column">
                  <wp:posOffset>2028825</wp:posOffset>
                </wp:positionH>
                <wp:positionV relativeFrom="paragraph">
                  <wp:posOffset>125730</wp:posOffset>
                </wp:positionV>
                <wp:extent cx="1860550" cy="588645"/>
                <wp:effectExtent l="0" t="0" r="25400" b="20955"/>
                <wp:wrapNone/>
                <wp:docPr id="25" name="25 Cuadro de texto"/>
                <wp:cNvGraphicFramePr/>
                <a:graphic xmlns:a="http://schemas.openxmlformats.org/drawingml/2006/main">
                  <a:graphicData uri="http://schemas.microsoft.com/office/word/2010/wordprocessingShape">
                    <wps:wsp>
                      <wps:cNvSpPr txBox="1"/>
                      <wps:spPr>
                        <a:xfrm>
                          <a:off x="0" y="0"/>
                          <a:ext cx="1860550" cy="588645"/>
                        </a:xfrm>
                        <a:prstGeom prst="rect">
                          <a:avLst/>
                        </a:prstGeom>
                        <a:ln/>
                      </wps:spPr>
                      <wps:style>
                        <a:lnRef idx="2">
                          <a:schemeClr val="accent1"/>
                        </a:lnRef>
                        <a:fillRef idx="1">
                          <a:schemeClr val="lt1"/>
                        </a:fillRef>
                        <a:effectRef idx="0">
                          <a:schemeClr val="accent1"/>
                        </a:effectRef>
                        <a:fontRef idx="minor">
                          <a:schemeClr val="dk1"/>
                        </a:fontRef>
                      </wps:style>
                      <wps:txbx>
                        <w:txbxContent>
                          <w:p w:rsidR="006A1C14" w:rsidRPr="00011410" w:rsidRDefault="006A1C14" w:rsidP="006A1C14">
                            <w:pPr>
                              <w:jc w:val="center"/>
                              <w:rPr>
                                <w:b/>
                                <w:sz w:val="22"/>
                                <w:szCs w:val="22"/>
                                <w:lang w:val="es-ES"/>
                              </w:rPr>
                            </w:pPr>
                            <w:r w:rsidRPr="00011410">
                              <w:rPr>
                                <w:b/>
                                <w:sz w:val="22"/>
                                <w:szCs w:val="22"/>
                                <w:lang w:val="es-ES"/>
                              </w:rPr>
                              <w:t>Pérdida de competitividad y bajo desarrollo económico</w:t>
                            </w:r>
                          </w:p>
                          <w:p w:rsidR="006A1C14" w:rsidRPr="00011410" w:rsidRDefault="006A1C14" w:rsidP="006A1C14">
                            <w:pPr>
                              <w:rPr>
                                <w:sz w:val="22"/>
                                <w:szCs w:val="22"/>
                                <w:lang w:val="es-E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25 Cuadro de texto" o:spid="_x0000_s1026" type="#_x0000_t202" style="position:absolute;margin-left:159.75pt;margin-top:9.9pt;width:146.5pt;height:46.3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" fillcolor="white [3201]" strokecolor="#4f81bd [3204]" strokeweight="2pt">
                <v:textbox>
                  <w:txbxContent>
                    <w:p w:rsidR="006A1C14" w:rsidRPr="00011410" w:rsidRDefault="006A1C14" w:rsidP="006A1C14">
                      <w:pPr>
                        <w:jc w:val="center"/>
                        <w:rPr>
                          <w:b/>
                          <w:sz w:val="22"/>
                          <w:szCs w:val="22"/>
                          <w:lang w:val="es-ES"/>
                        </w:rPr>
                      </w:pPr>
                      <w:r w:rsidRPr="00011410">
                        <w:rPr>
                          <w:b/>
                          <w:sz w:val="22"/>
                          <w:szCs w:val="22"/>
                          <w:lang w:val="es-ES"/>
                        </w:rPr>
                        <w:t>Pérdida de competitividad y bajo desarrollo económico</w:t>
                      </w:r>
                    </w:p>
                    <w:p w:rsidR="006A1C14" w:rsidRPr="00011410" w:rsidRDefault="006A1C14" w:rsidP="006A1C14">
                      <w:pPr>
                        <w:rPr>
                          <w:sz w:val="22"/>
                          <w:szCs w:val="22"/>
                          <w:lang w:val="es-ES"/>
                        </w:rPr>
                      </w:pPr>
                    </w:p>
                  </w:txbxContent>
                </v:textbox>
              </v:shape>
            </w:pict>
          </mc:Fallback>
        </mc:AlternateContent>
      </w:r>
    </w:p>
    <w:p w:rsidR="00F35898" w:rsidRPr="002D4396" w:rsidRDefault="00F35898" w:rsidP="00F35898">
      <w:pPr>
        <w:rPr>
          <w:lang w:val="pt-BR"/>
        </w:rPr>
      </w:pPr>
    </w:p>
    <w:p w:rsidR="00F35898" w:rsidRPr="002D4396" w:rsidRDefault="00F35898" w:rsidP="00F35898">
      <w:pPr>
        <w:rPr>
          <w:lang w:val="pt-BR"/>
        </w:rPr>
      </w:pPr>
    </w:p>
    <w:p w:rsidR="006A1C14" w:rsidRDefault="006A1C14" w:rsidP="006A1C14">
      <w:pPr>
        <w:rPr>
          <w:lang w:val="en-US"/>
        </w:rPr>
      </w:pPr>
    </w:p>
    <w:p w:rsidR="006A1C14" w:rsidRDefault="006A1C14" w:rsidP="006A1C14">
      <w:pPr>
        <w:rPr>
          <w:lang w:val="en-US"/>
        </w:rPr>
      </w:pPr>
      <w:r>
        <w:rPr>
          <w:noProof/>
          <w:lang w:val="en-US"/>
        </w:rPr>
        <mc:AlternateContent>
          <mc:Choice Requires="wps">
            <w:drawing>
              <wp:anchor distT="0" distB="0" distL="114300" distR="114300" simplePos="0" relativeHeight="251689984" behindDoc="0" locked="0" layoutInCell="1" allowOverlap="1" wp14:anchorId="765CD721" wp14:editId="62B602B3">
                <wp:simplePos x="0" y="0"/>
                <wp:positionH relativeFrom="column">
                  <wp:posOffset>428625</wp:posOffset>
                </wp:positionH>
                <wp:positionV relativeFrom="paragraph">
                  <wp:posOffset>15240</wp:posOffset>
                </wp:positionV>
                <wp:extent cx="2202815" cy="1504950"/>
                <wp:effectExtent l="0" t="38100" r="64135" b="19050"/>
                <wp:wrapNone/>
                <wp:docPr id="42" name="42 Conector recto de flecha"/>
                <wp:cNvGraphicFramePr/>
                <a:graphic xmlns:a="http://schemas.openxmlformats.org/drawingml/2006/main">
                  <a:graphicData uri="http://schemas.microsoft.com/office/word/2010/wordprocessingShape">
                    <wps:wsp>
                      <wps:cNvCnPr/>
                      <wps:spPr>
                        <a:xfrm flipV="1">
                          <a:off x="0" y="0"/>
                          <a:ext cx="2202815" cy="15049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42 Conector recto de flecha" o:spid="_x0000_s1026" type="#_x0000_t32" style="position:absolute;margin-left:33.75pt;margin-top:1.2pt;width:173.45pt;height:118.5pt;flip:y;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" strokecolor="#4579b8 [3044]">
                <v:stroke endarrow="open"/>
              </v:shape>
            </w:pict>
          </mc:Fallback>
        </mc:AlternateContent>
      </w:r>
      <w:r>
        <w:rPr>
          <w:noProof/>
          <w:lang w:val="en-US"/>
        </w:rPr>
        <mc:AlternateContent>
          <mc:Choice Requires="wps">
            <w:drawing>
              <wp:anchor distT="0" distB="0" distL="114300" distR="114300" simplePos="0" relativeHeight="251692032" behindDoc="0" locked="0" layoutInCell="1" allowOverlap="1" wp14:anchorId="3C920C86" wp14:editId="49F7530F">
                <wp:simplePos x="0" y="0"/>
                <wp:positionH relativeFrom="column">
                  <wp:posOffset>3419475</wp:posOffset>
                </wp:positionH>
                <wp:positionV relativeFrom="paragraph">
                  <wp:posOffset>15240</wp:posOffset>
                </wp:positionV>
                <wp:extent cx="1" cy="408940"/>
                <wp:effectExtent l="95250" t="38100" r="57150" b="10160"/>
                <wp:wrapNone/>
                <wp:docPr id="44" name="44 Conector recto de flecha"/>
                <wp:cNvGraphicFramePr/>
                <a:graphic xmlns:a="http://schemas.openxmlformats.org/drawingml/2006/main">
                  <a:graphicData uri="http://schemas.microsoft.com/office/word/2010/wordprocessingShape">
                    <wps:wsp>
                      <wps:cNvCnPr/>
                      <wps:spPr>
                        <a:xfrm flipH="1" flipV="1">
                          <a:off x="0" y="0"/>
                          <a:ext cx="1" cy="40894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44 Conector recto de flecha" o:spid="_x0000_s1026" type="#_x0000_t32" style="position:absolute;margin-left:269.25pt;margin-top:1.2pt;width:0;height:32.2pt;flip:x 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" strokecolor="#4579b8 [3044]">
                <v:stroke endarrow="open"/>
              </v:shape>
            </w:pict>
          </mc:Fallback>
        </mc:AlternateContent>
      </w:r>
    </w:p>
    <w:p w:rsidR="006A1C14" w:rsidRDefault="006A1C14" w:rsidP="006A1C14">
      <w:pPr>
        <w:rPr>
          <w:lang w:val="en-US"/>
        </w:rPr>
      </w:pPr>
    </w:p>
    <w:p w:rsidR="006A1C14" w:rsidRDefault="006A1C14" w:rsidP="006A1C14">
      <w:pPr>
        <w:rPr>
          <w:lang w:val="en-US"/>
        </w:rPr>
      </w:pPr>
      <w:r w:rsidRPr="00C73359">
        <w:rPr>
          <w:noProof/>
          <w:lang w:val="en-US"/>
        </w:rPr>
        <mc:AlternateContent>
          <mc:Choice Requires="wps">
            <w:drawing>
              <wp:anchor distT="0" distB="0" distL="114300" distR="114300" simplePos="0" relativeHeight="251674624" behindDoc="0" locked="0" layoutInCell="1" allowOverlap="1" wp14:anchorId="53DBF0D8" wp14:editId="37B3620D">
                <wp:simplePos x="0" y="0"/>
                <wp:positionH relativeFrom="column">
                  <wp:posOffset>2800350</wp:posOffset>
                </wp:positionH>
                <wp:positionV relativeFrom="paragraph">
                  <wp:posOffset>73025</wp:posOffset>
                </wp:positionV>
                <wp:extent cx="1233170" cy="659130"/>
                <wp:effectExtent l="0" t="0" r="24130" b="26670"/>
                <wp:wrapNone/>
                <wp:docPr id="27" name="27 Cuadro de texto"/>
                <wp:cNvGraphicFramePr/>
                <a:graphic xmlns:a="http://schemas.openxmlformats.org/drawingml/2006/main">
                  <a:graphicData uri="http://schemas.microsoft.com/office/word/2010/wordprocessingShape">
                    <wps:wsp>
                      <wps:cNvSpPr txBox="1"/>
                      <wps:spPr>
                        <a:xfrm>
                          <a:off x="0" y="0"/>
                          <a:ext cx="1233170" cy="659130"/>
                        </a:xfrm>
                        <a:prstGeom prst="rect">
                          <a:avLst/>
                        </a:prstGeom>
                        <a:ln/>
                      </wps:spPr>
                      <wps:style>
                        <a:lnRef idx="2">
                          <a:schemeClr val="accent1"/>
                        </a:lnRef>
                        <a:fillRef idx="1">
                          <a:schemeClr val="lt1"/>
                        </a:fillRef>
                        <a:effectRef idx="0">
                          <a:schemeClr val="accent1"/>
                        </a:effectRef>
                        <a:fontRef idx="minor">
                          <a:schemeClr val="dk1"/>
                        </a:fontRef>
                      </wps:style>
                      <wps:txbx>
                        <w:txbxContent>
                          <w:p w:rsidR="006A1C14" w:rsidRPr="00011410" w:rsidRDefault="006A1C14" w:rsidP="006A1C14">
                            <w:pPr>
                              <w:jc w:val="center"/>
                              <w:rPr>
                                <w:sz w:val="22"/>
                                <w:szCs w:val="22"/>
                                <w:lang w:val="es-ES"/>
                              </w:rPr>
                            </w:pPr>
                            <w:r w:rsidRPr="00011410">
                              <w:rPr>
                                <w:sz w:val="22"/>
                                <w:szCs w:val="22"/>
                                <w:lang w:val="es-ES"/>
                              </w:rPr>
                              <w:t>Bajos niveles  de los ingresos familiares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27 Cuadro de texto" o:spid="_x0000_s1027" type="#_x0000_t202" style="position:absolute;margin-left:220.5pt;margin-top:5.75pt;width:97.1pt;height:51.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" fillcolor="white [3201]" strokecolor="#4f81bd [3204]" strokeweight="2pt">
                <v:textbox>
                  <w:txbxContent>
                    <w:p w:rsidR="006A1C14" w:rsidRPr="00011410" w:rsidRDefault="006A1C14" w:rsidP="006A1C14">
                      <w:pPr>
                        <w:jc w:val="center"/>
                        <w:rPr>
                          <w:sz w:val="22"/>
                          <w:szCs w:val="22"/>
                          <w:lang w:val="es-ES"/>
                        </w:rPr>
                      </w:pPr>
                      <w:r w:rsidRPr="00011410">
                        <w:rPr>
                          <w:sz w:val="22"/>
                          <w:szCs w:val="22"/>
                          <w:lang w:val="es-ES"/>
                        </w:rPr>
                        <w:t>Bajos niveles  de los ingresos familiares</w:t>
                      </w:r>
                    </w:p>
                  </w:txbxContent>
                </v:textbox>
              </v:shape>
            </w:pict>
          </mc:Fallback>
        </mc:AlternateContent>
      </w:r>
    </w:p>
    <w:p w:rsidR="006A1C14" w:rsidRDefault="006A1C14" w:rsidP="006A1C14">
      <w:pPr>
        <w:rPr>
          <w:lang w:val="en-US"/>
        </w:rPr>
      </w:pPr>
    </w:p>
    <w:p w:rsidR="006A1C14" w:rsidRDefault="006A1C14" w:rsidP="006A1C14">
      <w:pPr>
        <w:rPr>
          <w:lang w:val="en-US"/>
        </w:rPr>
      </w:pPr>
    </w:p>
    <w:p w:rsidR="006A1C14" w:rsidRDefault="006A1C14" w:rsidP="006A1C14">
      <w:pPr>
        <w:rPr>
          <w:lang w:val="en-US"/>
        </w:rPr>
      </w:pPr>
      <w:r>
        <w:rPr>
          <w:noProof/>
          <w:lang w:val="en-US"/>
        </w:rPr>
        <mc:AlternateContent>
          <mc:Choice Requires="wps">
            <w:drawing>
              <wp:anchor distT="0" distB="0" distL="114300" distR="114300" simplePos="0" relativeHeight="251691008" behindDoc="0" locked="0" layoutInCell="1" allowOverlap="1" wp14:anchorId="09B80303" wp14:editId="73584668">
                <wp:simplePos x="0" y="0"/>
                <wp:positionH relativeFrom="column">
                  <wp:posOffset>1609725</wp:posOffset>
                </wp:positionH>
                <wp:positionV relativeFrom="paragraph">
                  <wp:posOffset>62865</wp:posOffset>
                </wp:positionV>
                <wp:extent cx="1190625" cy="495300"/>
                <wp:effectExtent l="0" t="38100" r="66675" b="19050"/>
                <wp:wrapNone/>
                <wp:docPr id="43" name="43 Conector recto de flecha"/>
                <wp:cNvGraphicFramePr/>
                <a:graphic xmlns:a="http://schemas.openxmlformats.org/drawingml/2006/main">
                  <a:graphicData uri="http://schemas.microsoft.com/office/word/2010/wordprocessingShape">
                    <wps:wsp>
                      <wps:cNvCnPr/>
                      <wps:spPr>
                        <a:xfrm flipV="1">
                          <a:off x="0" y="0"/>
                          <a:ext cx="1190625" cy="4953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43 Conector recto de flecha" o:spid="_x0000_s1026" type="#_x0000_t32" style="position:absolute;margin-left:126.75pt;margin-top:4.95pt;width:93.75pt;height:39pt;flip:y;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" strokecolor="#4579b8 [3044]">
                <v:stroke endarrow="open"/>
              </v:shape>
            </w:pict>
          </mc:Fallback>
        </mc:AlternateContent>
      </w:r>
      <w:r>
        <w:rPr>
          <w:noProof/>
          <w:lang w:val="en-US"/>
        </w:rPr>
        <mc:AlternateContent>
          <mc:Choice Requires="wps">
            <w:drawing>
              <wp:anchor distT="0" distB="0" distL="114300" distR="114300" simplePos="0" relativeHeight="251693056" behindDoc="0" locked="0" layoutInCell="1" allowOverlap="1" wp14:anchorId="2434BFD2" wp14:editId="16AFAF5D">
                <wp:simplePos x="0" y="0"/>
                <wp:positionH relativeFrom="column">
                  <wp:posOffset>4033520</wp:posOffset>
                </wp:positionH>
                <wp:positionV relativeFrom="paragraph">
                  <wp:posOffset>62865</wp:posOffset>
                </wp:positionV>
                <wp:extent cx="838836" cy="549911"/>
                <wp:effectExtent l="38100" t="38100" r="18415" b="21590"/>
                <wp:wrapNone/>
                <wp:docPr id="45" name="45 Conector recto de flecha"/>
                <wp:cNvGraphicFramePr/>
                <a:graphic xmlns:a="http://schemas.openxmlformats.org/drawingml/2006/main">
                  <a:graphicData uri="http://schemas.microsoft.com/office/word/2010/wordprocessingShape">
                    <wps:wsp>
                      <wps:cNvCnPr/>
                      <wps:spPr>
                        <a:xfrm flipH="1" flipV="1">
                          <a:off x="0" y="0"/>
                          <a:ext cx="838836" cy="549911"/>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45 Conector recto de flecha" o:spid="_x0000_s1026" type="#_x0000_t32" style="position:absolute;margin-left:317.6pt;margin-top:4.95pt;width:66.05pt;height:43.3pt;flip:x y;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" strokecolor="#4579b8 [3044]">
                <v:stroke endarrow="open"/>
              </v:shape>
            </w:pict>
          </mc:Fallback>
        </mc:AlternateContent>
      </w:r>
    </w:p>
    <w:p w:rsidR="006A1C14" w:rsidRDefault="006A1C14" w:rsidP="006A1C14">
      <w:pPr>
        <w:rPr>
          <w:lang w:val="en-US"/>
        </w:rPr>
      </w:pPr>
    </w:p>
    <w:p w:rsidR="006A1C14" w:rsidRDefault="006A1C14" w:rsidP="006A1C14">
      <w:pPr>
        <w:rPr>
          <w:lang w:val="en-US"/>
        </w:rPr>
      </w:pPr>
    </w:p>
    <w:p w:rsidR="006A1C14" w:rsidRDefault="003240C3" w:rsidP="006A1C14">
      <w:pPr>
        <w:rPr>
          <w:lang w:val="en-US"/>
        </w:rPr>
      </w:pPr>
      <w:r w:rsidRPr="00C73359">
        <w:rPr>
          <w:noProof/>
          <w:lang w:val="en-US"/>
        </w:rPr>
        <mc:AlternateContent>
          <mc:Choice Requires="wps">
            <w:drawing>
              <wp:anchor distT="0" distB="0" distL="114300" distR="114300" simplePos="0" relativeHeight="251671552" behindDoc="0" locked="0" layoutInCell="1" allowOverlap="1" wp14:anchorId="3854853D" wp14:editId="1D883F1E">
                <wp:simplePos x="0" y="0"/>
                <wp:positionH relativeFrom="column">
                  <wp:posOffset>1085850</wp:posOffset>
                </wp:positionH>
                <wp:positionV relativeFrom="paragraph">
                  <wp:posOffset>32385</wp:posOffset>
                </wp:positionV>
                <wp:extent cx="1116330" cy="750570"/>
                <wp:effectExtent l="0" t="0" r="26670" b="11430"/>
                <wp:wrapNone/>
                <wp:docPr id="23" name="23 Cuadro de texto"/>
                <wp:cNvGraphicFramePr/>
                <a:graphic xmlns:a="http://schemas.openxmlformats.org/drawingml/2006/main">
                  <a:graphicData uri="http://schemas.microsoft.com/office/word/2010/wordprocessingShape">
                    <wps:wsp>
                      <wps:cNvSpPr txBox="1"/>
                      <wps:spPr>
                        <a:xfrm>
                          <a:off x="0" y="0"/>
                          <a:ext cx="1116330" cy="750570"/>
                        </a:xfrm>
                        <a:prstGeom prst="rect">
                          <a:avLst/>
                        </a:prstGeom>
                        <a:ln/>
                      </wps:spPr>
                      <wps:style>
                        <a:lnRef idx="2">
                          <a:schemeClr val="accent1"/>
                        </a:lnRef>
                        <a:fillRef idx="1">
                          <a:schemeClr val="lt1"/>
                        </a:fillRef>
                        <a:effectRef idx="0">
                          <a:schemeClr val="accent1"/>
                        </a:effectRef>
                        <a:fontRef idx="minor">
                          <a:schemeClr val="dk1"/>
                        </a:fontRef>
                      </wps:style>
                      <wps:txbx>
                        <w:txbxContent>
                          <w:p w:rsidR="006A1C14" w:rsidRPr="00011410" w:rsidRDefault="006A1C14" w:rsidP="006A1C14">
                            <w:pPr>
                              <w:jc w:val="center"/>
                              <w:rPr>
                                <w:sz w:val="22"/>
                                <w:szCs w:val="22"/>
                                <w:lang w:val="es-ES"/>
                              </w:rPr>
                            </w:pPr>
                            <w:r w:rsidRPr="00011410">
                              <w:rPr>
                                <w:sz w:val="22"/>
                                <w:szCs w:val="22"/>
                                <w:lang w:val="es-ES"/>
                              </w:rPr>
                              <w:t>Baja  en la demanda de bienes y servicios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23 Cuadro de texto" o:spid="_x0000_s1028" type="#_x0000_t202" style="position:absolute;margin-left:85.5pt;margin-top:2.55pt;width:87.9pt;height:59.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" fillcolor="white [3201]" strokecolor="#4f81bd [3204]" strokeweight="2pt">
                <v:textbox>
                  <w:txbxContent>
                    <w:p w:rsidR="006A1C14" w:rsidRPr="00011410" w:rsidRDefault="006A1C14" w:rsidP="006A1C14">
                      <w:pPr>
                        <w:jc w:val="center"/>
                        <w:rPr>
                          <w:sz w:val="22"/>
                          <w:szCs w:val="22"/>
                          <w:lang w:val="es-ES"/>
                        </w:rPr>
                      </w:pPr>
                      <w:r w:rsidRPr="00011410">
                        <w:rPr>
                          <w:sz w:val="22"/>
                          <w:szCs w:val="22"/>
                          <w:lang w:val="es-ES"/>
                        </w:rPr>
                        <w:t>Baja  en la demanda de bienes y servicios</w:t>
                      </w:r>
                    </w:p>
                  </w:txbxContent>
                </v:textbox>
              </v:shape>
            </w:pict>
          </mc:Fallback>
        </mc:AlternateContent>
      </w:r>
      <w:r w:rsidR="006A1C14" w:rsidRPr="00C73359">
        <w:rPr>
          <w:noProof/>
          <w:lang w:val="en-US"/>
        </w:rPr>
        <mc:AlternateContent>
          <mc:Choice Requires="wps">
            <w:drawing>
              <wp:anchor distT="0" distB="0" distL="114300" distR="114300" simplePos="0" relativeHeight="251670528" behindDoc="0" locked="0" layoutInCell="1" allowOverlap="1" wp14:anchorId="77337378" wp14:editId="0BE1AFD8">
                <wp:simplePos x="0" y="0"/>
                <wp:positionH relativeFrom="column">
                  <wp:posOffset>4157345</wp:posOffset>
                </wp:positionH>
                <wp:positionV relativeFrom="paragraph">
                  <wp:posOffset>90805</wp:posOffset>
                </wp:positionV>
                <wp:extent cx="1296670" cy="662940"/>
                <wp:effectExtent l="0" t="0" r="17780" b="22860"/>
                <wp:wrapNone/>
                <wp:docPr id="22" name="22 Cuadro de texto"/>
                <wp:cNvGraphicFramePr/>
                <a:graphic xmlns:a="http://schemas.openxmlformats.org/drawingml/2006/main">
                  <a:graphicData uri="http://schemas.microsoft.com/office/word/2010/wordprocessingShape">
                    <wps:wsp>
                      <wps:cNvSpPr txBox="1"/>
                      <wps:spPr>
                        <a:xfrm>
                          <a:off x="0" y="0"/>
                          <a:ext cx="1296670" cy="662940"/>
                        </a:xfrm>
                        <a:prstGeom prst="rect">
                          <a:avLst/>
                        </a:prstGeom>
                        <a:ln/>
                      </wps:spPr>
                      <wps:style>
                        <a:lnRef idx="2">
                          <a:schemeClr val="accent1"/>
                        </a:lnRef>
                        <a:fillRef idx="1">
                          <a:schemeClr val="lt1"/>
                        </a:fillRef>
                        <a:effectRef idx="0">
                          <a:schemeClr val="accent1"/>
                        </a:effectRef>
                        <a:fontRef idx="minor">
                          <a:schemeClr val="dk1"/>
                        </a:fontRef>
                      </wps:style>
                      <wps:txbx>
                        <w:txbxContent>
                          <w:p w:rsidR="006A1C14" w:rsidRPr="00011410" w:rsidRDefault="006A1C14" w:rsidP="006A1C14">
                            <w:pPr>
                              <w:jc w:val="center"/>
                              <w:rPr>
                                <w:sz w:val="22"/>
                                <w:szCs w:val="22"/>
                                <w:lang w:val="es-ES"/>
                              </w:rPr>
                            </w:pPr>
                            <w:r w:rsidRPr="00011410">
                              <w:rPr>
                                <w:sz w:val="22"/>
                                <w:szCs w:val="22"/>
                                <w:lang w:val="es-ES"/>
                              </w:rPr>
                              <w:t>Bajos niveles de productividad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22 Cuadro de texto" o:spid="_x0000_s1029" type="#_x0000_t202" style="position:absolute;margin-left:327.35pt;margin-top:7.15pt;width:102.1pt;height:52.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" fillcolor="white [3201]" strokecolor="#4f81bd [3204]" strokeweight="2pt">
                <v:textbox>
                  <w:txbxContent>
                    <w:p w:rsidR="006A1C14" w:rsidRPr="00011410" w:rsidRDefault="006A1C14" w:rsidP="006A1C14">
                      <w:pPr>
                        <w:jc w:val="center"/>
                        <w:rPr>
                          <w:sz w:val="22"/>
                          <w:szCs w:val="22"/>
                          <w:lang w:val="es-ES"/>
                        </w:rPr>
                      </w:pPr>
                      <w:r w:rsidRPr="00011410">
                        <w:rPr>
                          <w:sz w:val="22"/>
                          <w:szCs w:val="22"/>
                          <w:lang w:val="es-ES"/>
                        </w:rPr>
                        <w:t>Bajos niveles de productividad</w:t>
                      </w:r>
                    </w:p>
                  </w:txbxContent>
                </v:textbox>
              </v:shape>
            </w:pict>
          </mc:Fallback>
        </mc:AlternateContent>
      </w:r>
      <w:r w:rsidR="006A1C14" w:rsidRPr="00C73359">
        <w:rPr>
          <w:noProof/>
          <w:lang w:val="en-US"/>
        </w:rPr>
        <mc:AlternateContent>
          <mc:Choice Requires="wps">
            <w:drawing>
              <wp:anchor distT="0" distB="0" distL="114300" distR="114300" simplePos="0" relativeHeight="251673600" behindDoc="0" locked="0" layoutInCell="1" allowOverlap="1" wp14:anchorId="7B8F92E3" wp14:editId="4E02FC89">
                <wp:simplePos x="0" y="0"/>
                <wp:positionH relativeFrom="column">
                  <wp:posOffset>-168910</wp:posOffset>
                </wp:positionH>
                <wp:positionV relativeFrom="paragraph">
                  <wp:posOffset>122555</wp:posOffset>
                </wp:positionV>
                <wp:extent cx="1116330" cy="674370"/>
                <wp:effectExtent l="0" t="0" r="26670" b="11430"/>
                <wp:wrapNone/>
                <wp:docPr id="26" name="26 Cuadro de texto"/>
                <wp:cNvGraphicFramePr/>
                <a:graphic xmlns:a="http://schemas.openxmlformats.org/drawingml/2006/main">
                  <a:graphicData uri="http://schemas.microsoft.com/office/word/2010/wordprocessingShape">
                    <wps:wsp>
                      <wps:cNvSpPr txBox="1"/>
                      <wps:spPr>
                        <a:xfrm>
                          <a:off x="0" y="0"/>
                          <a:ext cx="1116330" cy="674370"/>
                        </a:xfrm>
                        <a:prstGeom prst="rect">
                          <a:avLst/>
                        </a:prstGeom>
                        <a:ln/>
                      </wps:spPr>
                      <wps:style>
                        <a:lnRef idx="2">
                          <a:schemeClr val="accent1"/>
                        </a:lnRef>
                        <a:fillRef idx="1">
                          <a:schemeClr val="lt1"/>
                        </a:fillRef>
                        <a:effectRef idx="0">
                          <a:schemeClr val="accent1"/>
                        </a:effectRef>
                        <a:fontRef idx="minor">
                          <a:schemeClr val="dk1"/>
                        </a:fontRef>
                      </wps:style>
                      <wps:txbx>
                        <w:txbxContent>
                          <w:p w:rsidR="006A1C14" w:rsidRPr="00011410" w:rsidRDefault="006A1C14" w:rsidP="006A1C14">
                            <w:pPr>
                              <w:rPr>
                                <w:sz w:val="22"/>
                                <w:szCs w:val="22"/>
                                <w:lang w:val="es-ES"/>
                              </w:rPr>
                            </w:pPr>
                            <w:r w:rsidRPr="00011410">
                              <w:rPr>
                                <w:sz w:val="22"/>
                                <w:szCs w:val="22"/>
                                <w:lang w:val="es-ES"/>
                              </w:rPr>
                              <w:t>Incremento en costos logísticos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26 Cuadro de texto" o:spid="_x0000_s1030" type="#_x0000_t202" style="position:absolute;margin-left:-13.3pt;margin-top:9.65pt;width:87.9pt;height:53.1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" fillcolor="white [3201]" strokecolor="#4f81bd [3204]" strokeweight="2pt">
                <v:textbox>
                  <w:txbxContent>
                    <w:p w:rsidR="006A1C14" w:rsidRPr="00011410" w:rsidRDefault="006A1C14" w:rsidP="006A1C14">
                      <w:pPr>
                        <w:rPr>
                          <w:sz w:val="22"/>
                          <w:szCs w:val="22"/>
                          <w:lang w:val="es-ES"/>
                        </w:rPr>
                      </w:pPr>
                      <w:r w:rsidRPr="00011410">
                        <w:rPr>
                          <w:sz w:val="22"/>
                          <w:szCs w:val="22"/>
                          <w:lang w:val="es-ES"/>
                        </w:rPr>
                        <w:t>Incremento en costos logísticos</w:t>
                      </w:r>
                    </w:p>
                  </w:txbxContent>
                </v:textbox>
              </v:shape>
            </w:pict>
          </mc:Fallback>
        </mc:AlternateContent>
      </w:r>
    </w:p>
    <w:p w:rsidR="006A1C14" w:rsidRDefault="006A1C14" w:rsidP="006A1C14">
      <w:pPr>
        <w:rPr>
          <w:lang w:val="en-US"/>
        </w:rPr>
      </w:pPr>
    </w:p>
    <w:p w:rsidR="006A1C14" w:rsidRDefault="006A1C14" w:rsidP="006A1C14">
      <w:pPr>
        <w:rPr>
          <w:lang w:val="en-US"/>
        </w:rPr>
      </w:pPr>
    </w:p>
    <w:p w:rsidR="006A1C14" w:rsidRDefault="006A1C14" w:rsidP="006A1C14">
      <w:pPr>
        <w:rPr>
          <w:lang w:val="en-US"/>
        </w:rPr>
      </w:pPr>
    </w:p>
    <w:p w:rsidR="006A1C14" w:rsidRDefault="003240C3" w:rsidP="006A1C14">
      <w:pPr>
        <w:rPr>
          <w:lang w:val="en-US"/>
        </w:rPr>
      </w:pPr>
      <w:r>
        <w:rPr>
          <w:noProof/>
          <w:lang w:val="en-US"/>
        </w:rPr>
        <mc:AlternateContent>
          <mc:Choice Requires="wps">
            <w:drawing>
              <wp:anchor distT="0" distB="0" distL="114300" distR="114300" simplePos="0" relativeHeight="251694080" behindDoc="0" locked="0" layoutInCell="1" allowOverlap="1" wp14:anchorId="17AA048D" wp14:editId="707D4F11">
                <wp:simplePos x="0" y="0"/>
                <wp:positionH relativeFrom="column">
                  <wp:posOffset>371475</wp:posOffset>
                </wp:positionH>
                <wp:positionV relativeFrom="paragraph">
                  <wp:posOffset>83820</wp:posOffset>
                </wp:positionV>
                <wp:extent cx="0" cy="375920"/>
                <wp:effectExtent l="95250" t="38100" r="57150" b="24130"/>
                <wp:wrapNone/>
                <wp:docPr id="47" name="47 Conector recto de flecha"/>
                <wp:cNvGraphicFramePr/>
                <a:graphic xmlns:a="http://schemas.openxmlformats.org/drawingml/2006/main">
                  <a:graphicData uri="http://schemas.microsoft.com/office/word/2010/wordprocessingShape">
                    <wps:wsp>
                      <wps:cNvCnPr/>
                      <wps:spPr>
                        <a:xfrm flipV="1">
                          <a:off x="0" y="0"/>
                          <a:ext cx="0" cy="37592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47 Conector recto de flecha" o:spid="_x0000_s1026" type="#_x0000_t32" style="position:absolute;margin-left:29.25pt;margin-top:6.6pt;width:0;height:29.6pt;flip:y;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" strokecolor="#4579b8 [3044]">
                <v:stroke endarrow="open"/>
              </v:shape>
            </w:pict>
          </mc:Fallback>
        </mc:AlternateContent>
      </w:r>
      <w:r>
        <w:rPr>
          <w:noProof/>
          <w:lang w:val="en-US"/>
        </w:rPr>
        <mc:AlternateContent>
          <mc:Choice Requires="wps">
            <w:drawing>
              <wp:anchor distT="0" distB="0" distL="114300" distR="114300" simplePos="0" relativeHeight="251695104" behindDoc="0" locked="0" layoutInCell="1" allowOverlap="1" wp14:anchorId="00CCF134" wp14:editId="514E0034">
                <wp:simplePos x="0" y="0"/>
                <wp:positionH relativeFrom="column">
                  <wp:posOffset>1656080</wp:posOffset>
                </wp:positionH>
                <wp:positionV relativeFrom="paragraph">
                  <wp:posOffset>53975</wp:posOffset>
                </wp:positionV>
                <wp:extent cx="0" cy="350520"/>
                <wp:effectExtent l="95250" t="38100" r="57150" b="11430"/>
                <wp:wrapNone/>
                <wp:docPr id="48" name="48 Conector recto de flecha"/>
                <wp:cNvGraphicFramePr/>
                <a:graphic xmlns:a="http://schemas.openxmlformats.org/drawingml/2006/main">
                  <a:graphicData uri="http://schemas.microsoft.com/office/word/2010/wordprocessingShape">
                    <wps:wsp>
                      <wps:cNvCnPr/>
                      <wps:spPr>
                        <a:xfrm flipV="1">
                          <a:off x="0" y="0"/>
                          <a:ext cx="0" cy="35052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48 Conector recto de flecha" o:spid="_x0000_s1026" type="#_x0000_t32" style="position:absolute;margin-left:130.4pt;margin-top:4.25pt;width:0;height:27.6pt;flip:y;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" strokecolor="#4579b8 [3044]">
                <v:stroke endarrow="open"/>
              </v:shape>
            </w:pict>
          </mc:Fallback>
        </mc:AlternateContent>
      </w:r>
      <w:r>
        <w:rPr>
          <w:noProof/>
          <w:lang w:val="en-US"/>
        </w:rPr>
        <mc:AlternateContent>
          <mc:Choice Requires="wps">
            <w:drawing>
              <wp:anchor distT="0" distB="0" distL="114300" distR="114300" simplePos="0" relativeHeight="251683840" behindDoc="0" locked="0" layoutInCell="1" allowOverlap="1" wp14:anchorId="6CA6496E" wp14:editId="425C0270">
                <wp:simplePos x="0" y="0"/>
                <wp:positionH relativeFrom="column">
                  <wp:posOffset>4410075</wp:posOffset>
                </wp:positionH>
                <wp:positionV relativeFrom="paragraph">
                  <wp:posOffset>81915</wp:posOffset>
                </wp:positionV>
                <wp:extent cx="0" cy="308610"/>
                <wp:effectExtent l="95250" t="38100" r="57150" b="15240"/>
                <wp:wrapNone/>
                <wp:docPr id="36" name="36 Conector recto de flecha"/>
                <wp:cNvGraphicFramePr/>
                <a:graphic xmlns:a="http://schemas.openxmlformats.org/drawingml/2006/main">
                  <a:graphicData uri="http://schemas.microsoft.com/office/word/2010/wordprocessingShape">
                    <wps:wsp>
                      <wps:cNvCnPr/>
                      <wps:spPr>
                        <a:xfrm flipV="1">
                          <a:off x="0" y="0"/>
                          <a:ext cx="0" cy="30861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36 Conector recto de flecha" o:spid="_x0000_s1026" type="#_x0000_t32" style="position:absolute;margin-left:347.25pt;margin-top:6.45pt;width:0;height:24.3pt;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" strokecolor="#4579b8 [3044]">
                <v:stroke endarrow="open"/>
              </v:shape>
            </w:pict>
          </mc:Fallback>
        </mc:AlternateContent>
      </w:r>
      <w:r w:rsidR="006A1C14">
        <w:rPr>
          <w:noProof/>
          <w:lang w:val="en-US"/>
        </w:rPr>
        <mc:AlternateContent>
          <mc:Choice Requires="wps">
            <w:drawing>
              <wp:anchor distT="0" distB="0" distL="114300" distR="114300" simplePos="0" relativeHeight="251686912" behindDoc="0" locked="0" layoutInCell="1" allowOverlap="1" wp14:anchorId="5FF080FD" wp14:editId="289164DF">
                <wp:simplePos x="0" y="0"/>
                <wp:positionH relativeFrom="column">
                  <wp:posOffset>5172075</wp:posOffset>
                </wp:positionH>
                <wp:positionV relativeFrom="paragraph">
                  <wp:posOffset>51435</wp:posOffset>
                </wp:positionV>
                <wp:extent cx="0" cy="335915"/>
                <wp:effectExtent l="95250" t="38100" r="57150" b="26035"/>
                <wp:wrapNone/>
                <wp:docPr id="39" name="39 Conector recto de flecha"/>
                <wp:cNvGraphicFramePr/>
                <a:graphic xmlns:a="http://schemas.openxmlformats.org/drawingml/2006/main">
                  <a:graphicData uri="http://schemas.microsoft.com/office/word/2010/wordprocessingShape">
                    <wps:wsp>
                      <wps:cNvCnPr/>
                      <wps:spPr>
                        <a:xfrm flipV="1">
                          <a:off x="0" y="0"/>
                          <a:ext cx="0" cy="33591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39 Conector recto de flecha" o:spid="_x0000_s1026" type="#_x0000_t32" style="position:absolute;margin-left:407.25pt;margin-top:4.05pt;width:0;height:26.45pt;flip:y;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" strokecolor="#4579b8 [3044]">
                <v:stroke endarrow="open"/>
              </v:shape>
            </w:pict>
          </mc:Fallback>
        </mc:AlternateContent>
      </w:r>
    </w:p>
    <w:p w:rsidR="006A1C14" w:rsidRDefault="006A1C14" w:rsidP="006A1C14">
      <w:pPr>
        <w:rPr>
          <w:lang w:val="en-US"/>
        </w:rPr>
      </w:pPr>
    </w:p>
    <w:p w:rsidR="006A1C14" w:rsidRDefault="006A1C14" w:rsidP="006A1C14">
      <w:pPr>
        <w:rPr>
          <w:lang w:val="en-US"/>
        </w:rPr>
      </w:pPr>
      <w:r>
        <w:rPr>
          <w:noProof/>
          <w:lang w:val="en-US"/>
        </w:rPr>
        <mc:AlternateContent>
          <mc:Choice Requires="wps">
            <w:drawing>
              <wp:anchor distT="0" distB="0" distL="114300" distR="114300" simplePos="0" relativeHeight="251665408" behindDoc="0" locked="0" layoutInCell="1" allowOverlap="1" wp14:anchorId="60EEBA8B" wp14:editId="41774368">
                <wp:simplePos x="0" y="0"/>
                <wp:positionH relativeFrom="column">
                  <wp:posOffset>1091565</wp:posOffset>
                </wp:positionH>
                <wp:positionV relativeFrom="paragraph">
                  <wp:posOffset>71755</wp:posOffset>
                </wp:positionV>
                <wp:extent cx="1126490" cy="888365"/>
                <wp:effectExtent l="0" t="0" r="16510" b="26035"/>
                <wp:wrapNone/>
                <wp:docPr id="11" name="11 Cuadro de texto"/>
                <wp:cNvGraphicFramePr/>
                <a:graphic xmlns:a="http://schemas.openxmlformats.org/drawingml/2006/main">
                  <a:graphicData uri="http://schemas.microsoft.com/office/word/2010/wordprocessingShape">
                    <wps:wsp>
                      <wps:cNvSpPr txBox="1"/>
                      <wps:spPr>
                        <a:xfrm>
                          <a:off x="0" y="0"/>
                          <a:ext cx="1126490" cy="888365"/>
                        </a:xfrm>
                        <a:prstGeom prst="rect">
                          <a:avLst/>
                        </a:prstGeom>
                        <a:ln/>
                      </wps:spPr>
                      <wps:style>
                        <a:lnRef idx="2">
                          <a:schemeClr val="accent1"/>
                        </a:lnRef>
                        <a:fillRef idx="1">
                          <a:schemeClr val="lt1"/>
                        </a:fillRef>
                        <a:effectRef idx="0">
                          <a:schemeClr val="accent1"/>
                        </a:effectRef>
                        <a:fontRef idx="minor">
                          <a:schemeClr val="dk1"/>
                        </a:fontRef>
                      </wps:style>
                      <wps:txbx>
                        <w:txbxContent>
                          <w:p w:rsidR="006A1C14" w:rsidRPr="00011410" w:rsidRDefault="006A1C14" w:rsidP="006A1C14">
                            <w:pPr>
                              <w:jc w:val="center"/>
                              <w:rPr>
                                <w:sz w:val="22"/>
                                <w:szCs w:val="22"/>
                                <w:lang w:val="es-ES"/>
                              </w:rPr>
                            </w:pPr>
                            <w:r w:rsidRPr="00011410">
                              <w:rPr>
                                <w:sz w:val="22"/>
                                <w:szCs w:val="22"/>
                                <w:lang w:val="es-ES"/>
                              </w:rPr>
                              <w:t>Limitación al acceso  del mercado de bienes y servicios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11 Cuadro de texto" o:spid="_x0000_s1031" type="#_x0000_t202" style="position:absolute;margin-left:85.95pt;margin-top:5.65pt;width:88.7pt;height:69.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" fillcolor="white [3201]" strokecolor="#4f81bd [3204]" strokeweight="2pt">
                <v:textbox>
                  <w:txbxContent>
                    <w:p w:rsidR="006A1C14" w:rsidRPr="00011410" w:rsidRDefault="006A1C14" w:rsidP="006A1C14">
                      <w:pPr>
                        <w:jc w:val="center"/>
                        <w:rPr>
                          <w:sz w:val="22"/>
                          <w:szCs w:val="22"/>
                          <w:lang w:val="es-ES"/>
                        </w:rPr>
                      </w:pPr>
                      <w:r w:rsidRPr="00011410">
                        <w:rPr>
                          <w:sz w:val="22"/>
                          <w:szCs w:val="22"/>
                          <w:lang w:val="es-ES"/>
                        </w:rPr>
                        <w:t>Limitación al acceso  del mercado de bienes y servicios</w:t>
                      </w:r>
                    </w:p>
                  </w:txbxContent>
                </v:textbox>
              </v:shape>
            </w:pict>
          </mc:Fallback>
        </mc:AlternateContent>
      </w:r>
      <w:r>
        <w:rPr>
          <w:noProof/>
          <w:lang w:val="en-US"/>
        </w:rPr>
        <mc:AlternateContent>
          <mc:Choice Requires="wps">
            <w:drawing>
              <wp:anchor distT="0" distB="0" distL="114300" distR="114300" simplePos="0" relativeHeight="251666432" behindDoc="0" locked="0" layoutInCell="1" allowOverlap="1" wp14:anchorId="6314ED09" wp14:editId="34D663C9">
                <wp:simplePos x="0" y="0"/>
                <wp:positionH relativeFrom="column">
                  <wp:posOffset>-204470</wp:posOffset>
                </wp:positionH>
                <wp:positionV relativeFrom="paragraph">
                  <wp:posOffset>71755</wp:posOffset>
                </wp:positionV>
                <wp:extent cx="1052195" cy="888365"/>
                <wp:effectExtent l="0" t="0" r="14605" b="26035"/>
                <wp:wrapNone/>
                <wp:docPr id="17" name="17 Cuadro de texto"/>
                <wp:cNvGraphicFramePr/>
                <a:graphic xmlns:a="http://schemas.openxmlformats.org/drawingml/2006/main">
                  <a:graphicData uri="http://schemas.microsoft.com/office/word/2010/wordprocessingShape">
                    <wps:wsp>
                      <wps:cNvSpPr txBox="1"/>
                      <wps:spPr>
                        <a:xfrm>
                          <a:off x="0" y="0"/>
                          <a:ext cx="1052195" cy="888365"/>
                        </a:xfrm>
                        <a:prstGeom prst="rect">
                          <a:avLst/>
                        </a:prstGeom>
                        <a:ln/>
                      </wps:spPr>
                      <wps:style>
                        <a:lnRef idx="2">
                          <a:schemeClr val="accent1"/>
                        </a:lnRef>
                        <a:fillRef idx="1">
                          <a:schemeClr val="lt1"/>
                        </a:fillRef>
                        <a:effectRef idx="0">
                          <a:schemeClr val="accent1"/>
                        </a:effectRef>
                        <a:fontRef idx="minor">
                          <a:schemeClr val="dk1"/>
                        </a:fontRef>
                      </wps:style>
                      <wps:txbx>
                        <w:txbxContent>
                          <w:p w:rsidR="006A1C14" w:rsidRPr="00011410" w:rsidRDefault="006A1C14" w:rsidP="006A1C14">
                            <w:pPr>
                              <w:jc w:val="center"/>
                              <w:rPr>
                                <w:sz w:val="22"/>
                                <w:szCs w:val="22"/>
                                <w:lang w:val="es-ES"/>
                              </w:rPr>
                            </w:pPr>
                            <w:r w:rsidRPr="00011410">
                              <w:rPr>
                                <w:sz w:val="22"/>
                                <w:szCs w:val="22"/>
                                <w:lang w:val="es-ES"/>
                              </w:rPr>
                              <w:t>Incremento de costos  de transporte de  bienes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17 Cuadro de texto" o:spid="_x0000_s1032" type="#_x0000_t202" style="position:absolute;margin-left:-16.1pt;margin-top:5.65pt;width:82.85pt;height:69.9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" fillcolor="white [3201]" strokecolor="#4f81bd [3204]" strokeweight="2pt">
                <v:textbox>
                  <w:txbxContent>
                    <w:p w:rsidR="006A1C14" w:rsidRPr="00011410" w:rsidRDefault="006A1C14" w:rsidP="006A1C14">
                      <w:pPr>
                        <w:jc w:val="center"/>
                        <w:rPr>
                          <w:sz w:val="22"/>
                          <w:szCs w:val="22"/>
                          <w:lang w:val="es-ES"/>
                        </w:rPr>
                      </w:pPr>
                      <w:r w:rsidRPr="00011410">
                        <w:rPr>
                          <w:sz w:val="22"/>
                          <w:szCs w:val="22"/>
                          <w:lang w:val="es-ES"/>
                        </w:rPr>
                        <w:t>Incremento de costos  de transporte de  bienes</w:t>
                      </w:r>
                    </w:p>
                  </w:txbxContent>
                </v:textbox>
              </v:shape>
            </w:pict>
          </mc:Fallback>
        </mc:AlternateContent>
      </w:r>
      <w:r w:rsidRPr="00C73359">
        <w:rPr>
          <w:noProof/>
          <w:lang w:val="en-US"/>
        </w:rPr>
        <mc:AlternateContent>
          <mc:Choice Requires="wps">
            <w:drawing>
              <wp:anchor distT="0" distB="0" distL="114300" distR="114300" simplePos="0" relativeHeight="251669504" behindDoc="0" locked="0" layoutInCell="1" allowOverlap="1" wp14:anchorId="5BF18E29" wp14:editId="5CE7915C">
                <wp:simplePos x="0" y="0"/>
                <wp:positionH relativeFrom="column">
                  <wp:posOffset>3632200</wp:posOffset>
                </wp:positionH>
                <wp:positionV relativeFrom="paragraph">
                  <wp:posOffset>55245</wp:posOffset>
                </wp:positionV>
                <wp:extent cx="1116330" cy="952500"/>
                <wp:effectExtent l="0" t="0" r="26670" b="19050"/>
                <wp:wrapNone/>
                <wp:docPr id="21" name="21 Cuadro de texto"/>
                <wp:cNvGraphicFramePr/>
                <a:graphic xmlns:a="http://schemas.openxmlformats.org/drawingml/2006/main">
                  <a:graphicData uri="http://schemas.microsoft.com/office/word/2010/wordprocessingShape">
                    <wps:wsp>
                      <wps:cNvSpPr txBox="1"/>
                      <wps:spPr>
                        <a:xfrm>
                          <a:off x="0" y="0"/>
                          <a:ext cx="1116330" cy="952500"/>
                        </a:xfrm>
                        <a:prstGeom prst="rect">
                          <a:avLst/>
                        </a:prstGeom>
                        <a:ln/>
                      </wps:spPr>
                      <wps:style>
                        <a:lnRef idx="2">
                          <a:schemeClr val="accent1"/>
                        </a:lnRef>
                        <a:fillRef idx="1">
                          <a:schemeClr val="lt1"/>
                        </a:fillRef>
                        <a:effectRef idx="0">
                          <a:schemeClr val="accent1"/>
                        </a:effectRef>
                        <a:fontRef idx="minor">
                          <a:schemeClr val="dk1"/>
                        </a:fontRef>
                      </wps:style>
                      <wps:txbx>
                        <w:txbxContent>
                          <w:p w:rsidR="006A1C14" w:rsidRPr="00011410" w:rsidRDefault="006A1C14" w:rsidP="006A1C14">
                            <w:pPr>
                              <w:jc w:val="center"/>
                              <w:rPr>
                                <w:sz w:val="22"/>
                                <w:szCs w:val="22"/>
                                <w:lang w:val="es-ES"/>
                              </w:rPr>
                            </w:pPr>
                            <w:r w:rsidRPr="00011410">
                              <w:rPr>
                                <w:sz w:val="22"/>
                                <w:szCs w:val="22"/>
                                <w:lang w:val="es-ES"/>
                              </w:rPr>
                              <w:t>Reducción de la calidad de vida de los pobladores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21 Cuadro de texto" o:spid="_x0000_s1033" type="#_x0000_t202" style="position:absolute;margin-left:286pt;margin-top:4.35pt;width:87.9pt;height: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" fillcolor="white [3201]" strokecolor="#4f81bd [3204]" strokeweight="2pt">
                <v:textbox>
                  <w:txbxContent>
                    <w:p w:rsidR="006A1C14" w:rsidRPr="00011410" w:rsidRDefault="006A1C14" w:rsidP="006A1C14">
                      <w:pPr>
                        <w:jc w:val="center"/>
                        <w:rPr>
                          <w:sz w:val="22"/>
                          <w:szCs w:val="22"/>
                          <w:lang w:val="es-ES"/>
                        </w:rPr>
                      </w:pPr>
                      <w:r w:rsidRPr="00011410">
                        <w:rPr>
                          <w:sz w:val="22"/>
                          <w:szCs w:val="22"/>
                          <w:lang w:val="es-ES"/>
                        </w:rPr>
                        <w:t>Reducción de la calidad de vida de los pobladores</w:t>
                      </w:r>
                    </w:p>
                  </w:txbxContent>
                </v:textbox>
              </v:shape>
            </w:pict>
          </mc:Fallback>
        </mc:AlternateContent>
      </w:r>
      <w:r w:rsidRPr="00C73359">
        <w:rPr>
          <w:noProof/>
          <w:lang w:val="en-US"/>
        </w:rPr>
        <mc:AlternateContent>
          <mc:Choice Requires="wps">
            <w:drawing>
              <wp:anchor distT="0" distB="0" distL="114300" distR="114300" simplePos="0" relativeHeight="251668480" behindDoc="0" locked="0" layoutInCell="1" allowOverlap="1" wp14:anchorId="11768495" wp14:editId="0AC90B45">
                <wp:simplePos x="0" y="0"/>
                <wp:positionH relativeFrom="column">
                  <wp:posOffset>4867275</wp:posOffset>
                </wp:positionH>
                <wp:positionV relativeFrom="paragraph">
                  <wp:posOffset>58420</wp:posOffset>
                </wp:positionV>
                <wp:extent cx="1201420" cy="952500"/>
                <wp:effectExtent l="0" t="0" r="17780" b="19050"/>
                <wp:wrapNone/>
                <wp:docPr id="19" name="19 Cuadro de texto"/>
                <wp:cNvGraphicFramePr/>
                <a:graphic xmlns:a="http://schemas.openxmlformats.org/drawingml/2006/main">
                  <a:graphicData uri="http://schemas.microsoft.com/office/word/2010/wordprocessingShape">
                    <wps:wsp>
                      <wps:cNvSpPr txBox="1"/>
                      <wps:spPr>
                        <a:xfrm>
                          <a:off x="0" y="0"/>
                          <a:ext cx="1201420" cy="952500"/>
                        </a:xfrm>
                        <a:prstGeom prst="rect">
                          <a:avLst/>
                        </a:prstGeom>
                        <a:ln/>
                      </wps:spPr>
                      <wps:style>
                        <a:lnRef idx="2">
                          <a:schemeClr val="accent1"/>
                        </a:lnRef>
                        <a:fillRef idx="1">
                          <a:schemeClr val="lt1"/>
                        </a:fillRef>
                        <a:effectRef idx="0">
                          <a:schemeClr val="accent1"/>
                        </a:effectRef>
                        <a:fontRef idx="minor">
                          <a:schemeClr val="dk1"/>
                        </a:fontRef>
                      </wps:style>
                      <wps:txbx>
                        <w:txbxContent>
                          <w:p w:rsidR="006A1C14" w:rsidRPr="00011410" w:rsidRDefault="006A1C14" w:rsidP="006A1C14">
                            <w:pPr>
                              <w:jc w:val="center"/>
                              <w:rPr>
                                <w:sz w:val="22"/>
                                <w:szCs w:val="22"/>
                                <w:lang w:val="es-ES"/>
                              </w:rPr>
                            </w:pPr>
                            <w:r w:rsidRPr="00011410">
                              <w:rPr>
                                <w:sz w:val="22"/>
                                <w:szCs w:val="22"/>
                                <w:lang w:val="es-ES"/>
                              </w:rPr>
                              <w:t>Dificultad de acceso a insumos de producción primaria y asistencia técnica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19 Cuadro de texto" o:spid="_x0000_s1034" type="#_x0000_t202" style="position:absolute;margin-left:383.25pt;margin-top:4.6pt;width:94.6pt;height: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" fillcolor="white [3201]" strokecolor="#4f81bd [3204]" strokeweight="2pt">
                <v:textbox>
                  <w:txbxContent>
                    <w:p w:rsidR="006A1C14" w:rsidRPr="00011410" w:rsidRDefault="006A1C14" w:rsidP="006A1C14">
                      <w:pPr>
                        <w:jc w:val="center"/>
                        <w:rPr>
                          <w:sz w:val="22"/>
                          <w:szCs w:val="22"/>
                          <w:lang w:val="es-ES"/>
                        </w:rPr>
                      </w:pPr>
                      <w:r w:rsidRPr="00011410">
                        <w:rPr>
                          <w:sz w:val="22"/>
                          <w:szCs w:val="22"/>
                          <w:lang w:val="es-ES"/>
                        </w:rPr>
                        <w:t>Dificultad de acceso a insumos de producción primaria y asistencia técnica</w:t>
                      </w:r>
                    </w:p>
                  </w:txbxContent>
                </v:textbox>
              </v:shape>
            </w:pict>
          </mc:Fallback>
        </mc:AlternateContent>
      </w:r>
    </w:p>
    <w:p w:rsidR="006A1C14" w:rsidRDefault="006A1C14" w:rsidP="006A1C14">
      <w:pPr>
        <w:rPr>
          <w:lang w:val="en-US"/>
        </w:rPr>
      </w:pPr>
    </w:p>
    <w:p w:rsidR="006A1C14" w:rsidRPr="008D2310" w:rsidRDefault="006A1C14" w:rsidP="006A1C14">
      <w:pPr>
        <w:rPr>
          <w:lang w:val="en-US"/>
        </w:rPr>
      </w:pPr>
    </w:p>
    <w:p w:rsidR="00F35898" w:rsidRPr="002D4396" w:rsidRDefault="003240C3" w:rsidP="00F35898">
      <w:pPr>
        <w:rPr>
          <w:lang w:val="pt-BR"/>
        </w:rPr>
      </w:pPr>
      <w:r>
        <w:rPr>
          <w:noProof/>
          <w:lang w:val="en-US"/>
        </w:rPr>
        <mc:AlternateContent>
          <mc:Choice Requires="wps">
            <w:drawing>
              <wp:anchor distT="0" distB="0" distL="114300" distR="114300" simplePos="0" relativeHeight="251682816" behindDoc="0" locked="0" layoutInCell="1" allowOverlap="1" wp14:anchorId="6C0C36D1" wp14:editId="2B9FD48E">
                <wp:simplePos x="0" y="0"/>
                <wp:positionH relativeFrom="column">
                  <wp:posOffset>1666875</wp:posOffset>
                </wp:positionH>
                <wp:positionV relativeFrom="paragraph">
                  <wp:posOffset>436880</wp:posOffset>
                </wp:positionV>
                <wp:extent cx="0" cy="494665"/>
                <wp:effectExtent l="95250" t="38100" r="57150" b="19685"/>
                <wp:wrapNone/>
                <wp:docPr id="35" name="35 Conector recto de flecha"/>
                <wp:cNvGraphicFramePr/>
                <a:graphic xmlns:a="http://schemas.openxmlformats.org/drawingml/2006/main">
                  <a:graphicData uri="http://schemas.microsoft.com/office/word/2010/wordprocessingShape">
                    <wps:wsp>
                      <wps:cNvCnPr/>
                      <wps:spPr>
                        <a:xfrm flipV="1">
                          <a:off x="0" y="0"/>
                          <a:ext cx="0" cy="49466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35 Conector recto de flecha" o:spid="_x0000_s1026" type="#_x0000_t32" style="position:absolute;margin-left:131.25pt;margin-top:34.4pt;width:0;height:38.95pt;flip: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" strokecolor="#4579b8 [3044]">
                <v:stroke endarrow="open"/>
              </v:shape>
            </w:pict>
          </mc:Fallback>
        </mc:AlternateContent>
      </w:r>
      <w:r>
        <w:rPr>
          <w:noProof/>
          <w:lang w:val="en-US"/>
        </w:rPr>
        <mc:AlternateContent>
          <mc:Choice Requires="wps">
            <w:drawing>
              <wp:anchor distT="0" distB="0" distL="114300" distR="114300" simplePos="0" relativeHeight="251685888" behindDoc="0" locked="0" layoutInCell="1" allowOverlap="1" wp14:anchorId="731A1BE3" wp14:editId="4BACD384">
                <wp:simplePos x="0" y="0"/>
                <wp:positionH relativeFrom="column">
                  <wp:posOffset>2971800</wp:posOffset>
                </wp:positionH>
                <wp:positionV relativeFrom="paragraph">
                  <wp:posOffset>484505</wp:posOffset>
                </wp:positionV>
                <wp:extent cx="657225" cy="448946"/>
                <wp:effectExtent l="0" t="38100" r="47625" b="27305"/>
                <wp:wrapNone/>
                <wp:docPr id="38" name="38 Conector recto de flecha"/>
                <wp:cNvGraphicFramePr/>
                <a:graphic xmlns:a="http://schemas.openxmlformats.org/drawingml/2006/main">
                  <a:graphicData uri="http://schemas.microsoft.com/office/word/2010/wordprocessingShape">
                    <wps:wsp>
                      <wps:cNvCnPr/>
                      <wps:spPr>
                        <a:xfrm flipV="1">
                          <a:off x="0" y="0"/>
                          <a:ext cx="657225" cy="448946"/>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38 Conector recto de flecha" o:spid="_x0000_s1026" type="#_x0000_t32" style="position:absolute;margin-left:234pt;margin-top:38.15pt;width:51.75pt;height:35.35pt;flip:y;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" strokecolor="#4579b8 [3044]">
                <v:stroke endarrow="open"/>
              </v:shape>
            </w:pict>
          </mc:Fallback>
        </mc:AlternateContent>
      </w:r>
      <w:r>
        <w:rPr>
          <w:noProof/>
          <w:lang w:val="en-US"/>
        </w:rPr>
        <mc:AlternateContent>
          <mc:Choice Requires="wps">
            <w:drawing>
              <wp:anchor distT="0" distB="0" distL="114300" distR="114300" simplePos="0" relativeHeight="251688960" behindDoc="0" locked="0" layoutInCell="1" allowOverlap="1" wp14:anchorId="3FD7093A" wp14:editId="3789BF6D">
                <wp:simplePos x="0" y="0"/>
                <wp:positionH relativeFrom="column">
                  <wp:posOffset>638175</wp:posOffset>
                </wp:positionH>
                <wp:positionV relativeFrom="paragraph">
                  <wp:posOffset>436881</wp:posOffset>
                </wp:positionV>
                <wp:extent cx="781050" cy="495299"/>
                <wp:effectExtent l="38100" t="38100" r="19050" b="19685"/>
                <wp:wrapNone/>
                <wp:docPr id="40" name="40 Conector recto de flecha"/>
                <wp:cNvGraphicFramePr/>
                <a:graphic xmlns:a="http://schemas.openxmlformats.org/drawingml/2006/main">
                  <a:graphicData uri="http://schemas.microsoft.com/office/word/2010/wordprocessingShape">
                    <wps:wsp>
                      <wps:cNvCnPr/>
                      <wps:spPr>
                        <a:xfrm flipH="1" flipV="1">
                          <a:off x="0" y="0"/>
                          <a:ext cx="781050" cy="495299"/>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40 Conector recto de flecha" o:spid="_x0000_s1026" type="#_x0000_t32" style="position:absolute;margin-left:50.25pt;margin-top:34.4pt;width:61.5pt;height:39pt;flip:x y;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" strokecolor="#4579b8 [3044]">
                <v:stroke endarrow="open"/>
              </v:shape>
            </w:pict>
          </mc:Fallback>
        </mc:AlternateContent>
      </w:r>
      <w:r>
        <w:rPr>
          <w:noProof/>
          <w:lang w:val="en-US"/>
        </w:rPr>
        <mc:AlternateContent>
          <mc:Choice Requires="wps">
            <w:drawing>
              <wp:anchor distT="0" distB="0" distL="114300" distR="114300" simplePos="0" relativeHeight="251687936" behindDoc="0" locked="0" layoutInCell="1" allowOverlap="1" wp14:anchorId="16DBCFDF" wp14:editId="09C2668C">
                <wp:simplePos x="0" y="0"/>
                <wp:positionH relativeFrom="column">
                  <wp:posOffset>733425</wp:posOffset>
                </wp:positionH>
                <wp:positionV relativeFrom="paragraph">
                  <wp:posOffset>436880</wp:posOffset>
                </wp:positionV>
                <wp:extent cx="624205" cy="495300"/>
                <wp:effectExtent l="0" t="38100" r="61595" b="19050"/>
                <wp:wrapNone/>
                <wp:docPr id="41" name="41 Conector recto de flecha"/>
                <wp:cNvGraphicFramePr/>
                <a:graphic xmlns:a="http://schemas.openxmlformats.org/drawingml/2006/main">
                  <a:graphicData uri="http://schemas.microsoft.com/office/word/2010/wordprocessingShape">
                    <wps:wsp>
                      <wps:cNvCnPr/>
                      <wps:spPr>
                        <a:xfrm flipV="1">
                          <a:off x="0" y="0"/>
                          <a:ext cx="624205" cy="4953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41 Conector recto de flecha" o:spid="_x0000_s1026" type="#_x0000_t32" style="position:absolute;margin-left:57.75pt;margin-top:34.4pt;width:49.15pt;height:39pt;flip: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" strokecolor="#4579b8 [3044]">
                <v:stroke endarrow="open"/>
              </v:shape>
            </w:pict>
          </mc:Fallback>
        </mc:AlternateContent>
      </w:r>
      <w:r>
        <w:rPr>
          <w:noProof/>
          <w:lang w:val="en-US"/>
        </w:rPr>
        <mc:AlternateContent>
          <mc:Choice Requires="wps">
            <w:drawing>
              <wp:anchor distT="0" distB="0" distL="114300" distR="114300" simplePos="0" relativeHeight="251684864" behindDoc="0" locked="0" layoutInCell="1" allowOverlap="1" wp14:anchorId="3E1D0C4C" wp14:editId="7B6D8405">
                <wp:simplePos x="0" y="0"/>
                <wp:positionH relativeFrom="column">
                  <wp:posOffset>371475</wp:posOffset>
                </wp:positionH>
                <wp:positionV relativeFrom="paragraph">
                  <wp:posOffset>436880</wp:posOffset>
                </wp:positionV>
                <wp:extent cx="0" cy="504825"/>
                <wp:effectExtent l="95250" t="38100" r="57150" b="9525"/>
                <wp:wrapNone/>
                <wp:docPr id="37" name="37 Conector recto de flecha"/>
                <wp:cNvGraphicFramePr/>
                <a:graphic xmlns:a="http://schemas.openxmlformats.org/drawingml/2006/main">
                  <a:graphicData uri="http://schemas.microsoft.com/office/word/2010/wordprocessingShape">
                    <wps:wsp>
                      <wps:cNvCnPr/>
                      <wps:spPr>
                        <a:xfrm flipV="1">
                          <a:off x="0" y="0"/>
                          <a:ext cx="0" cy="5048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37 Conector recto de flecha" o:spid="_x0000_s1026" type="#_x0000_t32" style="position:absolute;margin-left:29.25pt;margin-top:34.4pt;width:0;height:39.75pt;flip: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" strokecolor="#4579b8 [3044]">
                <v:stroke endarrow="open"/>
              </v:shape>
            </w:pict>
          </mc:Fallback>
        </mc:AlternateContent>
      </w:r>
      <w:r>
        <w:rPr>
          <w:noProof/>
          <w:lang w:val="en-US"/>
        </w:rPr>
        <mc:AlternateContent>
          <mc:Choice Requires="wps">
            <w:drawing>
              <wp:anchor distT="0" distB="0" distL="114300" distR="114300" simplePos="0" relativeHeight="251680768" behindDoc="0" locked="0" layoutInCell="1" allowOverlap="1" wp14:anchorId="35C11ACF" wp14:editId="4C2E5529">
                <wp:simplePos x="0" y="0"/>
                <wp:positionH relativeFrom="column">
                  <wp:posOffset>5448300</wp:posOffset>
                </wp:positionH>
                <wp:positionV relativeFrom="paragraph">
                  <wp:posOffset>484506</wp:posOffset>
                </wp:positionV>
                <wp:extent cx="1270" cy="447674"/>
                <wp:effectExtent l="95250" t="38100" r="74930" b="10160"/>
                <wp:wrapNone/>
                <wp:docPr id="33" name="33 Conector recto de flecha"/>
                <wp:cNvGraphicFramePr/>
                <a:graphic xmlns:a="http://schemas.openxmlformats.org/drawingml/2006/main">
                  <a:graphicData uri="http://schemas.microsoft.com/office/word/2010/wordprocessingShape">
                    <wps:wsp>
                      <wps:cNvCnPr/>
                      <wps:spPr>
                        <a:xfrm flipH="1" flipV="1">
                          <a:off x="0" y="0"/>
                          <a:ext cx="1270" cy="447674"/>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33 Conector recto de flecha" o:spid="_x0000_s1026" type="#_x0000_t32" style="position:absolute;margin-left:429pt;margin-top:38.15pt;width:.1pt;height:35.25pt;flip:x 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" strokecolor="#4579b8 [3044]">
                <v:stroke endarrow="open"/>
              </v:shape>
            </w:pict>
          </mc:Fallback>
        </mc:AlternateContent>
      </w:r>
      <w:r>
        <w:rPr>
          <w:noProof/>
          <w:lang w:val="en-US"/>
        </w:rPr>
        <mc:AlternateContent>
          <mc:Choice Requires="wps">
            <w:drawing>
              <wp:anchor distT="0" distB="0" distL="114300" distR="114300" simplePos="0" relativeHeight="251681792" behindDoc="0" locked="0" layoutInCell="1" allowOverlap="1" wp14:anchorId="319D4FB7" wp14:editId="7B07DBF2">
                <wp:simplePos x="0" y="0"/>
                <wp:positionH relativeFrom="column">
                  <wp:posOffset>4229100</wp:posOffset>
                </wp:positionH>
                <wp:positionV relativeFrom="paragraph">
                  <wp:posOffset>484506</wp:posOffset>
                </wp:positionV>
                <wp:extent cx="0" cy="457199"/>
                <wp:effectExtent l="95250" t="38100" r="57150" b="19685"/>
                <wp:wrapNone/>
                <wp:docPr id="34" name="34 Conector recto de flecha"/>
                <wp:cNvGraphicFramePr/>
                <a:graphic xmlns:a="http://schemas.openxmlformats.org/drawingml/2006/main">
                  <a:graphicData uri="http://schemas.microsoft.com/office/word/2010/wordprocessingShape">
                    <wps:wsp>
                      <wps:cNvCnPr/>
                      <wps:spPr>
                        <a:xfrm flipV="1">
                          <a:off x="0" y="0"/>
                          <a:ext cx="0" cy="457199"/>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34 Conector recto de flecha" o:spid="_x0000_s1026" type="#_x0000_t32" style="position:absolute;margin-left:333pt;margin-top:38.15pt;width:0;height:36pt;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" strokecolor="#4579b8 [3044]">
                <v:stroke endarrow="open"/>
              </v:shape>
            </w:pict>
          </mc:Fallback>
        </mc:AlternateContent>
      </w:r>
      <w:r>
        <w:rPr>
          <w:noProof/>
          <w:lang w:val="en-US"/>
        </w:rPr>
        <mc:AlternateContent>
          <mc:Choice Requires="wps">
            <w:drawing>
              <wp:anchor distT="0" distB="0" distL="114300" distR="114300" simplePos="0" relativeHeight="251678720" behindDoc="0" locked="0" layoutInCell="1" allowOverlap="1" wp14:anchorId="1484B31F" wp14:editId="41D85ACB">
                <wp:simplePos x="0" y="0"/>
                <wp:positionH relativeFrom="column">
                  <wp:posOffset>3848100</wp:posOffset>
                </wp:positionH>
                <wp:positionV relativeFrom="paragraph">
                  <wp:posOffset>1819910</wp:posOffset>
                </wp:positionV>
                <wp:extent cx="1601470" cy="1066800"/>
                <wp:effectExtent l="0" t="38100" r="55880" b="19050"/>
                <wp:wrapNone/>
                <wp:docPr id="31" name="31 Conector recto de flecha"/>
                <wp:cNvGraphicFramePr/>
                <a:graphic xmlns:a="http://schemas.openxmlformats.org/drawingml/2006/main">
                  <a:graphicData uri="http://schemas.microsoft.com/office/word/2010/wordprocessingShape">
                    <wps:wsp>
                      <wps:cNvCnPr/>
                      <wps:spPr>
                        <a:xfrm flipV="1">
                          <a:off x="0" y="0"/>
                          <a:ext cx="1601470" cy="10668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31 Conector recto de flecha" o:spid="_x0000_s1026" type="#_x0000_t32" style="position:absolute;margin-left:303pt;margin-top:143.3pt;width:126.1pt;height:84pt;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" strokecolor="#4579b8 [3044]">
                <v:stroke endarrow="open"/>
              </v:shape>
            </w:pict>
          </mc:Fallback>
        </mc:AlternateContent>
      </w:r>
      <w:r>
        <w:rPr>
          <w:noProof/>
          <w:lang w:val="en-US"/>
        </w:rPr>
        <mc:AlternateContent>
          <mc:Choice Requires="wps">
            <w:drawing>
              <wp:anchor distT="0" distB="0" distL="114300" distR="114300" simplePos="0" relativeHeight="251677696" behindDoc="0" locked="0" layoutInCell="1" allowOverlap="1" wp14:anchorId="7841F47B" wp14:editId="154D14E9">
                <wp:simplePos x="0" y="0"/>
                <wp:positionH relativeFrom="column">
                  <wp:posOffset>3343275</wp:posOffset>
                </wp:positionH>
                <wp:positionV relativeFrom="paragraph">
                  <wp:posOffset>1819910</wp:posOffset>
                </wp:positionV>
                <wp:extent cx="942975" cy="1066166"/>
                <wp:effectExtent l="0" t="38100" r="47625" b="19685"/>
                <wp:wrapNone/>
                <wp:docPr id="30" name="30 Conector recto de flecha"/>
                <wp:cNvGraphicFramePr/>
                <a:graphic xmlns:a="http://schemas.openxmlformats.org/drawingml/2006/main">
                  <a:graphicData uri="http://schemas.microsoft.com/office/word/2010/wordprocessingShape">
                    <wps:wsp>
                      <wps:cNvCnPr/>
                      <wps:spPr>
                        <a:xfrm flipV="1">
                          <a:off x="0" y="0"/>
                          <a:ext cx="942975" cy="1066166"/>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30 Conector recto de flecha" o:spid="_x0000_s1026" type="#_x0000_t32" style="position:absolute;margin-left:263.25pt;margin-top:143.3pt;width:74.25pt;height:83.95pt;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" strokecolor="#4579b8 [3044]">
                <v:stroke endarrow="open"/>
              </v:shape>
            </w:pict>
          </mc:Fallback>
        </mc:AlternateContent>
      </w:r>
      <w:r>
        <w:rPr>
          <w:noProof/>
          <w:lang w:val="en-US"/>
        </w:rPr>
        <mc:AlternateContent>
          <mc:Choice Requires="wps">
            <w:drawing>
              <wp:anchor distT="0" distB="0" distL="114300" distR="114300" simplePos="0" relativeHeight="251676672" behindDoc="0" locked="0" layoutInCell="1" allowOverlap="1" wp14:anchorId="1E142328" wp14:editId="05956783">
                <wp:simplePos x="0" y="0"/>
                <wp:positionH relativeFrom="column">
                  <wp:posOffset>3028950</wp:posOffset>
                </wp:positionH>
                <wp:positionV relativeFrom="paragraph">
                  <wp:posOffset>1819910</wp:posOffset>
                </wp:positionV>
                <wp:extent cx="0" cy="1066800"/>
                <wp:effectExtent l="95250" t="38100" r="57150" b="19050"/>
                <wp:wrapNone/>
                <wp:docPr id="29" name="29 Conector recto de flecha"/>
                <wp:cNvGraphicFramePr/>
                <a:graphic xmlns:a="http://schemas.openxmlformats.org/drawingml/2006/main">
                  <a:graphicData uri="http://schemas.microsoft.com/office/word/2010/wordprocessingShape">
                    <wps:wsp>
                      <wps:cNvCnPr/>
                      <wps:spPr>
                        <a:xfrm flipV="1">
                          <a:off x="0" y="0"/>
                          <a:ext cx="0" cy="10668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29 Conector recto de flecha" o:spid="_x0000_s1026" type="#_x0000_t32" style="position:absolute;margin-left:238.5pt;margin-top:143.3pt;width:0;height:84pt;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" strokecolor="#4579b8 [3044]">
                <v:stroke endarrow="open"/>
              </v:shape>
            </w:pict>
          </mc:Fallback>
        </mc:AlternateContent>
      </w:r>
      <w:r>
        <w:rPr>
          <w:noProof/>
          <w:lang w:val="en-US"/>
        </w:rPr>
        <mc:AlternateContent>
          <mc:Choice Requires="wps">
            <w:drawing>
              <wp:anchor distT="0" distB="0" distL="114300" distR="114300" simplePos="0" relativeHeight="251679744" behindDoc="0" locked="0" layoutInCell="1" allowOverlap="1" wp14:anchorId="4BA833A1" wp14:editId="0ED19496">
                <wp:simplePos x="0" y="0"/>
                <wp:positionH relativeFrom="column">
                  <wp:posOffset>1771650</wp:posOffset>
                </wp:positionH>
                <wp:positionV relativeFrom="paragraph">
                  <wp:posOffset>1819910</wp:posOffset>
                </wp:positionV>
                <wp:extent cx="861060" cy="1068071"/>
                <wp:effectExtent l="38100" t="38100" r="34290" b="17780"/>
                <wp:wrapNone/>
                <wp:docPr id="32" name="32 Conector recto de flecha"/>
                <wp:cNvGraphicFramePr/>
                <a:graphic xmlns:a="http://schemas.openxmlformats.org/drawingml/2006/main">
                  <a:graphicData uri="http://schemas.microsoft.com/office/word/2010/wordprocessingShape">
                    <wps:wsp>
                      <wps:cNvCnPr/>
                      <wps:spPr>
                        <a:xfrm flipH="1" flipV="1">
                          <a:off x="0" y="0"/>
                          <a:ext cx="861060" cy="1068071"/>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32 Conector recto de flecha" o:spid="_x0000_s1026" type="#_x0000_t32" style="position:absolute;margin-left:139.5pt;margin-top:143.3pt;width:67.8pt;height:84.1pt;flip:x 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" strokecolor="#4579b8 [3044]">
                <v:stroke endarrow="open"/>
              </v:shape>
            </w:pict>
          </mc:Fallback>
        </mc:AlternateContent>
      </w:r>
      <w:r>
        <w:rPr>
          <w:noProof/>
          <w:lang w:val="en-US"/>
        </w:rPr>
        <mc:AlternateContent>
          <mc:Choice Requires="wps">
            <w:drawing>
              <wp:anchor distT="0" distB="0" distL="114300" distR="114300" simplePos="0" relativeHeight="251675648" behindDoc="0" locked="0" layoutInCell="1" allowOverlap="1" wp14:anchorId="7B2A69B9" wp14:editId="2526E65B">
                <wp:simplePos x="0" y="0"/>
                <wp:positionH relativeFrom="column">
                  <wp:posOffset>371475</wp:posOffset>
                </wp:positionH>
                <wp:positionV relativeFrom="paragraph">
                  <wp:posOffset>1819910</wp:posOffset>
                </wp:positionV>
                <wp:extent cx="1901191" cy="1066166"/>
                <wp:effectExtent l="38100" t="38100" r="22860" b="19685"/>
                <wp:wrapNone/>
                <wp:docPr id="28" name="28 Conector recto de flecha"/>
                <wp:cNvGraphicFramePr/>
                <a:graphic xmlns:a="http://schemas.openxmlformats.org/drawingml/2006/main">
                  <a:graphicData uri="http://schemas.microsoft.com/office/word/2010/wordprocessingShape">
                    <wps:wsp>
                      <wps:cNvCnPr/>
                      <wps:spPr>
                        <a:xfrm flipH="1" flipV="1">
                          <a:off x="0" y="0"/>
                          <a:ext cx="1901191" cy="1066166"/>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28 Conector recto de flecha" o:spid="_x0000_s1026" type="#_x0000_t32" style="position:absolute;margin-left:29.25pt;margin-top:143.3pt;width:149.7pt;height:83.95pt;flip:x 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" strokecolor="#4579b8 [3044]">
                <v:stroke endarrow="open"/>
              </v:shape>
            </w:pict>
          </mc:Fallback>
        </mc:AlternateContent>
      </w:r>
      <w:r>
        <w:rPr>
          <w:noProof/>
          <w:lang w:val="en-US"/>
        </w:rPr>
        <mc:AlternateContent>
          <mc:Choice Requires="wps">
            <w:drawing>
              <wp:anchor distT="0" distB="0" distL="114300" distR="114300" simplePos="0" relativeHeight="251660288" behindDoc="0" locked="0" layoutInCell="1" allowOverlap="1" wp14:anchorId="34119EBD" wp14:editId="230383AA">
                <wp:simplePos x="0" y="0"/>
                <wp:positionH relativeFrom="column">
                  <wp:posOffset>2249805</wp:posOffset>
                </wp:positionH>
                <wp:positionV relativeFrom="paragraph">
                  <wp:posOffset>2888615</wp:posOffset>
                </wp:positionV>
                <wp:extent cx="1635760" cy="563245"/>
                <wp:effectExtent l="0" t="0" r="21590" b="27305"/>
                <wp:wrapNone/>
                <wp:docPr id="13" name="13 Cuadro de texto"/>
                <wp:cNvGraphicFramePr/>
                <a:graphic xmlns:a="http://schemas.openxmlformats.org/drawingml/2006/main">
                  <a:graphicData uri="http://schemas.microsoft.com/office/word/2010/wordprocessingShape">
                    <wps:wsp>
                      <wps:cNvSpPr txBox="1"/>
                      <wps:spPr>
                        <a:xfrm>
                          <a:off x="0" y="0"/>
                          <a:ext cx="1635760" cy="563245"/>
                        </a:xfrm>
                        <a:prstGeom prst="rect">
                          <a:avLst/>
                        </a:prstGeom>
                        <a:ln/>
                      </wps:spPr>
                      <wps:style>
                        <a:lnRef idx="2">
                          <a:schemeClr val="accent1"/>
                        </a:lnRef>
                        <a:fillRef idx="1">
                          <a:schemeClr val="lt1"/>
                        </a:fillRef>
                        <a:effectRef idx="0">
                          <a:schemeClr val="accent1"/>
                        </a:effectRef>
                        <a:fontRef idx="minor">
                          <a:schemeClr val="dk1"/>
                        </a:fontRef>
                      </wps:style>
                      <wps:txbx>
                        <w:txbxContent>
                          <w:p w:rsidR="006A1C14" w:rsidRPr="00011410" w:rsidRDefault="006A1C14" w:rsidP="00011410">
                            <w:pPr>
                              <w:jc w:val="center"/>
                              <w:rPr>
                                <w:b/>
                                <w:sz w:val="22"/>
                                <w:szCs w:val="22"/>
                                <w:lang w:val="es-ES"/>
                              </w:rPr>
                            </w:pPr>
                            <w:r w:rsidRPr="00011410">
                              <w:rPr>
                                <w:b/>
                                <w:sz w:val="22"/>
                                <w:szCs w:val="22"/>
                                <w:lang w:val="es-ES"/>
                              </w:rPr>
                              <w:t>Bajos niveles de servicio y operatividad de la red vial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13 Cuadro de texto" o:spid="_x0000_s1035" type="#_x0000_t202" style="position:absolute;margin-left:177.15pt;margin-top:227.45pt;width:128.8pt;height:44.3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" fillcolor="white [3201]" strokecolor="#4f81bd [3204]" strokeweight="2pt">
                <v:textbox>
                  <w:txbxContent>
                    <w:p w:rsidR="006A1C14" w:rsidRPr="00011410" w:rsidRDefault="006A1C14" w:rsidP="00011410">
                      <w:pPr>
                        <w:jc w:val="center"/>
                        <w:rPr>
                          <w:b/>
                          <w:sz w:val="22"/>
                          <w:szCs w:val="22"/>
                          <w:lang w:val="es-ES"/>
                        </w:rPr>
                      </w:pPr>
                      <w:r w:rsidRPr="00011410">
                        <w:rPr>
                          <w:b/>
                          <w:sz w:val="22"/>
                          <w:szCs w:val="22"/>
                          <w:lang w:val="es-ES"/>
                        </w:rPr>
                        <w:t>Bajos niveles de servicio y operatividad de la red vial</w:t>
                      </w:r>
                    </w:p>
                  </w:txbxContent>
                </v:textbox>
              </v:shape>
            </w:pict>
          </mc:Fallback>
        </mc:AlternateContent>
      </w:r>
      <w:r w:rsidR="006A1C14">
        <w:rPr>
          <w:noProof/>
          <w:lang w:val="en-US"/>
        </w:rPr>
        <mc:AlternateContent>
          <mc:Choice Requires="wps">
            <w:drawing>
              <wp:anchor distT="0" distB="0" distL="114300" distR="114300" simplePos="0" relativeHeight="251661312" behindDoc="0" locked="0" layoutInCell="1" allowOverlap="1" wp14:anchorId="15C9D624" wp14:editId="7B28D607">
                <wp:simplePos x="0" y="0"/>
                <wp:positionH relativeFrom="column">
                  <wp:posOffset>-143510</wp:posOffset>
                </wp:positionH>
                <wp:positionV relativeFrom="paragraph">
                  <wp:posOffset>942975</wp:posOffset>
                </wp:positionV>
                <wp:extent cx="1073150" cy="872490"/>
                <wp:effectExtent l="0" t="0" r="12700" b="22860"/>
                <wp:wrapNone/>
                <wp:docPr id="12" name="12 Cuadro de texto"/>
                <wp:cNvGraphicFramePr/>
                <a:graphic xmlns:a="http://schemas.openxmlformats.org/drawingml/2006/main">
                  <a:graphicData uri="http://schemas.microsoft.com/office/word/2010/wordprocessingShape">
                    <wps:wsp>
                      <wps:cNvSpPr txBox="1"/>
                      <wps:spPr>
                        <a:xfrm>
                          <a:off x="0" y="0"/>
                          <a:ext cx="1073150" cy="872490"/>
                        </a:xfrm>
                        <a:prstGeom prst="rect">
                          <a:avLst/>
                        </a:prstGeom>
                        <a:ln/>
                      </wps:spPr>
                      <wps:style>
                        <a:lnRef idx="2">
                          <a:schemeClr val="accent1"/>
                        </a:lnRef>
                        <a:fillRef idx="1">
                          <a:schemeClr val="lt1"/>
                        </a:fillRef>
                        <a:effectRef idx="0">
                          <a:schemeClr val="accent1"/>
                        </a:effectRef>
                        <a:fontRef idx="minor">
                          <a:schemeClr val="dk1"/>
                        </a:fontRef>
                      </wps:style>
                      <wps:txbx>
                        <w:txbxContent>
                          <w:p w:rsidR="006A1C14" w:rsidRPr="00011410" w:rsidRDefault="006A1C14" w:rsidP="006A1C14">
                            <w:pPr>
                              <w:jc w:val="center"/>
                              <w:rPr>
                                <w:sz w:val="22"/>
                                <w:szCs w:val="22"/>
                                <w:lang w:val="es-ES"/>
                              </w:rPr>
                            </w:pPr>
                            <w:r w:rsidRPr="00011410">
                              <w:rPr>
                                <w:sz w:val="22"/>
                                <w:szCs w:val="22"/>
                                <w:lang w:val="es-ES"/>
                              </w:rPr>
                              <w:t>Incremento en costos de operación vehicular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12 Cuadro de texto" o:spid="_x0000_s1036" type="#_x0000_t202" style="position:absolute;margin-left:-11.3pt;margin-top:74.25pt;width:84.5pt;height:68.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" fillcolor="white [3201]" strokecolor="#4f81bd [3204]" strokeweight="2pt">
                <v:textbox>
                  <w:txbxContent>
                    <w:p w:rsidR="006A1C14" w:rsidRPr="00011410" w:rsidRDefault="006A1C14" w:rsidP="006A1C14">
                      <w:pPr>
                        <w:jc w:val="center"/>
                        <w:rPr>
                          <w:sz w:val="22"/>
                          <w:szCs w:val="22"/>
                          <w:lang w:val="es-ES"/>
                        </w:rPr>
                      </w:pPr>
                      <w:r w:rsidRPr="00011410">
                        <w:rPr>
                          <w:sz w:val="22"/>
                          <w:szCs w:val="22"/>
                          <w:lang w:val="es-ES"/>
                        </w:rPr>
                        <w:t>Incremento en costos de operación vehicular</w:t>
                      </w:r>
                    </w:p>
                  </w:txbxContent>
                </v:textbox>
              </v:shape>
            </w:pict>
          </mc:Fallback>
        </mc:AlternateContent>
      </w:r>
      <w:r w:rsidR="006A1C14">
        <w:rPr>
          <w:noProof/>
          <w:lang w:val="en-US"/>
        </w:rPr>
        <mc:AlternateContent>
          <mc:Choice Requires="wps">
            <w:drawing>
              <wp:anchor distT="0" distB="0" distL="114300" distR="114300" simplePos="0" relativeHeight="251662336" behindDoc="0" locked="0" layoutInCell="1" allowOverlap="1" wp14:anchorId="49DCE54B" wp14:editId="3A555067">
                <wp:simplePos x="0" y="0"/>
                <wp:positionH relativeFrom="column">
                  <wp:posOffset>1206500</wp:posOffset>
                </wp:positionH>
                <wp:positionV relativeFrom="paragraph">
                  <wp:posOffset>944245</wp:posOffset>
                </wp:positionV>
                <wp:extent cx="1052195" cy="872490"/>
                <wp:effectExtent l="0" t="0" r="14605" b="22860"/>
                <wp:wrapNone/>
                <wp:docPr id="6" name="6 Cuadro de texto"/>
                <wp:cNvGraphicFramePr/>
                <a:graphic xmlns:a="http://schemas.openxmlformats.org/drawingml/2006/main">
                  <a:graphicData uri="http://schemas.microsoft.com/office/word/2010/wordprocessingShape">
                    <wps:wsp>
                      <wps:cNvSpPr txBox="1"/>
                      <wps:spPr>
                        <a:xfrm>
                          <a:off x="0" y="0"/>
                          <a:ext cx="1052195" cy="872490"/>
                        </a:xfrm>
                        <a:prstGeom prst="rect">
                          <a:avLst/>
                        </a:prstGeom>
                        <a:ln/>
                      </wps:spPr>
                      <wps:style>
                        <a:lnRef idx="2">
                          <a:schemeClr val="accent1"/>
                        </a:lnRef>
                        <a:fillRef idx="1">
                          <a:schemeClr val="lt1"/>
                        </a:fillRef>
                        <a:effectRef idx="0">
                          <a:schemeClr val="accent1"/>
                        </a:effectRef>
                        <a:fontRef idx="minor">
                          <a:schemeClr val="dk1"/>
                        </a:fontRef>
                      </wps:style>
                      <wps:txbx>
                        <w:txbxContent>
                          <w:p w:rsidR="006A1C14" w:rsidRPr="00011410" w:rsidRDefault="006A1C14" w:rsidP="006A1C14">
                            <w:pPr>
                              <w:jc w:val="center"/>
                              <w:rPr>
                                <w:sz w:val="22"/>
                                <w:szCs w:val="22"/>
                                <w:lang w:val="es-ES"/>
                              </w:rPr>
                            </w:pPr>
                            <w:r w:rsidRPr="00011410">
                              <w:rPr>
                                <w:sz w:val="22"/>
                                <w:szCs w:val="22"/>
                                <w:lang w:val="es-ES"/>
                              </w:rPr>
                              <w:t>Incremento en tiempos de viaje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6 Cuadro de texto" o:spid="_x0000_s1037" type="#_x0000_t202" style="position:absolute;margin-left:95pt;margin-top:74.35pt;width:82.85pt;height:68.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" fillcolor="white [3201]" strokecolor="#4f81bd [3204]" strokeweight="2pt">
                <v:textbox>
                  <w:txbxContent>
                    <w:p w:rsidR="006A1C14" w:rsidRPr="00011410" w:rsidRDefault="006A1C14" w:rsidP="006A1C14">
                      <w:pPr>
                        <w:jc w:val="center"/>
                        <w:rPr>
                          <w:sz w:val="22"/>
                          <w:szCs w:val="22"/>
                          <w:lang w:val="es-ES"/>
                        </w:rPr>
                      </w:pPr>
                      <w:r w:rsidRPr="00011410">
                        <w:rPr>
                          <w:sz w:val="22"/>
                          <w:szCs w:val="22"/>
                          <w:lang w:val="es-ES"/>
                        </w:rPr>
                        <w:t>Incremento en tiempos de viaje</w:t>
                      </w:r>
                    </w:p>
                  </w:txbxContent>
                </v:textbox>
              </v:shape>
            </w:pict>
          </mc:Fallback>
        </mc:AlternateContent>
      </w:r>
      <w:r w:rsidR="006A1C14">
        <w:rPr>
          <w:noProof/>
          <w:lang w:val="en-US"/>
        </w:rPr>
        <mc:AlternateContent>
          <mc:Choice Requires="wps">
            <w:drawing>
              <wp:anchor distT="0" distB="0" distL="114300" distR="114300" simplePos="0" relativeHeight="251667456" behindDoc="0" locked="0" layoutInCell="1" allowOverlap="1" wp14:anchorId="0D72649F" wp14:editId="788ADBFC">
                <wp:simplePos x="0" y="0"/>
                <wp:positionH relativeFrom="column">
                  <wp:posOffset>3672840</wp:posOffset>
                </wp:positionH>
                <wp:positionV relativeFrom="paragraph">
                  <wp:posOffset>936625</wp:posOffset>
                </wp:positionV>
                <wp:extent cx="1116330" cy="887730"/>
                <wp:effectExtent l="0" t="0" r="26670" b="26670"/>
                <wp:wrapNone/>
                <wp:docPr id="18" name="18 Cuadro de texto"/>
                <wp:cNvGraphicFramePr/>
                <a:graphic xmlns:a="http://schemas.openxmlformats.org/drawingml/2006/main">
                  <a:graphicData uri="http://schemas.microsoft.com/office/word/2010/wordprocessingShape">
                    <wps:wsp>
                      <wps:cNvSpPr txBox="1"/>
                      <wps:spPr>
                        <a:xfrm>
                          <a:off x="0" y="0"/>
                          <a:ext cx="1116330" cy="887730"/>
                        </a:xfrm>
                        <a:prstGeom prst="rect">
                          <a:avLst/>
                        </a:prstGeom>
                        <a:ln/>
                      </wps:spPr>
                      <wps:style>
                        <a:lnRef idx="2">
                          <a:schemeClr val="accent1"/>
                        </a:lnRef>
                        <a:fillRef idx="1">
                          <a:schemeClr val="lt1"/>
                        </a:fillRef>
                        <a:effectRef idx="0">
                          <a:schemeClr val="accent1"/>
                        </a:effectRef>
                        <a:fontRef idx="minor">
                          <a:schemeClr val="dk1"/>
                        </a:fontRef>
                      </wps:style>
                      <wps:txbx>
                        <w:txbxContent>
                          <w:p w:rsidR="006A1C14" w:rsidRPr="00011410" w:rsidRDefault="006A1C14" w:rsidP="006A1C14">
                            <w:pPr>
                              <w:jc w:val="center"/>
                              <w:rPr>
                                <w:sz w:val="22"/>
                                <w:szCs w:val="22"/>
                                <w:lang w:val="es-ES"/>
                              </w:rPr>
                            </w:pPr>
                            <w:r w:rsidRPr="00011410">
                              <w:rPr>
                                <w:sz w:val="22"/>
                                <w:szCs w:val="22"/>
                                <w:lang w:val="es-ES"/>
                              </w:rPr>
                              <w:t>Dificultad de acceso a servicios primarios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18 Cuadro de texto" o:spid="_x0000_s1038" type="#_x0000_t202" style="position:absolute;margin-left:289.2pt;margin-top:73.75pt;width:87.9pt;height:69.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" fillcolor="white [3201]" strokecolor="#4f81bd [3204]" strokeweight="2pt">
                <v:textbox>
                  <w:txbxContent>
                    <w:p w:rsidR="006A1C14" w:rsidRPr="00011410" w:rsidRDefault="006A1C14" w:rsidP="006A1C14">
                      <w:pPr>
                        <w:jc w:val="center"/>
                        <w:rPr>
                          <w:sz w:val="22"/>
                          <w:szCs w:val="22"/>
                          <w:lang w:val="es-ES"/>
                        </w:rPr>
                      </w:pPr>
                      <w:r w:rsidRPr="00011410">
                        <w:rPr>
                          <w:sz w:val="22"/>
                          <w:szCs w:val="22"/>
                          <w:lang w:val="es-ES"/>
                        </w:rPr>
                        <w:t>Dificultad de acceso a servicios primarios</w:t>
                      </w:r>
                    </w:p>
                  </w:txbxContent>
                </v:textbox>
              </v:shape>
            </w:pict>
          </mc:Fallback>
        </mc:AlternateContent>
      </w:r>
      <w:r w:rsidR="006A1C14">
        <w:rPr>
          <w:noProof/>
          <w:lang w:val="en-US"/>
        </w:rPr>
        <mc:AlternateContent>
          <mc:Choice Requires="wps">
            <w:drawing>
              <wp:anchor distT="0" distB="0" distL="114300" distR="114300" simplePos="0" relativeHeight="251663360" behindDoc="0" locked="0" layoutInCell="1" allowOverlap="1" wp14:anchorId="684F5730" wp14:editId="46D0CDD7">
                <wp:simplePos x="0" y="0"/>
                <wp:positionH relativeFrom="column">
                  <wp:posOffset>4866640</wp:posOffset>
                </wp:positionH>
                <wp:positionV relativeFrom="paragraph">
                  <wp:posOffset>942975</wp:posOffset>
                </wp:positionV>
                <wp:extent cx="1148080" cy="872490"/>
                <wp:effectExtent l="0" t="0" r="13970" b="22860"/>
                <wp:wrapNone/>
                <wp:docPr id="5" name="5 Cuadro de texto"/>
                <wp:cNvGraphicFramePr/>
                <a:graphic xmlns:a="http://schemas.openxmlformats.org/drawingml/2006/main">
                  <a:graphicData uri="http://schemas.microsoft.com/office/word/2010/wordprocessingShape">
                    <wps:wsp>
                      <wps:cNvSpPr txBox="1"/>
                      <wps:spPr>
                        <a:xfrm>
                          <a:off x="0" y="0"/>
                          <a:ext cx="1148080" cy="872490"/>
                        </a:xfrm>
                        <a:prstGeom prst="rect">
                          <a:avLst/>
                        </a:prstGeom>
                        <a:ln/>
                      </wps:spPr>
                      <wps:style>
                        <a:lnRef idx="2">
                          <a:schemeClr val="accent1"/>
                        </a:lnRef>
                        <a:fillRef idx="1">
                          <a:schemeClr val="lt1"/>
                        </a:fillRef>
                        <a:effectRef idx="0">
                          <a:schemeClr val="accent1"/>
                        </a:effectRef>
                        <a:fontRef idx="minor">
                          <a:schemeClr val="dk1"/>
                        </a:fontRef>
                      </wps:style>
                      <wps:txbx>
                        <w:txbxContent>
                          <w:p w:rsidR="006A1C14" w:rsidRPr="00011410" w:rsidRDefault="006A1C14" w:rsidP="006A1C14">
                            <w:pPr>
                              <w:jc w:val="center"/>
                              <w:rPr>
                                <w:sz w:val="22"/>
                                <w:szCs w:val="22"/>
                                <w:lang w:val="es-ES"/>
                              </w:rPr>
                            </w:pPr>
                            <w:r w:rsidRPr="00011410">
                              <w:rPr>
                                <w:sz w:val="22"/>
                                <w:szCs w:val="22"/>
                                <w:lang w:val="es-ES"/>
                              </w:rPr>
                              <w:t>Limitado acceso a áreas rurales de producción primaria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5 Cuadro de texto" o:spid="_x0000_s1039" type="#_x0000_t202" style="position:absolute;margin-left:383.2pt;margin-top:74.25pt;width:90.4pt;height:68.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" fillcolor="white [3201]" strokecolor="#4f81bd [3204]" strokeweight="2pt">
                <v:textbox>
                  <w:txbxContent>
                    <w:p w:rsidR="006A1C14" w:rsidRPr="00011410" w:rsidRDefault="006A1C14" w:rsidP="006A1C14">
                      <w:pPr>
                        <w:jc w:val="center"/>
                        <w:rPr>
                          <w:sz w:val="22"/>
                          <w:szCs w:val="22"/>
                          <w:lang w:val="es-ES"/>
                        </w:rPr>
                      </w:pPr>
                      <w:r w:rsidRPr="00011410">
                        <w:rPr>
                          <w:sz w:val="22"/>
                          <w:szCs w:val="22"/>
                          <w:lang w:val="es-ES"/>
                        </w:rPr>
                        <w:t>Limitado acceso a áreas rurales de producción primaria</w:t>
                      </w:r>
                    </w:p>
                  </w:txbxContent>
                </v:textbox>
              </v:shape>
            </w:pict>
          </mc:Fallback>
        </mc:AlternateContent>
      </w:r>
      <w:r w:rsidR="006A1C14">
        <w:rPr>
          <w:noProof/>
          <w:lang w:val="en-US"/>
        </w:rPr>
        <mc:AlternateContent>
          <mc:Choice Requires="wps">
            <w:drawing>
              <wp:anchor distT="0" distB="0" distL="114300" distR="114300" simplePos="0" relativeHeight="251664384" behindDoc="0" locked="0" layoutInCell="1" allowOverlap="1" wp14:anchorId="23AED27F" wp14:editId="04CE0757">
                <wp:simplePos x="0" y="0"/>
                <wp:positionH relativeFrom="column">
                  <wp:posOffset>2471420</wp:posOffset>
                </wp:positionH>
                <wp:positionV relativeFrom="paragraph">
                  <wp:posOffset>938530</wp:posOffset>
                </wp:positionV>
                <wp:extent cx="1083945" cy="874395"/>
                <wp:effectExtent l="0" t="0" r="20955" b="20955"/>
                <wp:wrapNone/>
                <wp:docPr id="2" name="2 Cuadro de texto"/>
                <wp:cNvGraphicFramePr/>
                <a:graphic xmlns:a="http://schemas.openxmlformats.org/drawingml/2006/main">
                  <a:graphicData uri="http://schemas.microsoft.com/office/word/2010/wordprocessingShape">
                    <wps:wsp>
                      <wps:cNvSpPr txBox="1"/>
                      <wps:spPr>
                        <a:xfrm>
                          <a:off x="0" y="0"/>
                          <a:ext cx="1083945" cy="874395"/>
                        </a:xfrm>
                        <a:prstGeom prst="rect">
                          <a:avLst/>
                        </a:prstGeom>
                        <a:ln/>
                      </wps:spPr>
                      <wps:style>
                        <a:lnRef idx="2">
                          <a:schemeClr val="accent1"/>
                        </a:lnRef>
                        <a:fillRef idx="1">
                          <a:schemeClr val="lt1"/>
                        </a:fillRef>
                        <a:effectRef idx="0">
                          <a:schemeClr val="accent1"/>
                        </a:effectRef>
                        <a:fontRef idx="minor">
                          <a:schemeClr val="dk1"/>
                        </a:fontRef>
                      </wps:style>
                      <wps:txbx>
                        <w:txbxContent>
                          <w:p w:rsidR="006A1C14" w:rsidRPr="00011410" w:rsidRDefault="006A1C14" w:rsidP="006A1C14">
                            <w:pPr>
                              <w:jc w:val="center"/>
                              <w:rPr>
                                <w:sz w:val="22"/>
                                <w:szCs w:val="22"/>
                                <w:lang w:val="es-ES"/>
                              </w:rPr>
                            </w:pPr>
                            <w:r w:rsidRPr="00011410">
                              <w:rPr>
                                <w:sz w:val="22"/>
                                <w:szCs w:val="22"/>
                                <w:lang w:val="es-ES"/>
                              </w:rPr>
                              <w:t>Mayores niveles de accidentalidad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2 Cuadro de texto" o:spid="_x0000_s1040" type="#_x0000_t202" style="position:absolute;margin-left:194.6pt;margin-top:73.9pt;width:85.35pt;height:68.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" fillcolor="white [3201]" strokecolor="#4f81bd [3204]" strokeweight="2pt">
                <v:textbox>
                  <w:txbxContent>
                    <w:p w:rsidR="006A1C14" w:rsidRPr="00011410" w:rsidRDefault="006A1C14" w:rsidP="006A1C14">
                      <w:pPr>
                        <w:jc w:val="center"/>
                        <w:rPr>
                          <w:sz w:val="22"/>
                          <w:szCs w:val="22"/>
                          <w:lang w:val="es-ES"/>
                        </w:rPr>
                      </w:pPr>
                      <w:r w:rsidRPr="00011410">
                        <w:rPr>
                          <w:sz w:val="22"/>
                          <w:szCs w:val="22"/>
                          <w:lang w:val="es-ES"/>
                        </w:rPr>
                        <w:t>Mayores niveles de accidentalidad</w:t>
                      </w:r>
                    </w:p>
                  </w:txbxContent>
                </v:textbox>
              </v:shape>
            </w:pict>
          </mc:Fallback>
        </mc:AlternateContent>
      </w:r>
    </w:p>
    <w:sectPr w:rsidR="00F35898" w:rsidRPr="002D4396" w:rsidSect="00380B1E">
      <w:headerReference w:type="default" r:id="rId2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40AC" w:rsidRDefault="007640AC" w:rsidP="00093BAE">
      <w:r>
        <w:separator/>
      </w:r>
    </w:p>
  </w:endnote>
  <w:endnote w:type="continuationSeparator" w:id="0">
    <w:p w:rsidR="007640AC" w:rsidRDefault="007640AC" w:rsidP="00093B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1C14" w:rsidRPr="005F6919" w:rsidRDefault="006A1C14" w:rsidP="005F6919">
    <w:pPr>
      <w:pStyle w:val="Footer"/>
      <w:jc w:val="center"/>
      <w:rPr>
        <w:sz w:val="20"/>
      </w:rPr>
    </w:pPr>
    <w:r w:rsidRPr="005F6919">
      <w:rPr>
        <w:sz w:val="20"/>
      </w:rPr>
      <w:fldChar w:fldCharType="begin"/>
    </w:r>
    <w:r w:rsidRPr="005F6919">
      <w:rPr>
        <w:sz w:val="20"/>
      </w:rPr>
      <w:instrText xml:space="preserve"> PAGE   \* MERGEFORMAT </w:instrText>
    </w:r>
    <w:r w:rsidRPr="005F6919">
      <w:rPr>
        <w:sz w:val="20"/>
      </w:rPr>
      <w:fldChar w:fldCharType="separate"/>
    </w:r>
    <w:r w:rsidR="00011410">
      <w:rPr>
        <w:noProof/>
        <w:sz w:val="20"/>
      </w:rPr>
      <w:t>16</w:t>
    </w:r>
    <w:r w:rsidRPr="005F6919">
      <w:rPr>
        <w:noProof/>
        <w:sz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1C14" w:rsidRPr="008D256A" w:rsidRDefault="006A1C14" w:rsidP="008D256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40AC" w:rsidRDefault="007640AC" w:rsidP="00093BAE">
      <w:r>
        <w:separator/>
      </w:r>
    </w:p>
  </w:footnote>
  <w:footnote w:type="continuationSeparator" w:id="0">
    <w:p w:rsidR="007640AC" w:rsidRDefault="007640AC" w:rsidP="00093BAE">
      <w:r>
        <w:continuationSeparator/>
      </w:r>
    </w:p>
  </w:footnote>
  <w:footnote w:id="1">
    <w:p w:rsidR="006A1C14" w:rsidRPr="00076206" w:rsidRDefault="006A1C14" w:rsidP="00540901">
      <w:pPr>
        <w:pStyle w:val="FootnoteText"/>
        <w:spacing w:after="0"/>
        <w:ind w:left="0" w:firstLine="0"/>
      </w:pPr>
      <w:r w:rsidRPr="00076206">
        <w:rPr>
          <w:rStyle w:val="FootnoteReference"/>
        </w:rPr>
        <w:footnoteRef/>
      </w:r>
      <w:r w:rsidRPr="00076206">
        <w:t xml:space="preserve"> </w:t>
      </w:r>
      <w:r w:rsidRPr="00DC627C">
        <w:t xml:space="preserve">El vínculo entre el desarrollo vial y el desarrollo económico se aborda en el libro: </w:t>
      </w:r>
      <w:r w:rsidRPr="00DC627C">
        <w:rPr>
          <w:i/>
        </w:rPr>
        <w:t xml:space="preserve">Road </w:t>
      </w:r>
      <w:proofErr w:type="spellStart"/>
      <w:r w:rsidRPr="00DC627C">
        <w:rPr>
          <w:i/>
        </w:rPr>
        <w:t>Engineering</w:t>
      </w:r>
      <w:proofErr w:type="spellEnd"/>
      <w:r w:rsidRPr="00DC627C">
        <w:rPr>
          <w:i/>
        </w:rPr>
        <w:t xml:space="preserve"> </w:t>
      </w:r>
      <w:proofErr w:type="spellStart"/>
      <w:r w:rsidRPr="00DC627C">
        <w:rPr>
          <w:i/>
        </w:rPr>
        <w:t>for</w:t>
      </w:r>
      <w:proofErr w:type="spellEnd"/>
      <w:r w:rsidRPr="00DC627C">
        <w:rPr>
          <w:i/>
        </w:rPr>
        <w:t xml:space="preserve"> Development Richard Robinson &amp; </w:t>
      </w:r>
      <w:proofErr w:type="spellStart"/>
      <w:r w:rsidRPr="00DC627C">
        <w:rPr>
          <w:i/>
        </w:rPr>
        <w:t>Bent</w:t>
      </w:r>
      <w:proofErr w:type="spellEnd"/>
      <w:r w:rsidRPr="00DC627C">
        <w:rPr>
          <w:i/>
        </w:rPr>
        <w:t xml:space="preserve"> </w:t>
      </w:r>
      <w:proofErr w:type="spellStart"/>
      <w:r w:rsidRPr="00DC627C">
        <w:rPr>
          <w:i/>
        </w:rPr>
        <w:t>Thagesen</w:t>
      </w:r>
      <w:proofErr w:type="spellEnd"/>
      <w:r w:rsidRPr="00DC627C">
        <w:rPr>
          <w:i/>
        </w:rPr>
        <w:t xml:space="preserve">, </w:t>
      </w:r>
      <w:proofErr w:type="spellStart"/>
      <w:r w:rsidRPr="00DC627C">
        <w:rPr>
          <w:i/>
        </w:rPr>
        <w:t>Chapters</w:t>
      </w:r>
      <w:proofErr w:type="spellEnd"/>
      <w:r w:rsidRPr="00DC627C">
        <w:rPr>
          <w:i/>
        </w:rPr>
        <w:t xml:space="preserve"> 1 y 2, </w:t>
      </w:r>
      <w:proofErr w:type="spellStart"/>
      <w:r w:rsidRPr="00DC627C">
        <w:rPr>
          <w:i/>
        </w:rPr>
        <w:t>Second</w:t>
      </w:r>
      <w:proofErr w:type="spellEnd"/>
      <w:r w:rsidRPr="00DC627C">
        <w:rPr>
          <w:i/>
        </w:rPr>
        <w:t xml:space="preserve"> </w:t>
      </w:r>
      <w:proofErr w:type="spellStart"/>
      <w:r w:rsidRPr="00DC627C">
        <w:rPr>
          <w:i/>
        </w:rPr>
        <w:t>Edition</w:t>
      </w:r>
      <w:proofErr w:type="spellEnd"/>
      <w:r w:rsidRPr="00DC627C">
        <w:rPr>
          <w:i/>
        </w:rPr>
        <w:t xml:space="preserve">, Taylor &amp; Francis </w:t>
      </w:r>
      <w:proofErr w:type="spellStart"/>
      <w:r w:rsidRPr="00DC627C">
        <w:rPr>
          <w:i/>
        </w:rPr>
        <w:t>Group</w:t>
      </w:r>
      <w:proofErr w:type="spellEnd"/>
      <w:r w:rsidRPr="00076206">
        <w:t>.</w:t>
      </w:r>
    </w:p>
  </w:footnote>
  <w:footnote w:id="2">
    <w:p w:rsidR="006A1C14" w:rsidRPr="00076206" w:rsidRDefault="006A1C14" w:rsidP="00540901">
      <w:pPr>
        <w:pStyle w:val="FootnoteText"/>
        <w:spacing w:after="0"/>
        <w:ind w:left="0" w:firstLine="0"/>
      </w:pPr>
      <w:r w:rsidRPr="00076206">
        <w:rPr>
          <w:rStyle w:val="FootnoteReference"/>
        </w:rPr>
        <w:footnoteRef/>
      </w:r>
      <w:r w:rsidRPr="00076206">
        <w:t xml:space="preserve"> Ver </w:t>
      </w:r>
      <w:hyperlink r:id="rId1" w:history="1">
        <w:r>
          <w:rPr>
            <w:rStyle w:val="Hyperlink"/>
          </w:rPr>
          <w:t>Enlace Electrónico Red Vial Nicaragua de 2011</w:t>
        </w:r>
      </w:hyperlink>
      <w:r w:rsidRPr="00076206">
        <w:t>.</w:t>
      </w:r>
    </w:p>
  </w:footnote>
  <w:footnote w:id="3">
    <w:p w:rsidR="006A1C14" w:rsidRDefault="006A1C14" w:rsidP="006D176D">
      <w:pPr>
        <w:pStyle w:val="FootnoteText"/>
        <w:ind w:left="0" w:firstLine="0"/>
      </w:pPr>
      <w:r>
        <w:rPr>
          <w:rStyle w:val="FootnoteReference"/>
        </w:rPr>
        <w:footnoteRef/>
      </w:r>
      <w:r>
        <w:t xml:space="preserve"> Por </w:t>
      </w:r>
      <w:r w:rsidRPr="007C5A72">
        <w:t>red mantenible</w:t>
      </w:r>
      <w:r>
        <w:t xml:space="preserve"> se entiende aquella parte de la red vial básica, que se encuentra en estado bueno o regular, la cual con intervenciones de mantenimiento periódico o rutinario puede prolongar su vida útil</w:t>
      </w:r>
      <w:r w:rsidRPr="007C5A72">
        <w:t>.</w:t>
      </w:r>
      <w:r>
        <w:t xml:space="preserve"> El FOMAV no atiende aquella parte de la red básica que por su mal estado requiera rehabilitación o reconstrucción. Tampoco interviene en la red de competencia municipal.</w:t>
      </w:r>
    </w:p>
  </w:footnote>
  <w:footnote w:id="4">
    <w:p w:rsidR="006A1C14" w:rsidRPr="00011410" w:rsidRDefault="006A1C14" w:rsidP="00284E1D">
      <w:pPr>
        <w:pStyle w:val="FootnoteText"/>
        <w:spacing w:after="0"/>
        <w:ind w:left="180" w:hanging="180"/>
        <w:rPr>
          <w:sz w:val="18"/>
          <w:rPrChange w:id="50" w:author="Inter-American Development Bank" w:date="2013-06-27T15:49:00Z">
            <w:rPr>
              <w:sz w:val="18"/>
              <w:lang w:val="en-US"/>
            </w:rPr>
          </w:rPrChange>
        </w:rPr>
      </w:pPr>
      <w:r w:rsidRPr="002C2734">
        <w:rPr>
          <w:rStyle w:val="FootnoteReference"/>
          <w:sz w:val="18"/>
        </w:rPr>
        <w:footnoteRef/>
      </w:r>
      <w:r w:rsidRPr="00011410">
        <w:rPr>
          <w:sz w:val="18"/>
          <w:rPrChange w:id="51" w:author="Inter-American Development Bank" w:date="2013-06-27T15:49:00Z">
            <w:rPr>
              <w:sz w:val="18"/>
              <w:lang w:val="en-US"/>
            </w:rPr>
          </w:rPrChange>
        </w:rPr>
        <w:t xml:space="preserve"> Fuente: World Economic Forum, The Global Competitiveness Report 2012-2013, Box 1.1 Better logistics-a  piece of the global security puzzle.</w:t>
      </w:r>
    </w:p>
  </w:footnote>
  <w:footnote w:id="5">
    <w:p w:rsidR="006A1C14" w:rsidRPr="002C2734" w:rsidRDefault="006A1C14" w:rsidP="00284E1D">
      <w:pPr>
        <w:pStyle w:val="FootnoteText"/>
        <w:spacing w:after="0"/>
        <w:ind w:left="180" w:hanging="180"/>
        <w:rPr>
          <w:sz w:val="18"/>
          <w:szCs w:val="18"/>
          <w:lang w:val="en-US"/>
        </w:rPr>
      </w:pPr>
      <w:r w:rsidRPr="002C2734">
        <w:rPr>
          <w:rStyle w:val="FootnoteReference"/>
          <w:sz w:val="18"/>
          <w:szCs w:val="18"/>
        </w:rPr>
        <w:footnoteRef/>
      </w:r>
      <w:r w:rsidRPr="002C2734">
        <w:rPr>
          <w:sz w:val="18"/>
          <w:szCs w:val="18"/>
          <w:lang w:val="en-US"/>
        </w:rPr>
        <w:t xml:space="preserve"> Public capita, Growth and Welfare, Analytical Foundations for Public Policy, Pierre-Richard </w:t>
      </w:r>
      <w:proofErr w:type="spellStart"/>
      <w:r w:rsidRPr="002C2734">
        <w:rPr>
          <w:sz w:val="18"/>
          <w:szCs w:val="18"/>
          <w:lang w:val="en-US"/>
        </w:rPr>
        <w:t>Agénor</w:t>
      </w:r>
      <w:proofErr w:type="spellEnd"/>
      <w:r w:rsidRPr="002C2734">
        <w:rPr>
          <w:sz w:val="18"/>
          <w:szCs w:val="18"/>
          <w:lang w:val="en-US"/>
        </w:rPr>
        <w:t>, Princeton University Press, 2013.</w:t>
      </w:r>
    </w:p>
  </w:footnote>
  <w:footnote w:id="6">
    <w:p w:rsidR="006A1C14" w:rsidRPr="002C2734" w:rsidRDefault="006A1C14" w:rsidP="00284E1D">
      <w:pPr>
        <w:pStyle w:val="FootnoteText"/>
        <w:spacing w:after="0"/>
        <w:ind w:left="180" w:hanging="180"/>
        <w:rPr>
          <w:sz w:val="18"/>
        </w:rPr>
      </w:pPr>
      <w:r w:rsidRPr="002C2734">
        <w:rPr>
          <w:rStyle w:val="FootnoteReference"/>
          <w:sz w:val="18"/>
        </w:rPr>
        <w:footnoteRef/>
      </w:r>
      <w:r w:rsidRPr="002C2734">
        <w:rPr>
          <w:sz w:val="18"/>
        </w:rPr>
        <w:t xml:space="preserve"> Para mayor detalle pueden revisarse los siguientes documentos: i) Nicaragua: Análisis del Impacto de los Servicios de Infraestructura y las Condiciones de Vida en las Zonas Rurales, Informe Final de Consultoría, Proyecto cooperación CEPAL/BID/FPRI; ii) Nicaragua Informe Sobre Pobreza 1993-2005, Informe Principal, 30 de marzo de 2008, Documento del Banco Mundial; iii) Monografía Oportunidades para Generar Ingresos en Nicaragua: Acceso a Infraestructura, Insumos de la Inversión, y Productividad Rural, Diego Angel-</w:t>
      </w:r>
      <w:proofErr w:type="spellStart"/>
      <w:r w:rsidRPr="002C2734">
        <w:rPr>
          <w:sz w:val="18"/>
        </w:rPr>
        <w:t>Urdinola</w:t>
      </w:r>
      <w:proofErr w:type="spellEnd"/>
      <w:r w:rsidRPr="002C2734">
        <w:rPr>
          <w:sz w:val="18"/>
        </w:rPr>
        <w:t xml:space="preserve">, Ezequiel Molina y María </w:t>
      </w:r>
      <w:proofErr w:type="spellStart"/>
      <w:r w:rsidRPr="002C2734">
        <w:rPr>
          <w:sz w:val="18"/>
        </w:rPr>
        <w:t>Victoría</w:t>
      </w:r>
      <w:proofErr w:type="spellEnd"/>
      <w:r w:rsidRPr="002C2734">
        <w:rPr>
          <w:sz w:val="18"/>
        </w:rPr>
        <w:t xml:space="preserve"> </w:t>
      </w:r>
      <w:proofErr w:type="spellStart"/>
      <w:r w:rsidRPr="002C2734">
        <w:rPr>
          <w:sz w:val="18"/>
        </w:rPr>
        <w:t>Fazio</w:t>
      </w:r>
      <w:proofErr w:type="spellEnd"/>
      <w:r w:rsidRPr="002C2734">
        <w:rPr>
          <w:sz w:val="18"/>
        </w:rPr>
        <w:t xml:space="preserve">, consultores del Banco Mundial, y iv) </w:t>
      </w:r>
      <w:r w:rsidRPr="002C2734">
        <w:rPr>
          <w:i/>
          <w:sz w:val="18"/>
        </w:rPr>
        <w:t xml:space="preserve">Rural </w:t>
      </w:r>
      <w:proofErr w:type="spellStart"/>
      <w:r w:rsidRPr="002C2734">
        <w:rPr>
          <w:i/>
          <w:sz w:val="18"/>
        </w:rPr>
        <w:t>Roads</w:t>
      </w:r>
      <w:proofErr w:type="spellEnd"/>
      <w:r w:rsidRPr="002C2734">
        <w:rPr>
          <w:i/>
          <w:sz w:val="18"/>
        </w:rPr>
        <w:t xml:space="preserve"> </w:t>
      </w:r>
      <w:proofErr w:type="spellStart"/>
      <w:r w:rsidRPr="002C2734">
        <w:rPr>
          <w:i/>
          <w:sz w:val="18"/>
        </w:rPr>
        <w:t>Infraestructure</w:t>
      </w:r>
      <w:proofErr w:type="spellEnd"/>
      <w:r w:rsidRPr="002C2734">
        <w:rPr>
          <w:i/>
          <w:sz w:val="18"/>
        </w:rPr>
        <w:t xml:space="preserve"> </w:t>
      </w:r>
      <w:proofErr w:type="spellStart"/>
      <w:r w:rsidRPr="002C2734">
        <w:rPr>
          <w:i/>
          <w:sz w:val="18"/>
        </w:rPr>
        <w:t>Improvement</w:t>
      </w:r>
      <w:proofErr w:type="spellEnd"/>
      <w:r w:rsidRPr="002C2734">
        <w:rPr>
          <w:i/>
          <w:sz w:val="18"/>
        </w:rPr>
        <w:t xml:space="preserve"> Project, </w:t>
      </w:r>
      <w:proofErr w:type="spellStart"/>
      <w:r w:rsidRPr="002C2734">
        <w:rPr>
          <w:i/>
          <w:sz w:val="18"/>
        </w:rPr>
        <w:t>Report</w:t>
      </w:r>
      <w:proofErr w:type="spellEnd"/>
      <w:r w:rsidRPr="002C2734">
        <w:rPr>
          <w:sz w:val="18"/>
        </w:rPr>
        <w:t xml:space="preserve"> No. 61418-NI, </w:t>
      </w:r>
      <w:proofErr w:type="spellStart"/>
      <w:r w:rsidRPr="002C2734">
        <w:rPr>
          <w:i/>
          <w:sz w:val="18"/>
        </w:rPr>
        <w:t>World</w:t>
      </w:r>
      <w:proofErr w:type="spellEnd"/>
      <w:r w:rsidRPr="002C2734">
        <w:rPr>
          <w:i/>
          <w:sz w:val="18"/>
        </w:rPr>
        <w:t xml:space="preserve"> Bank</w:t>
      </w:r>
      <w:r w:rsidRPr="002C2734">
        <w:rPr>
          <w:sz w:val="18"/>
        </w:rPr>
        <w:t>, noviembre 2011.</w:t>
      </w:r>
    </w:p>
  </w:footnote>
  <w:footnote w:id="7">
    <w:p w:rsidR="006A1C14" w:rsidRPr="002C2734" w:rsidRDefault="006A1C14" w:rsidP="00284E1D">
      <w:pPr>
        <w:pStyle w:val="FootnoteText"/>
        <w:spacing w:after="0"/>
        <w:ind w:left="180" w:hanging="180"/>
        <w:rPr>
          <w:sz w:val="18"/>
        </w:rPr>
      </w:pPr>
      <w:r w:rsidRPr="002C2734">
        <w:rPr>
          <w:rStyle w:val="FootnoteReference"/>
          <w:sz w:val="18"/>
        </w:rPr>
        <w:footnoteRef/>
      </w:r>
      <w:r w:rsidRPr="002C2734">
        <w:rPr>
          <w:sz w:val="18"/>
        </w:rPr>
        <w:t xml:space="preserve"> Nicaragua: Análisis del Impacto de los Servicios de Infraestructura y las Condiciones de Vida en las Zonas Rurales, Informe Final de Consultoría, Proyecto cooperación CEPAL/BID/FPRI.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1C14" w:rsidRPr="00035B57" w:rsidRDefault="006A1C14" w:rsidP="00035B5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EB179C"/>
    <w:multiLevelType w:val="multilevel"/>
    <w:tmpl w:val="33C0B16E"/>
    <w:lvl w:ilvl="0">
      <w:start w:val="5"/>
      <w:numFmt w:val="decimal"/>
      <w:lvlText w:val="%1"/>
      <w:lvlJc w:val="left"/>
      <w:pPr>
        <w:ind w:left="360" w:hanging="360"/>
      </w:pPr>
      <w:rPr>
        <w:rFonts w:hint="default"/>
        <w:b/>
      </w:rPr>
    </w:lvl>
    <w:lvl w:ilvl="1">
      <w:start w:val="1"/>
      <w:numFmt w:val="decimal"/>
      <w:lvlRestart w:val="0"/>
      <w:lvlText w:val="%1.%2"/>
      <w:lvlJc w:val="left"/>
      <w:pPr>
        <w:ind w:left="720" w:hanging="72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
    <w:nsid w:val="1D130B08"/>
    <w:multiLevelType w:val="multilevel"/>
    <w:tmpl w:val="99E454F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nsid w:val="293339D0"/>
    <w:multiLevelType w:val="hybridMultilevel"/>
    <w:tmpl w:val="9AAADB40"/>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2BE0773C"/>
    <w:multiLevelType w:val="multilevel"/>
    <w:tmpl w:val="32C2C4D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F79667C"/>
    <w:multiLevelType w:val="hybridMultilevel"/>
    <w:tmpl w:val="013CA38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3736622D"/>
    <w:multiLevelType w:val="multilevel"/>
    <w:tmpl w:val="F79A6130"/>
    <w:lvl w:ilvl="0">
      <w:start w:val="1"/>
      <w:numFmt w:val="upperLetter"/>
      <w:lvlText w:val="%1"/>
      <w:lvlJc w:val="left"/>
      <w:pPr>
        <w:ind w:left="720" w:hanging="720"/>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nsid w:val="3913543B"/>
    <w:multiLevelType w:val="multilevel"/>
    <w:tmpl w:val="BDFA98E0"/>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nsid w:val="6E8B0B90"/>
    <w:multiLevelType w:val="multilevel"/>
    <w:tmpl w:val="234ECA84"/>
    <w:lvl w:ilvl="0">
      <w:start w:val="1"/>
      <w:numFmt w:val="decimal"/>
      <w:lvlText w:val="%1"/>
      <w:lvlJc w:val="left"/>
      <w:pPr>
        <w:ind w:left="360" w:hanging="360"/>
      </w:pPr>
      <w:rPr>
        <w:rFonts w:hint="default"/>
        <w:b/>
      </w:rPr>
    </w:lvl>
    <w:lvl w:ilvl="1">
      <w:start w:val="1"/>
      <w:numFmt w:val="decimal"/>
      <w:lvlText w:val="%1.%2"/>
      <w:lvlJc w:val="left"/>
      <w:pPr>
        <w:ind w:left="54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nsid w:val="74C74592"/>
    <w:multiLevelType w:val="multilevel"/>
    <w:tmpl w:val="151E851A"/>
    <w:lvl w:ilvl="0">
      <w:start w:val="1"/>
      <w:numFmt w:val="upperRoman"/>
      <w:pStyle w:val="Heading1"/>
      <w:lvlText w:val="%1."/>
      <w:lvlJc w:val="left"/>
      <w:pPr>
        <w:tabs>
          <w:tab w:val="num" w:pos="360"/>
        </w:tabs>
        <w:ind w:left="0" w:firstLine="0"/>
      </w:pPr>
    </w:lvl>
    <w:lvl w:ilvl="1">
      <w:start w:val="1"/>
      <w:numFmt w:val="upperLetter"/>
      <w:pStyle w:val="Heading2"/>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pStyle w:val="Heading5"/>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9">
    <w:nsid w:val="7E293A7B"/>
    <w:multiLevelType w:val="multilevel"/>
    <w:tmpl w:val="33CEB384"/>
    <w:lvl w:ilvl="0">
      <w:start w:val="3"/>
      <w:numFmt w:val="decimal"/>
      <w:lvlText w:val="%1"/>
      <w:lvlJc w:val="left"/>
      <w:pPr>
        <w:ind w:left="360" w:hanging="360"/>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abstractNumId w:val="8"/>
  </w:num>
  <w:num w:numId="2">
    <w:abstractNumId w:val="7"/>
  </w:num>
  <w:num w:numId="3">
    <w:abstractNumId w:val="2"/>
  </w:num>
  <w:num w:numId="4">
    <w:abstractNumId w:val="1"/>
  </w:num>
  <w:num w:numId="5">
    <w:abstractNumId w:val="9"/>
  </w:num>
  <w:num w:numId="6">
    <w:abstractNumId w:val="6"/>
  </w:num>
  <w:num w:numId="7">
    <w:abstractNumId w:val="5"/>
  </w:num>
  <w:num w:numId="8">
    <w:abstractNumId w:val="3"/>
  </w:num>
  <w:num w:numId="9">
    <w:abstractNumId w:val="4"/>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3BAE"/>
    <w:rsid w:val="00011410"/>
    <w:rsid w:val="00011A69"/>
    <w:rsid w:val="00015914"/>
    <w:rsid w:val="00023177"/>
    <w:rsid w:val="00026F11"/>
    <w:rsid w:val="000306FB"/>
    <w:rsid w:val="00035B57"/>
    <w:rsid w:val="000412F9"/>
    <w:rsid w:val="000475A4"/>
    <w:rsid w:val="00053B60"/>
    <w:rsid w:val="00054382"/>
    <w:rsid w:val="00056E4C"/>
    <w:rsid w:val="00066E3A"/>
    <w:rsid w:val="00075A30"/>
    <w:rsid w:val="00076923"/>
    <w:rsid w:val="00081050"/>
    <w:rsid w:val="00083C8B"/>
    <w:rsid w:val="00092B8A"/>
    <w:rsid w:val="00093BAE"/>
    <w:rsid w:val="00097A8E"/>
    <w:rsid w:val="000A3780"/>
    <w:rsid w:val="000D1530"/>
    <w:rsid w:val="000D7D05"/>
    <w:rsid w:val="000E2C85"/>
    <w:rsid w:val="000E39B0"/>
    <w:rsid w:val="000E5409"/>
    <w:rsid w:val="0010451C"/>
    <w:rsid w:val="00105267"/>
    <w:rsid w:val="0010730F"/>
    <w:rsid w:val="0012192B"/>
    <w:rsid w:val="00124012"/>
    <w:rsid w:val="00135B51"/>
    <w:rsid w:val="00140468"/>
    <w:rsid w:val="0014268E"/>
    <w:rsid w:val="00150737"/>
    <w:rsid w:val="00160DDA"/>
    <w:rsid w:val="00166E4F"/>
    <w:rsid w:val="00173F95"/>
    <w:rsid w:val="001750EA"/>
    <w:rsid w:val="00182379"/>
    <w:rsid w:val="001A509E"/>
    <w:rsid w:val="001C1B87"/>
    <w:rsid w:val="001E2099"/>
    <w:rsid w:val="001F6DED"/>
    <w:rsid w:val="001F7888"/>
    <w:rsid w:val="00201358"/>
    <w:rsid w:val="002037E0"/>
    <w:rsid w:val="00217B41"/>
    <w:rsid w:val="002213C2"/>
    <w:rsid w:val="002237CC"/>
    <w:rsid w:val="00225247"/>
    <w:rsid w:val="002274A0"/>
    <w:rsid w:val="00230A91"/>
    <w:rsid w:val="00242ECA"/>
    <w:rsid w:val="00253138"/>
    <w:rsid w:val="002566BF"/>
    <w:rsid w:val="00265ED0"/>
    <w:rsid w:val="00267B8F"/>
    <w:rsid w:val="00276AFE"/>
    <w:rsid w:val="00277AE3"/>
    <w:rsid w:val="00284E1D"/>
    <w:rsid w:val="00290FD5"/>
    <w:rsid w:val="00293F5F"/>
    <w:rsid w:val="00294AB6"/>
    <w:rsid w:val="002A14CC"/>
    <w:rsid w:val="002A561B"/>
    <w:rsid w:val="002C0C0B"/>
    <w:rsid w:val="002C4B35"/>
    <w:rsid w:val="002D0EF5"/>
    <w:rsid w:val="002D1464"/>
    <w:rsid w:val="002D2DB4"/>
    <w:rsid w:val="002D34E8"/>
    <w:rsid w:val="002D4396"/>
    <w:rsid w:val="002E2542"/>
    <w:rsid w:val="002F3E1B"/>
    <w:rsid w:val="00301647"/>
    <w:rsid w:val="00303979"/>
    <w:rsid w:val="00317239"/>
    <w:rsid w:val="003234CF"/>
    <w:rsid w:val="003240C3"/>
    <w:rsid w:val="00367D35"/>
    <w:rsid w:val="00370506"/>
    <w:rsid w:val="003741D2"/>
    <w:rsid w:val="00380B1E"/>
    <w:rsid w:val="00385677"/>
    <w:rsid w:val="003968BA"/>
    <w:rsid w:val="003A0BA1"/>
    <w:rsid w:val="003C1CC9"/>
    <w:rsid w:val="003C4ED1"/>
    <w:rsid w:val="003D278E"/>
    <w:rsid w:val="003D5219"/>
    <w:rsid w:val="003E23E0"/>
    <w:rsid w:val="003F045B"/>
    <w:rsid w:val="003F28C0"/>
    <w:rsid w:val="004017DF"/>
    <w:rsid w:val="004141E8"/>
    <w:rsid w:val="00422716"/>
    <w:rsid w:val="004235AE"/>
    <w:rsid w:val="00427538"/>
    <w:rsid w:val="00431774"/>
    <w:rsid w:val="0043193E"/>
    <w:rsid w:val="00434FA5"/>
    <w:rsid w:val="00455587"/>
    <w:rsid w:val="00470BD6"/>
    <w:rsid w:val="00470F66"/>
    <w:rsid w:val="004769C1"/>
    <w:rsid w:val="00482236"/>
    <w:rsid w:val="00482CF4"/>
    <w:rsid w:val="00492AAB"/>
    <w:rsid w:val="004979F2"/>
    <w:rsid w:val="004A1929"/>
    <w:rsid w:val="004A41FA"/>
    <w:rsid w:val="004B1EFF"/>
    <w:rsid w:val="004B2EB8"/>
    <w:rsid w:val="004B42BC"/>
    <w:rsid w:val="004B49D6"/>
    <w:rsid w:val="004C46FA"/>
    <w:rsid w:val="004D42A2"/>
    <w:rsid w:val="004F7E43"/>
    <w:rsid w:val="00507A15"/>
    <w:rsid w:val="00512A50"/>
    <w:rsid w:val="00522BE7"/>
    <w:rsid w:val="00525FA4"/>
    <w:rsid w:val="00533FFC"/>
    <w:rsid w:val="00534006"/>
    <w:rsid w:val="00536CFB"/>
    <w:rsid w:val="00540792"/>
    <w:rsid w:val="00540901"/>
    <w:rsid w:val="00542BAC"/>
    <w:rsid w:val="00550F37"/>
    <w:rsid w:val="005515D8"/>
    <w:rsid w:val="0055429E"/>
    <w:rsid w:val="00555043"/>
    <w:rsid w:val="0055600B"/>
    <w:rsid w:val="0055622D"/>
    <w:rsid w:val="00557288"/>
    <w:rsid w:val="00567023"/>
    <w:rsid w:val="005764EF"/>
    <w:rsid w:val="0057665B"/>
    <w:rsid w:val="005926CE"/>
    <w:rsid w:val="00594DF5"/>
    <w:rsid w:val="00595EA1"/>
    <w:rsid w:val="005A7708"/>
    <w:rsid w:val="005B40E9"/>
    <w:rsid w:val="005C08C5"/>
    <w:rsid w:val="005D59AA"/>
    <w:rsid w:val="005D7A49"/>
    <w:rsid w:val="005F0F83"/>
    <w:rsid w:val="005F6919"/>
    <w:rsid w:val="00600CF7"/>
    <w:rsid w:val="00601C68"/>
    <w:rsid w:val="006030A8"/>
    <w:rsid w:val="00621E02"/>
    <w:rsid w:val="00624CE2"/>
    <w:rsid w:val="00626B94"/>
    <w:rsid w:val="00632C2A"/>
    <w:rsid w:val="006349A2"/>
    <w:rsid w:val="00635CE2"/>
    <w:rsid w:val="00640189"/>
    <w:rsid w:val="00643518"/>
    <w:rsid w:val="00651DA8"/>
    <w:rsid w:val="00652911"/>
    <w:rsid w:val="00664F3F"/>
    <w:rsid w:val="00664FE7"/>
    <w:rsid w:val="00665BC0"/>
    <w:rsid w:val="00676B3F"/>
    <w:rsid w:val="00682F30"/>
    <w:rsid w:val="006A1C14"/>
    <w:rsid w:val="006B0D0B"/>
    <w:rsid w:val="006B3138"/>
    <w:rsid w:val="006B7931"/>
    <w:rsid w:val="006C3A44"/>
    <w:rsid w:val="006C4407"/>
    <w:rsid w:val="006C55AE"/>
    <w:rsid w:val="006D176D"/>
    <w:rsid w:val="006D6DBA"/>
    <w:rsid w:val="006D755F"/>
    <w:rsid w:val="006D7D0B"/>
    <w:rsid w:val="006E360C"/>
    <w:rsid w:val="006F15E3"/>
    <w:rsid w:val="006F6997"/>
    <w:rsid w:val="00705649"/>
    <w:rsid w:val="00714A81"/>
    <w:rsid w:val="00733F90"/>
    <w:rsid w:val="00737791"/>
    <w:rsid w:val="00744B80"/>
    <w:rsid w:val="00751D12"/>
    <w:rsid w:val="00755905"/>
    <w:rsid w:val="00757456"/>
    <w:rsid w:val="007640AC"/>
    <w:rsid w:val="00764DCA"/>
    <w:rsid w:val="00771F5C"/>
    <w:rsid w:val="00777836"/>
    <w:rsid w:val="00782574"/>
    <w:rsid w:val="00790FA1"/>
    <w:rsid w:val="007919E8"/>
    <w:rsid w:val="007A15CC"/>
    <w:rsid w:val="007A22E9"/>
    <w:rsid w:val="007B2D80"/>
    <w:rsid w:val="007B4A76"/>
    <w:rsid w:val="007B53B0"/>
    <w:rsid w:val="007B6711"/>
    <w:rsid w:val="007B6722"/>
    <w:rsid w:val="007C03BA"/>
    <w:rsid w:val="007C6198"/>
    <w:rsid w:val="007D027B"/>
    <w:rsid w:val="007E0F85"/>
    <w:rsid w:val="007E1BE0"/>
    <w:rsid w:val="0080437C"/>
    <w:rsid w:val="008059F4"/>
    <w:rsid w:val="00813B72"/>
    <w:rsid w:val="00814C44"/>
    <w:rsid w:val="00833F20"/>
    <w:rsid w:val="00845EC0"/>
    <w:rsid w:val="00846229"/>
    <w:rsid w:val="008558F5"/>
    <w:rsid w:val="00874288"/>
    <w:rsid w:val="00875867"/>
    <w:rsid w:val="00881963"/>
    <w:rsid w:val="00894040"/>
    <w:rsid w:val="008A03FF"/>
    <w:rsid w:val="008A2C45"/>
    <w:rsid w:val="008B0A04"/>
    <w:rsid w:val="008B66BC"/>
    <w:rsid w:val="008C23C7"/>
    <w:rsid w:val="008C28B1"/>
    <w:rsid w:val="008D17D9"/>
    <w:rsid w:val="008D256A"/>
    <w:rsid w:val="008D2D1D"/>
    <w:rsid w:val="008D2E06"/>
    <w:rsid w:val="008D414C"/>
    <w:rsid w:val="008D787B"/>
    <w:rsid w:val="008E133A"/>
    <w:rsid w:val="008E38FC"/>
    <w:rsid w:val="008F0E86"/>
    <w:rsid w:val="008F1F25"/>
    <w:rsid w:val="008F6491"/>
    <w:rsid w:val="008F7D36"/>
    <w:rsid w:val="00901E2E"/>
    <w:rsid w:val="00923A15"/>
    <w:rsid w:val="0093319A"/>
    <w:rsid w:val="00936D4F"/>
    <w:rsid w:val="009474B0"/>
    <w:rsid w:val="0096493D"/>
    <w:rsid w:val="00973F11"/>
    <w:rsid w:val="009742BB"/>
    <w:rsid w:val="00976880"/>
    <w:rsid w:val="00992857"/>
    <w:rsid w:val="009A5214"/>
    <w:rsid w:val="009A6C34"/>
    <w:rsid w:val="009B478F"/>
    <w:rsid w:val="009C005B"/>
    <w:rsid w:val="009C1D3E"/>
    <w:rsid w:val="009C79C0"/>
    <w:rsid w:val="009D4BF3"/>
    <w:rsid w:val="009E0051"/>
    <w:rsid w:val="009E180F"/>
    <w:rsid w:val="009F5BAF"/>
    <w:rsid w:val="009F787B"/>
    <w:rsid w:val="00A0157F"/>
    <w:rsid w:val="00A0346B"/>
    <w:rsid w:val="00A03AEB"/>
    <w:rsid w:val="00A06623"/>
    <w:rsid w:val="00A06E61"/>
    <w:rsid w:val="00A22931"/>
    <w:rsid w:val="00A24325"/>
    <w:rsid w:val="00A269CF"/>
    <w:rsid w:val="00A33002"/>
    <w:rsid w:val="00A4068A"/>
    <w:rsid w:val="00A413EE"/>
    <w:rsid w:val="00A42261"/>
    <w:rsid w:val="00A47D4F"/>
    <w:rsid w:val="00A51009"/>
    <w:rsid w:val="00A55AB4"/>
    <w:rsid w:val="00A67C61"/>
    <w:rsid w:val="00A75467"/>
    <w:rsid w:val="00A76C80"/>
    <w:rsid w:val="00A82F36"/>
    <w:rsid w:val="00A86BCE"/>
    <w:rsid w:val="00A967EB"/>
    <w:rsid w:val="00AA40FA"/>
    <w:rsid w:val="00AA4A24"/>
    <w:rsid w:val="00AB14A7"/>
    <w:rsid w:val="00AB5460"/>
    <w:rsid w:val="00AC15D1"/>
    <w:rsid w:val="00AC3ECD"/>
    <w:rsid w:val="00AC777C"/>
    <w:rsid w:val="00AD48A6"/>
    <w:rsid w:val="00AE35E5"/>
    <w:rsid w:val="00AE3CC2"/>
    <w:rsid w:val="00AE72F0"/>
    <w:rsid w:val="00B06168"/>
    <w:rsid w:val="00B10758"/>
    <w:rsid w:val="00B13D08"/>
    <w:rsid w:val="00B17241"/>
    <w:rsid w:val="00B20B92"/>
    <w:rsid w:val="00B25037"/>
    <w:rsid w:val="00B25674"/>
    <w:rsid w:val="00B271BE"/>
    <w:rsid w:val="00B45179"/>
    <w:rsid w:val="00B45DB8"/>
    <w:rsid w:val="00B6793A"/>
    <w:rsid w:val="00B95B5B"/>
    <w:rsid w:val="00BD3A0A"/>
    <w:rsid w:val="00BD50CD"/>
    <w:rsid w:val="00BD55AF"/>
    <w:rsid w:val="00BE45BD"/>
    <w:rsid w:val="00BF52C3"/>
    <w:rsid w:val="00C11803"/>
    <w:rsid w:val="00C17D56"/>
    <w:rsid w:val="00C2312B"/>
    <w:rsid w:val="00C310FE"/>
    <w:rsid w:val="00C36277"/>
    <w:rsid w:val="00C405AA"/>
    <w:rsid w:val="00C4095D"/>
    <w:rsid w:val="00C421F6"/>
    <w:rsid w:val="00C4397D"/>
    <w:rsid w:val="00C60EB7"/>
    <w:rsid w:val="00C7710C"/>
    <w:rsid w:val="00CB33BB"/>
    <w:rsid w:val="00CB48FB"/>
    <w:rsid w:val="00CC243C"/>
    <w:rsid w:val="00CD2F90"/>
    <w:rsid w:val="00CD5764"/>
    <w:rsid w:val="00CD7218"/>
    <w:rsid w:val="00CE6D94"/>
    <w:rsid w:val="00CF46FD"/>
    <w:rsid w:val="00CF5342"/>
    <w:rsid w:val="00D0458B"/>
    <w:rsid w:val="00D04BE0"/>
    <w:rsid w:val="00D05497"/>
    <w:rsid w:val="00D0736A"/>
    <w:rsid w:val="00D2183C"/>
    <w:rsid w:val="00D22D85"/>
    <w:rsid w:val="00D31884"/>
    <w:rsid w:val="00D32B6C"/>
    <w:rsid w:val="00D34FA3"/>
    <w:rsid w:val="00D378B5"/>
    <w:rsid w:val="00D40A24"/>
    <w:rsid w:val="00D50414"/>
    <w:rsid w:val="00D55E47"/>
    <w:rsid w:val="00D71BF8"/>
    <w:rsid w:val="00D829CA"/>
    <w:rsid w:val="00D922C7"/>
    <w:rsid w:val="00D9235F"/>
    <w:rsid w:val="00D9435B"/>
    <w:rsid w:val="00D964B5"/>
    <w:rsid w:val="00D96553"/>
    <w:rsid w:val="00DA6198"/>
    <w:rsid w:val="00DB50F1"/>
    <w:rsid w:val="00DE3054"/>
    <w:rsid w:val="00DF0E08"/>
    <w:rsid w:val="00DF27CB"/>
    <w:rsid w:val="00DF7CA9"/>
    <w:rsid w:val="00DF7E0F"/>
    <w:rsid w:val="00E11197"/>
    <w:rsid w:val="00E13032"/>
    <w:rsid w:val="00E1329D"/>
    <w:rsid w:val="00E13828"/>
    <w:rsid w:val="00E23298"/>
    <w:rsid w:val="00E3398A"/>
    <w:rsid w:val="00E354B8"/>
    <w:rsid w:val="00E365C4"/>
    <w:rsid w:val="00E3678E"/>
    <w:rsid w:val="00E40607"/>
    <w:rsid w:val="00E43413"/>
    <w:rsid w:val="00E43C7A"/>
    <w:rsid w:val="00E5733B"/>
    <w:rsid w:val="00E63912"/>
    <w:rsid w:val="00E64A4C"/>
    <w:rsid w:val="00E6532E"/>
    <w:rsid w:val="00E668D3"/>
    <w:rsid w:val="00E71E31"/>
    <w:rsid w:val="00E77FB4"/>
    <w:rsid w:val="00E9150E"/>
    <w:rsid w:val="00E91D3A"/>
    <w:rsid w:val="00E9434A"/>
    <w:rsid w:val="00EA4490"/>
    <w:rsid w:val="00EC3D83"/>
    <w:rsid w:val="00F06BDB"/>
    <w:rsid w:val="00F15A11"/>
    <w:rsid w:val="00F32073"/>
    <w:rsid w:val="00F35898"/>
    <w:rsid w:val="00F360B2"/>
    <w:rsid w:val="00F51F1F"/>
    <w:rsid w:val="00F63716"/>
    <w:rsid w:val="00F64C28"/>
    <w:rsid w:val="00F71A59"/>
    <w:rsid w:val="00F94709"/>
    <w:rsid w:val="00F9514D"/>
    <w:rsid w:val="00F977F9"/>
    <w:rsid w:val="00FA4B43"/>
    <w:rsid w:val="00FA7904"/>
    <w:rsid w:val="00FB0439"/>
    <w:rsid w:val="00FB314C"/>
    <w:rsid w:val="00FB7EEA"/>
    <w:rsid w:val="00FC1385"/>
    <w:rsid w:val="00FD3EF4"/>
    <w:rsid w:val="00FE3AE1"/>
    <w:rsid w:val="00FE4F1D"/>
    <w:rsid w:val="00FE6149"/>
    <w:rsid w:val="00FF3E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2"/>
        <w:szCs w:val="2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3BAE"/>
    <w:pPr>
      <w:jc w:val="left"/>
    </w:pPr>
    <w:rPr>
      <w:rFonts w:ascii="Times New Roman" w:eastAsia="Times New Roman" w:hAnsi="Times New Roman" w:cs="Times New Roman"/>
      <w:sz w:val="24"/>
      <w:szCs w:val="20"/>
      <w:lang w:val="es-ES_tradnl"/>
    </w:rPr>
  </w:style>
  <w:style w:type="paragraph" w:styleId="Heading1">
    <w:name w:val="heading 1"/>
    <w:aliases w:val="Capítulo"/>
    <w:basedOn w:val="Normal"/>
    <w:next w:val="Normal"/>
    <w:link w:val="Heading1Char"/>
    <w:qFormat/>
    <w:rsid w:val="00093BAE"/>
    <w:pPr>
      <w:keepNext/>
      <w:numPr>
        <w:numId w:val="1"/>
      </w:numPr>
      <w:spacing w:before="240" w:after="60"/>
      <w:outlineLvl w:val="0"/>
    </w:pPr>
    <w:rPr>
      <w:rFonts w:ascii="Arial" w:hAnsi="Arial"/>
      <w:b/>
      <w:kern w:val="28"/>
      <w:sz w:val="28"/>
    </w:rPr>
  </w:style>
  <w:style w:type="paragraph" w:styleId="Heading2">
    <w:name w:val="heading 2"/>
    <w:basedOn w:val="Normal"/>
    <w:next w:val="Normal"/>
    <w:link w:val="Heading2Char"/>
    <w:qFormat/>
    <w:rsid w:val="00093BAE"/>
    <w:pPr>
      <w:keepNext/>
      <w:numPr>
        <w:ilvl w:val="1"/>
        <w:numId w:val="1"/>
      </w:numPr>
      <w:spacing w:before="240" w:after="60"/>
      <w:outlineLvl w:val="1"/>
    </w:pPr>
    <w:rPr>
      <w:rFonts w:ascii="Arial" w:hAnsi="Arial"/>
      <w:b/>
      <w:i/>
    </w:rPr>
  </w:style>
  <w:style w:type="paragraph" w:styleId="Heading3">
    <w:name w:val="heading 3"/>
    <w:basedOn w:val="Normal"/>
    <w:next w:val="Normal"/>
    <w:link w:val="Heading3Char"/>
    <w:qFormat/>
    <w:rsid w:val="00093BAE"/>
    <w:pPr>
      <w:keepNext/>
      <w:numPr>
        <w:ilvl w:val="2"/>
        <w:numId w:val="1"/>
      </w:numPr>
      <w:spacing w:before="240" w:after="60"/>
      <w:outlineLvl w:val="2"/>
    </w:pPr>
    <w:rPr>
      <w:rFonts w:ascii="Arial" w:hAnsi="Arial"/>
    </w:rPr>
  </w:style>
  <w:style w:type="paragraph" w:styleId="Heading4">
    <w:name w:val="heading 4"/>
    <w:basedOn w:val="Normal"/>
    <w:next w:val="Normal"/>
    <w:link w:val="Heading4Char"/>
    <w:qFormat/>
    <w:rsid w:val="00093BAE"/>
    <w:pPr>
      <w:keepNext/>
      <w:numPr>
        <w:ilvl w:val="3"/>
        <w:numId w:val="1"/>
      </w:numPr>
      <w:spacing w:before="240" w:after="60"/>
      <w:outlineLvl w:val="3"/>
    </w:pPr>
    <w:rPr>
      <w:rFonts w:ascii="Arial" w:hAnsi="Arial"/>
      <w:b/>
    </w:rPr>
  </w:style>
  <w:style w:type="paragraph" w:styleId="Heading5">
    <w:name w:val="heading 5"/>
    <w:basedOn w:val="Normal"/>
    <w:next w:val="Normal"/>
    <w:link w:val="Heading5Char"/>
    <w:qFormat/>
    <w:rsid w:val="00093BAE"/>
    <w:pPr>
      <w:numPr>
        <w:ilvl w:val="4"/>
        <w:numId w:val="1"/>
      </w:numPr>
      <w:spacing w:before="240" w:after="60"/>
      <w:outlineLvl w:val="4"/>
    </w:pPr>
    <w:rPr>
      <w:sz w:val="22"/>
    </w:rPr>
  </w:style>
  <w:style w:type="paragraph" w:styleId="Heading6">
    <w:name w:val="heading 6"/>
    <w:basedOn w:val="Normal"/>
    <w:next w:val="Normal"/>
    <w:link w:val="Heading6Char"/>
    <w:qFormat/>
    <w:rsid w:val="00093BAE"/>
    <w:pPr>
      <w:numPr>
        <w:ilvl w:val="5"/>
        <w:numId w:val="1"/>
      </w:numPr>
      <w:spacing w:before="240" w:after="60"/>
      <w:outlineLvl w:val="5"/>
    </w:pPr>
    <w:rPr>
      <w:i/>
      <w:sz w:val="22"/>
    </w:rPr>
  </w:style>
  <w:style w:type="paragraph" w:styleId="Heading7">
    <w:name w:val="heading 7"/>
    <w:basedOn w:val="Normal"/>
    <w:next w:val="Normal"/>
    <w:link w:val="Heading7Char"/>
    <w:qFormat/>
    <w:rsid w:val="00093BAE"/>
    <w:pPr>
      <w:numPr>
        <w:ilvl w:val="6"/>
        <w:numId w:val="1"/>
      </w:numPr>
      <w:spacing w:before="240" w:after="60"/>
      <w:outlineLvl w:val="6"/>
    </w:pPr>
    <w:rPr>
      <w:rFonts w:ascii="Arial" w:hAnsi="Arial"/>
    </w:rPr>
  </w:style>
  <w:style w:type="paragraph" w:styleId="Heading8">
    <w:name w:val="heading 8"/>
    <w:basedOn w:val="Normal"/>
    <w:next w:val="Normal"/>
    <w:link w:val="Heading8Char"/>
    <w:qFormat/>
    <w:rsid w:val="00093BAE"/>
    <w:pPr>
      <w:numPr>
        <w:ilvl w:val="7"/>
        <w:numId w:val="1"/>
      </w:numPr>
      <w:spacing w:before="240" w:after="60"/>
      <w:outlineLvl w:val="7"/>
    </w:pPr>
    <w:rPr>
      <w:rFonts w:ascii="Arial" w:hAnsi="Arial"/>
      <w:i/>
    </w:rPr>
  </w:style>
  <w:style w:type="paragraph" w:styleId="Heading9">
    <w:name w:val="heading 9"/>
    <w:basedOn w:val="Normal"/>
    <w:next w:val="Normal"/>
    <w:link w:val="Heading9Char"/>
    <w:qFormat/>
    <w:rsid w:val="00093BAE"/>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apítulo Char"/>
    <w:basedOn w:val="DefaultParagraphFont"/>
    <w:link w:val="Heading1"/>
    <w:rsid w:val="00093BAE"/>
    <w:rPr>
      <w:rFonts w:eastAsia="Times New Roman" w:cs="Times New Roman"/>
      <w:b/>
      <w:kern w:val="28"/>
      <w:sz w:val="28"/>
      <w:szCs w:val="20"/>
      <w:lang w:val="es-ES_tradnl"/>
    </w:rPr>
  </w:style>
  <w:style w:type="character" w:customStyle="1" w:styleId="Heading2Char">
    <w:name w:val="Heading 2 Char"/>
    <w:basedOn w:val="DefaultParagraphFont"/>
    <w:link w:val="Heading2"/>
    <w:rsid w:val="00093BAE"/>
    <w:rPr>
      <w:rFonts w:eastAsia="Times New Roman" w:cs="Times New Roman"/>
      <w:b/>
      <w:i/>
      <w:sz w:val="24"/>
      <w:szCs w:val="20"/>
      <w:lang w:val="es-ES_tradnl"/>
    </w:rPr>
  </w:style>
  <w:style w:type="character" w:customStyle="1" w:styleId="Heading3Char">
    <w:name w:val="Heading 3 Char"/>
    <w:basedOn w:val="DefaultParagraphFont"/>
    <w:link w:val="Heading3"/>
    <w:rsid w:val="00093BAE"/>
    <w:rPr>
      <w:rFonts w:eastAsia="Times New Roman" w:cs="Times New Roman"/>
      <w:sz w:val="24"/>
      <w:szCs w:val="20"/>
      <w:lang w:val="es-ES_tradnl"/>
    </w:rPr>
  </w:style>
  <w:style w:type="character" w:customStyle="1" w:styleId="Heading4Char">
    <w:name w:val="Heading 4 Char"/>
    <w:basedOn w:val="DefaultParagraphFont"/>
    <w:link w:val="Heading4"/>
    <w:rsid w:val="00093BAE"/>
    <w:rPr>
      <w:rFonts w:eastAsia="Times New Roman" w:cs="Times New Roman"/>
      <w:b/>
      <w:sz w:val="24"/>
      <w:szCs w:val="20"/>
      <w:lang w:val="es-ES_tradnl"/>
    </w:rPr>
  </w:style>
  <w:style w:type="character" w:customStyle="1" w:styleId="Heading5Char">
    <w:name w:val="Heading 5 Char"/>
    <w:basedOn w:val="DefaultParagraphFont"/>
    <w:link w:val="Heading5"/>
    <w:rsid w:val="00093BAE"/>
    <w:rPr>
      <w:rFonts w:ascii="Times New Roman" w:eastAsia="Times New Roman" w:hAnsi="Times New Roman" w:cs="Times New Roman"/>
      <w:szCs w:val="20"/>
      <w:lang w:val="es-ES_tradnl"/>
    </w:rPr>
  </w:style>
  <w:style w:type="character" w:customStyle="1" w:styleId="Heading6Char">
    <w:name w:val="Heading 6 Char"/>
    <w:basedOn w:val="DefaultParagraphFont"/>
    <w:link w:val="Heading6"/>
    <w:rsid w:val="00093BAE"/>
    <w:rPr>
      <w:rFonts w:ascii="Times New Roman" w:eastAsia="Times New Roman" w:hAnsi="Times New Roman" w:cs="Times New Roman"/>
      <w:i/>
      <w:szCs w:val="20"/>
      <w:lang w:val="es-ES_tradnl"/>
    </w:rPr>
  </w:style>
  <w:style w:type="character" w:customStyle="1" w:styleId="Heading7Char">
    <w:name w:val="Heading 7 Char"/>
    <w:basedOn w:val="DefaultParagraphFont"/>
    <w:link w:val="Heading7"/>
    <w:rsid w:val="00093BAE"/>
    <w:rPr>
      <w:rFonts w:eastAsia="Times New Roman" w:cs="Times New Roman"/>
      <w:sz w:val="24"/>
      <w:szCs w:val="20"/>
      <w:lang w:val="es-ES_tradnl"/>
    </w:rPr>
  </w:style>
  <w:style w:type="character" w:customStyle="1" w:styleId="Heading8Char">
    <w:name w:val="Heading 8 Char"/>
    <w:basedOn w:val="DefaultParagraphFont"/>
    <w:link w:val="Heading8"/>
    <w:rsid w:val="00093BAE"/>
    <w:rPr>
      <w:rFonts w:eastAsia="Times New Roman" w:cs="Times New Roman"/>
      <w:i/>
      <w:sz w:val="24"/>
      <w:szCs w:val="20"/>
      <w:lang w:val="es-ES_tradnl"/>
    </w:rPr>
  </w:style>
  <w:style w:type="character" w:customStyle="1" w:styleId="Heading9Char">
    <w:name w:val="Heading 9 Char"/>
    <w:basedOn w:val="DefaultParagraphFont"/>
    <w:link w:val="Heading9"/>
    <w:rsid w:val="00093BAE"/>
    <w:rPr>
      <w:rFonts w:eastAsia="Times New Roman" w:cs="Times New Roman"/>
      <w:b/>
      <w:i/>
      <w:sz w:val="18"/>
      <w:szCs w:val="20"/>
      <w:lang w:val="es-ES_tradnl"/>
    </w:rPr>
  </w:style>
  <w:style w:type="paragraph" w:customStyle="1" w:styleId="FirstHeading">
    <w:name w:val="FirstHeading"/>
    <w:basedOn w:val="Normal"/>
    <w:next w:val="Normal"/>
    <w:rsid w:val="00093BAE"/>
    <w:pPr>
      <w:keepNext/>
      <w:tabs>
        <w:tab w:val="left" w:pos="0"/>
        <w:tab w:val="left" w:pos="86"/>
      </w:tabs>
      <w:spacing w:before="120" w:after="120"/>
      <w:ind w:left="720" w:hanging="720"/>
    </w:pPr>
    <w:rPr>
      <w:b/>
      <w:lang w:val="es-ES"/>
    </w:rPr>
  </w:style>
  <w:style w:type="paragraph" w:styleId="FootnoteText">
    <w:name w:val="footnote text"/>
    <w:aliases w:val="fn,Texto de rodapé,nota_rodapé,nota de rodapé Car Car,nota de rodapé Car Car Car Car Car Car Car Car Car Car Car,footnote,nota de rodapé,FOOTNOTES,single space,footnote text,Footnote Text Char Char,Footnote text Char Char,Footnote text"/>
    <w:basedOn w:val="Normal"/>
    <w:link w:val="FootnoteTextChar"/>
    <w:uiPriority w:val="99"/>
    <w:rsid w:val="00093BAE"/>
    <w:pPr>
      <w:keepNext/>
      <w:keepLines/>
      <w:spacing w:after="120"/>
      <w:ind w:left="288" w:hanging="288"/>
      <w:jc w:val="both"/>
    </w:pPr>
    <w:rPr>
      <w:spacing w:val="-3"/>
      <w:sz w:val="20"/>
    </w:rPr>
  </w:style>
  <w:style w:type="character" w:customStyle="1" w:styleId="FootnoteTextChar">
    <w:name w:val="Footnote Text Char"/>
    <w:aliases w:val="fn Char,Texto de rodapé Char,nota_rodapé Char,nota de rodapé Car Car Char,nota de rodapé Car Car Car Car Car Car Car Car Car Car Car Char,footnote Char,nota de rodapé Char,FOOTNOTES Char,single space Char,footnote text Char"/>
    <w:basedOn w:val="DefaultParagraphFont"/>
    <w:link w:val="FootnoteText"/>
    <w:uiPriority w:val="99"/>
    <w:rsid w:val="00093BAE"/>
    <w:rPr>
      <w:rFonts w:ascii="Times New Roman" w:eastAsia="Times New Roman" w:hAnsi="Times New Roman" w:cs="Times New Roman"/>
      <w:spacing w:val="-3"/>
      <w:sz w:val="20"/>
      <w:szCs w:val="20"/>
      <w:lang w:val="es-ES_tradnl"/>
    </w:rPr>
  </w:style>
  <w:style w:type="paragraph" w:customStyle="1" w:styleId="Paragraph">
    <w:name w:val="Paragraph"/>
    <w:aliases w:val="paragraph,p,PARAGRAPH,PG,pa,at"/>
    <w:basedOn w:val="BodyTextIndent"/>
    <w:link w:val="ParagraphChar"/>
    <w:uiPriority w:val="99"/>
    <w:rsid w:val="00093BAE"/>
    <w:pPr>
      <w:tabs>
        <w:tab w:val="num" w:pos="720"/>
      </w:tabs>
      <w:spacing w:before="120"/>
      <w:ind w:left="720" w:hanging="720"/>
      <w:jc w:val="both"/>
      <w:outlineLvl w:val="1"/>
    </w:pPr>
    <w:rPr>
      <w:lang w:val="es-ES"/>
    </w:rPr>
  </w:style>
  <w:style w:type="character" w:styleId="Hyperlink">
    <w:name w:val="Hyperlink"/>
    <w:rsid w:val="00093BAE"/>
    <w:rPr>
      <w:color w:val="0000FF"/>
      <w:u w:val="single"/>
    </w:rPr>
  </w:style>
  <w:style w:type="character" w:styleId="FootnoteReference">
    <w:name w:val="footnote reference"/>
    <w:uiPriority w:val="99"/>
    <w:rsid w:val="00093BAE"/>
    <w:rPr>
      <w:vertAlign w:val="superscript"/>
    </w:rPr>
  </w:style>
  <w:style w:type="character" w:customStyle="1" w:styleId="ParagraphChar">
    <w:name w:val="Paragraph Char"/>
    <w:link w:val="Paragraph"/>
    <w:rsid w:val="00093BAE"/>
    <w:rPr>
      <w:rFonts w:ascii="Times New Roman" w:eastAsia="Times New Roman" w:hAnsi="Times New Roman" w:cs="Times New Roman"/>
      <w:sz w:val="24"/>
      <w:szCs w:val="20"/>
      <w:lang w:val="es-ES"/>
    </w:rPr>
  </w:style>
  <w:style w:type="paragraph" w:styleId="BodyTextIndent">
    <w:name w:val="Body Text Indent"/>
    <w:basedOn w:val="Normal"/>
    <w:link w:val="BodyTextIndentChar"/>
    <w:uiPriority w:val="99"/>
    <w:semiHidden/>
    <w:unhideWhenUsed/>
    <w:rsid w:val="00093BAE"/>
    <w:pPr>
      <w:spacing w:after="120"/>
      <w:ind w:left="360"/>
    </w:pPr>
  </w:style>
  <w:style w:type="character" w:customStyle="1" w:styleId="BodyTextIndentChar">
    <w:name w:val="Body Text Indent Char"/>
    <w:basedOn w:val="DefaultParagraphFont"/>
    <w:link w:val="BodyTextIndent"/>
    <w:uiPriority w:val="99"/>
    <w:semiHidden/>
    <w:rsid w:val="00093BAE"/>
    <w:rPr>
      <w:rFonts w:ascii="Times New Roman" w:eastAsia="Times New Roman" w:hAnsi="Times New Roman" w:cs="Times New Roman"/>
      <w:sz w:val="24"/>
      <w:szCs w:val="20"/>
      <w:lang w:val="es-ES_tradnl"/>
    </w:rPr>
  </w:style>
  <w:style w:type="character" w:styleId="FollowedHyperlink">
    <w:name w:val="FollowedHyperlink"/>
    <w:basedOn w:val="DefaultParagraphFont"/>
    <w:uiPriority w:val="99"/>
    <w:semiHidden/>
    <w:unhideWhenUsed/>
    <w:rsid w:val="00936D4F"/>
    <w:rPr>
      <w:color w:val="800080" w:themeColor="followedHyperlink"/>
      <w:u w:val="single"/>
    </w:rPr>
  </w:style>
  <w:style w:type="paragraph" w:customStyle="1" w:styleId="Default">
    <w:name w:val="Default"/>
    <w:rsid w:val="00317239"/>
    <w:pPr>
      <w:autoSpaceDE w:val="0"/>
      <w:autoSpaceDN w:val="0"/>
      <w:adjustRightInd w:val="0"/>
      <w:jc w:val="left"/>
    </w:pPr>
    <w:rPr>
      <w:rFonts w:ascii="Times New Roman" w:hAnsi="Times New Roman" w:cs="Times New Roman"/>
      <w:color w:val="000000"/>
      <w:sz w:val="24"/>
      <w:szCs w:val="24"/>
      <w:lang w:val="es-ES"/>
    </w:rPr>
  </w:style>
  <w:style w:type="paragraph" w:styleId="ListParagraph">
    <w:name w:val="List Paragraph"/>
    <w:basedOn w:val="Normal"/>
    <w:uiPriority w:val="34"/>
    <w:qFormat/>
    <w:rsid w:val="00277AE3"/>
    <w:pPr>
      <w:ind w:left="720"/>
      <w:contextualSpacing/>
    </w:pPr>
  </w:style>
  <w:style w:type="table" w:styleId="TableGrid">
    <w:name w:val="Table Grid"/>
    <w:basedOn w:val="TableNormal"/>
    <w:uiPriority w:val="59"/>
    <w:rsid w:val="001F6D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3D278E"/>
    <w:rPr>
      <w:sz w:val="16"/>
      <w:szCs w:val="16"/>
    </w:rPr>
  </w:style>
  <w:style w:type="paragraph" w:styleId="CommentText">
    <w:name w:val="annotation text"/>
    <w:basedOn w:val="Normal"/>
    <w:link w:val="CommentTextChar"/>
    <w:uiPriority w:val="99"/>
    <w:semiHidden/>
    <w:unhideWhenUsed/>
    <w:rsid w:val="003D278E"/>
    <w:rPr>
      <w:sz w:val="20"/>
    </w:rPr>
  </w:style>
  <w:style w:type="character" w:customStyle="1" w:styleId="CommentTextChar">
    <w:name w:val="Comment Text Char"/>
    <w:basedOn w:val="DefaultParagraphFont"/>
    <w:link w:val="CommentText"/>
    <w:uiPriority w:val="99"/>
    <w:semiHidden/>
    <w:rsid w:val="003D278E"/>
    <w:rPr>
      <w:rFonts w:ascii="Times New Roman" w:eastAsia="Times New Roman" w:hAnsi="Times New Roman" w:cs="Times New Roman"/>
      <w:sz w:val="20"/>
      <w:szCs w:val="20"/>
      <w:lang w:val="es-ES_tradnl"/>
    </w:rPr>
  </w:style>
  <w:style w:type="paragraph" w:styleId="CommentSubject">
    <w:name w:val="annotation subject"/>
    <w:basedOn w:val="CommentText"/>
    <w:next w:val="CommentText"/>
    <w:link w:val="CommentSubjectChar"/>
    <w:uiPriority w:val="99"/>
    <w:semiHidden/>
    <w:unhideWhenUsed/>
    <w:rsid w:val="003D278E"/>
    <w:rPr>
      <w:b/>
      <w:bCs/>
    </w:rPr>
  </w:style>
  <w:style w:type="character" w:customStyle="1" w:styleId="CommentSubjectChar">
    <w:name w:val="Comment Subject Char"/>
    <w:basedOn w:val="CommentTextChar"/>
    <w:link w:val="CommentSubject"/>
    <w:uiPriority w:val="99"/>
    <w:semiHidden/>
    <w:rsid w:val="003D278E"/>
    <w:rPr>
      <w:rFonts w:ascii="Times New Roman" w:eastAsia="Times New Roman" w:hAnsi="Times New Roman" w:cs="Times New Roman"/>
      <w:b/>
      <w:bCs/>
      <w:sz w:val="20"/>
      <w:szCs w:val="20"/>
      <w:lang w:val="es-ES_tradnl"/>
    </w:rPr>
  </w:style>
  <w:style w:type="paragraph" w:styleId="BalloonText">
    <w:name w:val="Balloon Text"/>
    <w:basedOn w:val="Normal"/>
    <w:link w:val="BalloonTextChar"/>
    <w:uiPriority w:val="99"/>
    <w:semiHidden/>
    <w:unhideWhenUsed/>
    <w:rsid w:val="003D278E"/>
    <w:rPr>
      <w:rFonts w:ascii="Tahoma" w:hAnsi="Tahoma" w:cs="Tahoma"/>
      <w:sz w:val="16"/>
      <w:szCs w:val="16"/>
    </w:rPr>
  </w:style>
  <w:style w:type="character" w:customStyle="1" w:styleId="BalloonTextChar">
    <w:name w:val="Balloon Text Char"/>
    <w:basedOn w:val="DefaultParagraphFont"/>
    <w:link w:val="BalloonText"/>
    <w:uiPriority w:val="99"/>
    <w:semiHidden/>
    <w:rsid w:val="003D278E"/>
    <w:rPr>
      <w:rFonts w:ascii="Tahoma" w:eastAsia="Times New Roman" w:hAnsi="Tahoma" w:cs="Tahoma"/>
      <w:sz w:val="16"/>
      <w:szCs w:val="16"/>
      <w:lang w:val="es-ES_tradnl"/>
    </w:rPr>
  </w:style>
  <w:style w:type="paragraph" w:styleId="Header">
    <w:name w:val="header"/>
    <w:basedOn w:val="Normal"/>
    <w:link w:val="HeaderChar"/>
    <w:uiPriority w:val="99"/>
    <w:unhideWhenUsed/>
    <w:rsid w:val="005F6919"/>
    <w:pPr>
      <w:tabs>
        <w:tab w:val="center" w:pos="4513"/>
        <w:tab w:val="right" w:pos="9026"/>
      </w:tabs>
    </w:pPr>
  </w:style>
  <w:style w:type="character" w:customStyle="1" w:styleId="HeaderChar">
    <w:name w:val="Header Char"/>
    <w:basedOn w:val="DefaultParagraphFont"/>
    <w:link w:val="Header"/>
    <w:uiPriority w:val="99"/>
    <w:rsid w:val="005F6919"/>
    <w:rPr>
      <w:rFonts w:ascii="Times New Roman" w:eastAsia="Times New Roman" w:hAnsi="Times New Roman" w:cs="Times New Roman"/>
      <w:sz w:val="24"/>
      <w:szCs w:val="20"/>
      <w:lang w:val="es-ES_tradnl"/>
    </w:rPr>
  </w:style>
  <w:style w:type="paragraph" w:styleId="Footer">
    <w:name w:val="footer"/>
    <w:basedOn w:val="Normal"/>
    <w:link w:val="FooterChar"/>
    <w:uiPriority w:val="99"/>
    <w:unhideWhenUsed/>
    <w:rsid w:val="005F6919"/>
    <w:pPr>
      <w:tabs>
        <w:tab w:val="center" w:pos="4513"/>
        <w:tab w:val="right" w:pos="9026"/>
      </w:tabs>
    </w:pPr>
  </w:style>
  <w:style w:type="character" w:customStyle="1" w:styleId="FooterChar">
    <w:name w:val="Footer Char"/>
    <w:basedOn w:val="DefaultParagraphFont"/>
    <w:link w:val="Footer"/>
    <w:uiPriority w:val="99"/>
    <w:rsid w:val="005F6919"/>
    <w:rPr>
      <w:rFonts w:ascii="Times New Roman" w:eastAsia="Times New Roman" w:hAnsi="Times New Roman" w:cs="Times New Roman"/>
      <w:sz w:val="24"/>
      <w:szCs w:val="20"/>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2"/>
        <w:szCs w:val="2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3BAE"/>
    <w:pPr>
      <w:jc w:val="left"/>
    </w:pPr>
    <w:rPr>
      <w:rFonts w:ascii="Times New Roman" w:eastAsia="Times New Roman" w:hAnsi="Times New Roman" w:cs="Times New Roman"/>
      <w:sz w:val="24"/>
      <w:szCs w:val="20"/>
      <w:lang w:val="es-ES_tradnl"/>
    </w:rPr>
  </w:style>
  <w:style w:type="paragraph" w:styleId="Heading1">
    <w:name w:val="heading 1"/>
    <w:aliases w:val="Capítulo"/>
    <w:basedOn w:val="Normal"/>
    <w:next w:val="Normal"/>
    <w:link w:val="Heading1Char"/>
    <w:qFormat/>
    <w:rsid w:val="00093BAE"/>
    <w:pPr>
      <w:keepNext/>
      <w:numPr>
        <w:numId w:val="1"/>
      </w:numPr>
      <w:spacing w:before="240" w:after="60"/>
      <w:outlineLvl w:val="0"/>
    </w:pPr>
    <w:rPr>
      <w:rFonts w:ascii="Arial" w:hAnsi="Arial"/>
      <w:b/>
      <w:kern w:val="28"/>
      <w:sz w:val="28"/>
    </w:rPr>
  </w:style>
  <w:style w:type="paragraph" w:styleId="Heading2">
    <w:name w:val="heading 2"/>
    <w:basedOn w:val="Normal"/>
    <w:next w:val="Normal"/>
    <w:link w:val="Heading2Char"/>
    <w:qFormat/>
    <w:rsid w:val="00093BAE"/>
    <w:pPr>
      <w:keepNext/>
      <w:numPr>
        <w:ilvl w:val="1"/>
        <w:numId w:val="1"/>
      </w:numPr>
      <w:spacing w:before="240" w:after="60"/>
      <w:outlineLvl w:val="1"/>
    </w:pPr>
    <w:rPr>
      <w:rFonts w:ascii="Arial" w:hAnsi="Arial"/>
      <w:b/>
      <w:i/>
    </w:rPr>
  </w:style>
  <w:style w:type="paragraph" w:styleId="Heading3">
    <w:name w:val="heading 3"/>
    <w:basedOn w:val="Normal"/>
    <w:next w:val="Normal"/>
    <w:link w:val="Heading3Char"/>
    <w:qFormat/>
    <w:rsid w:val="00093BAE"/>
    <w:pPr>
      <w:keepNext/>
      <w:numPr>
        <w:ilvl w:val="2"/>
        <w:numId w:val="1"/>
      </w:numPr>
      <w:spacing w:before="240" w:after="60"/>
      <w:outlineLvl w:val="2"/>
    </w:pPr>
    <w:rPr>
      <w:rFonts w:ascii="Arial" w:hAnsi="Arial"/>
    </w:rPr>
  </w:style>
  <w:style w:type="paragraph" w:styleId="Heading4">
    <w:name w:val="heading 4"/>
    <w:basedOn w:val="Normal"/>
    <w:next w:val="Normal"/>
    <w:link w:val="Heading4Char"/>
    <w:qFormat/>
    <w:rsid w:val="00093BAE"/>
    <w:pPr>
      <w:keepNext/>
      <w:numPr>
        <w:ilvl w:val="3"/>
        <w:numId w:val="1"/>
      </w:numPr>
      <w:spacing w:before="240" w:after="60"/>
      <w:outlineLvl w:val="3"/>
    </w:pPr>
    <w:rPr>
      <w:rFonts w:ascii="Arial" w:hAnsi="Arial"/>
      <w:b/>
    </w:rPr>
  </w:style>
  <w:style w:type="paragraph" w:styleId="Heading5">
    <w:name w:val="heading 5"/>
    <w:basedOn w:val="Normal"/>
    <w:next w:val="Normal"/>
    <w:link w:val="Heading5Char"/>
    <w:qFormat/>
    <w:rsid w:val="00093BAE"/>
    <w:pPr>
      <w:numPr>
        <w:ilvl w:val="4"/>
        <w:numId w:val="1"/>
      </w:numPr>
      <w:spacing w:before="240" w:after="60"/>
      <w:outlineLvl w:val="4"/>
    </w:pPr>
    <w:rPr>
      <w:sz w:val="22"/>
    </w:rPr>
  </w:style>
  <w:style w:type="paragraph" w:styleId="Heading6">
    <w:name w:val="heading 6"/>
    <w:basedOn w:val="Normal"/>
    <w:next w:val="Normal"/>
    <w:link w:val="Heading6Char"/>
    <w:qFormat/>
    <w:rsid w:val="00093BAE"/>
    <w:pPr>
      <w:numPr>
        <w:ilvl w:val="5"/>
        <w:numId w:val="1"/>
      </w:numPr>
      <w:spacing w:before="240" w:after="60"/>
      <w:outlineLvl w:val="5"/>
    </w:pPr>
    <w:rPr>
      <w:i/>
      <w:sz w:val="22"/>
    </w:rPr>
  </w:style>
  <w:style w:type="paragraph" w:styleId="Heading7">
    <w:name w:val="heading 7"/>
    <w:basedOn w:val="Normal"/>
    <w:next w:val="Normal"/>
    <w:link w:val="Heading7Char"/>
    <w:qFormat/>
    <w:rsid w:val="00093BAE"/>
    <w:pPr>
      <w:numPr>
        <w:ilvl w:val="6"/>
        <w:numId w:val="1"/>
      </w:numPr>
      <w:spacing w:before="240" w:after="60"/>
      <w:outlineLvl w:val="6"/>
    </w:pPr>
    <w:rPr>
      <w:rFonts w:ascii="Arial" w:hAnsi="Arial"/>
    </w:rPr>
  </w:style>
  <w:style w:type="paragraph" w:styleId="Heading8">
    <w:name w:val="heading 8"/>
    <w:basedOn w:val="Normal"/>
    <w:next w:val="Normal"/>
    <w:link w:val="Heading8Char"/>
    <w:qFormat/>
    <w:rsid w:val="00093BAE"/>
    <w:pPr>
      <w:numPr>
        <w:ilvl w:val="7"/>
        <w:numId w:val="1"/>
      </w:numPr>
      <w:spacing w:before="240" w:after="60"/>
      <w:outlineLvl w:val="7"/>
    </w:pPr>
    <w:rPr>
      <w:rFonts w:ascii="Arial" w:hAnsi="Arial"/>
      <w:i/>
    </w:rPr>
  </w:style>
  <w:style w:type="paragraph" w:styleId="Heading9">
    <w:name w:val="heading 9"/>
    <w:basedOn w:val="Normal"/>
    <w:next w:val="Normal"/>
    <w:link w:val="Heading9Char"/>
    <w:qFormat/>
    <w:rsid w:val="00093BAE"/>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apítulo Char"/>
    <w:basedOn w:val="DefaultParagraphFont"/>
    <w:link w:val="Heading1"/>
    <w:rsid w:val="00093BAE"/>
    <w:rPr>
      <w:rFonts w:eastAsia="Times New Roman" w:cs="Times New Roman"/>
      <w:b/>
      <w:kern w:val="28"/>
      <w:sz w:val="28"/>
      <w:szCs w:val="20"/>
      <w:lang w:val="es-ES_tradnl"/>
    </w:rPr>
  </w:style>
  <w:style w:type="character" w:customStyle="1" w:styleId="Heading2Char">
    <w:name w:val="Heading 2 Char"/>
    <w:basedOn w:val="DefaultParagraphFont"/>
    <w:link w:val="Heading2"/>
    <w:rsid w:val="00093BAE"/>
    <w:rPr>
      <w:rFonts w:eastAsia="Times New Roman" w:cs="Times New Roman"/>
      <w:b/>
      <w:i/>
      <w:sz w:val="24"/>
      <w:szCs w:val="20"/>
      <w:lang w:val="es-ES_tradnl"/>
    </w:rPr>
  </w:style>
  <w:style w:type="character" w:customStyle="1" w:styleId="Heading3Char">
    <w:name w:val="Heading 3 Char"/>
    <w:basedOn w:val="DefaultParagraphFont"/>
    <w:link w:val="Heading3"/>
    <w:rsid w:val="00093BAE"/>
    <w:rPr>
      <w:rFonts w:eastAsia="Times New Roman" w:cs="Times New Roman"/>
      <w:sz w:val="24"/>
      <w:szCs w:val="20"/>
      <w:lang w:val="es-ES_tradnl"/>
    </w:rPr>
  </w:style>
  <w:style w:type="character" w:customStyle="1" w:styleId="Heading4Char">
    <w:name w:val="Heading 4 Char"/>
    <w:basedOn w:val="DefaultParagraphFont"/>
    <w:link w:val="Heading4"/>
    <w:rsid w:val="00093BAE"/>
    <w:rPr>
      <w:rFonts w:eastAsia="Times New Roman" w:cs="Times New Roman"/>
      <w:b/>
      <w:sz w:val="24"/>
      <w:szCs w:val="20"/>
      <w:lang w:val="es-ES_tradnl"/>
    </w:rPr>
  </w:style>
  <w:style w:type="character" w:customStyle="1" w:styleId="Heading5Char">
    <w:name w:val="Heading 5 Char"/>
    <w:basedOn w:val="DefaultParagraphFont"/>
    <w:link w:val="Heading5"/>
    <w:rsid w:val="00093BAE"/>
    <w:rPr>
      <w:rFonts w:ascii="Times New Roman" w:eastAsia="Times New Roman" w:hAnsi="Times New Roman" w:cs="Times New Roman"/>
      <w:szCs w:val="20"/>
      <w:lang w:val="es-ES_tradnl"/>
    </w:rPr>
  </w:style>
  <w:style w:type="character" w:customStyle="1" w:styleId="Heading6Char">
    <w:name w:val="Heading 6 Char"/>
    <w:basedOn w:val="DefaultParagraphFont"/>
    <w:link w:val="Heading6"/>
    <w:rsid w:val="00093BAE"/>
    <w:rPr>
      <w:rFonts w:ascii="Times New Roman" w:eastAsia="Times New Roman" w:hAnsi="Times New Roman" w:cs="Times New Roman"/>
      <w:i/>
      <w:szCs w:val="20"/>
      <w:lang w:val="es-ES_tradnl"/>
    </w:rPr>
  </w:style>
  <w:style w:type="character" w:customStyle="1" w:styleId="Heading7Char">
    <w:name w:val="Heading 7 Char"/>
    <w:basedOn w:val="DefaultParagraphFont"/>
    <w:link w:val="Heading7"/>
    <w:rsid w:val="00093BAE"/>
    <w:rPr>
      <w:rFonts w:eastAsia="Times New Roman" w:cs="Times New Roman"/>
      <w:sz w:val="24"/>
      <w:szCs w:val="20"/>
      <w:lang w:val="es-ES_tradnl"/>
    </w:rPr>
  </w:style>
  <w:style w:type="character" w:customStyle="1" w:styleId="Heading8Char">
    <w:name w:val="Heading 8 Char"/>
    <w:basedOn w:val="DefaultParagraphFont"/>
    <w:link w:val="Heading8"/>
    <w:rsid w:val="00093BAE"/>
    <w:rPr>
      <w:rFonts w:eastAsia="Times New Roman" w:cs="Times New Roman"/>
      <w:i/>
      <w:sz w:val="24"/>
      <w:szCs w:val="20"/>
      <w:lang w:val="es-ES_tradnl"/>
    </w:rPr>
  </w:style>
  <w:style w:type="character" w:customStyle="1" w:styleId="Heading9Char">
    <w:name w:val="Heading 9 Char"/>
    <w:basedOn w:val="DefaultParagraphFont"/>
    <w:link w:val="Heading9"/>
    <w:rsid w:val="00093BAE"/>
    <w:rPr>
      <w:rFonts w:eastAsia="Times New Roman" w:cs="Times New Roman"/>
      <w:b/>
      <w:i/>
      <w:sz w:val="18"/>
      <w:szCs w:val="20"/>
      <w:lang w:val="es-ES_tradnl"/>
    </w:rPr>
  </w:style>
  <w:style w:type="paragraph" w:customStyle="1" w:styleId="FirstHeading">
    <w:name w:val="FirstHeading"/>
    <w:basedOn w:val="Normal"/>
    <w:next w:val="Normal"/>
    <w:rsid w:val="00093BAE"/>
    <w:pPr>
      <w:keepNext/>
      <w:tabs>
        <w:tab w:val="left" w:pos="0"/>
        <w:tab w:val="left" w:pos="86"/>
      </w:tabs>
      <w:spacing w:before="120" w:after="120"/>
      <w:ind w:left="720" w:hanging="720"/>
    </w:pPr>
    <w:rPr>
      <w:b/>
      <w:lang w:val="es-ES"/>
    </w:rPr>
  </w:style>
  <w:style w:type="paragraph" w:styleId="FootnoteText">
    <w:name w:val="footnote text"/>
    <w:aliases w:val="fn,Texto de rodapé,nota_rodapé,nota de rodapé Car Car,nota de rodapé Car Car Car Car Car Car Car Car Car Car Car,footnote,nota de rodapé,FOOTNOTES,single space,footnote text,Footnote Text Char Char,Footnote text Char Char,Footnote text"/>
    <w:basedOn w:val="Normal"/>
    <w:link w:val="FootnoteTextChar"/>
    <w:uiPriority w:val="99"/>
    <w:rsid w:val="00093BAE"/>
    <w:pPr>
      <w:keepNext/>
      <w:keepLines/>
      <w:spacing w:after="120"/>
      <w:ind w:left="288" w:hanging="288"/>
      <w:jc w:val="both"/>
    </w:pPr>
    <w:rPr>
      <w:spacing w:val="-3"/>
      <w:sz w:val="20"/>
    </w:rPr>
  </w:style>
  <w:style w:type="character" w:customStyle="1" w:styleId="FootnoteTextChar">
    <w:name w:val="Footnote Text Char"/>
    <w:aliases w:val="fn Char,Texto de rodapé Char,nota_rodapé Char,nota de rodapé Car Car Char,nota de rodapé Car Car Car Car Car Car Car Car Car Car Car Char,footnote Char,nota de rodapé Char,FOOTNOTES Char,single space Char,footnote text Char"/>
    <w:basedOn w:val="DefaultParagraphFont"/>
    <w:link w:val="FootnoteText"/>
    <w:uiPriority w:val="99"/>
    <w:rsid w:val="00093BAE"/>
    <w:rPr>
      <w:rFonts w:ascii="Times New Roman" w:eastAsia="Times New Roman" w:hAnsi="Times New Roman" w:cs="Times New Roman"/>
      <w:spacing w:val="-3"/>
      <w:sz w:val="20"/>
      <w:szCs w:val="20"/>
      <w:lang w:val="es-ES_tradnl"/>
    </w:rPr>
  </w:style>
  <w:style w:type="paragraph" w:customStyle="1" w:styleId="Paragraph">
    <w:name w:val="Paragraph"/>
    <w:aliases w:val="paragraph,p,PARAGRAPH,PG,pa,at"/>
    <w:basedOn w:val="BodyTextIndent"/>
    <w:link w:val="ParagraphChar"/>
    <w:uiPriority w:val="99"/>
    <w:rsid w:val="00093BAE"/>
    <w:pPr>
      <w:tabs>
        <w:tab w:val="num" w:pos="720"/>
      </w:tabs>
      <w:spacing w:before="120"/>
      <w:ind w:left="720" w:hanging="720"/>
      <w:jc w:val="both"/>
      <w:outlineLvl w:val="1"/>
    </w:pPr>
    <w:rPr>
      <w:lang w:val="es-ES"/>
    </w:rPr>
  </w:style>
  <w:style w:type="character" w:styleId="Hyperlink">
    <w:name w:val="Hyperlink"/>
    <w:rsid w:val="00093BAE"/>
    <w:rPr>
      <w:color w:val="0000FF"/>
      <w:u w:val="single"/>
    </w:rPr>
  </w:style>
  <w:style w:type="character" w:styleId="FootnoteReference">
    <w:name w:val="footnote reference"/>
    <w:uiPriority w:val="99"/>
    <w:rsid w:val="00093BAE"/>
    <w:rPr>
      <w:vertAlign w:val="superscript"/>
    </w:rPr>
  </w:style>
  <w:style w:type="character" w:customStyle="1" w:styleId="ParagraphChar">
    <w:name w:val="Paragraph Char"/>
    <w:link w:val="Paragraph"/>
    <w:rsid w:val="00093BAE"/>
    <w:rPr>
      <w:rFonts w:ascii="Times New Roman" w:eastAsia="Times New Roman" w:hAnsi="Times New Roman" w:cs="Times New Roman"/>
      <w:sz w:val="24"/>
      <w:szCs w:val="20"/>
      <w:lang w:val="es-ES"/>
    </w:rPr>
  </w:style>
  <w:style w:type="paragraph" w:styleId="BodyTextIndent">
    <w:name w:val="Body Text Indent"/>
    <w:basedOn w:val="Normal"/>
    <w:link w:val="BodyTextIndentChar"/>
    <w:uiPriority w:val="99"/>
    <w:semiHidden/>
    <w:unhideWhenUsed/>
    <w:rsid w:val="00093BAE"/>
    <w:pPr>
      <w:spacing w:after="120"/>
      <w:ind w:left="360"/>
    </w:pPr>
  </w:style>
  <w:style w:type="character" w:customStyle="1" w:styleId="BodyTextIndentChar">
    <w:name w:val="Body Text Indent Char"/>
    <w:basedOn w:val="DefaultParagraphFont"/>
    <w:link w:val="BodyTextIndent"/>
    <w:uiPriority w:val="99"/>
    <w:semiHidden/>
    <w:rsid w:val="00093BAE"/>
    <w:rPr>
      <w:rFonts w:ascii="Times New Roman" w:eastAsia="Times New Roman" w:hAnsi="Times New Roman" w:cs="Times New Roman"/>
      <w:sz w:val="24"/>
      <w:szCs w:val="20"/>
      <w:lang w:val="es-ES_tradnl"/>
    </w:rPr>
  </w:style>
  <w:style w:type="character" w:styleId="FollowedHyperlink">
    <w:name w:val="FollowedHyperlink"/>
    <w:basedOn w:val="DefaultParagraphFont"/>
    <w:uiPriority w:val="99"/>
    <w:semiHidden/>
    <w:unhideWhenUsed/>
    <w:rsid w:val="00936D4F"/>
    <w:rPr>
      <w:color w:val="800080" w:themeColor="followedHyperlink"/>
      <w:u w:val="single"/>
    </w:rPr>
  </w:style>
  <w:style w:type="paragraph" w:customStyle="1" w:styleId="Default">
    <w:name w:val="Default"/>
    <w:rsid w:val="00317239"/>
    <w:pPr>
      <w:autoSpaceDE w:val="0"/>
      <w:autoSpaceDN w:val="0"/>
      <w:adjustRightInd w:val="0"/>
      <w:jc w:val="left"/>
    </w:pPr>
    <w:rPr>
      <w:rFonts w:ascii="Times New Roman" w:hAnsi="Times New Roman" w:cs="Times New Roman"/>
      <w:color w:val="000000"/>
      <w:sz w:val="24"/>
      <w:szCs w:val="24"/>
      <w:lang w:val="es-ES"/>
    </w:rPr>
  </w:style>
  <w:style w:type="paragraph" w:styleId="ListParagraph">
    <w:name w:val="List Paragraph"/>
    <w:basedOn w:val="Normal"/>
    <w:uiPriority w:val="34"/>
    <w:qFormat/>
    <w:rsid w:val="00277AE3"/>
    <w:pPr>
      <w:ind w:left="720"/>
      <w:contextualSpacing/>
    </w:pPr>
  </w:style>
  <w:style w:type="table" w:styleId="TableGrid">
    <w:name w:val="Table Grid"/>
    <w:basedOn w:val="TableNormal"/>
    <w:uiPriority w:val="59"/>
    <w:rsid w:val="001F6D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3D278E"/>
    <w:rPr>
      <w:sz w:val="16"/>
      <w:szCs w:val="16"/>
    </w:rPr>
  </w:style>
  <w:style w:type="paragraph" w:styleId="CommentText">
    <w:name w:val="annotation text"/>
    <w:basedOn w:val="Normal"/>
    <w:link w:val="CommentTextChar"/>
    <w:uiPriority w:val="99"/>
    <w:semiHidden/>
    <w:unhideWhenUsed/>
    <w:rsid w:val="003D278E"/>
    <w:rPr>
      <w:sz w:val="20"/>
    </w:rPr>
  </w:style>
  <w:style w:type="character" w:customStyle="1" w:styleId="CommentTextChar">
    <w:name w:val="Comment Text Char"/>
    <w:basedOn w:val="DefaultParagraphFont"/>
    <w:link w:val="CommentText"/>
    <w:uiPriority w:val="99"/>
    <w:semiHidden/>
    <w:rsid w:val="003D278E"/>
    <w:rPr>
      <w:rFonts w:ascii="Times New Roman" w:eastAsia="Times New Roman" w:hAnsi="Times New Roman" w:cs="Times New Roman"/>
      <w:sz w:val="20"/>
      <w:szCs w:val="20"/>
      <w:lang w:val="es-ES_tradnl"/>
    </w:rPr>
  </w:style>
  <w:style w:type="paragraph" w:styleId="CommentSubject">
    <w:name w:val="annotation subject"/>
    <w:basedOn w:val="CommentText"/>
    <w:next w:val="CommentText"/>
    <w:link w:val="CommentSubjectChar"/>
    <w:uiPriority w:val="99"/>
    <w:semiHidden/>
    <w:unhideWhenUsed/>
    <w:rsid w:val="003D278E"/>
    <w:rPr>
      <w:b/>
      <w:bCs/>
    </w:rPr>
  </w:style>
  <w:style w:type="character" w:customStyle="1" w:styleId="CommentSubjectChar">
    <w:name w:val="Comment Subject Char"/>
    <w:basedOn w:val="CommentTextChar"/>
    <w:link w:val="CommentSubject"/>
    <w:uiPriority w:val="99"/>
    <w:semiHidden/>
    <w:rsid w:val="003D278E"/>
    <w:rPr>
      <w:rFonts w:ascii="Times New Roman" w:eastAsia="Times New Roman" w:hAnsi="Times New Roman" w:cs="Times New Roman"/>
      <w:b/>
      <w:bCs/>
      <w:sz w:val="20"/>
      <w:szCs w:val="20"/>
      <w:lang w:val="es-ES_tradnl"/>
    </w:rPr>
  </w:style>
  <w:style w:type="paragraph" w:styleId="BalloonText">
    <w:name w:val="Balloon Text"/>
    <w:basedOn w:val="Normal"/>
    <w:link w:val="BalloonTextChar"/>
    <w:uiPriority w:val="99"/>
    <w:semiHidden/>
    <w:unhideWhenUsed/>
    <w:rsid w:val="003D278E"/>
    <w:rPr>
      <w:rFonts w:ascii="Tahoma" w:hAnsi="Tahoma" w:cs="Tahoma"/>
      <w:sz w:val="16"/>
      <w:szCs w:val="16"/>
    </w:rPr>
  </w:style>
  <w:style w:type="character" w:customStyle="1" w:styleId="BalloonTextChar">
    <w:name w:val="Balloon Text Char"/>
    <w:basedOn w:val="DefaultParagraphFont"/>
    <w:link w:val="BalloonText"/>
    <w:uiPriority w:val="99"/>
    <w:semiHidden/>
    <w:rsid w:val="003D278E"/>
    <w:rPr>
      <w:rFonts w:ascii="Tahoma" w:eastAsia="Times New Roman" w:hAnsi="Tahoma" w:cs="Tahoma"/>
      <w:sz w:val="16"/>
      <w:szCs w:val="16"/>
      <w:lang w:val="es-ES_tradnl"/>
    </w:rPr>
  </w:style>
  <w:style w:type="paragraph" w:styleId="Header">
    <w:name w:val="header"/>
    <w:basedOn w:val="Normal"/>
    <w:link w:val="HeaderChar"/>
    <w:uiPriority w:val="99"/>
    <w:unhideWhenUsed/>
    <w:rsid w:val="005F6919"/>
    <w:pPr>
      <w:tabs>
        <w:tab w:val="center" w:pos="4513"/>
        <w:tab w:val="right" w:pos="9026"/>
      </w:tabs>
    </w:pPr>
  </w:style>
  <w:style w:type="character" w:customStyle="1" w:styleId="HeaderChar">
    <w:name w:val="Header Char"/>
    <w:basedOn w:val="DefaultParagraphFont"/>
    <w:link w:val="Header"/>
    <w:uiPriority w:val="99"/>
    <w:rsid w:val="005F6919"/>
    <w:rPr>
      <w:rFonts w:ascii="Times New Roman" w:eastAsia="Times New Roman" w:hAnsi="Times New Roman" w:cs="Times New Roman"/>
      <w:sz w:val="24"/>
      <w:szCs w:val="20"/>
      <w:lang w:val="es-ES_tradnl"/>
    </w:rPr>
  </w:style>
  <w:style w:type="paragraph" w:styleId="Footer">
    <w:name w:val="footer"/>
    <w:basedOn w:val="Normal"/>
    <w:link w:val="FooterChar"/>
    <w:uiPriority w:val="99"/>
    <w:unhideWhenUsed/>
    <w:rsid w:val="005F6919"/>
    <w:pPr>
      <w:tabs>
        <w:tab w:val="center" w:pos="4513"/>
        <w:tab w:val="right" w:pos="9026"/>
      </w:tabs>
    </w:pPr>
  </w:style>
  <w:style w:type="character" w:customStyle="1" w:styleId="FooterChar">
    <w:name w:val="Footer Char"/>
    <w:basedOn w:val="DefaultParagraphFont"/>
    <w:link w:val="Footer"/>
    <w:uiPriority w:val="99"/>
    <w:rsid w:val="005F6919"/>
    <w:rPr>
      <w:rFonts w:ascii="Times New Roman" w:eastAsia="Times New Roman" w:hAnsi="Times New Roman" w:cs="Times New Roman"/>
      <w:sz w:val="24"/>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598446">
      <w:bodyDiv w:val="1"/>
      <w:marLeft w:val="0"/>
      <w:marRight w:val="0"/>
      <w:marTop w:val="0"/>
      <w:marBottom w:val="0"/>
      <w:divBdr>
        <w:top w:val="none" w:sz="0" w:space="0" w:color="auto"/>
        <w:left w:val="none" w:sz="0" w:space="0" w:color="auto"/>
        <w:bottom w:val="none" w:sz="0" w:space="0" w:color="auto"/>
        <w:right w:val="none" w:sz="0" w:space="0" w:color="auto"/>
      </w:divBdr>
    </w:div>
    <w:div w:id="89475628">
      <w:bodyDiv w:val="1"/>
      <w:marLeft w:val="0"/>
      <w:marRight w:val="0"/>
      <w:marTop w:val="0"/>
      <w:marBottom w:val="0"/>
      <w:divBdr>
        <w:top w:val="none" w:sz="0" w:space="0" w:color="auto"/>
        <w:left w:val="none" w:sz="0" w:space="0" w:color="auto"/>
        <w:bottom w:val="none" w:sz="0" w:space="0" w:color="auto"/>
        <w:right w:val="none" w:sz="0" w:space="0" w:color="auto"/>
      </w:divBdr>
    </w:div>
    <w:div w:id="378019339">
      <w:bodyDiv w:val="1"/>
      <w:marLeft w:val="0"/>
      <w:marRight w:val="0"/>
      <w:marTop w:val="0"/>
      <w:marBottom w:val="0"/>
      <w:divBdr>
        <w:top w:val="none" w:sz="0" w:space="0" w:color="auto"/>
        <w:left w:val="none" w:sz="0" w:space="0" w:color="auto"/>
        <w:bottom w:val="none" w:sz="0" w:space="0" w:color="auto"/>
        <w:right w:val="none" w:sz="0" w:space="0" w:color="auto"/>
      </w:divBdr>
    </w:div>
    <w:div w:id="2111854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18" Type="http://schemas.openxmlformats.org/officeDocument/2006/relationships/chart" Target="charts/chart2.xml"/><Relationship Id="rId26"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microsoft.com/office/2007/relationships/hdphoto" Target="media/hdphoto1.wdp"/><Relationship Id="rId17" Type="http://schemas.openxmlformats.org/officeDocument/2006/relationships/chart" Target="charts/chart1.xml"/><Relationship Id="rId25" Type="http://schemas.openxmlformats.org/officeDocument/2006/relationships/customXml" Target="../customXml/item2.xml"/><Relationship Id="rId2" Type="http://schemas.openxmlformats.org/officeDocument/2006/relationships/numbering" Target="numbering.xml"/><Relationship Id="rId16" Type="http://schemas.microsoft.com/office/2007/relationships/hdphoto" Target="media/hdphoto3.wdp"/><Relationship Id="rId20" Type="http://schemas.openxmlformats.org/officeDocument/2006/relationships/footer" Target="footer1.xml"/><Relationship Id="rId29"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4.jpeg"/><Relationship Id="rId23" Type="http://schemas.openxmlformats.org/officeDocument/2006/relationships/fontTable" Target="fontTable.xml"/><Relationship Id="rId28" Type="http://schemas.openxmlformats.org/officeDocument/2006/relationships/customXml" Target="../customXml/item5.xml"/><Relationship Id="rId10" Type="http://schemas.openxmlformats.org/officeDocument/2006/relationships/image" Target="media/image1.png"/><Relationship Id="rId19" Type="http://schemas.openxmlformats.org/officeDocument/2006/relationships/chart" Target="charts/chart3.xml"/><Relationship Id="rId4" Type="http://schemas.microsoft.com/office/2007/relationships/stylesWithEffects" Target="stylesWithEffects.xml"/><Relationship Id="rId9" Type="http://schemas.openxmlformats.org/officeDocument/2006/relationships/hyperlink" Target="http://idbdocs.iadb.org/WSDocs/getDocument.aspx?DOCNUM=37749349" TargetMode="External"/><Relationship Id="rId14" Type="http://schemas.microsoft.com/office/2007/relationships/hdphoto" Target="media/hdphoto2.wdp"/><Relationship Id="rId22" Type="http://schemas.openxmlformats.org/officeDocument/2006/relationships/header" Target="header1.xml"/><Relationship Id="rId27"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1" Type="http://schemas.openxmlformats.org/officeDocument/2006/relationships/hyperlink" Target="http://idbdocs.iadb.org/WSDocs/getDocument.aspx?DOCNUM=37047013"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Docs%20Trabajo\NI-L1071\Mision%204%20-%20Analisis\Ejecucion%20sector%20vial%20nicaragua.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Docs%20Trabajo\NI-L1071\Mision%204%20-%20Analisis\Ejecucion%20sector%20vial%20nicaragua.xlsx" TargetMode="External"/></Relationships>
</file>

<file path=word/charts/_rels/chart3.xml.rels><?xml version="1.0" encoding="UTF-8" standalone="yes"?>
<Relationships xmlns="http://schemas.openxmlformats.org/package/2006/relationships"><Relationship Id="rId2" Type="http://schemas.openxmlformats.org/officeDocument/2006/relationships/oleObject" Target="file:///D:\Docs%20Trabajo\NI-L1071\Mision%204%20-%20Analisis\Ejecucion%20sector%20vial%20nicaragua.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b="1" i="0" baseline="0"/>
            </a:pPr>
            <a:r>
              <a:rPr lang="es-ES" sz="1000" b="1" i="0" baseline="0"/>
              <a:t>Variación del Estado de la Red Vial Básica</a:t>
            </a:r>
          </a:p>
        </c:rich>
      </c:tx>
      <c:layout/>
      <c:overlay val="0"/>
    </c:title>
    <c:autoTitleDeleted val="0"/>
    <c:plotArea>
      <c:layout/>
      <c:barChart>
        <c:barDir val="col"/>
        <c:grouping val="stacked"/>
        <c:varyColors val="0"/>
        <c:ser>
          <c:idx val="0"/>
          <c:order val="0"/>
          <c:tx>
            <c:strRef>
              <c:f>'D:\Docs Trabajo\NI-L1071\Mision 4 - Analisis\Ronet Nicaragua 2012\[RONET-v2-01- Nicaragua Red Basica.xls]S-Desempeño de la Red Vial'!$D$405</c:f>
              <c:strCache>
                <c:ptCount val="1"/>
                <c:pt idx="0">
                  <c:v>Muy Bueno</c:v>
                </c:pt>
              </c:strCache>
            </c:strRef>
          </c:tx>
          <c:spPr>
            <a:solidFill>
              <a:schemeClr val="bg1">
                <a:lumMod val="25000"/>
              </a:schemeClr>
            </a:solidFill>
            <a:ln w="12700">
              <a:solidFill>
                <a:srgbClr val="000000"/>
              </a:solidFill>
              <a:prstDash val="solid"/>
            </a:ln>
          </c:spPr>
          <c:invertIfNegative val="0"/>
          <c:cat>
            <c:strRef>
              <c:f>'D:\Docs Trabajo\NI-L1071\Mision 4 - Analisis\Ronet Nicaragua 2012\[RONET-v2-01- Nicaragua Red Basica.xls]S-Desempeño de la Red Vial'!$E$387:$H$387</c:f>
              <c:strCache>
                <c:ptCount val="4"/>
                <c:pt idx="0">
                  <c:v>Actual</c:v>
                </c:pt>
                <c:pt idx="1">
                  <c:v>Año 5</c:v>
                </c:pt>
                <c:pt idx="2">
                  <c:v>Año 10</c:v>
                </c:pt>
                <c:pt idx="3">
                  <c:v>Año 20</c:v>
                </c:pt>
              </c:strCache>
            </c:strRef>
          </c:cat>
          <c:val>
            <c:numRef>
              <c:f>'D:\Docs Trabajo\NI-L1071\Mision 4 - Analisis\Ronet Nicaragua 2012\[RONET-v2-01- Nicaragua Red Basica.xls]S-Desempeño de la Red Vial'!$E$405:$H$405</c:f>
              <c:numCache>
                <c:formatCode>General</c:formatCode>
                <c:ptCount val="4"/>
                <c:pt idx="0">
                  <c:v>1414.41</c:v>
                </c:pt>
                <c:pt idx="1">
                  <c:v>5124.3499999999995</c:v>
                </c:pt>
                <c:pt idx="2">
                  <c:v>4818.9399999999996</c:v>
                </c:pt>
                <c:pt idx="3">
                  <c:v>4976.3999999999996</c:v>
                </c:pt>
              </c:numCache>
            </c:numRef>
          </c:val>
        </c:ser>
        <c:ser>
          <c:idx val="1"/>
          <c:order val="1"/>
          <c:tx>
            <c:strRef>
              <c:f>'D:\Docs Trabajo\NI-L1071\Mision 4 - Analisis\Ronet Nicaragua 2012\[RONET-v2-01- Nicaragua Red Basica.xls]S-Desempeño de la Red Vial'!$D$406</c:f>
              <c:strCache>
                <c:ptCount val="1"/>
                <c:pt idx="0">
                  <c:v>Bueno</c:v>
                </c:pt>
              </c:strCache>
            </c:strRef>
          </c:tx>
          <c:spPr>
            <a:solidFill>
              <a:schemeClr val="bg1">
                <a:lumMod val="50000"/>
              </a:schemeClr>
            </a:solidFill>
            <a:ln w="12700">
              <a:solidFill>
                <a:srgbClr val="000000"/>
              </a:solidFill>
              <a:prstDash val="solid"/>
            </a:ln>
          </c:spPr>
          <c:invertIfNegative val="0"/>
          <c:cat>
            <c:strRef>
              <c:f>'D:\Docs Trabajo\NI-L1071\Mision 4 - Analisis\Ronet Nicaragua 2012\[RONET-v2-01- Nicaragua Red Basica.xls]S-Desempeño de la Red Vial'!$E$387:$H$387</c:f>
              <c:strCache>
                <c:ptCount val="4"/>
                <c:pt idx="0">
                  <c:v>Actual</c:v>
                </c:pt>
                <c:pt idx="1">
                  <c:v>Año 5</c:v>
                </c:pt>
                <c:pt idx="2">
                  <c:v>Año 10</c:v>
                </c:pt>
                <c:pt idx="3">
                  <c:v>Año 20</c:v>
                </c:pt>
              </c:strCache>
            </c:strRef>
          </c:cat>
          <c:val>
            <c:numRef>
              <c:f>'D:\Docs Trabajo\NI-L1071\Mision 4 - Analisis\Ronet Nicaragua 2012\[RONET-v2-01- Nicaragua Red Basica.xls]S-Desempeño de la Red Vial'!$E$406:$H$406</c:f>
              <c:numCache>
                <c:formatCode>General</c:formatCode>
                <c:ptCount val="4"/>
                <c:pt idx="0">
                  <c:v>1552.66</c:v>
                </c:pt>
                <c:pt idx="1">
                  <c:v>966.11</c:v>
                </c:pt>
                <c:pt idx="2">
                  <c:v>858.50999999999976</c:v>
                </c:pt>
                <c:pt idx="3">
                  <c:v>1120.83</c:v>
                </c:pt>
              </c:numCache>
            </c:numRef>
          </c:val>
        </c:ser>
        <c:ser>
          <c:idx val="2"/>
          <c:order val="2"/>
          <c:tx>
            <c:strRef>
              <c:f>'D:\Docs Trabajo\NI-L1071\Mision 4 - Analisis\Ronet Nicaragua 2012\[RONET-v2-01- Nicaragua Red Basica.xls]S-Desempeño de la Red Vial'!$D$407</c:f>
              <c:strCache>
                <c:ptCount val="1"/>
                <c:pt idx="0">
                  <c:v>Regular</c:v>
                </c:pt>
              </c:strCache>
            </c:strRef>
          </c:tx>
          <c:spPr>
            <a:solidFill>
              <a:srgbClr val="FFFF00"/>
            </a:solidFill>
            <a:ln w="12700">
              <a:solidFill>
                <a:srgbClr val="000000"/>
              </a:solidFill>
              <a:prstDash val="solid"/>
            </a:ln>
          </c:spPr>
          <c:invertIfNegative val="0"/>
          <c:cat>
            <c:strRef>
              <c:f>'D:\Docs Trabajo\NI-L1071\Mision 4 - Analisis\Ronet Nicaragua 2012\[RONET-v2-01- Nicaragua Red Basica.xls]S-Desempeño de la Red Vial'!$E$387:$H$387</c:f>
              <c:strCache>
                <c:ptCount val="4"/>
                <c:pt idx="0">
                  <c:v>Actual</c:v>
                </c:pt>
                <c:pt idx="1">
                  <c:v>Año 5</c:v>
                </c:pt>
                <c:pt idx="2">
                  <c:v>Año 10</c:v>
                </c:pt>
                <c:pt idx="3">
                  <c:v>Año 20</c:v>
                </c:pt>
              </c:strCache>
            </c:strRef>
          </c:cat>
          <c:val>
            <c:numRef>
              <c:f>'D:\Docs Trabajo\NI-L1071\Mision 4 - Analisis\Ronet Nicaragua 2012\[RONET-v2-01- Nicaragua Red Basica.xls]S-Desempeño de la Red Vial'!$E$407:$H$407</c:f>
              <c:numCache>
                <c:formatCode>General</c:formatCode>
                <c:ptCount val="4"/>
                <c:pt idx="0">
                  <c:v>4032.1099999999997</c:v>
                </c:pt>
                <c:pt idx="1">
                  <c:v>1531.6399999999999</c:v>
                </c:pt>
                <c:pt idx="2">
                  <c:v>1807.98</c:v>
                </c:pt>
                <c:pt idx="3">
                  <c:v>407.62</c:v>
                </c:pt>
              </c:numCache>
            </c:numRef>
          </c:val>
        </c:ser>
        <c:ser>
          <c:idx val="3"/>
          <c:order val="3"/>
          <c:tx>
            <c:strRef>
              <c:f>'D:\Docs Trabajo\NI-L1071\Mision 4 - Analisis\Ronet Nicaragua 2012\[RONET-v2-01- Nicaragua Red Basica.xls]S-Desempeño de la Red Vial'!$D$408</c:f>
              <c:strCache>
                <c:ptCount val="1"/>
                <c:pt idx="0">
                  <c:v>Malo</c:v>
                </c:pt>
              </c:strCache>
            </c:strRef>
          </c:tx>
          <c:spPr>
            <a:solidFill>
              <a:schemeClr val="accent6">
                <a:lumMod val="60000"/>
                <a:lumOff val="40000"/>
              </a:schemeClr>
            </a:solidFill>
            <a:ln w="12700">
              <a:solidFill>
                <a:srgbClr val="000000"/>
              </a:solidFill>
              <a:prstDash val="solid"/>
            </a:ln>
          </c:spPr>
          <c:invertIfNegative val="0"/>
          <c:cat>
            <c:strRef>
              <c:f>'D:\Docs Trabajo\NI-L1071\Mision 4 - Analisis\Ronet Nicaragua 2012\[RONET-v2-01- Nicaragua Red Basica.xls]S-Desempeño de la Red Vial'!$E$387:$H$387</c:f>
              <c:strCache>
                <c:ptCount val="4"/>
                <c:pt idx="0">
                  <c:v>Actual</c:v>
                </c:pt>
                <c:pt idx="1">
                  <c:v>Año 5</c:v>
                </c:pt>
                <c:pt idx="2">
                  <c:v>Año 10</c:v>
                </c:pt>
                <c:pt idx="3">
                  <c:v>Año 20</c:v>
                </c:pt>
              </c:strCache>
            </c:strRef>
          </c:cat>
          <c:val>
            <c:numRef>
              <c:f>'D:\Docs Trabajo\NI-L1071\Mision 4 - Analisis\Ronet Nicaragua 2012\[RONET-v2-01- Nicaragua Red Basica.xls]S-Desempeño de la Red Vial'!$E$408:$H$408</c:f>
              <c:numCache>
                <c:formatCode>General</c:formatCode>
                <c:ptCount val="4"/>
                <c:pt idx="0">
                  <c:v>961.41999999999985</c:v>
                </c:pt>
                <c:pt idx="1">
                  <c:v>112.68000000000002</c:v>
                </c:pt>
                <c:pt idx="2">
                  <c:v>240.24</c:v>
                </c:pt>
                <c:pt idx="3">
                  <c:v>1167.29</c:v>
                </c:pt>
              </c:numCache>
            </c:numRef>
          </c:val>
        </c:ser>
        <c:ser>
          <c:idx val="4"/>
          <c:order val="4"/>
          <c:tx>
            <c:strRef>
              <c:f>'D:\Docs Trabajo\NI-L1071\Mision 4 - Analisis\Ronet Nicaragua 2012\[RONET-v2-01- Nicaragua Red Basica.xls]S-Desempeño de la Red Vial'!$D$409</c:f>
              <c:strCache>
                <c:ptCount val="1"/>
                <c:pt idx="0">
                  <c:v>Muy Malo</c:v>
                </c:pt>
              </c:strCache>
            </c:strRef>
          </c:tx>
          <c:spPr>
            <a:solidFill>
              <a:srgbClr val="FF0000"/>
            </a:solidFill>
            <a:ln w="12700">
              <a:solidFill>
                <a:srgbClr val="000000"/>
              </a:solidFill>
              <a:prstDash val="solid"/>
            </a:ln>
          </c:spPr>
          <c:invertIfNegative val="0"/>
          <c:cat>
            <c:strRef>
              <c:f>'D:\Docs Trabajo\NI-L1071\Mision 4 - Analisis\Ronet Nicaragua 2012\[RONET-v2-01- Nicaragua Red Basica.xls]S-Desempeño de la Red Vial'!$E$387:$H$387</c:f>
              <c:strCache>
                <c:ptCount val="4"/>
                <c:pt idx="0">
                  <c:v>Actual</c:v>
                </c:pt>
                <c:pt idx="1">
                  <c:v>Año 5</c:v>
                </c:pt>
                <c:pt idx="2">
                  <c:v>Año 10</c:v>
                </c:pt>
                <c:pt idx="3">
                  <c:v>Año 20</c:v>
                </c:pt>
              </c:strCache>
            </c:strRef>
          </c:cat>
          <c:val>
            <c:numRef>
              <c:f>'D:\Docs Trabajo\NI-L1071\Mision 4 - Analisis\Ronet Nicaragua 2012\[RONET-v2-01- Nicaragua Red Basica.xls]S-Desempeño de la Red Vial'!$E$409:$H$409</c:f>
              <c:numCache>
                <c:formatCode>General</c:formatCode>
                <c:ptCount val="4"/>
                <c:pt idx="0">
                  <c:v>24.650000000000002</c:v>
                </c:pt>
                <c:pt idx="1">
                  <c:v>250.47</c:v>
                </c:pt>
                <c:pt idx="2">
                  <c:v>259.58</c:v>
                </c:pt>
                <c:pt idx="3">
                  <c:v>313.11</c:v>
                </c:pt>
              </c:numCache>
            </c:numRef>
          </c:val>
        </c:ser>
        <c:dLbls>
          <c:showLegendKey val="0"/>
          <c:showVal val="0"/>
          <c:showCatName val="0"/>
          <c:showSerName val="0"/>
          <c:showPercent val="0"/>
          <c:showBubbleSize val="0"/>
        </c:dLbls>
        <c:gapWidth val="150"/>
        <c:overlap val="100"/>
        <c:axId val="203213056"/>
        <c:axId val="203218944"/>
      </c:barChart>
      <c:catAx>
        <c:axId val="203213056"/>
        <c:scaling>
          <c:orientation val="minMax"/>
        </c:scaling>
        <c:delete val="0"/>
        <c:axPos val="b"/>
        <c:numFmt formatCode="General" sourceLinked="1"/>
        <c:majorTickMark val="none"/>
        <c:minorTickMark val="none"/>
        <c:tickLblPos val="nextTo"/>
        <c:spPr>
          <a:ln w="3175">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en-US"/>
          </a:p>
        </c:txPr>
        <c:crossAx val="203218944"/>
        <c:crosses val="autoZero"/>
        <c:auto val="1"/>
        <c:lblAlgn val="ctr"/>
        <c:lblOffset val="100"/>
        <c:tickLblSkip val="1"/>
        <c:tickMarkSkip val="1"/>
        <c:noMultiLvlLbl val="0"/>
      </c:catAx>
      <c:valAx>
        <c:axId val="203218944"/>
        <c:scaling>
          <c:orientation val="minMax"/>
        </c:scaling>
        <c:delete val="0"/>
        <c:axPos val="l"/>
        <c:majorGridlines/>
        <c:title>
          <c:tx>
            <c:rich>
              <a:bodyPr rot="-5400000" vert="horz"/>
              <a:lstStyle/>
              <a:p>
                <a:pPr>
                  <a:defRPr sz="800" b="1" i="0" baseline="0"/>
                </a:pPr>
                <a:r>
                  <a:rPr lang="es-ES" sz="800" b="1" i="0" baseline="0"/>
                  <a:t>Longitud de Red en km</a:t>
                </a:r>
              </a:p>
            </c:rich>
          </c:tx>
          <c:layout/>
          <c:overlay val="0"/>
        </c:title>
        <c:numFmt formatCode="General" sourceLinked="1"/>
        <c:majorTickMark val="out"/>
        <c:minorTickMark val="none"/>
        <c:tickLblPos val="nextTo"/>
        <c:txPr>
          <a:bodyPr rot="0" vert="horz"/>
          <a:lstStyle/>
          <a:p>
            <a:pPr>
              <a:defRPr sz="650" b="0" i="0" u="none" strike="noStrike" baseline="0">
                <a:solidFill>
                  <a:srgbClr val="000000"/>
                </a:solidFill>
                <a:latin typeface="Arial"/>
                <a:ea typeface="Arial"/>
                <a:cs typeface="Arial"/>
              </a:defRPr>
            </a:pPr>
            <a:endParaRPr lang="en-US"/>
          </a:p>
        </c:txPr>
        <c:crossAx val="203213056"/>
        <c:crosses val="autoZero"/>
        <c:crossBetween val="between"/>
      </c:valAx>
      <c:spPr>
        <a:noFill/>
        <a:ln w="9525">
          <a:solidFill>
            <a:srgbClr val="808080"/>
          </a:solidFill>
          <a:prstDash val="solid"/>
        </a:ln>
      </c:spPr>
    </c:plotArea>
    <c:legend>
      <c:legendPos val="r"/>
      <c:layout/>
      <c:overlay val="0"/>
      <c:txPr>
        <a:bodyPr/>
        <a:lstStyle/>
        <a:p>
          <a:pPr>
            <a:defRPr sz="800" baseline="0"/>
          </a:pPr>
          <a:endParaRPr lang="en-US"/>
        </a:p>
      </c:txPr>
    </c:legend>
    <c:plotVisOnly val="1"/>
    <c:dispBlanksAs val="gap"/>
    <c:showDLblsOverMax val="0"/>
  </c:chart>
  <c:spPr>
    <a:noFill/>
    <a:ln w="9525">
      <a:solidFill>
        <a:srgbClr val="808080"/>
      </a:solidFill>
    </a:ln>
  </c:spPr>
  <c:txPr>
    <a:bodyPr/>
    <a:lstStyle/>
    <a:p>
      <a:pPr>
        <a:defRPr sz="400" b="0" i="0" u="none" strike="noStrike" baseline="0">
          <a:solidFill>
            <a:srgbClr val="000000"/>
          </a:solidFill>
          <a:latin typeface="Arial"/>
          <a:ea typeface="Arial"/>
          <a:cs typeface="Arial"/>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s-ES" b="1"/>
              <a:t>Variación de Estado de la Red Vial Total</a:t>
            </a:r>
          </a:p>
        </c:rich>
      </c:tx>
      <c:layout/>
      <c:overlay val="0"/>
    </c:title>
    <c:autoTitleDeleted val="0"/>
    <c:plotArea>
      <c:layout/>
      <c:barChart>
        <c:barDir val="col"/>
        <c:grouping val="stacked"/>
        <c:varyColors val="0"/>
        <c:ser>
          <c:idx val="0"/>
          <c:order val="0"/>
          <c:tx>
            <c:strRef>
              <c:f>'D:\Docs Trabajo\NI-L1071\Mision 4 - Analisis\Ronet Nicaragua 2012\[RONET-v2-01- Nicaragua Incl. No Basica.xls]S-Desempeño de la Red Vial'!$D$405</c:f>
              <c:strCache>
                <c:ptCount val="1"/>
                <c:pt idx="0">
                  <c:v>Muy Bueno</c:v>
                </c:pt>
              </c:strCache>
            </c:strRef>
          </c:tx>
          <c:spPr>
            <a:solidFill>
              <a:schemeClr val="bg1">
                <a:lumMod val="25000"/>
              </a:schemeClr>
            </a:solidFill>
            <a:ln w="12700">
              <a:solidFill>
                <a:srgbClr val="000000"/>
              </a:solidFill>
              <a:prstDash val="solid"/>
            </a:ln>
          </c:spPr>
          <c:invertIfNegative val="0"/>
          <c:cat>
            <c:strRef>
              <c:f>'D:\Docs Trabajo\NI-L1071\Mision 4 - Analisis\Ronet Nicaragua 2012\[RONET-v2-01- Nicaragua Incl. No Basica.xls]S-Desempeño de la Red Vial'!$E$387:$H$387</c:f>
              <c:strCache>
                <c:ptCount val="4"/>
                <c:pt idx="0">
                  <c:v>Actual</c:v>
                </c:pt>
                <c:pt idx="1">
                  <c:v>Año 5</c:v>
                </c:pt>
                <c:pt idx="2">
                  <c:v>Año 10</c:v>
                </c:pt>
                <c:pt idx="3">
                  <c:v>Año 20</c:v>
                </c:pt>
              </c:strCache>
            </c:strRef>
          </c:cat>
          <c:val>
            <c:numRef>
              <c:f>'D:\Docs Trabajo\NI-L1071\Mision 4 - Analisis\Ronet Nicaragua 2012\[RONET-v2-01- Nicaragua Incl. No Basica.xls]S-Desempeño de la Red Vial'!$E$405:$H$405</c:f>
              <c:numCache>
                <c:formatCode>General</c:formatCode>
                <c:ptCount val="4"/>
                <c:pt idx="0">
                  <c:v>1414.41</c:v>
                </c:pt>
                <c:pt idx="1">
                  <c:v>5124.3499999999995</c:v>
                </c:pt>
                <c:pt idx="2">
                  <c:v>4818.9399999999996</c:v>
                </c:pt>
                <c:pt idx="3">
                  <c:v>4976.3999999999996</c:v>
                </c:pt>
              </c:numCache>
            </c:numRef>
          </c:val>
        </c:ser>
        <c:ser>
          <c:idx val="1"/>
          <c:order val="1"/>
          <c:tx>
            <c:strRef>
              <c:f>'D:\Docs Trabajo\NI-L1071\Mision 4 - Analisis\Ronet Nicaragua 2012\[RONET-v2-01- Nicaragua Incl. No Basica.xls]S-Desempeño de la Red Vial'!$D$406</c:f>
              <c:strCache>
                <c:ptCount val="1"/>
                <c:pt idx="0">
                  <c:v>Bueno</c:v>
                </c:pt>
              </c:strCache>
            </c:strRef>
          </c:tx>
          <c:spPr>
            <a:solidFill>
              <a:schemeClr val="bg1">
                <a:lumMod val="50000"/>
              </a:schemeClr>
            </a:solidFill>
            <a:ln w="12700">
              <a:solidFill>
                <a:srgbClr val="000000"/>
              </a:solidFill>
              <a:prstDash val="solid"/>
            </a:ln>
          </c:spPr>
          <c:invertIfNegative val="0"/>
          <c:cat>
            <c:strRef>
              <c:f>'D:\Docs Trabajo\NI-L1071\Mision 4 - Analisis\Ronet Nicaragua 2012\[RONET-v2-01- Nicaragua Incl. No Basica.xls]S-Desempeño de la Red Vial'!$E$387:$H$387</c:f>
              <c:strCache>
                <c:ptCount val="4"/>
                <c:pt idx="0">
                  <c:v>Actual</c:v>
                </c:pt>
                <c:pt idx="1">
                  <c:v>Año 5</c:v>
                </c:pt>
                <c:pt idx="2">
                  <c:v>Año 10</c:v>
                </c:pt>
                <c:pt idx="3">
                  <c:v>Año 20</c:v>
                </c:pt>
              </c:strCache>
            </c:strRef>
          </c:cat>
          <c:val>
            <c:numRef>
              <c:f>'D:\Docs Trabajo\NI-L1071\Mision 4 - Analisis\Ronet Nicaragua 2012\[RONET-v2-01- Nicaragua Incl. No Basica.xls]S-Desempeño de la Red Vial'!$E$406:$H$406</c:f>
              <c:numCache>
                <c:formatCode>General</c:formatCode>
                <c:ptCount val="4"/>
                <c:pt idx="0">
                  <c:v>1552.66</c:v>
                </c:pt>
                <c:pt idx="1">
                  <c:v>966.11</c:v>
                </c:pt>
                <c:pt idx="2">
                  <c:v>858.50999999999976</c:v>
                </c:pt>
                <c:pt idx="3">
                  <c:v>1120.83</c:v>
                </c:pt>
              </c:numCache>
            </c:numRef>
          </c:val>
        </c:ser>
        <c:ser>
          <c:idx val="2"/>
          <c:order val="2"/>
          <c:tx>
            <c:strRef>
              <c:f>'D:\Docs Trabajo\NI-L1071\Mision 4 - Analisis\Ronet Nicaragua 2012\[RONET-v2-01- Nicaragua Incl. No Basica.xls]S-Desempeño de la Red Vial'!$D$407</c:f>
              <c:strCache>
                <c:ptCount val="1"/>
                <c:pt idx="0">
                  <c:v>Regular</c:v>
                </c:pt>
              </c:strCache>
            </c:strRef>
          </c:tx>
          <c:spPr>
            <a:solidFill>
              <a:srgbClr val="00FF00"/>
            </a:solidFill>
            <a:ln w="12700">
              <a:solidFill>
                <a:srgbClr val="000000"/>
              </a:solidFill>
              <a:prstDash val="solid"/>
            </a:ln>
          </c:spPr>
          <c:invertIfNegative val="0"/>
          <c:cat>
            <c:strRef>
              <c:f>'D:\Docs Trabajo\NI-L1071\Mision 4 - Analisis\Ronet Nicaragua 2012\[RONET-v2-01- Nicaragua Incl. No Basica.xls]S-Desempeño de la Red Vial'!$E$387:$H$387</c:f>
              <c:strCache>
                <c:ptCount val="4"/>
                <c:pt idx="0">
                  <c:v>Actual</c:v>
                </c:pt>
                <c:pt idx="1">
                  <c:v>Año 5</c:v>
                </c:pt>
                <c:pt idx="2">
                  <c:v>Año 10</c:v>
                </c:pt>
                <c:pt idx="3">
                  <c:v>Año 20</c:v>
                </c:pt>
              </c:strCache>
            </c:strRef>
          </c:cat>
          <c:val>
            <c:numRef>
              <c:f>'D:\Docs Trabajo\NI-L1071\Mision 4 - Analisis\Ronet Nicaragua 2012\[RONET-v2-01- Nicaragua Incl. No Basica.xls]S-Desempeño de la Red Vial'!$E$407:$H$407</c:f>
              <c:numCache>
                <c:formatCode>General</c:formatCode>
                <c:ptCount val="4"/>
                <c:pt idx="0">
                  <c:v>5556.61</c:v>
                </c:pt>
                <c:pt idx="1">
                  <c:v>1531.6399999999999</c:v>
                </c:pt>
                <c:pt idx="2">
                  <c:v>1807.98</c:v>
                </c:pt>
                <c:pt idx="3">
                  <c:v>407.62</c:v>
                </c:pt>
              </c:numCache>
            </c:numRef>
          </c:val>
        </c:ser>
        <c:ser>
          <c:idx val="3"/>
          <c:order val="3"/>
          <c:tx>
            <c:strRef>
              <c:f>'D:\Docs Trabajo\NI-L1071\Mision 4 - Analisis\Ronet Nicaragua 2012\[RONET-v2-01- Nicaragua Incl. No Basica.xls]S-Desempeño de la Red Vial'!$D$408</c:f>
              <c:strCache>
                <c:ptCount val="1"/>
                <c:pt idx="0">
                  <c:v>Malo</c:v>
                </c:pt>
              </c:strCache>
            </c:strRef>
          </c:tx>
          <c:spPr>
            <a:solidFill>
              <a:schemeClr val="accent6">
                <a:lumMod val="60000"/>
                <a:lumOff val="40000"/>
              </a:schemeClr>
            </a:solidFill>
            <a:ln w="12700">
              <a:solidFill>
                <a:srgbClr val="000000"/>
              </a:solidFill>
              <a:prstDash val="solid"/>
            </a:ln>
          </c:spPr>
          <c:invertIfNegative val="0"/>
          <c:cat>
            <c:strRef>
              <c:f>'D:\Docs Trabajo\NI-L1071\Mision 4 - Analisis\Ronet Nicaragua 2012\[RONET-v2-01- Nicaragua Incl. No Basica.xls]S-Desempeño de la Red Vial'!$E$387:$H$387</c:f>
              <c:strCache>
                <c:ptCount val="4"/>
                <c:pt idx="0">
                  <c:v>Actual</c:v>
                </c:pt>
                <c:pt idx="1">
                  <c:v>Año 5</c:v>
                </c:pt>
                <c:pt idx="2">
                  <c:v>Año 10</c:v>
                </c:pt>
                <c:pt idx="3">
                  <c:v>Año 20</c:v>
                </c:pt>
              </c:strCache>
            </c:strRef>
          </c:cat>
          <c:val>
            <c:numRef>
              <c:f>'D:\Docs Trabajo\NI-L1071\Mision 4 - Analisis\Ronet Nicaragua 2012\[RONET-v2-01- Nicaragua Incl. No Basica.xls]S-Desempeño de la Red Vial'!$E$408:$H$408</c:f>
              <c:numCache>
                <c:formatCode>General</c:formatCode>
                <c:ptCount val="4"/>
                <c:pt idx="0">
                  <c:v>5534.92</c:v>
                </c:pt>
                <c:pt idx="1">
                  <c:v>4686.18</c:v>
                </c:pt>
                <c:pt idx="2">
                  <c:v>4813.74</c:v>
                </c:pt>
                <c:pt idx="3">
                  <c:v>5740.79</c:v>
                </c:pt>
              </c:numCache>
            </c:numRef>
          </c:val>
        </c:ser>
        <c:ser>
          <c:idx val="4"/>
          <c:order val="4"/>
          <c:tx>
            <c:strRef>
              <c:f>'D:\Docs Trabajo\NI-L1071\Mision 4 - Analisis\Ronet Nicaragua 2012\[RONET-v2-01- Nicaragua Incl. No Basica.xls]S-Desempeño de la Red Vial'!$D$409</c:f>
              <c:strCache>
                <c:ptCount val="1"/>
                <c:pt idx="0">
                  <c:v>Muy Malo</c:v>
                </c:pt>
              </c:strCache>
            </c:strRef>
          </c:tx>
          <c:spPr>
            <a:solidFill>
              <a:srgbClr val="FF0000"/>
            </a:solidFill>
            <a:ln w="12700">
              <a:solidFill>
                <a:srgbClr val="000000"/>
              </a:solidFill>
              <a:prstDash val="solid"/>
            </a:ln>
          </c:spPr>
          <c:invertIfNegative val="0"/>
          <c:cat>
            <c:strRef>
              <c:f>'D:\Docs Trabajo\NI-L1071\Mision 4 - Analisis\Ronet Nicaragua 2012\[RONET-v2-01- Nicaragua Incl. No Basica.xls]S-Desempeño de la Red Vial'!$E$387:$H$387</c:f>
              <c:strCache>
                <c:ptCount val="4"/>
                <c:pt idx="0">
                  <c:v>Actual</c:v>
                </c:pt>
                <c:pt idx="1">
                  <c:v>Año 5</c:v>
                </c:pt>
                <c:pt idx="2">
                  <c:v>Año 10</c:v>
                </c:pt>
                <c:pt idx="3">
                  <c:v>Año 20</c:v>
                </c:pt>
              </c:strCache>
            </c:strRef>
          </c:cat>
          <c:val>
            <c:numRef>
              <c:f>'D:\Docs Trabajo\NI-L1071\Mision 4 - Analisis\Ronet Nicaragua 2012\[RONET-v2-01- Nicaragua Incl. No Basica.xls]S-Desempeño de la Red Vial'!$E$409:$H$409</c:f>
              <c:numCache>
                <c:formatCode>General</c:formatCode>
                <c:ptCount val="4"/>
                <c:pt idx="0">
                  <c:v>9171.65</c:v>
                </c:pt>
                <c:pt idx="1">
                  <c:v>10921.97</c:v>
                </c:pt>
                <c:pt idx="2">
                  <c:v>10931.08</c:v>
                </c:pt>
                <c:pt idx="3">
                  <c:v>10984.61</c:v>
                </c:pt>
              </c:numCache>
            </c:numRef>
          </c:val>
        </c:ser>
        <c:dLbls>
          <c:showLegendKey val="0"/>
          <c:showVal val="0"/>
          <c:showCatName val="0"/>
          <c:showSerName val="0"/>
          <c:showPercent val="0"/>
          <c:showBubbleSize val="0"/>
        </c:dLbls>
        <c:gapWidth val="55"/>
        <c:overlap val="100"/>
        <c:axId val="206679040"/>
        <c:axId val="206689024"/>
      </c:barChart>
      <c:catAx>
        <c:axId val="206679040"/>
        <c:scaling>
          <c:orientation val="minMax"/>
        </c:scaling>
        <c:delete val="0"/>
        <c:axPos val="b"/>
        <c:numFmt formatCode="General" sourceLinked="1"/>
        <c:majorTickMark val="none"/>
        <c:minorTickMark val="none"/>
        <c:tickLblPos val="nextTo"/>
        <c:spPr>
          <a:ln w="3175">
            <a:solidFill>
              <a:srgbClr val="000000"/>
            </a:solidFill>
            <a:prstDash val="solid"/>
          </a:ln>
        </c:spPr>
        <c:txPr>
          <a:bodyPr rot="0" vert="horz"/>
          <a:lstStyle/>
          <a:p>
            <a:pPr>
              <a:defRPr/>
            </a:pPr>
            <a:endParaRPr lang="en-US"/>
          </a:p>
        </c:txPr>
        <c:crossAx val="206689024"/>
        <c:crosses val="autoZero"/>
        <c:auto val="1"/>
        <c:lblAlgn val="ctr"/>
        <c:lblOffset val="100"/>
        <c:tickLblSkip val="1"/>
        <c:tickMarkSkip val="1"/>
        <c:noMultiLvlLbl val="0"/>
      </c:catAx>
      <c:valAx>
        <c:axId val="206689024"/>
        <c:scaling>
          <c:orientation val="minMax"/>
        </c:scaling>
        <c:delete val="0"/>
        <c:axPos val="l"/>
        <c:majorGridlines/>
        <c:title>
          <c:tx>
            <c:rich>
              <a:bodyPr rot="-5400000" vert="horz"/>
              <a:lstStyle/>
              <a:p>
                <a:pPr>
                  <a:defRPr b="1" i="0" baseline="0"/>
                </a:pPr>
                <a:r>
                  <a:rPr lang="es-ES" b="1" i="0" baseline="0"/>
                  <a:t>Longitud de Red en km</a:t>
                </a:r>
              </a:p>
            </c:rich>
          </c:tx>
          <c:layout/>
          <c:overlay val="0"/>
        </c:title>
        <c:numFmt formatCode="0" sourceLinked="0"/>
        <c:majorTickMark val="out"/>
        <c:minorTickMark val="none"/>
        <c:tickLblPos val="nextTo"/>
        <c:spPr>
          <a:ln w="3175">
            <a:solidFill>
              <a:srgbClr val="000000"/>
            </a:solidFill>
            <a:prstDash val="solid"/>
          </a:ln>
        </c:spPr>
        <c:txPr>
          <a:bodyPr rot="0" vert="horz"/>
          <a:lstStyle/>
          <a:p>
            <a:pPr>
              <a:defRPr sz="600" baseline="0"/>
            </a:pPr>
            <a:endParaRPr lang="en-US"/>
          </a:p>
        </c:txPr>
        <c:crossAx val="206679040"/>
        <c:crosses val="autoZero"/>
        <c:crossBetween val="between"/>
        <c:majorUnit val="2500"/>
      </c:valAx>
      <c:spPr>
        <a:noFill/>
        <a:ln w="12700">
          <a:solidFill>
            <a:srgbClr val="808080"/>
          </a:solidFill>
          <a:prstDash val="solid"/>
        </a:ln>
      </c:spPr>
    </c:plotArea>
    <c:legend>
      <c:legendPos val="r"/>
      <c:layout/>
      <c:overlay val="0"/>
      <c:spPr>
        <a:noFill/>
        <a:ln w="3175">
          <a:noFill/>
          <a:prstDash val="solid"/>
        </a:ln>
      </c:spPr>
    </c:legend>
    <c:plotVisOnly val="1"/>
    <c:dispBlanksAs val="gap"/>
    <c:showDLblsOverMax val="0"/>
  </c:chart>
  <c:spPr>
    <a:noFill/>
    <a:ln w="9525">
      <a:solidFill>
        <a:srgbClr val="808080"/>
      </a:solidFill>
    </a:ln>
  </c:spPr>
  <c:txPr>
    <a:bodyPr/>
    <a:lstStyle/>
    <a:p>
      <a:pPr>
        <a:defRPr sz="800" b="0" i="0" u="none" strike="noStrike" baseline="0">
          <a:solidFill>
            <a:srgbClr val="000000"/>
          </a:solidFill>
          <a:latin typeface="Arial"/>
          <a:ea typeface="Arial"/>
          <a:cs typeface="Arial"/>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s-ES" sz="1200" baseline="0"/>
              <a:t>Análisis de la Brecha de Financiamiento en 10 años para Conservación de la Red Vial de Nicaragua (23.647 km)</a:t>
            </a:r>
          </a:p>
        </c:rich>
      </c:tx>
      <c:layout/>
      <c:overlay val="0"/>
    </c:title>
    <c:autoTitleDeleted val="0"/>
    <c:plotArea>
      <c:layout/>
      <c:lineChart>
        <c:grouping val="standard"/>
        <c:varyColors val="0"/>
        <c:ser>
          <c:idx val="0"/>
          <c:order val="0"/>
          <c:tx>
            <c:strRef>
              <c:f>Sheet1!$A$35</c:f>
              <c:strCache>
                <c:ptCount val="1"/>
                <c:pt idx="0">
                  <c:v>Nivel de inversión Escenario "Optimo"</c:v>
                </c:pt>
              </c:strCache>
            </c:strRef>
          </c:tx>
          <c:spPr>
            <a:ln w="38100">
              <a:solidFill>
                <a:srgbClr val="0070C0"/>
              </a:solidFill>
            </a:ln>
          </c:spPr>
          <c:marker>
            <c:symbol val="none"/>
          </c:marker>
          <c:cat>
            <c:numRef>
              <c:f>Sheet1!$B$34:$R$34</c:f>
              <c:numCache>
                <c:formatCode>General</c:formatCode>
                <c:ptCount val="17"/>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pt idx="13">
                  <c:v>2019</c:v>
                </c:pt>
                <c:pt idx="14">
                  <c:v>2020</c:v>
                </c:pt>
                <c:pt idx="15">
                  <c:v>2021</c:v>
                </c:pt>
                <c:pt idx="16">
                  <c:v>2022</c:v>
                </c:pt>
              </c:numCache>
            </c:numRef>
          </c:cat>
          <c:val>
            <c:numRef>
              <c:f>Sheet1!$B$35:$R$35</c:f>
              <c:numCache>
                <c:formatCode>General</c:formatCode>
                <c:ptCount val="17"/>
                <c:pt idx="7">
                  <c:v>241.9</c:v>
                </c:pt>
                <c:pt idx="8">
                  <c:v>241.9</c:v>
                </c:pt>
                <c:pt idx="9">
                  <c:v>241.9</c:v>
                </c:pt>
                <c:pt idx="10">
                  <c:v>241.9</c:v>
                </c:pt>
                <c:pt idx="11">
                  <c:v>241.9</c:v>
                </c:pt>
                <c:pt idx="12">
                  <c:v>241.9</c:v>
                </c:pt>
                <c:pt idx="13">
                  <c:v>241.9</c:v>
                </c:pt>
                <c:pt idx="14">
                  <c:v>241.9</c:v>
                </c:pt>
                <c:pt idx="15">
                  <c:v>241.9</c:v>
                </c:pt>
                <c:pt idx="16">
                  <c:v>241.9</c:v>
                </c:pt>
              </c:numCache>
            </c:numRef>
          </c:val>
          <c:smooth val="0"/>
        </c:ser>
        <c:ser>
          <c:idx val="2"/>
          <c:order val="1"/>
          <c:tx>
            <c:strRef>
              <c:f>Sheet1!$A$37</c:f>
              <c:strCache>
                <c:ptCount val="1"/>
                <c:pt idx="0">
                  <c:v>Fondos propios (ejecutado 2006-2012 y tendencia)</c:v>
                </c:pt>
              </c:strCache>
            </c:strRef>
          </c:tx>
          <c:spPr>
            <a:ln w="38100">
              <a:solidFill>
                <a:schemeClr val="accent3">
                  <a:lumMod val="75000"/>
                </a:schemeClr>
              </a:solidFill>
            </a:ln>
          </c:spPr>
          <c:marker>
            <c:symbol val="none"/>
          </c:marker>
          <c:cat>
            <c:numRef>
              <c:f>Sheet1!$B$34:$R$34</c:f>
              <c:numCache>
                <c:formatCode>General</c:formatCode>
                <c:ptCount val="17"/>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pt idx="13">
                  <c:v>2019</c:v>
                </c:pt>
                <c:pt idx="14">
                  <c:v>2020</c:v>
                </c:pt>
                <c:pt idx="15">
                  <c:v>2021</c:v>
                </c:pt>
                <c:pt idx="16">
                  <c:v>2022</c:v>
                </c:pt>
              </c:numCache>
            </c:numRef>
          </c:cat>
          <c:val>
            <c:numRef>
              <c:f>Sheet1!$B$37:$R$37</c:f>
              <c:numCache>
                <c:formatCode>0.00</c:formatCode>
                <c:ptCount val="17"/>
                <c:pt idx="0">
                  <c:v>26.198898366584633</c:v>
                </c:pt>
                <c:pt idx="1">
                  <c:v>47.264638639764101</c:v>
                </c:pt>
                <c:pt idx="2">
                  <c:v>42.509280075076987</c:v>
                </c:pt>
                <c:pt idx="3">
                  <c:v>54.967209633384385</c:v>
                </c:pt>
                <c:pt idx="4">
                  <c:v>66.101913630175758</c:v>
                </c:pt>
                <c:pt idx="5">
                  <c:v>73.904962303038914</c:v>
                </c:pt>
                <c:pt idx="6">
                  <c:v>80.958496020659155</c:v>
                </c:pt>
                <c:pt idx="7">
                  <c:v>84.518724218155782</c:v>
                </c:pt>
                <c:pt idx="8">
                  <c:v>90.132664561287939</c:v>
                </c:pt>
                <c:pt idx="9">
                  <c:v>95.469753229864651</c:v>
                </c:pt>
                <c:pt idx="10">
                  <c:v>100.56948034920536</c:v>
                </c:pt>
                <c:pt idx="11">
                  <c:v>105.4626695555622</c:v>
                </c:pt>
                <c:pt idx="12">
                  <c:v>110.17393735461802</c:v>
                </c:pt>
                <c:pt idx="13">
                  <c:v>114.72332022358222</c:v>
                </c:pt>
                <c:pt idx="14">
                  <c:v>119.12739017976598</c:v>
                </c:pt>
                <c:pt idx="15">
                  <c:v>123.40004285818904</c:v>
                </c:pt>
                <c:pt idx="16">
                  <c:v>127.55306859734684</c:v>
                </c:pt>
              </c:numCache>
            </c:numRef>
          </c:val>
          <c:smooth val="0"/>
        </c:ser>
        <c:ser>
          <c:idx val="4"/>
          <c:order val="2"/>
          <c:tx>
            <c:strRef>
              <c:f>Sheet1!$A$39</c:f>
              <c:strCache>
                <c:ptCount val="1"/>
                <c:pt idx="0">
                  <c:v>Brecha de Financiamiento</c:v>
                </c:pt>
              </c:strCache>
            </c:strRef>
          </c:tx>
          <c:spPr>
            <a:ln w="63500">
              <a:solidFill>
                <a:srgbClr val="FF0000"/>
              </a:solidFill>
            </a:ln>
          </c:spPr>
          <c:marker>
            <c:symbol val="none"/>
          </c:marker>
          <c:cat>
            <c:numRef>
              <c:f>Sheet1!$B$34:$R$34</c:f>
              <c:numCache>
                <c:formatCode>General</c:formatCode>
                <c:ptCount val="17"/>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pt idx="13">
                  <c:v>2019</c:v>
                </c:pt>
                <c:pt idx="14">
                  <c:v>2020</c:v>
                </c:pt>
                <c:pt idx="15">
                  <c:v>2021</c:v>
                </c:pt>
                <c:pt idx="16">
                  <c:v>2022</c:v>
                </c:pt>
              </c:numCache>
            </c:numRef>
          </c:cat>
          <c:val>
            <c:numRef>
              <c:f>Sheet1!$B$39:$R$39</c:f>
              <c:numCache>
                <c:formatCode>General</c:formatCode>
                <c:ptCount val="17"/>
                <c:pt idx="7" formatCode="0.00">
                  <c:v>157.38127578184424</c:v>
                </c:pt>
                <c:pt idx="8" formatCode="0.00">
                  <c:v>151.76733543871205</c:v>
                </c:pt>
                <c:pt idx="9" formatCode="0.00">
                  <c:v>146.43024677013534</c:v>
                </c:pt>
                <c:pt idx="10" formatCode="0.00">
                  <c:v>141.33051965079466</c:v>
                </c:pt>
                <c:pt idx="11" formatCode="0.00">
                  <c:v>136.4373304444378</c:v>
                </c:pt>
                <c:pt idx="12" formatCode="0.00">
                  <c:v>131.726062645382</c:v>
                </c:pt>
                <c:pt idx="13" formatCode="0.00">
                  <c:v>127.17667977641779</c:v>
                </c:pt>
                <c:pt idx="14" formatCode="0.00">
                  <c:v>122.77260982023402</c:v>
                </c:pt>
                <c:pt idx="15" formatCode="0.00">
                  <c:v>118.49995714181097</c:v>
                </c:pt>
                <c:pt idx="16" formatCode="0.00">
                  <c:v>114.34693140265317</c:v>
                </c:pt>
              </c:numCache>
            </c:numRef>
          </c:val>
          <c:smooth val="0"/>
        </c:ser>
        <c:dLbls>
          <c:showLegendKey val="0"/>
          <c:showVal val="0"/>
          <c:showCatName val="0"/>
          <c:showSerName val="0"/>
          <c:showPercent val="0"/>
          <c:showBubbleSize val="0"/>
        </c:dLbls>
        <c:marker val="1"/>
        <c:smooth val="0"/>
        <c:axId val="206711424"/>
        <c:axId val="206737792"/>
      </c:lineChart>
      <c:catAx>
        <c:axId val="206711424"/>
        <c:scaling>
          <c:orientation val="minMax"/>
        </c:scaling>
        <c:delete val="0"/>
        <c:axPos val="b"/>
        <c:numFmt formatCode="General" sourceLinked="1"/>
        <c:majorTickMark val="out"/>
        <c:minorTickMark val="none"/>
        <c:tickLblPos val="nextTo"/>
        <c:txPr>
          <a:bodyPr/>
          <a:lstStyle/>
          <a:p>
            <a:pPr>
              <a:defRPr sz="800"/>
            </a:pPr>
            <a:endParaRPr lang="en-US"/>
          </a:p>
        </c:txPr>
        <c:crossAx val="206737792"/>
        <c:crosses val="autoZero"/>
        <c:auto val="1"/>
        <c:lblAlgn val="ctr"/>
        <c:lblOffset val="100"/>
        <c:noMultiLvlLbl val="0"/>
      </c:catAx>
      <c:valAx>
        <c:axId val="206737792"/>
        <c:scaling>
          <c:orientation val="minMax"/>
        </c:scaling>
        <c:delete val="0"/>
        <c:axPos val="l"/>
        <c:majorGridlines/>
        <c:title>
          <c:tx>
            <c:rich>
              <a:bodyPr rot="-5400000" vert="horz"/>
              <a:lstStyle/>
              <a:p>
                <a:pPr>
                  <a:defRPr/>
                </a:pPr>
                <a:r>
                  <a:rPr lang="es-ES"/>
                  <a:t>Millones US$</a:t>
                </a:r>
              </a:p>
            </c:rich>
          </c:tx>
          <c:layout/>
          <c:overlay val="0"/>
        </c:title>
        <c:numFmt formatCode="General" sourceLinked="1"/>
        <c:majorTickMark val="out"/>
        <c:minorTickMark val="none"/>
        <c:tickLblPos val="nextTo"/>
        <c:crossAx val="206711424"/>
        <c:crosses val="autoZero"/>
        <c:crossBetween val="between"/>
      </c:valAx>
    </c:plotArea>
    <c:legend>
      <c:legendPos val="r"/>
      <c:layout/>
      <c:overlay val="0"/>
    </c:legend>
    <c:plotVisOnly val="1"/>
    <c:dispBlanksAs val="gap"/>
    <c:showDLblsOverMax val="0"/>
  </c:chart>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597213AAC5E39C47B0C2385D2B7B9BE0" ma:contentTypeVersion="0" ma:contentTypeDescription="A content type to manage public (operations) IDB documents" ma:contentTypeScope="" ma:versionID="8d88289237bc21ef16a3067350986272">
  <xsd:schema xmlns:xsd="http://www.w3.org/2001/XMLSchema" xmlns:xs="http://www.w3.org/2001/XMLSchema" xmlns:p="http://schemas.microsoft.com/office/2006/metadata/properties" xmlns:ns2="9c571b2f-e523-4ab2-ba2e-09e151a03ef4" targetNamespace="http://schemas.microsoft.com/office/2006/metadata/properties" ma:root="true" ma:fieldsID="d678c23e49c7f96c53dbc311b72ecf3c"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be9b3f0-593f-4939-a32e-78bc44e80446}" ma:internalName="TaxCatchAll" ma:showField="CatchAllData" ma:web="eb750629-ec99-4236-a6b1-018c4332f0a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be9b3f0-593f-4939-a32e-78bc44e80446}" ma:internalName="TaxCatchAllLabel" ma:readOnly="true" ma:showField="CatchAllDataLabel" ma:web="eb750629-ec99-4236-a6b1-018c4332f0a4">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CID/CNI</Division_x0020_or_x0020_Unit>
    <Other_x0020_Author xmlns="9c571b2f-e523-4ab2-ba2e-09e151a03ef4">AGOMEZ</Other_x0020_Author>
    <Region xmlns="9c571b2f-e523-4ab2-ba2e-09e151a03ef4" xsi:nil="true"/>
    <IDBDocs_x0020_Number xmlns="9c571b2f-e523-4ab2-ba2e-09e151a03ef4">37771908</IDBDocs_x0020_Number>
    <Document_x0020_Author xmlns="9c571b2f-e523-4ab2-ba2e-09e151a03ef4">Salazar Galeano, Alfonso</Document_x0020_Author>
    <Publication_x0020_Type xmlns="9c571b2f-e523-4ab2-ba2e-09e151a03ef4" xsi:nil="true"/>
    <Operation_x0020_Type xmlns="9c571b2f-e523-4ab2-ba2e-09e151a03ef4" xsi:nil="true"/>
    <TaxCatchAll xmlns="9c571b2f-e523-4ab2-ba2e-09e151a03ef4">
      <Value>14</Value>
      <Value>6</Value>
    </TaxCatchAll>
    <Fiscal_x0020_Year_x0020_IDB xmlns="9c571b2f-e523-4ab2-ba2e-09e151a03ef4">2013</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NI-L1071</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Report</TermName>
          <TermId xmlns="http://schemas.microsoft.com/office/infopath/2007/PartnerControls">873abde9-d18a-4026-95d4-5687f3b4d845</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Proposal&lt;/USER_STAGE&gt;&lt;PD_OBJ_TYPE&gt;1&lt;/PD_OBJ_TYPE&gt;&lt;MAKERECORD&gt;Y&lt;/MAKERECORD&gt;&lt;PD_FILEPT_NO&gt;PO-NI-L1071-Rpt-Perm&lt;/PD_FILEPT_NO&gt;&lt;/Data&gt;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TR-TRP</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8EB01CDF-27DD-4B70-81A0-B0E9B11F420E}"/>
</file>

<file path=customXml/itemProps2.xml><?xml version="1.0" encoding="utf-8"?>
<ds:datastoreItem xmlns:ds="http://schemas.openxmlformats.org/officeDocument/2006/customXml" ds:itemID="{553F224E-718F-435F-BBED-3A597BA6430E}"/>
</file>

<file path=customXml/itemProps3.xml><?xml version="1.0" encoding="utf-8"?>
<ds:datastoreItem xmlns:ds="http://schemas.openxmlformats.org/officeDocument/2006/customXml" ds:itemID="{B879B333-099C-4AA1-B3BF-65B6E3245C3C}"/>
</file>

<file path=customXml/itemProps4.xml><?xml version="1.0" encoding="utf-8"?>
<ds:datastoreItem xmlns:ds="http://schemas.openxmlformats.org/officeDocument/2006/customXml" ds:itemID="{C2829E99-27AF-4663-97BB-DD6FBB916EB9}"/>
</file>

<file path=customXml/itemProps5.xml><?xml version="1.0" encoding="utf-8"?>
<ds:datastoreItem xmlns:ds="http://schemas.openxmlformats.org/officeDocument/2006/customXml" ds:itemID="{CCFEE272-8EA0-4FD9-B84F-A155FD9D1B62}"/>
</file>

<file path=customXml/itemProps6.xml><?xml version="1.0" encoding="utf-8"?>
<ds:datastoreItem xmlns:ds="http://schemas.openxmlformats.org/officeDocument/2006/customXml" ds:itemID="{9B6AB226-C3C5-450E-BF93-A158F895FC74}"/>
</file>

<file path=docProps/app.xml><?xml version="1.0" encoding="utf-8"?>
<Properties xmlns="http://schemas.openxmlformats.org/officeDocument/2006/extended-properties" xmlns:vt="http://schemas.openxmlformats.org/officeDocument/2006/docPropsVTypes">
  <Template>Normal.dotm</Template>
  <TotalTime>6</TotalTime>
  <Pages>21</Pages>
  <Words>6715</Words>
  <Characters>38281</Characters>
  <Application>Microsoft Office Word</Application>
  <DocSecurity>0</DocSecurity>
  <Lines>319</Lines>
  <Paragraphs>89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Inter-American Development Bank</Company>
  <LinksUpToDate>false</LinksUpToDate>
  <CharactersWithSpaces>44907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Enlace Electrónico Opcional _3_ Nota Técnica Contexto NI-L1071</dc:title>
  <dc:creator>A Gomez</dc:creator>
  <cp:lastModifiedBy>Inter-American Development Bank</cp:lastModifiedBy>
  <cp:revision>3</cp:revision>
  <dcterms:created xsi:type="dcterms:W3CDTF">2013-06-27T21:47:00Z</dcterms:created>
  <dcterms:modified xsi:type="dcterms:W3CDTF">2013-06-27T21:52:00Z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0x01010046CF21643EE8D14686A648AA6DAD089200597213AAC5E39C47B0C2385D2B7B9BE0</vt:lpwstr>
  </property>
  <property fmtid="{D5CDD505-2E9C-101B-9397-08002B2CF9AE}" pid="5" name="TaxKeywordTaxHTField">
    <vt:lpwstr/>
  </property>
  <property fmtid="{D5CDD505-2E9C-101B-9397-08002B2CF9AE}" pid="6" name="Series Operations IDB">
    <vt:lpwstr>14;#Report|873abde9-d18a-4026-95d4-5687f3b4d845</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14;#Report|873abde9-d18a-4026-95d4-5687f3b4d845</vt:lpwstr>
  </property>
  <property fmtid="{D5CDD505-2E9C-101B-9397-08002B2CF9AE}" pid="11" name="To:">
    <vt:lpwstr/>
  </property>
  <property fmtid="{D5CDD505-2E9C-101B-9397-08002B2CF9AE}" pid="12" name="From:">
    <vt:lpwstr>AGOMEZ</vt:lpwstr>
  </property>
  <property fmtid="{D5CDD505-2E9C-101B-9397-08002B2CF9AE}" pid="13" name="Sector IDB">
    <vt:lpwstr/>
  </property>
  <property fmtid="{D5CDD505-2E9C-101B-9397-08002B2CF9AE}" pid="14" name="Function Operations IDB">
    <vt:lpwstr>6;#Monitoring and Reporting|df3c2aa1-d63e-41aa-b1f5-bb15dee691ca</vt:lpwstr>
  </property>
</Properties>
</file>