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BDA" w:rsidRPr="003349A0" w:rsidRDefault="00747DEB" w:rsidP="006B1C0F">
      <w:pPr>
        <w:pStyle w:val="Heading1"/>
        <w:spacing w:before="240" w:after="240"/>
        <w:jc w:val="left"/>
        <w:rPr>
          <w:rFonts w:ascii="Arial" w:hAnsi="Arial" w:cs="Arial"/>
          <w:sz w:val="22"/>
          <w:szCs w:val="22"/>
        </w:rPr>
      </w:pPr>
      <w:bookmarkStart w:id="0" w:name="_GoBack"/>
      <w:bookmarkEnd w:id="0"/>
      <w:r w:rsidRPr="003349A0">
        <w:rPr>
          <w:rFonts w:ascii="Arial" w:hAnsi="Arial" w:cs="Arial"/>
          <w:b/>
          <w:bCs/>
          <w:sz w:val="22"/>
          <w:szCs w:val="22"/>
          <w:u w:val="none"/>
        </w:rPr>
        <w:t>REGIONAL</w:t>
      </w:r>
    </w:p>
    <w:p w:rsidR="00202CC0" w:rsidRPr="003349A0" w:rsidRDefault="002D02B6" w:rsidP="006B1C0F">
      <w:pPr>
        <w:spacing w:before="240" w:after="240"/>
        <w:rPr>
          <w:rFonts w:ascii="Arial" w:hAnsi="Arial" w:cs="Arial"/>
          <w:b/>
          <w:bCs/>
          <w:sz w:val="22"/>
          <w:szCs w:val="22"/>
        </w:rPr>
      </w:pPr>
      <w:r w:rsidRPr="003349A0">
        <w:rPr>
          <w:rFonts w:ascii="Arial" w:hAnsi="Arial" w:cs="Arial"/>
          <w:b/>
          <w:bCs/>
          <w:sz w:val="22"/>
          <w:szCs w:val="22"/>
        </w:rPr>
        <w:t>IFD/FMM</w:t>
      </w:r>
    </w:p>
    <w:p w:rsidR="002D02B6" w:rsidRPr="006B1C0F" w:rsidRDefault="003349A0" w:rsidP="006B1C0F">
      <w:pPr>
        <w:spacing w:before="240" w:after="240"/>
        <w:rPr>
          <w:rFonts w:ascii="Arial" w:hAnsi="Arial" w:cs="Arial"/>
          <w:b/>
          <w:bCs/>
          <w:smallCaps/>
          <w:sz w:val="22"/>
          <w:szCs w:val="22"/>
        </w:rPr>
      </w:pPr>
      <w:r w:rsidRPr="006B1C0F">
        <w:rPr>
          <w:rFonts w:ascii="Arial" w:hAnsi="Arial" w:cs="Arial"/>
          <w:b/>
          <w:bCs/>
          <w:smallCaps/>
          <w:sz w:val="22"/>
          <w:szCs w:val="22"/>
        </w:rPr>
        <w:t>CAPACITY BUILDING NETWORK IN THE URBAN SECTOR – LEARNING FROM BEST PRACTICES AND INNOVATION IN LATIN AMERICA AND THE CARIBBEAN AND CHINA. RG-T2594</w:t>
      </w:r>
    </w:p>
    <w:p w:rsidR="00EB5F2B" w:rsidRPr="003349A0" w:rsidRDefault="001D0267" w:rsidP="006B1C0F">
      <w:pPr>
        <w:spacing w:before="240" w:after="240"/>
        <w:rPr>
          <w:rFonts w:ascii="Arial" w:hAnsi="Arial" w:cs="Arial"/>
          <w:b/>
          <w:bCs/>
          <w:sz w:val="22"/>
          <w:szCs w:val="22"/>
        </w:rPr>
      </w:pPr>
      <w:r w:rsidRPr="003349A0">
        <w:rPr>
          <w:rFonts w:ascii="Arial" w:hAnsi="Arial" w:cs="Arial"/>
          <w:b/>
          <w:bCs/>
          <w:sz w:val="22"/>
          <w:szCs w:val="22"/>
        </w:rPr>
        <w:t>TERMS OF REFERENCE</w:t>
      </w:r>
    </w:p>
    <w:p w:rsidR="001D0267" w:rsidRPr="003349A0" w:rsidRDefault="001D0267" w:rsidP="006B1C0F">
      <w:pPr>
        <w:spacing w:before="240" w:after="240"/>
        <w:jc w:val="both"/>
        <w:rPr>
          <w:rFonts w:ascii="Arial" w:hAnsi="Arial" w:cs="Arial"/>
          <w:b/>
          <w:bCs/>
          <w:sz w:val="22"/>
          <w:szCs w:val="22"/>
        </w:rPr>
      </w:pPr>
      <w:r w:rsidRPr="003349A0">
        <w:rPr>
          <w:rFonts w:ascii="Arial" w:hAnsi="Arial" w:cs="Arial"/>
          <w:b/>
          <w:bCs/>
          <w:sz w:val="22"/>
          <w:szCs w:val="22"/>
        </w:rPr>
        <w:t>Background</w:t>
      </w:r>
    </w:p>
    <w:p w:rsidR="00396B29" w:rsidRPr="003349A0" w:rsidRDefault="00396B29"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Most Latin American and Chinese cities share a similar development: they urbanized rapidly with little planning, albeit in different periods and scale. In both China and LAC migration toward urban centers brought social and economic improvement, mostly in access to basic services, health and education. Such growth also put high pressure on the provision of urban services, with unintended consequences such as: high informality (160 million residents in LAC and 234</w:t>
      </w:r>
      <w:r w:rsidR="00D105C8" w:rsidRPr="003349A0">
        <w:rPr>
          <w:rFonts w:ascii="Arial" w:hAnsi="Arial" w:cs="Arial"/>
          <w:sz w:val="22"/>
        </w:rPr>
        <w:t> </w:t>
      </w:r>
      <w:r w:rsidRPr="003349A0">
        <w:rPr>
          <w:rFonts w:ascii="Arial" w:hAnsi="Arial" w:cs="Arial"/>
          <w:sz w:val="22"/>
        </w:rPr>
        <w:t>million in China live in informal settlements) and a rapid and significant increase in the value of urban land, which limited housing accessibility for most. Furthermore, this rapid urban expansion generated disequilibrium on the environment and the occupation of rural land. In the last decade, the growth rate of urban areas in Chinese and Latin American cities quadrupled.</w:t>
      </w:r>
    </w:p>
    <w:p w:rsidR="00396B29" w:rsidRPr="003349A0" w:rsidRDefault="00396B29"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 xml:space="preserve">Economic relations between China and LAC have deepened in the last decade, with China leading considerable investments and strengthening diplomatic relations in countries like Ecuador, Peru, Chile, Argentina and Brazil, among others.  The time is right for this cooperation to become stronger and reach its cities. In a context of permanent urban expansion, both Chinese and LAC cities share the challenge of providing improved access to housing, jobs and urban services while minimizing the urban footprint. The rise and management of megacities, urban regeneration initiatives and the governance of metropolitan areas are other topics of interest across regions. There is great potential on establishing a knowledge exchange network between them. </w:t>
      </w:r>
    </w:p>
    <w:p w:rsidR="00396B29" w:rsidRPr="003349A0" w:rsidRDefault="00396B29"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The Bank has been working for a long time on the issues related to urban and territorial development policies, both in Europe and in developing countries, by promoting several instruments and programs to be applied in cities. Given the current context,</w:t>
      </w:r>
      <w:r w:rsidR="00014067" w:rsidRPr="003349A0">
        <w:rPr>
          <w:rFonts w:ascii="Arial" w:hAnsi="Arial" w:cs="Arial"/>
          <w:sz w:val="22"/>
        </w:rPr>
        <w:t xml:space="preserve"> it is relevant to explore existing synergies with Chinese cities. So this</w:t>
      </w:r>
      <w:r w:rsidRPr="003349A0">
        <w:rPr>
          <w:rFonts w:ascii="Arial" w:hAnsi="Arial" w:cs="Arial"/>
          <w:sz w:val="22"/>
        </w:rPr>
        <w:t xml:space="preserve"> TC aims to facilitate the sharing of information, good practices and lessons learned on sustainable and innovative urban practices and policies between Latin America and the Caribbean (LAC) cities and Chinese cities. By establishing up a Capacity Building network between LAC and Chinese cities (“the LAC-China Urban Network”) It will contribute to the learning process of city policy makers, practitioners and managers of both regions, </w:t>
      </w:r>
      <w:r w:rsidRPr="003349A0">
        <w:rPr>
          <w:rFonts w:ascii="Arial" w:hAnsi="Arial" w:cs="Arial"/>
          <w:sz w:val="22"/>
          <w:szCs w:val="22"/>
        </w:rPr>
        <w:t xml:space="preserve">and </w:t>
      </w:r>
      <w:r w:rsidR="00014067" w:rsidRPr="003349A0">
        <w:rPr>
          <w:rFonts w:ascii="Arial" w:hAnsi="Arial" w:cs="Arial"/>
          <w:sz w:val="22"/>
          <w:szCs w:val="22"/>
        </w:rPr>
        <w:t>will</w:t>
      </w:r>
      <w:r w:rsidRPr="003349A0">
        <w:rPr>
          <w:rFonts w:ascii="Arial" w:hAnsi="Arial" w:cs="Arial"/>
          <w:sz w:val="22"/>
          <w:szCs w:val="22"/>
        </w:rPr>
        <w:t xml:space="preserve"> foster the implementation of innovative urban projects and policy reforms in a range of relevant topics</w:t>
      </w:r>
      <w:r w:rsidRPr="003349A0">
        <w:rPr>
          <w:rFonts w:ascii="Arial" w:hAnsi="Arial" w:cs="Arial"/>
          <w:sz w:val="22"/>
        </w:rPr>
        <w:t xml:space="preserve">. </w:t>
      </w:r>
    </w:p>
    <w:p w:rsidR="00396B29" w:rsidRPr="003349A0" w:rsidRDefault="00396B29"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 xml:space="preserve"> This TC gives continuity to a fruitful cooperation began with the Bank´s participation in the Guangzhou Award Technical Committee and Jury in 2014 and continued in the first Latin America-China Policy and Knowledge Summit related to the impacts of rapid urbanization, of 2014. The activities of this TC will build on these experiences, in collaboration with the Guangzhou Institute for Urban Innovation (GIUI) and the Chinese </w:t>
      </w:r>
      <w:r w:rsidRPr="003349A0">
        <w:rPr>
          <w:rFonts w:ascii="Arial" w:hAnsi="Arial" w:cs="Arial"/>
          <w:sz w:val="22"/>
        </w:rPr>
        <w:lastRenderedPageBreak/>
        <w:t>People Association for Friendship with Foreign Countries (CPAFFC) -which manages the Chinese Sister Cities program. The TC will also build on the experiences and lessons learned from similar capacity building networks co-sponsored by the Bank, such as the URBELAC network that was created in 2010 by the Bank and the European Commission (EC) to develop cooperation among cities and strengthen urban development efforts. Such initiative had two chapters, 2010 and 2013 respectively, and yielded relevant results in terms of city and action plans that were designed and implemented as a result of fruitful exchanges through workshops and partnerships between European and LAC cities.</w:t>
      </w:r>
    </w:p>
    <w:p w:rsidR="001D0267" w:rsidRPr="003349A0" w:rsidRDefault="001D0267" w:rsidP="006B1C0F">
      <w:pPr>
        <w:spacing w:before="240" w:after="240"/>
        <w:jc w:val="both"/>
        <w:rPr>
          <w:rFonts w:ascii="Arial" w:hAnsi="Arial" w:cs="Arial"/>
          <w:b/>
          <w:bCs/>
          <w:sz w:val="22"/>
          <w:szCs w:val="22"/>
        </w:rPr>
      </w:pPr>
      <w:r w:rsidRPr="003349A0">
        <w:rPr>
          <w:rFonts w:ascii="Arial" w:hAnsi="Arial" w:cs="Arial"/>
          <w:b/>
          <w:bCs/>
          <w:sz w:val="22"/>
          <w:szCs w:val="22"/>
        </w:rPr>
        <w:t>Consultancy objective(s)</w:t>
      </w:r>
    </w:p>
    <w:p w:rsidR="002D02B6" w:rsidRPr="003349A0" w:rsidRDefault="002D02B6"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 xml:space="preserve">The objective of this consultancy is to support the implementation of the LAC-China </w:t>
      </w:r>
      <w:r w:rsidR="00014067" w:rsidRPr="003349A0">
        <w:rPr>
          <w:rFonts w:ascii="Arial" w:hAnsi="Arial" w:cs="Arial"/>
          <w:sz w:val="22"/>
        </w:rPr>
        <w:t xml:space="preserve">Urban </w:t>
      </w:r>
      <w:r w:rsidRPr="003349A0">
        <w:rPr>
          <w:rFonts w:ascii="Arial" w:hAnsi="Arial" w:cs="Arial"/>
          <w:sz w:val="22"/>
        </w:rPr>
        <w:t>Network.</w:t>
      </w:r>
    </w:p>
    <w:p w:rsidR="009B60FE" w:rsidRPr="003349A0" w:rsidRDefault="001D0267" w:rsidP="006B1C0F">
      <w:pPr>
        <w:spacing w:before="240" w:after="240"/>
        <w:jc w:val="both"/>
        <w:rPr>
          <w:rFonts w:ascii="Arial" w:hAnsi="Arial" w:cs="Arial"/>
          <w:b/>
          <w:bCs/>
          <w:sz w:val="22"/>
        </w:rPr>
      </w:pPr>
      <w:r w:rsidRPr="003349A0">
        <w:rPr>
          <w:rFonts w:ascii="Arial" w:hAnsi="Arial" w:cs="Arial"/>
          <w:b/>
          <w:bCs/>
          <w:sz w:val="22"/>
        </w:rPr>
        <w:t>Main activities</w:t>
      </w:r>
    </w:p>
    <w:p w:rsidR="009B60FE" w:rsidRPr="003349A0" w:rsidRDefault="00014067"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One</w:t>
      </w:r>
      <w:r w:rsidR="009B60FE" w:rsidRPr="003349A0">
        <w:rPr>
          <w:rFonts w:ascii="Arial" w:hAnsi="Arial" w:cs="Arial"/>
          <w:sz w:val="22"/>
        </w:rPr>
        <w:t xml:space="preserve"> consultant will develop all of the following the activities. However, if necessary, it will</w:t>
      </w:r>
      <w:r w:rsidRPr="003349A0">
        <w:rPr>
          <w:rFonts w:ascii="Arial" w:hAnsi="Arial" w:cs="Arial"/>
          <w:sz w:val="22"/>
        </w:rPr>
        <w:t xml:space="preserve"> </w:t>
      </w:r>
      <w:r w:rsidR="009B60FE" w:rsidRPr="003349A0">
        <w:rPr>
          <w:rFonts w:ascii="Arial" w:hAnsi="Arial" w:cs="Arial"/>
          <w:sz w:val="22"/>
        </w:rPr>
        <w:t>be possible to separate the cons</w:t>
      </w:r>
      <w:r w:rsidRPr="003349A0">
        <w:rPr>
          <w:rFonts w:ascii="Arial" w:hAnsi="Arial" w:cs="Arial"/>
          <w:sz w:val="22"/>
        </w:rPr>
        <w:t>ultancy for each of the categories</w:t>
      </w:r>
      <w:r w:rsidR="009B60FE" w:rsidRPr="003349A0">
        <w:rPr>
          <w:rFonts w:ascii="Arial" w:hAnsi="Arial" w:cs="Arial"/>
          <w:sz w:val="22"/>
        </w:rPr>
        <w:t xml:space="preserve"> described </w:t>
      </w:r>
      <w:r w:rsidRPr="003349A0">
        <w:rPr>
          <w:rFonts w:ascii="Arial" w:hAnsi="Arial" w:cs="Arial"/>
          <w:sz w:val="22"/>
        </w:rPr>
        <w:t xml:space="preserve">below. If this happens, it </w:t>
      </w:r>
      <w:r w:rsidR="009B60FE" w:rsidRPr="003349A0">
        <w:rPr>
          <w:rFonts w:ascii="Arial" w:hAnsi="Arial" w:cs="Arial"/>
          <w:sz w:val="22"/>
        </w:rPr>
        <w:t xml:space="preserve">will be necessary to carefully define the coordination aspects and </w:t>
      </w:r>
      <w:r w:rsidRPr="003349A0">
        <w:rPr>
          <w:rFonts w:ascii="Arial" w:hAnsi="Arial" w:cs="Arial"/>
          <w:sz w:val="22"/>
        </w:rPr>
        <w:t xml:space="preserve">specify </w:t>
      </w:r>
      <w:r w:rsidR="009B60FE" w:rsidRPr="003349A0">
        <w:rPr>
          <w:rFonts w:ascii="Arial" w:hAnsi="Arial" w:cs="Arial"/>
          <w:sz w:val="22"/>
        </w:rPr>
        <w:t>responsibilities.</w:t>
      </w:r>
    </w:p>
    <w:p w:rsidR="002D02B6" w:rsidRPr="003349A0" w:rsidRDefault="002D02B6"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 xml:space="preserve">Consultancy activities will be </w:t>
      </w:r>
      <w:r w:rsidR="00235CC5" w:rsidRPr="003349A0">
        <w:rPr>
          <w:rFonts w:ascii="Arial" w:hAnsi="Arial" w:cs="Arial"/>
          <w:sz w:val="22"/>
        </w:rPr>
        <w:t>divided</w:t>
      </w:r>
      <w:r w:rsidRPr="003349A0">
        <w:rPr>
          <w:rFonts w:ascii="Arial" w:hAnsi="Arial" w:cs="Arial"/>
          <w:sz w:val="22"/>
        </w:rPr>
        <w:t xml:space="preserve"> in three: (i) network tutoring; (ii) meetings organization; and (iii) results dissemination.</w:t>
      </w:r>
    </w:p>
    <w:p w:rsidR="002D02B6" w:rsidRPr="006B1C0F" w:rsidRDefault="002D02B6" w:rsidP="006B1C0F">
      <w:pPr>
        <w:pStyle w:val="ListParagraph"/>
        <w:numPr>
          <w:ilvl w:val="0"/>
          <w:numId w:val="12"/>
        </w:numPr>
        <w:ind w:left="450" w:hanging="450"/>
        <w:jc w:val="both"/>
        <w:rPr>
          <w:rFonts w:ascii="Arial" w:hAnsi="Arial" w:cs="Arial"/>
          <w:sz w:val="22"/>
        </w:rPr>
      </w:pPr>
      <w:r w:rsidRPr="006B1C0F">
        <w:rPr>
          <w:rFonts w:ascii="Arial" w:hAnsi="Arial" w:cs="Arial"/>
          <w:b/>
          <w:sz w:val="22"/>
        </w:rPr>
        <w:t>Network Tutoring.</w:t>
      </w:r>
      <w:r w:rsidRPr="006B1C0F">
        <w:rPr>
          <w:rFonts w:ascii="Arial" w:hAnsi="Arial" w:cs="Arial"/>
          <w:sz w:val="22"/>
        </w:rPr>
        <w:t xml:space="preserve"> The consultant, with the support of the Bank, will supervise and coordinate the cities network activities, ensuring the accomplishment of the agreed work plan and res</w:t>
      </w:r>
      <w:r w:rsidR="00235CC5" w:rsidRPr="006B1C0F">
        <w:rPr>
          <w:rFonts w:ascii="Arial" w:hAnsi="Arial" w:cs="Arial"/>
          <w:sz w:val="22"/>
        </w:rPr>
        <w:t xml:space="preserve">ults. It is expected that during </w:t>
      </w:r>
      <w:r w:rsidRPr="006B1C0F">
        <w:rPr>
          <w:rFonts w:ascii="Arial" w:hAnsi="Arial" w:cs="Arial"/>
          <w:sz w:val="22"/>
        </w:rPr>
        <w:t xml:space="preserve">their participation to the LAC-China </w:t>
      </w:r>
      <w:r w:rsidR="00235CC5" w:rsidRPr="006B1C0F">
        <w:rPr>
          <w:rFonts w:ascii="Arial" w:hAnsi="Arial" w:cs="Arial"/>
          <w:sz w:val="22"/>
        </w:rPr>
        <w:t>Urban N</w:t>
      </w:r>
      <w:r w:rsidRPr="006B1C0F">
        <w:rPr>
          <w:rFonts w:ascii="Arial" w:hAnsi="Arial" w:cs="Arial"/>
          <w:sz w:val="22"/>
        </w:rPr>
        <w:t>etwork the cities</w:t>
      </w:r>
      <w:r w:rsidR="00235CC5" w:rsidRPr="006B1C0F">
        <w:rPr>
          <w:rFonts w:ascii="Arial" w:hAnsi="Arial" w:cs="Arial"/>
          <w:sz w:val="22"/>
        </w:rPr>
        <w:t>’</w:t>
      </w:r>
      <w:r w:rsidRPr="006B1C0F">
        <w:rPr>
          <w:rFonts w:ascii="Arial" w:hAnsi="Arial" w:cs="Arial"/>
          <w:sz w:val="22"/>
        </w:rPr>
        <w:t xml:space="preserve"> team</w:t>
      </w:r>
      <w:r w:rsidR="00235CC5" w:rsidRPr="006B1C0F">
        <w:rPr>
          <w:rFonts w:ascii="Arial" w:hAnsi="Arial" w:cs="Arial"/>
          <w:sz w:val="22"/>
        </w:rPr>
        <w:t>s</w:t>
      </w:r>
      <w:r w:rsidRPr="006B1C0F">
        <w:rPr>
          <w:rFonts w:ascii="Arial" w:hAnsi="Arial" w:cs="Arial"/>
          <w:sz w:val="22"/>
        </w:rPr>
        <w:t xml:space="preserve"> w</w:t>
      </w:r>
      <w:r w:rsidR="00235CC5" w:rsidRPr="006B1C0F">
        <w:rPr>
          <w:rFonts w:ascii="Arial" w:hAnsi="Arial" w:cs="Arial"/>
          <w:sz w:val="22"/>
        </w:rPr>
        <w:t>ill: (i) analyze the urban challenge</w:t>
      </w:r>
      <w:r w:rsidRPr="006B1C0F">
        <w:rPr>
          <w:rFonts w:ascii="Arial" w:hAnsi="Arial" w:cs="Arial"/>
          <w:sz w:val="22"/>
        </w:rPr>
        <w:t xml:space="preserve"> </w:t>
      </w:r>
      <w:r w:rsidR="00235CC5" w:rsidRPr="006B1C0F">
        <w:rPr>
          <w:rFonts w:ascii="Arial" w:hAnsi="Arial" w:cs="Arial"/>
          <w:sz w:val="22"/>
        </w:rPr>
        <w:t xml:space="preserve">they decide to address, </w:t>
      </w:r>
      <w:r w:rsidRPr="006B1C0F">
        <w:rPr>
          <w:rFonts w:ascii="Arial" w:hAnsi="Arial" w:cs="Arial"/>
          <w:sz w:val="22"/>
        </w:rPr>
        <w:t>establishing an indicator baseline and a monitoring system; (ii) identify priorities, concrete goals and define a timeframe for achieving them; (iii) discus best practices and concrete modalities of implementation with othe</w:t>
      </w:r>
      <w:r w:rsidR="00DA222A" w:rsidRPr="006B1C0F">
        <w:rPr>
          <w:rFonts w:ascii="Arial" w:hAnsi="Arial" w:cs="Arial"/>
          <w:sz w:val="22"/>
        </w:rPr>
        <w:t>r cities on similar experiences and (iv) develop strategic actions. Under this activity the consultant will also supervise and guaranty compliance with the calendar of activities, the constant flow of information among the cities, and support in analyzing and systematizing the documents produced by each city.</w:t>
      </w:r>
    </w:p>
    <w:p w:rsidR="00DA222A" w:rsidRPr="003349A0" w:rsidRDefault="002D02B6" w:rsidP="006B1C0F">
      <w:pPr>
        <w:widowControl w:val="0"/>
        <w:autoSpaceDE w:val="0"/>
        <w:autoSpaceDN w:val="0"/>
        <w:adjustRightInd w:val="0"/>
        <w:spacing w:before="240" w:after="240"/>
        <w:ind w:left="450"/>
        <w:jc w:val="both"/>
        <w:rPr>
          <w:rFonts w:ascii="Arial" w:hAnsi="Arial" w:cs="Arial"/>
          <w:sz w:val="22"/>
        </w:rPr>
      </w:pPr>
      <w:r w:rsidRPr="003349A0">
        <w:rPr>
          <w:rFonts w:ascii="Arial" w:hAnsi="Arial" w:cs="Arial"/>
          <w:sz w:val="22"/>
        </w:rPr>
        <w:t xml:space="preserve">To achieve the goals under this </w:t>
      </w:r>
      <w:r w:rsidR="00235CC5" w:rsidRPr="003349A0">
        <w:rPr>
          <w:rFonts w:ascii="Arial" w:hAnsi="Arial" w:cs="Arial"/>
          <w:sz w:val="22"/>
        </w:rPr>
        <w:t>activity</w:t>
      </w:r>
      <w:r w:rsidRPr="003349A0">
        <w:rPr>
          <w:rFonts w:ascii="Arial" w:hAnsi="Arial" w:cs="Arial"/>
          <w:sz w:val="22"/>
        </w:rPr>
        <w:t xml:space="preserve"> the consultant, in collaboration with the</w:t>
      </w:r>
      <w:r w:rsidR="00235CC5" w:rsidRPr="003349A0">
        <w:rPr>
          <w:rFonts w:ascii="Arial" w:hAnsi="Arial" w:cs="Arial"/>
          <w:sz w:val="22"/>
        </w:rPr>
        <w:t xml:space="preserve"> </w:t>
      </w:r>
      <w:r w:rsidRPr="003349A0">
        <w:rPr>
          <w:rFonts w:ascii="Arial" w:hAnsi="Arial" w:cs="Arial"/>
          <w:sz w:val="22"/>
        </w:rPr>
        <w:t>Bank, will:</w:t>
      </w:r>
    </w:p>
    <w:p w:rsidR="009B60FE" w:rsidRPr="006B1C0F" w:rsidRDefault="002D02B6" w:rsidP="006B1C0F">
      <w:pPr>
        <w:pStyle w:val="ListParagraph"/>
        <w:numPr>
          <w:ilvl w:val="1"/>
          <w:numId w:val="11"/>
        </w:numPr>
        <w:ind w:left="450"/>
        <w:rPr>
          <w:rFonts w:ascii="Arial" w:hAnsi="Arial" w:cs="Arial"/>
          <w:sz w:val="22"/>
        </w:rPr>
      </w:pPr>
      <w:r w:rsidRPr="006B1C0F">
        <w:rPr>
          <w:rFonts w:ascii="Arial" w:hAnsi="Arial" w:cs="Arial"/>
          <w:sz w:val="22"/>
        </w:rPr>
        <w:t xml:space="preserve">Set up the steps, instruments and calendar of activities to start </w:t>
      </w:r>
      <w:r w:rsidR="00DA222A" w:rsidRPr="006B1C0F">
        <w:rPr>
          <w:rFonts w:ascii="Arial" w:hAnsi="Arial" w:cs="Arial"/>
          <w:sz w:val="22"/>
        </w:rPr>
        <w:t xml:space="preserve">the </w:t>
      </w:r>
      <w:r w:rsidRPr="006B1C0F">
        <w:rPr>
          <w:rFonts w:ascii="Arial" w:hAnsi="Arial" w:cs="Arial"/>
          <w:sz w:val="22"/>
        </w:rPr>
        <w:t>develop</w:t>
      </w:r>
      <w:r w:rsidR="009B60FE" w:rsidRPr="006B1C0F">
        <w:rPr>
          <w:rFonts w:ascii="Arial" w:hAnsi="Arial" w:cs="Arial"/>
          <w:sz w:val="22"/>
        </w:rPr>
        <w:t xml:space="preserve">ment of the </w:t>
      </w:r>
      <w:r w:rsidRPr="006B1C0F">
        <w:rPr>
          <w:rFonts w:ascii="Arial" w:hAnsi="Arial" w:cs="Arial"/>
          <w:sz w:val="22"/>
        </w:rPr>
        <w:t>network.</w:t>
      </w:r>
    </w:p>
    <w:p w:rsidR="009B60FE" w:rsidRPr="006B1C0F" w:rsidRDefault="002D02B6" w:rsidP="006B1C0F">
      <w:pPr>
        <w:pStyle w:val="ListParagraph"/>
        <w:widowControl w:val="0"/>
        <w:numPr>
          <w:ilvl w:val="0"/>
          <w:numId w:val="11"/>
        </w:numPr>
        <w:autoSpaceDE w:val="0"/>
        <w:autoSpaceDN w:val="0"/>
        <w:adjustRightInd w:val="0"/>
        <w:spacing w:before="240" w:after="240"/>
        <w:ind w:left="450"/>
        <w:jc w:val="both"/>
        <w:rPr>
          <w:rFonts w:ascii="Arial" w:hAnsi="Arial" w:cs="Arial"/>
          <w:sz w:val="22"/>
        </w:rPr>
      </w:pPr>
      <w:r w:rsidRPr="006B1C0F">
        <w:rPr>
          <w:rFonts w:ascii="Arial" w:hAnsi="Arial" w:cs="Arial"/>
          <w:sz w:val="22"/>
        </w:rPr>
        <w:t>Define and validate</w:t>
      </w:r>
      <w:r w:rsidR="00235CC5" w:rsidRPr="006B1C0F">
        <w:rPr>
          <w:rFonts w:ascii="Arial" w:hAnsi="Arial" w:cs="Arial"/>
          <w:sz w:val="22"/>
        </w:rPr>
        <w:t>,</w:t>
      </w:r>
      <w:r w:rsidRPr="006B1C0F">
        <w:rPr>
          <w:rFonts w:ascii="Arial" w:hAnsi="Arial" w:cs="Arial"/>
          <w:sz w:val="22"/>
        </w:rPr>
        <w:t xml:space="preserve"> in accordance with the participating cities, the agenda and</w:t>
      </w:r>
      <w:r w:rsidR="00DA222A" w:rsidRPr="006B1C0F">
        <w:rPr>
          <w:rFonts w:ascii="Arial" w:hAnsi="Arial" w:cs="Arial"/>
          <w:sz w:val="22"/>
        </w:rPr>
        <w:t xml:space="preserve"> </w:t>
      </w:r>
      <w:r w:rsidRPr="006B1C0F">
        <w:rPr>
          <w:rFonts w:ascii="Arial" w:hAnsi="Arial" w:cs="Arial"/>
          <w:sz w:val="22"/>
        </w:rPr>
        <w:t>the calendar of activities. It will include among others: (i) meetings in LAC</w:t>
      </w:r>
      <w:r w:rsidR="00235CC5" w:rsidRPr="006B1C0F">
        <w:rPr>
          <w:rFonts w:ascii="Arial" w:hAnsi="Arial" w:cs="Arial"/>
          <w:sz w:val="22"/>
        </w:rPr>
        <w:t xml:space="preserve"> cities, Chinese cities, </w:t>
      </w:r>
      <w:r w:rsidR="00DA222A" w:rsidRPr="006B1C0F">
        <w:rPr>
          <w:rFonts w:ascii="Arial" w:hAnsi="Arial" w:cs="Arial"/>
          <w:sz w:val="22"/>
        </w:rPr>
        <w:t xml:space="preserve">and the IDB Headquarters </w:t>
      </w:r>
      <w:r w:rsidRPr="006B1C0F">
        <w:rPr>
          <w:rFonts w:ascii="Arial" w:hAnsi="Arial" w:cs="Arial"/>
          <w:sz w:val="22"/>
        </w:rPr>
        <w:t>(</w:t>
      </w:r>
      <w:r w:rsidR="00235CC5" w:rsidRPr="006B1C0F">
        <w:rPr>
          <w:rFonts w:ascii="Arial" w:hAnsi="Arial" w:cs="Arial"/>
          <w:sz w:val="22"/>
        </w:rPr>
        <w:t xml:space="preserve">as described </w:t>
      </w:r>
      <w:r w:rsidRPr="006B1C0F">
        <w:rPr>
          <w:rFonts w:ascii="Arial" w:hAnsi="Arial" w:cs="Arial"/>
          <w:sz w:val="22"/>
        </w:rPr>
        <w:t>under component</w:t>
      </w:r>
      <w:r w:rsidR="00DA222A" w:rsidRPr="006B1C0F">
        <w:rPr>
          <w:rFonts w:ascii="Arial" w:hAnsi="Arial" w:cs="Arial"/>
          <w:sz w:val="22"/>
        </w:rPr>
        <w:t>s</w:t>
      </w:r>
      <w:r w:rsidRPr="006B1C0F">
        <w:rPr>
          <w:rFonts w:ascii="Arial" w:hAnsi="Arial" w:cs="Arial"/>
          <w:sz w:val="22"/>
        </w:rPr>
        <w:t xml:space="preserve"> </w:t>
      </w:r>
      <w:r w:rsidR="00DA222A" w:rsidRPr="006B1C0F">
        <w:rPr>
          <w:rFonts w:ascii="Arial" w:hAnsi="Arial" w:cs="Arial"/>
          <w:sz w:val="22"/>
        </w:rPr>
        <w:t>1 and 2 of this TC</w:t>
      </w:r>
      <w:r w:rsidRPr="006B1C0F">
        <w:rPr>
          <w:rFonts w:ascii="Arial" w:hAnsi="Arial" w:cs="Arial"/>
          <w:sz w:val="22"/>
        </w:rPr>
        <w:t>); and (ii) deadlines for elaboration (by</w:t>
      </w:r>
      <w:r w:rsidR="00DA222A" w:rsidRPr="006B1C0F">
        <w:rPr>
          <w:rFonts w:ascii="Arial" w:hAnsi="Arial" w:cs="Arial"/>
          <w:sz w:val="22"/>
        </w:rPr>
        <w:t xml:space="preserve"> </w:t>
      </w:r>
      <w:r w:rsidRPr="006B1C0F">
        <w:rPr>
          <w:rFonts w:ascii="Arial" w:hAnsi="Arial" w:cs="Arial"/>
          <w:sz w:val="22"/>
        </w:rPr>
        <w:t>each city team) of specific proposal</w:t>
      </w:r>
      <w:r w:rsidR="00235CC5" w:rsidRPr="006B1C0F">
        <w:rPr>
          <w:rFonts w:ascii="Arial" w:hAnsi="Arial" w:cs="Arial"/>
          <w:sz w:val="22"/>
        </w:rPr>
        <w:t>s</w:t>
      </w:r>
      <w:r w:rsidRPr="006B1C0F">
        <w:rPr>
          <w:rFonts w:ascii="Arial" w:hAnsi="Arial" w:cs="Arial"/>
          <w:sz w:val="22"/>
        </w:rPr>
        <w:t xml:space="preserve"> and strategic actions for each LAC city.</w:t>
      </w:r>
    </w:p>
    <w:p w:rsidR="002D02B6" w:rsidRPr="003349A0" w:rsidRDefault="002D02B6" w:rsidP="006B1C0F">
      <w:pPr>
        <w:widowControl w:val="0"/>
        <w:autoSpaceDE w:val="0"/>
        <w:autoSpaceDN w:val="0"/>
        <w:adjustRightInd w:val="0"/>
        <w:spacing w:before="240" w:after="240"/>
        <w:ind w:left="450"/>
        <w:jc w:val="both"/>
        <w:rPr>
          <w:rFonts w:ascii="Arial" w:hAnsi="Arial" w:cs="Arial"/>
          <w:sz w:val="22"/>
        </w:rPr>
      </w:pPr>
    </w:p>
    <w:p w:rsidR="002D02B6" w:rsidRPr="006B1C0F" w:rsidRDefault="002D02B6" w:rsidP="006B1C0F">
      <w:pPr>
        <w:pStyle w:val="ListParagraph"/>
        <w:widowControl w:val="0"/>
        <w:numPr>
          <w:ilvl w:val="0"/>
          <w:numId w:val="11"/>
        </w:numPr>
        <w:autoSpaceDE w:val="0"/>
        <w:autoSpaceDN w:val="0"/>
        <w:adjustRightInd w:val="0"/>
        <w:spacing w:before="240" w:after="240"/>
        <w:ind w:left="450"/>
        <w:jc w:val="both"/>
        <w:rPr>
          <w:rFonts w:ascii="Arial" w:hAnsi="Arial" w:cs="Arial"/>
          <w:sz w:val="22"/>
        </w:rPr>
      </w:pPr>
      <w:r w:rsidRPr="006B1C0F">
        <w:rPr>
          <w:rFonts w:ascii="Arial" w:hAnsi="Arial" w:cs="Arial"/>
          <w:sz w:val="22"/>
        </w:rPr>
        <w:lastRenderedPageBreak/>
        <w:t xml:space="preserve">Analysis, systematization and distribution of any document and </w:t>
      </w:r>
      <w:r w:rsidR="00DA222A" w:rsidRPr="006B1C0F">
        <w:rPr>
          <w:rFonts w:ascii="Arial" w:hAnsi="Arial" w:cs="Arial"/>
          <w:sz w:val="22"/>
        </w:rPr>
        <w:t xml:space="preserve">necessary </w:t>
      </w:r>
      <w:r w:rsidRPr="006B1C0F">
        <w:rPr>
          <w:rFonts w:ascii="Arial" w:hAnsi="Arial" w:cs="Arial"/>
          <w:sz w:val="22"/>
        </w:rPr>
        <w:t>material</w:t>
      </w:r>
      <w:r w:rsidR="00DA222A" w:rsidRPr="006B1C0F">
        <w:rPr>
          <w:rFonts w:ascii="Arial" w:hAnsi="Arial" w:cs="Arial"/>
          <w:sz w:val="22"/>
        </w:rPr>
        <w:t xml:space="preserve"> </w:t>
      </w:r>
      <w:r w:rsidRPr="006B1C0F">
        <w:rPr>
          <w:rFonts w:ascii="Arial" w:hAnsi="Arial" w:cs="Arial"/>
          <w:sz w:val="22"/>
        </w:rPr>
        <w:t xml:space="preserve">to support the cities and </w:t>
      </w:r>
      <w:r w:rsidR="00235CC5" w:rsidRPr="006B1C0F">
        <w:rPr>
          <w:rFonts w:ascii="Arial" w:hAnsi="Arial" w:cs="Arial"/>
          <w:sz w:val="22"/>
        </w:rPr>
        <w:t>allow for</w:t>
      </w:r>
      <w:r w:rsidRPr="006B1C0F">
        <w:rPr>
          <w:rFonts w:ascii="Arial" w:hAnsi="Arial" w:cs="Arial"/>
          <w:sz w:val="22"/>
        </w:rPr>
        <w:t xml:space="preserve"> a constant and correct flow of</w:t>
      </w:r>
      <w:r w:rsidR="00DA222A" w:rsidRPr="006B1C0F">
        <w:rPr>
          <w:rFonts w:ascii="Arial" w:hAnsi="Arial" w:cs="Arial"/>
          <w:sz w:val="22"/>
        </w:rPr>
        <w:t xml:space="preserve"> i</w:t>
      </w:r>
      <w:r w:rsidRPr="006B1C0F">
        <w:rPr>
          <w:rFonts w:ascii="Arial" w:hAnsi="Arial" w:cs="Arial"/>
          <w:sz w:val="22"/>
        </w:rPr>
        <w:t>nformation.</w:t>
      </w:r>
    </w:p>
    <w:p w:rsidR="00BB0E7D" w:rsidRPr="006B1C0F" w:rsidRDefault="002D02B6" w:rsidP="006B1C0F">
      <w:pPr>
        <w:pStyle w:val="ListParagraph"/>
        <w:widowControl w:val="0"/>
        <w:numPr>
          <w:ilvl w:val="0"/>
          <w:numId w:val="11"/>
        </w:numPr>
        <w:autoSpaceDE w:val="0"/>
        <w:autoSpaceDN w:val="0"/>
        <w:adjustRightInd w:val="0"/>
        <w:spacing w:before="240" w:after="240"/>
        <w:ind w:left="450"/>
        <w:jc w:val="both"/>
        <w:rPr>
          <w:rFonts w:ascii="Arial" w:hAnsi="Arial" w:cs="Arial"/>
          <w:sz w:val="22"/>
        </w:rPr>
      </w:pPr>
      <w:r w:rsidRPr="006B1C0F">
        <w:rPr>
          <w:rFonts w:ascii="Arial" w:hAnsi="Arial" w:cs="Arial"/>
          <w:sz w:val="22"/>
        </w:rPr>
        <w:t>Support the development of strategic actions, collaborating with the cities</w:t>
      </w:r>
      <w:r w:rsidR="00235CC5" w:rsidRPr="006B1C0F">
        <w:rPr>
          <w:rFonts w:ascii="Arial" w:hAnsi="Arial" w:cs="Arial"/>
          <w:sz w:val="22"/>
        </w:rPr>
        <w:t>’</w:t>
      </w:r>
      <w:r w:rsidR="00DA222A" w:rsidRPr="006B1C0F">
        <w:rPr>
          <w:rFonts w:ascii="Arial" w:hAnsi="Arial" w:cs="Arial"/>
          <w:sz w:val="22"/>
        </w:rPr>
        <w:t xml:space="preserve"> </w:t>
      </w:r>
      <w:r w:rsidR="00235CC5" w:rsidRPr="006B1C0F">
        <w:rPr>
          <w:rFonts w:ascii="Arial" w:hAnsi="Arial" w:cs="Arial"/>
          <w:sz w:val="22"/>
        </w:rPr>
        <w:t>teams to</w:t>
      </w:r>
      <w:r w:rsidRPr="006B1C0F">
        <w:rPr>
          <w:rFonts w:ascii="Arial" w:hAnsi="Arial" w:cs="Arial"/>
          <w:sz w:val="22"/>
        </w:rPr>
        <w:t>: (i)</w:t>
      </w:r>
      <w:r w:rsidR="00747DEB" w:rsidRPr="006B1C0F">
        <w:rPr>
          <w:rFonts w:ascii="Arial" w:hAnsi="Arial" w:cs="Arial"/>
          <w:sz w:val="22"/>
        </w:rPr>
        <w:t> </w:t>
      </w:r>
      <w:r w:rsidRPr="006B1C0F">
        <w:rPr>
          <w:rFonts w:ascii="Arial" w:hAnsi="Arial" w:cs="Arial"/>
          <w:sz w:val="22"/>
        </w:rPr>
        <w:t>analyze their situation (based on the indicators identified)</w:t>
      </w:r>
      <w:r w:rsidR="00DA222A" w:rsidRPr="006B1C0F">
        <w:rPr>
          <w:rFonts w:ascii="Arial" w:hAnsi="Arial" w:cs="Arial"/>
          <w:sz w:val="22"/>
        </w:rPr>
        <w:t xml:space="preserve"> </w:t>
      </w:r>
      <w:r w:rsidRPr="006B1C0F">
        <w:rPr>
          <w:rFonts w:ascii="Arial" w:hAnsi="Arial" w:cs="Arial"/>
          <w:sz w:val="22"/>
        </w:rPr>
        <w:t>establishing a baseline and a monitoring system; (ii) identify concrete goals</w:t>
      </w:r>
      <w:r w:rsidR="00DA222A" w:rsidRPr="006B1C0F">
        <w:rPr>
          <w:rFonts w:ascii="Arial" w:hAnsi="Arial" w:cs="Arial"/>
          <w:sz w:val="22"/>
        </w:rPr>
        <w:t xml:space="preserve"> </w:t>
      </w:r>
      <w:r w:rsidRPr="006B1C0F">
        <w:rPr>
          <w:rFonts w:ascii="Arial" w:hAnsi="Arial" w:cs="Arial"/>
          <w:sz w:val="22"/>
        </w:rPr>
        <w:t>and define a timeframe for achieving them; and (iii) develop strategic actions.</w:t>
      </w:r>
      <w:r w:rsidR="00235CC5" w:rsidRPr="006B1C0F">
        <w:rPr>
          <w:rFonts w:ascii="Arial" w:hAnsi="Arial" w:cs="Arial"/>
          <w:sz w:val="22"/>
        </w:rPr>
        <w:t xml:space="preserve"> </w:t>
      </w:r>
      <w:r w:rsidRPr="006B1C0F">
        <w:rPr>
          <w:rFonts w:ascii="Arial" w:hAnsi="Arial" w:cs="Arial"/>
          <w:sz w:val="22"/>
        </w:rPr>
        <w:t>These strategic actions do not necessarily imply the development of new</w:t>
      </w:r>
      <w:r w:rsidR="00DA222A" w:rsidRPr="006B1C0F">
        <w:rPr>
          <w:rFonts w:ascii="Arial" w:hAnsi="Arial" w:cs="Arial"/>
          <w:sz w:val="22"/>
        </w:rPr>
        <w:t xml:space="preserve"> </w:t>
      </w:r>
      <w:r w:rsidRPr="006B1C0F">
        <w:rPr>
          <w:rFonts w:ascii="Arial" w:hAnsi="Arial" w:cs="Arial"/>
          <w:sz w:val="22"/>
        </w:rPr>
        <w:t>activities, but the definition of criteria to be included in the development of</w:t>
      </w:r>
      <w:r w:rsidR="00DA222A" w:rsidRPr="006B1C0F">
        <w:rPr>
          <w:rFonts w:ascii="Arial" w:hAnsi="Arial" w:cs="Arial"/>
          <w:sz w:val="22"/>
        </w:rPr>
        <w:t xml:space="preserve"> </w:t>
      </w:r>
      <w:r w:rsidRPr="006B1C0F">
        <w:rPr>
          <w:rFonts w:ascii="Arial" w:hAnsi="Arial" w:cs="Arial"/>
          <w:sz w:val="22"/>
        </w:rPr>
        <w:t>the</w:t>
      </w:r>
      <w:r w:rsidR="00DA222A" w:rsidRPr="006B1C0F">
        <w:rPr>
          <w:rFonts w:ascii="Arial" w:hAnsi="Arial" w:cs="Arial"/>
          <w:sz w:val="22"/>
        </w:rPr>
        <w:t xml:space="preserve"> already established urban plan</w:t>
      </w:r>
      <w:r w:rsidRPr="006B1C0F">
        <w:rPr>
          <w:rFonts w:ascii="Arial" w:hAnsi="Arial" w:cs="Arial"/>
          <w:sz w:val="22"/>
        </w:rPr>
        <w:t>s (e.g., the insertion of criteria of social</w:t>
      </w:r>
      <w:r w:rsidR="00DA222A" w:rsidRPr="006B1C0F">
        <w:rPr>
          <w:rFonts w:ascii="Arial" w:hAnsi="Arial" w:cs="Arial"/>
          <w:sz w:val="22"/>
        </w:rPr>
        <w:t xml:space="preserve"> </w:t>
      </w:r>
      <w:r w:rsidRPr="006B1C0F">
        <w:rPr>
          <w:rFonts w:ascii="Arial" w:hAnsi="Arial" w:cs="Arial"/>
          <w:sz w:val="22"/>
        </w:rPr>
        <w:t>inclusion and energy efficiency in the rehabilitation of public spaces through</w:t>
      </w:r>
      <w:r w:rsidR="00DA222A" w:rsidRPr="006B1C0F">
        <w:rPr>
          <w:rFonts w:ascii="Arial" w:hAnsi="Arial" w:cs="Arial"/>
          <w:sz w:val="22"/>
        </w:rPr>
        <w:t xml:space="preserve"> </w:t>
      </w:r>
      <w:r w:rsidRPr="006B1C0F">
        <w:rPr>
          <w:rFonts w:ascii="Arial" w:hAnsi="Arial" w:cs="Arial"/>
          <w:sz w:val="22"/>
        </w:rPr>
        <w:t>innovative illumination systems or the rehabilitation of historic buildings with</w:t>
      </w:r>
      <w:r w:rsidR="00DA222A" w:rsidRPr="006B1C0F">
        <w:rPr>
          <w:rFonts w:ascii="Arial" w:hAnsi="Arial" w:cs="Arial"/>
          <w:sz w:val="22"/>
        </w:rPr>
        <w:t xml:space="preserve"> </w:t>
      </w:r>
      <w:r w:rsidRPr="006B1C0F">
        <w:rPr>
          <w:rFonts w:ascii="Arial" w:hAnsi="Arial" w:cs="Arial"/>
          <w:sz w:val="22"/>
        </w:rPr>
        <w:t>criteria of environmental, economic and energetic sustainability). This</w:t>
      </w:r>
      <w:r w:rsidR="00DA222A" w:rsidRPr="006B1C0F">
        <w:rPr>
          <w:rFonts w:ascii="Arial" w:hAnsi="Arial" w:cs="Arial"/>
          <w:sz w:val="22"/>
        </w:rPr>
        <w:t xml:space="preserve"> </w:t>
      </w:r>
      <w:r w:rsidRPr="006B1C0F">
        <w:rPr>
          <w:rFonts w:ascii="Arial" w:hAnsi="Arial" w:cs="Arial"/>
          <w:sz w:val="22"/>
        </w:rPr>
        <w:t>approach aims to develop strategic actions that are already integrated in the</w:t>
      </w:r>
      <w:r w:rsidR="00DA222A" w:rsidRPr="006B1C0F">
        <w:rPr>
          <w:rFonts w:ascii="Arial" w:hAnsi="Arial" w:cs="Arial"/>
          <w:sz w:val="22"/>
        </w:rPr>
        <w:t xml:space="preserve"> </w:t>
      </w:r>
      <w:r w:rsidRPr="006B1C0F">
        <w:rPr>
          <w:rFonts w:ascii="Arial" w:hAnsi="Arial" w:cs="Arial"/>
          <w:sz w:val="22"/>
        </w:rPr>
        <w:t>ongoing urban development activities facilitating and maximizing the cost</w:t>
      </w:r>
      <w:r w:rsidR="00DA222A" w:rsidRPr="006B1C0F">
        <w:rPr>
          <w:rFonts w:ascii="Arial" w:hAnsi="Arial" w:cs="Arial"/>
          <w:sz w:val="22"/>
        </w:rPr>
        <w:t xml:space="preserve"> </w:t>
      </w:r>
      <w:r w:rsidRPr="006B1C0F">
        <w:rPr>
          <w:rFonts w:ascii="Arial" w:hAnsi="Arial" w:cs="Arial"/>
          <w:sz w:val="22"/>
        </w:rPr>
        <w:t>efficiency of their implementation.</w:t>
      </w:r>
    </w:p>
    <w:p w:rsidR="00DA222A" w:rsidRPr="006B1C0F" w:rsidRDefault="00DA222A" w:rsidP="006B1C0F">
      <w:pPr>
        <w:pStyle w:val="ListParagraph"/>
        <w:numPr>
          <w:ilvl w:val="0"/>
          <w:numId w:val="12"/>
        </w:numPr>
        <w:ind w:left="450" w:hanging="450"/>
        <w:jc w:val="both"/>
        <w:rPr>
          <w:rFonts w:ascii="Arial" w:hAnsi="Arial" w:cs="Arial"/>
          <w:sz w:val="22"/>
          <w:szCs w:val="22"/>
        </w:rPr>
      </w:pPr>
      <w:r w:rsidRPr="006B1C0F">
        <w:rPr>
          <w:rFonts w:ascii="Arial" w:hAnsi="Arial" w:cs="Arial"/>
          <w:b/>
          <w:bCs/>
          <w:sz w:val="22"/>
          <w:szCs w:val="22"/>
        </w:rPr>
        <w:t xml:space="preserve">Meetings organization. </w:t>
      </w:r>
      <w:r w:rsidRPr="006B1C0F">
        <w:rPr>
          <w:rFonts w:ascii="Arial" w:hAnsi="Arial" w:cs="Arial"/>
          <w:sz w:val="22"/>
          <w:szCs w:val="22"/>
        </w:rPr>
        <w:t xml:space="preserve">This </w:t>
      </w:r>
      <w:r w:rsidR="00235CC5" w:rsidRPr="006B1C0F">
        <w:rPr>
          <w:rFonts w:ascii="Arial" w:hAnsi="Arial" w:cs="Arial"/>
          <w:sz w:val="22"/>
          <w:szCs w:val="22"/>
        </w:rPr>
        <w:t>activity</w:t>
      </w:r>
      <w:r w:rsidRPr="006B1C0F">
        <w:rPr>
          <w:rFonts w:ascii="Arial" w:hAnsi="Arial" w:cs="Arial"/>
          <w:sz w:val="22"/>
          <w:szCs w:val="22"/>
        </w:rPr>
        <w:t xml:space="preserve"> includes: (i)</w:t>
      </w:r>
      <w:r w:rsidR="00235CC5" w:rsidRPr="006B1C0F">
        <w:rPr>
          <w:rFonts w:ascii="Arial" w:hAnsi="Arial" w:cs="Arial"/>
          <w:sz w:val="22"/>
          <w:szCs w:val="22"/>
        </w:rPr>
        <w:t xml:space="preserve"> the</w:t>
      </w:r>
      <w:r w:rsidRPr="006B1C0F">
        <w:rPr>
          <w:rFonts w:ascii="Arial" w:hAnsi="Arial" w:cs="Arial"/>
          <w:sz w:val="22"/>
          <w:szCs w:val="22"/>
        </w:rPr>
        <w:t xml:space="preserve"> organization </w:t>
      </w:r>
      <w:r w:rsidR="00747DEB" w:rsidRPr="006B1C0F">
        <w:rPr>
          <w:rFonts w:ascii="Arial" w:hAnsi="Arial" w:cs="Arial"/>
          <w:sz w:val="22"/>
          <w:szCs w:val="22"/>
        </w:rPr>
        <w:t>of network meetings;</w:t>
      </w:r>
      <w:r w:rsidR="009B60FE" w:rsidRPr="006B1C0F">
        <w:rPr>
          <w:rFonts w:ascii="Arial" w:hAnsi="Arial" w:cs="Arial"/>
          <w:sz w:val="22"/>
          <w:szCs w:val="22"/>
        </w:rPr>
        <w:t xml:space="preserve"> </w:t>
      </w:r>
      <w:r w:rsidR="00235CC5" w:rsidRPr="006B1C0F">
        <w:rPr>
          <w:rFonts w:ascii="Arial" w:hAnsi="Arial" w:cs="Arial"/>
          <w:sz w:val="22"/>
          <w:szCs w:val="22"/>
        </w:rPr>
        <w:t>and (ii)</w:t>
      </w:r>
      <w:r w:rsidR="00747DEB" w:rsidRPr="006B1C0F">
        <w:rPr>
          <w:rFonts w:ascii="Arial" w:hAnsi="Arial" w:cs="Arial"/>
          <w:sz w:val="22"/>
          <w:szCs w:val="22"/>
        </w:rPr>
        <w:t> </w:t>
      </w:r>
      <w:r w:rsidR="00235CC5" w:rsidRPr="006B1C0F">
        <w:rPr>
          <w:rFonts w:ascii="Arial" w:hAnsi="Arial" w:cs="Arial"/>
          <w:sz w:val="22"/>
          <w:szCs w:val="22"/>
        </w:rPr>
        <w:t xml:space="preserve">the realization of the Mayors roundtable. </w:t>
      </w:r>
      <w:r w:rsidRPr="006B1C0F">
        <w:rPr>
          <w:rFonts w:ascii="Arial" w:hAnsi="Arial" w:cs="Arial"/>
          <w:sz w:val="22"/>
          <w:szCs w:val="22"/>
        </w:rPr>
        <w:t>The</w:t>
      </w:r>
      <w:r w:rsidR="00235CC5" w:rsidRPr="006B1C0F">
        <w:rPr>
          <w:rFonts w:ascii="Arial" w:hAnsi="Arial" w:cs="Arial"/>
          <w:sz w:val="22"/>
          <w:szCs w:val="22"/>
        </w:rPr>
        <w:t xml:space="preserve"> network meetings </w:t>
      </w:r>
      <w:r w:rsidRPr="006B1C0F">
        <w:rPr>
          <w:rFonts w:ascii="Arial" w:hAnsi="Arial" w:cs="Arial"/>
          <w:sz w:val="22"/>
          <w:szCs w:val="22"/>
        </w:rPr>
        <w:t xml:space="preserve">are </w:t>
      </w:r>
      <w:r w:rsidR="00235CC5" w:rsidRPr="006B1C0F">
        <w:rPr>
          <w:rFonts w:ascii="Arial" w:hAnsi="Arial" w:cs="Arial"/>
          <w:sz w:val="22"/>
          <w:szCs w:val="22"/>
        </w:rPr>
        <w:t xml:space="preserve">essential for cities’ teams to </w:t>
      </w:r>
      <w:r w:rsidR="009B60FE" w:rsidRPr="006B1C0F">
        <w:rPr>
          <w:rFonts w:ascii="Arial" w:hAnsi="Arial" w:cs="Arial"/>
          <w:sz w:val="22"/>
          <w:szCs w:val="22"/>
        </w:rPr>
        <w:t xml:space="preserve">jointly analyze the </w:t>
      </w:r>
      <w:r w:rsidRPr="006B1C0F">
        <w:rPr>
          <w:rFonts w:ascii="Arial" w:hAnsi="Arial" w:cs="Arial"/>
          <w:sz w:val="22"/>
          <w:szCs w:val="22"/>
        </w:rPr>
        <w:t>proposals and the results obtained. It is a moment of parti</w:t>
      </w:r>
      <w:r w:rsidR="009B60FE" w:rsidRPr="006B1C0F">
        <w:rPr>
          <w:rFonts w:ascii="Arial" w:hAnsi="Arial" w:cs="Arial"/>
          <w:sz w:val="22"/>
          <w:szCs w:val="22"/>
        </w:rPr>
        <w:t xml:space="preserve">cular importance for exchanging </w:t>
      </w:r>
      <w:r w:rsidRPr="006B1C0F">
        <w:rPr>
          <w:rFonts w:ascii="Arial" w:hAnsi="Arial" w:cs="Arial"/>
          <w:sz w:val="22"/>
          <w:szCs w:val="22"/>
        </w:rPr>
        <w:t>ideas, discuss policies and strengthen partnerships and collaboration between all players involved. To optimize costs these can be realized also by videoconference</w:t>
      </w:r>
      <w:r w:rsidR="00235CC5" w:rsidRPr="006B1C0F">
        <w:rPr>
          <w:rFonts w:ascii="Arial" w:hAnsi="Arial" w:cs="Arial"/>
          <w:sz w:val="22"/>
          <w:szCs w:val="22"/>
        </w:rPr>
        <w:t>. The Mayor’s roundtable will be essential to strengthen connections among cities and</w:t>
      </w:r>
      <w:r w:rsidRPr="006B1C0F">
        <w:rPr>
          <w:rFonts w:ascii="Arial" w:hAnsi="Arial" w:cs="Arial"/>
          <w:sz w:val="22"/>
          <w:szCs w:val="22"/>
        </w:rPr>
        <w:t xml:space="preserve"> di</w:t>
      </w:r>
      <w:r w:rsidR="00235CC5" w:rsidRPr="006B1C0F">
        <w:rPr>
          <w:rFonts w:ascii="Arial" w:hAnsi="Arial" w:cs="Arial"/>
          <w:sz w:val="22"/>
          <w:szCs w:val="22"/>
        </w:rPr>
        <w:t xml:space="preserve">sseminate projects results. The roundtable </w:t>
      </w:r>
      <w:r w:rsidRPr="006B1C0F">
        <w:rPr>
          <w:rFonts w:ascii="Arial" w:hAnsi="Arial" w:cs="Arial"/>
          <w:sz w:val="22"/>
          <w:szCs w:val="22"/>
        </w:rPr>
        <w:t>will be open to the participation of representatives from other LAC/international cities, and local, national and international institutions.</w:t>
      </w:r>
    </w:p>
    <w:p w:rsidR="00166191" w:rsidRDefault="00235CC5" w:rsidP="006B1C0F">
      <w:pPr>
        <w:widowControl w:val="0"/>
        <w:autoSpaceDE w:val="0"/>
        <w:autoSpaceDN w:val="0"/>
        <w:adjustRightInd w:val="0"/>
        <w:spacing w:before="240" w:after="240"/>
        <w:ind w:left="450"/>
        <w:jc w:val="both"/>
        <w:rPr>
          <w:rFonts w:ascii="Arial" w:hAnsi="Arial" w:cs="Arial"/>
          <w:sz w:val="22"/>
        </w:rPr>
      </w:pPr>
      <w:r w:rsidRPr="003349A0">
        <w:rPr>
          <w:rFonts w:ascii="Arial" w:hAnsi="Arial" w:cs="Arial"/>
          <w:bCs/>
          <w:sz w:val="22"/>
        </w:rPr>
        <w:t>To</w:t>
      </w:r>
      <w:r w:rsidRPr="003349A0">
        <w:rPr>
          <w:rFonts w:ascii="Arial" w:hAnsi="Arial" w:cs="Arial"/>
          <w:sz w:val="22"/>
        </w:rPr>
        <w:t xml:space="preserve"> achieve the goals under this activity, the </w:t>
      </w:r>
      <w:r w:rsidR="00DA222A" w:rsidRPr="003349A0">
        <w:rPr>
          <w:rFonts w:ascii="Arial" w:hAnsi="Arial" w:cs="Arial"/>
          <w:sz w:val="22"/>
        </w:rPr>
        <w:t>consultant will</w:t>
      </w:r>
      <w:r w:rsidRPr="003349A0">
        <w:rPr>
          <w:rFonts w:ascii="Arial" w:hAnsi="Arial" w:cs="Arial"/>
          <w:sz w:val="22"/>
        </w:rPr>
        <w:t>, in collaboration with the Bank</w:t>
      </w:r>
      <w:r w:rsidR="00DA222A" w:rsidRPr="003349A0">
        <w:rPr>
          <w:rFonts w:ascii="Arial" w:hAnsi="Arial" w:cs="Arial"/>
          <w:sz w:val="22"/>
        </w:rPr>
        <w:t xml:space="preserve">: </w:t>
      </w:r>
    </w:p>
    <w:p w:rsidR="00166191" w:rsidRPr="006B1C0F" w:rsidRDefault="00166191" w:rsidP="006B1C0F">
      <w:pPr>
        <w:pStyle w:val="ListParagraph"/>
        <w:widowControl w:val="0"/>
        <w:numPr>
          <w:ilvl w:val="0"/>
          <w:numId w:val="14"/>
        </w:numPr>
        <w:autoSpaceDE w:val="0"/>
        <w:autoSpaceDN w:val="0"/>
        <w:adjustRightInd w:val="0"/>
        <w:spacing w:before="240" w:after="240"/>
        <w:jc w:val="both"/>
        <w:rPr>
          <w:rFonts w:ascii="Arial" w:hAnsi="Arial" w:cs="Arial"/>
          <w:sz w:val="22"/>
        </w:rPr>
      </w:pPr>
      <w:r w:rsidRPr="00166191">
        <w:rPr>
          <w:rFonts w:ascii="Arial" w:hAnsi="Arial" w:cs="Arial"/>
          <w:sz w:val="22"/>
        </w:rPr>
        <w:t xml:space="preserve">Agree </w:t>
      </w:r>
      <w:r w:rsidR="009B60FE" w:rsidRPr="006B1C0F">
        <w:rPr>
          <w:rFonts w:ascii="Arial" w:hAnsi="Arial" w:cs="Arial"/>
          <w:sz w:val="22"/>
        </w:rPr>
        <w:t xml:space="preserve">on an </w:t>
      </w:r>
      <w:r w:rsidR="00DA222A" w:rsidRPr="006B1C0F">
        <w:rPr>
          <w:rFonts w:ascii="Arial" w:hAnsi="Arial" w:cs="Arial"/>
          <w:sz w:val="22"/>
        </w:rPr>
        <w:t xml:space="preserve">agenda and the calendar of the meetings with all </w:t>
      </w:r>
      <w:r w:rsidR="009B60FE" w:rsidRPr="006B1C0F">
        <w:rPr>
          <w:rFonts w:ascii="Arial" w:hAnsi="Arial" w:cs="Arial"/>
          <w:sz w:val="22"/>
        </w:rPr>
        <w:t xml:space="preserve">the participants; </w:t>
      </w:r>
    </w:p>
    <w:p w:rsidR="00166191" w:rsidRDefault="00166191" w:rsidP="006B1C0F">
      <w:pPr>
        <w:pStyle w:val="ListParagraph"/>
        <w:widowControl w:val="0"/>
        <w:numPr>
          <w:ilvl w:val="0"/>
          <w:numId w:val="14"/>
        </w:numPr>
        <w:autoSpaceDE w:val="0"/>
        <w:autoSpaceDN w:val="0"/>
        <w:adjustRightInd w:val="0"/>
        <w:spacing w:before="240" w:after="240"/>
        <w:jc w:val="both"/>
        <w:rPr>
          <w:rFonts w:ascii="Arial" w:hAnsi="Arial" w:cs="Arial"/>
          <w:sz w:val="22"/>
        </w:rPr>
      </w:pPr>
      <w:r w:rsidRPr="00166191">
        <w:rPr>
          <w:rFonts w:ascii="Arial" w:hAnsi="Arial" w:cs="Arial"/>
          <w:sz w:val="22"/>
        </w:rPr>
        <w:t xml:space="preserve">Prepare </w:t>
      </w:r>
      <w:r w:rsidR="00DA222A" w:rsidRPr="006B1C0F">
        <w:rPr>
          <w:rFonts w:ascii="Arial" w:hAnsi="Arial" w:cs="Arial"/>
          <w:sz w:val="22"/>
        </w:rPr>
        <w:t xml:space="preserve">and distribute all the necessary working papers and documents; and coordinate the activities of each participant; </w:t>
      </w:r>
    </w:p>
    <w:p w:rsidR="00166191" w:rsidRDefault="00166191" w:rsidP="006B1C0F">
      <w:pPr>
        <w:pStyle w:val="ListParagraph"/>
        <w:widowControl w:val="0"/>
        <w:numPr>
          <w:ilvl w:val="0"/>
          <w:numId w:val="14"/>
        </w:numPr>
        <w:autoSpaceDE w:val="0"/>
        <w:autoSpaceDN w:val="0"/>
        <w:adjustRightInd w:val="0"/>
        <w:spacing w:before="240" w:after="240"/>
        <w:jc w:val="both"/>
        <w:rPr>
          <w:rFonts w:ascii="Arial" w:hAnsi="Arial" w:cs="Arial"/>
          <w:sz w:val="22"/>
        </w:rPr>
      </w:pPr>
      <w:r w:rsidRPr="00166191">
        <w:rPr>
          <w:rFonts w:ascii="Arial" w:hAnsi="Arial" w:cs="Arial"/>
          <w:sz w:val="22"/>
        </w:rPr>
        <w:t xml:space="preserve">Coordinate </w:t>
      </w:r>
      <w:r w:rsidR="009B60FE" w:rsidRPr="006B1C0F">
        <w:rPr>
          <w:rFonts w:ascii="Arial" w:hAnsi="Arial" w:cs="Arial"/>
          <w:sz w:val="22"/>
        </w:rPr>
        <w:t>and supervise</w:t>
      </w:r>
      <w:r w:rsidR="00DA222A" w:rsidRPr="006B1C0F">
        <w:rPr>
          <w:rFonts w:ascii="Arial" w:hAnsi="Arial" w:cs="Arial"/>
          <w:sz w:val="22"/>
        </w:rPr>
        <w:t xml:space="preserve"> logistic</w:t>
      </w:r>
      <w:r w:rsidR="009B60FE" w:rsidRPr="006B1C0F">
        <w:rPr>
          <w:rFonts w:ascii="Arial" w:hAnsi="Arial" w:cs="Arial"/>
          <w:sz w:val="22"/>
        </w:rPr>
        <w:t>al</w:t>
      </w:r>
      <w:r w:rsidR="00DA222A" w:rsidRPr="006B1C0F">
        <w:rPr>
          <w:rFonts w:ascii="Arial" w:hAnsi="Arial" w:cs="Arial"/>
          <w:sz w:val="22"/>
        </w:rPr>
        <w:t xml:space="preserve"> aspect</w:t>
      </w:r>
      <w:r w:rsidR="009B60FE" w:rsidRPr="006B1C0F">
        <w:rPr>
          <w:rFonts w:ascii="Arial" w:hAnsi="Arial" w:cs="Arial"/>
          <w:sz w:val="22"/>
        </w:rPr>
        <w:t>s</w:t>
      </w:r>
      <w:r w:rsidR="00DA222A" w:rsidRPr="006B1C0F">
        <w:rPr>
          <w:rFonts w:ascii="Arial" w:hAnsi="Arial" w:cs="Arial"/>
          <w:sz w:val="22"/>
        </w:rPr>
        <w:t xml:space="preserve"> (meeting room, translations servi</w:t>
      </w:r>
      <w:r w:rsidR="00A45170" w:rsidRPr="006B1C0F">
        <w:rPr>
          <w:rFonts w:ascii="Arial" w:hAnsi="Arial" w:cs="Arial"/>
          <w:sz w:val="22"/>
        </w:rPr>
        <w:t xml:space="preserve">ces, technical facilities); </w:t>
      </w:r>
    </w:p>
    <w:p w:rsidR="00166191" w:rsidRDefault="00166191" w:rsidP="006B1C0F">
      <w:pPr>
        <w:pStyle w:val="ListParagraph"/>
        <w:widowControl w:val="0"/>
        <w:numPr>
          <w:ilvl w:val="0"/>
          <w:numId w:val="14"/>
        </w:numPr>
        <w:autoSpaceDE w:val="0"/>
        <w:autoSpaceDN w:val="0"/>
        <w:adjustRightInd w:val="0"/>
        <w:spacing w:before="240" w:after="240"/>
        <w:jc w:val="both"/>
        <w:rPr>
          <w:rFonts w:ascii="Arial" w:hAnsi="Arial" w:cs="Arial"/>
          <w:sz w:val="22"/>
        </w:rPr>
      </w:pPr>
      <w:r w:rsidRPr="00166191">
        <w:rPr>
          <w:rFonts w:ascii="Arial" w:hAnsi="Arial" w:cs="Arial"/>
          <w:sz w:val="22"/>
        </w:rPr>
        <w:t xml:space="preserve">Supervise </w:t>
      </w:r>
      <w:r w:rsidR="00DA222A" w:rsidRPr="006B1C0F">
        <w:rPr>
          <w:rFonts w:ascii="Arial" w:hAnsi="Arial" w:cs="Arial"/>
          <w:sz w:val="22"/>
        </w:rPr>
        <w:t>travel arrangements, accommodations and other eventual requirement</w:t>
      </w:r>
      <w:r w:rsidR="00A45170" w:rsidRPr="006B1C0F">
        <w:rPr>
          <w:rFonts w:ascii="Arial" w:hAnsi="Arial" w:cs="Arial"/>
          <w:sz w:val="22"/>
        </w:rPr>
        <w:t xml:space="preserve">s; and </w:t>
      </w:r>
    </w:p>
    <w:p w:rsidR="00A45170" w:rsidRPr="006B1C0F" w:rsidDel="00512189" w:rsidRDefault="00166191" w:rsidP="006B1C0F">
      <w:pPr>
        <w:pStyle w:val="ListParagraph"/>
        <w:widowControl w:val="0"/>
        <w:numPr>
          <w:ilvl w:val="0"/>
          <w:numId w:val="14"/>
        </w:numPr>
        <w:autoSpaceDE w:val="0"/>
        <w:autoSpaceDN w:val="0"/>
        <w:adjustRightInd w:val="0"/>
        <w:spacing w:before="240" w:after="240"/>
        <w:jc w:val="both"/>
        <w:rPr>
          <w:rFonts w:ascii="Arial" w:hAnsi="Arial" w:cs="Arial"/>
          <w:sz w:val="22"/>
        </w:rPr>
      </w:pPr>
      <w:r w:rsidRPr="00166191">
        <w:rPr>
          <w:rFonts w:ascii="Arial" w:hAnsi="Arial" w:cs="Arial"/>
          <w:sz w:val="22"/>
        </w:rPr>
        <w:t xml:space="preserve">Design </w:t>
      </w:r>
      <w:r w:rsidR="00A45170" w:rsidRPr="006B1C0F">
        <w:rPr>
          <w:rFonts w:ascii="Arial" w:hAnsi="Arial" w:cs="Arial"/>
          <w:sz w:val="22"/>
        </w:rPr>
        <w:t xml:space="preserve">a survey to be handed over to meeting participants to measure their satisfaction with it and to get feedback on how the network is fulfilling its objectives. </w:t>
      </w:r>
    </w:p>
    <w:p w:rsidR="00DA222A" w:rsidRPr="006B1C0F" w:rsidRDefault="00166191" w:rsidP="006B1C0F">
      <w:pPr>
        <w:pStyle w:val="ListParagraph"/>
        <w:numPr>
          <w:ilvl w:val="0"/>
          <w:numId w:val="12"/>
        </w:numPr>
        <w:spacing w:before="240" w:after="240"/>
        <w:ind w:left="450" w:hanging="450"/>
      </w:pPr>
      <w:r w:rsidRPr="00166191">
        <w:rPr>
          <w:rFonts w:ascii="Arial" w:hAnsi="Arial" w:cs="Arial"/>
          <w:b/>
          <w:bCs/>
          <w:sz w:val="22"/>
          <w:szCs w:val="22"/>
        </w:rPr>
        <w:t xml:space="preserve"> Results dissemination</w:t>
      </w:r>
      <w:r>
        <w:rPr>
          <w:rFonts w:ascii="Arial" w:hAnsi="Arial" w:cs="Arial"/>
          <w:b/>
          <w:bCs/>
          <w:sz w:val="22"/>
          <w:szCs w:val="22"/>
        </w:rPr>
        <w:t xml:space="preserve">. </w:t>
      </w:r>
      <w:r w:rsidR="00235CC5" w:rsidRPr="00166191">
        <w:rPr>
          <w:rFonts w:ascii="Arial" w:hAnsi="Arial" w:cs="Arial"/>
          <w:sz w:val="22"/>
        </w:rPr>
        <w:t>This activity i</w:t>
      </w:r>
      <w:r w:rsidR="00DA222A" w:rsidRPr="00166191">
        <w:rPr>
          <w:rFonts w:ascii="Arial" w:hAnsi="Arial" w:cs="Arial"/>
          <w:sz w:val="22"/>
        </w:rPr>
        <w:t>ncludes the preparation and distribution of:</w:t>
      </w:r>
    </w:p>
    <w:p w:rsidR="00235CC5" w:rsidRPr="006B1C0F" w:rsidRDefault="00DA222A" w:rsidP="006B1C0F">
      <w:pPr>
        <w:pStyle w:val="ListParagraph"/>
        <w:numPr>
          <w:ilvl w:val="1"/>
          <w:numId w:val="17"/>
        </w:numPr>
        <w:ind w:left="720"/>
        <w:jc w:val="both"/>
        <w:rPr>
          <w:rFonts w:ascii="Arial" w:hAnsi="Arial" w:cs="Arial"/>
          <w:sz w:val="22"/>
          <w:szCs w:val="22"/>
        </w:rPr>
      </w:pPr>
      <w:r w:rsidRPr="006B1C0F">
        <w:rPr>
          <w:rFonts w:ascii="Arial" w:hAnsi="Arial" w:cs="Arial"/>
          <w:b/>
          <w:sz w:val="22"/>
          <w:szCs w:val="22"/>
        </w:rPr>
        <w:t>Brochures</w:t>
      </w:r>
      <w:r w:rsidRPr="006B1C0F">
        <w:rPr>
          <w:rFonts w:ascii="Arial" w:hAnsi="Arial" w:cs="Arial"/>
          <w:sz w:val="22"/>
          <w:szCs w:val="22"/>
        </w:rPr>
        <w:t xml:space="preserve">: summarizing objective activities and outputs expected. It will be prepared at the beginning of the project and distributed among all the cities interested in participating. The brochures are “informative”; they can be </w:t>
      </w:r>
      <w:r w:rsidRPr="006B1C0F">
        <w:rPr>
          <w:rFonts w:ascii="Arial" w:hAnsi="Arial" w:cs="Arial"/>
          <w:sz w:val="22"/>
          <w:szCs w:val="22"/>
        </w:rPr>
        <w:lastRenderedPageBreak/>
        <w:t>distributed to all the cities and institutions interested in the project and will be updated periodically.</w:t>
      </w:r>
    </w:p>
    <w:p w:rsidR="00166191" w:rsidRPr="006B1C0F" w:rsidRDefault="00DA222A" w:rsidP="006B1C0F">
      <w:pPr>
        <w:pStyle w:val="ListParagraph"/>
        <w:numPr>
          <w:ilvl w:val="0"/>
          <w:numId w:val="17"/>
        </w:numPr>
        <w:spacing w:before="120" w:after="120"/>
        <w:jc w:val="both"/>
        <w:rPr>
          <w:rFonts w:ascii="Arial" w:hAnsi="Arial" w:cs="Arial"/>
          <w:b/>
          <w:sz w:val="22"/>
          <w:szCs w:val="22"/>
        </w:rPr>
      </w:pPr>
      <w:r w:rsidRPr="006B1C0F">
        <w:rPr>
          <w:rFonts w:ascii="Arial" w:hAnsi="Arial" w:cs="Arial"/>
          <w:b/>
          <w:sz w:val="22"/>
          <w:szCs w:val="22"/>
        </w:rPr>
        <w:t>Newsletter</w:t>
      </w:r>
      <w:r w:rsidRPr="006B1C0F">
        <w:rPr>
          <w:rFonts w:ascii="Arial" w:hAnsi="Arial" w:cs="Arial"/>
          <w:sz w:val="22"/>
          <w:szCs w:val="22"/>
        </w:rPr>
        <w:t>: preparation and periodical distribution of newsletters. They will represent an instrument of communication “internal” at the network to periodically inform the participants on the activities developed by each city and by the network</w:t>
      </w:r>
      <w:r w:rsidR="00166191" w:rsidRPr="00021225">
        <w:rPr>
          <w:rFonts w:ascii="Arial" w:hAnsi="Arial" w:cs="Arial"/>
          <w:b/>
          <w:sz w:val="22"/>
          <w:szCs w:val="22"/>
        </w:rPr>
        <w:t xml:space="preserve">. </w:t>
      </w:r>
    </w:p>
    <w:p w:rsidR="00166191" w:rsidRPr="006B1C0F" w:rsidRDefault="00BB0E7D" w:rsidP="006B1C0F">
      <w:pPr>
        <w:pStyle w:val="ListParagraph"/>
        <w:numPr>
          <w:ilvl w:val="0"/>
          <w:numId w:val="17"/>
        </w:numPr>
        <w:spacing w:before="120" w:after="120"/>
        <w:jc w:val="both"/>
        <w:rPr>
          <w:rFonts w:ascii="Arial" w:hAnsi="Arial" w:cs="Arial"/>
          <w:b/>
          <w:sz w:val="22"/>
          <w:szCs w:val="22"/>
        </w:rPr>
      </w:pPr>
      <w:r w:rsidRPr="00021225">
        <w:rPr>
          <w:rFonts w:ascii="Arial" w:hAnsi="Arial" w:cs="Arial"/>
          <w:b/>
          <w:sz w:val="22"/>
          <w:szCs w:val="22"/>
        </w:rPr>
        <w:t>Best practice report</w:t>
      </w:r>
      <w:r w:rsidR="00DA222A" w:rsidRPr="006B1C0F">
        <w:rPr>
          <w:rFonts w:ascii="Arial" w:hAnsi="Arial" w:cs="Arial"/>
          <w:sz w:val="22"/>
          <w:szCs w:val="22"/>
        </w:rPr>
        <w:t>: upon project conclusion</w:t>
      </w:r>
      <w:r w:rsidR="00235CC5" w:rsidRPr="006B1C0F">
        <w:rPr>
          <w:rFonts w:ascii="Arial" w:hAnsi="Arial" w:cs="Arial"/>
          <w:sz w:val="22"/>
          <w:szCs w:val="22"/>
        </w:rPr>
        <w:t>, the consultant</w:t>
      </w:r>
      <w:r w:rsidR="00DA222A" w:rsidRPr="006B1C0F">
        <w:rPr>
          <w:rFonts w:ascii="Arial" w:hAnsi="Arial" w:cs="Arial"/>
          <w:sz w:val="22"/>
          <w:szCs w:val="22"/>
        </w:rPr>
        <w:t xml:space="preserve"> will analyze and summarize the network experience </w:t>
      </w:r>
      <w:r w:rsidR="009B60FE" w:rsidRPr="006B1C0F">
        <w:rPr>
          <w:rFonts w:ascii="Arial" w:hAnsi="Arial" w:cs="Arial"/>
          <w:sz w:val="22"/>
          <w:szCs w:val="22"/>
        </w:rPr>
        <w:t xml:space="preserve">and resume the </w:t>
      </w:r>
      <w:r w:rsidRPr="006B1C0F">
        <w:rPr>
          <w:rFonts w:ascii="Arial" w:hAnsi="Arial" w:cs="Arial"/>
          <w:sz w:val="22"/>
          <w:szCs w:val="22"/>
        </w:rPr>
        <w:t xml:space="preserve">best practices identified and the </w:t>
      </w:r>
      <w:r w:rsidR="009B60FE" w:rsidRPr="006B1C0F">
        <w:rPr>
          <w:rFonts w:ascii="Arial" w:hAnsi="Arial" w:cs="Arial"/>
          <w:sz w:val="22"/>
          <w:szCs w:val="22"/>
        </w:rPr>
        <w:t>results obtained</w:t>
      </w:r>
      <w:r w:rsidR="00235CC5" w:rsidRPr="006B1C0F">
        <w:rPr>
          <w:rFonts w:ascii="Arial" w:hAnsi="Arial" w:cs="Arial"/>
          <w:sz w:val="22"/>
          <w:szCs w:val="22"/>
        </w:rPr>
        <w:t>, as detailed in Component 3 of the TC.</w:t>
      </w:r>
      <w:r w:rsidR="00DA222A" w:rsidRPr="006B1C0F">
        <w:rPr>
          <w:rFonts w:ascii="Arial" w:hAnsi="Arial" w:cs="Arial"/>
          <w:sz w:val="22"/>
          <w:szCs w:val="22"/>
        </w:rPr>
        <w:t xml:space="preserve"> It will be an instrument for </w:t>
      </w:r>
      <w:r w:rsidRPr="006B1C0F">
        <w:rPr>
          <w:rFonts w:ascii="Arial" w:hAnsi="Arial" w:cs="Arial"/>
          <w:sz w:val="22"/>
          <w:szCs w:val="22"/>
        </w:rPr>
        <w:t>disseminating</w:t>
      </w:r>
      <w:r w:rsidR="00DA222A" w:rsidRPr="006B1C0F">
        <w:rPr>
          <w:rFonts w:ascii="Arial" w:hAnsi="Arial" w:cs="Arial"/>
          <w:sz w:val="22"/>
          <w:szCs w:val="22"/>
        </w:rPr>
        <w:t xml:space="preserve"> the </w:t>
      </w:r>
      <w:r w:rsidRPr="006B1C0F">
        <w:rPr>
          <w:rFonts w:ascii="Arial" w:hAnsi="Arial" w:cs="Arial"/>
          <w:sz w:val="22"/>
          <w:szCs w:val="22"/>
        </w:rPr>
        <w:t>LAC-China Urban Network</w:t>
      </w:r>
      <w:r w:rsidR="00DA222A" w:rsidRPr="006B1C0F">
        <w:rPr>
          <w:rFonts w:ascii="Arial" w:hAnsi="Arial" w:cs="Arial"/>
          <w:sz w:val="22"/>
          <w:szCs w:val="22"/>
        </w:rPr>
        <w:t xml:space="preserve"> and guide eventual future </w:t>
      </w:r>
      <w:r w:rsidR="009B60FE" w:rsidRPr="006B1C0F">
        <w:rPr>
          <w:rFonts w:ascii="Arial" w:hAnsi="Arial" w:cs="Arial"/>
          <w:sz w:val="22"/>
          <w:szCs w:val="22"/>
        </w:rPr>
        <w:t>LAC-China</w:t>
      </w:r>
      <w:r w:rsidR="00DA222A" w:rsidRPr="006B1C0F">
        <w:rPr>
          <w:rFonts w:ascii="Arial" w:hAnsi="Arial" w:cs="Arial"/>
          <w:sz w:val="22"/>
          <w:szCs w:val="22"/>
        </w:rPr>
        <w:t xml:space="preserve"> </w:t>
      </w:r>
      <w:r w:rsidRPr="006B1C0F">
        <w:rPr>
          <w:rFonts w:ascii="Arial" w:hAnsi="Arial" w:cs="Arial"/>
          <w:sz w:val="22"/>
          <w:szCs w:val="22"/>
        </w:rPr>
        <w:t>collaborations</w:t>
      </w:r>
      <w:r w:rsidR="00DA222A" w:rsidRPr="006B1C0F">
        <w:rPr>
          <w:rFonts w:ascii="Arial" w:hAnsi="Arial" w:cs="Arial"/>
          <w:sz w:val="22"/>
          <w:szCs w:val="22"/>
        </w:rPr>
        <w:t>.</w:t>
      </w:r>
      <w:r w:rsidR="00166191" w:rsidRPr="006B1C0F">
        <w:rPr>
          <w:rFonts w:ascii="Arial" w:hAnsi="Arial" w:cs="Arial"/>
          <w:b/>
          <w:sz w:val="22"/>
          <w:szCs w:val="22"/>
        </w:rPr>
        <w:t xml:space="preserve"> </w:t>
      </w:r>
    </w:p>
    <w:p w:rsidR="00166191" w:rsidRPr="006B1C0F" w:rsidRDefault="00166191">
      <w:pPr>
        <w:spacing w:before="120" w:after="120"/>
        <w:jc w:val="both"/>
        <w:rPr>
          <w:rFonts w:ascii="Arial" w:hAnsi="Arial" w:cs="Arial"/>
          <w:sz w:val="22"/>
          <w:szCs w:val="22"/>
        </w:rPr>
      </w:pPr>
      <w:r w:rsidRPr="006B1C0F">
        <w:rPr>
          <w:rFonts w:ascii="Arial" w:hAnsi="Arial" w:cs="Arial"/>
          <w:b/>
          <w:sz w:val="22"/>
          <w:szCs w:val="22"/>
        </w:rPr>
        <w:t>Monitoring</w:t>
      </w:r>
      <w:r w:rsidRPr="006B1C0F">
        <w:rPr>
          <w:rFonts w:ascii="Arial" w:hAnsi="Arial" w:cs="Arial"/>
          <w:sz w:val="22"/>
          <w:szCs w:val="22"/>
        </w:rPr>
        <w:t xml:space="preserve">: for the duration of the TC, the consultant will report to the bank every 4 months on the advancements of the TC according to the work plan. </w:t>
      </w:r>
    </w:p>
    <w:p w:rsidR="001D0267" w:rsidRPr="003349A0" w:rsidRDefault="001D0267" w:rsidP="006B1C0F">
      <w:pPr>
        <w:spacing w:before="240" w:after="240"/>
        <w:jc w:val="both"/>
        <w:rPr>
          <w:rFonts w:ascii="Arial" w:hAnsi="Arial" w:cs="Arial"/>
          <w:b/>
          <w:bCs/>
          <w:sz w:val="22"/>
          <w:szCs w:val="22"/>
        </w:rPr>
      </w:pPr>
      <w:r w:rsidRPr="003349A0">
        <w:rPr>
          <w:rFonts w:ascii="Arial" w:hAnsi="Arial" w:cs="Arial"/>
          <w:b/>
          <w:bCs/>
          <w:sz w:val="22"/>
          <w:szCs w:val="22"/>
        </w:rPr>
        <w:t xml:space="preserve">Reports / Deliverables </w:t>
      </w:r>
    </w:p>
    <w:p w:rsidR="00BB0E7D" w:rsidRPr="003349A0" w:rsidRDefault="00BB0E7D" w:rsidP="006B1C0F">
      <w:pPr>
        <w:pStyle w:val="BodyText"/>
        <w:spacing w:before="240" w:after="240"/>
        <w:jc w:val="both"/>
        <w:rPr>
          <w:rFonts w:ascii="Arial" w:hAnsi="Arial" w:cs="Arial"/>
          <w:sz w:val="22"/>
          <w:szCs w:val="22"/>
        </w:rPr>
      </w:pPr>
      <w:r w:rsidRPr="003349A0">
        <w:rPr>
          <w:rFonts w:ascii="Arial" w:hAnsi="Arial" w:cs="Arial"/>
          <w:sz w:val="22"/>
          <w:szCs w:val="22"/>
        </w:rPr>
        <w:t xml:space="preserve">Each activity has the following deliverables. </w:t>
      </w:r>
    </w:p>
    <w:p w:rsidR="00BB0E7D" w:rsidRPr="003349A0" w:rsidRDefault="00BB0E7D" w:rsidP="006B1C0F">
      <w:pPr>
        <w:pStyle w:val="BodyText"/>
        <w:spacing w:before="240" w:after="240"/>
        <w:jc w:val="both"/>
        <w:rPr>
          <w:rFonts w:ascii="Arial" w:hAnsi="Arial" w:cs="Arial"/>
          <w:sz w:val="22"/>
          <w:szCs w:val="22"/>
        </w:rPr>
      </w:pPr>
      <w:r w:rsidRPr="003349A0">
        <w:rPr>
          <w:rFonts w:ascii="Arial" w:hAnsi="Arial" w:cs="Arial"/>
          <w:b/>
          <w:sz w:val="22"/>
          <w:szCs w:val="22"/>
        </w:rPr>
        <w:t>Network Tutoring</w:t>
      </w:r>
      <w:r w:rsidRPr="003349A0">
        <w:rPr>
          <w:rFonts w:ascii="Arial" w:hAnsi="Arial" w:cs="Arial"/>
          <w:sz w:val="22"/>
          <w:szCs w:val="22"/>
        </w:rPr>
        <w:t>:</w:t>
      </w:r>
      <w:r w:rsidRPr="003349A0">
        <w:rPr>
          <w:rFonts w:ascii="Arial" w:hAnsi="Arial" w:cs="Arial"/>
          <w:sz w:val="22"/>
        </w:rPr>
        <w:t xml:space="preserve"> (i) The agreements signed between the Bank and the LAC cities that will be selected to participate in the program; (ii) The acceptance from all participants from both regions of the work plan and calendar of activities; the validation and implementation of strategic actions in participating cities; and</w:t>
      </w:r>
    </w:p>
    <w:p w:rsidR="00BB0E7D" w:rsidRPr="003349A0" w:rsidRDefault="00BB0E7D" w:rsidP="006B1C0F">
      <w:pPr>
        <w:pStyle w:val="BodyText"/>
        <w:spacing w:before="240" w:after="240"/>
        <w:jc w:val="both"/>
        <w:rPr>
          <w:rFonts w:ascii="Arial" w:hAnsi="Arial" w:cs="Arial"/>
          <w:sz w:val="22"/>
          <w:szCs w:val="22"/>
        </w:rPr>
      </w:pPr>
      <w:r w:rsidRPr="003349A0">
        <w:rPr>
          <w:rFonts w:ascii="Arial" w:hAnsi="Arial" w:cs="Arial"/>
          <w:b/>
          <w:sz w:val="22"/>
          <w:szCs w:val="22"/>
        </w:rPr>
        <w:t>Meetings Organization</w:t>
      </w:r>
      <w:r w:rsidR="00747DEB" w:rsidRPr="003349A0">
        <w:rPr>
          <w:rFonts w:ascii="Arial" w:hAnsi="Arial" w:cs="Arial"/>
          <w:sz w:val="22"/>
          <w:szCs w:val="22"/>
        </w:rPr>
        <w:t>: Three international workshops and one</w:t>
      </w:r>
      <w:r w:rsidRPr="003349A0">
        <w:rPr>
          <w:rFonts w:ascii="Arial" w:hAnsi="Arial" w:cs="Arial"/>
          <w:sz w:val="22"/>
          <w:szCs w:val="22"/>
        </w:rPr>
        <w:t xml:space="preserve"> Mayors’ roundtable. </w:t>
      </w:r>
    </w:p>
    <w:p w:rsidR="00BB0E7D" w:rsidRPr="003349A0" w:rsidRDefault="00166191" w:rsidP="006B1C0F">
      <w:pPr>
        <w:pStyle w:val="BodyText"/>
        <w:spacing w:before="240" w:after="240"/>
        <w:jc w:val="both"/>
        <w:rPr>
          <w:rFonts w:ascii="Arial" w:hAnsi="Arial" w:cs="Arial"/>
          <w:sz w:val="22"/>
          <w:szCs w:val="22"/>
        </w:rPr>
      </w:pPr>
      <w:r w:rsidRPr="009F7960">
        <w:rPr>
          <w:rFonts w:ascii="Arial" w:hAnsi="Arial" w:cs="Arial"/>
          <w:b/>
          <w:bCs/>
          <w:sz w:val="22"/>
          <w:szCs w:val="22"/>
        </w:rPr>
        <w:t>Results dissemination</w:t>
      </w:r>
      <w:r w:rsidR="00BB0E7D" w:rsidRPr="003349A0">
        <w:rPr>
          <w:rFonts w:ascii="Arial" w:hAnsi="Arial" w:cs="Arial"/>
          <w:sz w:val="22"/>
          <w:szCs w:val="22"/>
        </w:rPr>
        <w:t xml:space="preserve">: Brochures, newsletter and best practice report. </w:t>
      </w:r>
    </w:p>
    <w:p w:rsidR="00BB0E7D" w:rsidRPr="003349A0" w:rsidRDefault="00BB0E7D" w:rsidP="006B1C0F">
      <w:pPr>
        <w:pStyle w:val="BodyText"/>
        <w:spacing w:before="240" w:after="240"/>
        <w:jc w:val="both"/>
        <w:rPr>
          <w:rFonts w:ascii="Arial" w:hAnsi="Arial" w:cs="Arial"/>
          <w:sz w:val="22"/>
          <w:szCs w:val="22"/>
        </w:rPr>
      </w:pPr>
      <w:r w:rsidRPr="003349A0">
        <w:rPr>
          <w:rFonts w:ascii="Arial" w:hAnsi="Arial" w:cs="Arial"/>
          <w:b/>
          <w:sz w:val="22"/>
          <w:szCs w:val="22"/>
        </w:rPr>
        <w:t>Monitoring</w:t>
      </w:r>
      <w:r w:rsidRPr="003349A0">
        <w:rPr>
          <w:rFonts w:ascii="Arial" w:hAnsi="Arial" w:cs="Arial"/>
          <w:sz w:val="22"/>
          <w:szCs w:val="22"/>
        </w:rPr>
        <w:t xml:space="preserve">: </w:t>
      </w:r>
      <w:r w:rsidR="00747DEB" w:rsidRPr="003349A0">
        <w:rPr>
          <w:rFonts w:ascii="Arial" w:hAnsi="Arial" w:cs="Arial"/>
          <w:sz w:val="22"/>
          <w:szCs w:val="22"/>
        </w:rPr>
        <w:t>Three</w:t>
      </w:r>
      <w:r w:rsidRPr="003349A0">
        <w:rPr>
          <w:rFonts w:ascii="Arial" w:hAnsi="Arial" w:cs="Arial"/>
          <w:sz w:val="22"/>
          <w:szCs w:val="22"/>
        </w:rPr>
        <w:t xml:space="preserve"> monitoring reports a year.</w:t>
      </w:r>
    </w:p>
    <w:p w:rsidR="00086701" w:rsidRPr="003349A0" w:rsidRDefault="00BB0E7D" w:rsidP="006B1C0F">
      <w:pPr>
        <w:pStyle w:val="BodyText"/>
        <w:spacing w:before="240" w:after="240"/>
        <w:jc w:val="both"/>
        <w:rPr>
          <w:rFonts w:ascii="Arial" w:hAnsi="Arial" w:cs="Arial"/>
          <w:sz w:val="22"/>
          <w:szCs w:val="22"/>
        </w:rPr>
      </w:pPr>
      <w:r w:rsidRPr="003349A0">
        <w:rPr>
          <w:rFonts w:ascii="Arial" w:hAnsi="Arial" w:cs="Arial"/>
          <w:sz w:val="22"/>
          <w:szCs w:val="22"/>
        </w:rPr>
        <w:t>All reports</w:t>
      </w:r>
      <w:r w:rsidR="001D0267" w:rsidRPr="003349A0">
        <w:rPr>
          <w:rFonts w:ascii="Arial" w:hAnsi="Arial" w:cs="Arial"/>
          <w:sz w:val="22"/>
          <w:szCs w:val="22"/>
        </w:rPr>
        <w:t xml:space="preserve"> must be submitted to t</w:t>
      </w:r>
      <w:r w:rsidR="00ED5EB0" w:rsidRPr="003349A0">
        <w:rPr>
          <w:rFonts w:ascii="Arial" w:hAnsi="Arial" w:cs="Arial"/>
          <w:sz w:val="22"/>
          <w:szCs w:val="22"/>
        </w:rPr>
        <w:t xml:space="preserve">he Bank in an electronic file. </w:t>
      </w:r>
      <w:r w:rsidR="001D0267" w:rsidRPr="003349A0">
        <w:rPr>
          <w:rFonts w:ascii="Arial" w:hAnsi="Arial" w:cs="Arial"/>
          <w:sz w:val="22"/>
          <w:szCs w:val="22"/>
        </w:rPr>
        <w:t>The report should include cover, main document, and all annexes. Zip files w</w:t>
      </w:r>
      <w:r w:rsidR="00DD437E" w:rsidRPr="003349A0">
        <w:rPr>
          <w:rFonts w:ascii="Arial" w:hAnsi="Arial" w:cs="Arial"/>
          <w:sz w:val="22"/>
          <w:szCs w:val="22"/>
        </w:rPr>
        <w:t>ill not</w:t>
      </w:r>
      <w:r w:rsidR="001D0267" w:rsidRPr="003349A0">
        <w:rPr>
          <w:rFonts w:ascii="Arial" w:hAnsi="Arial" w:cs="Arial"/>
          <w:sz w:val="22"/>
          <w:szCs w:val="22"/>
        </w:rPr>
        <w:t xml:space="preserve"> be accepted as final reports, due to Records Management Section regulations</w:t>
      </w:r>
    </w:p>
    <w:p w:rsidR="00752A29" w:rsidRPr="003349A0" w:rsidRDefault="001D0267" w:rsidP="006B1C0F">
      <w:pPr>
        <w:spacing w:before="240" w:after="240"/>
        <w:jc w:val="both"/>
        <w:rPr>
          <w:rFonts w:ascii="Arial" w:hAnsi="Arial" w:cs="Arial"/>
          <w:b/>
          <w:bCs/>
          <w:sz w:val="22"/>
          <w:szCs w:val="22"/>
        </w:rPr>
      </w:pPr>
      <w:r w:rsidRPr="003349A0">
        <w:rPr>
          <w:rFonts w:ascii="Arial" w:hAnsi="Arial" w:cs="Arial"/>
          <w:b/>
          <w:bCs/>
          <w:sz w:val="22"/>
          <w:szCs w:val="22"/>
        </w:rPr>
        <w:t>Payment Schedule</w:t>
      </w:r>
    </w:p>
    <w:p w:rsidR="00D4063A" w:rsidRPr="003349A0" w:rsidRDefault="00401863" w:rsidP="006B1C0F">
      <w:pPr>
        <w:widowControl w:val="0"/>
        <w:autoSpaceDE w:val="0"/>
        <w:autoSpaceDN w:val="0"/>
        <w:adjustRightInd w:val="0"/>
        <w:spacing w:before="240" w:after="240"/>
        <w:jc w:val="both"/>
        <w:rPr>
          <w:rFonts w:ascii="Arial" w:hAnsi="Arial" w:cs="Arial"/>
          <w:sz w:val="22"/>
        </w:rPr>
      </w:pPr>
      <w:r w:rsidRPr="003349A0">
        <w:rPr>
          <w:rFonts w:ascii="Arial" w:hAnsi="Arial" w:cs="Arial"/>
          <w:sz w:val="22"/>
        </w:rPr>
        <w:t xml:space="preserve">The whole project will be executed in 24 months. Payments will be made at completion of each of the following phases: </w:t>
      </w:r>
    </w:p>
    <w:p w:rsidR="00401863" w:rsidRPr="003349A0" w:rsidRDefault="00401863" w:rsidP="006B1C0F">
      <w:pPr>
        <w:widowControl w:val="0"/>
        <w:autoSpaceDE w:val="0"/>
        <w:autoSpaceDN w:val="0"/>
        <w:adjustRightInd w:val="0"/>
        <w:spacing w:before="240" w:after="240"/>
        <w:jc w:val="both"/>
        <w:rPr>
          <w:rFonts w:ascii="Arial" w:hAnsi="Arial" w:cs="Arial"/>
          <w:sz w:val="22"/>
        </w:rPr>
      </w:pPr>
      <w:r w:rsidRPr="003349A0">
        <w:rPr>
          <w:rFonts w:ascii="Arial" w:hAnsi="Arial" w:cs="Arial"/>
          <w:b/>
          <w:bCs/>
          <w:sz w:val="22"/>
        </w:rPr>
        <w:t xml:space="preserve">Start-up: </w:t>
      </w:r>
      <w:r w:rsidRPr="003349A0">
        <w:rPr>
          <w:rFonts w:ascii="Arial" w:hAnsi="Arial" w:cs="Arial"/>
          <w:bCs/>
          <w:sz w:val="22"/>
        </w:rPr>
        <w:t>(</w:t>
      </w:r>
      <w:r w:rsidRPr="003349A0">
        <w:rPr>
          <w:rFonts w:ascii="Arial" w:hAnsi="Arial" w:cs="Arial"/>
          <w:sz w:val="22"/>
        </w:rPr>
        <w:t xml:space="preserve">i) Organization of the network; (ii) Identification of thematic areas (with the cities) and cluster activities; (iii) preparation of detailed calendar of activities. </w:t>
      </w:r>
      <w:r w:rsidR="00D4063A" w:rsidRPr="003349A0">
        <w:rPr>
          <w:rFonts w:ascii="Arial" w:hAnsi="Arial" w:cs="Arial"/>
          <w:sz w:val="22"/>
        </w:rPr>
        <w:t>35</w:t>
      </w:r>
      <w:r w:rsidRPr="003349A0">
        <w:rPr>
          <w:rFonts w:ascii="Arial" w:hAnsi="Arial" w:cs="Arial"/>
          <w:sz w:val="22"/>
        </w:rPr>
        <w:t>%.</w:t>
      </w:r>
    </w:p>
    <w:p w:rsidR="00401863" w:rsidRPr="003349A0" w:rsidRDefault="00401863" w:rsidP="006B1C0F">
      <w:pPr>
        <w:widowControl w:val="0"/>
        <w:autoSpaceDE w:val="0"/>
        <w:autoSpaceDN w:val="0"/>
        <w:adjustRightInd w:val="0"/>
        <w:spacing w:before="240" w:after="240"/>
        <w:jc w:val="both"/>
        <w:rPr>
          <w:rFonts w:ascii="Arial" w:hAnsi="Arial" w:cs="Arial"/>
          <w:sz w:val="22"/>
        </w:rPr>
      </w:pPr>
      <w:r w:rsidRPr="003349A0">
        <w:rPr>
          <w:rFonts w:ascii="Arial" w:hAnsi="Arial" w:cs="Arial"/>
          <w:b/>
          <w:bCs/>
          <w:sz w:val="22"/>
        </w:rPr>
        <w:t xml:space="preserve">Exchange: </w:t>
      </w:r>
      <w:r w:rsidRPr="003349A0">
        <w:rPr>
          <w:rFonts w:ascii="Arial" w:hAnsi="Arial" w:cs="Arial"/>
          <w:sz w:val="22"/>
        </w:rPr>
        <w:t xml:space="preserve">(i) Implementation and support to the network; (ii) organization and implementation of </w:t>
      </w:r>
      <w:r w:rsidR="00D4063A" w:rsidRPr="003349A0">
        <w:rPr>
          <w:rFonts w:ascii="Arial" w:hAnsi="Arial" w:cs="Arial"/>
          <w:sz w:val="22"/>
        </w:rPr>
        <w:t>workshops</w:t>
      </w:r>
      <w:r w:rsidRPr="003349A0">
        <w:rPr>
          <w:rFonts w:ascii="Arial" w:hAnsi="Arial" w:cs="Arial"/>
          <w:sz w:val="22"/>
        </w:rPr>
        <w:t xml:space="preserve">; and (iii) development of strategic actions. </w:t>
      </w:r>
      <w:r w:rsidR="00D4063A" w:rsidRPr="003349A0">
        <w:rPr>
          <w:rFonts w:ascii="Arial" w:hAnsi="Arial" w:cs="Arial"/>
          <w:sz w:val="22"/>
        </w:rPr>
        <w:t>25</w:t>
      </w:r>
      <w:r w:rsidRPr="003349A0">
        <w:rPr>
          <w:rFonts w:ascii="Arial" w:hAnsi="Arial" w:cs="Arial"/>
          <w:sz w:val="22"/>
        </w:rPr>
        <w:t>%</w:t>
      </w:r>
    </w:p>
    <w:p w:rsidR="00401863" w:rsidRPr="003349A0" w:rsidRDefault="00401863" w:rsidP="006B1C0F">
      <w:pPr>
        <w:widowControl w:val="0"/>
        <w:autoSpaceDE w:val="0"/>
        <w:autoSpaceDN w:val="0"/>
        <w:adjustRightInd w:val="0"/>
        <w:spacing w:before="240" w:after="240"/>
        <w:jc w:val="both"/>
        <w:rPr>
          <w:rFonts w:ascii="Arial" w:hAnsi="Arial" w:cs="Arial"/>
          <w:sz w:val="22"/>
        </w:rPr>
      </w:pPr>
      <w:r w:rsidRPr="003349A0">
        <w:rPr>
          <w:rFonts w:ascii="Arial" w:hAnsi="Arial" w:cs="Arial"/>
          <w:b/>
          <w:bCs/>
          <w:sz w:val="22"/>
        </w:rPr>
        <w:t xml:space="preserve">Validation: </w:t>
      </w:r>
      <w:r w:rsidRPr="003349A0">
        <w:rPr>
          <w:rFonts w:ascii="Arial" w:hAnsi="Arial" w:cs="Arial"/>
          <w:sz w:val="22"/>
        </w:rPr>
        <w:t>(i) validation with local stakeholders; (ii) implementation of strategic actions; and (iii)</w:t>
      </w:r>
      <w:r w:rsidR="00747DEB" w:rsidRPr="003349A0">
        <w:rPr>
          <w:rFonts w:ascii="Arial" w:hAnsi="Arial" w:cs="Arial"/>
          <w:sz w:val="22"/>
        </w:rPr>
        <w:t> </w:t>
      </w:r>
      <w:r w:rsidRPr="003349A0">
        <w:rPr>
          <w:rFonts w:ascii="Arial" w:hAnsi="Arial" w:cs="Arial"/>
          <w:sz w:val="22"/>
        </w:rPr>
        <w:t xml:space="preserve">preparation and realization of Mayor’s Roundtable in the Banks Headquarters. </w:t>
      </w:r>
      <w:r w:rsidR="00BB0E7D" w:rsidRPr="003349A0">
        <w:rPr>
          <w:rFonts w:ascii="Arial" w:hAnsi="Arial" w:cs="Arial"/>
          <w:sz w:val="22"/>
        </w:rPr>
        <w:t>20</w:t>
      </w:r>
      <w:r w:rsidRPr="003349A0">
        <w:rPr>
          <w:rFonts w:ascii="Arial" w:hAnsi="Arial" w:cs="Arial"/>
          <w:sz w:val="22"/>
        </w:rPr>
        <w:t>%</w:t>
      </w:r>
    </w:p>
    <w:p w:rsidR="00E357B9" w:rsidRPr="003349A0" w:rsidRDefault="00401863" w:rsidP="006B1C0F">
      <w:pPr>
        <w:spacing w:before="240" w:after="240"/>
        <w:jc w:val="both"/>
        <w:rPr>
          <w:rFonts w:ascii="Arial" w:hAnsi="Arial" w:cs="Arial"/>
          <w:bCs/>
          <w:sz w:val="22"/>
          <w:szCs w:val="22"/>
        </w:rPr>
      </w:pPr>
      <w:r w:rsidRPr="003349A0">
        <w:rPr>
          <w:rFonts w:ascii="Arial" w:hAnsi="Arial" w:cs="Arial"/>
          <w:b/>
          <w:bCs/>
          <w:sz w:val="22"/>
        </w:rPr>
        <w:t xml:space="preserve">Diffusion: </w:t>
      </w:r>
      <w:r w:rsidRPr="003349A0">
        <w:rPr>
          <w:rFonts w:ascii="Arial" w:hAnsi="Arial" w:cs="Arial"/>
          <w:sz w:val="22"/>
        </w:rPr>
        <w:t xml:space="preserve">(i) publication of results; and (ii) project closing. </w:t>
      </w:r>
      <w:r w:rsidR="00D4063A" w:rsidRPr="003349A0">
        <w:rPr>
          <w:rFonts w:ascii="Arial" w:hAnsi="Arial" w:cs="Arial"/>
          <w:sz w:val="22"/>
        </w:rPr>
        <w:t>20</w:t>
      </w:r>
      <w:r w:rsidRPr="003349A0">
        <w:rPr>
          <w:rFonts w:ascii="Arial" w:hAnsi="Arial" w:cs="Arial"/>
          <w:sz w:val="22"/>
        </w:rPr>
        <w:t>%</w:t>
      </w:r>
    </w:p>
    <w:p w:rsidR="00D4063A" w:rsidRPr="003349A0" w:rsidRDefault="001D0267" w:rsidP="006B1C0F">
      <w:pPr>
        <w:spacing w:before="240" w:after="240"/>
        <w:jc w:val="both"/>
        <w:rPr>
          <w:rFonts w:ascii="Arial" w:hAnsi="Arial" w:cs="Arial"/>
          <w:b/>
          <w:bCs/>
          <w:sz w:val="22"/>
          <w:szCs w:val="22"/>
        </w:rPr>
      </w:pPr>
      <w:r w:rsidRPr="003349A0">
        <w:rPr>
          <w:rFonts w:ascii="Arial" w:hAnsi="Arial" w:cs="Arial"/>
          <w:b/>
          <w:bCs/>
          <w:sz w:val="22"/>
          <w:szCs w:val="22"/>
        </w:rPr>
        <w:t xml:space="preserve">Qualifications  </w:t>
      </w:r>
    </w:p>
    <w:p w:rsidR="001D0267" w:rsidRPr="003349A0" w:rsidRDefault="001D0267" w:rsidP="006B1C0F">
      <w:pPr>
        <w:pStyle w:val="ListParagraph"/>
        <w:numPr>
          <w:ilvl w:val="0"/>
          <w:numId w:val="8"/>
        </w:numPr>
        <w:spacing w:before="240" w:after="240"/>
        <w:jc w:val="both"/>
        <w:rPr>
          <w:rFonts w:ascii="Arial" w:hAnsi="Arial" w:cs="Arial"/>
          <w:sz w:val="22"/>
        </w:rPr>
      </w:pPr>
      <w:r w:rsidRPr="003349A0">
        <w:rPr>
          <w:rFonts w:ascii="Arial" w:hAnsi="Arial" w:cs="Arial"/>
          <w:b/>
          <w:sz w:val="22"/>
        </w:rPr>
        <w:t>Academic Degree</w:t>
      </w:r>
      <w:r w:rsidR="00A26D1A" w:rsidRPr="003349A0">
        <w:rPr>
          <w:rFonts w:ascii="Arial" w:hAnsi="Arial" w:cs="Arial"/>
          <w:b/>
          <w:sz w:val="22"/>
        </w:rPr>
        <w:t xml:space="preserve"> </w:t>
      </w:r>
      <w:r w:rsidR="00EF7082" w:rsidRPr="003349A0">
        <w:rPr>
          <w:rFonts w:ascii="Arial" w:hAnsi="Arial" w:cs="Arial"/>
          <w:b/>
          <w:sz w:val="22"/>
        </w:rPr>
        <w:t>/</w:t>
      </w:r>
      <w:r w:rsidRPr="003349A0">
        <w:rPr>
          <w:rFonts w:ascii="Arial" w:hAnsi="Arial" w:cs="Arial"/>
          <w:b/>
          <w:sz w:val="22"/>
        </w:rPr>
        <w:t xml:space="preserve"> Level &amp; Years of Professional Work Experience</w:t>
      </w:r>
      <w:r w:rsidRPr="003349A0">
        <w:rPr>
          <w:rFonts w:ascii="Arial" w:hAnsi="Arial" w:cs="Arial"/>
          <w:sz w:val="22"/>
        </w:rPr>
        <w:t>:</w:t>
      </w:r>
      <w:r w:rsidR="009B60FE" w:rsidRPr="003349A0">
        <w:rPr>
          <w:rFonts w:ascii="Arial" w:hAnsi="Arial" w:cs="Arial"/>
          <w:sz w:val="22"/>
        </w:rPr>
        <w:t xml:space="preserve"> The consultant shall be an</w:t>
      </w:r>
      <w:r w:rsidR="00D4063A" w:rsidRPr="003349A0">
        <w:rPr>
          <w:rFonts w:ascii="Arial" w:hAnsi="Arial" w:cs="Arial"/>
          <w:sz w:val="22"/>
        </w:rPr>
        <w:t xml:space="preserve"> economist, architect or</w:t>
      </w:r>
      <w:r w:rsidR="009B60FE" w:rsidRPr="003349A0">
        <w:rPr>
          <w:rFonts w:ascii="Arial" w:hAnsi="Arial" w:cs="Arial"/>
          <w:sz w:val="22"/>
        </w:rPr>
        <w:t xml:space="preserve"> urban planner, with at least 15 years of experience working with cities</w:t>
      </w:r>
      <w:r w:rsidR="00D4063A" w:rsidRPr="003349A0">
        <w:rPr>
          <w:rFonts w:ascii="Arial" w:hAnsi="Arial" w:cs="Arial"/>
          <w:sz w:val="22"/>
        </w:rPr>
        <w:t>,</w:t>
      </w:r>
      <w:r w:rsidR="009B60FE" w:rsidRPr="003349A0">
        <w:rPr>
          <w:rFonts w:ascii="Arial" w:hAnsi="Arial" w:cs="Arial"/>
          <w:sz w:val="22"/>
        </w:rPr>
        <w:t xml:space="preserve"> either as a </w:t>
      </w:r>
      <w:r w:rsidR="00401863" w:rsidRPr="003349A0">
        <w:rPr>
          <w:rFonts w:ascii="Arial" w:hAnsi="Arial" w:cs="Arial"/>
          <w:sz w:val="22"/>
        </w:rPr>
        <w:t>manager</w:t>
      </w:r>
      <w:r w:rsidR="009B60FE" w:rsidRPr="003349A0">
        <w:rPr>
          <w:rFonts w:ascii="Arial" w:hAnsi="Arial" w:cs="Arial"/>
          <w:sz w:val="22"/>
        </w:rPr>
        <w:t xml:space="preserve"> or a</w:t>
      </w:r>
      <w:r w:rsidR="00401863" w:rsidRPr="003349A0">
        <w:rPr>
          <w:rFonts w:ascii="Arial" w:hAnsi="Arial" w:cs="Arial"/>
          <w:sz w:val="22"/>
        </w:rPr>
        <w:t>s</w:t>
      </w:r>
      <w:r w:rsidR="009B60FE" w:rsidRPr="003349A0">
        <w:rPr>
          <w:rFonts w:ascii="Arial" w:hAnsi="Arial" w:cs="Arial"/>
          <w:sz w:val="22"/>
        </w:rPr>
        <w:t xml:space="preserve"> </w:t>
      </w:r>
      <w:r w:rsidR="00401863" w:rsidRPr="003349A0">
        <w:rPr>
          <w:rFonts w:ascii="Arial" w:hAnsi="Arial" w:cs="Arial"/>
          <w:sz w:val="22"/>
        </w:rPr>
        <w:t xml:space="preserve">a </w:t>
      </w:r>
      <w:r w:rsidR="009B60FE" w:rsidRPr="003349A0">
        <w:rPr>
          <w:rFonts w:ascii="Arial" w:hAnsi="Arial" w:cs="Arial"/>
          <w:sz w:val="22"/>
        </w:rPr>
        <w:t xml:space="preserve">consultant to </w:t>
      </w:r>
      <w:r w:rsidR="00D4063A" w:rsidRPr="003349A0">
        <w:rPr>
          <w:rFonts w:ascii="Arial" w:hAnsi="Arial" w:cs="Arial"/>
          <w:sz w:val="22"/>
        </w:rPr>
        <w:t>sy</w:t>
      </w:r>
      <w:r w:rsidR="00401863" w:rsidRPr="003349A0">
        <w:rPr>
          <w:rFonts w:ascii="Arial" w:hAnsi="Arial" w:cs="Arial"/>
          <w:sz w:val="22"/>
        </w:rPr>
        <w:t>stematize</w:t>
      </w:r>
      <w:r w:rsidR="009B60FE" w:rsidRPr="003349A0">
        <w:rPr>
          <w:rFonts w:ascii="Arial" w:hAnsi="Arial" w:cs="Arial"/>
          <w:sz w:val="22"/>
        </w:rPr>
        <w:t xml:space="preserve"> and </w:t>
      </w:r>
      <w:r w:rsidR="00D4063A" w:rsidRPr="003349A0">
        <w:rPr>
          <w:rFonts w:ascii="Arial" w:hAnsi="Arial" w:cs="Arial"/>
          <w:sz w:val="22"/>
        </w:rPr>
        <w:t>implement strategic projects</w:t>
      </w:r>
      <w:r w:rsidR="009B60FE" w:rsidRPr="003349A0">
        <w:rPr>
          <w:rFonts w:ascii="Arial" w:hAnsi="Arial" w:cs="Arial"/>
          <w:sz w:val="22"/>
        </w:rPr>
        <w:t>.</w:t>
      </w:r>
    </w:p>
    <w:p w:rsidR="009B60FE" w:rsidRPr="003349A0" w:rsidRDefault="001D0267" w:rsidP="006B1C0F">
      <w:pPr>
        <w:pStyle w:val="ListParagraph"/>
        <w:numPr>
          <w:ilvl w:val="0"/>
          <w:numId w:val="8"/>
        </w:numPr>
        <w:spacing w:before="240" w:after="240"/>
        <w:jc w:val="both"/>
        <w:rPr>
          <w:rFonts w:ascii="Arial" w:hAnsi="Arial" w:cs="Arial"/>
          <w:sz w:val="22"/>
          <w:szCs w:val="22"/>
        </w:rPr>
      </w:pPr>
      <w:r w:rsidRPr="003349A0">
        <w:rPr>
          <w:rFonts w:ascii="Arial" w:hAnsi="Arial" w:cs="Arial"/>
          <w:b/>
          <w:sz w:val="22"/>
          <w:szCs w:val="22"/>
        </w:rPr>
        <w:t>Languages</w:t>
      </w:r>
      <w:r w:rsidRPr="003349A0">
        <w:rPr>
          <w:rFonts w:ascii="Arial" w:hAnsi="Arial" w:cs="Arial"/>
          <w:sz w:val="22"/>
          <w:szCs w:val="22"/>
        </w:rPr>
        <w:t>:</w:t>
      </w:r>
      <w:r w:rsidR="009B60FE" w:rsidRPr="003349A0">
        <w:rPr>
          <w:rFonts w:ascii="Arial" w:hAnsi="Arial" w:cs="Arial"/>
          <w:sz w:val="22"/>
          <w:szCs w:val="22"/>
        </w:rPr>
        <w:t xml:space="preserve"> English and Spanish. </w:t>
      </w:r>
    </w:p>
    <w:p w:rsidR="001D0267" w:rsidRPr="003349A0" w:rsidRDefault="001D0267" w:rsidP="006B1C0F">
      <w:pPr>
        <w:pStyle w:val="ListParagraph"/>
        <w:numPr>
          <w:ilvl w:val="0"/>
          <w:numId w:val="8"/>
        </w:numPr>
        <w:spacing w:before="240" w:after="240"/>
        <w:jc w:val="both"/>
        <w:rPr>
          <w:rFonts w:ascii="Arial" w:hAnsi="Arial" w:cs="Arial"/>
          <w:sz w:val="22"/>
        </w:rPr>
      </w:pPr>
      <w:r w:rsidRPr="003349A0">
        <w:rPr>
          <w:rFonts w:ascii="Arial" w:hAnsi="Arial" w:cs="Arial"/>
          <w:b/>
          <w:sz w:val="22"/>
          <w:szCs w:val="22"/>
        </w:rPr>
        <w:t>Areas of Expertise</w:t>
      </w:r>
      <w:r w:rsidRPr="003349A0">
        <w:rPr>
          <w:rFonts w:ascii="Arial" w:hAnsi="Arial" w:cs="Arial"/>
          <w:sz w:val="22"/>
          <w:szCs w:val="22"/>
        </w:rPr>
        <w:t>:</w:t>
      </w:r>
      <w:r w:rsidR="009B60FE" w:rsidRPr="003349A0">
        <w:rPr>
          <w:rFonts w:ascii="Arial" w:hAnsi="Arial" w:cs="Arial"/>
          <w:sz w:val="22"/>
        </w:rPr>
        <w:t xml:space="preserve"> The consultant should have working knowledge and experience </w:t>
      </w:r>
      <w:r w:rsidR="00401863" w:rsidRPr="003349A0">
        <w:rPr>
          <w:rFonts w:ascii="Arial" w:hAnsi="Arial" w:cs="Arial"/>
          <w:sz w:val="22"/>
        </w:rPr>
        <w:t>advising</w:t>
      </w:r>
      <w:r w:rsidR="009B60FE" w:rsidRPr="003349A0">
        <w:rPr>
          <w:rFonts w:ascii="Arial" w:hAnsi="Arial" w:cs="Arial"/>
          <w:sz w:val="22"/>
        </w:rPr>
        <w:t xml:space="preserve"> cities on topics such as: (i) sustainable urban growth; (ii)</w:t>
      </w:r>
      <w:r w:rsidR="00021225">
        <w:rPr>
          <w:rFonts w:ascii="Arial" w:hAnsi="Arial" w:cs="Arial"/>
          <w:sz w:val="22"/>
        </w:rPr>
        <w:t> </w:t>
      </w:r>
      <w:r w:rsidR="009B60FE" w:rsidRPr="003349A0">
        <w:rPr>
          <w:rFonts w:ascii="Arial" w:hAnsi="Arial" w:cs="Arial"/>
          <w:sz w:val="22"/>
        </w:rPr>
        <w:t>local</w:t>
      </w:r>
      <w:r w:rsidR="00401863" w:rsidRPr="003349A0">
        <w:rPr>
          <w:rFonts w:ascii="Arial" w:hAnsi="Arial" w:cs="Arial"/>
          <w:sz w:val="22"/>
        </w:rPr>
        <w:t xml:space="preserve"> development</w:t>
      </w:r>
      <w:r w:rsidR="009B60FE" w:rsidRPr="003349A0">
        <w:rPr>
          <w:rFonts w:ascii="Arial" w:hAnsi="Arial" w:cs="Arial"/>
          <w:sz w:val="22"/>
        </w:rPr>
        <w:t>; (iii)</w:t>
      </w:r>
      <w:r w:rsidR="00747DEB" w:rsidRPr="003349A0">
        <w:rPr>
          <w:rFonts w:ascii="Arial" w:hAnsi="Arial" w:cs="Arial"/>
          <w:sz w:val="22"/>
        </w:rPr>
        <w:t> </w:t>
      </w:r>
      <w:r w:rsidR="009B60FE" w:rsidRPr="003349A0">
        <w:rPr>
          <w:rFonts w:ascii="Arial" w:hAnsi="Arial" w:cs="Arial"/>
          <w:sz w:val="22"/>
        </w:rPr>
        <w:t xml:space="preserve">institutional strengthening; </w:t>
      </w:r>
      <w:r w:rsidR="00401863" w:rsidRPr="003349A0">
        <w:rPr>
          <w:rFonts w:ascii="Arial" w:hAnsi="Arial" w:cs="Arial"/>
          <w:sz w:val="22"/>
        </w:rPr>
        <w:t xml:space="preserve">and </w:t>
      </w:r>
      <w:r w:rsidR="009B60FE" w:rsidRPr="003349A0">
        <w:rPr>
          <w:rFonts w:ascii="Arial" w:hAnsi="Arial" w:cs="Arial"/>
          <w:sz w:val="22"/>
        </w:rPr>
        <w:t xml:space="preserve">(iv) metropolitan governance. </w:t>
      </w:r>
      <w:r w:rsidR="00D4063A" w:rsidRPr="003349A0">
        <w:rPr>
          <w:rFonts w:ascii="Arial" w:hAnsi="Arial" w:cs="Arial"/>
          <w:sz w:val="22"/>
        </w:rPr>
        <w:t>Experience working with LAC cities is required.</w:t>
      </w:r>
    </w:p>
    <w:p w:rsidR="009B60FE" w:rsidRPr="003349A0" w:rsidRDefault="001D0267" w:rsidP="006B1C0F">
      <w:pPr>
        <w:pStyle w:val="ListParagraph"/>
        <w:numPr>
          <w:ilvl w:val="0"/>
          <w:numId w:val="8"/>
        </w:numPr>
        <w:spacing w:before="240" w:after="240"/>
        <w:jc w:val="both"/>
        <w:rPr>
          <w:rFonts w:ascii="Arial" w:hAnsi="Arial" w:cs="Arial"/>
          <w:sz w:val="22"/>
          <w:szCs w:val="22"/>
        </w:rPr>
      </w:pPr>
      <w:r w:rsidRPr="003349A0">
        <w:rPr>
          <w:rFonts w:ascii="Arial" w:hAnsi="Arial" w:cs="Arial"/>
          <w:b/>
          <w:sz w:val="22"/>
          <w:szCs w:val="22"/>
        </w:rPr>
        <w:t>Skills</w:t>
      </w:r>
      <w:r w:rsidRPr="003349A0">
        <w:rPr>
          <w:rFonts w:ascii="Arial" w:hAnsi="Arial" w:cs="Arial"/>
          <w:sz w:val="22"/>
          <w:szCs w:val="22"/>
        </w:rPr>
        <w:t xml:space="preserve">: </w:t>
      </w:r>
      <w:r w:rsidR="00D4063A" w:rsidRPr="003349A0">
        <w:rPr>
          <w:rFonts w:ascii="Arial" w:hAnsi="Arial" w:cs="Arial"/>
          <w:sz w:val="22"/>
          <w:szCs w:val="22"/>
        </w:rPr>
        <w:t>The consultant should have the capacity to engage policy makers into the exchange, and to frame their needs and expectations within the capacity of the LAC</w:t>
      </w:r>
      <w:r w:rsidR="00747DEB" w:rsidRPr="003349A0">
        <w:rPr>
          <w:rFonts w:ascii="Arial" w:hAnsi="Arial" w:cs="Arial"/>
          <w:sz w:val="22"/>
          <w:szCs w:val="22"/>
        </w:rPr>
        <w:noBreakHyphen/>
      </w:r>
      <w:r w:rsidR="00D4063A" w:rsidRPr="003349A0">
        <w:rPr>
          <w:rFonts w:ascii="Arial" w:hAnsi="Arial" w:cs="Arial"/>
          <w:sz w:val="22"/>
          <w:szCs w:val="22"/>
        </w:rPr>
        <w:t xml:space="preserve">China urban network. </w:t>
      </w:r>
      <w:r w:rsidR="009B60FE" w:rsidRPr="003349A0">
        <w:rPr>
          <w:rFonts w:ascii="Arial" w:hAnsi="Arial" w:cs="Arial"/>
          <w:sz w:val="22"/>
        </w:rPr>
        <w:t xml:space="preserve">Experience facilitating </w:t>
      </w:r>
      <w:r w:rsidR="00401863" w:rsidRPr="003349A0">
        <w:rPr>
          <w:rFonts w:ascii="Arial" w:hAnsi="Arial" w:cs="Arial"/>
          <w:sz w:val="22"/>
        </w:rPr>
        <w:t>similar</w:t>
      </w:r>
      <w:r w:rsidR="009B60FE" w:rsidRPr="003349A0">
        <w:rPr>
          <w:rFonts w:ascii="Arial" w:hAnsi="Arial" w:cs="Arial"/>
          <w:sz w:val="22"/>
        </w:rPr>
        <w:t xml:space="preserve"> knowledge exchange networks </w:t>
      </w:r>
      <w:r w:rsidR="00401863" w:rsidRPr="003349A0">
        <w:rPr>
          <w:rFonts w:ascii="Arial" w:hAnsi="Arial" w:cs="Arial"/>
          <w:sz w:val="22"/>
        </w:rPr>
        <w:t>is</w:t>
      </w:r>
      <w:r w:rsidR="009B60FE" w:rsidRPr="003349A0">
        <w:rPr>
          <w:rFonts w:ascii="Arial" w:hAnsi="Arial" w:cs="Arial"/>
          <w:sz w:val="22"/>
        </w:rPr>
        <w:t xml:space="preserve"> a plus.</w:t>
      </w:r>
    </w:p>
    <w:p w:rsidR="007A68E2" w:rsidRPr="003349A0" w:rsidRDefault="007A68E2" w:rsidP="006B1C0F">
      <w:pPr>
        <w:spacing w:before="240" w:after="240"/>
        <w:jc w:val="both"/>
        <w:rPr>
          <w:rFonts w:ascii="Arial" w:hAnsi="Arial" w:cs="Arial"/>
          <w:b/>
          <w:bCs/>
          <w:sz w:val="22"/>
        </w:rPr>
      </w:pPr>
      <w:r w:rsidRPr="003349A0">
        <w:rPr>
          <w:rFonts w:ascii="Arial" w:hAnsi="Arial" w:cs="Arial"/>
          <w:b/>
          <w:bCs/>
          <w:sz w:val="22"/>
        </w:rPr>
        <w:t>Characteristics of the Consultancy</w:t>
      </w:r>
    </w:p>
    <w:p w:rsidR="00EB7525" w:rsidRPr="003349A0" w:rsidRDefault="007A68E2" w:rsidP="006B1C0F">
      <w:pPr>
        <w:pStyle w:val="ListParagraph"/>
        <w:numPr>
          <w:ilvl w:val="0"/>
          <w:numId w:val="9"/>
        </w:numPr>
        <w:spacing w:before="240" w:after="240"/>
        <w:jc w:val="both"/>
        <w:rPr>
          <w:rFonts w:ascii="Arial" w:hAnsi="Arial" w:cs="Arial"/>
          <w:sz w:val="22"/>
          <w:szCs w:val="22"/>
        </w:rPr>
      </w:pPr>
      <w:r w:rsidRPr="003349A0">
        <w:rPr>
          <w:rFonts w:ascii="Arial" w:hAnsi="Arial" w:cs="Arial"/>
          <w:b/>
          <w:sz w:val="22"/>
          <w:szCs w:val="22"/>
        </w:rPr>
        <w:t>Con</w:t>
      </w:r>
      <w:r w:rsidR="00A832DA" w:rsidRPr="003349A0">
        <w:rPr>
          <w:rFonts w:ascii="Arial" w:hAnsi="Arial" w:cs="Arial"/>
          <w:b/>
          <w:sz w:val="22"/>
          <w:szCs w:val="22"/>
        </w:rPr>
        <w:t>sultancy</w:t>
      </w:r>
      <w:r w:rsidRPr="003349A0">
        <w:rPr>
          <w:rFonts w:ascii="Arial" w:hAnsi="Arial" w:cs="Arial"/>
          <w:b/>
          <w:sz w:val="22"/>
          <w:szCs w:val="22"/>
        </w:rPr>
        <w:t xml:space="preserve"> category and modality</w:t>
      </w:r>
      <w:r w:rsidR="00EB7525" w:rsidRPr="003349A0">
        <w:rPr>
          <w:rFonts w:ascii="Arial" w:hAnsi="Arial" w:cs="Arial"/>
          <w:sz w:val="22"/>
          <w:szCs w:val="22"/>
        </w:rPr>
        <w:t xml:space="preserve">: </w:t>
      </w:r>
      <w:r w:rsidRPr="003349A0">
        <w:rPr>
          <w:rFonts w:ascii="Arial" w:hAnsi="Arial" w:cs="Arial"/>
          <w:sz w:val="22"/>
          <w:szCs w:val="22"/>
        </w:rPr>
        <w:t>Products and External Services</w:t>
      </w:r>
      <w:r w:rsidR="00ED5EB0" w:rsidRPr="003349A0">
        <w:rPr>
          <w:rFonts w:ascii="Arial" w:hAnsi="Arial" w:cs="Arial"/>
          <w:sz w:val="22"/>
          <w:szCs w:val="22"/>
        </w:rPr>
        <w:t xml:space="preserve"> Contractual</w:t>
      </w:r>
      <w:r w:rsidRPr="003349A0">
        <w:rPr>
          <w:rFonts w:ascii="Arial" w:hAnsi="Arial" w:cs="Arial"/>
          <w:sz w:val="22"/>
          <w:szCs w:val="22"/>
        </w:rPr>
        <w:t>, Lump Sum</w:t>
      </w:r>
    </w:p>
    <w:p w:rsidR="00401863" w:rsidRPr="003349A0" w:rsidRDefault="007A68E2" w:rsidP="006B1C0F">
      <w:pPr>
        <w:pStyle w:val="ListParagraph"/>
        <w:numPr>
          <w:ilvl w:val="0"/>
          <w:numId w:val="9"/>
        </w:numPr>
        <w:spacing w:before="240" w:after="240"/>
        <w:jc w:val="both"/>
        <w:rPr>
          <w:rFonts w:ascii="Arial" w:hAnsi="Arial" w:cs="Arial"/>
          <w:sz w:val="22"/>
          <w:szCs w:val="22"/>
        </w:rPr>
      </w:pPr>
      <w:r w:rsidRPr="003349A0">
        <w:rPr>
          <w:rFonts w:ascii="Arial" w:hAnsi="Arial" w:cs="Arial"/>
          <w:b/>
          <w:sz w:val="22"/>
          <w:szCs w:val="22"/>
        </w:rPr>
        <w:t>Contract duration</w:t>
      </w:r>
      <w:r w:rsidR="00430D10" w:rsidRPr="003349A0">
        <w:rPr>
          <w:rFonts w:ascii="Arial" w:hAnsi="Arial" w:cs="Arial"/>
          <w:sz w:val="22"/>
          <w:szCs w:val="22"/>
        </w:rPr>
        <w:t>:</w:t>
      </w:r>
      <w:r w:rsidR="00401863" w:rsidRPr="003349A0">
        <w:rPr>
          <w:rFonts w:ascii="Arial" w:hAnsi="Arial" w:cs="Arial"/>
          <w:i/>
          <w:sz w:val="22"/>
          <w:szCs w:val="22"/>
        </w:rPr>
        <w:t xml:space="preserve"> </w:t>
      </w:r>
      <w:r w:rsidR="00D4063A" w:rsidRPr="003349A0">
        <w:rPr>
          <w:rFonts w:ascii="Arial" w:hAnsi="Arial" w:cs="Arial"/>
          <w:sz w:val="22"/>
          <w:szCs w:val="22"/>
        </w:rPr>
        <w:t>80</w:t>
      </w:r>
      <w:r w:rsidR="00401863" w:rsidRPr="003349A0">
        <w:rPr>
          <w:rFonts w:ascii="Arial" w:hAnsi="Arial" w:cs="Arial"/>
          <w:sz w:val="22"/>
          <w:szCs w:val="22"/>
        </w:rPr>
        <w:t xml:space="preserve"> </w:t>
      </w:r>
      <w:r w:rsidR="00641C17" w:rsidRPr="003349A0">
        <w:rPr>
          <w:rFonts w:ascii="Arial" w:hAnsi="Arial" w:cs="Arial"/>
          <w:sz w:val="22"/>
          <w:szCs w:val="22"/>
        </w:rPr>
        <w:t>non-</w:t>
      </w:r>
      <w:r w:rsidR="00D4063A" w:rsidRPr="003349A0">
        <w:rPr>
          <w:rFonts w:ascii="Arial" w:hAnsi="Arial" w:cs="Arial"/>
          <w:sz w:val="22"/>
          <w:szCs w:val="22"/>
        </w:rPr>
        <w:t>cont</w:t>
      </w:r>
      <w:r w:rsidR="00747DEB" w:rsidRPr="003349A0">
        <w:rPr>
          <w:rFonts w:ascii="Arial" w:hAnsi="Arial" w:cs="Arial"/>
          <w:sz w:val="22"/>
          <w:szCs w:val="22"/>
        </w:rPr>
        <w:t>i</w:t>
      </w:r>
      <w:r w:rsidR="00D4063A" w:rsidRPr="003349A0">
        <w:rPr>
          <w:rFonts w:ascii="Arial" w:hAnsi="Arial" w:cs="Arial"/>
          <w:sz w:val="22"/>
          <w:szCs w:val="22"/>
        </w:rPr>
        <w:t>nuous</w:t>
      </w:r>
      <w:r w:rsidR="00401863" w:rsidRPr="003349A0">
        <w:rPr>
          <w:rFonts w:ascii="Arial" w:hAnsi="Arial" w:cs="Arial"/>
          <w:sz w:val="22"/>
          <w:szCs w:val="22"/>
        </w:rPr>
        <w:t xml:space="preserve"> days, for a duration period of 24 months from the approval of the TC.</w:t>
      </w:r>
    </w:p>
    <w:p w:rsidR="00D4063A" w:rsidRPr="003349A0" w:rsidRDefault="007A68E2" w:rsidP="006B1C0F">
      <w:pPr>
        <w:pStyle w:val="ListParagraph"/>
        <w:numPr>
          <w:ilvl w:val="0"/>
          <w:numId w:val="9"/>
        </w:numPr>
        <w:spacing w:before="240" w:after="240"/>
        <w:jc w:val="both"/>
        <w:rPr>
          <w:rFonts w:ascii="Arial" w:hAnsi="Arial" w:cs="Arial"/>
          <w:bCs/>
          <w:i/>
          <w:sz w:val="22"/>
          <w:szCs w:val="22"/>
        </w:rPr>
      </w:pPr>
      <w:r w:rsidRPr="003349A0">
        <w:rPr>
          <w:rFonts w:ascii="Arial" w:hAnsi="Arial" w:cs="Arial"/>
          <w:b/>
          <w:sz w:val="22"/>
          <w:szCs w:val="22"/>
        </w:rPr>
        <w:t>Place(s) of work</w:t>
      </w:r>
      <w:r w:rsidR="00EB7525" w:rsidRPr="003349A0">
        <w:rPr>
          <w:rFonts w:ascii="Arial" w:hAnsi="Arial" w:cs="Arial"/>
          <w:sz w:val="22"/>
          <w:szCs w:val="22"/>
        </w:rPr>
        <w:t xml:space="preserve">: </w:t>
      </w:r>
      <w:r w:rsidR="00401863" w:rsidRPr="003349A0">
        <w:rPr>
          <w:rFonts w:ascii="Arial" w:hAnsi="Arial" w:cs="Arial"/>
          <w:sz w:val="22"/>
          <w:szCs w:val="22"/>
        </w:rPr>
        <w:t xml:space="preserve">Consultant’s city of residence. </w:t>
      </w:r>
    </w:p>
    <w:p w:rsidR="00440F69" w:rsidRPr="003349A0" w:rsidRDefault="007A68E2" w:rsidP="006B1C0F">
      <w:pPr>
        <w:pStyle w:val="ListParagraph"/>
        <w:numPr>
          <w:ilvl w:val="0"/>
          <w:numId w:val="9"/>
        </w:numPr>
        <w:spacing w:before="240" w:after="240"/>
        <w:jc w:val="both"/>
        <w:rPr>
          <w:rFonts w:ascii="Arial" w:hAnsi="Arial" w:cs="Arial"/>
          <w:bCs/>
          <w:sz w:val="22"/>
          <w:szCs w:val="22"/>
        </w:rPr>
      </w:pPr>
      <w:r w:rsidRPr="003349A0">
        <w:rPr>
          <w:rFonts w:ascii="Arial" w:hAnsi="Arial" w:cs="Arial"/>
          <w:b/>
          <w:sz w:val="22"/>
          <w:szCs w:val="22"/>
        </w:rPr>
        <w:t>Division Leader or Coordinator</w:t>
      </w:r>
      <w:r w:rsidRPr="003349A0">
        <w:rPr>
          <w:rFonts w:ascii="Arial" w:hAnsi="Arial" w:cs="Arial"/>
          <w:sz w:val="22"/>
          <w:szCs w:val="22"/>
        </w:rPr>
        <w:t xml:space="preserve">: </w:t>
      </w:r>
      <w:r w:rsidR="00401863" w:rsidRPr="003349A0">
        <w:rPr>
          <w:rFonts w:ascii="Arial" w:hAnsi="Arial" w:cs="Arial"/>
          <w:bCs/>
          <w:sz w:val="22"/>
          <w:szCs w:val="22"/>
        </w:rPr>
        <w:t>Carolina Piedrafita, Senior Housing Specialist, IFD/FMM.</w:t>
      </w:r>
    </w:p>
    <w:p w:rsidR="00337F22" w:rsidRPr="003349A0" w:rsidRDefault="00337F22" w:rsidP="006B1C0F">
      <w:pPr>
        <w:spacing w:before="240" w:after="240"/>
        <w:jc w:val="both"/>
        <w:rPr>
          <w:rFonts w:ascii="Arial" w:hAnsi="Arial" w:cs="Arial"/>
          <w:sz w:val="22"/>
          <w:szCs w:val="22"/>
        </w:rPr>
      </w:pPr>
      <w:r w:rsidRPr="003349A0">
        <w:rPr>
          <w:rFonts w:ascii="Arial" w:hAnsi="Arial" w:cs="Arial"/>
          <w:b/>
          <w:bCs/>
          <w:sz w:val="22"/>
          <w:szCs w:val="22"/>
        </w:rPr>
        <w:t>Payment and Conditions:</w:t>
      </w:r>
      <w:r w:rsidRPr="003349A0">
        <w:rPr>
          <w:rFonts w:ascii="Arial" w:hAnsi="Arial" w:cs="Arial"/>
          <w:sz w:val="22"/>
          <w:szCs w:val="22"/>
        </w:rPr>
        <w:t xml:space="preserve"> Compensation will be determined in accordance with Bank’s policies and procedures. In addition, candidates must be citizens of an IDB member country.</w:t>
      </w:r>
    </w:p>
    <w:p w:rsidR="00337F22" w:rsidRPr="003349A0" w:rsidRDefault="00337F22" w:rsidP="006B1C0F">
      <w:pPr>
        <w:spacing w:before="240" w:after="240"/>
        <w:jc w:val="both"/>
        <w:rPr>
          <w:rFonts w:ascii="Arial" w:hAnsi="Arial" w:cs="Arial"/>
          <w:strike/>
          <w:sz w:val="22"/>
          <w:szCs w:val="22"/>
        </w:rPr>
      </w:pPr>
      <w:r w:rsidRPr="003349A0">
        <w:rPr>
          <w:rFonts w:ascii="Arial" w:hAnsi="Arial" w:cs="Arial"/>
          <w:b/>
          <w:bCs/>
          <w:sz w:val="22"/>
          <w:szCs w:val="22"/>
        </w:rPr>
        <w:t>Consanguinity:</w:t>
      </w:r>
      <w:r w:rsidRPr="003349A0">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rsidR="00337F22" w:rsidRPr="003349A0" w:rsidRDefault="00337F22" w:rsidP="006B1C0F">
      <w:pPr>
        <w:spacing w:before="240" w:after="240"/>
        <w:jc w:val="both"/>
        <w:rPr>
          <w:rFonts w:ascii="Arial" w:hAnsi="Arial" w:cs="Arial"/>
          <w:sz w:val="22"/>
          <w:szCs w:val="22"/>
        </w:rPr>
      </w:pPr>
      <w:r w:rsidRPr="003349A0">
        <w:rPr>
          <w:rFonts w:ascii="Arial" w:hAnsi="Arial" w:cs="Arial"/>
          <w:b/>
          <w:bCs/>
          <w:sz w:val="22"/>
          <w:szCs w:val="22"/>
        </w:rPr>
        <w:t>Diversity:</w:t>
      </w:r>
      <w:r w:rsidRPr="003349A0">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rsidR="00A44B2E" w:rsidRPr="003349A0" w:rsidRDefault="00A44B2E" w:rsidP="006B1C0F">
      <w:pPr>
        <w:spacing w:before="240" w:after="240"/>
        <w:jc w:val="both"/>
        <w:rPr>
          <w:rFonts w:ascii="Arial" w:hAnsi="Arial" w:cs="Arial"/>
          <w:b/>
          <w:bCs/>
          <w:iCs/>
          <w:color w:val="000000"/>
          <w:sz w:val="22"/>
          <w:szCs w:val="22"/>
        </w:rPr>
      </w:pPr>
    </w:p>
    <w:sectPr w:rsidR="00A44B2E" w:rsidRPr="003349A0" w:rsidSect="006B1C0F">
      <w:headerReference w:type="even" r:id="rId12"/>
      <w:headerReference w:type="default" r:id="rId13"/>
      <w:pgSz w:w="12240" w:h="15840"/>
      <w:pgMar w:top="1440" w:right="1800" w:bottom="1440" w:left="1800" w:header="720" w:footer="20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E7D" w:rsidRDefault="00BB0E7D">
      <w:r>
        <w:separator/>
      </w:r>
    </w:p>
  </w:endnote>
  <w:endnote w:type="continuationSeparator" w:id="0">
    <w:p w:rsidR="00BB0E7D" w:rsidRDefault="00BB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E7D" w:rsidRDefault="00BB0E7D">
      <w:r>
        <w:separator/>
      </w:r>
    </w:p>
  </w:footnote>
  <w:footnote w:type="continuationSeparator" w:id="0">
    <w:p w:rsidR="00BB0E7D" w:rsidRDefault="00BB0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EB" w:rsidRDefault="00747DEB" w:rsidP="00747DEB">
    <w:pPr>
      <w:pStyle w:val="Header"/>
      <w:rPr>
        <w:rFonts w:ascii="Arial" w:hAnsi="Arial" w:cs="Arial"/>
        <w:sz w:val="18"/>
        <w:szCs w:val="18"/>
      </w:rPr>
    </w:pPr>
    <w:r>
      <w:rPr>
        <w:rFonts w:ascii="Arial" w:hAnsi="Arial" w:cs="Arial"/>
        <w:sz w:val="18"/>
        <w:szCs w:val="18"/>
      </w:rPr>
      <w:t>Annex I – RG-T2594</w:t>
    </w:r>
  </w:p>
  <w:p w:rsidR="004E74AA" w:rsidRPr="004E74AA" w:rsidRDefault="006B1C0F" w:rsidP="004E74AA">
    <w:pPr>
      <w:pStyle w:val="Header"/>
      <w:rPr>
        <w:rFonts w:ascii="Arial" w:hAnsi="Arial" w:cs="Arial"/>
        <w:sz w:val="18"/>
        <w:szCs w:val="18"/>
      </w:rPr>
    </w:pPr>
    <w:sdt>
      <w:sdtPr>
        <w:rPr>
          <w:rFonts w:ascii="Arial" w:hAnsi="Arial" w:cs="Arial"/>
          <w:sz w:val="18"/>
          <w:szCs w:val="18"/>
        </w:rPr>
        <w:id w:val="-315796710"/>
        <w:docPartObj>
          <w:docPartGallery w:val="Page Numbers (Top of Page)"/>
          <w:docPartUnique/>
        </w:docPartObj>
      </w:sdtPr>
      <w:sdtEndPr/>
      <w:sdtContent>
        <w:r w:rsidR="004E74AA" w:rsidRPr="004E74AA">
          <w:rPr>
            <w:rFonts w:ascii="Arial" w:hAnsi="Arial" w:cs="Arial"/>
            <w:sz w:val="18"/>
            <w:szCs w:val="18"/>
          </w:rPr>
          <w:t xml:space="preserve">Page </w:t>
        </w:r>
        <w:r w:rsidR="004E74AA" w:rsidRPr="004E74AA">
          <w:rPr>
            <w:rFonts w:ascii="Arial" w:hAnsi="Arial" w:cs="Arial"/>
            <w:bCs/>
            <w:sz w:val="18"/>
            <w:szCs w:val="18"/>
          </w:rPr>
          <w:fldChar w:fldCharType="begin"/>
        </w:r>
        <w:r w:rsidR="004E74AA" w:rsidRPr="004E74AA">
          <w:rPr>
            <w:rFonts w:ascii="Arial" w:hAnsi="Arial" w:cs="Arial"/>
            <w:bCs/>
            <w:sz w:val="18"/>
            <w:szCs w:val="18"/>
          </w:rPr>
          <w:instrText xml:space="preserve"> PAGE </w:instrText>
        </w:r>
        <w:r w:rsidR="004E74AA" w:rsidRPr="004E74AA">
          <w:rPr>
            <w:rFonts w:ascii="Arial" w:hAnsi="Arial" w:cs="Arial"/>
            <w:bCs/>
            <w:sz w:val="18"/>
            <w:szCs w:val="18"/>
          </w:rPr>
          <w:fldChar w:fldCharType="separate"/>
        </w:r>
        <w:r>
          <w:rPr>
            <w:rFonts w:ascii="Arial" w:hAnsi="Arial" w:cs="Arial"/>
            <w:bCs/>
            <w:noProof/>
            <w:sz w:val="18"/>
            <w:szCs w:val="18"/>
          </w:rPr>
          <w:t>4</w:t>
        </w:r>
        <w:r w:rsidR="004E74AA" w:rsidRPr="004E74AA">
          <w:rPr>
            <w:rFonts w:ascii="Arial" w:hAnsi="Arial" w:cs="Arial"/>
            <w:bCs/>
            <w:sz w:val="18"/>
            <w:szCs w:val="18"/>
          </w:rPr>
          <w:fldChar w:fldCharType="end"/>
        </w:r>
        <w:r w:rsidR="004E74AA" w:rsidRPr="004E74AA">
          <w:rPr>
            <w:rFonts w:ascii="Arial" w:hAnsi="Arial" w:cs="Arial"/>
            <w:sz w:val="18"/>
            <w:szCs w:val="18"/>
          </w:rPr>
          <w:t xml:space="preserve"> of </w:t>
        </w:r>
        <w:r w:rsidR="004E74AA" w:rsidRPr="004E74AA">
          <w:rPr>
            <w:rFonts w:ascii="Arial" w:hAnsi="Arial" w:cs="Arial"/>
            <w:bCs/>
            <w:sz w:val="18"/>
            <w:szCs w:val="18"/>
          </w:rPr>
          <w:fldChar w:fldCharType="begin"/>
        </w:r>
        <w:r w:rsidR="004E74AA" w:rsidRPr="004E74AA">
          <w:rPr>
            <w:rFonts w:ascii="Arial" w:hAnsi="Arial" w:cs="Arial"/>
            <w:bCs/>
            <w:sz w:val="18"/>
            <w:szCs w:val="18"/>
          </w:rPr>
          <w:instrText xml:space="preserve"> NUMPAGES  </w:instrText>
        </w:r>
        <w:r w:rsidR="004E74AA" w:rsidRPr="004E74AA">
          <w:rPr>
            <w:rFonts w:ascii="Arial" w:hAnsi="Arial" w:cs="Arial"/>
            <w:bCs/>
            <w:sz w:val="18"/>
            <w:szCs w:val="18"/>
          </w:rPr>
          <w:fldChar w:fldCharType="separate"/>
        </w:r>
        <w:r>
          <w:rPr>
            <w:rFonts w:ascii="Arial" w:hAnsi="Arial" w:cs="Arial"/>
            <w:bCs/>
            <w:noProof/>
            <w:sz w:val="18"/>
            <w:szCs w:val="18"/>
          </w:rPr>
          <w:t>5</w:t>
        </w:r>
        <w:r w:rsidR="004E74AA" w:rsidRPr="004E74AA">
          <w:rPr>
            <w:rFonts w:ascii="Arial" w:hAnsi="Arial" w:cs="Arial"/>
            <w:bCs/>
            <w:sz w:val="18"/>
            <w:szCs w:val="18"/>
          </w:rPr>
          <w:fldChar w:fldCharType="end"/>
        </w:r>
      </w:sdtContent>
    </w:sdt>
  </w:p>
  <w:p w:rsidR="004E74AA" w:rsidRDefault="004E74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EB" w:rsidRDefault="00747DEB">
    <w:pPr>
      <w:pStyle w:val="Header"/>
      <w:jc w:val="right"/>
      <w:rPr>
        <w:rFonts w:ascii="Arial" w:hAnsi="Arial" w:cs="Arial"/>
        <w:sz w:val="18"/>
        <w:szCs w:val="18"/>
      </w:rPr>
    </w:pPr>
    <w:r>
      <w:rPr>
        <w:rFonts w:ascii="Arial" w:hAnsi="Arial" w:cs="Arial"/>
        <w:sz w:val="18"/>
        <w:szCs w:val="18"/>
      </w:rPr>
      <w:t>Annex I – RG-T2594</w:t>
    </w:r>
  </w:p>
  <w:p w:rsidR="004E74AA" w:rsidRPr="004E74AA" w:rsidRDefault="006B1C0F">
    <w:pPr>
      <w:pStyle w:val="Header"/>
      <w:jc w:val="right"/>
      <w:rPr>
        <w:rFonts w:ascii="Arial" w:hAnsi="Arial" w:cs="Arial"/>
        <w:sz w:val="18"/>
        <w:szCs w:val="18"/>
      </w:rPr>
    </w:pPr>
    <w:sdt>
      <w:sdtPr>
        <w:rPr>
          <w:rFonts w:ascii="Arial" w:hAnsi="Arial" w:cs="Arial"/>
          <w:sz w:val="18"/>
          <w:szCs w:val="18"/>
        </w:rPr>
        <w:id w:val="1477648756"/>
        <w:docPartObj>
          <w:docPartGallery w:val="Page Numbers (Top of Page)"/>
          <w:docPartUnique/>
        </w:docPartObj>
      </w:sdtPr>
      <w:sdtEndPr/>
      <w:sdtContent>
        <w:r w:rsidR="004E74AA" w:rsidRPr="004E74AA">
          <w:rPr>
            <w:rFonts w:ascii="Arial" w:hAnsi="Arial" w:cs="Arial"/>
            <w:sz w:val="18"/>
            <w:szCs w:val="18"/>
          </w:rPr>
          <w:t xml:space="preserve">Page </w:t>
        </w:r>
        <w:r w:rsidR="004E74AA" w:rsidRPr="004E74AA">
          <w:rPr>
            <w:rFonts w:ascii="Arial" w:hAnsi="Arial" w:cs="Arial"/>
            <w:bCs/>
            <w:sz w:val="18"/>
            <w:szCs w:val="18"/>
          </w:rPr>
          <w:fldChar w:fldCharType="begin"/>
        </w:r>
        <w:r w:rsidR="004E74AA" w:rsidRPr="004E74AA">
          <w:rPr>
            <w:rFonts w:ascii="Arial" w:hAnsi="Arial" w:cs="Arial"/>
            <w:bCs/>
            <w:sz w:val="18"/>
            <w:szCs w:val="18"/>
          </w:rPr>
          <w:instrText xml:space="preserve"> PAGE </w:instrText>
        </w:r>
        <w:r w:rsidR="004E74AA" w:rsidRPr="004E74AA">
          <w:rPr>
            <w:rFonts w:ascii="Arial" w:hAnsi="Arial" w:cs="Arial"/>
            <w:bCs/>
            <w:sz w:val="18"/>
            <w:szCs w:val="18"/>
          </w:rPr>
          <w:fldChar w:fldCharType="separate"/>
        </w:r>
        <w:r>
          <w:rPr>
            <w:rFonts w:ascii="Arial" w:hAnsi="Arial" w:cs="Arial"/>
            <w:bCs/>
            <w:noProof/>
            <w:sz w:val="18"/>
            <w:szCs w:val="18"/>
          </w:rPr>
          <w:t>1</w:t>
        </w:r>
        <w:r w:rsidR="004E74AA" w:rsidRPr="004E74AA">
          <w:rPr>
            <w:rFonts w:ascii="Arial" w:hAnsi="Arial" w:cs="Arial"/>
            <w:bCs/>
            <w:sz w:val="18"/>
            <w:szCs w:val="18"/>
          </w:rPr>
          <w:fldChar w:fldCharType="end"/>
        </w:r>
        <w:r w:rsidR="004E74AA" w:rsidRPr="004E74AA">
          <w:rPr>
            <w:rFonts w:ascii="Arial" w:hAnsi="Arial" w:cs="Arial"/>
            <w:sz w:val="18"/>
            <w:szCs w:val="18"/>
          </w:rPr>
          <w:t xml:space="preserve"> of </w:t>
        </w:r>
        <w:r w:rsidR="004E74AA" w:rsidRPr="004E74AA">
          <w:rPr>
            <w:rFonts w:ascii="Arial" w:hAnsi="Arial" w:cs="Arial"/>
            <w:bCs/>
            <w:sz w:val="18"/>
            <w:szCs w:val="18"/>
          </w:rPr>
          <w:fldChar w:fldCharType="begin"/>
        </w:r>
        <w:r w:rsidR="004E74AA" w:rsidRPr="004E74AA">
          <w:rPr>
            <w:rFonts w:ascii="Arial" w:hAnsi="Arial" w:cs="Arial"/>
            <w:bCs/>
            <w:sz w:val="18"/>
            <w:szCs w:val="18"/>
          </w:rPr>
          <w:instrText xml:space="preserve"> NUMPAGES  </w:instrText>
        </w:r>
        <w:r w:rsidR="004E74AA" w:rsidRPr="004E74AA">
          <w:rPr>
            <w:rFonts w:ascii="Arial" w:hAnsi="Arial" w:cs="Arial"/>
            <w:bCs/>
            <w:sz w:val="18"/>
            <w:szCs w:val="18"/>
          </w:rPr>
          <w:fldChar w:fldCharType="separate"/>
        </w:r>
        <w:r>
          <w:rPr>
            <w:rFonts w:ascii="Arial" w:hAnsi="Arial" w:cs="Arial"/>
            <w:bCs/>
            <w:noProof/>
            <w:sz w:val="18"/>
            <w:szCs w:val="18"/>
          </w:rPr>
          <w:t>5</w:t>
        </w:r>
        <w:r w:rsidR="004E74AA" w:rsidRPr="004E74AA">
          <w:rPr>
            <w:rFonts w:ascii="Arial" w:hAnsi="Arial" w:cs="Arial"/>
            <w:bCs/>
            <w:sz w:val="18"/>
            <w:szCs w:val="18"/>
          </w:rPr>
          <w:fldChar w:fldCharType="end"/>
        </w:r>
      </w:sdtContent>
    </w:sdt>
  </w:p>
  <w:p w:rsidR="00BB0E7D" w:rsidRPr="004E74AA" w:rsidRDefault="00BB0E7D" w:rsidP="004E74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B8D442E"/>
    <w:multiLevelType w:val="hybridMultilevel"/>
    <w:tmpl w:val="D9CCE216"/>
    <w:lvl w:ilvl="0" w:tplc="04090001">
      <w:start w:val="1"/>
      <w:numFmt w:val="bullet"/>
      <w:lvlText w:val=""/>
      <w:lvlJc w:val="left"/>
      <w:pPr>
        <w:ind w:left="1170" w:hanging="720"/>
      </w:pPr>
      <w:rPr>
        <w:rFonts w:ascii="Symbol" w:hAnsi="Symbo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2CF3E51"/>
    <w:multiLevelType w:val="hybridMultilevel"/>
    <w:tmpl w:val="E0D0446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14034"/>
    <w:multiLevelType w:val="hybridMultilevel"/>
    <w:tmpl w:val="4AC85A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D61909"/>
    <w:multiLevelType w:val="hybridMultilevel"/>
    <w:tmpl w:val="FD4AB3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1D863A1"/>
    <w:multiLevelType w:val="multilevel"/>
    <w:tmpl w:val="E0C69FD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3C46055F"/>
    <w:multiLevelType w:val="hybridMultilevel"/>
    <w:tmpl w:val="3E8832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4DAB62E6"/>
    <w:multiLevelType w:val="hybridMultilevel"/>
    <w:tmpl w:val="056A1C0E"/>
    <w:lvl w:ilvl="0" w:tplc="61EAE49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617A541E"/>
    <w:multiLevelType w:val="hybridMultilevel"/>
    <w:tmpl w:val="7D46813C"/>
    <w:lvl w:ilvl="0" w:tplc="4544B968">
      <w:start w:val="1"/>
      <w:numFmt w:val="lowerRoman"/>
      <w:lvlText w:val="(%1)"/>
      <w:lvlJc w:val="left"/>
      <w:pPr>
        <w:ind w:left="1080" w:hanging="7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7"/>
  </w:num>
  <w:num w:numId="4">
    <w:abstractNumId w:val="14"/>
  </w:num>
  <w:num w:numId="5">
    <w:abstractNumId w:val="9"/>
  </w:num>
  <w:num w:numId="6">
    <w:abstractNumId w:val="2"/>
  </w:num>
  <w:num w:numId="7">
    <w:abstractNumId w:val="0"/>
  </w:num>
  <w:num w:numId="8">
    <w:abstractNumId w:val="8"/>
  </w:num>
  <w:num w:numId="9">
    <w:abstractNumId w:val="16"/>
  </w:num>
  <w:num w:numId="10">
    <w:abstractNumId w:val="10"/>
  </w:num>
  <w:num w:numId="11">
    <w:abstractNumId w:val="11"/>
  </w:num>
  <w:num w:numId="12">
    <w:abstractNumId w:val="15"/>
  </w:num>
  <w:num w:numId="13">
    <w:abstractNumId w:val="13"/>
  </w:num>
  <w:num w:numId="14">
    <w:abstractNumId w:val="1"/>
  </w:num>
  <w:num w:numId="15">
    <w:abstractNumId w:val="5"/>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09A"/>
    <w:rsid w:val="0000336D"/>
    <w:rsid w:val="00004F27"/>
    <w:rsid w:val="00014067"/>
    <w:rsid w:val="00021225"/>
    <w:rsid w:val="000215DB"/>
    <w:rsid w:val="000466FE"/>
    <w:rsid w:val="000764C0"/>
    <w:rsid w:val="00082DE7"/>
    <w:rsid w:val="00086701"/>
    <w:rsid w:val="000A13F8"/>
    <w:rsid w:val="00166191"/>
    <w:rsid w:val="00173297"/>
    <w:rsid w:val="001A0B27"/>
    <w:rsid w:val="001D0267"/>
    <w:rsid w:val="001E6EF5"/>
    <w:rsid w:val="00202CC0"/>
    <w:rsid w:val="00226385"/>
    <w:rsid w:val="00235CC5"/>
    <w:rsid w:val="00253D5A"/>
    <w:rsid w:val="00263584"/>
    <w:rsid w:val="00284D13"/>
    <w:rsid w:val="002B411D"/>
    <w:rsid w:val="002D02B6"/>
    <w:rsid w:val="002F1096"/>
    <w:rsid w:val="003349A0"/>
    <w:rsid w:val="00337F22"/>
    <w:rsid w:val="0036557D"/>
    <w:rsid w:val="00381358"/>
    <w:rsid w:val="00387C6A"/>
    <w:rsid w:val="00396B29"/>
    <w:rsid w:val="003C1E70"/>
    <w:rsid w:val="003C6E41"/>
    <w:rsid w:val="00401863"/>
    <w:rsid w:val="00414E38"/>
    <w:rsid w:val="00430D10"/>
    <w:rsid w:val="00440F69"/>
    <w:rsid w:val="00452A7C"/>
    <w:rsid w:val="004578E6"/>
    <w:rsid w:val="00481545"/>
    <w:rsid w:val="004E74AA"/>
    <w:rsid w:val="004F2393"/>
    <w:rsid w:val="00506B31"/>
    <w:rsid w:val="005907C2"/>
    <w:rsid w:val="005B7F25"/>
    <w:rsid w:val="005D606D"/>
    <w:rsid w:val="00605257"/>
    <w:rsid w:val="00620D13"/>
    <w:rsid w:val="00621CA7"/>
    <w:rsid w:val="00641C17"/>
    <w:rsid w:val="006B1C0F"/>
    <w:rsid w:val="00702F04"/>
    <w:rsid w:val="00747DEB"/>
    <w:rsid w:val="00752A29"/>
    <w:rsid w:val="007A68E2"/>
    <w:rsid w:val="007B4F37"/>
    <w:rsid w:val="007D7B6B"/>
    <w:rsid w:val="007F1596"/>
    <w:rsid w:val="0080549B"/>
    <w:rsid w:val="00861EA7"/>
    <w:rsid w:val="00864FA2"/>
    <w:rsid w:val="0087491E"/>
    <w:rsid w:val="008F5BBF"/>
    <w:rsid w:val="00930FFF"/>
    <w:rsid w:val="00937510"/>
    <w:rsid w:val="00993F1D"/>
    <w:rsid w:val="009B60FE"/>
    <w:rsid w:val="009E049C"/>
    <w:rsid w:val="009E3A88"/>
    <w:rsid w:val="00A03A43"/>
    <w:rsid w:val="00A066FE"/>
    <w:rsid w:val="00A26D1A"/>
    <w:rsid w:val="00A44B2E"/>
    <w:rsid w:val="00A45170"/>
    <w:rsid w:val="00A832DA"/>
    <w:rsid w:val="00A94A9B"/>
    <w:rsid w:val="00AC6FD5"/>
    <w:rsid w:val="00AE2777"/>
    <w:rsid w:val="00AE2BDA"/>
    <w:rsid w:val="00B0449F"/>
    <w:rsid w:val="00B10C07"/>
    <w:rsid w:val="00B61CDD"/>
    <w:rsid w:val="00BA5AEC"/>
    <w:rsid w:val="00BB0E7D"/>
    <w:rsid w:val="00BB757C"/>
    <w:rsid w:val="00C12D14"/>
    <w:rsid w:val="00C16958"/>
    <w:rsid w:val="00C21F73"/>
    <w:rsid w:val="00CA6BB8"/>
    <w:rsid w:val="00D002F6"/>
    <w:rsid w:val="00D105C8"/>
    <w:rsid w:val="00D4063A"/>
    <w:rsid w:val="00D4452D"/>
    <w:rsid w:val="00D66C79"/>
    <w:rsid w:val="00D956AD"/>
    <w:rsid w:val="00DA222A"/>
    <w:rsid w:val="00DB460D"/>
    <w:rsid w:val="00DD437E"/>
    <w:rsid w:val="00DE1B23"/>
    <w:rsid w:val="00DF4CD8"/>
    <w:rsid w:val="00E357B9"/>
    <w:rsid w:val="00E36B37"/>
    <w:rsid w:val="00E401F8"/>
    <w:rsid w:val="00E50ED9"/>
    <w:rsid w:val="00EB5F2B"/>
    <w:rsid w:val="00EB7525"/>
    <w:rsid w:val="00ED5EB0"/>
    <w:rsid w:val="00EF7082"/>
    <w:rsid w:val="00F35F75"/>
    <w:rsid w:val="00F9476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er" w:uiPriority="99"/>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u w:val="single"/>
    </w:rPr>
  </w:style>
  <w:style w:type="paragraph" w:styleId="Heading2">
    <w:name w:val="heading 2"/>
    <w:basedOn w:val="Normal"/>
    <w:next w:val="Normal"/>
    <w:qFormat/>
    <w:rsid w:val="00AC6FD5"/>
    <w:pPr>
      <w:keepNext/>
      <w:jc w:val="center"/>
      <w:outlineLvl w:val="1"/>
    </w:pPr>
    <w:rPr>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lang w:val="es-ES"/>
    </w:rPr>
  </w:style>
  <w:style w:type="paragraph" w:styleId="BodyText">
    <w:name w:val="Body Text"/>
    <w:basedOn w:val="Normal"/>
    <w:semiHidden/>
    <w:rsid w:val="00AC6FD5"/>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Paragraph">
    <w:name w:val="Paragraph"/>
    <w:basedOn w:val="BodyTextIndent"/>
    <w:link w:val="ParagraphChar"/>
    <w:rsid w:val="001E6EF5"/>
    <w:pPr>
      <w:numPr>
        <w:ilvl w:val="1"/>
        <w:numId w:val="10"/>
      </w:numPr>
      <w:spacing w:before="120" w:after="120"/>
      <w:jc w:val="both"/>
      <w:outlineLvl w:val="1"/>
    </w:pPr>
    <w:rPr>
      <w:i w:val="0"/>
      <w:iCs w:val="0"/>
      <w:lang w:val="en-US"/>
    </w:rPr>
  </w:style>
  <w:style w:type="character" w:customStyle="1" w:styleId="ParagraphChar">
    <w:name w:val="Paragraph Char"/>
    <w:basedOn w:val="DefaultParagraphFont"/>
    <w:link w:val="Paragraph"/>
    <w:rsid w:val="001E6EF5"/>
    <w:rPr>
      <w:sz w:val="24"/>
    </w:rPr>
  </w:style>
  <w:style w:type="paragraph" w:customStyle="1" w:styleId="Chapter">
    <w:name w:val="Chapter"/>
    <w:basedOn w:val="Normal"/>
    <w:next w:val="Normal"/>
    <w:rsid w:val="001E6EF5"/>
    <w:pPr>
      <w:keepNext/>
      <w:numPr>
        <w:numId w:val="10"/>
      </w:numPr>
      <w:tabs>
        <w:tab w:val="clear" w:pos="1800"/>
        <w:tab w:val="num" w:pos="648"/>
        <w:tab w:val="left" w:pos="1440"/>
      </w:tabs>
      <w:spacing w:before="240" w:after="240"/>
      <w:ind w:left="0"/>
      <w:jc w:val="center"/>
    </w:pPr>
    <w:rPr>
      <w:rFonts w:eastAsia="Calibri"/>
      <w:b/>
      <w:smallCaps/>
    </w:rPr>
  </w:style>
  <w:style w:type="paragraph" w:styleId="FootnoteText">
    <w:name w:val="footnote text"/>
    <w:basedOn w:val="Normal"/>
    <w:link w:val="FootnoteTextChar"/>
    <w:uiPriority w:val="99"/>
    <w:unhideWhenUsed/>
    <w:rsid w:val="001E6EF5"/>
    <w:pPr>
      <w:keepNext/>
      <w:keepLines/>
      <w:spacing w:after="120"/>
      <w:ind w:left="288" w:hanging="288"/>
      <w:jc w:val="both"/>
    </w:pPr>
    <w:rPr>
      <w:rFonts w:eastAsia="Calibri"/>
      <w:spacing w:val="-3"/>
    </w:rPr>
  </w:style>
  <w:style w:type="character" w:customStyle="1" w:styleId="FootnoteTextChar">
    <w:name w:val="Footnote Text Char"/>
    <w:basedOn w:val="DefaultParagraphFont"/>
    <w:link w:val="FootnoteText"/>
    <w:uiPriority w:val="99"/>
    <w:rsid w:val="001E6EF5"/>
    <w:rPr>
      <w:rFonts w:eastAsia="Calibri"/>
      <w:spacing w:val="-3"/>
    </w:rPr>
  </w:style>
  <w:style w:type="character" w:styleId="FootnoteReference">
    <w:name w:val="footnote reference"/>
    <w:basedOn w:val="DefaultParagraphFont"/>
    <w:uiPriority w:val="99"/>
    <w:unhideWhenUsed/>
    <w:rsid w:val="001E6EF5"/>
    <w:rPr>
      <w:vertAlign w:val="superscript"/>
    </w:rPr>
  </w:style>
  <w:style w:type="paragraph" w:customStyle="1" w:styleId="subpar">
    <w:name w:val="subpar"/>
    <w:basedOn w:val="BodyTextIndent3"/>
    <w:rsid w:val="001E6EF5"/>
    <w:pPr>
      <w:numPr>
        <w:ilvl w:val="2"/>
        <w:numId w:val="10"/>
      </w:numPr>
      <w:spacing w:before="120"/>
      <w:jc w:val="both"/>
      <w:outlineLvl w:val="2"/>
    </w:pPr>
    <w:rPr>
      <w:rFonts w:eastAsia="Calibri"/>
      <w:sz w:val="24"/>
      <w:szCs w:val="24"/>
    </w:rPr>
  </w:style>
  <w:style w:type="paragraph" w:customStyle="1" w:styleId="SubSubPar">
    <w:name w:val="SubSubPar"/>
    <w:basedOn w:val="subpar"/>
    <w:rsid w:val="001E6EF5"/>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1E6EF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6EF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er" w:uiPriority="99"/>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u w:val="single"/>
    </w:rPr>
  </w:style>
  <w:style w:type="paragraph" w:styleId="Heading2">
    <w:name w:val="heading 2"/>
    <w:basedOn w:val="Normal"/>
    <w:next w:val="Normal"/>
    <w:qFormat/>
    <w:rsid w:val="00AC6FD5"/>
    <w:pPr>
      <w:keepNext/>
      <w:jc w:val="center"/>
      <w:outlineLvl w:val="1"/>
    </w:pPr>
    <w:rPr>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lang w:val="es-ES"/>
    </w:rPr>
  </w:style>
  <w:style w:type="paragraph" w:styleId="BodyText">
    <w:name w:val="Body Text"/>
    <w:basedOn w:val="Normal"/>
    <w:semiHidden/>
    <w:rsid w:val="00AC6FD5"/>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Paragraph">
    <w:name w:val="Paragraph"/>
    <w:basedOn w:val="BodyTextIndent"/>
    <w:link w:val="ParagraphChar"/>
    <w:rsid w:val="001E6EF5"/>
    <w:pPr>
      <w:numPr>
        <w:ilvl w:val="1"/>
        <w:numId w:val="10"/>
      </w:numPr>
      <w:spacing w:before="120" w:after="120"/>
      <w:jc w:val="both"/>
      <w:outlineLvl w:val="1"/>
    </w:pPr>
    <w:rPr>
      <w:i w:val="0"/>
      <w:iCs w:val="0"/>
      <w:lang w:val="en-US"/>
    </w:rPr>
  </w:style>
  <w:style w:type="character" w:customStyle="1" w:styleId="ParagraphChar">
    <w:name w:val="Paragraph Char"/>
    <w:basedOn w:val="DefaultParagraphFont"/>
    <w:link w:val="Paragraph"/>
    <w:rsid w:val="001E6EF5"/>
    <w:rPr>
      <w:sz w:val="24"/>
    </w:rPr>
  </w:style>
  <w:style w:type="paragraph" w:customStyle="1" w:styleId="Chapter">
    <w:name w:val="Chapter"/>
    <w:basedOn w:val="Normal"/>
    <w:next w:val="Normal"/>
    <w:rsid w:val="001E6EF5"/>
    <w:pPr>
      <w:keepNext/>
      <w:numPr>
        <w:numId w:val="10"/>
      </w:numPr>
      <w:tabs>
        <w:tab w:val="clear" w:pos="1800"/>
        <w:tab w:val="num" w:pos="648"/>
        <w:tab w:val="left" w:pos="1440"/>
      </w:tabs>
      <w:spacing w:before="240" w:after="240"/>
      <w:ind w:left="0"/>
      <w:jc w:val="center"/>
    </w:pPr>
    <w:rPr>
      <w:rFonts w:eastAsia="Calibri"/>
      <w:b/>
      <w:smallCaps/>
    </w:rPr>
  </w:style>
  <w:style w:type="paragraph" w:styleId="FootnoteText">
    <w:name w:val="footnote text"/>
    <w:basedOn w:val="Normal"/>
    <w:link w:val="FootnoteTextChar"/>
    <w:uiPriority w:val="99"/>
    <w:unhideWhenUsed/>
    <w:rsid w:val="001E6EF5"/>
    <w:pPr>
      <w:keepNext/>
      <w:keepLines/>
      <w:spacing w:after="120"/>
      <w:ind w:left="288" w:hanging="288"/>
      <w:jc w:val="both"/>
    </w:pPr>
    <w:rPr>
      <w:rFonts w:eastAsia="Calibri"/>
      <w:spacing w:val="-3"/>
    </w:rPr>
  </w:style>
  <w:style w:type="character" w:customStyle="1" w:styleId="FootnoteTextChar">
    <w:name w:val="Footnote Text Char"/>
    <w:basedOn w:val="DefaultParagraphFont"/>
    <w:link w:val="FootnoteText"/>
    <w:uiPriority w:val="99"/>
    <w:rsid w:val="001E6EF5"/>
    <w:rPr>
      <w:rFonts w:eastAsia="Calibri"/>
      <w:spacing w:val="-3"/>
    </w:rPr>
  </w:style>
  <w:style w:type="character" w:styleId="FootnoteReference">
    <w:name w:val="footnote reference"/>
    <w:basedOn w:val="DefaultParagraphFont"/>
    <w:uiPriority w:val="99"/>
    <w:unhideWhenUsed/>
    <w:rsid w:val="001E6EF5"/>
    <w:rPr>
      <w:vertAlign w:val="superscript"/>
    </w:rPr>
  </w:style>
  <w:style w:type="paragraph" w:customStyle="1" w:styleId="subpar">
    <w:name w:val="subpar"/>
    <w:basedOn w:val="BodyTextIndent3"/>
    <w:rsid w:val="001E6EF5"/>
    <w:pPr>
      <w:numPr>
        <w:ilvl w:val="2"/>
        <w:numId w:val="10"/>
      </w:numPr>
      <w:spacing w:before="120"/>
      <w:jc w:val="both"/>
      <w:outlineLvl w:val="2"/>
    </w:pPr>
    <w:rPr>
      <w:rFonts w:eastAsia="Calibri"/>
      <w:sz w:val="24"/>
      <w:szCs w:val="24"/>
    </w:rPr>
  </w:style>
  <w:style w:type="paragraph" w:customStyle="1" w:styleId="SubSubPar">
    <w:name w:val="SubSubPar"/>
    <w:basedOn w:val="subpar"/>
    <w:rsid w:val="001E6EF5"/>
    <w:pPr>
      <w:numPr>
        <w:ilvl w:val="3"/>
      </w:numPr>
      <w:tabs>
        <w:tab w:val="clear" w:pos="2736"/>
        <w:tab w:val="left" w:pos="0"/>
        <w:tab w:val="num" w:pos="1296"/>
      </w:tabs>
      <w:ind w:left="1296"/>
    </w:pPr>
  </w:style>
  <w:style w:type="paragraph" w:styleId="BodyTextIndent3">
    <w:name w:val="Body Text Indent 3"/>
    <w:basedOn w:val="Normal"/>
    <w:link w:val="BodyTextIndent3Char"/>
    <w:uiPriority w:val="99"/>
    <w:semiHidden/>
    <w:unhideWhenUsed/>
    <w:rsid w:val="001E6EF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6EF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7.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1" Type="http://schemas.openxmlformats.org/officeDocument/2006/relationships/endnotes" Target="endnotes.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39765683</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ATN/FI-15155-RG</Approval_x0020_Number>
    <Document_x0020_Author xmlns="cdc7663a-08f0-4737-9e8c-148ce897a09c">Piedrafita, Carolina Marcela</Document_x0020_Author>
    <Fiscal_x0020_Year_x0020_IDB xmlns="cdc7663a-08f0-4737-9e8c-148ce897a09c">2015</Fiscal_x0020_Year_x0020_IDB>
    <Other_x0020_Author xmlns="cdc7663a-08f0-4737-9e8c-148ce897a09c" xsi:nil="true"/>
    <Project_x0020_Number xmlns="cdc7663a-08f0-4737-9e8c-148ce897a09c">RG-T2594</Project_x0020_Number>
    <Package_x0020_Code xmlns="cdc7663a-08f0-4737-9e8c-148ce897a09c" xsi:nil="true"/>
    <Key_x0020_Document xmlns="cdc7663a-08f0-4737-9e8c-148ce897a09c">false</Key_x0020_Document>
    <Migration_x0020_Info xmlns="cdc7663a-08f0-4737-9e8c-148ce897a09c">MS WORDTC-ANNEXTC Annex for OS operations0N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EZSHARE-9247437-19</_dlc_DocId>
    <From_x003a_ xmlns="cdc7663a-08f0-4737-9e8c-148ce897a09c" xsi:nil="true"/>
    <To_x003a_ xmlns="cdc7663a-08f0-4737-9e8c-148ce897a09c" xsi:nil="true"/>
    <_dlc_DocIdUrl xmlns="cdc7663a-08f0-4737-9e8c-148ce897a09c">
      <Url>https://idbg.sharepoint.com/teams/EZ-RG-TCP/RG-T2594/_layouts/15/DocIdRedir.aspx?ID=EZSHARE-9247437-19</Url>
      <Description>EZSHARE-9247437-19</Description>
    </_dlc_DocIdUrl>
    <Related_x0020_SisCor_x0020_Number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14B2AFD37AFDED429224FA4E9A0B99C0" ma:contentTypeVersion="2086" ma:contentTypeDescription="The base project type from which other project content types inherit their information." ma:contentTypeScope="" ma:versionID="7acfd1fcd202d3daee771984163d0fef">
  <xsd:schema xmlns:xsd="http://www.w3.org/2001/XMLSchema" xmlns:xs="http://www.w3.org/2001/XMLSchema" xmlns:p="http://schemas.microsoft.com/office/2006/metadata/properties" xmlns:ns2="cdc7663a-08f0-4737-9e8c-148ce897a09c" targetNamespace="http://schemas.microsoft.com/office/2006/metadata/properties" ma:root="true" ma:fieldsID="d38329e2613cbbe42f2c8b803dc356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59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DDB531E-D19F-4461-AE56-3831D6DE0A87}"/>
</file>

<file path=customXml/itemProps2.xml><?xml version="1.0" encoding="utf-8"?>
<ds:datastoreItem xmlns:ds="http://schemas.openxmlformats.org/officeDocument/2006/customXml" ds:itemID="{6EC05D2B-9081-4399-A5F4-C6031609F306}"/>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766730E3-E881-43CB-B6A3-2E1E9D3B3A2D}"/>
</file>

<file path=customXml/itemProps5.xml><?xml version="1.0" encoding="utf-8"?>
<ds:datastoreItem xmlns:ds="http://schemas.openxmlformats.org/officeDocument/2006/customXml" ds:itemID="{36090338-DB5F-439B-B26C-C97F605C758A}"/>
</file>

<file path=customXml/itemProps6.xml><?xml version="1.0" encoding="utf-8"?>
<ds:datastoreItem xmlns:ds="http://schemas.openxmlformats.org/officeDocument/2006/customXml" ds:itemID="{69CA715C-592A-494E-9B89-2C3E1A0381AA}"/>
</file>

<file path=customXml/itemProps7.xml><?xml version="1.0" encoding="utf-8"?>
<ds:datastoreItem xmlns:ds="http://schemas.openxmlformats.org/officeDocument/2006/customXml" ds:itemID="{B941D84B-3C91-4905-8723-51C87965F2FB}"/>
</file>

<file path=customXml/itemProps8.xml><?xml version="1.0" encoding="utf-8"?>
<ds:datastoreItem xmlns:ds="http://schemas.openxmlformats.org/officeDocument/2006/customXml" ds:itemID="{EE2C50B5-5148-4607-89A4-E377DE251964}"/>
</file>

<file path=docProps/app.xml><?xml version="1.0" encoding="utf-8"?>
<Properties xmlns="http://schemas.openxmlformats.org/officeDocument/2006/extended-properties" xmlns:vt="http://schemas.openxmlformats.org/officeDocument/2006/docPropsVTypes">
  <Template>Normal.dotm</Template>
  <TotalTime>1</TotalTime>
  <Pages>5</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13080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ITS/ITC</dc:creator>
  <cp:lastModifiedBy>IADB</cp:lastModifiedBy>
  <cp:revision>3</cp:revision>
  <dcterms:created xsi:type="dcterms:W3CDTF">2015-09-11T15:24:00Z</dcterms:created>
  <dcterms:modified xsi:type="dcterms:W3CDTF">2015-09-11T15:30:00Z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0x010100ACF722E9F6B0B149B0CD8BE2560A66720014B2AFD37AFDED429224FA4E9A0B99C0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1900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TC Annex for OS operations</vt:lpwstr>
  </property>
  <property fmtid="{D5CDD505-2E9C-101B-9397-08002B2CF9AE}" pid="24" name="Webtopic">
    <vt:lpwstr>Urban Development</vt:lpwstr>
  </property>
  <property fmtid="{D5CDD505-2E9C-101B-9397-08002B2CF9AE}" pid="26" name="Disclosed">
    <vt:bool>true</vt:bool>
  </property>
  <property fmtid="{D5CDD505-2E9C-101B-9397-08002B2CF9AE}" pid="27" name="_dlc_DocIdItemGuid">
    <vt:lpwstr>c924d2a3-538e-4736-b319-3ddb2340b3e0</vt:lpwstr>
  </property>
</Properties>
</file>