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92C4C" w14:textId="77777777" w:rsidR="00064375" w:rsidRDefault="00064375" w:rsidP="00A31640">
      <w:pPr>
        <w:jc w:val="both"/>
        <w:rPr>
          <w:rFonts w:asciiTheme="minorHAnsi" w:hAnsiTheme="minorHAnsi"/>
          <w:b/>
          <w:sz w:val="28"/>
          <w:szCs w:val="22"/>
        </w:rPr>
      </w:pPr>
    </w:p>
    <w:p w14:paraId="5650EC57" w14:textId="1F0E8F6F" w:rsidR="00064375" w:rsidRPr="00903982" w:rsidRDefault="00FA40FC" w:rsidP="00064375">
      <w:pPr>
        <w:jc w:val="center"/>
        <w:rPr>
          <w:rFonts w:asciiTheme="minorHAnsi" w:hAnsiTheme="minorHAnsi"/>
          <w:b/>
          <w:sz w:val="32"/>
          <w:szCs w:val="22"/>
          <w:lang w:val="es-ES_tradnl"/>
        </w:rPr>
      </w:pPr>
      <w:r w:rsidRPr="00903982">
        <w:rPr>
          <w:rFonts w:asciiTheme="minorHAnsi" w:hAnsiTheme="minorHAnsi"/>
          <w:b/>
          <w:sz w:val="32"/>
          <w:szCs w:val="22"/>
          <w:lang w:val="es-ES_tradnl"/>
        </w:rPr>
        <w:t xml:space="preserve">Informe </w:t>
      </w:r>
      <w:r w:rsidR="0046646E" w:rsidRPr="00903982">
        <w:rPr>
          <w:rFonts w:asciiTheme="minorHAnsi" w:hAnsiTheme="minorHAnsi"/>
          <w:b/>
          <w:sz w:val="32"/>
          <w:szCs w:val="22"/>
          <w:lang w:val="es-ES_tradnl"/>
        </w:rPr>
        <w:t>Final</w:t>
      </w:r>
    </w:p>
    <w:p w14:paraId="7987ADE7" w14:textId="77777777" w:rsidR="002335DF" w:rsidRPr="00903982" w:rsidRDefault="002335DF" w:rsidP="00064375">
      <w:pPr>
        <w:jc w:val="center"/>
        <w:rPr>
          <w:rFonts w:asciiTheme="minorHAnsi" w:hAnsiTheme="minorHAnsi"/>
          <w:b/>
          <w:sz w:val="32"/>
          <w:szCs w:val="22"/>
          <w:lang w:val="es-ES_tradnl"/>
        </w:rPr>
      </w:pPr>
    </w:p>
    <w:p w14:paraId="65277120" w14:textId="0F2D8C1A" w:rsidR="00064375" w:rsidRPr="002443E0" w:rsidRDefault="005C49EB" w:rsidP="00064375">
      <w:pPr>
        <w:jc w:val="center"/>
        <w:rPr>
          <w:rFonts w:asciiTheme="minorHAnsi" w:hAnsiTheme="minorHAnsi"/>
          <w:b/>
          <w:sz w:val="48"/>
          <w:szCs w:val="22"/>
          <w:lang w:val="es-ES_tradnl"/>
        </w:rPr>
      </w:pPr>
      <w:r w:rsidRPr="002443E0">
        <w:rPr>
          <w:rFonts w:asciiTheme="minorHAnsi" w:hAnsiTheme="minorHAnsi"/>
          <w:b/>
          <w:sz w:val="48"/>
          <w:szCs w:val="22"/>
          <w:lang w:val="es-ES_tradnl"/>
        </w:rPr>
        <w:t xml:space="preserve">México - </w:t>
      </w:r>
      <w:r w:rsidR="002443E0" w:rsidRPr="002443E0">
        <w:rPr>
          <w:rFonts w:asciiTheme="minorHAnsi" w:hAnsiTheme="minorHAnsi"/>
          <w:b/>
          <w:sz w:val="48"/>
          <w:szCs w:val="22"/>
          <w:lang w:val="es-ES_tradnl"/>
        </w:rPr>
        <w:t>Análisis</w:t>
      </w:r>
      <w:r w:rsidR="00C501C0" w:rsidRPr="002443E0">
        <w:rPr>
          <w:rFonts w:asciiTheme="minorHAnsi" w:hAnsiTheme="minorHAnsi"/>
          <w:b/>
          <w:sz w:val="48"/>
          <w:szCs w:val="22"/>
          <w:lang w:val="es-ES_tradnl"/>
        </w:rPr>
        <w:t xml:space="preserve"> E</w:t>
      </w:r>
      <w:r w:rsidR="002443E0" w:rsidRPr="002443E0">
        <w:rPr>
          <w:rFonts w:asciiTheme="minorHAnsi" w:hAnsiTheme="minorHAnsi"/>
          <w:b/>
          <w:sz w:val="48"/>
          <w:szCs w:val="22"/>
          <w:lang w:val="es-ES_tradnl"/>
        </w:rPr>
        <w:t>conómico</w:t>
      </w:r>
      <w:r w:rsidR="00064375" w:rsidRPr="002443E0">
        <w:rPr>
          <w:rFonts w:asciiTheme="minorHAnsi" w:hAnsiTheme="minorHAnsi"/>
          <w:b/>
          <w:sz w:val="48"/>
          <w:szCs w:val="22"/>
          <w:lang w:val="es-ES_tradnl"/>
        </w:rPr>
        <w:t xml:space="preserve"> del</w:t>
      </w:r>
    </w:p>
    <w:p w14:paraId="352BBC5B" w14:textId="2440535B" w:rsidR="00A31640" w:rsidRPr="002443E0" w:rsidRDefault="00A447E3" w:rsidP="002443E0">
      <w:pPr>
        <w:spacing w:after="240"/>
        <w:jc w:val="center"/>
        <w:rPr>
          <w:rFonts w:asciiTheme="minorHAnsi" w:eastAsia="Arial" w:hAnsiTheme="minorHAnsi" w:cs="Arial"/>
          <w:b/>
          <w:sz w:val="52"/>
          <w:szCs w:val="22"/>
          <w:lang w:val="es-ES_tradnl"/>
        </w:rPr>
      </w:pPr>
      <w:r w:rsidRPr="002443E0">
        <w:rPr>
          <w:rFonts w:asciiTheme="minorHAnsi" w:eastAsia="Arial" w:hAnsiTheme="minorHAnsi" w:cs="Arial"/>
          <w:b/>
          <w:sz w:val="48"/>
          <w:szCs w:val="22"/>
          <w:lang w:val="es-ES_tradnl"/>
        </w:rPr>
        <w:t>P</w:t>
      </w:r>
      <w:r w:rsidR="00680EB6" w:rsidRPr="002443E0">
        <w:rPr>
          <w:rFonts w:asciiTheme="minorHAnsi" w:eastAsia="Arial" w:hAnsiTheme="minorHAnsi" w:cs="Arial"/>
          <w:b/>
          <w:sz w:val="48"/>
          <w:szCs w:val="22"/>
          <w:lang w:val="es-ES_tradnl"/>
        </w:rPr>
        <w:t xml:space="preserve">rograma de </w:t>
      </w:r>
      <w:r w:rsidR="002443E0" w:rsidRPr="002443E0">
        <w:rPr>
          <w:rFonts w:asciiTheme="minorHAnsi" w:eastAsia="Arial" w:hAnsiTheme="minorHAnsi" w:cs="Arial"/>
          <w:b/>
          <w:sz w:val="48"/>
          <w:szCs w:val="22"/>
          <w:lang w:val="es-ES_tradnl"/>
        </w:rPr>
        <w:t xml:space="preserve">Apoyo a la Implementación y Fortalecimiento de </w:t>
      </w:r>
      <w:r w:rsidR="002443E0">
        <w:rPr>
          <w:rFonts w:asciiTheme="minorHAnsi" w:eastAsia="Arial" w:hAnsiTheme="minorHAnsi" w:cs="Arial"/>
          <w:b/>
          <w:sz w:val="52"/>
          <w:szCs w:val="22"/>
          <w:lang w:val="es-ES_tradnl"/>
        </w:rPr>
        <w:t>la Reforma Energética</w:t>
      </w:r>
    </w:p>
    <w:p w14:paraId="69E5BFD4" w14:textId="77777777" w:rsidR="00612784" w:rsidRPr="00903982" w:rsidRDefault="00612784" w:rsidP="002443E0">
      <w:pPr>
        <w:spacing w:after="240"/>
        <w:jc w:val="center"/>
        <w:rPr>
          <w:rFonts w:asciiTheme="minorHAnsi" w:hAnsiTheme="minorHAnsi"/>
          <w:b/>
          <w:sz w:val="32"/>
          <w:szCs w:val="22"/>
          <w:lang w:val="es-ES_tradnl"/>
        </w:rPr>
      </w:pPr>
      <w:r w:rsidRPr="00903982">
        <w:rPr>
          <w:rFonts w:asciiTheme="minorHAnsi" w:hAnsiTheme="minorHAnsi"/>
          <w:b/>
          <w:sz w:val="32"/>
          <w:szCs w:val="22"/>
          <w:lang w:val="es-ES_tradnl"/>
        </w:rPr>
        <w:t>Preparado a solicitud del Banco Interamericano de Desarrollo</w:t>
      </w:r>
    </w:p>
    <w:p w14:paraId="2DFD20E0" w14:textId="77777777" w:rsidR="00064375" w:rsidRPr="00903982" w:rsidRDefault="00064375" w:rsidP="00064375">
      <w:pPr>
        <w:jc w:val="center"/>
        <w:rPr>
          <w:rFonts w:asciiTheme="minorHAnsi" w:hAnsiTheme="minorHAnsi"/>
          <w:b/>
          <w:sz w:val="32"/>
          <w:szCs w:val="22"/>
          <w:lang w:val="es-ES_tradnl"/>
        </w:rPr>
      </w:pPr>
    </w:p>
    <w:p w14:paraId="62E30AB0" w14:textId="77777777" w:rsidR="00064375" w:rsidRPr="00903982" w:rsidRDefault="00064375" w:rsidP="00A72956">
      <w:pPr>
        <w:ind w:left="720" w:hanging="720"/>
        <w:jc w:val="both"/>
        <w:rPr>
          <w:rFonts w:asciiTheme="minorHAnsi" w:hAnsiTheme="minorHAnsi"/>
          <w:b/>
          <w:szCs w:val="22"/>
          <w:lang w:val="es-ES_tradnl"/>
        </w:rPr>
      </w:pPr>
    </w:p>
    <w:p w14:paraId="3B1DEF8F" w14:textId="77777777" w:rsidR="00A31640" w:rsidRPr="00903982" w:rsidRDefault="00A31640" w:rsidP="00A31640">
      <w:pPr>
        <w:jc w:val="both"/>
        <w:rPr>
          <w:rFonts w:asciiTheme="minorHAnsi" w:hAnsiTheme="minorHAnsi"/>
          <w:sz w:val="22"/>
          <w:szCs w:val="22"/>
          <w:lang w:val="es-ES_tradnl"/>
        </w:rPr>
      </w:pPr>
    </w:p>
    <w:p w14:paraId="067C10D4" w14:textId="77777777" w:rsidR="00064375" w:rsidRPr="00903982" w:rsidRDefault="00064375" w:rsidP="00A31640">
      <w:pPr>
        <w:jc w:val="both"/>
        <w:rPr>
          <w:rFonts w:asciiTheme="minorHAnsi" w:hAnsiTheme="minorHAnsi"/>
          <w:sz w:val="22"/>
          <w:szCs w:val="22"/>
          <w:lang w:val="es-ES_tradnl"/>
        </w:rPr>
      </w:pPr>
    </w:p>
    <w:p w14:paraId="609E3A41" w14:textId="77777777" w:rsidR="00064375" w:rsidRPr="00903982" w:rsidRDefault="00064375" w:rsidP="00A31640">
      <w:pPr>
        <w:jc w:val="both"/>
        <w:rPr>
          <w:rFonts w:asciiTheme="minorHAnsi" w:hAnsiTheme="minorHAnsi"/>
          <w:sz w:val="22"/>
          <w:szCs w:val="22"/>
          <w:lang w:val="es-ES_tradnl"/>
        </w:rPr>
      </w:pPr>
    </w:p>
    <w:p w14:paraId="312DB405" w14:textId="77777777" w:rsidR="00064375" w:rsidRPr="00903982" w:rsidRDefault="00064375" w:rsidP="00A31640">
      <w:pPr>
        <w:jc w:val="both"/>
        <w:rPr>
          <w:rFonts w:asciiTheme="minorHAnsi" w:hAnsiTheme="minorHAnsi"/>
          <w:sz w:val="22"/>
          <w:szCs w:val="22"/>
          <w:lang w:val="es-ES_tradnl"/>
        </w:rPr>
      </w:pPr>
    </w:p>
    <w:p w14:paraId="415FE694" w14:textId="77777777" w:rsidR="00064375" w:rsidRPr="00903982" w:rsidRDefault="00064375" w:rsidP="00A31640">
      <w:pPr>
        <w:jc w:val="both"/>
        <w:rPr>
          <w:rFonts w:asciiTheme="minorHAnsi" w:hAnsiTheme="minorHAnsi"/>
          <w:sz w:val="22"/>
          <w:szCs w:val="22"/>
          <w:lang w:val="es-ES_tradnl"/>
        </w:rPr>
      </w:pPr>
    </w:p>
    <w:p w14:paraId="171D8F8A" w14:textId="77777777" w:rsidR="002335DF" w:rsidRPr="00903982" w:rsidRDefault="002335DF" w:rsidP="00A31640">
      <w:pPr>
        <w:jc w:val="both"/>
        <w:rPr>
          <w:rFonts w:asciiTheme="minorHAnsi" w:hAnsiTheme="minorHAnsi"/>
          <w:sz w:val="22"/>
          <w:szCs w:val="22"/>
          <w:lang w:val="es-ES_tradnl"/>
        </w:rPr>
      </w:pPr>
      <w:r w:rsidRPr="00903982">
        <w:rPr>
          <w:noProof/>
          <w:lang w:val="en-US" w:eastAsia="en-US"/>
        </w:rPr>
        <w:drawing>
          <wp:anchor distT="0" distB="0" distL="114300" distR="114300" simplePos="0" relativeHeight="251658240" behindDoc="0" locked="0" layoutInCell="1" allowOverlap="1" wp14:anchorId="038DA186" wp14:editId="64F9789A">
            <wp:simplePos x="0" y="0"/>
            <wp:positionH relativeFrom="margin">
              <wp:posOffset>-1504950</wp:posOffset>
            </wp:positionH>
            <wp:positionV relativeFrom="margin">
              <wp:posOffset>3887537</wp:posOffset>
            </wp:positionV>
            <wp:extent cx="8292465" cy="2994660"/>
            <wp:effectExtent l="0" t="0" r="0" b="0"/>
            <wp:wrapSquare wrapText="bothSides"/>
            <wp:docPr id="3" name="Imagen 3" descr="https://i.ytimg.com/vi/n0Huz01F0zc/maxresdefault.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i.ytimg.com/vi/n0Huz01F0zc/maxresdefaul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92465" cy="29946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185774" w14:textId="77777777" w:rsidR="002335DF" w:rsidRPr="00903982" w:rsidRDefault="002335DF" w:rsidP="00A31640">
      <w:pPr>
        <w:jc w:val="both"/>
        <w:rPr>
          <w:rFonts w:asciiTheme="minorHAnsi" w:hAnsiTheme="minorHAnsi"/>
          <w:sz w:val="22"/>
          <w:szCs w:val="22"/>
          <w:lang w:val="es-ES_tradnl"/>
        </w:rPr>
      </w:pPr>
    </w:p>
    <w:p w14:paraId="56A8AA5A" w14:textId="77777777" w:rsidR="00064375" w:rsidRPr="00903982" w:rsidRDefault="00064375" w:rsidP="00A31640">
      <w:pPr>
        <w:jc w:val="both"/>
        <w:rPr>
          <w:rFonts w:asciiTheme="minorHAnsi" w:hAnsiTheme="minorHAnsi"/>
          <w:sz w:val="22"/>
          <w:szCs w:val="22"/>
          <w:lang w:val="es-ES_tradnl"/>
        </w:rPr>
      </w:pPr>
    </w:p>
    <w:p w14:paraId="1F9C1E3B" w14:textId="77777777" w:rsidR="007E4EA7" w:rsidRPr="00903982" w:rsidRDefault="00612784" w:rsidP="00064375">
      <w:pPr>
        <w:jc w:val="right"/>
        <w:rPr>
          <w:rFonts w:asciiTheme="minorHAnsi" w:hAnsiTheme="minorHAnsi"/>
          <w:sz w:val="22"/>
          <w:szCs w:val="22"/>
          <w:lang w:val="es-ES_tradnl"/>
        </w:rPr>
      </w:pPr>
      <w:r w:rsidRPr="00903982">
        <w:rPr>
          <w:rFonts w:asciiTheme="minorHAnsi" w:hAnsiTheme="minorHAnsi"/>
          <w:sz w:val="22"/>
          <w:szCs w:val="22"/>
          <w:lang w:val="es-ES_tradnl"/>
        </w:rPr>
        <w:t xml:space="preserve">Jefe proyecto: </w:t>
      </w:r>
      <w:r w:rsidR="005C49EB" w:rsidRPr="00903982">
        <w:rPr>
          <w:rFonts w:asciiTheme="minorHAnsi" w:hAnsiTheme="minorHAnsi"/>
          <w:sz w:val="22"/>
          <w:szCs w:val="22"/>
          <w:lang w:val="es-ES_tradnl"/>
        </w:rPr>
        <w:t>Carlos Silva</w:t>
      </w:r>
    </w:p>
    <w:p w14:paraId="4340879D" w14:textId="4C69AF5D" w:rsidR="00064375" w:rsidRPr="00903982" w:rsidRDefault="00064375" w:rsidP="00064375">
      <w:pPr>
        <w:jc w:val="right"/>
        <w:rPr>
          <w:rFonts w:asciiTheme="minorHAnsi" w:hAnsiTheme="minorHAnsi"/>
          <w:sz w:val="22"/>
          <w:szCs w:val="22"/>
          <w:lang w:val="es-ES_tradnl"/>
        </w:rPr>
      </w:pPr>
      <w:r w:rsidRPr="00903982">
        <w:rPr>
          <w:rFonts w:asciiTheme="minorHAnsi" w:hAnsiTheme="minorHAnsi"/>
          <w:sz w:val="22"/>
          <w:szCs w:val="22"/>
          <w:lang w:val="es-ES_tradnl"/>
        </w:rPr>
        <w:t xml:space="preserve">Fecha: </w:t>
      </w:r>
      <w:r w:rsidR="00192159">
        <w:rPr>
          <w:rFonts w:asciiTheme="minorHAnsi" w:hAnsiTheme="minorHAnsi"/>
          <w:sz w:val="22"/>
          <w:szCs w:val="22"/>
          <w:lang w:val="es-ES_tradnl"/>
        </w:rPr>
        <w:t>5</w:t>
      </w:r>
      <w:r w:rsidR="00A447E3" w:rsidRPr="00903982">
        <w:rPr>
          <w:rFonts w:asciiTheme="minorHAnsi" w:hAnsiTheme="minorHAnsi"/>
          <w:sz w:val="22"/>
          <w:szCs w:val="22"/>
          <w:lang w:val="es-ES_tradnl"/>
        </w:rPr>
        <w:t xml:space="preserve"> de </w:t>
      </w:r>
      <w:r w:rsidR="0046646E" w:rsidRPr="00903982">
        <w:rPr>
          <w:rFonts w:asciiTheme="minorHAnsi" w:hAnsiTheme="minorHAnsi"/>
          <w:sz w:val="22"/>
          <w:szCs w:val="22"/>
          <w:lang w:val="es-ES_tradnl"/>
        </w:rPr>
        <w:t>ju</w:t>
      </w:r>
      <w:r w:rsidR="00192159">
        <w:rPr>
          <w:rFonts w:asciiTheme="minorHAnsi" w:hAnsiTheme="minorHAnsi"/>
          <w:sz w:val="22"/>
          <w:szCs w:val="22"/>
          <w:lang w:val="es-ES_tradnl"/>
        </w:rPr>
        <w:t>l</w:t>
      </w:r>
      <w:r w:rsidR="0046646E" w:rsidRPr="00903982">
        <w:rPr>
          <w:rFonts w:asciiTheme="minorHAnsi" w:hAnsiTheme="minorHAnsi"/>
          <w:sz w:val="22"/>
          <w:szCs w:val="22"/>
          <w:lang w:val="es-ES_tradnl"/>
        </w:rPr>
        <w:t>io</w:t>
      </w:r>
      <w:r w:rsidRPr="00903982">
        <w:rPr>
          <w:rFonts w:asciiTheme="minorHAnsi" w:hAnsiTheme="minorHAnsi"/>
          <w:sz w:val="22"/>
          <w:szCs w:val="22"/>
          <w:lang w:val="es-ES_tradnl"/>
        </w:rPr>
        <w:t xml:space="preserve"> de 201</w:t>
      </w:r>
      <w:r w:rsidR="005C49EB" w:rsidRPr="00903982">
        <w:rPr>
          <w:rFonts w:asciiTheme="minorHAnsi" w:hAnsiTheme="minorHAnsi"/>
          <w:sz w:val="22"/>
          <w:szCs w:val="22"/>
          <w:lang w:val="es-ES_tradnl"/>
        </w:rPr>
        <w:t>7</w:t>
      </w:r>
    </w:p>
    <w:p w14:paraId="1D9F6522" w14:textId="77777777" w:rsidR="00064375" w:rsidRPr="00903982" w:rsidRDefault="00064375">
      <w:pPr>
        <w:spacing w:after="160" w:line="259" w:lineRule="auto"/>
        <w:rPr>
          <w:rFonts w:asciiTheme="minorHAnsi" w:hAnsiTheme="minorHAnsi"/>
          <w:sz w:val="22"/>
          <w:szCs w:val="22"/>
          <w:lang w:val="es-ES_tradnl"/>
        </w:rPr>
      </w:pPr>
      <w:r w:rsidRPr="00903982">
        <w:rPr>
          <w:rFonts w:asciiTheme="minorHAnsi" w:hAnsiTheme="minorHAnsi"/>
          <w:sz w:val="22"/>
          <w:szCs w:val="22"/>
          <w:lang w:val="es-ES_tradnl"/>
        </w:rPr>
        <w:br w:type="page"/>
      </w:r>
    </w:p>
    <w:sdt>
      <w:sdtPr>
        <w:rPr>
          <w:rFonts w:asciiTheme="minorHAnsi" w:eastAsiaTheme="minorHAnsi" w:hAnsiTheme="minorHAnsi" w:cs="Times New Roman"/>
          <w:color w:val="auto"/>
          <w:sz w:val="20"/>
          <w:szCs w:val="24"/>
          <w:lang w:val="es-ES_tradnl"/>
        </w:rPr>
        <w:id w:val="1060600324"/>
        <w:docPartObj>
          <w:docPartGallery w:val="Table of Contents"/>
          <w:docPartUnique/>
        </w:docPartObj>
      </w:sdtPr>
      <w:sdtEndPr>
        <w:rPr>
          <w:lang w:eastAsia="en-US"/>
        </w:rPr>
      </w:sdtEndPr>
      <w:sdtContent>
        <w:p w14:paraId="06F78DB1" w14:textId="3051B03C" w:rsidR="003568D9" w:rsidRPr="00903982" w:rsidRDefault="001E5DFA" w:rsidP="0063381D">
          <w:pPr>
            <w:pStyle w:val="TOCHeading"/>
            <w:rPr>
              <w:rStyle w:val="Heading1Char"/>
              <w:lang w:val="es-ES_tradnl"/>
            </w:rPr>
          </w:pPr>
          <w:r w:rsidRPr="00903982">
            <w:rPr>
              <w:rStyle w:val="Heading1Char"/>
              <w:lang w:val="es-ES_tradnl"/>
            </w:rPr>
            <w:t>Tabla de Contenido</w:t>
          </w:r>
        </w:p>
        <w:p w14:paraId="62036596" w14:textId="1AB6F38F" w:rsidR="0063381D" w:rsidRPr="00903982" w:rsidRDefault="0063381D" w:rsidP="00684A6A">
          <w:pPr>
            <w:rPr>
              <w:rFonts w:asciiTheme="minorHAnsi" w:hAnsiTheme="minorHAnsi"/>
              <w:sz w:val="20"/>
              <w:lang w:val="es-ES_tradnl" w:eastAsia="en-US"/>
            </w:rPr>
          </w:pPr>
        </w:p>
        <w:p w14:paraId="7EE7DE9E" w14:textId="7DD6A122" w:rsidR="008E75D7" w:rsidRPr="00903982" w:rsidRDefault="00473A4C" w:rsidP="00684A6A">
          <w:pPr>
            <w:rPr>
              <w:rFonts w:asciiTheme="minorHAnsi" w:hAnsiTheme="minorHAnsi"/>
              <w:sz w:val="20"/>
              <w:lang w:val="es-ES_tradnl" w:eastAsia="en-US"/>
            </w:rPr>
          </w:pPr>
          <w:r w:rsidRPr="00903982">
            <w:rPr>
              <w:rFonts w:asciiTheme="minorHAnsi" w:hAnsiTheme="minorHAnsi"/>
              <w:sz w:val="20"/>
              <w:lang w:val="es-ES_tradnl" w:eastAsia="en-US"/>
            </w:rPr>
            <w:t>Resumen e</w:t>
          </w:r>
          <w:r w:rsidR="008E75D7" w:rsidRPr="00903982">
            <w:rPr>
              <w:rFonts w:asciiTheme="minorHAnsi" w:hAnsiTheme="minorHAnsi"/>
              <w:sz w:val="20"/>
              <w:lang w:val="es-ES_tradnl" w:eastAsia="en-US"/>
            </w:rPr>
            <w:t xml:space="preserve">jecutivo    </w:t>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t xml:space="preserve">            </w:t>
          </w:r>
          <w:r w:rsidR="008E75D7" w:rsidRPr="00903982">
            <w:rPr>
              <w:rFonts w:asciiTheme="minorHAnsi" w:hAnsiTheme="minorHAnsi"/>
              <w:sz w:val="20"/>
              <w:lang w:val="es-ES_tradnl" w:eastAsia="en-US"/>
            </w:rPr>
            <w:t>3</w:t>
          </w:r>
        </w:p>
        <w:p w14:paraId="31C795DD" w14:textId="77777777" w:rsidR="008E75D7" w:rsidRPr="00903982" w:rsidRDefault="008E75D7" w:rsidP="00684A6A">
          <w:pPr>
            <w:rPr>
              <w:rFonts w:asciiTheme="minorHAnsi" w:hAnsiTheme="minorHAnsi"/>
              <w:sz w:val="20"/>
              <w:lang w:val="es-ES_tradnl" w:eastAsia="en-US"/>
            </w:rPr>
          </w:pPr>
        </w:p>
        <w:p w14:paraId="3F8C0200" w14:textId="52E6997D" w:rsidR="00473A4C" w:rsidRPr="00903982" w:rsidRDefault="00473A4C" w:rsidP="00684A6A">
          <w:pPr>
            <w:rPr>
              <w:rFonts w:asciiTheme="minorHAnsi" w:hAnsiTheme="minorHAnsi"/>
              <w:sz w:val="20"/>
              <w:lang w:val="es-ES_tradnl" w:eastAsia="en-US"/>
            </w:rPr>
          </w:pPr>
          <w:r w:rsidRPr="00903982">
            <w:rPr>
              <w:rFonts w:asciiTheme="minorHAnsi" w:hAnsiTheme="minorHAnsi"/>
              <w:sz w:val="20"/>
              <w:lang w:val="es-ES_tradnl" w:eastAsia="en-US"/>
            </w:rPr>
            <w:t>Int</w:t>
          </w:r>
          <w:r w:rsidR="008A1329" w:rsidRPr="00903982">
            <w:rPr>
              <w:rFonts w:asciiTheme="minorHAnsi" w:hAnsiTheme="minorHAnsi"/>
              <w:sz w:val="20"/>
              <w:lang w:val="es-ES_tradnl" w:eastAsia="en-US"/>
            </w:rPr>
            <w:t>roducción</w:t>
          </w:r>
          <w:r w:rsidR="008A1329" w:rsidRPr="00903982">
            <w:rPr>
              <w:rFonts w:asciiTheme="minorHAnsi" w:hAnsiTheme="minorHAnsi"/>
              <w:sz w:val="20"/>
              <w:lang w:val="es-ES_tradnl" w:eastAsia="en-US"/>
            </w:rPr>
            <w:tab/>
          </w:r>
          <w:r w:rsidR="008A1329" w:rsidRPr="00903982">
            <w:rPr>
              <w:rFonts w:asciiTheme="minorHAnsi" w:hAnsiTheme="minorHAnsi"/>
              <w:sz w:val="20"/>
              <w:lang w:val="es-ES_tradnl" w:eastAsia="en-US"/>
            </w:rPr>
            <w:tab/>
          </w:r>
          <w:r w:rsidR="008A1329" w:rsidRPr="00903982">
            <w:rPr>
              <w:rFonts w:asciiTheme="minorHAnsi" w:hAnsiTheme="minorHAnsi"/>
              <w:sz w:val="20"/>
              <w:lang w:val="es-ES_tradnl" w:eastAsia="en-US"/>
            </w:rPr>
            <w:tab/>
          </w:r>
          <w:r w:rsidR="008A1329" w:rsidRPr="00903982">
            <w:rPr>
              <w:rFonts w:asciiTheme="minorHAnsi" w:hAnsiTheme="minorHAnsi"/>
              <w:sz w:val="20"/>
              <w:lang w:val="es-ES_tradnl" w:eastAsia="en-US"/>
            </w:rPr>
            <w:tab/>
          </w:r>
          <w:r w:rsidR="008A1329" w:rsidRPr="00903982">
            <w:rPr>
              <w:rFonts w:asciiTheme="minorHAnsi" w:hAnsiTheme="minorHAnsi"/>
              <w:sz w:val="20"/>
              <w:lang w:val="es-ES_tradnl" w:eastAsia="en-US"/>
            </w:rPr>
            <w:tab/>
          </w:r>
          <w:r w:rsidR="008A1329" w:rsidRPr="00903982">
            <w:rPr>
              <w:rFonts w:asciiTheme="minorHAnsi" w:hAnsiTheme="minorHAnsi"/>
              <w:sz w:val="20"/>
              <w:lang w:val="es-ES_tradnl" w:eastAsia="en-US"/>
            </w:rPr>
            <w:tab/>
          </w:r>
          <w:r w:rsidR="008A1329" w:rsidRPr="00903982">
            <w:rPr>
              <w:rFonts w:asciiTheme="minorHAnsi" w:hAnsiTheme="minorHAnsi"/>
              <w:sz w:val="20"/>
              <w:lang w:val="es-ES_tradnl" w:eastAsia="en-US"/>
            </w:rPr>
            <w:tab/>
          </w:r>
          <w:r w:rsidR="008A1329" w:rsidRPr="00903982">
            <w:rPr>
              <w:rFonts w:asciiTheme="minorHAnsi" w:hAnsiTheme="minorHAnsi"/>
              <w:sz w:val="20"/>
              <w:lang w:val="es-ES_tradnl" w:eastAsia="en-US"/>
            </w:rPr>
            <w:tab/>
          </w:r>
          <w:r w:rsidR="008A1329" w:rsidRPr="00903982">
            <w:rPr>
              <w:rFonts w:asciiTheme="minorHAnsi" w:hAnsiTheme="minorHAnsi"/>
              <w:sz w:val="20"/>
              <w:lang w:val="es-ES_tradnl" w:eastAsia="en-US"/>
            </w:rPr>
            <w:tab/>
          </w:r>
          <w:r w:rsidR="008A1329" w:rsidRPr="00903982">
            <w:rPr>
              <w:rFonts w:asciiTheme="minorHAnsi" w:hAnsiTheme="minorHAnsi"/>
              <w:sz w:val="20"/>
              <w:lang w:val="es-ES_tradnl" w:eastAsia="en-US"/>
            </w:rPr>
            <w:tab/>
            <w:t xml:space="preserve">            7</w:t>
          </w:r>
        </w:p>
        <w:p w14:paraId="79358DD7" w14:textId="77777777" w:rsidR="00473A4C" w:rsidRPr="00903982" w:rsidRDefault="00473A4C" w:rsidP="00684A6A">
          <w:pPr>
            <w:rPr>
              <w:rFonts w:asciiTheme="minorHAnsi" w:hAnsiTheme="minorHAnsi"/>
              <w:sz w:val="20"/>
              <w:lang w:val="es-ES_tradnl" w:eastAsia="en-US"/>
            </w:rPr>
          </w:pPr>
        </w:p>
        <w:p w14:paraId="76ED1282" w14:textId="07DDBBC5" w:rsidR="008E75D7" w:rsidRPr="00903982" w:rsidRDefault="008E75D7" w:rsidP="00684A6A">
          <w:pPr>
            <w:rPr>
              <w:rFonts w:asciiTheme="minorHAnsi" w:hAnsiTheme="minorHAnsi"/>
              <w:sz w:val="20"/>
              <w:lang w:val="es-ES_tradnl" w:eastAsia="en-US"/>
            </w:rPr>
          </w:pPr>
          <w:r w:rsidRPr="00903982">
            <w:rPr>
              <w:rFonts w:asciiTheme="minorHAnsi" w:hAnsiTheme="minorHAnsi"/>
              <w:sz w:val="20"/>
              <w:lang w:val="es-ES_tradnl" w:eastAsia="en-US"/>
            </w:rPr>
            <w:t xml:space="preserve">Metodología </w:t>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r>
          <w:r w:rsidR="00B06D37" w:rsidRPr="00903982">
            <w:rPr>
              <w:rFonts w:asciiTheme="minorHAnsi" w:hAnsiTheme="minorHAnsi"/>
              <w:sz w:val="20"/>
              <w:lang w:val="es-ES_tradnl" w:eastAsia="en-US"/>
            </w:rPr>
            <w:tab/>
            <w:t xml:space="preserve">            </w:t>
          </w:r>
          <w:r w:rsidR="008A1329" w:rsidRPr="00903982">
            <w:rPr>
              <w:rFonts w:asciiTheme="minorHAnsi" w:hAnsiTheme="minorHAnsi"/>
              <w:sz w:val="20"/>
              <w:lang w:val="es-ES_tradnl" w:eastAsia="en-US"/>
            </w:rPr>
            <w:t>9</w:t>
          </w:r>
        </w:p>
        <w:p w14:paraId="5BB759FD" w14:textId="77777777" w:rsidR="008E75D7" w:rsidRPr="00903982" w:rsidRDefault="008E75D7" w:rsidP="00684A6A">
          <w:pPr>
            <w:rPr>
              <w:rFonts w:asciiTheme="minorHAnsi" w:hAnsiTheme="minorHAnsi"/>
              <w:sz w:val="20"/>
              <w:lang w:val="es-ES_tradnl" w:eastAsia="en-US"/>
            </w:rPr>
          </w:pPr>
        </w:p>
        <w:p w14:paraId="455E758E" w14:textId="749BA889" w:rsidR="008E75D7" w:rsidRPr="00903982" w:rsidRDefault="00473A4C" w:rsidP="00684A6A">
          <w:pPr>
            <w:rPr>
              <w:rFonts w:asciiTheme="minorHAnsi" w:hAnsiTheme="minorHAnsi"/>
              <w:sz w:val="20"/>
              <w:lang w:val="es-ES_tradnl" w:eastAsia="en-US"/>
            </w:rPr>
          </w:pPr>
          <w:r w:rsidRPr="00903982">
            <w:rPr>
              <w:rFonts w:asciiTheme="minorHAnsi" w:hAnsiTheme="minorHAnsi"/>
              <w:sz w:val="20"/>
              <w:lang w:val="es-ES_tradnl" w:eastAsia="en-US"/>
            </w:rPr>
            <w:t xml:space="preserve">Impacto de medidas del programa </w:t>
          </w:r>
          <w:r w:rsidRPr="00903982">
            <w:rPr>
              <w:rFonts w:asciiTheme="minorHAnsi" w:hAnsiTheme="minorHAnsi"/>
              <w:sz w:val="20"/>
              <w:lang w:val="es-ES_tradnl" w:eastAsia="en-US"/>
            </w:rPr>
            <w:tab/>
          </w:r>
          <w:r w:rsidRPr="00903982">
            <w:rPr>
              <w:rFonts w:asciiTheme="minorHAnsi" w:hAnsiTheme="minorHAnsi"/>
              <w:sz w:val="20"/>
              <w:lang w:val="es-ES_tradnl" w:eastAsia="en-US"/>
            </w:rPr>
            <w:tab/>
          </w:r>
          <w:r w:rsidRPr="00903982">
            <w:rPr>
              <w:rFonts w:asciiTheme="minorHAnsi" w:hAnsiTheme="minorHAnsi"/>
              <w:sz w:val="20"/>
              <w:lang w:val="es-ES_tradnl" w:eastAsia="en-US"/>
            </w:rPr>
            <w:tab/>
          </w:r>
          <w:r w:rsidRPr="00903982">
            <w:rPr>
              <w:rFonts w:asciiTheme="minorHAnsi" w:hAnsiTheme="minorHAnsi"/>
              <w:sz w:val="20"/>
              <w:lang w:val="es-ES_tradnl" w:eastAsia="en-US"/>
            </w:rPr>
            <w:tab/>
          </w:r>
          <w:r w:rsidR="009044AF">
            <w:rPr>
              <w:rFonts w:asciiTheme="minorHAnsi" w:hAnsiTheme="minorHAnsi"/>
              <w:sz w:val="20"/>
              <w:lang w:val="es-ES_tradnl" w:eastAsia="en-US"/>
            </w:rPr>
            <w:tab/>
          </w:r>
          <w:r w:rsidR="009044AF">
            <w:rPr>
              <w:rFonts w:asciiTheme="minorHAnsi" w:hAnsiTheme="minorHAnsi"/>
              <w:sz w:val="20"/>
              <w:lang w:val="es-ES_tradnl" w:eastAsia="en-US"/>
            </w:rPr>
            <w:tab/>
          </w:r>
          <w:r w:rsidR="009044AF">
            <w:rPr>
              <w:rFonts w:asciiTheme="minorHAnsi" w:hAnsiTheme="minorHAnsi"/>
              <w:sz w:val="20"/>
              <w:lang w:val="es-ES_tradnl" w:eastAsia="en-US"/>
            </w:rPr>
            <w:tab/>
            <w:t xml:space="preserve">                           17</w:t>
          </w:r>
        </w:p>
        <w:p w14:paraId="571A1E9C" w14:textId="77777777" w:rsidR="00280D79" w:rsidRPr="00903982" w:rsidRDefault="00280D79" w:rsidP="00280D79">
          <w:pPr>
            <w:rPr>
              <w:rFonts w:asciiTheme="minorHAnsi" w:hAnsiTheme="minorHAnsi"/>
              <w:sz w:val="20"/>
              <w:lang w:val="es-ES_tradnl" w:eastAsia="en-US"/>
            </w:rPr>
          </w:pPr>
        </w:p>
        <w:p w14:paraId="421F8E4C" w14:textId="55E936E1" w:rsidR="00280D79" w:rsidRPr="00903982" w:rsidRDefault="00280D79" w:rsidP="00280D79">
          <w:pPr>
            <w:rPr>
              <w:rFonts w:asciiTheme="minorHAnsi" w:hAnsiTheme="minorHAnsi"/>
              <w:sz w:val="20"/>
              <w:lang w:val="es-ES_tradnl" w:eastAsia="en-US"/>
            </w:rPr>
          </w:pPr>
          <w:r w:rsidRPr="00903982">
            <w:rPr>
              <w:rFonts w:asciiTheme="minorHAnsi" w:hAnsiTheme="minorHAnsi"/>
              <w:sz w:val="20"/>
              <w:lang w:val="es-ES_tradnl" w:eastAsia="en-US"/>
            </w:rPr>
            <w:t xml:space="preserve">Identificación de potenciales riesgos al Programa    </w:t>
          </w:r>
          <w:r w:rsidR="007824DC" w:rsidRPr="00903982">
            <w:rPr>
              <w:rFonts w:asciiTheme="minorHAnsi" w:hAnsiTheme="minorHAnsi"/>
              <w:sz w:val="20"/>
              <w:lang w:val="es-ES_tradnl" w:eastAsia="en-US"/>
            </w:rPr>
            <w:t xml:space="preserve">              </w:t>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t xml:space="preserve">           25</w:t>
          </w:r>
        </w:p>
        <w:p w14:paraId="20152B74" w14:textId="77777777" w:rsidR="00280D79" w:rsidRPr="00903982" w:rsidRDefault="00280D79" w:rsidP="00280D79">
          <w:pPr>
            <w:rPr>
              <w:rFonts w:asciiTheme="minorHAnsi" w:hAnsiTheme="minorHAnsi"/>
              <w:sz w:val="20"/>
              <w:lang w:val="es-ES_tradnl" w:eastAsia="en-US"/>
            </w:rPr>
          </w:pPr>
        </w:p>
        <w:p w14:paraId="44A74D92" w14:textId="0338DF5D" w:rsidR="00684A6A" w:rsidRPr="00903982" w:rsidRDefault="002443E0" w:rsidP="00280D79">
          <w:pPr>
            <w:rPr>
              <w:rFonts w:asciiTheme="minorHAnsi" w:hAnsiTheme="minorHAnsi"/>
              <w:sz w:val="20"/>
              <w:lang w:val="es-ES_tradnl" w:eastAsia="en-US"/>
            </w:rPr>
          </w:pPr>
          <w:r w:rsidRPr="00903982">
            <w:rPr>
              <w:rFonts w:asciiTheme="minorHAnsi" w:hAnsiTheme="minorHAnsi"/>
              <w:sz w:val="20"/>
              <w:lang w:val="es-ES_tradnl" w:eastAsia="en-US"/>
            </w:rPr>
            <w:t xml:space="preserve">Bibliografía </w:t>
          </w:r>
          <w:r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r>
          <w:r w:rsidR="007824DC" w:rsidRPr="00903982">
            <w:rPr>
              <w:rFonts w:asciiTheme="minorHAnsi" w:hAnsiTheme="minorHAnsi"/>
              <w:sz w:val="20"/>
              <w:lang w:val="es-ES_tradnl" w:eastAsia="en-US"/>
            </w:rPr>
            <w:tab/>
            <w:t xml:space="preserve">           31</w:t>
          </w:r>
        </w:p>
      </w:sdtContent>
    </w:sdt>
    <w:p w14:paraId="6157C1F7" w14:textId="77777777" w:rsidR="00CF1F78" w:rsidRPr="00903982" w:rsidRDefault="00CF1F78">
      <w:pPr>
        <w:spacing w:after="160" w:line="259" w:lineRule="auto"/>
        <w:rPr>
          <w:rFonts w:asciiTheme="minorHAnsi" w:hAnsiTheme="minorHAnsi"/>
          <w:b/>
          <w:bCs/>
          <w:sz w:val="20"/>
          <w:szCs w:val="22"/>
          <w:lang w:val="es-ES_tradnl"/>
        </w:rPr>
      </w:pPr>
      <w:r w:rsidRPr="00903982">
        <w:rPr>
          <w:rFonts w:asciiTheme="minorHAnsi" w:hAnsiTheme="minorHAnsi"/>
          <w:b/>
          <w:bCs/>
          <w:sz w:val="20"/>
          <w:szCs w:val="22"/>
          <w:lang w:val="es-ES_tradnl"/>
        </w:rPr>
        <w:br w:type="page"/>
      </w:r>
    </w:p>
    <w:p w14:paraId="645C5D5C" w14:textId="63235BF3" w:rsidR="00950D2D" w:rsidRPr="00903982" w:rsidRDefault="00950D2D" w:rsidP="00950D2D">
      <w:pPr>
        <w:pStyle w:val="ListParagraph"/>
        <w:spacing w:after="100" w:afterAutospacing="1" w:line="240" w:lineRule="auto"/>
        <w:ind w:left="0"/>
        <w:jc w:val="both"/>
        <w:outlineLvl w:val="0"/>
        <w:rPr>
          <w:rFonts w:cs="Arial"/>
          <w:b/>
          <w:bCs/>
          <w:lang w:val="es-ES_tradnl"/>
        </w:rPr>
      </w:pPr>
      <w:bookmarkStart w:id="0" w:name="_Toc459677761"/>
      <w:r w:rsidRPr="00903982">
        <w:rPr>
          <w:rFonts w:cs="Arial"/>
          <w:b/>
          <w:bCs/>
          <w:lang w:val="es-ES_tradnl"/>
        </w:rPr>
        <w:lastRenderedPageBreak/>
        <w:t>Glosario</w:t>
      </w:r>
    </w:p>
    <w:p w14:paraId="3BAB8ADA" w14:textId="10F0C1D6" w:rsidR="00FC7A61" w:rsidRPr="00903982" w:rsidRDefault="00FC7A61"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CEL</w:t>
      </w:r>
      <w:r w:rsidRPr="00903982">
        <w:rPr>
          <w:rFonts w:cs="Arial"/>
          <w:bCs/>
          <w:lang w:val="es-ES_tradnl"/>
        </w:rPr>
        <w:tab/>
      </w:r>
      <w:r w:rsidRPr="00903982">
        <w:rPr>
          <w:rFonts w:cs="Arial"/>
          <w:bCs/>
          <w:lang w:val="es-ES_tradnl"/>
        </w:rPr>
        <w:tab/>
        <w:t>Certificados de Energías Limpias</w:t>
      </w:r>
    </w:p>
    <w:p w14:paraId="068E0EF7" w14:textId="52CEB736" w:rsidR="00FC7A61" w:rsidRPr="00903982" w:rsidRDefault="00FC7A61"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CENACE</w:t>
      </w:r>
      <w:r w:rsidRPr="00903982">
        <w:rPr>
          <w:rFonts w:cs="Arial"/>
          <w:bCs/>
          <w:lang w:val="es-ES_tradnl"/>
        </w:rPr>
        <w:tab/>
      </w:r>
      <w:r w:rsidRPr="00903982">
        <w:rPr>
          <w:rFonts w:cs="Arial"/>
          <w:bCs/>
          <w:lang w:val="es-ES_tradnl"/>
        </w:rPr>
        <w:tab/>
        <w:t>Centro Nacional de Control de Energía</w:t>
      </w:r>
    </w:p>
    <w:p w14:paraId="2DACF71B" w14:textId="2C1AA339" w:rsidR="00CA04AA" w:rsidRPr="00903982" w:rsidRDefault="00CA04AA"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CFE</w:t>
      </w:r>
      <w:r w:rsidRPr="00903982">
        <w:rPr>
          <w:rFonts w:cs="Arial"/>
          <w:bCs/>
          <w:lang w:val="es-ES_tradnl"/>
        </w:rPr>
        <w:tab/>
      </w:r>
      <w:r w:rsidR="00E77E39" w:rsidRPr="00903982">
        <w:rPr>
          <w:rFonts w:cs="Arial"/>
          <w:bCs/>
          <w:lang w:val="es-ES_tradnl"/>
        </w:rPr>
        <w:tab/>
      </w:r>
      <w:r w:rsidRPr="00903982">
        <w:rPr>
          <w:rFonts w:cs="Arial"/>
          <w:bCs/>
          <w:lang w:val="es-ES_tradnl"/>
        </w:rPr>
        <w:t>Comisió</w:t>
      </w:r>
      <w:r w:rsidR="001E5DFA" w:rsidRPr="00903982">
        <w:rPr>
          <w:rFonts w:cs="Arial"/>
          <w:bCs/>
          <w:lang w:val="es-ES_tradnl"/>
        </w:rPr>
        <w:t>n Federal de Electricidad</w:t>
      </w:r>
      <w:r w:rsidR="001E5DFA" w:rsidRPr="00903982">
        <w:rPr>
          <w:rFonts w:cs="Arial"/>
          <w:bCs/>
          <w:lang w:val="es-ES_tradnl"/>
        </w:rPr>
        <w:tab/>
      </w:r>
      <w:r w:rsidR="001E5DFA" w:rsidRPr="00903982">
        <w:rPr>
          <w:rFonts w:cs="Arial"/>
          <w:bCs/>
          <w:lang w:val="es-ES_tradnl"/>
        </w:rPr>
        <w:tab/>
      </w:r>
      <w:r w:rsidR="001E5DFA" w:rsidRPr="00903982">
        <w:rPr>
          <w:rFonts w:cs="Arial"/>
          <w:bCs/>
          <w:lang w:val="es-ES_tradnl"/>
        </w:rPr>
        <w:tab/>
      </w:r>
    </w:p>
    <w:p w14:paraId="286C236B" w14:textId="4F8715F2" w:rsidR="00FC7A61" w:rsidRPr="00903982" w:rsidRDefault="00FC7A61"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CONUEE</w:t>
      </w:r>
      <w:r w:rsidRPr="00903982">
        <w:rPr>
          <w:rFonts w:cs="Arial"/>
          <w:bCs/>
          <w:lang w:val="es-ES_tradnl"/>
        </w:rPr>
        <w:tab/>
      </w:r>
      <w:r w:rsidR="002443E0" w:rsidRPr="00903982">
        <w:rPr>
          <w:rFonts w:cs="Arial"/>
          <w:bCs/>
          <w:lang w:val="es-ES_tradnl"/>
        </w:rPr>
        <w:t>Comisión</w:t>
      </w:r>
      <w:r w:rsidRPr="00903982">
        <w:rPr>
          <w:rFonts w:cs="Arial"/>
          <w:bCs/>
          <w:lang w:val="es-ES_tradnl"/>
        </w:rPr>
        <w:t xml:space="preserve"> Nacional para el Uso Eficiente de la </w:t>
      </w:r>
      <w:proofErr w:type="spellStart"/>
      <w:r w:rsidRPr="00903982">
        <w:rPr>
          <w:rFonts w:cs="Arial"/>
          <w:bCs/>
          <w:lang w:val="es-ES_tradnl"/>
        </w:rPr>
        <w:t>Energía</w:t>
      </w:r>
      <w:proofErr w:type="spellEnd"/>
      <w:r w:rsidRPr="00903982">
        <w:rPr>
          <w:rFonts w:cs="Arial"/>
          <w:bCs/>
          <w:lang w:val="es-ES_tradnl"/>
        </w:rPr>
        <w:t xml:space="preserve"> </w:t>
      </w:r>
    </w:p>
    <w:p w14:paraId="7346BC2E" w14:textId="77777777" w:rsidR="00FA40FC" w:rsidRPr="00903982" w:rsidRDefault="00CA04AA"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CRE</w:t>
      </w:r>
      <w:r w:rsidRPr="00903982">
        <w:rPr>
          <w:rFonts w:cs="Arial"/>
          <w:bCs/>
          <w:lang w:val="es-ES_tradnl"/>
        </w:rPr>
        <w:tab/>
      </w:r>
      <w:r w:rsidR="00E77E39" w:rsidRPr="00903982">
        <w:rPr>
          <w:rFonts w:cs="Arial"/>
          <w:bCs/>
          <w:lang w:val="es-ES_tradnl"/>
        </w:rPr>
        <w:tab/>
      </w:r>
      <w:r w:rsidRPr="00903982">
        <w:rPr>
          <w:rFonts w:cs="Arial"/>
          <w:bCs/>
          <w:lang w:val="es-ES_tradnl"/>
        </w:rPr>
        <w:t>Comis</w:t>
      </w:r>
      <w:r w:rsidR="00FA40FC" w:rsidRPr="00903982">
        <w:rPr>
          <w:rFonts w:cs="Arial"/>
          <w:bCs/>
          <w:lang w:val="es-ES_tradnl"/>
        </w:rPr>
        <w:t>ión Reguladora de</w:t>
      </w:r>
      <w:r w:rsidR="001E5DFA" w:rsidRPr="00903982">
        <w:rPr>
          <w:rFonts w:cs="Arial"/>
          <w:bCs/>
          <w:lang w:val="es-ES_tradnl"/>
        </w:rPr>
        <w:t xml:space="preserve"> Energía</w:t>
      </w:r>
    </w:p>
    <w:p w14:paraId="53988F43" w14:textId="50B12DB0" w:rsidR="00FC7A61" w:rsidRPr="00903982" w:rsidRDefault="00FC7A61" w:rsidP="00E829D8">
      <w:pPr>
        <w:pStyle w:val="ListParagraph"/>
        <w:spacing w:after="100" w:afterAutospacing="1" w:line="240" w:lineRule="auto"/>
        <w:ind w:left="0"/>
        <w:jc w:val="both"/>
        <w:outlineLvl w:val="0"/>
        <w:rPr>
          <w:rFonts w:cs="Arial"/>
          <w:bCs/>
          <w:lang w:val="es-ES_tradnl"/>
        </w:rPr>
      </w:pPr>
      <w:r w:rsidRPr="00903982">
        <w:rPr>
          <w:rFonts w:cs="Arial"/>
          <w:bCs/>
          <w:lang w:val="es-ES_tradnl"/>
        </w:rPr>
        <w:t>PBP</w:t>
      </w:r>
      <w:r w:rsidRPr="00903982">
        <w:rPr>
          <w:rFonts w:cs="Arial"/>
          <w:bCs/>
          <w:lang w:val="es-ES_tradnl"/>
        </w:rPr>
        <w:tab/>
      </w:r>
      <w:r w:rsidRPr="00903982">
        <w:rPr>
          <w:rFonts w:cs="Arial"/>
          <w:bCs/>
          <w:lang w:val="es-ES_tradnl"/>
        </w:rPr>
        <w:tab/>
      </w:r>
      <w:r w:rsidRPr="00903982">
        <w:rPr>
          <w:lang w:val="es-ES_tradnl"/>
        </w:rPr>
        <w:t>Programático Basado en Política</w:t>
      </w:r>
    </w:p>
    <w:p w14:paraId="216D14E3" w14:textId="1E880988" w:rsidR="00FC7A61" w:rsidRPr="00903982" w:rsidRDefault="00FC7A61" w:rsidP="00E829D8">
      <w:pPr>
        <w:pStyle w:val="ListParagraph"/>
        <w:spacing w:after="100" w:afterAutospacing="1" w:line="240" w:lineRule="auto"/>
        <w:ind w:left="0"/>
        <w:jc w:val="both"/>
        <w:outlineLvl w:val="0"/>
        <w:rPr>
          <w:rFonts w:cs="Arial"/>
          <w:bCs/>
          <w:lang w:val="es-ES_tradnl"/>
        </w:rPr>
      </w:pPr>
      <w:r w:rsidRPr="00903982">
        <w:rPr>
          <w:rFonts w:cs="Arial"/>
          <w:bCs/>
          <w:lang w:val="es-ES_tradnl"/>
        </w:rPr>
        <w:t>PIIRCE</w:t>
      </w:r>
      <w:r w:rsidRPr="00903982">
        <w:rPr>
          <w:rFonts w:cs="Arial"/>
          <w:bCs/>
          <w:lang w:val="es-ES_tradnl"/>
        </w:rPr>
        <w:tab/>
      </w:r>
      <w:r w:rsidRPr="00903982">
        <w:rPr>
          <w:rFonts w:cs="Arial"/>
          <w:bCs/>
          <w:lang w:val="es-ES_tradnl"/>
        </w:rPr>
        <w:tab/>
        <w:t>Programa Indicativo para la Instalación y Retiro de Centrales Eléctricas</w:t>
      </w:r>
    </w:p>
    <w:p w14:paraId="5AAE088B" w14:textId="20C9A3F9" w:rsidR="00FC7A61" w:rsidRPr="00903982" w:rsidRDefault="00FC7A61" w:rsidP="00E829D8">
      <w:pPr>
        <w:pStyle w:val="ListParagraph"/>
        <w:spacing w:after="100" w:afterAutospacing="1" w:line="240" w:lineRule="auto"/>
        <w:ind w:left="0"/>
        <w:jc w:val="both"/>
        <w:outlineLvl w:val="0"/>
        <w:rPr>
          <w:rFonts w:cs="Arial"/>
          <w:bCs/>
          <w:lang w:val="es-ES_tradnl"/>
        </w:rPr>
      </w:pPr>
      <w:r w:rsidRPr="00903982">
        <w:rPr>
          <w:rFonts w:cs="Arial"/>
          <w:bCs/>
          <w:lang w:val="es-ES_tradnl"/>
        </w:rPr>
        <w:t>PRODESEN</w:t>
      </w:r>
      <w:r w:rsidRPr="00903982">
        <w:rPr>
          <w:rFonts w:cs="Arial"/>
          <w:bCs/>
          <w:lang w:val="es-ES_tradnl"/>
        </w:rPr>
        <w:tab/>
        <w:t>Programa de Desarrollo del Sistema Eléctrico Nacional</w:t>
      </w:r>
    </w:p>
    <w:p w14:paraId="7C87889B" w14:textId="58CF6743" w:rsidR="00FA40FC" w:rsidRPr="00903982" w:rsidRDefault="00FA40FC" w:rsidP="00E829D8">
      <w:pPr>
        <w:pStyle w:val="ListParagraph"/>
        <w:spacing w:after="100" w:afterAutospacing="1" w:line="240" w:lineRule="auto"/>
        <w:ind w:left="0"/>
        <w:jc w:val="both"/>
        <w:outlineLvl w:val="0"/>
        <w:rPr>
          <w:rFonts w:cs="Arial"/>
          <w:bCs/>
          <w:lang w:val="es-ES_tradnl"/>
        </w:rPr>
      </w:pPr>
      <w:r w:rsidRPr="00903982">
        <w:rPr>
          <w:rFonts w:cs="Arial"/>
          <w:bCs/>
          <w:lang w:val="es-ES_tradnl"/>
        </w:rPr>
        <w:t>PRONASE</w:t>
      </w:r>
      <w:r w:rsidR="00E829D8" w:rsidRPr="00903982">
        <w:rPr>
          <w:rFonts w:cs="Arial"/>
          <w:bCs/>
          <w:lang w:val="es-ES_tradnl"/>
        </w:rPr>
        <w:tab/>
      </w:r>
      <w:r w:rsidRPr="00903982">
        <w:rPr>
          <w:rFonts w:cs="Arial"/>
          <w:bCs/>
          <w:lang w:val="es-ES_tradnl"/>
        </w:rPr>
        <w:t xml:space="preserve">Programa Nacional para el Aprovechamiento Sustentable de la </w:t>
      </w:r>
      <w:proofErr w:type="spellStart"/>
      <w:r w:rsidRPr="00903982">
        <w:rPr>
          <w:rFonts w:cs="Arial"/>
          <w:bCs/>
          <w:lang w:val="es-ES_tradnl"/>
        </w:rPr>
        <w:t>Energía</w:t>
      </w:r>
      <w:proofErr w:type="spellEnd"/>
      <w:r w:rsidRPr="00903982">
        <w:rPr>
          <w:rFonts w:cs="Arial"/>
          <w:bCs/>
          <w:lang w:val="es-ES_tradnl"/>
        </w:rPr>
        <w:t xml:space="preserve"> </w:t>
      </w:r>
    </w:p>
    <w:p w14:paraId="023F4F7F" w14:textId="4664513C" w:rsidR="00FC7A61" w:rsidRPr="00903982" w:rsidRDefault="00FC7A61"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LGCC</w:t>
      </w:r>
      <w:r w:rsidRPr="00903982">
        <w:rPr>
          <w:rFonts w:cs="Arial"/>
          <w:bCs/>
          <w:lang w:val="es-ES_tradnl"/>
        </w:rPr>
        <w:tab/>
      </w:r>
      <w:r w:rsidRPr="00903982">
        <w:rPr>
          <w:rFonts w:cs="Arial"/>
          <w:bCs/>
          <w:lang w:val="es-ES_tradnl"/>
        </w:rPr>
        <w:tab/>
        <w:t>Ley General de Cambio Climático</w:t>
      </w:r>
    </w:p>
    <w:p w14:paraId="41851585" w14:textId="07593787" w:rsidR="00950D2D" w:rsidRPr="00903982" w:rsidRDefault="00950D2D"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LIE</w:t>
      </w:r>
      <w:r w:rsidRPr="00903982">
        <w:rPr>
          <w:rFonts w:cs="Arial"/>
          <w:bCs/>
          <w:lang w:val="es-ES_tradnl"/>
        </w:rPr>
        <w:tab/>
      </w:r>
      <w:r w:rsidR="00E77E39" w:rsidRPr="00903982">
        <w:rPr>
          <w:rFonts w:cs="Arial"/>
          <w:bCs/>
          <w:lang w:val="es-ES_tradnl"/>
        </w:rPr>
        <w:tab/>
      </w:r>
      <w:r w:rsidRPr="00903982">
        <w:rPr>
          <w:rFonts w:cs="Arial"/>
          <w:bCs/>
          <w:lang w:val="es-ES_tradnl"/>
        </w:rPr>
        <w:t>Ley de la Industria Eléctrica</w:t>
      </w:r>
    </w:p>
    <w:p w14:paraId="76B4BBF6" w14:textId="04B3DC69" w:rsidR="00950D2D" w:rsidRPr="00903982" w:rsidRDefault="00CA04AA"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LTE</w:t>
      </w:r>
      <w:r w:rsidRPr="00903982">
        <w:rPr>
          <w:rFonts w:cs="Arial"/>
          <w:bCs/>
          <w:lang w:val="es-ES_tradnl"/>
        </w:rPr>
        <w:tab/>
      </w:r>
      <w:r w:rsidR="00E77E39" w:rsidRPr="00903982">
        <w:rPr>
          <w:rFonts w:cs="Arial"/>
          <w:bCs/>
          <w:lang w:val="es-ES_tradnl"/>
        </w:rPr>
        <w:tab/>
      </w:r>
      <w:r w:rsidRPr="00903982">
        <w:rPr>
          <w:rFonts w:cs="Arial"/>
          <w:bCs/>
          <w:lang w:val="es-ES_tradnl"/>
        </w:rPr>
        <w:t>Ley de Transición Energética</w:t>
      </w:r>
    </w:p>
    <w:p w14:paraId="7435AB62" w14:textId="013216A0" w:rsidR="00FC7A61" w:rsidRPr="00903982" w:rsidRDefault="00FC7A61"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SEN</w:t>
      </w:r>
      <w:r w:rsidRPr="00903982">
        <w:rPr>
          <w:rFonts w:cs="Arial"/>
          <w:bCs/>
          <w:lang w:val="es-ES_tradnl"/>
        </w:rPr>
        <w:tab/>
      </w:r>
      <w:r w:rsidRPr="00903982">
        <w:rPr>
          <w:rFonts w:cs="Arial"/>
          <w:bCs/>
          <w:lang w:val="es-ES_tradnl"/>
        </w:rPr>
        <w:tab/>
        <w:t>Sistema Eléctrico Nacional</w:t>
      </w:r>
    </w:p>
    <w:p w14:paraId="0645D514" w14:textId="537B0A9D" w:rsidR="00CA04AA" w:rsidRPr="00903982" w:rsidRDefault="00FA40FC" w:rsidP="00950D2D">
      <w:pPr>
        <w:pStyle w:val="ListParagraph"/>
        <w:spacing w:after="100" w:afterAutospacing="1" w:line="240" w:lineRule="auto"/>
        <w:ind w:left="0"/>
        <w:jc w:val="both"/>
        <w:outlineLvl w:val="0"/>
        <w:rPr>
          <w:rFonts w:cs="Arial"/>
          <w:bCs/>
          <w:lang w:val="es-ES_tradnl"/>
        </w:rPr>
      </w:pPr>
      <w:r w:rsidRPr="00903982">
        <w:rPr>
          <w:rFonts w:cs="Arial"/>
          <w:bCs/>
          <w:lang w:val="es-ES_tradnl"/>
        </w:rPr>
        <w:t>SENER</w:t>
      </w:r>
      <w:r w:rsidRPr="00903982">
        <w:rPr>
          <w:rFonts w:cs="Arial"/>
          <w:bCs/>
          <w:lang w:val="es-ES_tradnl"/>
        </w:rPr>
        <w:tab/>
      </w:r>
      <w:r w:rsidRPr="00903982">
        <w:rPr>
          <w:rFonts w:cs="Arial"/>
          <w:bCs/>
          <w:lang w:val="es-ES_tradnl"/>
        </w:rPr>
        <w:tab/>
      </w:r>
      <w:r w:rsidR="00F444B2" w:rsidRPr="00903982">
        <w:rPr>
          <w:rFonts w:cs="Arial"/>
          <w:bCs/>
          <w:lang w:val="es-ES_tradnl"/>
        </w:rPr>
        <w:t>Secretaría</w:t>
      </w:r>
      <w:r w:rsidRPr="00903982">
        <w:rPr>
          <w:rFonts w:cs="Arial"/>
          <w:bCs/>
          <w:lang w:val="es-ES_tradnl"/>
        </w:rPr>
        <w:t xml:space="preserve"> de Energía</w:t>
      </w:r>
    </w:p>
    <w:p w14:paraId="558BE72B" w14:textId="66818EDA" w:rsidR="00FC7A61" w:rsidRPr="00903982" w:rsidRDefault="00FC7A61" w:rsidP="00FC7A61">
      <w:pPr>
        <w:pStyle w:val="ListParagraph"/>
        <w:spacing w:after="100" w:afterAutospacing="1" w:line="240" w:lineRule="auto"/>
        <w:ind w:left="0"/>
        <w:jc w:val="both"/>
        <w:outlineLvl w:val="0"/>
        <w:rPr>
          <w:rFonts w:cs="Arial"/>
          <w:bCs/>
          <w:lang w:val="es-ES_tradnl"/>
        </w:rPr>
      </w:pPr>
      <w:r w:rsidRPr="00903982">
        <w:rPr>
          <w:rFonts w:cs="Arial"/>
          <w:bCs/>
          <w:lang w:val="es-ES_tradnl"/>
        </w:rPr>
        <w:t>SIN</w:t>
      </w:r>
      <w:r w:rsidRPr="00903982">
        <w:rPr>
          <w:rFonts w:cs="Arial"/>
          <w:bCs/>
          <w:lang w:val="es-ES_tradnl"/>
        </w:rPr>
        <w:tab/>
      </w:r>
      <w:r w:rsidRPr="00903982">
        <w:rPr>
          <w:rFonts w:cs="Arial"/>
          <w:bCs/>
          <w:lang w:val="es-ES_tradnl"/>
        </w:rPr>
        <w:tab/>
        <w:t>Sistema Interconectado Nacional</w:t>
      </w:r>
    </w:p>
    <w:p w14:paraId="08BF2B7A" w14:textId="77777777" w:rsidR="009C5BDB" w:rsidRPr="00903982" w:rsidRDefault="009C5BDB">
      <w:pPr>
        <w:spacing w:after="160" w:line="259" w:lineRule="auto"/>
        <w:rPr>
          <w:rFonts w:asciiTheme="minorHAnsi" w:hAnsiTheme="minorHAnsi" w:cs="Arial"/>
          <w:b/>
          <w:bCs/>
          <w:sz w:val="22"/>
          <w:szCs w:val="22"/>
          <w:lang w:val="es-ES_tradnl" w:eastAsia="en-US"/>
        </w:rPr>
      </w:pPr>
      <w:r w:rsidRPr="00903982">
        <w:rPr>
          <w:rFonts w:cs="Arial"/>
          <w:b/>
          <w:bCs/>
          <w:lang w:val="es-ES_tradnl"/>
        </w:rPr>
        <w:br w:type="page"/>
      </w:r>
    </w:p>
    <w:bookmarkEnd w:id="0"/>
    <w:p w14:paraId="7DB914C4" w14:textId="01A07A98" w:rsidR="00FC7A61" w:rsidRPr="00903982" w:rsidRDefault="00FC7A61" w:rsidP="002443E0">
      <w:pPr>
        <w:pStyle w:val="Heading1"/>
        <w:spacing w:before="120"/>
        <w:rPr>
          <w:lang w:val="es-ES_tradnl"/>
        </w:rPr>
      </w:pPr>
      <w:r w:rsidRPr="00903982">
        <w:rPr>
          <w:lang w:val="es-ES_tradnl"/>
        </w:rPr>
        <w:lastRenderedPageBreak/>
        <w:t xml:space="preserve">Resumen </w:t>
      </w:r>
      <w:r w:rsidR="00473A4C" w:rsidRPr="00903982">
        <w:rPr>
          <w:lang w:val="es-ES_tradnl"/>
        </w:rPr>
        <w:t>e</w:t>
      </w:r>
      <w:r w:rsidRPr="00903982">
        <w:rPr>
          <w:lang w:val="es-ES_tradnl"/>
        </w:rPr>
        <w:t>jecutivo</w:t>
      </w:r>
    </w:p>
    <w:p w14:paraId="7D9D32C6" w14:textId="338888D7" w:rsidR="00CE6405" w:rsidRPr="00903982" w:rsidRDefault="00CE6405" w:rsidP="002443E0">
      <w:pPr>
        <w:pStyle w:val="Heading1"/>
        <w:spacing w:before="120" w:line="240" w:lineRule="auto"/>
        <w:jc w:val="both"/>
        <w:rPr>
          <w:rFonts w:asciiTheme="minorHAnsi" w:eastAsiaTheme="minorHAnsi" w:hAnsiTheme="minorHAnsi" w:cs="Times New Roman"/>
          <w:color w:val="auto"/>
          <w:sz w:val="22"/>
          <w:szCs w:val="24"/>
          <w:lang w:val="es-ES_tradnl"/>
        </w:rPr>
      </w:pPr>
      <w:r w:rsidRPr="00903982">
        <w:rPr>
          <w:rFonts w:asciiTheme="minorHAnsi" w:eastAsiaTheme="minorHAnsi" w:hAnsiTheme="minorHAnsi" w:cs="Times New Roman"/>
          <w:color w:val="auto"/>
          <w:sz w:val="22"/>
          <w:szCs w:val="24"/>
          <w:lang w:val="es-ES_tradnl"/>
        </w:rPr>
        <w:t xml:space="preserve">Con el objetivo de avanzar en la implementación </w:t>
      </w:r>
      <w:r w:rsidR="00131EBC">
        <w:rPr>
          <w:rFonts w:asciiTheme="minorHAnsi" w:eastAsiaTheme="minorHAnsi" w:hAnsiTheme="minorHAnsi" w:cs="Times New Roman"/>
          <w:color w:val="auto"/>
          <w:sz w:val="22"/>
          <w:szCs w:val="24"/>
          <w:lang w:val="es-ES_tradnl"/>
        </w:rPr>
        <w:t>y fortalecimiento de la Reforma Energética, así como</w:t>
      </w:r>
      <w:r w:rsidRPr="00903982">
        <w:rPr>
          <w:rFonts w:asciiTheme="minorHAnsi" w:eastAsiaTheme="minorHAnsi" w:hAnsiTheme="minorHAnsi" w:cs="Times New Roman"/>
          <w:color w:val="auto"/>
          <w:sz w:val="22"/>
          <w:szCs w:val="24"/>
          <w:lang w:val="es-ES_tradnl"/>
        </w:rPr>
        <w:t xml:space="preserve"> de la Ley de la Transición Energética (LTE), que fue promulgada a finales del 2015, el Gobierno de México solicitó el apoyo del BID bajo la modalidad de préstamo Programático Basado en Política (PBP). El objetivo general de la LTE se puede estructurar en un Programa que busca contribuir al mejoramiento de la productividad, sostenibili</w:t>
      </w:r>
      <w:r w:rsidR="0046646E" w:rsidRPr="00903982">
        <w:rPr>
          <w:rFonts w:asciiTheme="minorHAnsi" w:eastAsiaTheme="minorHAnsi" w:hAnsiTheme="minorHAnsi" w:cs="Times New Roman"/>
          <w:color w:val="auto"/>
          <w:sz w:val="22"/>
          <w:szCs w:val="24"/>
          <w:lang w:val="es-ES_tradnl"/>
        </w:rPr>
        <w:t>dad ambiental y social del país</w:t>
      </w:r>
      <w:r w:rsidRPr="00903982">
        <w:rPr>
          <w:rFonts w:asciiTheme="minorHAnsi" w:eastAsiaTheme="minorHAnsi" w:hAnsiTheme="minorHAnsi" w:cs="Times New Roman"/>
          <w:color w:val="auto"/>
          <w:sz w:val="22"/>
          <w:szCs w:val="24"/>
          <w:lang w:val="es-ES_tradnl"/>
        </w:rPr>
        <w:t xml:space="preserve"> a través de un proceso de reformas de políticas en el sector energético que consideren aspectos técnicos, económicos, sociales, ambientales y las necesidades e intereses nacionales y estatales. </w:t>
      </w:r>
    </w:p>
    <w:p w14:paraId="1203C8E4" w14:textId="3284212B" w:rsidR="005D1BAF" w:rsidRPr="00903982" w:rsidRDefault="00A21348" w:rsidP="00A21348">
      <w:pPr>
        <w:pStyle w:val="Heading1"/>
        <w:spacing w:line="240" w:lineRule="auto"/>
        <w:jc w:val="both"/>
        <w:rPr>
          <w:rFonts w:asciiTheme="minorHAnsi" w:eastAsiaTheme="minorHAnsi" w:hAnsiTheme="minorHAnsi" w:cs="Times New Roman"/>
          <w:color w:val="auto"/>
          <w:sz w:val="22"/>
          <w:szCs w:val="24"/>
          <w:lang w:val="es-ES_tradnl"/>
        </w:rPr>
      </w:pPr>
      <w:r w:rsidRPr="00903982">
        <w:rPr>
          <w:rFonts w:asciiTheme="minorHAnsi" w:eastAsiaTheme="minorHAnsi" w:hAnsiTheme="minorHAnsi" w:cs="Times New Roman"/>
          <w:color w:val="auto"/>
          <w:sz w:val="22"/>
          <w:szCs w:val="24"/>
          <w:lang w:val="es-ES_tradnl"/>
        </w:rPr>
        <w:t xml:space="preserve">El presente estudio busca </w:t>
      </w:r>
      <w:r w:rsidR="00B65F39" w:rsidRPr="00903982">
        <w:rPr>
          <w:rFonts w:asciiTheme="minorHAnsi" w:eastAsiaTheme="minorHAnsi" w:hAnsiTheme="minorHAnsi" w:cs="Times New Roman"/>
          <w:color w:val="auto"/>
          <w:sz w:val="22"/>
          <w:szCs w:val="24"/>
          <w:lang w:val="es-ES_tradnl"/>
        </w:rPr>
        <w:t>determinar el impacto económico que tendría</w:t>
      </w:r>
      <w:r w:rsidR="00EB5D08" w:rsidRPr="00903982">
        <w:rPr>
          <w:rFonts w:asciiTheme="minorHAnsi" w:eastAsiaTheme="minorHAnsi" w:hAnsiTheme="minorHAnsi" w:cs="Times New Roman"/>
          <w:color w:val="auto"/>
          <w:sz w:val="22"/>
          <w:szCs w:val="24"/>
          <w:lang w:val="es-ES_tradnl"/>
        </w:rPr>
        <w:t>n</w:t>
      </w:r>
      <w:r w:rsidR="00B65F39" w:rsidRPr="00903982">
        <w:rPr>
          <w:rFonts w:asciiTheme="minorHAnsi" w:eastAsiaTheme="minorHAnsi" w:hAnsiTheme="minorHAnsi" w:cs="Times New Roman"/>
          <w:color w:val="auto"/>
          <w:sz w:val="22"/>
          <w:szCs w:val="24"/>
          <w:lang w:val="es-ES_tradnl"/>
        </w:rPr>
        <w:t xml:space="preserve"> las medidas </w:t>
      </w:r>
      <w:r w:rsidR="0046646E" w:rsidRPr="00903982">
        <w:rPr>
          <w:rFonts w:asciiTheme="minorHAnsi" w:eastAsiaTheme="minorHAnsi" w:hAnsiTheme="minorHAnsi" w:cs="Times New Roman"/>
          <w:color w:val="auto"/>
          <w:sz w:val="22"/>
          <w:szCs w:val="24"/>
          <w:lang w:val="es-ES_tradnl"/>
        </w:rPr>
        <w:t>del Programa.</w:t>
      </w:r>
      <w:r w:rsidRPr="00903982">
        <w:rPr>
          <w:rFonts w:asciiTheme="minorHAnsi" w:eastAsiaTheme="minorHAnsi" w:hAnsiTheme="minorHAnsi" w:cs="Times New Roman"/>
          <w:color w:val="auto"/>
          <w:sz w:val="22"/>
          <w:szCs w:val="24"/>
          <w:lang w:val="es-ES_tradnl"/>
        </w:rPr>
        <w:t xml:space="preserve"> </w:t>
      </w:r>
      <w:r w:rsidR="0046646E" w:rsidRPr="00903982">
        <w:rPr>
          <w:rFonts w:asciiTheme="minorHAnsi" w:eastAsiaTheme="minorHAnsi" w:hAnsiTheme="minorHAnsi" w:cs="Times New Roman"/>
          <w:color w:val="auto"/>
          <w:sz w:val="22"/>
          <w:szCs w:val="24"/>
          <w:lang w:val="es-ES_tradnl"/>
        </w:rPr>
        <w:t xml:space="preserve"> </w:t>
      </w:r>
      <w:r w:rsidRPr="00903982">
        <w:rPr>
          <w:rFonts w:asciiTheme="minorHAnsi" w:eastAsiaTheme="minorHAnsi" w:hAnsiTheme="minorHAnsi" w:cs="Times New Roman"/>
          <w:color w:val="auto"/>
          <w:sz w:val="22"/>
          <w:szCs w:val="24"/>
          <w:lang w:val="es-ES_tradnl"/>
        </w:rPr>
        <w:t>Para esto</w:t>
      </w:r>
      <w:r w:rsidR="00EB5D08" w:rsidRPr="00903982">
        <w:rPr>
          <w:rFonts w:asciiTheme="minorHAnsi" w:eastAsiaTheme="minorHAnsi" w:hAnsiTheme="minorHAnsi" w:cs="Times New Roman"/>
          <w:color w:val="auto"/>
          <w:sz w:val="22"/>
          <w:szCs w:val="24"/>
          <w:lang w:val="es-ES_tradnl"/>
        </w:rPr>
        <w:t xml:space="preserve"> </w:t>
      </w:r>
      <w:r w:rsidRPr="00903982">
        <w:rPr>
          <w:rFonts w:asciiTheme="minorHAnsi" w:eastAsiaTheme="minorHAnsi" w:hAnsiTheme="minorHAnsi" w:cs="Times New Roman"/>
          <w:color w:val="auto"/>
          <w:sz w:val="22"/>
          <w:szCs w:val="24"/>
          <w:lang w:val="es-ES_tradnl"/>
        </w:rPr>
        <w:t>el estudio generó</w:t>
      </w:r>
      <w:r w:rsidR="00EB5D08" w:rsidRPr="00903982">
        <w:rPr>
          <w:rFonts w:asciiTheme="minorHAnsi" w:eastAsiaTheme="minorHAnsi" w:hAnsiTheme="minorHAnsi" w:cs="Times New Roman"/>
          <w:color w:val="auto"/>
          <w:sz w:val="22"/>
          <w:szCs w:val="24"/>
          <w:lang w:val="es-ES_tradnl"/>
        </w:rPr>
        <w:t xml:space="preserve"> un</w:t>
      </w:r>
      <w:r w:rsidR="0046646E" w:rsidRPr="00903982">
        <w:rPr>
          <w:rFonts w:asciiTheme="minorHAnsi" w:eastAsiaTheme="minorHAnsi" w:hAnsiTheme="minorHAnsi" w:cs="Times New Roman"/>
          <w:color w:val="auto"/>
          <w:sz w:val="22"/>
          <w:szCs w:val="24"/>
          <w:lang w:val="es-ES_tradnl"/>
        </w:rPr>
        <w:t>a línea</w:t>
      </w:r>
      <w:r w:rsidR="00EB5D08" w:rsidRPr="00903982">
        <w:rPr>
          <w:rFonts w:asciiTheme="minorHAnsi" w:eastAsiaTheme="minorHAnsi" w:hAnsiTheme="minorHAnsi" w:cs="Times New Roman"/>
          <w:color w:val="auto"/>
          <w:sz w:val="22"/>
          <w:szCs w:val="24"/>
          <w:lang w:val="es-ES_tradnl"/>
        </w:rPr>
        <w:t xml:space="preserve"> base</w:t>
      </w:r>
      <w:r w:rsidRPr="00903982">
        <w:rPr>
          <w:rFonts w:asciiTheme="minorHAnsi" w:eastAsiaTheme="minorHAnsi" w:hAnsiTheme="minorHAnsi" w:cs="Times New Roman"/>
          <w:color w:val="auto"/>
          <w:sz w:val="22"/>
          <w:szCs w:val="24"/>
          <w:lang w:val="es-ES_tradnl"/>
        </w:rPr>
        <w:t>, sin considerar ninguna de las medidas del Programa y se comparó con escenarios</w:t>
      </w:r>
      <w:r w:rsidR="0046646E" w:rsidRPr="00903982">
        <w:rPr>
          <w:rFonts w:asciiTheme="minorHAnsi" w:eastAsiaTheme="minorHAnsi" w:hAnsiTheme="minorHAnsi" w:cs="Times New Roman"/>
          <w:color w:val="auto"/>
          <w:sz w:val="22"/>
          <w:szCs w:val="24"/>
          <w:lang w:val="es-ES_tradnl"/>
        </w:rPr>
        <w:t>, uno por cada medida propuesta</w:t>
      </w:r>
      <w:r w:rsidRPr="00903982">
        <w:rPr>
          <w:rFonts w:asciiTheme="minorHAnsi" w:eastAsiaTheme="minorHAnsi" w:hAnsiTheme="minorHAnsi" w:cs="Times New Roman"/>
          <w:color w:val="auto"/>
          <w:sz w:val="22"/>
          <w:szCs w:val="24"/>
          <w:lang w:val="es-ES_tradnl"/>
        </w:rPr>
        <w:t xml:space="preserve">.  </w:t>
      </w:r>
      <w:r w:rsidR="0046646E" w:rsidRPr="00903982">
        <w:rPr>
          <w:rFonts w:asciiTheme="minorHAnsi" w:eastAsiaTheme="minorHAnsi" w:hAnsiTheme="minorHAnsi" w:cs="Times New Roman"/>
          <w:color w:val="auto"/>
          <w:sz w:val="22"/>
          <w:szCs w:val="24"/>
          <w:lang w:val="es-ES_tradnl"/>
        </w:rPr>
        <w:t>De esta forma</w:t>
      </w:r>
      <w:r w:rsidRPr="00903982">
        <w:rPr>
          <w:rFonts w:asciiTheme="minorHAnsi" w:eastAsiaTheme="minorHAnsi" w:hAnsiTheme="minorHAnsi" w:cs="Times New Roman"/>
          <w:color w:val="auto"/>
          <w:sz w:val="22"/>
          <w:szCs w:val="24"/>
          <w:lang w:val="es-ES_tradnl"/>
        </w:rPr>
        <w:t xml:space="preserve">, </w:t>
      </w:r>
      <w:r w:rsidR="0046646E" w:rsidRPr="00903982">
        <w:rPr>
          <w:rFonts w:asciiTheme="minorHAnsi" w:eastAsiaTheme="minorHAnsi" w:hAnsiTheme="minorHAnsi" w:cs="Times New Roman"/>
          <w:color w:val="auto"/>
          <w:sz w:val="22"/>
          <w:szCs w:val="24"/>
          <w:lang w:val="es-ES_tradnl"/>
        </w:rPr>
        <w:t>se evaluaron escenarios con eficiencia energética, con mayor penetración de energía limpia, con menores pérdidas no técnicas y con mayor cobertura de servicio</w:t>
      </w:r>
      <w:r w:rsidR="00EB5D08" w:rsidRPr="00903982">
        <w:rPr>
          <w:rFonts w:asciiTheme="minorHAnsi" w:eastAsiaTheme="minorHAnsi" w:hAnsiTheme="minorHAnsi" w:cs="Times New Roman"/>
          <w:color w:val="auto"/>
          <w:sz w:val="22"/>
          <w:szCs w:val="24"/>
          <w:lang w:val="es-ES_tradnl"/>
        </w:rPr>
        <w:t>.</w:t>
      </w:r>
      <w:r w:rsidR="005D1BAF" w:rsidRPr="00903982">
        <w:rPr>
          <w:rFonts w:asciiTheme="minorHAnsi" w:eastAsiaTheme="minorHAnsi" w:hAnsiTheme="minorHAnsi" w:cs="Times New Roman"/>
          <w:color w:val="auto"/>
          <w:sz w:val="22"/>
          <w:szCs w:val="24"/>
          <w:lang w:val="es-ES_tradnl"/>
        </w:rPr>
        <w:t xml:space="preserve"> </w:t>
      </w:r>
      <w:r w:rsidRPr="00903982">
        <w:rPr>
          <w:rFonts w:asciiTheme="minorHAnsi" w:eastAsiaTheme="minorHAnsi" w:hAnsiTheme="minorHAnsi" w:cs="Times New Roman"/>
          <w:color w:val="auto"/>
          <w:sz w:val="22"/>
          <w:szCs w:val="24"/>
          <w:lang w:val="es-ES_tradnl"/>
        </w:rPr>
        <w:t xml:space="preserve">Como resultado de dichas comparaciones se determinó un impacto en materia de </w:t>
      </w:r>
      <w:r w:rsidR="0046646E" w:rsidRPr="00903982">
        <w:rPr>
          <w:rFonts w:asciiTheme="minorHAnsi" w:eastAsiaTheme="minorHAnsi" w:hAnsiTheme="minorHAnsi" w:cs="Times New Roman"/>
          <w:color w:val="auto"/>
          <w:sz w:val="22"/>
          <w:szCs w:val="24"/>
          <w:lang w:val="es-ES_tradnl"/>
        </w:rPr>
        <w:t xml:space="preserve">ingresos, </w:t>
      </w:r>
      <w:r w:rsidRPr="00903982">
        <w:rPr>
          <w:rFonts w:asciiTheme="minorHAnsi" w:eastAsiaTheme="minorHAnsi" w:hAnsiTheme="minorHAnsi" w:cs="Times New Roman"/>
          <w:color w:val="auto"/>
          <w:sz w:val="22"/>
          <w:szCs w:val="24"/>
          <w:lang w:val="es-ES_tradnl"/>
        </w:rPr>
        <w:t>costo</w:t>
      </w:r>
      <w:r w:rsidR="0046646E" w:rsidRPr="00903982">
        <w:rPr>
          <w:rFonts w:asciiTheme="minorHAnsi" w:eastAsiaTheme="minorHAnsi" w:hAnsiTheme="minorHAnsi" w:cs="Times New Roman"/>
          <w:color w:val="auto"/>
          <w:sz w:val="22"/>
          <w:szCs w:val="24"/>
          <w:lang w:val="es-ES_tradnl"/>
        </w:rPr>
        <w:t>s</w:t>
      </w:r>
      <w:r w:rsidRPr="00903982">
        <w:rPr>
          <w:rFonts w:asciiTheme="minorHAnsi" w:eastAsiaTheme="minorHAnsi" w:hAnsiTheme="minorHAnsi" w:cs="Times New Roman"/>
          <w:color w:val="auto"/>
          <w:sz w:val="22"/>
          <w:szCs w:val="24"/>
          <w:lang w:val="es-ES_tradnl"/>
        </w:rPr>
        <w:t xml:space="preserve"> </w:t>
      </w:r>
      <w:r w:rsidR="0046646E" w:rsidRPr="00903982">
        <w:rPr>
          <w:rFonts w:asciiTheme="minorHAnsi" w:eastAsiaTheme="minorHAnsi" w:hAnsiTheme="minorHAnsi" w:cs="Times New Roman"/>
          <w:color w:val="auto"/>
          <w:sz w:val="22"/>
          <w:szCs w:val="24"/>
          <w:lang w:val="es-ES_tradnl"/>
        </w:rPr>
        <w:t>y utilidad</w:t>
      </w:r>
      <w:r w:rsidRPr="00903982">
        <w:rPr>
          <w:rFonts w:asciiTheme="minorHAnsi" w:eastAsiaTheme="minorHAnsi" w:hAnsiTheme="minorHAnsi" w:cs="Times New Roman"/>
          <w:color w:val="auto"/>
          <w:sz w:val="22"/>
          <w:szCs w:val="24"/>
          <w:lang w:val="es-ES_tradnl"/>
        </w:rPr>
        <w:t xml:space="preserve">. </w:t>
      </w:r>
    </w:p>
    <w:p w14:paraId="7B4222E0" w14:textId="77777777" w:rsidR="00FD58B0" w:rsidRPr="00903982" w:rsidRDefault="00FD58B0" w:rsidP="00FD58B0">
      <w:pPr>
        <w:rPr>
          <w:lang w:val="es-ES_tradnl"/>
        </w:rPr>
      </w:pPr>
    </w:p>
    <w:p w14:paraId="0E4E6534" w14:textId="2483AC6C" w:rsidR="00EB5D08" w:rsidRPr="00903982" w:rsidRDefault="0046646E" w:rsidP="00EB5D08">
      <w:pPr>
        <w:spacing w:after="160" w:line="259" w:lineRule="auto"/>
        <w:rPr>
          <w:rFonts w:asciiTheme="minorHAnsi" w:hAnsiTheme="minorHAnsi"/>
          <w:b/>
          <w:sz w:val="22"/>
          <w:lang w:val="es-ES_tradnl"/>
        </w:rPr>
      </w:pPr>
      <w:r w:rsidRPr="00903982">
        <w:rPr>
          <w:rFonts w:asciiTheme="minorHAnsi" w:hAnsiTheme="minorHAnsi"/>
          <w:b/>
          <w:sz w:val="22"/>
          <w:lang w:val="es-ES_tradnl"/>
        </w:rPr>
        <w:t>Escenario con mayor</w:t>
      </w:r>
      <w:r w:rsidR="00EB5D08" w:rsidRPr="00903982">
        <w:rPr>
          <w:rFonts w:asciiTheme="minorHAnsi" w:hAnsiTheme="minorHAnsi"/>
          <w:b/>
          <w:sz w:val="22"/>
          <w:lang w:val="es-ES_tradnl"/>
        </w:rPr>
        <w:t xml:space="preserve"> eficiencia energética</w:t>
      </w:r>
    </w:p>
    <w:p w14:paraId="74EAB9BB" w14:textId="32E2399E" w:rsidR="00D55012" w:rsidRPr="00903982" w:rsidRDefault="00405ABC" w:rsidP="002443E0">
      <w:pPr>
        <w:spacing w:after="120" w:line="259" w:lineRule="auto"/>
        <w:jc w:val="both"/>
        <w:rPr>
          <w:rFonts w:asciiTheme="minorHAnsi" w:hAnsiTheme="minorHAnsi"/>
          <w:sz w:val="22"/>
          <w:lang w:val="es-ES_tradnl"/>
        </w:rPr>
      </w:pPr>
      <w:r w:rsidRPr="00903982">
        <w:rPr>
          <w:rFonts w:asciiTheme="minorHAnsi" w:hAnsiTheme="minorHAnsi"/>
          <w:sz w:val="22"/>
          <w:lang w:val="es-ES_tradnl"/>
        </w:rPr>
        <w:t xml:space="preserve">El impacto de la eficiencia energética </w:t>
      </w:r>
      <w:r w:rsidR="00A21348" w:rsidRPr="00903982">
        <w:rPr>
          <w:rFonts w:asciiTheme="minorHAnsi" w:hAnsiTheme="minorHAnsi"/>
          <w:sz w:val="22"/>
          <w:lang w:val="es-ES_tradnl"/>
        </w:rPr>
        <w:t xml:space="preserve">se calculó </w:t>
      </w:r>
      <w:r w:rsidRPr="00903982">
        <w:rPr>
          <w:rFonts w:asciiTheme="minorHAnsi" w:hAnsiTheme="minorHAnsi"/>
          <w:sz w:val="22"/>
          <w:lang w:val="es-ES_tradnl"/>
        </w:rPr>
        <w:t xml:space="preserve">en base </w:t>
      </w:r>
      <w:r w:rsidR="0046646E" w:rsidRPr="00903982">
        <w:rPr>
          <w:rFonts w:asciiTheme="minorHAnsi" w:hAnsiTheme="minorHAnsi"/>
          <w:sz w:val="22"/>
          <w:lang w:val="es-ES_tradnl"/>
        </w:rPr>
        <w:t xml:space="preserve">a la comparación del escenario con mayor eficiencia energética con la línea base que incluye </w:t>
      </w:r>
      <w:r w:rsidR="00A21348" w:rsidRPr="00903982">
        <w:rPr>
          <w:rFonts w:asciiTheme="minorHAnsi" w:hAnsiTheme="minorHAnsi"/>
          <w:sz w:val="22"/>
          <w:lang w:val="es-ES_tradnl"/>
        </w:rPr>
        <w:t>una demanda ene</w:t>
      </w:r>
      <w:r w:rsidR="0046646E" w:rsidRPr="00903982">
        <w:rPr>
          <w:rFonts w:asciiTheme="minorHAnsi" w:hAnsiTheme="minorHAnsi"/>
          <w:sz w:val="22"/>
          <w:lang w:val="es-ES_tradnl"/>
        </w:rPr>
        <w:t>r</w:t>
      </w:r>
      <w:r w:rsidR="00A21348" w:rsidRPr="00903982">
        <w:rPr>
          <w:rFonts w:asciiTheme="minorHAnsi" w:hAnsiTheme="minorHAnsi"/>
          <w:sz w:val="22"/>
          <w:lang w:val="es-ES_tradnl"/>
        </w:rPr>
        <w:t xml:space="preserve">gética que no considerará la </w:t>
      </w:r>
      <w:r w:rsidR="00EB5D08" w:rsidRPr="00903982">
        <w:rPr>
          <w:rFonts w:asciiTheme="minorHAnsi" w:hAnsiTheme="minorHAnsi"/>
          <w:sz w:val="22"/>
          <w:lang w:val="es-ES_tradnl"/>
        </w:rPr>
        <w:t xml:space="preserve">reducción de crecimiento anual de intensidad </w:t>
      </w:r>
      <w:r w:rsidR="00A21348" w:rsidRPr="00903982">
        <w:rPr>
          <w:rFonts w:asciiTheme="minorHAnsi" w:hAnsiTheme="minorHAnsi"/>
          <w:sz w:val="22"/>
          <w:lang w:val="es-ES_tradnl"/>
        </w:rPr>
        <w:t xml:space="preserve">energética </w:t>
      </w:r>
      <w:r w:rsidR="00EB5D08" w:rsidRPr="00903982">
        <w:rPr>
          <w:rFonts w:asciiTheme="minorHAnsi" w:hAnsiTheme="minorHAnsi"/>
          <w:sz w:val="22"/>
          <w:lang w:val="es-ES_tradnl"/>
        </w:rPr>
        <w:t xml:space="preserve">de 1.9%, planteada por </w:t>
      </w:r>
      <w:r w:rsidR="00376924" w:rsidRPr="00903982">
        <w:rPr>
          <w:rFonts w:asciiTheme="minorHAnsi" w:hAnsiTheme="minorHAnsi"/>
          <w:sz w:val="22"/>
          <w:lang w:val="es-ES_tradnl"/>
        </w:rPr>
        <w:t>el Programa</w:t>
      </w:r>
      <w:r w:rsidR="00EB5D08" w:rsidRPr="00903982">
        <w:rPr>
          <w:rFonts w:asciiTheme="minorHAnsi" w:hAnsiTheme="minorHAnsi"/>
          <w:sz w:val="22"/>
          <w:lang w:val="es-ES_tradnl"/>
        </w:rPr>
        <w:t xml:space="preserve">. Lo </w:t>
      </w:r>
      <w:r w:rsidR="00A21348" w:rsidRPr="00903982">
        <w:rPr>
          <w:rFonts w:asciiTheme="minorHAnsi" w:hAnsiTheme="minorHAnsi"/>
          <w:sz w:val="22"/>
          <w:lang w:val="es-ES_tradnl"/>
        </w:rPr>
        <w:t>anterior permitió</w:t>
      </w:r>
      <w:r w:rsidR="00EB5D08" w:rsidRPr="00903982">
        <w:rPr>
          <w:rFonts w:asciiTheme="minorHAnsi" w:hAnsiTheme="minorHAnsi"/>
          <w:sz w:val="22"/>
          <w:lang w:val="es-ES_tradnl"/>
        </w:rPr>
        <w:t xml:space="preserve"> determinar las diferencias de emisiones producidas, la energía ahorrada, el costo de ahorro energético y la diferencia de capacidad instalada entre ambos escenarios. </w:t>
      </w:r>
      <w:r w:rsidR="007B3443" w:rsidRPr="00903982">
        <w:rPr>
          <w:rFonts w:asciiTheme="minorHAnsi" w:hAnsiTheme="minorHAnsi"/>
          <w:sz w:val="22"/>
          <w:lang w:val="es-ES_tradnl"/>
        </w:rPr>
        <w:t xml:space="preserve">Para la evaluación del costo de la eficiencia energética se utilizó el resultado de los </w:t>
      </w:r>
      <w:r w:rsidR="00A21348" w:rsidRPr="00903982">
        <w:rPr>
          <w:rFonts w:asciiTheme="minorHAnsi" w:hAnsiTheme="minorHAnsi"/>
          <w:sz w:val="22"/>
          <w:lang w:val="es-ES_tradnl"/>
        </w:rPr>
        <w:t xml:space="preserve">estudios del Lawrence </w:t>
      </w:r>
      <w:r w:rsidR="00903982" w:rsidRPr="00903982">
        <w:rPr>
          <w:rFonts w:asciiTheme="minorHAnsi" w:hAnsiTheme="minorHAnsi"/>
          <w:sz w:val="22"/>
          <w:lang w:val="es-ES_tradnl"/>
        </w:rPr>
        <w:t>Berkeley</w:t>
      </w:r>
      <w:r w:rsidR="00A21348" w:rsidRPr="00903982">
        <w:rPr>
          <w:rFonts w:asciiTheme="minorHAnsi" w:hAnsiTheme="minorHAnsi"/>
          <w:sz w:val="22"/>
          <w:lang w:val="es-ES_tradnl"/>
        </w:rPr>
        <w:t xml:space="preserve"> </w:t>
      </w:r>
      <w:proofErr w:type="spellStart"/>
      <w:r w:rsidR="00A21348" w:rsidRPr="00903982">
        <w:rPr>
          <w:rFonts w:asciiTheme="minorHAnsi" w:hAnsiTheme="minorHAnsi"/>
          <w:sz w:val="22"/>
          <w:lang w:val="es-ES_tradnl"/>
        </w:rPr>
        <w:t>National</w:t>
      </w:r>
      <w:proofErr w:type="spellEnd"/>
      <w:r w:rsidR="00A21348" w:rsidRPr="00903982">
        <w:rPr>
          <w:rFonts w:asciiTheme="minorHAnsi" w:hAnsiTheme="minorHAnsi"/>
          <w:sz w:val="22"/>
          <w:lang w:val="es-ES_tradnl"/>
        </w:rPr>
        <w:t xml:space="preserve"> </w:t>
      </w:r>
      <w:proofErr w:type="spellStart"/>
      <w:r w:rsidR="00A21348" w:rsidRPr="00903982">
        <w:rPr>
          <w:rFonts w:asciiTheme="minorHAnsi" w:hAnsiTheme="minorHAnsi"/>
          <w:sz w:val="22"/>
          <w:lang w:val="es-ES_tradnl"/>
        </w:rPr>
        <w:t>Lab</w:t>
      </w:r>
      <w:proofErr w:type="spellEnd"/>
      <w:r w:rsidR="00A21348" w:rsidRPr="00903982">
        <w:rPr>
          <w:rFonts w:asciiTheme="minorHAnsi" w:hAnsiTheme="minorHAnsi"/>
          <w:sz w:val="22"/>
          <w:lang w:val="es-ES_tradnl"/>
        </w:rPr>
        <w:t xml:space="preserve"> </w:t>
      </w:r>
      <w:r w:rsidR="008325A2" w:rsidRPr="00903982">
        <w:rPr>
          <w:rFonts w:asciiTheme="minorHAnsi" w:hAnsiTheme="minorHAnsi"/>
          <w:sz w:val="22"/>
          <w:lang w:val="es-ES_tradnl"/>
        </w:rPr>
        <w:t>de 24</w:t>
      </w:r>
      <w:r w:rsidR="00EB5D08" w:rsidRPr="00903982">
        <w:rPr>
          <w:rFonts w:asciiTheme="minorHAnsi" w:hAnsiTheme="minorHAnsi"/>
          <w:sz w:val="22"/>
          <w:lang w:val="es-ES_tradnl"/>
        </w:rPr>
        <w:t xml:space="preserve"> centavos de dólar por kWh ahorrado</w:t>
      </w:r>
      <w:r w:rsidR="005D1BAF" w:rsidRPr="00903982">
        <w:rPr>
          <w:rFonts w:asciiTheme="minorHAnsi" w:hAnsiTheme="minorHAnsi"/>
          <w:sz w:val="22"/>
          <w:lang w:val="es-ES_tradnl"/>
        </w:rPr>
        <w:t>.</w:t>
      </w:r>
      <w:r w:rsidR="00B82D1C">
        <w:rPr>
          <w:rFonts w:asciiTheme="minorHAnsi" w:hAnsiTheme="minorHAnsi"/>
          <w:sz w:val="22"/>
          <w:lang w:val="es-ES_tradnl"/>
        </w:rPr>
        <w:t xml:space="preserve">  La utilidad del escenario (en comparación con el caso base) alcanzó los 11,334 millones de US$ y su tasa interna de retorno al 60%.</w:t>
      </w:r>
    </w:p>
    <w:p w14:paraId="04D40879" w14:textId="33341DC1" w:rsidR="00D55012" w:rsidRPr="00903982" w:rsidRDefault="00D55012" w:rsidP="00CE6405">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1</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w:t>
      </w:r>
      <w:r w:rsidR="0046646E" w:rsidRPr="00903982">
        <w:rPr>
          <w:rFonts w:asciiTheme="minorHAnsi" w:hAnsiTheme="minorHAnsi"/>
          <w:b w:val="0"/>
          <w:sz w:val="22"/>
          <w:lang w:val="es-ES_tradnl"/>
        </w:rPr>
        <w:t>Diferencia</w:t>
      </w:r>
      <w:r w:rsidRPr="00903982">
        <w:rPr>
          <w:rFonts w:asciiTheme="minorHAnsi" w:hAnsiTheme="minorHAnsi"/>
          <w:b w:val="0"/>
          <w:sz w:val="22"/>
          <w:lang w:val="es-ES_tradnl"/>
        </w:rPr>
        <w:t xml:space="preserve"> </w:t>
      </w:r>
      <w:r w:rsidR="0046646E" w:rsidRPr="00903982">
        <w:rPr>
          <w:rFonts w:asciiTheme="minorHAnsi" w:hAnsiTheme="minorHAnsi"/>
          <w:b w:val="0"/>
          <w:sz w:val="22"/>
          <w:lang w:val="es-ES_tradnl"/>
        </w:rPr>
        <w:t>entre línea base y escenario con mayor</w:t>
      </w:r>
      <w:r w:rsidRPr="00903982">
        <w:rPr>
          <w:rFonts w:asciiTheme="minorHAnsi" w:hAnsiTheme="minorHAnsi"/>
          <w:b w:val="0"/>
          <w:sz w:val="22"/>
          <w:lang w:val="es-ES_tradnl"/>
        </w:rPr>
        <w:t xml:space="preserve"> eficiencia energética</w:t>
      </w:r>
    </w:p>
    <w:tbl>
      <w:tblPr>
        <w:tblStyle w:val="TableGrid"/>
        <w:tblW w:w="0" w:type="auto"/>
        <w:jc w:val="center"/>
        <w:tblLook w:val="04A0" w:firstRow="1" w:lastRow="0" w:firstColumn="1" w:lastColumn="0" w:noHBand="0" w:noVBand="1"/>
      </w:tblPr>
      <w:tblGrid>
        <w:gridCol w:w="4166"/>
        <w:gridCol w:w="1862"/>
      </w:tblGrid>
      <w:tr w:rsidR="005D1BAF" w:rsidRPr="00903982" w14:paraId="088CCC31" w14:textId="77777777" w:rsidTr="00E24639">
        <w:trPr>
          <w:trHeight w:val="327"/>
          <w:jc w:val="center"/>
        </w:trPr>
        <w:tc>
          <w:tcPr>
            <w:tcW w:w="4166" w:type="dxa"/>
            <w:shd w:val="clear" w:color="auto" w:fill="D9D9D9" w:themeFill="background1" w:themeFillShade="D9"/>
            <w:vAlign w:val="center"/>
          </w:tcPr>
          <w:p w14:paraId="00367CFA" w14:textId="4443D77F" w:rsidR="005D1BAF" w:rsidRPr="00903982" w:rsidRDefault="005D1BAF" w:rsidP="005D1BAF">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w:t>
            </w:r>
          </w:p>
        </w:tc>
        <w:tc>
          <w:tcPr>
            <w:tcW w:w="1862" w:type="dxa"/>
            <w:shd w:val="clear" w:color="auto" w:fill="D9D9D9" w:themeFill="background1" w:themeFillShade="D9"/>
            <w:vAlign w:val="center"/>
          </w:tcPr>
          <w:p w14:paraId="5448D128" w14:textId="3FEB9A88" w:rsidR="005D1BAF" w:rsidRPr="00903982" w:rsidRDefault="00E24639" w:rsidP="00E24639">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 Millones de </w:t>
            </w:r>
            <w:r w:rsidR="005D1BAF" w:rsidRPr="00903982">
              <w:rPr>
                <w:rFonts w:asciiTheme="minorHAnsi" w:eastAsia="Calibri" w:hAnsiTheme="minorHAnsi" w:cstheme="minorBidi"/>
                <w:sz w:val="22"/>
                <w:szCs w:val="22"/>
                <w:lang w:val="es-ES_tradnl" w:eastAsia="en-US"/>
              </w:rPr>
              <w:t xml:space="preserve">US$ </w:t>
            </w:r>
          </w:p>
        </w:tc>
      </w:tr>
      <w:tr w:rsidR="00FC7D77" w:rsidRPr="00903982" w14:paraId="5D3738D5" w14:textId="77777777" w:rsidTr="002443E0">
        <w:trPr>
          <w:trHeight w:val="373"/>
          <w:jc w:val="center"/>
        </w:trPr>
        <w:tc>
          <w:tcPr>
            <w:tcW w:w="4166" w:type="dxa"/>
            <w:vAlign w:val="center"/>
          </w:tcPr>
          <w:p w14:paraId="1C82336B" w14:textId="028179AE" w:rsidR="00FC7D77" w:rsidRPr="00903982" w:rsidRDefault="00FC7D77" w:rsidP="005D1BAF">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Valoración de menores emisiones de CO2</w:t>
            </w:r>
          </w:p>
        </w:tc>
        <w:tc>
          <w:tcPr>
            <w:tcW w:w="1862" w:type="dxa"/>
            <w:vAlign w:val="bottom"/>
          </w:tcPr>
          <w:p w14:paraId="488CD0E8" w14:textId="78B05AFC" w:rsidR="00FC7D77" w:rsidRPr="00903982" w:rsidRDefault="00FC7D77" w:rsidP="00E24639">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                                      683 </w:t>
            </w:r>
          </w:p>
        </w:tc>
      </w:tr>
      <w:tr w:rsidR="00FC7D77" w:rsidRPr="00903982" w14:paraId="13772734" w14:textId="77777777" w:rsidTr="00E63C09">
        <w:trPr>
          <w:trHeight w:val="446"/>
          <w:jc w:val="center"/>
        </w:trPr>
        <w:tc>
          <w:tcPr>
            <w:tcW w:w="4166" w:type="dxa"/>
            <w:vAlign w:val="center"/>
          </w:tcPr>
          <w:p w14:paraId="2A8C3A71" w14:textId="47996699" w:rsidR="00FC7D77" w:rsidRPr="00903982" w:rsidRDefault="00FC7D77" w:rsidP="003F1DB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Menores costos de generación </w:t>
            </w:r>
          </w:p>
        </w:tc>
        <w:tc>
          <w:tcPr>
            <w:tcW w:w="1862" w:type="dxa"/>
            <w:vAlign w:val="bottom"/>
          </w:tcPr>
          <w:p w14:paraId="60AACC94" w14:textId="7A3EF6CF" w:rsidR="00FC7D77" w:rsidRPr="00903982" w:rsidRDefault="00FC7D77" w:rsidP="00FC7D77">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 xml:space="preserve">                                12,865 </w:t>
            </w:r>
          </w:p>
        </w:tc>
      </w:tr>
      <w:tr w:rsidR="00FC7D77" w:rsidRPr="00903982" w14:paraId="7AF41EF3" w14:textId="77777777" w:rsidTr="00E63C09">
        <w:trPr>
          <w:trHeight w:val="468"/>
          <w:jc w:val="center"/>
        </w:trPr>
        <w:tc>
          <w:tcPr>
            <w:tcW w:w="4166" w:type="dxa"/>
            <w:vAlign w:val="center"/>
          </w:tcPr>
          <w:p w14:paraId="5D27BCC5" w14:textId="28D078EC" w:rsidR="00FC7D77" w:rsidRPr="00903982" w:rsidRDefault="00FC7D77" w:rsidP="005D1BAF">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Menores costos de inversión en potencia </w:t>
            </w:r>
          </w:p>
        </w:tc>
        <w:tc>
          <w:tcPr>
            <w:tcW w:w="1862" w:type="dxa"/>
            <w:vAlign w:val="bottom"/>
          </w:tcPr>
          <w:p w14:paraId="06620F5D" w14:textId="43957DF5" w:rsidR="00FC7D77" w:rsidRPr="00903982" w:rsidRDefault="00FC7D77" w:rsidP="00B82D1C">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    </w:t>
            </w:r>
            <w:r w:rsidR="00B82D1C">
              <w:rPr>
                <w:rFonts w:ascii="Calibri" w:hAnsi="Calibri"/>
                <w:color w:val="000000"/>
                <w:sz w:val="22"/>
                <w:szCs w:val="22"/>
                <w:lang w:val="es-ES_tradnl"/>
              </w:rPr>
              <w:t xml:space="preserve">                               6,513</w:t>
            </w:r>
            <w:r w:rsidRPr="00903982">
              <w:rPr>
                <w:rFonts w:ascii="Calibri" w:hAnsi="Calibri"/>
                <w:color w:val="000000"/>
                <w:sz w:val="22"/>
                <w:szCs w:val="22"/>
                <w:lang w:val="es-ES_tradnl"/>
              </w:rPr>
              <w:t xml:space="preserve"> </w:t>
            </w:r>
          </w:p>
        </w:tc>
      </w:tr>
      <w:tr w:rsidR="00FC7D77" w:rsidRPr="00903982" w14:paraId="69222FD7" w14:textId="77777777" w:rsidTr="005D1BAF">
        <w:trPr>
          <w:trHeight w:val="454"/>
          <w:jc w:val="center"/>
        </w:trPr>
        <w:tc>
          <w:tcPr>
            <w:tcW w:w="4166" w:type="dxa"/>
            <w:shd w:val="clear" w:color="auto" w:fill="D9D9D9" w:themeFill="background1" w:themeFillShade="D9"/>
            <w:vAlign w:val="center"/>
          </w:tcPr>
          <w:p w14:paraId="444D57CA" w14:textId="7906DFF6" w:rsidR="00FC7D77" w:rsidRPr="00903982" w:rsidRDefault="00FC7D77" w:rsidP="00A2134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Costos</w:t>
            </w:r>
          </w:p>
        </w:tc>
        <w:tc>
          <w:tcPr>
            <w:tcW w:w="1862" w:type="dxa"/>
            <w:shd w:val="clear" w:color="auto" w:fill="D9D9D9" w:themeFill="background1" w:themeFillShade="D9"/>
            <w:vAlign w:val="center"/>
          </w:tcPr>
          <w:p w14:paraId="060E2EB3" w14:textId="68252633" w:rsidR="00FC7D77" w:rsidRPr="00903982" w:rsidRDefault="00FC7D77" w:rsidP="005D1BAF">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Millones de US$</w:t>
            </w:r>
          </w:p>
        </w:tc>
      </w:tr>
      <w:tr w:rsidR="00FC7D77" w:rsidRPr="00903982" w14:paraId="44116DA7" w14:textId="77777777" w:rsidTr="00E63C09">
        <w:trPr>
          <w:trHeight w:val="454"/>
          <w:jc w:val="center"/>
        </w:trPr>
        <w:tc>
          <w:tcPr>
            <w:tcW w:w="4166" w:type="dxa"/>
            <w:vAlign w:val="center"/>
          </w:tcPr>
          <w:p w14:paraId="5F922864" w14:textId="1F3F75C7" w:rsidR="00FC7D77" w:rsidRPr="00903982" w:rsidRDefault="00FC7D77" w:rsidP="00A2134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Implementación de programas de EE</w:t>
            </w:r>
          </w:p>
        </w:tc>
        <w:tc>
          <w:tcPr>
            <w:tcW w:w="1862" w:type="dxa"/>
            <w:vAlign w:val="bottom"/>
          </w:tcPr>
          <w:p w14:paraId="600F3FDA" w14:textId="08FA7158" w:rsidR="00FC7D77" w:rsidRPr="00903982" w:rsidRDefault="00FC7D77" w:rsidP="00FC7D77">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                                   8,727 </w:t>
            </w:r>
          </w:p>
        </w:tc>
      </w:tr>
      <w:tr w:rsidR="00B82D1C" w:rsidRPr="00903982" w14:paraId="0C783F4F" w14:textId="77777777" w:rsidTr="00B82D1C">
        <w:trPr>
          <w:trHeight w:val="454"/>
          <w:jc w:val="center"/>
        </w:trPr>
        <w:tc>
          <w:tcPr>
            <w:tcW w:w="4166" w:type="dxa"/>
            <w:shd w:val="clear" w:color="auto" w:fill="D9D9D9" w:themeFill="background1" w:themeFillShade="D9"/>
            <w:vAlign w:val="center"/>
          </w:tcPr>
          <w:p w14:paraId="786C6C5A" w14:textId="77777777" w:rsidR="00B82D1C" w:rsidRPr="00903982" w:rsidRDefault="00B82D1C" w:rsidP="00B82D1C">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w:t>
            </w:r>
          </w:p>
        </w:tc>
        <w:tc>
          <w:tcPr>
            <w:tcW w:w="1862" w:type="dxa"/>
            <w:shd w:val="clear" w:color="auto" w:fill="D9D9D9" w:themeFill="background1" w:themeFillShade="D9"/>
            <w:vAlign w:val="center"/>
          </w:tcPr>
          <w:p w14:paraId="7285A783" w14:textId="77777777" w:rsidR="00B82D1C" w:rsidRPr="00903982" w:rsidRDefault="00B82D1C" w:rsidP="00B82D1C">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Millones de US$</w:t>
            </w:r>
          </w:p>
        </w:tc>
      </w:tr>
      <w:tr w:rsidR="00B82D1C" w:rsidRPr="00903982" w14:paraId="7C74591B" w14:textId="77777777" w:rsidTr="00B82D1C">
        <w:trPr>
          <w:trHeight w:val="454"/>
          <w:jc w:val="center"/>
        </w:trPr>
        <w:tc>
          <w:tcPr>
            <w:tcW w:w="4166" w:type="dxa"/>
            <w:vAlign w:val="center"/>
          </w:tcPr>
          <w:p w14:paraId="7C2170C5" w14:textId="77777777" w:rsidR="00B82D1C" w:rsidRPr="00903982" w:rsidRDefault="00B82D1C" w:rsidP="00B82D1C">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 menos costos</w:t>
            </w:r>
          </w:p>
        </w:tc>
        <w:tc>
          <w:tcPr>
            <w:tcW w:w="1862" w:type="dxa"/>
            <w:vAlign w:val="center"/>
          </w:tcPr>
          <w:p w14:paraId="29F022D0" w14:textId="77777777" w:rsidR="00B82D1C" w:rsidRPr="00903982" w:rsidRDefault="00B82D1C" w:rsidP="00B82D1C">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 xml:space="preserve">    </w:t>
            </w:r>
            <w:r>
              <w:rPr>
                <w:rFonts w:ascii="Calibri" w:hAnsi="Calibri"/>
                <w:color w:val="000000"/>
                <w:sz w:val="22"/>
                <w:szCs w:val="22"/>
                <w:lang w:val="es-ES_tradnl"/>
              </w:rPr>
              <w:t xml:space="preserve">                              11</w:t>
            </w:r>
            <w:r w:rsidRPr="00903982">
              <w:rPr>
                <w:rFonts w:ascii="Calibri" w:hAnsi="Calibri"/>
                <w:color w:val="000000"/>
                <w:sz w:val="22"/>
                <w:szCs w:val="22"/>
                <w:lang w:val="es-ES_tradnl"/>
              </w:rPr>
              <w:t>,</w:t>
            </w:r>
            <w:r>
              <w:rPr>
                <w:rFonts w:ascii="Calibri" w:hAnsi="Calibri"/>
                <w:color w:val="000000"/>
                <w:sz w:val="22"/>
                <w:szCs w:val="22"/>
                <w:lang w:val="es-ES_tradnl"/>
              </w:rPr>
              <w:t>334</w:t>
            </w:r>
            <w:r w:rsidRPr="00903982">
              <w:rPr>
                <w:rFonts w:ascii="Calibri" w:hAnsi="Calibri"/>
                <w:color w:val="000000"/>
                <w:sz w:val="22"/>
                <w:szCs w:val="22"/>
                <w:lang w:val="es-ES_tradnl"/>
              </w:rPr>
              <w:t xml:space="preserve"> </w:t>
            </w:r>
          </w:p>
        </w:tc>
      </w:tr>
      <w:tr w:rsidR="00FC7D77" w:rsidRPr="00903982" w14:paraId="3781B941" w14:textId="77777777" w:rsidTr="002443E0">
        <w:trPr>
          <w:trHeight w:val="319"/>
          <w:jc w:val="center"/>
        </w:trPr>
        <w:tc>
          <w:tcPr>
            <w:tcW w:w="4166" w:type="dxa"/>
            <w:shd w:val="clear" w:color="auto" w:fill="D9D9D9" w:themeFill="background1" w:themeFillShade="D9"/>
            <w:vAlign w:val="center"/>
          </w:tcPr>
          <w:p w14:paraId="1D267CD3" w14:textId="7960C113" w:rsidR="00FC7D77" w:rsidRPr="00903982" w:rsidRDefault="00B82D1C" w:rsidP="001356FD">
            <w:pPr>
              <w:rPr>
                <w:rFonts w:asciiTheme="minorHAnsi" w:eastAsia="Calibri" w:hAnsiTheme="minorHAnsi" w:cstheme="minorBidi"/>
                <w:sz w:val="22"/>
                <w:szCs w:val="22"/>
                <w:lang w:val="es-ES_tradnl" w:eastAsia="en-US"/>
              </w:rPr>
            </w:pPr>
            <w:r>
              <w:rPr>
                <w:rFonts w:asciiTheme="minorHAnsi" w:eastAsia="Calibri" w:hAnsiTheme="minorHAnsi" w:cstheme="minorBidi"/>
                <w:sz w:val="22"/>
                <w:szCs w:val="22"/>
                <w:lang w:val="es-ES_tradnl" w:eastAsia="en-US"/>
              </w:rPr>
              <w:t>Tasa Interna de Retorno</w:t>
            </w:r>
          </w:p>
        </w:tc>
        <w:tc>
          <w:tcPr>
            <w:tcW w:w="1862" w:type="dxa"/>
            <w:shd w:val="clear" w:color="auto" w:fill="D9D9D9" w:themeFill="background1" w:themeFillShade="D9"/>
            <w:vAlign w:val="center"/>
          </w:tcPr>
          <w:p w14:paraId="6379175A" w14:textId="0C78743C" w:rsidR="00FC7D77" w:rsidRPr="00903982" w:rsidRDefault="00B82D1C" w:rsidP="005D1BAF">
            <w:pPr>
              <w:jc w:val="right"/>
              <w:rPr>
                <w:rFonts w:asciiTheme="minorHAnsi" w:eastAsia="Calibri" w:hAnsiTheme="minorHAnsi" w:cstheme="minorBidi"/>
                <w:sz w:val="22"/>
                <w:szCs w:val="22"/>
                <w:lang w:val="es-ES_tradnl" w:eastAsia="en-US"/>
              </w:rPr>
            </w:pPr>
            <w:r>
              <w:rPr>
                <w:rFonts w:ascii="Calibri" w:hAnsi="Calibri"/>
                <w:color w:val="000000"/>
                <w:sz w:val="22"/>
                <w:szCs w:val="22"/>
                <w:lang w:val="es-ES_tradnl"/>
              </w:rPr>
              <w:t>60%</w:t>
            </w:r>
          </w:p>
        </w:tc>
      </w:tr>
    </w:tbl>
    <w:p w14:paraId="46354843" w14:textId="77777777" w:rsidR="00D55012" w:rsidRPr="00903982" w:rsidRDefault="00D55012" w:rsidP="00D55012">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5C7F5FC3" w14:textId="214B773C" w:rsidR="00D55012" w:rsidRPr="00903982" w:rsidRDefault="00F673B6" w:rsidP="00F673B6">
      <w:pPr>
        <w:spacing w:after="160" w:line="259" w:lineRule="auto"/>
        <w:rPr>
          <w:rFonts w:asciiTheme="minorHAnsi" w:hAnsiTheme="minorHAnsi" w:cs="Arial"/>
          <w:b/>
          <w:bCs/>
          <w:sz w:val="22"/>
          <w:szCs w:val="22"/>
          <w:lang w:val="es-ES_tradnl"/>
        </w:rPr>
      </w:pPr>
      <w:r w:rsidRPr="00903982">
        <w:rPr>
          <w:rFonts w:asciiTheme="minorHAnsi" w:hAnsiTheme="minorHAnsi"/>
          <w:b/>
          <w:sz w:val="22"/>
          <w:lang w:val="es-ES_tradnl"/>
        </w:rPr>
        <w:lastRenderedPageBreak/>
        <w:t xml:space="preserve">Escenario con mayor </w:t>
      </w:r>
      <w:r w:rsidR="00D55012" w:rsidRPr="00903982">
        <w:rPr>
          <w:rFonts w:asciiTheme="minorHAnsi" w:hAnsiTheme="minorHAnsi" w:cs="Arial"/>
          <w:b/>
          <w:bCs/>
          <w:sz w:val="22"/>
          <w:szCs w:val="22"/>
          <w:lang w:val="es-ES_tradnl"/>
        </w:rPr>
        <w:t>incorporación tecnologías limpias de generación</w:t>
      </w:r>
    </w:p>
    <w:p w14:paraId="01A2CA6E" w14:textId="10590253" w:rsidR="00D55012" w:rsidRPr="00903982" w:rsidRDefault="00F673B6" w:rsidP="00CE6405">
      <w:pPr>
        <w:spacing w:after="160" w:line="259" w:lineRule="auto"/>
        <w:jc w:val="both"/>
        <w:rPr>
          <w:rFonts w:asciiTheme="minorHAnsi" w:hAnsiTheme="minorHAnsi"/>
          <w:sz w:val="22"/>
          <w:lang w:val="es-ES_tradnl"/>
        </w:rPr>
      </w:pPr>
      <w:r w:rsidRPr="00903982">
        <w:rPr>
          <w:rFonts w:asciiTheme="minorHAnsi" w:hAnsiTheme="minorHAnsi"/>
          <w:sz w:val="22"/>
          <w:lang w:val="es-ES_tradnl"/>
        </w:rPr>
        <w:t>De manera similar se procedió</w:t>
      </w:r>
      <w:r w:rsidR="00D55012" w:rsidRPr="00903982">
        <w:rPr>
          <w:rFonts w:asciiTheme="minorHAnsi" w:hAnsiTheme="minorHAnsi"/>
          <w:sz w:val="22"/>
          <w:lang w:val="es-ES_tradnl"/>
        </w:rPr>
        <w:t xml:space="preserve"> a comparar </w:t>
      </w:r>
      <w:r w:rsidRPr="00903982">
        <w:rPr>
          <w:rFonts w:asciiTheme="minorHAnsi" w:hAnsiTheme="minorHAnsi"/>
          <w:sz w:val="22"/>
          <w:lang w:val="es-ES_tradnl"/>
        </w:rPr>
        <w:t>la línea base con un escenario con may</w:t>
      </w:r>
      <w:r w:rsidR="00903982">
        <w:rPr>
          <w:rFonts w:asciiTheme="minorHAnsi" w:hAnsiTheme="minorHAnsi"/>
          <w:sz w:val="22"/>
          <w:lang w:val="es-ES_tradnl"/>
        </w:rPr>
        <w:t>or incorporación de tecnologías</w:t>
      </w:r>
      <w:r w:rsidR="00D55012" w:rsidRPr="00903982">
        <w:rPr>
          <w:rFonts w:asciiTheme="minorHAnsi" w:hAnsiTheme="minorHAnsi"/>
          <w:sz w:val="22"/>
          <w:lang w:val="es-ES_tradnl"/>
        </w:rPr>
        <w:t xml:space="preserve"> </w:t>
      </w:r>
      <w:r w:rsidRPr="00903982">
        <w:rPr>
          <w:rFonts w:asciiTheme="minorHAnsi" w:hAnsiTheme="minorHAnsi"/>
          <w:sz w:val="22"/>
          <w:lang w:val="es-ES_tradnl"/>
        </w:rPr>
        <w:t xml:space="preserve">limpias </w:t>
      </w:r>
      <w:r w:rsidR="00D55012" w:rsidRPr="00903982">
        <w:rPr>
          <w:rFonts w:asciiTheme="minorHAnsi" w:hAnsiTheme="minorHAnsi"/>
          <w:sz w:val="22"/>
          <w:lang w:val="es-ES_tradnl"/>
        </w:rPr>
        <w:t xml:space="preserve">de generación. </w:t>
      </w:r>
      <w:r w:rsidRPr="00903982">
        <w:rPr>
          <w:rFonts w:asciiTheme="minorHAnsi" w:hAnsiTheme="minorHAnsi"/>
          <w:sz w:val="22"/>
          <w:lang w:val="es-ES_tradnl"/>
        </w:rPr>
        <w:t xml:space="preserve">Los beneficios de este escenario </w:t>
      </w:r>
      <w:r w:rsidR="007B3443" w:rsidRPr="00903982">
        <w:rPr>
          <w:rFonts w:asciiTheme="minorHAnsi" w:hAnsiTheme="minorHAnsi"/>
          <w:sz w:val="22"/>
          <w:lang w:val="es-ES_tradnl"/>
        </w:rPr>
        <w:t>se basan en una</w:t>
      </w:r>
      <w:r w:rsidR="00D55012" w:rsidRPr="00903982">
        <w:rPr>
          <w:rFonts w:asciiTheme="minorHAnsi" w:hAnsiTheme="minorHAnsi"/>
          <w:sz w:val="22"/>
          <w:lang w:val="es-ES_tradnl"/>
        </w:rPr>
        <w:t xml:space="preserve"> menor producción de CO</w:t>
      </w:r>
      <w:r w:rsidR="00D55012" w:rsidRPr="00903982">
        <w:rPr>
          <w:rFonts w:asciiTheme="minorHAnsi" w:hAnsiTheme="minorHAnsi"/>
          <w:sz w:val="22"/>
          <w:vertAlign w:val="subscript"/>
          <w:lang w:val="es-ES_tradnl"/>
        </w:rPr>
        <w:t>2</w:t>
      </w:r>
      <w:r w:rsidR="00D55012" w:rsidRPr="00903982">
        <w:rPr>
          <w:lang w:val="es-ES_tradnl"/>
        </w:rPr>
        <w:t xml:space="preserve">, </w:t>
      </w:r>
      <w:r w:rsidR="00D55012" w:rsidRPr="00903982">
        <w:rPr>
          <w:rFonts w:asciiTheme="minorHAnsi" w:hAnsiTheme="minorHAnsi"/>
          <w:sz w:val="22"/>
          <w:lang w:val="es-ES_tradnl"/>
        </w:rPr>
        <w:t xml:space="preserve">menores costos operacionales, pero </w:t>
      </w:r>
      <w:r w:rsidR="007B3443" w:rsidRPr="00903982">
        <w:rPr>
          <w:rFonts w:asciiTheme="minorHAnsi" w:hAnsiTheme="minorHAnsi"/>
          <w:sz w:val="22"/>
          <w:lang w:val="es-ES_tradnl"/>
        </w:rPr>
        <w:t xml:space="preserve">a su vez, </w:t>
      </w:r>
      <w:r w:rsidR="00D55012" w:rsidRPr="00903982">
        <w:rPr>
          <w:rFonts w:asciiTheme="minorHAnsi" w:hAnsiTheme="minorHAnsi"/>
          <w:sz w:val="22"/>
          <w:lang w:val="es-ES_tradnl"/>
        </w:rPr>
        <w:t xml:space="preserve">requiere de una mayor inversión en capacidad instalada. </w:t>
      </w:r>
      <w:r w:rsidR="00B82D1C">
        <w:rPr>
          <w:rFonts w:asciiTheme="minorHAnsi" w:hAnsiTheme="minorHAnsi"/>
          <w:sz w:val="22"/>
          <w:lang w:val="es-ES_tradnl"/>
        </w:rPr>
        <w:t>La utilidad del escenario alcanza los 2,748 millones de dólares con una tasa interna de retorno del 13%.</w:t>
      </w:r>
    </w:p>
    <w:p w14:paraId="19FAD5AD" w14:textId="533C2E14" w:rsidR="00E24639" w:rsidRPr="00903982" w:rsidRDefault="00D55012" w:rsidP="007B3443">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2</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w:t>
      </w:r>
      <w:r w:rsidR="007B3443" w:rsidRPr="00903982">
        <w:rPr>
          <w:rFonts w:asciiTheme="minorHAnsi" w:hAnsiTheme="minorHAnsi"/>
          <w:b w:val="0"/>
          <w:sz w:val="22"/>
          <w:lang w:val="es-ES_tradnl"/>
        </w:rPr>
        <w:t>Diferencia entre línea base y escenario con mayor incorpor</w:t>
      </w:r>
      <w:r w:rsidR="00903982">
        <w:rPr>
          <w:rFonts w:asciiTheme="minorHAnsi" w:hAnsiTheme="minorHAnsi"/>
          <w:b w:val="0"/>
          <w:sz w:val="22"/>
          <w:lang w:val="es-ES_tradnl"/>
        </w:rPr>
        <w:t>a</w:t>
      </w:r>
      <w:r w:rsidR="007B3443" w:rsidRPr="00903982">
        <w:rPr>
          <w:rFonts w:asciiTheme="minorHAnsi" w:hAnsiTheme="minorHAnsi"/>
          <w:b w:val="0"/>
          <w:sz w:val="22"/>
          <w:lang w:val="es-ES_tradnl"/>
        </w:rPr>
        <w:t>ción de energías limpias</w:t>
      </w:r>
    </w:p>
    <w:tbl>
      <w:tblPr>
        <w:tblStyle w:val="TableGrid"/>
        <w:tblW w:w="0" w:type="auto"/>
        <w:jc w:val="center"/>
        <w:tblLook w:val="04A0" w:firstRow="1" w:lastRow="0" w:firstColumn="1" w:lastColumn="0" w:noHBand="0" w:noVBand="1"/>
      </w:tblPr>
      <w:tblGrid>
        <w:gridCol w:w="4166"/>
        <w:gridCol w:w="1862"/>
      </w:tblGrid>
      <w:tr w:rsidR="00E24639" w:rsidRPr="00903982" w14:paraId="14895AC9" w14:textId="77777777" w:rsidTr="00E24639">
        <w:trPr>
          <w:trHeight w:val="327"/>
          <w:jc w:val="center"/>
        </w:trPr>
        <w:tc>
          <w:tcPr>
            <w:tcW w:w="4166" w:type="dxa"/>
            <w:shd w:val="clear" w:color="auto" w:fill="D9D9D9" w:themeFill="background1" w:themeFillShade="D9"/>
            <w:vAlign w:val="center"/>
          </w:tcPr>
          <w:p w14:paraId="503A970F" w14:textId="3C6C5971" w:rsidR="00E24639" w:rsidRPr="00903982" w:rsidRDefault="00E24639" w:rsidP="00E2463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Ingresos </w:t>
            </w:r>
          </w:p>
        </w:tc>
        <w:tc>
          <w:tcPr>
            <w:tcW w:w="1862" w:type="dxa"/>
            <w:shd w:val="clear" w:color="auto" w:fill="D9D9D9" w:themeFill="background1" w:themeFillShade="D9"/>
            <w:vAlign w:val="center"/>
          </w:tcPr>
          <w:p w14:paraId="72C1EC0B" w14:textId="77777777" w:rsidR="00E24639" w:rsidRPr="00903982" w:rsidRDefault="00E24639" w:rsidP="00E24639">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 Millones de US$ </w:t>
            </w:r>
          </w:p>
        </w:tc>
      </w:tr>
      <w:tr w:rsidR="00FC7D77" w:rsidRPr="00903982" w14:paraId="1F19FAAD" w14:textId="77777777" w:rsidTr="00E63C09">
        <w:trPr>
          <w:trHeight w:val="561"/>
          <w:jc w:val="center"/>
        </w:trPr>
        <w:tc>
          <w:tcPr>
            <w:tcW w:w="4166" w:type="dxa"/>
            <w:vAlign w:val="center"/>
          </w:tcPr>
          <w:p w14:paraId="746C7D00" w14:textId="77777777" w:rsidR="00FC7D77" w:rsidRPr="00903982" w:rsidRDefault="00FC7D77" w:rsidP="00E2463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Valoración de menores emisiones de CO2</w:t>
            </w:r>
          </w:p>
        </w:tc>
        <w:tc>
          <w:tcPr>
            <w:tcW w:w="1862" w:type="dxa"/>
            <w:vAlign w:val="bottom"/>
          </w:tcPr>
          <w:p w14:paraId="01045ABF" w14:textId="7121A432" w:rsidR="00FC7D77" w:rsidRPr="00903982" w:rsidRDefault="00FC7D77" w:rsidP="00FC7D77">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                                   1,190 </w:t>
            </w:r>
          </w:p>
        </w:tc>
      </w:tr>
      <w:tr w:rsidR="00FC7D77" w:rsidRPr="00903982" w14:paraId="64D19C86" w14:textId="77777777" w:rsidTr="00E63C09">
        <w:trPr>
          <w:trHeight w:val="446"/>
          <w:jc w:val="center"/>
        </w:trPr>
        <w:tc>
          <w:tcPr>
            <w:tcW w:w="4166" w:type="dxa"/>
            <w:vAlign w:val="center"/>
          </w:tcPr>
          <w:p w14:paraId="42B2758C" w14:textId="25F6B354" w:rsidR="00FC7D77" w:rsidRPr="00903982" w:rsidRDefault="00FC7D77" w:rsidP="00E2463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Menores costos de generación </w:t>
            </w:r>
          </w:p>
        </w:tc>
        <w:tc>
          <w:tcPr>
            <w:tcW w:w="1862" w:type="dxa"/>
            <w:vAlign w:val="bottom"/>
          </w:tcPr>
          <w:p w14:paraId="535451C4" w14:textId="4413066D" w:rsidR="00FC7D77" w:rsidRPr="00903982" w:rsidRDefault="00FC7D77" w:rsidP="00B170DE">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                                12,8</w:t>
            </w:r>
            <w:r w:rsidR="00B170DE">
              <w:rPr>
                <w:rFonts w:ascii="Calibri" w:hAnsi="Calibri"/>
                <w:color w:val="000000"/>
                <w:sz w:val="22"/>
                <w:szCs w:val="22"/>
                <w:lang w:val="es-ES_tradnl"/>
              </w:rPr>
              <w:t>90</w:t>
            </w:r>
            <w:r w:rsidRPr="00903982">
              <w:rPr>
                <w:rFonts w:ascii="Calibri" w:hAnsi="Calibri"/>
                <w:color w:val="000000"/>
                <w:sz w:val="22"/>
                <w:szCs w:val="22"/>
                <w:lang w:val="es-ES_tradnl"/>
              </w:rPr>
              <w:t xml:space="preserve"> </w:t>
            </w:r>
          </w:p>
        </w:tc>
      </w:tr>
      <w:tr w:rsidR="00FC7D77" w:rsidRPr="00903982" w14:paraId="53A0DBB4" w14:textId="77777777" w:rsidTr="00E24639">
        <w:trPr>
          <w:trHeight w:val="454"/>
          <w:jc w:val="center"/>
        </w:trPr>
        <w:tc>
          <w:tcPr>
            <w:tcW w:w="4166" w:type="dxa"/>
            <w:shd w:val="clear" w:color="auto" w:fill="D9D9D9" w:themeFill="background1" w:themeFillShade="D9"/>
            <w:vAlign w:val="center"/>
          </w:tcPr>
          <w:p w14:paraId="4E6072D1" w14:textId="77777777" w:rsidR="00FC7D77" w:rsidRPr="00903982" w:rsidRDefault="00FC7D77" w:rsidP="00E2463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Costos</w:t>
            </w:r>
          </w:p>
        </w:tc>
        <w:tc>
          <w:tcPr>
            <w:tcW w:w="1862" w:type="dxa"/>
            <w:shd w:val="clear" w:color="auto" w:fill="D9D9D9" w:themeFill="background1" w:themeFillShade="D9"/>
            <w:vAlign w:val="center"/>
          </w:tcPr>
          <w:p w14:paraId="65219011" w14:textId="34584B7D" w:rsidR="00FC7D77" w:rsidRPr="00903982" w:rsidRDefault="00FC7D77" w:rsidP="00E24639">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Millones de US$</w:t>
            </w:r>
          </w:p>
        </w:tc>
      </w:tr>
      <w:tr w:rsidR="00FC7D77" w:rsidRPr="00903982" w14:paraId="36C17FAC" w14:textId="77777777" w:rsidTr="00E63C09">
        <w:trPr>
          <w:trHeight w:val="454"/>
          <w:jc w:val="center"/>
        </w:trPr>
        <w:tc>
          <w:tcPr>
            <w:tcW w:w="4166" w:type="dxa"/>
            <w:vAlign w:val="center"/>
          </w:tcPr>
          <w:p w14:paraId="5D196813" w14:textId="578FF087" w:rsidR="00FC7D77" w:rsidRPr="00903982" w:rsidRDefault="00FC7D77" w:rsidP="00E2463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Mayores costos de inversión</w:t>
            </w:r>
          </w:p>
        </w:tc>
        <w:tc>
          <w:tcPr>
            <w:tcW w:w="1862" w:type="dxa"/>
            <w:vAlign w:val="bottom"/>
          </w:tcPr>
          <w:p w14:paraId="32BA7905" w14:textId="68259608" w:rsidR="00FC7D77" w:rsidRPr="00903982" w:rsidRDefault="00FC7D77" w:rsidP="00B170DE">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                                      </w:t>
            </w:r>
            <w:r w:rsidR="00B82D1C">
              <w:rPr>
                <w:rFonts w:ascii="Calibri" w:hAnsi="Calibri"/>
                <w:color w:val="000000"/>
                <w:sz w:val="22"/>
                <w:szCs w:val="22"/>
                <w:lang w:val="es-ES_tradnl"/>
              </w:rPr>
              <w:t>11,</w:t>
            </w:r>
            <w:r w:rsidR="00B170DE">
              <w:rPr>
                <w:rFonts w:ascii="Calibri" w:hAnsi="Calibri"/>
                <w:color w:val="000000"/>
                <w:sz w:val="22"/>
                <w:szCs w:val="22"/>
                <w:lang w:val="es-ES_tradnl"/>
              </w:rPr>
              <w:t>270</w:t>
            </w:r>
          </w:p>
        </w:tc>
      </w:tr>
      <w:tr w:rsidR="00FC7D77" w:rsidRPr="00903982" w14:paraId="00419C55" w14:textId="77777777" w:rsidTr="00E24639">
        <w:trPr>
          <w:trHeight w:val="454"/>
          <w:jc w:val="center"/>
        </w:trPr>
        <w:tc>
          <w:tcPr>
            <w:tcW w:w="4166" w:type="dxa"/>
            <w:shd w:val="clear" w:color="auto" w:fill="D9D9D9" w:themeFill="background1" w:themeFillShade="D9"/>
            <w:vAlign w:val="center"/>
          </w:tcPr>
          <w:p w14:paraId="384BAE92" w14:textId="77777777" w:rsidR="00FC7D77" w:rsidRPr="00903982" w:rsidRDefault="00FC7D77" w:rsidP="00E2463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w:t>
            </w:r>
          </w:p>
        </w:tc>
        <w:tc>
          <w:tcPr>
            <w:tcW w:w="1862" w:type="dxa"/>
            <w:shd w:val="clear" w:color="auto" w:fill="D9D9D9" w:themeFill="background1" w:themeFillShade="D9"/>
            <w:vAlign w:val="center"/>
          </w:tcPr>
          <w:p w14:paraId="4A74DCA6" w14:textId="1B31D728" w:rsidR="00FC7D77" w:rsidRPr="00903982" w:rsidRDefault="00FC7D77" w:rsidP="00E24639">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Millones de US$</w:t>
            </w:r>
          </w:p>
        </w:tc>
      </w:tr>
      <w:tr w:rsidR="00B82D1C" w:rsidRPr="00903982" w14:paraId="712E7CEA" w14:textId="77777777" w:rsidTr="00B82D1C">
        <w:trPr>
          <w:trHeight w:val="454"/>
          <w:jc w:val="center"/>
        </w:trPr>
        <w:tc>
          <w:tcPr>
            <w:tcW w:w="4166" w:type="dxa"/>
            <w:vAlign w:val="center"/>
          </w:tcPr>
          <w:p w14:paraId="4031321A" w14:textId="77777777" w:rsidR="00B82D1C" w:rsidRPr="00903982" w:rsidRDefault="00B82D1C" w:rsidP="00B82D1C">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 menos costos</w:t>
            </w:r>
          </w:p>
        </w:tc>
        <w:tc>
          <w:tcPr>
            <w:tcW w:w="1862" w:type="dxa"/>
            <w:vAlign w:val="bottom"/>
          </w:tcPr>
          <w:p w14:paraId="3A5BDCB2" w14:textId="40B0A20D" w:rsidR="00B82D1C" w:rsidRPr="00903982" w:rsidRDefault="00B82D1C" w:rsidP="00B170DE">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 xml:space="preserve">                                </w:t>
            </w:r>
            <w:r>
              <w:rPr>
                <w:rFonts w:ascii="Calibri" w:hAnsi="Calibri"/>
                <w:color w:val="000000"/>
                <w:sz w:val="22"/>
                <w:szCs w:val="22"/>
                <w:lang w:val="es-ES_tradnl"/>
              </w:rPr>
              <w:t>2,</w:t>
            </w:r>
            <w:r w:rsidR="00B170DE">
              <w:rPr>
                <w:rFonts w:ascii="Calibri" w:hAnsi="Calibri"/>
                <w:color w:val="000000"/>
                <w:sz w:val="22"/>
                <w:szCs w:val="22"/>
                <w:lang w:val="es-ES_tradnl"/>
              </w:rPr>
              <w:t>810</w:t>
            </w:r>
          </w:p>
        </w:tc>
      </w:tr>
      <w:tr w:rsidR="00B82D1C" w:rsidRPr="00903982" w14:paraId="42F8B9E9" w14:textId="77777777" w:rsidTr="00B82D1C">
        <w:trPr>
          <w:trHeight w:val="454"/>
          <w:jc w:val="center"/>
        </w:trPr>
        <w:tc>
          <w:tcPr>
            <w:tcW w:w="4166" w:type="dxa"/>
            <w:shd w:val="clear" w:color="auto" w:fill="D9D9D9" w:themeFill="background1" w:themeFillShade="D9"/>
            <w:vAlign w:val="center"/>
          </w:tcPr>
          <w:p w14:paraId="14B1EB86" w14:textId="7439CE57" w:rsidR="00B82D1C" w:rsidRPr="00903982" w:rsidRDefault="00B82D1C" w:rsidP="00B82D1C">
            <w:pPr>
              <w:rPr>
                <w:rFonts w:asciiTheme="minorHAnsi" w:eastAsia="Calibri" w:hAnsiTheme="minorHAnsi" w:cstheme="minorBidi"/>
                <w:sz w:val="22"/>
                <w:szCs w:val="22"/>
                <w:lang w:val="es-ES_tradnl" w:eastAsia="en-US"/>
              </w:rPr>
            </w:pPr>
            <w:r>
              <w:rPr>
                <w:rFonts w:asciiTheme="minorHAnsi" w:eastAsia="Calibri" w:hAnsiTheme="minorHAnsi" w:cstheme="minorBidi"/>
                <w:sz w:val="22"/>
                <w:szCs w:val="22"/>
                <w:lang w:val="es-ES_tradnl" w:eastAsia="en-US"/>
              </w:rPr>
              <w:t>Tasa Interna de Retorno</w:t>
            </w:r>
          </w:p>
        </w:tc>
        <w:tc>
          <w:tcPr>
            <w:tcW w:w="1862" w:type="dxa"/>
            <w:shd w:val="clear" w:color="auto" w:fill="D9D9D9" w:themeFill="background1" w:themeFillShade="D9"/>
            <w:vAlign w:val="center"/>
          </w:tcPr>
          <w:p w14:paraId="08A527E9" w14:textId="678B5F69" w:rsidR="00B82D1C" w:rsidRPr="00903982" w:rsidRDefault="00B82D1C" w:rsidP="00B82D1C">
            <w:pPr>
              <w:jc w:val="right"/>
              <w:rPr>
                <w:rFonts w:asciiTheme="minorHAnsi" w:eastAsia="Calibri" w:hAnsiTheme="minorHAnsi" w:cstheme="minorBidi"/>
                <w:sz w:val="22"/>
                <w:szCs w:val="22"/>
                <w:lang w:val="es-ES_tradnl" w:eastAsia="en-US"/>
              </w:rPr>
            </w:pPr>
            <w:r>
              <w:rPr>
                <w:rFonts w:ascii="Calibri" w:hAnsi="Calibri"/>
                <w:color w:val="000000"/>
                <w:sz w:val="22"/>
                <w:szCs w:val="22"/>
                <w:lang w:val="es-ES_tradnl"/>
              </w:rPr>
              <w:t>13%</w:t>
            </w:r>
          </w:p>
        </w:tc>
      </w:tr>
    </w:tbl>
    <w:p w14:paraId="04504E04" w14:textId="77777777" w:rsidR="00D55012" w:rsidRPr="00903982" w:rsidRDefault="00D55012" w:rsidP="00D55012">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Fuente: Elaboración propia en base a resultados</w:t>
      </w:r>
    </w:p>
    <w:p w14:paraId="3CEDD209" w14:textId="1647207C" w:rsidR="003F1DB8" w:rsidRPr="00903982" w:rsidRDefault="007B3443" w:rsidP="007B3443">
      <w:pPr>
        <w:spacing w:after="160" w:line="259" w:lineRule="auto"/>
        <w:rPr>
          <w:rFonts w:asciiTheme="minorHAnsi" w:hAnsiTheme="minorHAnsi" w:cs="Arial"/>
          <w:b/>
          <w:bCs/>
          <w:sz w:val="22"/>
          <w:szCs w:val="22"/>
          <w:lang w:val="es-ES_tradnl"/>
        </w:rPr>
      </w:pPr>
      <w:r w:rsidRPr="00903982">
        <w:rPr>
          <w:rFonts w:asciiTheme="minorHAnsi" w:hAnsiTheme="minorHAnsi"/>
          <w:b/>
          <w:sz w:val="22"/>
          <w:lang w:val="es-ES_tradnl"/>
        </w:rPr>
        <w:t xml:space="preserve">Escenario con </w:t>
      </w:r>
      <w:r w:rsidR="003F1DB8" w:rsidRPr="00903982">
        <w:rPr>
          <w:rFonts w:asciiTheme="minorHAnsi" w:hAnsiTheme="minorHAnsi" w:cs="Arial"/>
          <w:b/>
          <w:bCs/>
          <w:sz w:val="22"/>
          <w:szCs w:val="22"/>
          <w:lang w:val="es-ES_tradnl"/>
        </w:rPr>
        <w:t>reducción de pérdidas no técnicas de distribución</w:t>
      </w:r>
    </w:p>
    <w:p w14:paraId="3EC8F9EF" w14:textId="18ED7751" w:rsidR="008546CF" w:rsidRPr="00903982" w:rsidRDefault="007B3443" w:rsidP="003F1DB8">
      <w:pPr>
        <w:spacing w:after="160" w:line="259" w:lineRule="auto"/>
        <w:jc w:val="both"/>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sz w:val="22"/>
          <w:lang w:val="es-ES_tradnl"/>
        </w:rPr>
        <w:t>Posteriormente se procedió</w:t>
      </w:r>
      <w:r w:rsidR="003F1DB8" w:rsidRPr="00903982">
        <w:rPr>
          <w:rFonts w:asciiTheme="minorHAnsi" w:hAnsiTheme="minorHAnsi"/>
          <w:sz w:val="22"/>
          <w:lang w:val="es-ES_tradnl"/>
        </w:rPr>
        <w:t xml:space="preserve"> a comparar </w:t>
      </w:r>
      <w:r w:rsidRPr="00903982">
        <w:rPr>
          <w:rFonts w:asciiTheme="minorHAnsi" w:hAnsiTheme="minorHAnsi"/>
          <w:sz w:val="22"/>
          <w:lang w:val="es-ES_tradnl"/>
        </w:rPr>
        <w:t xml:space="preserve">la línea base con </w:t>
      </w:r>
      <w:r w:rsidR="003F1DB8" w:rsidRPr="00903982">
        <w:rPr>
          <w:rFonts w:asciiTheme="minorHAnsi" w:hAnsiTheme="minorHAnsi"/>
          <w:sz w:val="22"/>
          <w:lang w:val="es-ES_tradnl"/>
        </w:rPr>
        <w:t xml:space="preserve">los ingresos y costos producto de la reducción de las pérdidas no técnicas.  </w:t>
      </w:r>
      <w:r w:rsidRPr="00903982">
        <w:rPr>
          <w:rFonts w:asciiTheme="minorHAnsi" w:hAnsiTheme="minorHAnsi"/>
          <w:sz w:val="22"/>
          <w:lang w:val="es-ES_tradnl"/>
        </w:rPr>
        <w:t>En este escenario</w:t>
      </w:r>
      <w:r w:rsidR="003F1DB8" w:rsidRPr="00903982">
        <w:rPr>
          <w:rFonts w:asciiTheme="minorHAnsi" w:hAnsiTheme="minorHAnsi"/>
          <w:sz w:val="22"/>
          <w:lang w:val="es-ES_tradnl"/>
        </w:rPr>
        <w:t xml:space="preserve"> es de importancia notar que no existe un beneficio social en la disminución de las pérdidas no técnicas, debido a que estas medidas conducen a una transferencia de dinero desde los consumidores a los productores.</w:t>
      </w:r>
      <w:r w:rsidR="00B82D1C">
        <w:rPr>
          <w:rFonts w:asciiTheme="minorHAnsi" w:hAnsiTheme="minorHAnsi"/>
          <w:sz w:val="22"/>
          <w:lang w:val="es-ES_tradnl"/>
        </w:rPr>
        <w:t xml:space="preserve">  El escenario da una utilidad negativa de 3,810 millones de US$, con una tasa interna de retorno negativa de valor no definido. </w:t>
      </w:r>
    </w:p>
    <w:p w14:paraId="05C15EF6" w14:textId="5ABB0474" w:rsidR="001B6388" w:rsidRPr="00903982" w:rsidRDefault="001B6388" w:rsidP="001B6388">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3</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w:t>
      </w:r>
      <w:r w:rsidR="007B3443" w:rsidRPr="00903982">
        <w:rPr>
          <w:rFonts w:asciiTheme="minorHAnsi" w:hAnsiTheme="minorHAnsi"/>
          <w:b w:val="0"/>
          <w:sz w:val="22"/>
          <w:lang w:val="es-ES_tradnl"/>
        </w:rPr>
        <w:t>Diferencia entre línea base y escenario con reducción de pér</w:t>
      </w:r>
      <w:r w:rsidR="00B82D1C">
        <w:rPr>
          <w:rFonts w:asciiTheme="minorHAnsi" w:hAnsiTheme="minorHAnsi"/>
          <w:b w:val="0"/>
          <w:sz w:val="22"/>
          <w:lang w:val="es-ES_tradnl"/>
        </w:rPr>
        <w:t>didas no técnicas</w:t>
      </w:r>
    </w:p>
    <w:tbl>
      <w:tblPr>
        <w:tblStyle w:val="TableGrid"/>
        <w:tblW w:w="0" w:type="auto"/>
        <w:jc w:val="center"/>
        <w:tblLook w:val="04A0" w:firstRow="1" w:lastRow="0" w:firstColumn="1" w:lastColumn="0" w:noHBand="0" w:noVBand="1"/>
      </w:tblPr>
      <w:tblGrid>
        <w:gridCol w:w="4166"/>
        <w:gridCol w:w="1862"/>
      </w:tblGrid>
      <w:tr w:rsidR="001B6388" w:rsidRPr="00903982" w14:paraId="1672B022" w14:textId="77777777" w:rsidTr="001B6388">
        <w:trPr>
          <w:trHeight w:val="454"/>
          <w:jc w:val="center"/>
        </w:trPr>
        <w:tc>
          <w:tcPr>
            <w:tcW w:w="4166" w:type="dxa"/>
            <w:shd w:val="clear" w:color="auto" w:fill="D9D9D9" w:themeFill="background1" w:themeFillShade="D9"/>
            <w:vAlign w:val="center"/>
          </w:tcPr>
          <w:p w14:paraId="093B6394" w14:textId="77777777" w:rsidR="001B6388" w:rsidRPr="00903982" w:rsidRDefault="001B6388" w:rsidP="001B638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Costos</w:t>
            </w:r>
          </w:p>
        </w:tc>
        <w:tc>
          <w:tcPr>
            <w:tcW w:w="1862" w:type="dxa"/>
            <w:shd w:val="clear" w:color="auto" w:fill="D9D9D9" w:themeFill="background1" w:themeFillShade="D9"/>
            <w:vAlign w:val="center"/>
          </w:tcPr>
          <w:p w14:paraId="4667C80F" w14:textId="77777777" w:rsidR="001B6388" w:rsidRPr="00903982" w:rsidRDefault="001B6388" w:rsidP="001B6388">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1B6388" w:rsidRPr="00903982" w14:paraId="4227139D" w14:textId="77777777" w:rsidTr="001B6388">
        <w:trPr>
          <w:trHeight w:val="454"/>
          <w:jc w:val="center"/>
        </w:trPr>
        <w:tc>
          <w:tcPr>
            <w:tcW w:w="4166" w:type="dxa"/>
            <w:vAlign w:val="center"/>
          </w:tcPr>
          <w:p w14:paraId="48DBC32C" w14:textId="77777777" w:rsidR="001B6388" w:rsidRPr="00903982" w:rsidRDefault="001B6388" w:rsidP="001B638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Mayores costos de inversión</w:t>
            </w:r>
          </w:p>
        </w:tc>
        <w:tc>
          <w:tcPr>
            <w:tcW w:w="1862" w:type="dxa"/>
            <w:vAlign w:val="center"/>
          </w:tcPr>
          <w:p w14:paraId="31DB3904" w14:textId="3DB35EBA" w:rsidR="001B6388" w:rsidRPr="00903982" w:rsidRDefault="00D13DC0" w:rsidP="001B6388">
            <w:pPr>
              <w:jc w:val="right"/>
              <w:rPr>
                <w:rFonts w:ascii="Calibri" w:hAnsi="Calibri"/>
                <w:color w:val="000000"/>
                <w:sz w:val="22"/>
                <w:szCs w:val="22"/>
                <w:lang w:val="es-ES_tradnl"/>
              </w:rPr>
            </w:pPr>
            <w:r w:rsidRPr="00903982">
              <w:rPr>
                <w:rFonts w:ascii="Calibri" w:hAnsi="Calibri"/>
                <w:color w:val="000000"/>
                <w:sz w:val="22"/>
                <w:szCs w:val="22"/>
                <w:lang w:val="es-ES_tradnl"/>
              </w:rPr>
              <w:t>3,810</w:t>
            </w:r>
          </w:p>
        </w:tc>
      </w:tr>
      <w:tr w:rsidR="001B6388" w:rsidRPr="00903982" w14:paraId="63F6252D" w14:textId="77777777" w:rsidTr="001B6388">
        <w:trPr>
          <w:trHeight w:val="454"/>
          <w:jc w:val="center"/>
        </w:trPr>
        <w:tc>
          <w:tcPr>
            <w:tcW w:w="4166" w:type="dxa"/>
            <w:shd w:val="clear" w:color="auto" w:fill="D9D9D9" w:themeFill="background1" w:themeFillShade="D9"/>
            <w:vAlign w:val="center"/>
          </w:tcPr>
          <w:p w14:paraId="70283A9C" w14:textId="77777777" w:rsidR="001B6388" w:rsidRPr="00903982" w:rsidRDefault="001B6388" w:rsidP="001B638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w:t>
            </w:r>
          </w:p>
        </w:tc>
        <w:tc>
          <w:tcPr>
            <w:tcW w:w="1862" w:type="dxa"/>
            <w:shd w:val="clear" w:color="auto" w:fill="D9D9D9" w:themeFill="background1" w:themeFillShade="D9"/>
            <w:vAlign w:val="center"/>
          </w:tcPr>
          <w:p w14:paraId="525D64F0" w14:textId="77777777" w:rsidR="001B6388" w:rsidRPr="00903982" w:rsidRDefault="001B6388" w:rsidP="001B6388">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1B6388" w:rsidRPr="00903982" w14:paraId="76470D37" w14:textId="77777777" w:rsidTr="001B6388">
        <w:trPr>
          <w:trHeight w:val="454"/>
          <w:jc w:val="center"/>
        </w:trPr>
        <w:tc>
          <w:tcPr>
            <w:tcW w:w="4166" w:type="dxa"/>
            <w:vAlign w:val="center"/>
          </w:tcPr>
          <w:p w14:paraId="74FD0EF4" w14:textId="77777777" w:rsidR="001B6388" w:rsidRPr="00903982" w:rsidRDefault="001B6388" w:rsidP="001B638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 menos costos</w:t>
            </w:r>
          </w:p>
        </w:tc>
        <w:tc>
          <w:tcPr>
            <w:tcW w:w="1862" w:type="dxa"/>
            <w:vAlign w:val="center"/>
          </w:tcPr>
          <w:p w14:paraId="2B339E27" w14:textId="6FCD9882" w:rsidR="001B6388" w:rsidRPr="00903982" w:rsidRDefault="00D13DC0" w:rsidP="00FC7D77">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-3,810</w:t>
            </w:r>
          </w:p>
        </w:tc>
      </w:tr>
    </w:tbl>
    <w:p w14:paraId="4964A876" w14:textId="7A922CE4" w:rsidR="003F1DB8" w:rsidRPr="00903982" w:rsidRDefault="00416724" w:rsidP="00416724">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 xml:space="preserve">Fuente: Elaboración propia en base a resultados </w:t>
      </w:r>
    </w:p>
    <w:p w14:paraId="25C55078" w14:textId="77777777" w:rsidR="002443E0" w:rsidRDefault="002443E0" w:rsidP="003F1DB8">
      <w:pPr>
        <w:spacing w:after="100" w:afterAutospacing="1"/>
        <w:jc w:val="both"/>
        <w:rPr>
          <w:rFonts w:asciiTheme="minorHAnsi" w:hAnsiTheme="minorHAnsi" w:cs="Arial"/>
          <w:b/>
          <w:bCs/>
          <w:sz w:val="22"/>
          <w:szCs w:val="22"/>
          <w:lang w:val="es-ES_tradnl"/>
        </w:rPr>
      </w:pPr>
    </w:p>
    <w:p w14:paraId="5E15FB63" w14:textId="77777777" w:rsidR="002443E0" w:rsidRDefault="002443E0" w:rsidP="003F1DB8">
      <w:pPr>
        <w:spacing w:after="100" w:afterAutospacing="1"/>
        <w:jc w:val="both"/>
        <w:rPr>
          <w:rFonts w:asciiTheme="minorHAnsi" w:hAnsiTheme="minorHAnsi" w:cs="Arial"/>
          <w:b/>
          <w:bCs/>
          <w:sz w:val="22"/>
          <w:szCs w:val="22"/>
          <w:lang w:val="es-ES_tradnl"/>
        </w:rPr>
      </w:pPr>
    </w:p>
    <w:p w14:paraId="6BE3CB47" w14:textId="0B307C1C" w:rsidR="003F1DB8" w:rsidRPr="00903982" w:rsidRDefault="003F1DB8" w:rsidP="003F1DB8">
      <w:pPr>
        <w:spacing w:after="100" w:afterAutospacing="1"/>
        <w:jc w:val="both"/>
        <w:rPr>
          <w:rFonts w:asciiTheme="minorHAnsi" w:hAnsiTheme="minorHAnsi" w:cs="Arial"/>
          <w:b/>
          <w:bCs/>
          <w:sz w:val="22"/>
          <w:szCs w:val="22"/>
          <w:lang w:val="es-ES_tradnl"/>
        </w:rPr>
      </w:pPr>
      <w:r w:rsidRPr="00903982">
        <w:rPr>
          <w:rFonts w:asciiTheme="minorHAnsi" w:hAnsiTheme="minorHAnsi" w:cs="Arial"/>
          <w:b/>
          <w:bCs/>
          <w:sz w:val="22"/>
          <w:szCs w:val="22"/>
          <w:lang w:val="es-ES_tradnl"/>
        </w:rPr>
        <w:lastRenderedPageBreak/>
        <w:t>Determi</w:t>
      </w:r>
      <w:r w:rsidR="001B6388" w:rsidRPr="00903982">
        <w:rPr>
          <w:rFonts w:asciiTheme="minorHAnsi" w:hAnsiTheme="minorHAnsi" w:cs="Arial"/>
          <w:b/>
          <w:bCs/>
          <w:sz w:val="22"/>
          <w:szCs w:val="22"/>
          <w:lang w:val="es-ES_tradnl"/>
        </w:rPr>
        <w:t>nación impacto de mayores niveles de co</w:t>
      </w:r>
      <w:r w:rsidR="00690762" w:rsidRPr="00903982">
        <w:rPr>
          <w:rFonts w:asciiTheme="minorHAnsi" w:hAnsiTheme="minorHAnsi" w:cs="Arial"/>
          <w:b/>
          <w:bCs/>
          <w:sz w:val="22"/>
          <w:szCs w:val="22"/>
          <w:lang w:val="es-ES_tradnl"/>
        </w:rPr>
        <w:t>b</w:t>
      </w:r>
      <w:r w:rsidR="001B6388" w:rsidRPr="00903982">
        <w:rPr>
          <w:rFonts w:asciiTheme="minorHAnsi" w:hAnsiTheme="minorHAnsi" w:cs="Arial"/>
          <w:b/>
          <w:bCs/>
          <w:sz w:val="22"/>
          <w:szCs w:val="22"/>
          <w:lang w:val="es-ES_tradnl"/>
        </w:rPr>
        <w:t>ertura</w:t>
      </w:r>
    </w:p>
    <w:p w14:paraId="3E9645B4" w14:textId="4143EC7B" w:rsidR="001B6388" w:rsidRPr="00903982" w:rsidRDefault="001B6388" w:rsidP="001B6388">
      <w:pPr>
        <w:spacing w:after="160" w:line="259" w:lineRule="auto"/>
        <w:jc w:val="both"/>
        <w:rPr>
          <w:rFonts w:asciiTheme="minorHAnsi" w:hAnsiTheme="minorHAnsi"/>
          <w:sz w:val="22"/>
          <w:lang w:val="es-ES_tradnl"/>
        </w:rPr>
      </w:pPr>
      <w:r w:rsidRPr="00903982">
        <w:rPr>
          <w:rFonts w:asciiTheme="minorHAnsi" w:hAnsiTheme="minorHAnsi"/>
          <w:sz w:val="22"/>
          <w:lang w:val="es-ES_tradnl"/>
        </w:rPr>
        <w:t>Finalmente se procedió a comparar</w:t>
      </w:r>
      <w:r w:rsidR="00FB5168" w:rsidRPr="00903982">
        <w:rPr>
          <w:rFonts w:asciiTheme="minorHAnsi" w:hAnsiTheme="minorHAnsi"/>
          <w:sz w:val="22"/>
          <w:lang w:val="es-ES_tradnl"/>
        </w:rPr>
        <w:t xml:space="preserve"> la línea base con</w:t>
      </w:r>
      <w:r w:rsidRPr="00903982">
        <w:rPr>
          <w:rFonts w:asciiTheme="minorHAnsi" w:hAnsiTheme="minorHAnsi"/>
          <w:sz w:val="22"/>
          <w:lang w:val="es-ES_tradnl"/>
        </w:rPr>
        <w:t xml:space="preserve"> los ingresos y costos producto de la amp</w:t>
      </w:r>
      <w:r w:rsidR="00903982">
        <w:rPr>
          <w:rFonts w:asciiTheme="minorHAnsi" w:hAnsiTheme="minorHAnsi"/>
          <w:sz w:val="22"/>
          <w:lang w:val="es-ES_tradnl"/>
        </w:rPr>
        <w:t>l</w:t>
      </w:r>
      <w:r w:rsidRPr="00903982">
        <w:rPr>
          <w:rFonts w:asciiTheme="minorHAnsi" w:hAnsiTheme="minorHAnsi"/>
          <w:sz w:val="22"/>
          <w:lang w:val="es-ES_tradnl"/>
        </w:rPr>
        <w:t xml:space="preserve">iación de la cobertura de servicio eléctrico.  </w:t>
      </w:r>
      <w:r w:rsidR="00364E41" w:rsidRPr="00903982">
        <w:rPr>
          <w:rFonts w:asciiTheme="minorHAnsi" w:hAnsiTheme="minorHAnsi"/>
          <w:sz w:val="22"/>
          <w:lang w:val="es-ES_tradnl"/>
        </w:rPr>
        <w:t>E</w:t>
      </w:r>
      <w:r w:rsidR="001E3525" w:rsidRPr="00903982">
        <w:rPr>
          <w:rFonts w:asciiTheme="minorHAnsi" w:hAnsiTheme="minorHAnsi"/>
          <w:sz w:val="22"/>
          <w:lang w:val="es-ES_tradnl"/>
        </w:rPr>
        <w:t>n e</w:t>
      </w:r>
      <w:r w:rsidR="00364E41" w:rsidRPr="00903982">
        <w:rPr>
          <w:rFonts w:asciiTheme="minorHAnsi" w:hAnsiTheme="minorHAnsi"/>
          <w:sz w:val="22"/>
          <w:lang w:val="es-ES_tradnl"/>
        </w:rPr>
        <w:t>ste caso</w:t>
      </w:r>
      <w:r w:rsidR="00852C8D" w:rsidRPr="00903982">
        <w:rPr>
          <w:rFonts w:asciiTheme="minorHAnsi" w:hAnsiTheme="minorHAnsi"/>
          <w:sz w:val="22"/>
          <w:lang w:val="es-ES_tradnl"/>
        </w:rPr>
        <w:t xml:space="preserve"> </w:t>
      </w:r>
      <w:r w:rsidR="001E3525" w:rsidRPr="00903982">
        <w:rPr>
          <w:rFonts w:asciiTheme="minorHAnsi" w:hAnsiTheme="minorHAnsi"/>
          <w:sz w:val="22"/>
          <w:lang w:val="es-ES_tradnl"/>
        </w:rPr>
        <w:t>los</w:t>
      </w:r>
      <w:r w:rsidR="00852C8D" w:rsidRPr="00903982">
        <w:rPr>
          <w:rFonts w:asciiTheme="minorHAnsi" w:hAnsiTheme="minorHAnsi"/>
          <w:sz w:val="22"/>
          <w:lang w:val="es-ES_tradnl"/>
        </w:rPr>
        <w:t xml:space="preserve"> costos considerados </w:t>
      </w:r>
      <w:r w:rsidR="001E3525" w:rsidRPr="00903982">
        <w:rPr>
          <w:rFonts w:asciiTheme="minorHAnsi" w:hAnsiTheme="minorHAnsi"/>
          <w:sz w:val="22"/>
          <w:lang w:val="es-ES_tradnl"/>
        </w:rPr>
        <w:t xml:space="preserve">incluyeron </w:t>
      </w:r>
      <w:r w:rsidR="00852C8D" w:rsidRPr="00903982">
        <w:rPr>
          <w:rFonts w:asciiTheme="minorHAnsi" w:hAnsiTheme="minorHAnsi"/>
          <w:sz w:val="22"/>
          <w:lang w:val="es-ES_tradnl"/>
        </w:rPr>
        <w:t xml:space="preserve">la inversión incremental de ampliar la cobertura en base a la mezcla de generación </w:t>
      </w:r>
      <w:r w:rsidR="00B06266" w:rsidRPr="00903982">
        <w:rPr>
          <w:rFonts w:asciiTheme="minorHAnsi" w:hAnsiTheme="minorHAnsi"/>
          <w:sz w:val="22"/>
          <w:lang w:val="es-ES_tradnl"/>
        </w:rPr>
        <w:t xml:space="preserve">del SIN, </w:t>
      </w:r>
      <w:r w:rsidR="00852C8D" w:rsidRPr="00903982">
        <w:rPr>
          <w:rFonts w:asciiTheme="minorHAnsi" w:hAnsiTheme="minorHAnsi"/>
          <w:sz w:val="22"/>
          <w:lang w:val="es-ES_tradnl"/>
        </w:rPr>
        <w:t>en lugar de una expansión en base a generación de turbina a gas.  En el caso los ingresos o ahorros estos provienen de los menores costos de operación de la matriz (en comparación</w:t>
      </w:r>
      <w:r w:rsidR="00DB206C" w:rsidRPr="00903982">
        <w:rPr>
          <w:rFonts w:asciiTheme="minorHAnsi" w:hAnsiTheme="minorHAnsi"/>
          <w:sz w:val="22"/>
          <w:lang w:val="es-ES_tradnl"/>
        </w:rPr>
        <w:t xml:space="preserve"> al gas) y las menores emisiones.</w:t>
      </w:r>
      <w:r w:rsidR="00B52AB3">
        <w:rPr>
          <w:rFonts w:asciiTheme="minorHAnsi" w:hAnsiTheme="minorHAnsi"/>
          <w:sz w:val="22"/>
          <w:lang w:val="es-ES_tradnl"/>
        </w:rPr>
        <w:t xml:space="preserve"> El escenario muestra una utilidad negativa de 195 millones de dólares con una tasa interna de retorno del 4%.</w:t>
      </w:r>
    </w:p>
    <w:p w14:paraId="5B5F84E1" w14:textId="63F48F7D" w:rsidR="00126294" w:rsidRPr="00903982" w:rsidRDefault="00126294" w:rsidP="00126294">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4</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w:t>
      </w:r>
      <w:r w:rsidR="00FB5168" w:rsidRPr="00903982">
        <w:rPr>
          <w:rFonts w:asciiTheme="minorHAnsi" w:hAnsiTheme="minorHAnsi"/>
          <w:b w:val="0"/>
          <w:sz w:val="22"/>
          <w:lang w:val="es-ES_tradnl"/>
        </w:rPr>
        <w:t>Diferencia entre línea base y escenario con un</w:t>
      </w:r>
      <w:r w:rsidRPr="00903982">
        <w:rPr>
          <w:rFonts w:asciiTheme="minorHAnsi" w:hAnsiTheme="minorHAnsi"/>
          <w:b w:val="0"/>
          <w:sz w:val="22"/>
          <w:lang w:val="es-ES_tradnl"/>
        </w:rPr>
        <w:t xml:space="preserve"> incremento de los niveles de cobertura</w:t>
      </w:r>
    </w:p>
    <w:tbl>
      <w:tblPr>
        <w:tblStyle w:val="TableGrid"/>
        <w:tblW w:w="0" w:type="auto"/>
        <w:jc w:val="center"/>
        <w:tblLook w:val="04A0" w:firstRow="1" w:lastRow="0" w:firstColumn="1" w:lastColumn="0" w:noHBand="0" w:noVBand="1"/>
      </w:tblPr>
      <w:tblGrid>
        <w:gridCol w:w="4166"/>
        <w:gridCol w:w="1862"/>
      </w:tblGrid>
      <w:tr w:rsidR="00C37763" w:rsidRPr="00903982" w14:paraId="74EBD8E9" w14:textId="77777777" w:rsidTr="00C37763">
        <w:trPr>
          <w:trHeight w:val="327"/>
          <w:jc w:val="center"/>
        </w:trPr>
        <w:tc>
          <w:tcPr>
            <w:tcW w:w="4166" w:type="dxa"/>
            <w:shd w:val="clear" w:color="auto" w:fill="D9D9D9" w:themeFill="background1" w:themeFillShade="D9"/>
            <w:vAlign w:val="center"/>
          </w:tcPr>
          <w:p w14:paraId="5583D18F" w14:textId="77777777" w:rsidR="00C37763" w:rsidRPr="00903982" w:rsidRDefault="00C37763" w:rsidP="00C37763">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Ingresos </w:t>
            </w:r>
          </w:p>
        </w:tc>
        <w:tc>
          <w:tcPr>
            <w:tcW w:w="1862" w:type="dxa"/>
            <w:shd w:val="clear" w:color="auto" w:fill="D9D9D9" w:themeFill="background1" w:themeFillShade="D9"/>
            <w:vAlign w:val="center"/>
          </w:tcPr>
          <w:p w14:paraId="3D0B4892" w14:textId="77777777" w:rsidR="00C37763" w:rsidRPr="00903982" w:rsidRDefault="00C37763" w:rsidP="00C37763">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 Millones de US$ </w:t>
            </w:r>
          </w:p>
        </w:tc>
      </w:tr>
      <w:tr w:rsidR="00C37763" w:rsidRPr="00903982" w14:paraId="3CD8A6E6" w14:textId="77777777" w:rsidTr="00C37763">
        <w:trPr>
          <w:trHeight w:val="561"/>
          <w:jc w:val="center"/>
        </w:trPr>
        <w:tc>
          <w:tcPr>
            <w:tcW w:w="4166" w:type="dxa"/>
            <w:vAlign w:val="center"/>
          </w:tcPr>
          <w:p w14:paraId="16ED549D" w14:textId="77777777" w:rsidR="00C37763" w:rsidRPr="00903982" w:rsidRDefault="00C37763" w:rsidP="00C37763">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Valoración de menores emisiones de CO2</w:t>
            </w:r>
          </w:p>
        </w:tc>
        <w:tc>
          <w:tcPr>
            <w:tcW w:w="1862" w:type="dxa"/>
            <w:vAlign w:val="center"/>
          </w:tcPr>
          <w:p w14:paraId="29D3C927" w14:textId="6C52A3B2" w:rsidR="00C37763" w:rsidRPr="00903982" w:rsidRDefault="00D33ADA" w:rsidP="00C37763">
            <w:pPr>
              <w:jc w:val="right"/>
              <w:rPr>
                <w:rFonts w:ascii="Calibri" w:hAnsi="Calibri"/>
                <w:color w:val="000000"/>
                <w:sz w:val="22"/>
                <w:szCs w:val="22"/>
                <w:lang w:val="es-ES_tradnl"/>
              </w:rPr>
            </w:pPr>
            <w:r w:rsidRPr="00903982">
              <w:rPr>
                <w:rFonts w:ascii="Calibri" w:hAnsi="Calibri"/>
                <w:color w:val="000000"/>
                <w:sz w:val="22"/>
                <w:szCs w:val="22"/>
                <w:lang w:val="es-ES_tradnl"/>
              </w:rPr>
              <w:t>10</w:t>
            </w:r>
          </w:p>
        </w:tc>
      </w:tr>
      <w:tr w:rsidR="00C37763" w:rsidRPr="00903982" w14:paraId="7EF1030A" w14:textId="77777777" w:rsidTr="00C37763">
        <w:trPr>
          <w:trHeight w:val="561"/>
          <w:jc w:val="center"/>
        </w:trPr>
        <w:tc>
          <w:tcPr>
            <w:tcW w:w="4166" w:type="dxa"/>
            <w:vAlign w:val="center"/>
          </w:tcPr>
          <w:p w14:paraId="5E879534" w14:textId="77777777" w:rsidR="00C37763" w:rsidRPr="00903982" w:rsidRDefault="00C37763" w:rsidP="00C37763">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Menores costos de operación</w:t>
            </w:r>
          </w:p>
        </w:tc>
        <w:tc>
          <w:tcPr>
            <w:tcW w:w="1862" w:type="dxa"/>
            <w:vAlign w:val="center"/>
          </w:tcPr>
          <w:p w14:paraId="1273C8F4" w14:textId="6F961728" w:rsidR="00C37763" w:rsidRPr="00903982" w:rsidRDefault="00D33ADA" w:rsidP="00C37763">
            <w:pPr>
              <w:jc w:val="right"/>
              <w:rPr>
                <w:rFonts w:ascii="Calibri" w:hAnsi="Calibri"/>
                <w:color w:val="000000"/>
                <w:sz w:val="22"/>
                <w:szCs w:val="22"/>
                <w:lang w:val="es-ES_tradnl"/>
              </w:rPr>
            </w:pPr>
            <w:r w:rsidRPr="00903982">
              <w:rPr>
                <w:rFonts w:ascii="Calibri" w:hAnsi="Calibri"/>
                <w:color w:val="000000"/>
                <w:sz w:val="22"/>
                <w:szCs w:val="22"/>
                <w:lang w:val="es-ES_tradnl"/>
              </w:rPr>
              <w:t>24</w:t>
            </w:r>
          </w:p>
        </w:tc>
      </w:tr>
      <w:tr w:rsidR="00C37763" w:rsidRPr="00903982" w14:paraId="7F4B264E" w14:textId="77777777" w:rsidTr="00C37763">
        <w:trPr>
          <w:trHeight w:val="454"/>
          <w:jc w:val="center"/>
        </w:trPr>
        <w:tc>
          <w:tcPr>
            <w:tcW w:w="4166" w:type="dxa"/>
            <w:shd w:val="clear" w:color="auto" w:fill="D9D9D9" w:themeFill="background1" w:themeFillShade="D9"/>
            <w:vAlign w:val="center"/>
          </w:tcPr>
          <w:p w14:paraId="7F0EA4FE" w14:textId="77777777" w:rsidR="00C37763" w:rsidRPr="00903982" w:rsidRDefault="00C37763" w:rsidP="00C37763">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Costos</w:t>
            </w:r>
          </w:p>
        </w:tc>
        <w:tc>
          <w:tcPr>
            <w:tcW w:w="1862" w:type="dxa"/>
            <w:shd w:val="clear" w:color="auto" w:fill="D9D9D9" w:themeFill="background1" w:themeFillShade="D9"/>
            <w:vAlign w:val="center"/>
          </w:tcPr>
          <w:p w14:paraId="6FDCA8F8" w14:textId="77777777" w:rsidR="00C37763" w:rsidRPr="00903982" w:rsidRDefault="00C37763" w:rsidP="00C37763">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D33ADA" w:rsidRPr="00903982" w14:paraId="34B0F646" w14:textId="77777777" w:rsidTr="00D33ADA">
        <w:trPr>
          <w:trHeight w:val="454"/>
          <w:jc w:val="center"/>
        </w:trPr>
        <w:tc>
          <w:tcPr>
            <w:tcW w:w="4166" w:type="dxa"/>
            <w:vAlign w:val="center"/>
          </w:tcPr>
          <w:p w14:paraId="5FDEFCC6" w14:textId="2F874E5B" w:rsidR="00D33ADA" w:rsidRPr="00903982" w:rsidRDefault="00D33ADA" w:rsidP="00D33ADA">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 de inversión en la red</w:t>
            </w:r>
          </w:p>
        </w:tc>
        <w:tc>
          <w:tcPr>
            <w:tcW w:w="1862" w:type="dxa"/>
            <w:vAlign w:val="center"/>
          </w:tcPr>
          <w:p w14:paraId="089419DD" w14:textId="77777777" w:rsidR="00D33ADA" w:rsidRPr="00903982" w:rsidRDefault="00D33ADA" w:rsidP="00D33ADA">
            <w:pPr>
              <w:jc w:val="right"/>
              <w:rPr>
                <w:rFonts w:ascii="Calibri" w:hAnsi="Calibri"/>
                <w:color w:val="000000"/>
                <w:sz w:val="22"/>
                <w:szCs w:val="22"/>
                <w:highlight w:val="yellow"/>
                <w:lang w:val="es-ES_tradnl"/>
              </w:rPr>
            </w:pPr>
            <w:r w:rsidRPr="00903982">
              <w:rPr>
                <w:rFonts w:ascii="Calibri" w:hAnsi="Calibri"/>
                <w:color w:val="000000"/>
                <w:sz w:val="22"/>
                <w:szCs w:val="22"/>
                <w:lang w:val="es-ES_tradnl"/>
              </w:rPr>
              <w:t>138</w:t>
            </w:r>
          </w:p>
        </w:tc>
      </w:tr>
      <w:tr w:rsidR="00C37763" w:rsidRPr="00903982" w14:paraId="2EAEBC3E" w14:textId="77777777" w:rsidTr="00C37763">
        <w:trPr>
          <w:trHeight w:val="454"/>
          <w:jc w:val="center"/>
        </w:trPr>
        <w:tc>
          <w:tcPr>
            <w:tcW w:w="4166" w:type="dxa"/>
            <w:vAlign w:val="center"/>
          </w:tcPr>
          <w:p w14:paraId="2A811D44" w14:textId="77777777" w:rsidR="00C37763" w:rsidRPr="00903982" w:rsidRDefault="00C37763" w:rsidP="00C37763">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Mayores costos de inversión en generación</w:t>
            </w:r>
          </w:p>
        </w:tc>
        <w:tc>
          <w:tcPr>
            <w:tcW w:w="1862" w:type="dxa"/>
            <w:vAlign w:val="center"/>
          </w:tcPr>
          <w:p w14:paraId="364C7845" w14:textId="1FD4F08D" w:rsidR="00C37763" w:rsidRPr="00903982" w:rsidRDefault="00B52AB3" w:rsidP="00C37763">
            <w:pPr>
              <w:jc w:val="right"/>
              <w:rPr>
                <w:rFonts w:ascii="Calibri" w:hAnsi="Calibri"/>
                <w:color w:val="000000"/>
                <w:sz w:val="22"/>
                <w:szCs w:val="22"/>
                <w:highlight w:val="yellow"/>
                <w:lang w:val="es-ES_tradnl"/>
              </w:rPr>
            </w:pPr>
            <w:r>
              <w:rPr>
                <w:rFonts w:ascii="Calibri" w:hAnsi="Calibri"/>
                <w:color w:val="000000"/>
                <w:sz w:val="22"/>
                <w:szCs w:val="22"/>
                <w:lang w:val="es-ES_tradnl"/>
              </w:rPr>
              <w:t>92</w:t>
            </w:r>
          </w:p>
        </w:tc>
      </w:tr>
      <w:tr w:rsidR="00B82D1C" w:rsidRPr="00903982" w14:paraId="5E95681B" w14:textId="77777777" w:rsidTr="00B82D1C">
        <w:trPr>
          <w:trHeight w:val="454"/>
          <w:jc w:val="center"/>
        </w:trPr>
        <w:tc>
          <w:tcPr>
            <w:tcW w:w="4166" w:type="dxa"/>
            <w:shd w:val="clear" w:color="auto" w:fill="D9D9D9" w:themeFill="background1" w:themeFillShade="D9"/>
            <w:vAlign w:val="center"/>
          </w:tcPr>
          <w:p w14:paraId="12BE53C4" w14:textId="77777777" w:rsidR="00B82D1C" w:rsidRPr="00903982" w:rsidRDefault="00B82D1C" w:rsidP="00B82D1C">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w:t>
            </w:r>
          </w:p>
        </w:tc>
        <w:tc>
          <w:tcPr>
            <w:tcW w:w="1862" w:type="dxa"/>
            <w:shd w:val="clear" w:color="auto" w:fill="D9D9D9" w:themeFill="background1" w:themeFillShade="D9"/>
            <w:vAlign w:val="center"/>
          </w:tcPr>
          <w:p w14:paraId="2AA03170" w14:textId="77777777" w:rsidR="00B82D1C" w:rsidRPr="00903982" w:rsidRDefault="00B82D1C" w:rsidP="00B82D1C">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B82D1C" w:rsidRPr="00903982" w14:paraId="3F254D23" w14:textId="77777777" w:rsidTr="00B82D1C">
        <w:trPr>
          <w:trHeight w:val="454"/>
          <w:jc w:val="center"/>
        </w:trPr>
        <w:tc>
          <w:tcPr>
            <w:tcW w:w="4166" w:type="dxa"/>
            <w:vAlign w:val="center"/>
          </w:tcPr>
          <w:p w14:paraId="44606362" w14:textId="77777777" w:rsidR="00B82D1C" w:rsidRPr="00903982" w:rsidRDefault="00B82D1C" w:rsidP="00B82D1C">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 menos costos</w:t>
            </w:r>
          </w:p>
        </w:tc>
        <w:tc>
          <w:tcPr>
            <w:tcW w:w="1862" w:type="dxa"/>
            <w:vAlign w:val="center"/>
          </w:tcPr>
          <w:p w14:paraId="40D1793F" w14:textId="266F154B" w:rsidR="00B82D1C" w:rsidRPr="00903982" w:rsidRDefault="00B82D1C" w:rsidP="00B82D1C">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-1</w:t>
            </w:r>
            <w:r w:rsidR="00B52AB3">
              <w:rPr>
                <w:rFonts w:asciiTheme="minorHAnsi" w:eastAsia="Calibri" w:hAnsiTheme="minorHAnsi" w:cstheme="minorBidi"/>
                <w:sz w:val="22"/>
                <w:szCs w:val="22"/>
                <w:lang w:val="es-ES_tradnl" w:eastAsia="en-US"/>
              </w:rPr>
              <w:t>95</w:t>
            </w:r>
          </w:p>
        </w:tc>
      </w:tr>
      <w:tr w:rsidR="00B82D1C" w:rsidRPr="00903982" w14:paraId="166375DE" w14:textId="77777777" w:rsidTr="00C37763">
        <w:trPr>
          <w:trHeight w:val="454"/>
          <w:jc w:val="center"/>
        </w:trPr>
        <w:tc>
          <w:tcPr>
            <w:tcW w:w="4166" w:type="dxa"/>
            <w:shd w:val="clear" w:color="auto" w:fill="D9D9D9" w:themeFill="background1" w:themeFillShade="D9"/>
            <w:vAlign w:val="center"/>
          </w:tcPr>
          <w:p w14:paraId="007873D0" w14:textId="4205A21E" w:rsidR="00B82D1C" w:rsidRPr="00903982" w:rsidRDefault="00B82D1C" w:rsidP="00C37763">
            <w:pPr>
              <w:rPr>
                <w:rFonts w:asciiTheme="minorHAnsi" w:eastAsia="Calibri" w:hAnsiTheme="minorHAnsi" w:cstheme="minorBidi"/>
                <w:sz w:val="22"/>
                <w:szCs w:val="22"/>
                <w:lang w:val="es-ES_tradnl" w:eastAsia="en-US"/>
              </w:rPr>
            </w:pPr>
            <w:r>
              <w:rPr>
                <w:rFonts w:asciiTheme="minorHAnsi" w:eastAsia="Calibri" w:hAnsiTheme="minorHAnsi" w:cstheme="minorBidi"/>
                <w:sz w:val="22"/>
                <w:szCs w:val="22"/>
                <w:lang w:val="es-ES_tradnl" w:eastAsia="en-US"/>
              </w:rPr>
              <w:t>Tasa Interna de Retorno</w:t>
            </w:r>
          </w:p>
        </w:tc>
        <w:tc>
          <w:tcPr>
            <w:tcW w:w="1862" w:type="dxa"/>
            <w:shd w:val="clear" w:color="auto" w:fill="D9D9D9" w:themeFill="background1" w:themeFillShade="D9"/>
            <w:vAlign w:val="center"/>
          </w:tcPr>
          <w:p w14:paraId="27FFAB83" w14:textId="5EC26EE2" w:rsidR="00B82D1C" w:rsidRPr="00903982" w:rsidRDefault="00B52AB3" w:rsidP="00C37763">
            <w:pPr>
              <w:jc w:val="right"/>
              <w:rPr>
                <w:rFonts w:asciiTheme="minorHAnsi" w:eastAsia="Calibri" w:hAnsiTheme="minorHAnsi" w:cstheme="minorBidi"/>
                <w:sz w:val="22"/>
                <w:szCs w:val="22"/>
                <w:lang w:val="es-ES_tradnl" w:eastAsia="en-US"/>
              </w:rPr>
            </w:pPr>
            <w:r>
              <w:rPr>
                <w:rFonts w:ascii="Calibri" w:hAnsi="Calibri"/>
                <w:color w:val="000000"/>
                <w:sz w:val="22"/>
                <w:szCs w:val="22"/>
                <w:lang w:val="es-ES_tradnl"/>
              </w:rPr>
              <w:t>4</w:t>
            </w:r>
            <w:r w:rsidR="00B82D1C">
              <w:rPr>
                <w:rFonts w:ascii="Calibri" w:hAnsi="Calibri"/>
                <w:color w:val="000000"/>
                <w:sz w:val="22"/>
                <w:szCs w:val="22"/>
                <w:lang w:val="es-ES_tradnl"/>
              </w:rPr>
              <w:t>%</w:t>
            </w:r>
          </w:p>
        </w:tc>
      </w:tr>
    </w:tbl>
    <w:p w14:paraId="02ACA1E6" w14:textId="33CB984C" w:rsidR="00B52AB3" w:rsidRPr="00B52AB3" w:rsidRDefault="00126294" w:rsidP="00B52AB3">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Fuente: Elaboración propia en base a resultados</w:t>
      </w:r>
    </w:p>
    <w:p w14:paraId="4F923256" w14:textId="25CAAB46" w:rsidR="00B52AB3" w:rsidRPr="00B52AB3" w:rsidRDefault="00B52AB3" w:rsidP="00B52AB3">
      <w:pPr>
        <w:spacing w:after="100" w:afterAutospacing="1"/>
        <w:jc w:val="both"/>
        <w:rPr>
          <w:rFonts w:asciiTheme="minorHAnsi" w:hAnsiTheme="minorHAnsi" w:cs="Arial"/>
          <w:b/>
          <w:bCs/>
          <w:sz w:val="22"/>
          <w:szCs w:val="22"/>
          <w:lang w:val="es-ES_tradnl"/>
        </w:rPr>
      </w:pPr>
      <w:r>
        <w:rPr>
          <w:rFonts w:asciiTheme="minorHAnsi" w:hAnsiTheme="minorHAnsi" w:cs="Arial"/>
          <w:b/>
          <w:bCs/>
          <w:sz w:val="22"/>
          <w:szCs w:val="22"/>
          <w:lang w:val="es-ES_tradnl"/>
        </w:rPr>
        <w:t>Resumen de escenarios</w:t>
      </w:r>
    </w:p>
    <w:p w14:paraId="7213A890" w14:textId="77368C2D" w:rsidR="00B52AB3" w:rsidRPr="00903982" w:rsidRDefault="001B6388" w:rsidP="001B6388">
      <w:pPr>
        <w:spacing w:after="160" w:line="259" w:lineRule="auto"/>
        <w:jc w:val="both"/>
        <w:rPr>
          <w:rFonts w:asciiTheme="minorHAnsi" w:hAnsiTheme="minorHAnsi"/>
          <w:sz w:val="22"/>
          <w:lang w:val="es-ES_tradnl"/>
        </w:rPr>
      </w:pPr>
      <w:r w:rsidRPr="00903982">
        <w:rPr>
          <w:rFonts w:asciiTheme="minorHAnsi" w:hAnsiTheme="minorHAnsi"/>
          <w:sz w:val="22"/>
          <w:lang w:val="es-ES_tradnl"/>
        </w:rPr>
        <w:t xml:space="preserve">De esta forma el efecto compuesto de la reducción de la intensidad energética, cambio en la matriz energética, reducción de pérdidas no técnicas en distribución y mayores niveles de cobertura </w:t>
      </w:r>
      <w:r w:rsidR="00FB5168" w:rsidRPr="00903982">
        <w:rPr>
          <w:rFonts w:asciiTheme="minorHAnsi" w:hAnsiTheme="minorHAnsi"/>
          <w:sz w:val="22"/>
          <w:lang w:val="es-ES_tradnl"/>
        </w:rPr>
        <w:t>se puede resumir en la siguiente tabla.</w:t>
      </w:r>
    </w:p>
    <w:p w14:paraId="54D123E2" w14:textId="52617D3D" w:rsidR="00FB5168" w:rsidRPr="00903982" w:rsidRDefault="00FB5168" w:rsidP="00FB5168">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Pr="00903982">
        <w:rPr>
          <w:rFonts w:asciiTheme="minorHAnsi" w:hAnsiTheme="minorHAnsi"/>
          <w:b w:val="0"/>
          <w:noProof/>
          <w:sz w:val="22"/>
          <w:lang w:val="es-ES_tradnl"/>
        </w:rPr>
        <w:t>5</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w:t>
      </w:r>
      <w:r w:rsidR="00903982">
        <w:rPr>
          <w:rFonts w:asciiTheme="minorHAnsi" w:hAnsiTheme="minorHAnsi"/>
          <w:b w:val="0"/>
          <w:sz w:val="22"/>
          <w:lang w:val="es-ES_tradnl"/>
        </w:rPr>
        <w:t>Resultados acu</w:t>
      </w:r>
      <w:r w:rsidRPr="00903982">
        <w:rPr>
          <w:rFonts w:asciiTheme="minorHAnsi" w:hAnsiTheme="minorHAnsi"/>
          <w:b w:val="0"/>
          <w:sz w:val="22"/>
          <w:lang w:val="es-ES_tradnl"/>
        </w:rPr>
        <w:t>mulados de las medidas del Programa</w:t>
      </w:r>
    </w:p>
    <w:tbl>
      <w:tblPr>
        <w:tblStyle w:val="TableGrid"/>
        <w:tblW w:w="0" w:type="auto"/>
        <w:jc w:val="center"/>
        <w:tblLook w:val="04A0" w:firstRow="1" w:lastRow="0" w:firstColumn="1" w:lastColumn="0" w:noHBand="0" w:noVBand="1"/>
      </w:tblPr>
      <w:tblGrid>
        <w:gridCol w:w="6604"/>
        <w:gridCol w:w="1737"/>
      </w:tblGrid>
      <w:tr w:rsidR="00B52AB3" w:rsidRPr="00903982" w14:paraId="541A8021" w14:textId="77777777" w:rsidTr="00B52AB3">
        <w:trPr>
          <w:trHeight w:val="327"/>
          <w:jc w:val="center"/>
        </w:trPr>
        <w:tc>
          <w:tcPr>
            <w:tcW w:w="6604" w:type="dxa"/>
            <w:shd w:val="clear" w:color="auto" w:fill="D9D9D9" w:themeFill="background1" w:themeFillShade="D9"/>
            <w:vAlign w:val="center"/>
          </w:tcPr>
          <w:p w14:paraId="765A7515" w14:textId="78CA2886" w:rsidR="00FB5168" w:rsidRPr="00903982" w:rsidRDefault="00FB5168" w:rsidP="00FB516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por medida</w:t>
            </w:r>
          </w:p>
        </w:tc>
        <w:tc>
          <w:tcPr>
            <w:tcW w:w="1737" w:type="dxa"/>
            <w:shd w:val="clear" w:color="auto" w:fill="D9D9D9" w:themeFill="background1" w:themeFillShade="D9"/>
            <w:vAlign w:val="center"/>
          </w:tcPr>
          <w:p w14:paraId="074A9A9F" w14:textId="77777777" w:rsidR="00FB5168" w:rsidRPr="00903982" w:rsidRDefault="00FB5168" w:rsidP="00FB5168">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 Millones de US$ </w:t>
            </w:r>
          </w:p>
        </w:tc>
      </w:tr>
      <w:tr w:rsidR="00B52AB3" w:rsidRPr="00903982" w14:paraId="221D1473" w14:textId="77777777" w:rsidTr="00B52AB3">
        <w:trPr>
          <w:trHeight w:val="316"/>
          <w:jc w:val="center"/>
        </w:trPr>
        <w:tc>
          <w:tcPr>
            <w:tcW w:w="6604" w:type="dxa"/>
            <w:vAlign w:val="center"/>
          </w:tcPr>
          <w:p w14:paraId="17B25EF0" w14:textId="6A83DB24" w:rsidR="00FC7D77" w:rsidRPr="00903982" w:rsidRDefault="00FC7D77" w:rsidP="00FB516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de escenario con mayor incorporación de eficiencia energética</w:t>
            </w:r>
          </w:p>
        </w:tc>
        <w:tc>
          <w:tcPr>
            <w:tcW w:w="1737" w:type="dxa"/>
            <w:vAlign w:val="center"/>
          </w:tcPr>
          <w:p w14:paraId="30F0D4B6" w14:textId="6DB4063F" w:rsidR="00FC7D77" w:rsidRPr="00903982" w:rsidRDefault="00B52AB3" w:rsidP="00B52AB3">
            <w:pPr>
              <w:jc w:val="right"/>
              <w:rPr>
                <w:rFonts w:ascii="Calibri" w:hAnsi="Calibri"/>
                <w:color w:val="000000"/>
                <w:sz w:val="22"/>
                <w:szCs w:val="22"/>
                <w:lang w:val="es-ES_tradnl"/>
              </w:rPr>
            </w:pPr>
            <w:r>
              <w:rPr>
                <w:rFonts w:ascii="Calibri" w:hAnsi="Calibri"/>
                <w:color w:val="000000"/>
                <w:sz w:val="22"/>
                <w:szCs w:val="22"/>
                <w:lang w:val="es-ES_tradnl"/>
              </w:rPr>
              <w:t>11</w:t>
            </w:r>
            <w:r w:rsidR="00FC7D77" w:rsidRPr="00903982">
              <w:rPr>
                <w:rFonts w:ascii="Calibri" w:hAnsi="Calibri"/>
                <w:color w:val="000000"/>
                <w:sz w:val="22"/>
                <w:szCs w:val="22"/>
                <w:lang w:val="es-ES_tradnl"/>
              </w:rPr>
              <w:t>,</w:t>
            </w:r>
            <w:r>
              <w:rPr>
                <w:rFonts w:ascii="Calibri" w:hAnsi="Calibri"/>
                <w:color w:val="000000"/>
                <w:sz w:val="22"/>
                <w:szCs w:val="22"/>
                <w:lang w:val="es-ES_tradnl"/>
              </w:rPr>
              <w:t>334</w:t>
            </w:r>
            <w:r w:rsidR="00FC7D77" w:rsidRPr="00903982">
              <w:rPr>
                <w:rFonts w:ascii="Calibri" w:hAnsi="Calibri"/>
                <w:color w:val="000000"/>
                <w:sz w:val="22"/>
                <w:szCs w:val="22"/>
                <w:lang w:val="es-ES_tradnl"/>
              </w:rPr>
              <w:t xml:space="preserve"> </w:t>
            </w:r>
          </w:p>
        </w:tc>
      </w:tr>
      <w:tr w:rsidR="00B52AB3" w:rsidRPr="00903982" w14:paraId="4DE0F23D" w14:textId="77777777" w:rsidTr="00B52AB3">
        <w:trPr>
          <w:trHeight w:val="438"/>
          <w:jc w:val="center"/>
        </w:trPr>
        <w:tc>
          <w:tcPr>
            <w:tcW w:w="6604" w:type="dxa"/>
            <w:vAlign w:val="center"/>
          </w:tcPr>
          <w:p w14:paraId="47A346F3" w14:textId="7B679958" w:rsidR="00FC7D77" w:rsidRPr="00903982" w:rsidRDefault="00FC7D77" w:rsidP="00FB516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de escenario con mayor incorporación de energías limpias</w:t>
            </w:r>
          </w:p>
        </w:tc>
        <w:tc>
          <w:tcPr>
            <w:tcW w:w="1737" w:type="dxa"/>
            <w:vAlign w:val="center"/>
          </w:tcPr>
          <w:p w14:paraId="5DE5A467" w14:textId="565B8BC4" w:rsidR="00FC7D77" w:rsidRPr="00903982" w:rsidRDefault="00B52AB3" w:rsidP="00B170DE">
            <w:pPr>
              <w:jc w:val="right"/>
              <w:rPr>
                <w:rFonts w:ascii="Calibri" w:hAnsi="Calibri"/>
                <w:color w:val="000000"/>
                <w:sz w:val="22"/>
                <w:szCs w:val="22"/>
                <w:lang w:val="es-ES_tradnl"/>
              </w:rPr>
            </w:pPr>
            <w:r>
              <w:rPr>
                <w:rFonts w:ascii="Calibri" w:hAnsi="Calibri"/>
                <w:color w:val="000000"/>
                <w:sz w:val="22"/>
                <w:szCs w:val="22"/>
                <w:lang w:val="es-ES_tradnl"/>
              </w:rPr>
              <w:t>2</w:t>
            </w:r>
            <w:r w:rsidR="00FC7D77" w:rsidRPr="00903982">
              <w:rPr>
                <w:rFonts w:ascii="Calibri" w:hAnsi="Calibri"/>
                <w:color w:val="000000"/>
                <w:sz w:val="22"/>
                <w:szCs w:val="22"/>
                <w:lang w:val="es-ES_tradnl"/>
              </w:rPr>
              <w:t>,</w:t>
            </w:r>
            <w:r w:rsidR="00B170DE">
              <w:rPr>
                <w:rFonts w:ascii="Calibri" w:hAnsi="Calibri"/>
                <w:color w:val="000000"/>
                <w:sz w:val="22"/>
                <w:szCs w:val="22"/>
                <w:lang w:val="es-ES_tradnl"/>
              </w:rPr>
              <w:t>810</w:t>
            </w:r>
            <w:r w:rsidR="00FC7D77" w:rsidRPr="00903982">
              <w:rPr>
                <w:rFonts w:ascii="Calibri" w:hAnsi="Calibri"/>
                <w:color w:val="000000"/>
                <w:sz w:val="22"/>
                <w:szCs w:val="22"/>
                <w:lang w:val="es-ES_tradnl"/>
              </w:rPr>
              <w:t xml:space="preserve"> </w:t>
            </w:r>
          </w:p>
        </w:tc>
      </w:tr>
      <w:tr w:rsidR="00B52AB3" w:rsidRPr="00903982" w14:paraId="194AD6AB" w14:textId="77777777" w:rsidTr="00B52AB3">
        <w:trPr>
          <w:trHeight w:val="386"/>
          <w:jc w:val="center"/>
        </w:trPr>
        <w:tc>
          <w:tcPr>
            <w:tcW w:w="6604" w:type="dxa"/>
            <w:vAlign w:val="center"/>
          </w:tcPr>
          <w:p w14:paraId="49B9DA70" w14:textId="2234125B" w:rsidR="00FC7D77" w:rsidRPr="00903982" w:rsidRDefault="00FC7D77" w:rsidP="00FB516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de escenario con un menor nivel de pérdidas no técnicas</w:t>
            </w:r>
          </w:p>
        </w:tc>
        <w:tc>
          <w:tcPr>
            <w:tcW w:w="1737" w:type="dxa"/>
            <w:vAlign w:val="center"/>
          </w:tcPr>
          <w:p w14:paraId="79FDD114" w14:textId="3436AC37" w:rsidR="00FC7D77" w:rsidRPr="00903982" w:rsidRDefault="00FC7D77" w:rsidP="0061719F">
            <w:pPr>
              <w:jc w:val="right"/>
              <w:rPr>
                <w:rFonts w:ascii="Calibri" w:hAnsi="Calibri"/>
                <w:color w:val="000000"/>
                <w:sz w:val="22"/>
                <w:szCs w:val="22"/>
                <w:lang w:val="es-ES_tradnl"/>
              </w:rPr>
            </w:pPr>
            <w:r w:rsidRPr="00903982">
              <w:rPr>
                <w:rFonts w:ascii="Calibri" w:hAnsi="Calibri"/>
                <w:color w:val="000000"/>
                <w:sz w:val="22"/>
                <w:szCs w:val="22"/>
                <w:lang w:val="es-ES_tradnl"/>
              </w:rPr>
              <w:t>-</w:t>
            </w:r>
            <w:r w:rsidR="0061719F" w:rsidRPr="00903982">
              <w:rPr>
                <w:rFonts w:ascii="Calibri" w:hAnsi="Calibri"/>
                <w:color w:val="000000"/>
                <w:sz w:val="22"/>
                <w:szCs w:val="22"/>
                <w:lang w:val="es-ES_tradnl"/>
              </w:rPr>
              <w:t>3,810</w:t>
            </w:r>
          </w:p>
        </w:tc>
      </w:tr>
      <w:tr w:rsidR="00B52AB3" w:rsidRPr="00903982" w14:paraId="39107D6A" w14:textId="77777777" w:rsidTr="00B52AB3">
        <w:trPr>
          <w:trHeight w:val="419"/>
          <w:jc w:val="center"/>
        </w:trPr>
        <w:tc>
          <w:tcPr>
            <w:tcW w:w="6604" w:type="dxa"/>
            <w:vAlign w:val="center"/>
          </w:tcPr>
          <w:p w14:paraId="50A63A72" w14:textId="2F38AC5E" w:rsidR="00FC7D77" w:rsidRPr="00903982" w:rsidRDefault="00FC7D77" w:rsidP="00FB516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de escenario con un incremento de los niveles de cobertura</w:t>
            </w:r>
          </w:p>
        </w:tc>
        <w:tc>
          <w:tcPr>
            <w:tcW w:w="1737" w:type="dxa"/>
            <w:vAlign w:val="center"/>
          </w:tcPr>
          <w:p w14:paraId="141D09DF" w14:textId="64054937" w:rsidR="00FC7D77" w:rsidRPr="00903982" w:rsidRDefault="00FC7D77" w:rsidP="00FB5168">
            <w:pPr>
              <w:jc w:val="right"/>
              <w:rPr>
                <w:rFonts w:ascii="Calibri" w:hAnsi="Calibri"/>
                <w:color w:val="000000"/>
                <w:sz w:val="22"/>
                <w:szCs w:val="22"/>
                <w:lang w:val="es-ES_tradnl"/>
              </w:rPr>
            </w:pPr>
            <w:r w:rsidRPr="00903982">
              <w:rPr>
                <w:rFonts w:ascii="Calibri" w:hAnsi="Calibri"/>
                <w:color w:val="000000"/>
                <w:sz w:val="22"/>
                <w:szCs w:val="22"/>
                <w:lang w:val="es-ES_tradnl"/>
              </w:rPr>
              <w:t>-</w:t>
            </w:r>
            <w:r w:rsidR="0061719F" w:rsidRPr="00903982">
              <w:rPr>
                <w:rFonts w:ascii="Calibri" w:hAnsi="Calibri"/>
                <w:color w:val="000000"/>
                <w:sz w:val="22"/>
                <w:szCs w:val="22"/>
                <w:lang w:val="es-ES_tradnl"/>
              </w:rPr>
              <w:t>1</w:t>
            </w:r>
            <w:r w:rsidR="00B52AB3">
              <w:rPr>
                <w:rFonts w:ascii="Calibri" w:hAnsi="Calibri"/>
                <w:color w:val="000000"/>
                <w:sz w:val="22"/>
                <w:szCs w:val="22"/>
                <w:lang w:val="es-ES_tradnl"/>
              </w:rPr>
              <w:t>95</w:t>
            </w:r>
          </w:p>
        </w:tc>
      </w:tr>
      <w:tr w:rsidR="00B52AB3" w:rsidRPr="00903982" w14:paraId="12643B34" w14:textId="77777777" w:rsidTr="00B52AB3">
        <w:trPr>
          <w:trHeight w:val="410"/>
          <w:jc w:val="center"/>
        </w:trPr>
        <w:tc>
          <w:tcPr>
            <w:tcW w:w="6604" w:type="dxa"/>
            <w:shd w:val="clear" w:color="auto" w:fill="D9D9D9" w:themeFill="background1" w:themeFillShade="D9"/>
            <w:vAlign w:val="center"/>
          </w:tcPr>
          <w:p w14:paraId="48A81756" w14:textId="44CFDFD5" w:rsidR="00FC7D77" w:rsidRPr="00903982" w:rsidRDefault="00FC7D77" w:rsidP="00FB516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Total</w:t>
            </w:r>
          </w:p>
        </w:tc>
        <w:tc>
          <w:tcPr>
            <w:tcW w:w="1737" w:type="dxa"/>
            <w:shd w:val="clear" w:color="auto" w:fill="D9D9D9" w:themeFill="background1" w:themeFillShade="D9"/>
            <w:vAlign w:val="center"/>
          </w:tcPr>
          <w:p w14:paraId="7394112F" w14:textId="3D0E9226" w:rsidR="00FC7D77" w:rsidRPr="00903982" w:rsidRDefault="00FC7D77" w:rsidP="00FB5168">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Millones de US$</w:t>
            </w:r>
          </w:p>
        </w:tc>
      </w:tr>
      <w:tr w:rsidR="00B52AB3" w:rsidRPr="00903982" w14:paraId="11CBD8AE" w14:textId="77777777" w:rsidTr="00B52AB3">
        <w:trPr>
          <w:trHeight w:val="376"/>
          <w:jc w:val="center"/>
        </w:trPr>
        <w:tc>
          <w:tcPr>
            <w:tcW w:w="6604" w:type="dxa"/>
            <w:vAlign w:val="center"/>
          </w:tcPr>
          <w:p w14:paraId="2A3FE893" w14:textId="62A89788" w:rsidR="00FC7D77" w:rsidRPr="00903982" w:rsidRDefault="00FC7D77" w:rsidP="00FB5168">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Combinación de las medidas del Programa</w:t>
            </w:r>
          </w:p>
        </w:tc>
        <w:tc>
          <w:tcPr>
            <w:tcW w:w="1737" w:type="dxa"/>
            <w:vAlign w:val="center"/>
          </w:tcPr>
          <w:p w14:paraId="70CA0918" w14:textId="167A9A5A" w:rsidR="00FC7D77" w:rsidRPr="00903982" w:rsidRDefault="00B52AB3" w:rsidP="00B11D09">
            <w:pPr>
              <w:jc w:val="right"/>
              <w:rPr>
                <w:rFonts w:ascii="Calibri" w:hAnsi="Calibri"/>
                <w:color w:val="000000"/>
                <w:sz w:val="22"/>
                <w:szCs w:val="22"/>
                <w:lang w:val="es-ES_tradnl"/>
              </w:rPr>
            </w:pPr>
            <w:r>
              <w:rPr>
                <w:rFonts w:ascii="Calibri" w:hAnsi="Calibri"/>
                <w:color w:val="000000"/>
                <w:sz w:val="22"/>
                <w:szCs w:val="22"/>
                <w:lang w:val="es-ES_tradnl"/>
              </w:rPr>
              <w:t>10</w:t>
            </w:r>
            <w:r w:rsidR="00FC7D77" w:rsidRPr="00903982">
              <w:rPr>
                <w:rFonts w:ascii="Calibri" w:hAnsi="Calibri"/>
                <w:color w:val="000000"/>
                <w:sz w:val="22"/>
                <w:szCs w:val="22"/>
                <w:lang w:val="es-ES_tradnl"/>
              </w:rPr>
              <w:t>,</w:t>
            </w:r>
            <w:r w:rsidR="00B11D09">
              <w:rPr>
                <w:rFonts w:ascii="Calibri" w:hAnsi="Calibri"/>
                <w:color w:val="000000"/>
                <w:sz w:val="22"/>
                <w:szCs w:val="22"/>
                <w:lang w:val="es-ES_tradnl"/>
              </w:rPr>
              <w:t>140</w:t>
            </w:r>
            <w:r w:rsidR="00B11D09" w:rsidRPr="00903982">
              <w:rPr>
                <w:rFonts w:ascii="Calibri" w:hAnsi="Calibri"/>
                <w:color w:val="000000"/>
                <w:sz w:val="22"/>
                <w:szCs w:val="22"/>
                <w:lang w:val="es-ES_tradnl"/>
              </w:rPr>
              <w:t xml:space="preserve"> </w:t>
            </w:r>
          </w:p>
        </w:tc>
      </w:tr>
    </w:tbl>
    <w:p w14:paraId="7564847F" w14:textId="2293DB1A" w:rsidR="00FB5168" w:rsidRPr="00903982" w:rsidRDefault="00FB5168" w:rsidP="009A5993">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Fuente: Elaboración propia en base a resultados</w:t>
      </w:r>
    </w:p>
    <w:p w14:paraId="2DD8CCAE" w14:textId="7D8BEE7D" w:rsidR="00CE6405" w:rsidRPr="00903982" w:rsidRDefault="008A1329" w:rsidP="0061719F">
      <w:pPr>
        <w:spacing w:after="160" w:line="259" w:lineRule="auto"/>
        <w:jc w:val="both"/>
        <w:rPr>
          <w:rFonts w:asciiTheme="minorHAnsi" w:hAnsiTheme="minorHAnsi"/>
          <w:sz w:val="22"/>
          <w:lang w:val="es-ES_tradnl"/>
        </w:rPr>
      </w:pPr>
      <w:r w:rsidRPr="00903982">
        <w:rPr>
          <w:rFonts w:asciiTheme="minorHAnsi" w:hAnsiTheme="minorHAnsi"/>
          <w:sz w:val="22"/>
          <w:lang w:val="es-ES_tradnl"/>
        </w:rPr>
        <w:lastRenderedPageBreak/>
        <w:t>Se concluye entonces que el</w:t>
      </w:r>
      <w:r w:rsidR="009A5993" w:rsidRPr="00903982">
        <w:rPr>
          <w:rFonts w:asciiTheme="minorHAnsi" w:hAnsiTheme="minorHAnsi"/>
          <w:sz w:val="22"/>
          <w:lang w:val="es-ES_tradnl"/>
        </w:rPr>
        <w:t xml:space="preserve"> Programa </w:t>
      </w:r>
      <w:r w:rsidR="001B6388" w:rsidRPr="00903982">
        <w:rPr>
          <w:rFonts w:asciiTheme="minorHAnsi" w:hAnsiTheme="minorHAnsi"/>
          <w:sz w:val="22"/>
          <w:lang w:val="es-ES_tradnl"/>
        </w:rPr>
        <w:t>tiene una utilidad total de</w:t>
      </w:r>
      <w:r w:rsidR="00DB206C" w:rsidRPr="00903982">
        <w:rPr>
          <w:rFonts w:asciiTheme="minorHAnsi" w:hAnsiTheme="minorHAnsi"/>
          <w:sz w:val="22"/>
          <w:lang w:val="es-ES_tradnl"/>
        </w:rPr>
        <w:t xml:space="preserve"> </w:t>
      </w:r>
      <w:r w:rsidR="00B52AB3">
        <w:rPr>
          <w:rFonts w:asciiTheme="minorHAnsi" w:hAnsiTheme="minorHAnsi"/>
          <w:sz w:val="22"/>
          <w:lang w:val="es-ES_tradnl"/>
        </w:rPr>
        <w:t>11</w:t>
      </w:r>
      <w:r w:rsidR="009A5993" w:rsidRPr="00903982">
        <w:rPr>
          <w:rFonts w:asciiTheme="minorHAnsi" w:hAnsiTheme="minorHAnsi"/>
          <w:sz w:val="22"/>
          <w:lang w:val="es-ES_tradnl"/>
        </w:rPr>
        <w:t>,</w:t>
      </w:r>
      <w:r w:rsidR="00B52AB3">
        <w:rPr>
          <w:rFonts w:asciiTheme="minorHAnsi" w:hAnsiTheme="minorHAnsi"/>
          <w:sz w:val="22"/>
          <w:lang w:val="es-ES_tradnl"/>
        </w:rPr>
        <w:t>334</w:t>
      </w:r>
      <w:r w:rsidR="00C3059B" w:rsidRPr="00903982">
        <w:rPr>
          <w:rFonts w:asciiTheme="minorHAnsi" w:hAnsiTheme="minorHAnsi"/>
          <w:sz w:val="22"/>
          <w:lang w:val="es-ES_tradnl"/>
        </w:rPr>
        <w:t xml:space="preserve"> millones de mayores utilidades por la mayor eficiencia energética, </w:t>
      </w:r>
      <w:r w:rsidR="00B52AB3">
        <w:rPr>
          <w:rFonts w:asciiTheme="minorHAnsi" w:hAnsiTheme="minorHAnsi"/>
          <w:sz w:val="22"/>
          <w:lang w:val="es-ES_tradnl"/>
        </w:rPr>
        <w:t>2</w:t>
      </w:r>
      <w:r w:rsidR="00FC7D77" w:rsidRPr="00903982">
        <w:rPr>
          <w:rFonts w:asciiTheme="minorHAnsi" w:hAnsiTheme="minorHAnsi"/>
          <w:sz w:val="22"/>
          <w:lang w:val="es-ES_tradnl"/>
        </w:rPr>
        <w:t>,</w:t>
      </w:r>
      <w:r w:rsidR="00B170DE">
        <w:rPr>
          <w:rFonts w:asciiTheme="minorHAnsi" w:hAnsiTheme="minorHAnsi"/>
          <w:sz w:val="22"/>
          <w:lang w:val="es-ES_tradnl"/>
        </w:rPr>
        <w:t>810</w:t>
      </w:r>
      <w:r w:rsidR="00C3059B" w:rsidRPr="00903982">
        <w:rPr>
          <w:rFonts w:asciiTheme="minorHAnsi" w:hAnsiTheme="minorHAnsi"/>
          <w:sz w:val="22"/>
          <w:lang w:val="es-ES_tradnl"/>
        </w:rPr>
        <w:t xml:space="preserve"> millo</w:t>
      </w:r>
      <w:r w:rsidR="009A5993" w:rsidRPr="00903982">
        <w:rPr>
          <w:rFonts w:asciiTheme="minorHAnsi" w:hAnsiTheme="minorHAnsi"/>
          <w:sz w:val="22"/>
          <w:lang w:val="es-ES_tradnl"/>
        </w:rPr>
        <w:t>nes de mayores utilidades por una</w:t>
      </w:r>
      <w:r w:rsidR="00C3059B" w:rsidRPr="00903982">
        <w:rPr>
          <w:rFonts w:asciiTheme="minorHAnsi" w:hAnsiTheme="minorHAnsi"/>
          <w:sz w:val="22"/>
          <w:lang w:val="es-ES_tradnl"/>
        </w:rPr>
        <w:t xml:space="preserve"> matriz limpia, </w:t>
      </w:r>
      <w:r w:rsidR="0061719F" w:rsidRPr="00903982">
        <w:rPr>
          <w:rFonts w:asciiTheme="minorHAnsi" w:hAnsiTheme="minorHAnsi"/>
          <w:sz w:val="22"/>
          <w:lang w:val="es-ES_tradnl"/>
        </w:rPr>
        <w:t>3,810</w:t>
      </w:r>
      <w:r w:rsidR="00C3059B" w:rsidRPr="00903982">
        <w:rPr>
          <w:rFonts w:asciiTheme="minorHAnsi" w:hAnsiTheme="minorHAnsi"/>
          <w:sz w:val="22"/>
          <w:lang w:val="es-ES_tradnl"/>
        </w:rPr>
        <w:t xml:space="preserve"> millones de menores utilidades por la reducción de pérdidas</w:t>
      </w:r>
      <w:r w:rsidR="009A5993" w:rsidRPr="00903982">
        <w:rPr>
          <w:rFonts w:asciiTheme="minorHAnsi" w:hAnsiTheme="minorHAnsi"/>
          <w:sz w:val="22"/>
          <w:lang w:val="es-ES_tradnl"/>
        </w:rPr>
        <w:t xml:space="preserve"> no técnicas</w:t>
      </w:r>
      <w:r w:rsidR="00C3059B" w:rsidRPr="00903982">
        <w:rPr>
          <w:rFonts w:asciiTheme="minorHAnsi" w:hAnsiTheme="minorHAnsi"/>
          <w:sz w:val="22"/>
          <w:lang w:val="es-ES_tradnl"/>
        </w:rPr>
        <w:t xml:space="preserve"> y </w:t>
      </w:r>
      <w:r w:rsidR="0061719F" w:rsidRPr="00903982">
        <w:rPr>
          <w:rFonts w:asciiTheme="minorHAnsi" w:hAnsiTheme="minorHAnsi"/>
          <w:sz w:val="22"/>
          <w:lang w:val="es-ES_tradnl"/>
        </w:rPr>
        <w:t>1</w:t>
      </w:r>
      <w:r w:rsidR="00B52AB3">
        <w:rPr>
          <w:rFonts w:asciiTheme="minorHAnsi" w:hAnsiTheme="minorHAnsi"/>
          <w:sz w:val="22"/>
          <w:lang w:val="es-ES_tradnl"/>
        </w:rPr>
        <w:t>95</w:t>
      </w:r>
      <w:r w:rsidR="00C3059B" w:rsidRPr="00903982">
        <w:rPr>
          <w:rFonts w:asciiTheme="minorHAnsi" w:hAnsiTheme="minorHAnsi"/>
          <w:sz w:val="22"/>
          <w:lang w:val="es-ES_tradnl"/>
        </w:rPr>
        <w:t xml:space="preserve"> millones en </w:t>
      </w:r>
      <w:r w:rsidR="00F91527" w:rsidRPr="00903982">
        <w:rPr>
          <w:rFonts w:asciiTheme="minorHAnsi" w:hAnsiTheme="minorHAnsi"/>
          <w:sz w:val="22"/>
          <w:lang w:val="es-ES_tradnl"/>
        </w:rPr>
        <w:t>menores</w:t>
      </w:r>
      <w:r w:rsidR="00C3059B" w:rsidRPr="00903982">
        <w:rPr>
          <w:rFonts w:asciiTheme="minorHAnsi" w:hAnsiTheme="minorHAnsi"/>
          <w:sz w:val="22"/>
          <w:lang w:val="es-ES_tradnl"/>
        </w:rPr>
        <w:t xml:space="preserve"> utilidades por la ampliación de cobertura.  Esto da un total para la LTE de </w:t>
      </w:r>
      <w:r w:rsidR="00B52AB3">
        <w:rPr>
          <w:rFonts w:asciiTheme="minorHAnsi" w:hAnsiTheme="minorHAnsi"/>
          <w:sz w:val="22"/>
          <w:lang w:val="es-ES_tradnl"/>
        </w:rPr>
        <w:t>10</w:t>
      </w:r>
      <w:r w:rsidR="00FC7D77" w:rsidRPr="00903982">
        <w:rPr>
          <w:rFonts w:asciiTheme="minorHAnsi" w:hAnsiTheme="minorHAnsi"/>
          <w:sz w:val="22"/>
          <w:lang w:val="es-ES_tradnl"/>
        </w:rPr>
        <w:t>,</w:t>
      </w:r>
      <w:r w:rsidR="00B11D09">
        <w:rPr>
          <w:rFonts w:asciiTheme="minorHAnsi" w:hAnsiTheme="minorHAnsi"/>
          <w:sz w:val="22"/>
          <w:lang w:val="es-ES_tradnl"/>
        </w:rPr>
        <w:t>140</w:t>
      </w:r>
      <w:r w:rsidR="00B11D09" w:rsidRPr="00903982">
        <w:rPr>
          <w:rFonts w:asciiTheme="minorHAnsi" w:hAnsiTheme="minorHAnsi"/>
          <w:sz w:val="22"/>
          <w:lang w:val="es-ES_tradnl"/>
        </w:rPr>
        <w:t xml:space="preserve"> </w:t>
      </w:r>
      <w:r w:rsidR="00C3059B" w:rsidRPr="00903982">
        <w:rPr>
          <w:rFonts w:asciiTheme="minorHAnsi" w:hAnsiTheme="minorHAnsi"/>
          <w:sz w:val="22"/>
          <w:lang w:val="es-ES_tradnl"/>
        </w:rPr>
        <w:t xml:space="preserve">millones de dólares como utilidades adicionales en el periodo 2016-2030. </w:t>
      </w:r>
    </w:p>
    <w:p w14:paraId="108D0450" w14:textId="26FFACBC" w:rsidR="008A1329" w:rsidRPr="00903982" w:rsidRDefault="008A1329" w:rsidP="008A1329">
      <w:pPr>
        <w:spacing w:after="160" w:line="259" w:lineRule="auto"/>
        <w:jc w:val="both"/>
        <w:rPr>
          <w:rFonts w:asciiTheme="minorHAnsi" w:hAnsiTheme="minorHAnsi"/>
          <w:sz w:val="22"/>
          <w:lang w:val="es-ES_tradnl"/>
        </w:rPr>
      </w:pPr>
      <w:r w:rsidRPr="00903982">
        <w:rPr>
          <w:rFonts w:asciiTheme="minorHAnsi" w:hAnsiTheme="minorHAnsi"/>
          <w:sz w:val="22"/>
          <w:lang w:val="es-ES_tradnl"/>
        </w:rPr>
        <w:t>Finalmente, el documento incluye un anál</w:t>
      </w:r>
      <w:r w:rsidR="00903982">
        <w:rPr>
          <w:rFonts w:asciiTheme="minorHAnsi" w:hAnsiTheme="minorHAnsi"/>
          <w:sz w:val="22"/>
          <w:lang w:val="es-ES_tradnl"/>
        </w:rPr>
        <w:t>i</w:t>
      </w:r>
      <w:r w:rsidRPr="00903982">
        <w:rPr>
          <w:rFonts w:asciiTheme="minorHAnsi" w:hAnsiTheme="minorHAnsi"/>
          <w:sz w:val="22"/>
          <w:lang w:val="es-ES_tradnl"/>
        </w:rPr>
        <w:t>sis de sensibilidad de los principales riesgos que afronta la transición energética.  Dicho anál</w:t>
      </w:r>
      <w:r w:rsidR="00903982">
        <w:rPr>
          <w:rFonts w:asciiTheme="minorHAnsi" w:hAnsiTheme="minorHAnsi"/>
          <w:sz w:val="22"/>
          <w:lang w:val="es-ES_tradnl"/>
        </w:rPr>
        <w:t>i</w:t>
      </w:r>
      <w:r w:rsidRPr="00903982">
        <w:rPr>
          <w:rFonts w:asciiTheme="minorHAnsi" w:hAnsiTheme="minorHAnsi"/>
          <w:sz w:val="22"/>
          <w:lang w:val="es-ES_tradnl"/>
        </w:rPr>
        <w:t>sis muestra que los resultados son robustos debido a que no cambian de signo para variaciones significativas en el precio de la reducción de emisiones, en la tasa de inte</w:t>
      </w:r>
      <w:r w:rsidR="00903982">
        <w:rPr>
          <w:rFonts w:asciiTheme="minorHAnsi" w:hAnsiTheme="minorHAnsi"/>
          <w:sz w:val="22"/>
          <w:lang w:val="es-ES_tradnl"/>
        </w:rPr>
        <w:t>n</w:t>
      </w:r>
      <w:r w:rsidRPr="00903982">
        <w:rPr>
          <w:rFonts w:asciiTheme="minorHAnsi" w:hAnsiTheme="minorHAnsi"/>
          <w:sz w:val="22"/>
          <w:lang w:val="es-ES_tradnl"/>
        </w:rPr>
        <w:t>sidad energética, crecimiento económico y porcentaje de energía limpia.  El mayor efecto analizado corresponde a cambios en la intensidad energética un mayor porcentaje de cambio conlleva aumento de los beneficios en inversión y operación</w:t>
      </w:r>
      <w:r w:rsidR="00192159">
        <w:rPr>
          <w:rFonts w:asciiTheme="minorHAnsi" w:hAnsiTheme="minorHAnsi"/>
          <w:sz w:val="22"/>
          <w:lang w:val="es-ES_tradnl"/>
        </w:rPr>
        <w:t>.</w:t>
      </w:r>
    </w:p>
    <w:p w14:paraId="6FCFC387" w14:textId="77777777" w:rsidR="008A1329" w:rsidRPr="00903982" w:rsidRDefault="008A1329" w:rsidP="0061719F">
      <w:pPr>
        <w:spacing w:after="160" w:line="259" w:lineRule="auto"/>
        <w:jc w:val="both"/>
        <w:rPr>
          <w:rFonts w:asciiTheme="majorHAnsi" w:eastAsiaTheme="majorEastAsia" w:hAnsiTheme="majorHAnsi" w:cstheme="majorBidi"/>
          <w:color w:val="A5A5A5" w:themeColor="accent1" w:themeShade="BF"/>
          <w:sz w:val="32"/>
          <w:szCs w:val="32"/>
          <w:lang w:val="es-ES_tradnl"/>
        </w:rPr>
      </w:pPr>
    </w:p>
    <w:p w14:paraId="65CF06EC" w14:textId="77777777" w:rsidR="008A1329" w:rsidRPr="00903982" w:rsidRDefault="008A1329">
      <w:pPr>
        <w:spacing w:after="160" w:line="259" w:lineRule="auto"/>
        <w:rPr>
          <w:rFonts w:asciiTheme="majorHAnsi" w:eastAsiaTheme="majorEastAsia" w:hAnsiTheme="majorHAnsi" w:cstheme="majorBidi"/>
          <w:color w:val="A5A5A5" w:themeColor="accent1" w:themeShade="BF"/>
          <w:sz w:val="32"/>
          <w:szCs w:val="32"/>
          <w:lang w:val="es-ES_tradnl"/>
        </w:rPr>
      </w:pPr>
      <w:r w:rsidRPr="00903982">
        <w:rPr>
          <w:lang w:val="es-ES_tradnl"/>
        </w:rPr>
        <w:br w:type="page"/>
      </w:r>
    </w:p>
    <w:p w14:paraId="0021100C" w14:textId="4A7AD876" w:rsidR="004053D9" w:rsidRPr="00903982" w:rsidRDefault="0068471F" w:rsidP="008546CF">
      <w:pPr>
        <w:pStyle w:val="Heading1"/>
        <w:rPr>
          <w:lang w:val="es-ES_tradnl"/>
        </w:rPr>
      </w:pPr>
      <w:r w:rsidRPr="00903982">
        <w:rPr>
          <w:lang w:val="es-ES_tradnl"/>
        </w:rPr>
        <w:lastRenderedPageBreak/>
        <w:t>Introducción</w:t>
      </w:r>
    </w:p>
    <w:p w14:paraId="5B3E259A" w14:textId="38CEC83D" w:rsidR="005E5487" w:rsidRPr="00903982" w:rsidRDefault="004053D9" w:rsidP="00E5311D">
      <w:pPr>
        <w:spacing w:after="160" w:line="259" w:lineRule="auto"/>
        <w:jc w:val="both"/>
        <w:rPr>
          <w:rFonts w:asciiTheme="minorHAnsi" w:hAnsiTheme="minorHAnsi"/>
          <w:sz w:val="22"/>
          <w:lang w:val="es-ES_tradnl"/>
        </w:rPr>
      </w:pPr>
      <w:r w:rsidRPr="00903982">
        <w:rPr>
          <w:rFonts w:asciiTheme="minorHAnsi" w:hAnsiTheme="minorHAnsi"/>
          <w:sz w:val="22"/>
          <w:lang w:val="es-ES_tradnl"/>
        </w:rPr>
        <w:t xml:space="preserve">Con el objetivo de avanzar en la implementación y monitoreo de la Ley de la Transición Energética (LTE), </w:t>
      </w:r>
      <w:r w:rsidR="008546CF" w:rsidRPr="00903982">
        <w:rPr>
          <w:rFonts w:asciiTheme="minorHAnsi" w:hAnsiTheme="minorHAnsi"/>
          <w:sz w:val="22"/>
          <w:lang w:val="es-ES_tradnl"/>
        </w:rPr>
        <w:t xml:space="preserve">que fue promulgada a finales del 2015, </w:t>
      </w:r>
      <w:r w:rsidRPr="00903982">
        <w:rPr>
          <w:rFonts w:asciiTheme="minorHAnsi" w:hAnsiTheme="minorHAnsi"/>
          <w:sz w:val="22"/>
          <w:lang w:val="es-ES_tradnl"/>
        </w:rPr>
        <w:t>el</w:t>
      </w:r>
      <w:r w:rsidR="00AC1B50" w:rsidRPr="00903982">
        <w:rPr>
          <w:rFonts w:asciiTheme="minorHAnsi" w:hAnsiTheme="minorHAnsi"/>
          <w:sz w:val="22"/>
          <w:lang w:val="es-ES_tradnl"/>
        </w:rPr>
        <w:t xml:space="preserve"> Gobierno </w:t>
      </w:r>
      <w:r w:rsidR="005E5487" w:rsidRPr="00903982">
        <w:rPr>
          <w:rFonts w:asciiTheme="minorHAnsi" w:hAnsiTheme="minorHAnsi"/>
          <w:sz w:val="22"/>
          <w:lang w:val="es-ES_tradnl"/>
        </w:rPr>
        <w:t xml:space="preserve">de México </w:t>
      </w:r>
      <w:r w:rsidRPr="00903982">
        <w:rPr>
          <w:rFonts w:asciiTheme="minorHAnsi" w:hAnsiTheme="minorHAnsi"/>
          <w:sz w:val="22"/>
          <w:lang w:val="es-ES_tradnl"/>
        </w:rPr>
        <w:t xml:space="preserve">solicitó el apoyo del BID </w:t>
      </w:r>
      <w:r w:rsidR="00AC1B50" w:rsidRPr="00903982">
        <w:rPr>
          <w:rFonts w:asciiTheme="minorHAnsi" w:hAnsiTheme="minorHAnsi"/>
          <w:sz w:val="22"/>
          <w:lang w:val="es-ES_tradnl"/>
        </w:rPr>
        <w:t xml:space="preserve">bajo la modalidad de préstamo Programático Basado en Política (PBP). </w:t>
      </w:r>
      <w:r w:rsidR="0068471F" w:rsidRPr="00903982">
        <w:rPr>
          <w:rFonts w:asciiTheme="minorHAnsi" w:hAnsiTheme="minorHAnsi"/>
          <w:sz w:val="22"/>
          <w:lang w:val="es-ES_tradnl"/>
        </w:rPr>
        <w:t>El objetivo general de la LTE se puede estructurar en un Programa que busca</w:t>
      </w:r>
      <w:r w:rsidR="00AC1B50" w:rsidRPr="00903982">
        <w:rPr>
          <w:rFonts w:asciiTheme="minorHAnsi" w:hAnsiTheme="minorHAnsi"/>
          <w:sz w:val="22"/>
          <w:lang w:val="es-ES_tradnl"/>
        </w:rPr>
        <w:t xml:space="preserve"> contribuir al mejoramiento de la </w:t>
      </w:r>
      <w:r w:rsidR="00F07684" w:rsidRPr="00903982">
        <w:rPr>
          <w:rFonts w:asciiTheme="minorHAnsi" w:hAnsiTheme="minorHAnsi"/>
          <w:sz w:val="22"/>
          <w:lang w:val="es-ES_tradnl"/>
        </w:rPr>
        <w:t>productividad,</w:t>
      </w:r>
      <w:r w:rsidR="00AC1B50" w:rsidRPr="00903982">
        <w:rPr>
          <w:rFonts w:asciiTheme="minorHAnsi" w:hAnsiTheme="minorHAnsi"/>
          <w:sz w:val="22"/>
          <w:lang w:val="es-ES_tradnl"/>
        </w:rPr>
        <w:t xml:space="preserve"> sostenibilidad ambiental y social del país, a través de un proceso de reformas de políticas en el sector energético que consideren aspectos técnicos, económicos, sociales, ambientales y las necesidades e i</w:t>
      </w:r>
      <w:r w:rsidR="005E5487" w:rsidRPr="00903982">
        <w:rPr>
          <w:rFonts w:asciiTheme="minorHAnsi" w:hAnsiTheme="minorHAnsi"/>
          <w:sz w:val="22"/>
          <w:lang w:val="es-ES_tradnl"/>
        </w:rPr>
        <w:t>ntereses nacionales y estatales</w:t>
      </w:r>
      <w:r w:rsidR="00AC1B50" w:rsidRPr="00903982">
        <w:rPr>
          <w:rFonts w:asciiTheme="minorHAnsi" w:hAnsiTheme="minorHAnsi"/>
          <w:sz w:val="22"/>
          <w:lang w:val="es-ES_tradnl"/>
        </w:rPr>
        <w:t xml:space="preserve">. Para ello busca impulsar reformas de política conducentes a: </w:t>
      </w:r>
      <w:r w:rsidR="005E5487" w:rsidRPr="00903982">
        <w:rPr>
          <w:rFonts w:asciiTheme="minorHAnsi" w:hAnsiTheme="minorHAnsi"/>
          <w:sz w:val="22"/>
          <w:lang w:val="es-ES_tradnl"/>
        </w:rPr>
        <w:t xml:space="preserve">1) contar con marco regulatorio, institucional y operativo que promuevan y regulen el desarrollo sustentable y seguro del sector energético, 2) seguridad energética, incrementando la disponibilidad de gas natural y reduciendo las pérdidas de energía eléctrica en distribución, 3) </w:t>
      </w:r>
      <w:r w:rsidR="00FF63E5" w:rsidRPr="00903982">
        <w:rPr>
          <w:rFonts w:asciiTheme="minorHAnsi" w:hAnsiTheme="minorHAnsi"/>
          <w:sz w:val="22"/>
          <w:lang w:val="es-ES_tradnl"/>
        </w:rPr>
        <w:t>apoyar la implementación de la Transición Energética, que busca una mayor participación de energías limpias y mejoras en la eficiencia energética, contribuyendo a la mitigación de gases de efecto invernadero,</w:t>
      </w:r>
      <w:r w:rsidR="005E5487" w:rsidRPr="00903982">
        <w:rPr>
          <w:rFonts w:asciiTheme="minorHAnsi" w:hAnsiTheme="minorHAnsi"/>
          <w:sz w:val="22"/>
          <w:lang w:val="es-ES_tradnl"/>
        </w:rPr>
        <w:t xml:space="preserve"> 4) hacer uso eficiente de la energía, y 5) </w:t>
      </w:r>
      <w:r w:rsidR="00FF63E5" w:rsidRPr="00903982">
        <w:rPr>
          <w:rFonts w:asciiTheme="minorHAnsi" w:hAnsiTheme="minorHAnsi"/>
          <w:sz w:val="22"/>
          <w:lang w:val="es-ES_tradnl"/>
        </w:rPr>
        <w:t>contar con marco regulatorio y mecanismo de financiamiento para electrificación de comunidades rurales</w:t>
      </w:r>
      <w:r w:rsidR="005E5487" w:rsidRPr="00903982">
        <w:rPr>
          <w:rFonts w:asciiTheme="minorHAnsi" w:hAnsiTheme="minorHAnsi"/>
          <w:sz w:val="22"/>
          <w:lang w:val="es-ES_tradnl"/>
        </w:rPr>
        <w:t>.</w:t>
      </w:r>
    </w:p>
    <w:p w14:paraId="31210BD1" w14:textId="7AC9A8F0" w:rsidR="008546CF" w:rsidRPr="00903982" w:rsidRDefault="008546CF" w:rsidP="00E5311D">
      <w:pPr>
        <w:spacing w:after="160" w:line="259" w:lineRule="auto"/>
        <w:jc w:val="both"/>
        <w:rPr>
          <w:rFonts w:asciiTheme="minorHAnsi" w:hAnsiTheme="minorHAnsi"/>
          <w:sz w:val="22"/>
          <w:lang w:val="es-ES_tradnl"/>
        </w:rPr>
      </w:pPr>
      <w:r w:rsidRPr="00903982">
        <w:rPr>
          <w:rFonts w:asciiTheme="minorHAnsi" w:hAnsiTheme="minorHAnsi"/>
          <w:sz w:val="22"/>
          <w:lang w:val="es-ES_tradnl"/>
        </w:rPr>
        <w:t>La planeación central de la LTE es la Estrategia de Transición para Promover el Uso de Tecnologías y Combustibles más Limpios (ETE). Este in</w:t>
      </w:r>
      <w:r w:rsidR="00903982">
        <w:rPr>
          <w:rFonts w:asciiTheme="minorHAnsi" w:hAnsiTheme="minorHAnsi"/>
          <w:sz w:val="22"/>
          <w:lang w:val="es-ES_tradnl"/>
        </w:rPr>
        <w:t>s</w:t>
      </w:r>
      <w:r w:rsidRPr="00903982">
        <w:rPr>
          <w:rFonts w:asciiTheme="minorHAnsi" w:hAnsiTheme="minorHAnsi"/>
          <w:sz w:val="22"/>
          <w:lang w:val="es-ES_tradnl"/>
        </w:rPr>
        <w:t xml:space="preserve">trumento cuenta con dos programas de acción para alcanzar las metas. Estos son: </w:t>
      </w:r>
    </w:p>
    <w:p w14:paraId="5BCF1F60" w14:textId="77777777" w:rsidR="008546CF" w:rsidRPr="00903982" w:rsidRDefault="008546CF" w:rsidP="008546CF">
      <w:pPr>
        <w:pStyle w:val="ListParagraph"/>
        <w:widowControl w:val="0"/>
        <w:numPr>
          <w:ilvl w:val="0"/>
          <w:numId w:val="32"/>
        </w:numPr>
        <w:tabs>
          <w:tab w:val="left" w:pos="220"/>
          <w:tab w:val="left" w:pos="720"/>
        </w:tabs>
        <w:autoSpaceDE w:val="0"/>
        <w:autoSpaceDN w:val="0"/>
        <w:adjustRightInd w:val="0"/>
        <w:spacing w:after="320"/>
        <w:rPr>
          <w:rFonts w:cs="Times New Roman"/>
          <w:lang w:val="es-ES_tradnl" w:eastAsia="es-CL"/>
        </w:rPr>
      </w:pPr>
      <w:r w:rsidRPr="00903982">
        <w:rPr>
          <w:rFonts w:cs="Times New Roman"/>
          <w:lang w:val="es-ES_tradnl" w:eastAsia="es-CL"/>
        </w:rPr>
        <w:t>Programa Especial de la Transición Energética, y,</w:t>
      </w:r>
    </w:p>
    <w:p w14:paraId="7FFD3D2E" w14:textId="7608D4BD" w:rsidR="008546CF" w:rsidRPr="00903982" w:rsidRDefault="008546CF" w:rsidP="008546CF">
      <w:pPr>
        <w:pStyle w:val="ListParagraph"/>
        <w:widowControl w:val="0"/>
        <w:numPr>
          <w:ilvl w:val="0"/>
          <w:numId w:val="32"/>
        </w:numPr>
        <w:tabs>
          <w:tab w:val="left" w:pos="220"/>
          <w:tab w:val="left" w:pos="720"/>
        </w:tabs>
        <w:autoSpaceDE w:val="0"/>
        <w:autoSpaceDN w:val="0"/>
        <w:adjustRightInd w:val="0"/>
        <w:spacing w:after="320"/>
        <w:rPr>
          <w:rFonts w:cs="Times New Roman"/>
          <w:lang w:val="es-ES_tradnl" w:eastAsia="es-CL"/>
        </w:rPr>
      </w:pPr>
      <w:r w:rsidRPr="00903982">
        <w:rPr>
          <w:rFonts w:cs="Times New Roman"/>
          <w:lang w:val="es-ES_tradnl" w:eastAsia="es-CL"/>
        </w:rPr>
        <w:t>Programa Nacional para el Aprovechamiento Sustentable de la Energía (PRONASE).  </w:t>
      </w:r>
    </w:p>
    <w:p w14:paraId="7BE96D30" w14:textId="33C95F23" w:rsidR="00AC1B50" w:rsidRPr="00903982" w:rsidRDefault="00AC1B50" w:rsidP="00E5311D">
      <w:pPr>
        <w:spacing w:after="160" w:line="259" w:lineRule="auto"/>
        <w:jc w:val="both"/>
        <w:rPr>
          <w:rFonts w:asciiTheme="minorHAnsi" w:hAnsiTheme="minorHAnsi"/>
          <w:sz w:val="22"/>
          <w:lang w:val="es-ES_tradnl"/>
        </w:rPr>
      </w:pPr>
      <w:r w:rsidRPr="00903982">
        <w:rPr>
          <w:rFonts w:asciiTheme="minorHAnsi" w:hAnsiTheme="minorHAnsi"/>
          <w:sz w:val="22"/>
          <w:lang w:val="es-ES_tradnl"/>
        </w:rPr>
        <w:t>En el presente informe se presenta una evaluación económica de este P</w:t>
      </w:r>
      <w:r w:rsidR="00FF63E5" w:rsidRPr="00903982">
        <w:rPr>
          <w:rFonts w:asciiTheme="minorHAnsi" w:hAnsiTheme="minorHAnsi"/>
          <w:sz w:val="22"/>
          <w:lang w:val="es-ES_tradnl"/>
        </w:rPr>
        <w:t>rograma considerando estas cinco</w:t>
      </w:r>
      <w:r w:rsidRPr="00903982">
        <w:rPr>
          <w:rFonts w:asciiTheme="minorHAnsi" w:hAnsiTheme="minorHAnsi"/>
          <w:sz w:val="22"/>
          <w:lang w:val="es-ES_tradnl"/>
        </w:rPr>
        <w:t xml:space="preserve"> componentes. Por sus características el Programa que se evalúa habilita y facilita el logro de algunos de los objetivos e iniciativas planteados en la política energética de </w:t>
      </w:r>
      <w:r w:rsidR="00FF63E5" w:rsidRPr="00903982">
        <w:rPr>
          <w:rFonts w:asciiTheme="minorHAnsi" w:hAnsiTheme="minorHAnsi"/>
          <w:sz w:val="22"/>
          <w:lang w:val="es-ES_tradnl"/>
        </w:rPr>
        <w:t>México</w:t>
      </w:r>
      <w:r w:rsidRPr="00903982">
        <w:rPr>
          <w:rFonts w:asciiTheme="minorHAnsi" w:hAnsiTheme="minorHAnsi"/>
          <w:sz w:val="22"/>
          <w:lang w:val="es-ES_tradnl"/>
        </w:rPr>
        <w:t xml:space="preserve"> y plasmadas en el documento </w:t>
      </w:r>
      <w:r w:rsidR="005C49EB" w:rsidRPr="00903982">
        <w:rPr>
          <w:rFonts w:asciiTheme="minorHAnsi" w:hAnsiTheme="minorHAnsi"/>
          <w:sz w:val="22"/>
          <w:lang w:val="es-ES_tradnl"/>
        </w:rPr>
        <w:t>Ley de Transición Energética</w:t>
      </w:r>
      <w:r w:rsidRPr="00903982">
        <w:rPr>
          <w:rFonts w:asciiTheme="minorHAnsi" w:hAnsiTheme="minorHAnsi"/>
          <w:sz w:val="22"/>
          <w:lang w:val="es-ES_tradnl"/>
        </w:rPr>
        <w:t xml:space="preserve">. Por ello, el enfoque de evaluación que se aplica consiste en determinar una línea base en ausencia del Programa que se evalúa, y luego establecer sus principales impactos </w:t>
      </w:r>
      <w:r w:rsidR="009A5993" w:rsidRPr="00903982">
        <w:rPr>
          <w:rFonts w:asciiTheme="minorHAnsi" w:hAnsiTheme="minorHAnsi"/>
          <w:sz w:val="22"/>
          <w:lang w:val="es-ES_tradnl"/>
        </w:rPr>
        <w:t>con</w:t>
      </w:r>
      <w:r w:rsidRPr="00903982">
        <w:rPr>
          <w:rFonts w:asciiTheme="minorHAnsi" w:hAnsiTheme="minorHAnsi"/>
          <w:sz w:val="22"/>
          <w:lang w:val="es-ES_tradnl"/>
        </w:rPr>
        <w:t xml:space="preserve"> respecto de esta línea base </w:t>
      </w:r>
      <w:r w:rsidR="009A5993" w:rsidRPr="00903982">
        <w:rPr>
          <w:rFonts w:asciiTheme="minorHAnsi" w:hAnsiTheme="minorHAnsi"/>
          <w:sz w:val="22"/>
          <w:lang w:val="es-ES_tradnl"/>
        </w:rPr>
        <w:t>con respecto a los costos de inversión, operación y reducción de emisiones</w:t>
      </w:r>
      <w:r w:rsidRPr="00903982">
        <w:rPr>
          <w:rFonts w:asciiTheme="minorHAnsi" w:hAnsiTheme="minorHAnsi"/>
          <w:sz w:val="22"/>
          <w:lang w:val="es-ES_tradnl"/>
        </w:rPr>
        <w:t xml:space="preserve">. A partir de estos impactos se establecen y valorizan los beneficios esperados más relevantes del Programa. </w:t>
      </w:r>
    </w:p>
    <w:p w14:paraId="6E848691" w14:textId="23DC205A" w:rsidR="00F07684" w:rsidRPr="00903982" w:rsidRDefault="0052550F" w:rsidP="00E5311D">
      <w:pPr>
        <w:spacing w:after="160" w:line="259" w:lineRule="auto"/>
        <w:jc w:val="both"/>
        <w:rPr>
          <w:rFonts w:asciiTheme="minorHAnsi" w:hAnsiTheme="minorHAnsi" w:cs="Arial"/>
          <w:bCs/>
          <w:sz w:val="22"/>
          <w:lang w:val="es-ES_tradnl"/>
        </w:rPr>
      </w:pPr>
      <w:r w:rsidRPr="00903982">
        <w:rPr>
          <w:rFonts w:asciiTheme="minorHAnsi" w:hAnsiTheme="minorHAnsi"/>
          <w:sz w:val="22"/>
          <w:lang w:val="es-ES_tradnl"/>
        </w:rPr>
        <w:t xml:space="preserve">El Programa incluye diversos mecanismos para alcanzar sus objetivos, entre los que destaca </w:t>
      </w:r>
      <w:r w:rsidR="00F07684" w:rsidRPr="00903982">
        <w:rPr>
          <w:rFonts w:asciiTheme="minorHAnsi" w:hAnsiTheme="minorHAnsi"/>
          <w:sz w:val="22"/>
          <w:lang w:val="es-ES_tradnl"/>
        </w:rPr>
        <w:t xml:space="preserve">la participación de privados a través de dos licitaciones realizadas </w:t>
      </w:r>
      <w:r w:rsidR="000E6A94" w:rsidRPr="00903982">
        <w:rPr>
          <w:rFonts w:asciiTheme="minorHAnsi" w:hAnsiTheme="minorHAnsi"/>
          <w:sz w:val="22"/>
          <w:lang w:val="es-ES_tradnl"/>
        </w:rPr>
        <w:t>el año 2016</w:t>
      </w:r>
      <w:r w:rsidR="00F07684" w:rsidRPr="00903982">
        <w:rPr>
          <w:rFonts w:asciiTheme="minorHAnsi" w:hAnsiTheme="minorHAnsi"/>
          <w:sz w:val="22"/>
          <w:lang w:val="es-ES_tradnl"/>
        </w:rPr>
        <w:t>. Ambas suba</w:t>
      </w:r>
      <w:r w:rsidR="00E573B0" w:rsidRPr="00903982">
        <w:rPr>
          <w:rFonts w:asciiTheme="minorHAnsi" w:hAnsiTheme="minorHAnsi"/>
          <w:sz w:val="22"/>
          <w:lang w:val="es-ES_tradnl"/>
        </w:rPr>
        <w:t>stas lograr</w:t>
      </w:r>
      <w:r w:rsidR="003F726F" w:rsidRPr="00903982">
        <w:rPr>
          <w:rFonts w:asciiTheme="minorHAnsi" w:hAnsiTheme="minorHAnsi"/>
          <w:sz w:val="22"/>
          <w:lang w:val="es-ES_tradnl"/>
        </w:rPr>
        <w:t>o</w:t>
      </w:r>
      <w:r w:rsidR="00E573B0" w:rsidRPr="00903982">
        <w:rPr>
          <w:rFonts w:asciiTheme="minorHAnsi" w:hAnsiTheme="minorHAnsi"/>
          <w:sz w:val="22"/>
          <w:lang w:val="es-ES_tradnl"/>
        </w:rPr>
        <w:t xml:space="preserve">n </w:t>
      </w:r>
      <w:r w:rsidR="003F726F" w:rsidRPr="00903982">
        <w:rPr>
          <w:rFonts w:asciiTheme="minorHAnsi" w:hAnsiTheme="minorHAnsi"/>
          <w:sz w:val="22"/>
          <w:lang w:val="es-ES_tradnl"/>
        </w:rPr>
        <w:t xml:space="preserve">juntar 75 oferentes, de los cuales 34 fueron ganadores, lo cual conlleva a la instalación de </w:t>
      </w:r>
      <w:r w:rsidRPr="00903982">
        <w:rPr>
          <w:rFonts w:asciiTheme="minorHAnsi" w:hAnsiTheme="minorHAnsi"/>
          <w:sz w:val="22"/>
          <w:lang w:val="es-ES_tradnl"/>
        </w:rPr>
        <w:t>cerca de 5,000 MW</w:t>
      </w:r>
      <w:r w:rsidR="000E6A94" w:rsidRPr="00903982">
        <w:rPr>
          <w:rFonts w:asciiTheme="minorHAnsi" w:hAnsiTheme="minorHAnsi"/>
          <w:sz w:val="22"/>
          <w:lang w:val="es-ES_tradnl"/>
        </w:rPr>
        <w:t xml:space="preserve"> con una inversión estimada de 6,600 millones de dólares en los años</w:t>
      </w:r>
      <w:r w:rsidRPr="00903982">
        <w:rPr>
          <w:rFonts w:asciiTheme="minorHAnsi" w:hAnsiTheme="minorHAnsi"/>
          <w:sz w:val="22"/>
          <w:lang w:val="es-ES_tradnl"/>
        </w:rPr>
        <w:t xml:space="preserve"> posteriores a la subasta</w:t>
      </w:r>
      <w:r w:rsidR="000E6A94" w:rsidRPr="00903982">
        <w:rPr>
          <w:rFonts w:asciiTheme="minorHAnsi" w:hAnsiTheme="minorHAnsi"/>
          <w:sz w:val="22"/>
          <w:lang w:val="es-ES_tradnl"/>
        </w:rPr>
        <w:t xml:space="preserve">. </w:t>
      </w:r>
      <w:r w:rsidR="000670FE" w:rsidRPr="00903982">
        <w:rPr>
          <w:rFonts w:asciiTheme="minorHAnsi" w:hAnsiTheme="minorHAnsi"/>
          <w:sz w:val="22"/>
          <w:lang w:val="es-ES_tradnl"/>
        </w:rPr>
        <w:t>La primera subasta por su parte i</w:t>
      </w:r>
      <w:r w:rsidRPr="00903982">
        <w:rPr>
          <w:rFonts w:asciiTheme="minorHAnsi" w:hAnsiTheme="minorHAnsi"/>
          <w:sz w:val="22"/>
          <w:lang w:val="es-ES_tradnl"/>
        </w:rPr>
        <w:t>mplica la instalación de 2,085 MW</w:t>
      </w:r>
      <w:r w:rsidR="000670FE" w:rsidRPr="00903982">
        <w:rPr>
          <w:rFonts w:asciiTheme="minorHAnsi" w:hAnsiTheme="minorHAnsi"/>
          <w:sz w:val="22"/>
          <w:lang w:val="es-ES_tradnl"/>
        </w:rPr>
        <w:t xml:space="preserve"> de capacidad (1,691 de energía solar y 394 de energía eólica)</w:t>
      </w:r>
      <w:r w:rsidR="003F726F" w:rsidRPr="00903982">
        <w:rPr>
          <w:rFonts w:asciiTheme="minorHAnsi" w:hAnsiTheme="minorHAnsi"/>
          <w:sz w:val="22"/>
          <w:lang w:val="es-ES_tradnl"/>
        </w:rPr>
        <w:t xml:space="preserve">, lo cual implica una inversión cercana a 2,600 millones de dólares. La segunda subasta </w:t>
      </w:r>
      <w:r w:rsidRPr="00903982">
        <w:rPr>
          <w:rFonts w:asciiTheme="minorHAnsi" w:hAnsiTheme="minorHAnsi"/>
          <w:sz w:val="22"/>
          <w:lang w:val="es-ES_tradnl"/>
        </w:rPr>
        <w:t>incluye una</w:t>
      </w:r>
      <w:r w:rsidR="003F726F" w:rsidRPr="00903982">
        <w:rPr>
          <w:rFonts w:asciiTheme="minorHAnsi" w:hAnsiTheme="minorHAnsi"/>
          <w:sz w:val="22"/>
          <w:lang w:val="es-ES_tradnl"/>
        </w:rPr>
        <w:t xml:space="preserve"> inversión de </w:t>
      </w:r>
      <w:r w:rsidR="0041430A" w:rsidRPr="00903982">
        <w:rPr>
          <w:rFonts w:asciiTheme="minorHAnsi" w:hAnsiTheme="minorHAnsi"/>
          <w:sz w:val="22"/>
          <w:lang w:val="es-ES_tradnl"/>
        </w:rPr>
        <w:t>4,000 millones de dólares aproximadamente, lo cual significa la instalación de 2,871</w:t>
      </w:r>
      <w:r w:rsidRPr="00903982">
        <w:rPr>
          <w:rFonts w:asciiTheme="minorHAnsi" w:hAnsiTheme="minorHAnsi" w:cs="Arial"/>
          <w:bCs/>
          <w:sz w:val="22"/>
          <w:lang w:val="es-ES_tradnl"/>
        </w:rPr>
        <w:t xml:space="preserve"> MW</w:t>
      </w:r>
      <w:r w:rsidR="0041430A" w:rsidRPr="00903982">
        <w:rPr>
          <w:rFonts w:asciiTheme="minorHAnsi" w:hAnsiTheme="minorHAnsi" w:cs="Arial"/>
          <w:bCs/>
          <w:sz w:val="22"/>
          <w:lang w:val="es-ES_tradnl"/>
        </w:rPr>
        <w:t xml:space="preserve"> de capacidad de generación de energías limpias</w:t>
      </w:r>
      <w:r w:rsidR="0041430A" w:rsidRPr="00903982">
        <w:rPr>
          <w:rStyle w:val="FootnoteReference"/>
          <w:rFonts w:asciiTheme="minorHAnsi" w:hAnsiTheme="minorHAnsi" w:cs="Arial"/>
          <w:bCs/>
          <w:sz w:val="22"/>
          <w:lang w:val="es-ES_tradnl"/>
        </w:rPr>
        <w:footnoteReference w:id="2"/>
      </w:r>
      <w:r w:rsidR="0041430A" w:rsidRPr="00903982">
        <w:rPr>
          <w:rFonts w:asciiTheme="minorHAnsi" w:hAnsiTheme="minorHAnsi" w:cs="Arial"/>
          <w:bCs/>
          <w:sz w:val="22"/>
          <w:lang w:val="es-ES_tradnl"/>
        </w:rPr>
        <w:t>.</w:t>
      </w:r>
    </w:p>
    <w:p w14:paraId="0F6AFEE3" w14:textId="77777777" w:rsidR="001C1F83" w:rsidRPr="00903982" w:rsidRDefault="001C1F83" w:rsidP="001C1F83">
      <w:pPr>
        <w:rPr>
          <w:lang w:val="es-ES_tradnl"/>
        </w:rPr>
      </w:pPr>
    </w:p>
    <w:p w14:paraId="195DCEAA" w14:textId="5E236873" w:rsidR="00266966" w:rsidRPr="00903982" w:rsidRDefault="00266966" w:rsidP="001C1F83">
      <w:pPr>
        <w:rPr>
          <w:rFonts w:asciiTheme="minorHAnsi" w:eastAsiaTheme="majorEastAsia" w:hAnsiTheme="minorHAnsi" w:cs="Arial"/>
          <w:bCs/>
          <w:sz w:val="22"/>
          <w:szCs w:val="32"/>
          <w:lang w:val="es-ES_tradnl"/>
        </w:rPr>
      </w:pPr>
      <w:r w:rsidRPr="00903982">
        <w:rPr>
          <w:rFonts w:asciiTheme="minorHAnsi" w:eastAsiaTheme="majorEastAsia" w:hAnsiTheme="minorHAnsi" w:cs="Arial"/>
          <w:bCs/>
          <w:sz w:val="22"/>
          <w:szCs w:val="32"/>
          <w:lang w:val="es-ES_tradnl"/>
        </w:rPr>
        <w:t xml:space="preserve">Los objetivos del presente estudio son: </w:t>
      </w:r>
    </w:p>
    <w:p w14:paraId="0BB30BAD" w14:textId="0377C67F" w:rsidR="0079248F" w:rsidRPr="00903982" w:rsidRDefault="0079248F" w:rsidP="00266966">
      <w:pPr>
        <w:pStyle w:val="ListParagraph"/>
        <w:numPr>
          <w:ilvl w:val="0"/>
          <w:numId w:val="30"/>
        </w:numPr>
        <w:spacing w:after="100" w:afterAutospacing="1"/>
        <w:jc w:val="both"/>
        <w:rPr>
          <w:rFonts w:cs="Times New Roman"/>
          <w:lang w:val="es-ES_tradnl"/>
        </w:rPr>
      </w:pPr>
      <w:r w:rsidRPr="00903982">
        <w:rPr>
          <w:lang w:val="es-ES_tradnl"/>
        </w:rPr>
        <w:lastRenderedPageBreak/>
        <w:t>P</w:t>
      </w:r>
      <w:r w:rsidR="00266966" w:rsidRPr="00903982">
        <w:rPr>
          <w:lang w:val="es-ES_tradnl"/>
        </w:rPr>
        <w:t>reparar una evaluación económica</w:t>
      </w:r>
      <w:r w:rsidRPr="00903982">
        <w:rPr>
          <w:lang w:val="es-ES_tradnl"/>
        </w:rPr>
        <w:t>,</w:t>
      </w:r>
      <w:r w:rsidR="00266966" w:rsidRPr="00903982">
        <w:rPr>
          <w:lang w:val="es-ES_tradnl"/>
        </w:rPr>
        <w:t xml:space="preserve"> para el Programa acorde con los lineamiento</w:t>
      </w:r>
      <w:r w:rsidRPr="00903982">
        <w:rPr>
          <w:lang w:val="es-ES_tradnl"/>
        </w:rPr>
        <w:t xml:space="preserve">s del Banco, </w:t>
      </w:r>
      <w:r w:rsidR="0041430A" w:rsidRPr="00903982">
        <w:rPr>
          <w:lang w:val="es-ES_tradnl"/>
        </w:rPr>
        <w:t>e</w:t>
      </w:r>
      <w:r w:rsidRPr="00903982">
        <w:rPr>
          <w:lang w:val="es-ES_tradnl"/>
        </w:rPr>
        <w:t>,</w:t>
      </w:r>
    </w:p>
    <w:p w14:paraId="281CC9E3" w14:textId="1E934C1E" w:rsidR="009C5BDB" w:rsidRPr="00903982" w:rsidRDefault="0079248F" w:rsidP="0079248F">
      <w:pPr>
        <w:pStyle w:val="ListParagraph"/>
        <w:numPr>
          <w:ilvl w:val="0"/>
          <w:numId w:val="30"/>
        </w:numPr>
        <w:spacing w:after="100" w:afterAutospacing="1"/>
        <w:jc w:val="both"/>
        <w:rPr>
          <w:rFonts w:cs="Times New Roman"/>
          <w:lang w:val="es-ES_tradnl"/>
        </w:rPr>
      </w:pPr>
      <w:r w:rsidRPr="00903982">
        <w:rPr>
          <w:lang w:val="es-ES_tradnl"/>
        </w:rPr>
        <w:t>I</w:t>
      </w:r>
      <w:r w:rsidR="00266966" w:rsidRPr="00903982">
        <w:rPr>
          <w:lang w:val="es-ES_tradnl"/>
        </w:rPr>
        <w:t xml:space="preserve">dentificar los potenciales riesgos asociados a la operación y sus posibles medidas de mitigación. </w:t>
      </w:r>
    </w:p>
    <w:p w14:paraId="5A30F05B" w14:textId="754555E6" w:rsidR="008013F4" w:rsidRPr="00903982" w:rsidRDefault="008013F4" w:rsidP="00E92E5E">
      <w:pPr>
        <w:widowControl w:val="0"/>
        <w:tabs>
          <w:tab w:val="left" w:pos="220"/>
          <w:tab w:val="left" w:pos="720"/>
        </w:tabs>
        <w:autoSpaceDE w:val="0"/>
        <w:autoSpaceDN w:val="0"/>
        <w:adjustRightInd w:val="0"/>
        <w:spacing w:after="320"/>
        <w:rPr>
          <w:sz w:val="32"/>
          <w:szCs w:val="32"/>
          <w:lang w:val="es-ES_tradnl" w:eastAsia="en-US"/>
        </w:rPr>
      </w:pPr>
    </w:p>
    <w:p w14:paraId="3294074A" w14:textId="017943D4" w:rsidR="008013F4" w:rsidRPr="00903982" w:rsidRDefault="008013F4" w:rsidP="008013F4">
      <w:pPr>
        <w:spacing w:after="100" w:afterAutospacing="1"/>
        <w:jc w:val="both"/>
        <w:rPr>
          <w:lang w:val="es-ES_tradnl"/>
        </w:rPr>
      </w:pPr>
    </w:p>
    <w:p w14:paraId="76230CCF" w14:textId="77777777" w:rsidR="008546CF" w:rsidRPr="00903982" w:rsidRDefault="008546CF">
      <w:pPr>
        <w:spacing w:after="160" w:line="259" w:lineRule="auto"/>
        <w:rPr>
          <w:rFonts w:asciiTheme="majorHAnsi" w:eastAsiaTheme="majorEastAsia" w:hAnsiTheme="majorHAnsi" w:cstheme="majorBidi"/>
          <w:color w:val="A5A5A5" w:themeColor="accent1" w:themeShade="BF"/>
          <w:sz w:val="32"/>
          <w:szCs w:val="32"/>
          <w:lang w:val="es-ES_tradnl"/>
        </w:rPr>
      </w:pPr>
      <w:r w:rsidRPr="00903982">
        <w:rPr>
          <w:lang w:val="es-ES_tradnl"/>
        </w:rPr>
        <w:br w:type="page"/>
      </w:r>
    </w:p>
    <w:p w14:paraId="6202CB38" w14:textId="4BD64507" w:rsidR="00966F94" w:rsidRPr="00903982" w:rsidRDefault="009C5BDB" w:rsidP="00966F94">
      <w:pPr>
        <w:pStyle w:val="Heading1"/>
        <w:rPr>
          <w:lang w:val="es-ES_tradnl"/>
        </w:rPr>
      </w:pPr>
      <w:r w:rsidRPr="00903982">
        <w:rPr>
          <w:lang w:val="es-ES_tradnl"/>
        </w:rPr>
        <w:lastRenderedPageBreak/>
        <w:t>Metodología</w:t>
      </w:r>
    </w:p>
    <w:p w14:paraId="24125008" w14:textId="664AEA31" w:rsidR="009C5BDB" w:rsidRPr="00903982" w:rsidRDefault="009C5BDB" w:rsidP="00AC1B50">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 xml:space="preserve">Para </w:t>
      </w:r>
      <w:r w:rsidR="0079248F" w:rsidRPr="00903982">
        <w:rPr>
          <w:rFonts w:asciiTheme="minorHAnsi" w:hAnsiTheme="minorHAnsi"/>
          <w:sz w:val="22"/>
          <w:szCs w:val="22"/>
          <w:lang w:val="es-ES_tradnl"/>
        </w:rPr>
        <w:t>realizar el cálculo de la evaluación económica del Programa</w:t>
      </w:r>
      <w:r w:rsidR="000F030E" w:rsidRPr="00903982">
        <w:rPr>
          <w:rFonts w:asciiTheme="minorHAnsi" w:hAnsiTheme="minorHAnsi"/>
          <w:sz w:val="22"/>
          <w:szCs w:val="22"/>
          <w:lang w:val="es-ES_tradnl"/>
        </w:rPr>
        <w:t xml:space="preserve"> para México de </w:t>
      </w:r>
      <w:r w:rsidR="00A45CB5" w:rsidRPr="00903982">
        <w:rPr>
          <w:rFonts w:asciiTheme="minorHAnsi" w:hAnsiTheme="minorHAnsi"/>
          <w:sz w:val="22"/>
          <w:szCs w:val="22"/>
          <w:lang w:val="es-ES_tradnl"/>
        </w:rPr>
        <w:t>la política energética incluida</w:t>
      </w:r>
      <w:r w:rsidR="000F030E" w:rsidRPr="00903982">
        <w:rPr>
          <w:rFonts w:asciiTheme="minorHAnsi" w:hAnsiTheme="minorHAnsi"/>
          <w:sz w:val="22"/>
          <w:szCs w:val="22"/>
          <w:lang w:val="es-ES_tradnl"/>
        </w:rPr>
        <w:t xml:space="preserve"> en la Ley de Transición Energética (LTE)</w:t>
      </w:r>
      <w:r w:rsidR="00A45CB5" w:rsidRPr="00903982">
        <w:rPr>
          <w:rFonts w:asciiTheme="minorHAnsi" w:hAnsiTheme="minorHAnsi"/>
          <w:sz w:val="22"/>
          <w:szCs w:val="22"/>
          <w:lang w:val="es-ES_tradnl"/>
        </w:rPr>
        <w:t xml:space="preserve"> </w:t>
      </w:r>
      <w:r w:rsidR="0052550F" w:rsidRPr="00903982">
        <w:rPr>
          <w:rFonts w:asciiTheme="minorHAnsi" w:hAnsiTheme="minorHAnsi"/>
          <w:sz w:val="22"/>
          <w:szCs w:val="22"/>
          <w:lang w:val="es-ES_tradnl"/>
        </w:rPr>
        <w:t xml:space="preserve">se establecieron </w:t>
      </w:r>
      <w:r w:rsidR="00A45CB5" w:rsidRPr="00903982">
        <w:rPr>
          <w:rFonts w:asciiTheme="minorHAnsi" w:hAnsiTheme="minorHAnsi"/>
          <w:sz w:val="22"/>
          <w:szCs w:val="22"/>
          <w:lang w:val="es-ES_tradnl"/>
        </w:rPr>
        <w:t>los siguientes pasos.</w:t>
      </w:r>
    </w:p>
    <w:p w14:paraId="15F8D676" w14:textId="5C9581F7" w:rsidR="00AC1B50" w:rsidRPr="00903982" w:rsidRDefault="00A45CB5" w:rsidP="00AC1B50">
      <w:pPr>
        <w:spacing w:after="100" w:afterAutospacing="1"/>
        <w:jc w:val="both"/>
        <w:rPr>
          <w:rFonts w:asciiTheme="minorHAnsi" w:hAnsiTheme="minorHAnsi"/>
          <w:b/>
          <w:sz w:val="22"/>
          <w:szCs w:val="22"/>
          <w:lang w:val="es-ES_tradnl"/>
        </w:rPr>
      </w:pPr>
      <w:r w:rsidRPr="00903982">
        <w:rPr>
          <w:rFonts w:asciiTheme="minorHAnsi" w:hAnsiTheme="minorHAnsi"/>
          <w:b/>
          <w:sz w:val="22"/>
          <w:szCs w:val="22"/>
          <w:lang w:val="es-ES_tradnl"/>
        </w:rPr>
        <w:t xml:space="preserve">Determinación de la </w:t>
      </w:r>
      <w:r w:rsidR="00AC1B50" w:rsidRPr="00903982">
        <w:rPr>
          <w:rFonts w:asciiTheme="minorHAnsi" w:hAnsiTheme="minorHAnsi"/>
          <w:b/>
          <w:sz w:val="22"/>
          <w:szCs w:val="22"/>
          <w:lang w:val="es-ES_tradnl"/>
        </w:rPr>
        <w:t>Línea Base</w:t>
      </w:r>
      <w:bookmarkStart w:id="1" w:name="_GoBack"/>
      <w:bookmarkEnd w:id="1"/>
    </w:p>
    <w:p w14:paraId="064832C7" w14:textId="0FA5A52E" w:rsidR="00AC1B50" w:rsidRPr="00903982" w:rsidRDefault="008546CF" w:rsidP="00AC1B50">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 xml:space="preserve">La línea base se determinó utilizando la información contenida en la Prospectiva del Sector Eléctrico 2016-2030, que describe la evolución del sector eléctrico mexicano con la aplicación de los programas incluidos en la LTE.  De esta forma, para </w:t>
      </w:r>
      <w:r w:rsidR="001B7E00" w:rsidRPr="00903982">
        <w:rPr>
          <w:rFonts w:asciiTheme="minorHAnsi" w:hAnsiTheme="minorHAnsi"/>
          <w:sz w:val="22"/>
          <w:szCs w:val="22"/>
          <w:lang w:val="es-ES_tradnl"/>
        </w:rPr>
        <w:t xml:space="preserve">crear una línea base para el estudio se requirió tomar dicha evolución y restarle </w:t>
      </w:r>
      <w:r w:rsidR="0052550F" w:rsidRPr="00903982">
        <w:rPr>
          <w:rFonts w:asciiTheme="minorHAnsi" w:hAnsiTheme="minorHAnsi"/>
          <w:sz w:val="22"/>
          <w:szCs w:val="22"/>
          <w:lang w:val="es-ES_tradnl"/>
        </w:rPr>
        <w:t xml:space="preserve">los efectos del Programa en lo que refiere a la </w:t>
      </w:r>
      <w:r w:rsidR="001B7E00" w:rsidRPr="00903982">
        <w:rPr>
          <w:rFonts w:asciiTheme="minorHAnsi" w:hAnsiTheme="minorHAnsi"/>
          <w:sz w:val="22"/>
          <w:szCs w:val="22"/>
          <w:lang w:val="es-ES_tradnl"/>
        </w:rPr>
        <w:t xml:space="preserve">reducción de la </w:t>
      </w:r>
      <w:r w:rsidR="0052550F" w:rsidRPr="00903982">
        <w:rPr>
          <w:rFonts w:asciiTheme="minorHAnsi" w:hAnsiTheme="minorHAnsi"/>
          <w:sz w:val="22"/>
          <w:szCs w:val="22"/>
          <w:lang w:val="es-ES_tradnl"/>
        </w:rPr>
        <w:t xml:space="preserve">tasa de crecimiento de la </w:t>
      </w:r>
      <w:r w:rsidR="001B7E00" w:rsidRPr="00903982">
        <w:rPr>
          <w:rFonts w:asciiTheme="minorHAnsi" w:hAnsiTheme="minorHAnsi"/>
          <w:sz w:val="22"/>
          <w:szCs w:val="22"/>
          <w:lang w:val="es-ES_tradnl"/>
        </w:rPr>
        <w:t>intensidad energética</w:t>
      </w:r>
      <w:r w:rsidR="0052550F" w:rsidRPr="00903982">
        <w:rPr>
          <w:rFonts w:asciiTheme="minorHAnsi" w:hAnsiTheme="minorHAnsi"/>
          <w:sz w:val="22"/>
          <w:szCs w:val="22"/>
          <w:lang w:val="es-ES_tradnl"/>
        </w:rPr>
        <w:t>, incremento de tecnologías limpias, disminución de las pérdidas no técnicas y aumento de la cobertura energética</w:t>
      </w:r>
      <w:r w:rsidR="001B7E00" w:rsidRPr="00903982">
        <w:rPr>
          <w:rFonts w:asciiTheme="minorHAnsi" w:hAnsiTheme="minorHAnsi"/>
          <w:sz w:val="22"/>
          <w:szCs w:val="22"/>
          <w:lang w:val="es-ES_tradnl"/>
        </w:rPr>
        <w:t>.</w:t>
      </w:r>
      <w:r w:rsidR="0052550F" w:rsidRPr="00903982">
        <w:rPr>
          <w:rFonts w:asciiTheme="minorHAnsi" w:hAnsiTheme="minorHAnsi"/>
          <w:sz w:val="22"/>
          <w:szCs w:val="22"/>
          <w:lang w:val="es-ES_tradnl"/>
        </w:rPr>
        <w:t xml:space="preserve"> De esta forma, para obtener la línea base se requirió retirar </w:t>
      </w:r>
      <w:r w:rsidR="00F444B2" w:rsidRPr="00903982">
        <w:rPr>
          <w:rFonts w:asciiTheme="minorHAnsi" w:hAnsiTheme="minorHAnsi"/>
          <w:sz w:val="22"/>
          <w:szCs w:val="22"/>
          <w:lang w:val="es-ES_tradnl"/>
        </w:rPr>
        <w:t>los impactos</w:t>
      </w:r>
      <w:r w:rsidR="0052550F" w:rsidRPr="00903982">
        <w:rPr>
          <w:rFonts w:asciiTheme="minorHAnsi" w:hAnsiTheme="minorHAnsi"/>
          <w:sz w:val="22"/>
          <w:szCs w:val="22"/>
          <w:lang w:val="es-ES_tradnl"/>
        </w:rPr>
        <w:t xml:space="preserve"> de todas</w:t>
      </w:r>
      <w:r w:rsidR="00AC1B50" w:rsidRPr="00903982">
        <w:rPr>
          <w:rFonts w:asciiTheme="minorHAnsi" w:hAnsiTheme="minorHAnsi"/>
          <w:sz w:val="22"/>
          <w:szCs w:val="22"/>
          <w:lang w:val="es-ES_tradnl"/>
        </w:rPr>
        <w:t xml:space="preserve"> </w:t>
      </w:r>
      <w:r w:rsidR="0052550F" w:rsidRPr="00903982">
        <w:rPr>
          <w:rFonts w:asciiTheme="minorHAnsi" w:hAnsiTheme="minorHAnsi"/>
          <w:sz w:val="22"/>
          <w:szCs w:val="22"/>
          <w:lang w:val="es-ES_tradnl"/>
        </w:rPr>
        <w:t>estas</w:t>
      </w:r>
      <w:r w:rsidR="00AC1B50" w:rsidRPr="00903982">
        <w:rPr>
          <w:rFonts w:asciiTheme="minorHAnsi" w:hAnsiTheme="minorHAnsi"/>
          <w:sz w:val="22"/>
          <w:szCs w:val="22"/>
          <w:lang w:val="es-ES_tradnl"/>
        </w:rPr>
        <w:t xml:space="preserve"> medidas propuestas </w:t>
      </w:r>
      <w:r w:rsidR="0052550F" w:rsidRPr="00903982">
        <w:rPr>
          <w:rFonts w:asciiTheme="minorHAnsi" w:hAnsiTheme="minorHAnsi"/>
          <w:sz w:val="22"/>
          <w:szCs w:val="22"/>
          <w:lang w:val="es-ES_tradnl"/>
        </w:rPr>
        <w:t>del Programa</w:t>
      </w:r>
      <w:r w:rsidR="00AC1B50" w:rsidRPr="00903982">
        <w:rPr>
          <w:rFonts w:asciiTheme="minorHAnsi" w:hAnsiTheme="minorHAnsi"/>
          <w:sz w:val="22"/>
          <w:szCs w:val="22"/>
          <w:lang w:val="es-ES_tradnl"/>
        </w:rPr>
        <w:t xml:space="preserve">. </w:t>
      </w:r>
    </w:p>
    <w:p w14:paraId="10864040" w14:textId="60D42DA5" w:rsidR="006F08C8" w:rsidRPr="00903982" w:rsidRDefault="0052550F" w:rsidP="00AC1B50">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Como primer paso para obtener la línea base se procedió a tomar el</w:t>
      </w:r>
      <w:r w:rsidR="006F08C8" w:rsidRPr="00903982">
        <w:rPr>
          <w:rFonts w:asciiTheme="minorHAnsi" w:hAnsiTheme="minorHAnsi"/>
          <w:sz w:val="22"/>
          <w:szCs w:val="22"/>
          <w:lang w:val="es-ES_tradnl"/>
        </w:rPr>
        <w:t xml:space="preserve"> escenario descrito por la LTE y </w:t>
      </w:r>
      <w:r w:rsidRPr="00903982">
        <w:rPr>
          <w:rFonts w:asciiTheme="minorHAnsi" w:hAnsiTheme="minorHAnsi"/>
          <w:sz w:val="22"/>
          <w:szCs w:val="22"/>
          <w:lang w:val="es-ES_tradnl"/>
        </w:rPr>
        <w:t>substraerle</w:t>
      </w:r>
      <w:r w:rsidR="006F08C8" w:rsidRPr="00903982">
        <w:rPr>
          <w:rFonts w:asciiTheme="minorHAnsi" w:hAnsiTheme="minorHAnsi"/>
          <w:sz w:val="22"/>
          <w:szCs w:val="22"/>
          <w:lang w:val="es-ES_tradnl"/>
        </w:rPr>
        <w:t xml:space="preserve"> </w:t>
      </w:r>
      <w:r w:rsidRPr="00903982">
        <w:rPr>
          <w:rFonts w:asciiTheme="minorHAnsi" w:hAnsiTheme="minorHAnsi"/>
          <w:sz w:val="22"/>
          <w:szCs w:val="22"/>
          <w:lang w:val="es-ES_tradnl"/>
        </w:rPr>
        <w:t>los cambios en la inte</w:t>
      </w:r>
      <w:r w:rsidR="00903982">
        <w:rPr>
          <w:rFonts w:asciiTheme="minorHAnsi" w:hAnsiTheme="minorHAnsi"/>
          <w:sz w:val="22"/>
          <w:szCs w:val="22"/>
          <w:lang w:val="es-ES_tradnl"/>
        </w:rPr>
        <w:t>n</w:t>
      </w:r>
      <w:r w:rsidRPr="00903982">
        <w:rPr>
          <w:rFonts w:asciiTheme="minorHAnsi" w:hAnsiTheme="minorHAnsi"/>
          <w:sz w:val="22"/>
          <w:szCs w:val="22"/>
          <w:lang w:val="es-ES_tradnl"/>
        </w:rPr>
        <w:t>sidad ene</w:t>
      </w:r>
      <w:r w:rsidR="00903982">
        <w:rPr>
          <w:rFonts w:asciiTheme="minorHAnsi" w:hAnsiTheme="minorHAnsi"/>
          <w:sz w:val="22"/>
          <w:szCs w:val="22"/>
          <w:lang w:val="es-ES_tradnl"/>
        </w:rPr>
        <w:t>r</w:t>
      </w:r>
      <w:r w:rsidRPr="00903982">
        <w:rPr>
          <w:rFonts w:asciiTheme="minorHAnsi" w:hAnsiTheme="minorHAnsi"/>
          <w:sz w:val="22"/>
          <w:szCs w:val="22"/>
          <w:lang w:val="es-ES_tradnl"/>
        </w:rPr>
        <w:t>gética propuesta por el</w:t>
      </w:r>
      <w:r w:rsidR="006F08C8" w:rsidRPr="00903982">
        <w:rPr>
          <w:rFonts w:asciiTheme="minorHAnsi" w:hAnsiTheme="minorHAnsi"/>
          <w:sz w:val="22"/>
          <w:szCs w:val="22"/>
          <w:lang w:val="es-ES_tradnl"/>
        </w:rPr>
        <w:t xml:space="preserve"> Programa.</w:t>
      </w:r>
    </w:p>
    <w:p w14:paraId="762EC73F" w14:textId="2506B41B" w:rsidR="006202D2" w:rsidRPr="00903982" w:rsidRDefault="006202D2" w:rsidP="00146909">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5</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Evolución energética 2016-2030 según PRODESEN</w:t>
      </w:r>
    </w:p>
    <w:tbl>
      <w:tblPr>
        <w:tblStyle w:val="LightList-Accent1"/>
        <w:tblW w:w="4940" w:type="dxa"/>
        <w:jc w:val="center"/>
        <w:tblLook w:val="04A0" w:firstRow="1" w:lastRow="0" w:firstColumn="1" w:lastColumn="0" w:noHBand="0" w:noVBand="1"/>
      </w:tblPr>
      <w:tblGrid>
        <w:gridCol w:w="1300"/>
        <w:gridCol w:w="2138"/>
        <w:gridCol w:w="1502"/>
      </w:tblGrid>
      <w:tr w:rsidR="006F08C8" w:rsidRPr="00903982" w14:paraId="13A2E117" w14:textId="77777777" w:rsidTr="00CD070D">
        <w:trPr>
          <w:cnfStyle w:val="100000000000" w:firstRow="1" w:lastRow="0" w:firstColumn="0" w:lastColumn="0" w:oddVBand="0" w:evenVBand="0" w:oddHBand="0"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13FABC3E" w14:textId="77777777" w:rsidR="006F08C8" w:rsidRPr="00903982" w:rsidRDefault="006F08C8" w:rsidP="006F08C8">
            <w:pPr>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Año</w:t>
            </w:r>
          </w:p>
        </w:tc>
        <w:tc>
          <w:tcPr>
            <w:tcW w:w="2138" w:type="dxa"/>
            <w:noWrap/>
            <w:hideMark/>
          </w:tcPr>
          <w:p w14:paraId="15144043" w14:textId="77777777" w:rsidR="006F08C8" w:rsidRPr="00903982" w:rsidRDefault="006F08C8" w:rsidP="006F08C8">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Energía generada (GWh)</w:t>
            </w:r>
          </w:p>
        </w:tc>
        <w:tc>
          <w:tcPr>
            <w:tcW w:w="1502" w:type="dxa"/>
            <w:noWrap/>
            <w:hideMark/>
          </w:tcPr>
          <w:p w14:paraId="44F2047C" w14:textId="77777777" w:rsidR="006F08C8" w:rsidRPr="00903982" w:rsidRDefault="006F08C8" w:rsidP="006F08C8">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Potencia (MW)</w:t>
            </w:r>
          </w:p>
        </w:tc>
      </w:tr>
      <w:tr w:rsidR="00974CBF" w:rsidRPr="00903982" w14:paraId="2864AE2B"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6AA1F33D"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2016</w:t>
            </w:r>
          </w:p>
        </w:tc>
        <w:tc>
          <w:tcPr>
            <w:tcW w:w="2138" w:type="dxa"/>
            <w:noWrap/>
            <w:vAlign w:val="bottom"/>
            <w:hideMark/>
          </w:tcPr>
          <w:p w14:paraId="61FD5ABA" w14:textId="0C4C3B4E" w:rsidR="00974CBF" w:rsidRPr="00903982" w:rsidRDefault="00974CBF" w:rsidP="006F08C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319,266</w:t>
            </w:r>
          </w:p>
        </w:tc>
        <w:tc>
          <w:tcPr>
            <w:tcW w:w="1502" w:type="dxa"/>
            <w:noWrap/>
            <w:vAlign w:val="bottom"/>
            <w:hideMark/>
          </w:tcPr>
          <w:p w14:paraId="4F8E7D2B" w14:textId="43433A71" w:rsidR="00974CBF" w:rsidRPr="00903982" w:rsidRDefault="00974CBF" w:rsidP="006F08C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73,242</w:t>
            </w:r>
          </w:p>
        </w:tc>
      </w:tr>
      <w:tr w:rsidR="00974CBF" w:rsidRPr="00903982" w14:paraId="4C20720A"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397A6F67"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2017</w:t>
            </w:r>
          </w:p>
        </w:tc>
        <w:tc>
          <w:tcPr>
            <w:tcW w:w="2138" w:type="dxa"/>
            <w:noWrap/>
            <w:vAlign w:val="bottom"/>
            <w:hideMark/>
          </w:tcPr>
          <w:p w14:paraId="29109CB5" w14:textId="092B6452" w:rsidR="00974CBF" w:rsidRPr="00903982" w:rsidRDefault="00974CBF" w:rsidP="006F08C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303,379</w:t>
            </w:r>
          </w:p>
        </w:tc>
        <w:tc>
          <w:tcPr>
            <w:tcW w:w="1502" w:type="dxa"/>
            <w:noWrap/>
            <w:vAlign w:val="bottom"/>
            <w:hideMark/>
          </w:tcPr>
          <w:p w14:paraId="7D58A0DE" w14:textId="18A16A9F" w:rsidR="00974CBF" w:rsidRPr="00903982" w:rsidRDefault="00974CBF" w:rsidP="006202D2">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74,707</w:t>
            </w:r>
          </w:p>
        </w:tc>
      </w:tr>
      <w:tr w:rsidR="00974CBF" w:rsidRPr="00903982" w14:paraId="597ABBD2"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13C3BA2F"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2018</w:t>
            </w:r>
          </w:p>
        </w:tc>
        <w:tc>
          <w:tcPr>
            <w:tcW w:w="2138" w:type="dxa"/>
            <w:noWrap/>
            <w:vAlign w:val="bottom"/>
            <w:hideMark/>
          </w:tcPr>
          <w:p w14:paraId="56CA5AAA" w14:textId="0087706A" w:rsidR="00974CBF" w:rsidRPr="00903982" w:rsidRDefault="00974CBF" w:rsidP="0041430A">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312,394</w:t>
            </w:r>
          </w:p>
        </w:tc>
        <w:tc>
          <w:tcPr>
            <w:tcW w:w="1502" w:type="dxa"/>
            <w:noWrap/>
            <w:vAlign w:val="bottom"/>
            <w:hideMark/>
          </w:tcPr>
          <w:p w14:paraId="2C051170" w14:textId="7FCA0822" w:rsidR="00974CBF" w:rsidRPr="00903982" w:rsidRDefault="00974CBF" w:rsidP="006F08C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81,085</w:t>
            </w:r>
          </w:p>
        </w:tc>
      </w:tr>
      <w:tr w:rsidR="00974CBF" w:rsidRPr="00903982" w14:paraId="2439CAF2"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548441BA"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2019</w:t>
            </w:r>
          </w:p>
        </w:tc>
        <w:tc>
          <w:tcPr>
            <w:tcW w:w="2138" w:type="dxa"/>
            <w:noWrap/>
            <w:vAlign w:val="bottom"/>
            <w:hideMark/>
          </w:tcPr>
          <w:p w14:paraId="70DA5F9F" w14:textId="29D9704F" w:rsidR="00974CBF" w:rsidRPr="00903982" w:rsidRDefault="00974CBF" w:rsidP="006F08C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322,003</w:t>
            </w:r>
          </w:p>
        </w:tc>
        <w:tc>
          <w:tcPr>
            <w:tcW w:w="1502" w:type="dxa"/>
            <w:noWrap/>
            <w:vAlign w:val="bottom"/>
            <w:hideMark/>
          </w:tcPr>
          <w:p w14:paraId="04935BEA" w14:textId="151AE15B" w:rsidR="00974CBF" w:rsidRPr="00903982" w:rsidRDefault="00974CBF" w:rsidP="006202D2">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83,384</w:t>
            </w:r>
          </w:p>
        </w:tc>
      </w:tr>
      <w:tr w:rsidR="00974CBF" w:rsidRPr="00903982" w14:paraId="5180F2DE"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582B5C76"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2020</w:t>
            </w:r>
          </w:p>
        </w:tc>
        <w:tc>
          <w:tcPr>
            <w:tcW w:w="2138" w:type="dxa"/>
            <w:noWrap/>
            <w:vAlign w:val="bottom"/>
            <w:hideMark/>
          </w:tcPr>
          <w:p w14:paraId="1286FDB3" w14:textId="0EB6D5EC" w:rsidR="00974CBF" w:rsidRPr="00903982" w:rsidRDefault="00974CBF" w:rsidP="0041430A">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331,654</w:t>
            </w:r>
          </w:p>
        </w:tc>
        <w:tc>
          <w:tcPr>
            <w:tcW w:w="1502" w:type="dxa"/>
            <w:noWrap/>
            <w:vAlign w:val="bottom"/>
            <w:hideMark/>
          </w:tcPr>
          <w:p w14:paraId="5FBF85E8" w14:textId="24B42BB2" w:rsidR="00974CBF" w:rsidRPr="00903982" w:rsidRDefault="00974CBF" w:rsidP="006F08C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84,610</w:t>
            </w:r>
          </w:p>
        </w:tc>
      </w:tr>
      <w:tr w:rsidR="00974CBF" w:rsidRPr="00903982" w14:paraId="31971075"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5AF20377"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2021</w:t>
            </w:r>
          </w:p>
        </w:tc>
        <w:tc>
          <w:tcPr>
            <w:tcW w:w="2138" w:type="dxa"/>
            <w:noWrap/>
            <w:vAlign w:val="bottom"/>
            <w:hideMark/>
          </w:tcPr>
          <w:p w14:paraId="117BDDC0" w14:textId="13ED5BA0" w:rsidR="00974CBF" w:rsidRPr="00903982" w:rsidRDefault="00974CBF" w:rsidP="006F08C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341,715</w:t>
            </w:r>
          </w:p>
        </w:tc>
        <w:tc>
          <w:tcPr>
            <w:tcW w:w="1502" w:type="dxa"/>
            <w:noWrap/>
            <w:vAlign w:val="bottom"/>
            <w:hideMark/>
          </w:tcPr>
          <w:p w14:paraId="57F6C958" w14:textId="3CC063A3" w:rsidR="00974CBF" w:rsidRPr="00903982" w:rsidRDefault="00974CBF" w:rsidP="006202D2">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85,270</w:t>
            </w:r>
          </w:p>
        </w:tc>
      </w:tr>
      <w:tr w:rsidR="00974CBF" w:rsidRPr="00903982" w14:paraId="1ECF30D0"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0B5F2A08"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2022</w:t>
            </w:r>
          </w:p>
        </w:tc>
        <w:tc>
          <w:tcPr>
            <w:tcW w:w="2138" w:type="dxa"/>
            <w:noWrap/>
            <w:vAlign w:val="bottom"/>
            <w:hideMark/>
          </w:tcPr>
          <w:p w14:paraId="5CDC19FF" w14:textId="3195FBC3" w:rsidR="00974CBF" w:rsidRPr="00903982" w:rsidRDefault="00974CBF" w:rsidP="0041430A">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352,257</w:t>
            </w:r>
          </w:p>
        </w:tc>
        <w:tc>
          <w:tcPr>
            <w:tcW w:w="1502" w:type="dxa"/>
            <w:noWrap/>
            <w:vAlign w:val="bottom"/>
            <w:hideMark/>
          </w:tcPr>
          <w:p w14:paraId="02DE221C" w14:textId="1717E9FB" w:rsidR="00974CBF" w:rsidRPr="00903982" w:rsidRDefault="00974CBF" w:rsidP="006F08C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85,282</w:t>
            </w:r>
          </w:p>
        </w:tc>
      </w:tr>
      <w:tr w:rsidR="00974CBF" w:rsidRPr="00903982" w14:paraId="1FED78AC"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0D906E97"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2023</w:t>
            </w:r>
          </w:p>
        </w:tc>
        <w:tc>
          <w:tcPr>
            <w:tcW w:w="2138" w:type="dxa"/>
            <w:noWrap/>
            <w:vAlign w:val="bottom"/>
            <w:hideMark/>
          </w:tcPr>
          <w:p w14:paraId="78EF44DC" w14:textId="25382CE1" w:rsidR="00974CBF" w:rsidRPr="00903982" w:rsidRDefault="00974CBF" w:rsidP="006F08C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362,850</w:t>
            </w:r>
          </w:p>
        </w:tc>
        <w:tc>
          <w:tcPr>
            <w:tcW w:w="1502" w:type="dxa"/>
            <w:noWrap/>
            <w:vAlign w:val="bottom"/>
            <w:hideMark/>
          </w:tcPr>
          <w:p w14:paraId="0E3199FF" w14:textId="13B94A56" w:rsidR="00974CBF" w:rsidRPr="00903982" w:rsidRDefault="00974CBF" w:rsidP="006202D2">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87,110</w:t>
            </w:r>
          </w:p>
        </w:tc>
      </w:tr>
      <w:tr w:rsidR="00974CBF" w:rsidRPr="00903982" w14:paraId="2F784683"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743B1853"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2024</w:t>
            </w:r>
          </w:p>
        </w:tc>
        <w:tc>
          <w:tcPr>
            <w:tcW w:w="2138" w:type="dxa"/>
            <w:noWrap/>
            <w:vAlign w:val="bottom"/>
            <w:hideMark/>
          </w:tcPr>
          <w:p w14:paraId="1A21310D" w14:textId="6519D2C3" w:rsidR="00974CBF" w:rsidRPr="00903982" w:rsidRDefault="00974CBF" w:rsidP="0041430A">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374,305</w:t>
            </w:r>
          </w:p>
        </w:tc>
        <w:tc>
          <w:tcPr>
            <w:tcW w:w="1502" w:type="dxa"/>
            <w:noWrap/>
            <w:vAlign w:val="bottom"/>
            <w:hideMark/>
          </w:tcPr>
          <w:p w14:paraId="06636DCF" w14:textId="40E5B936" w:rsidR="00974CBF" w:rsidRPr="00903982" w:rsidRDefault="00974CBF" w:rsidP="006F08C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90,294</w:t>
            </w:r>
          </w:p>
        </w:tc>
      </w:tr>
      <w:tr w:rsidR="00974CBF" w:rsidRPr="00903982" w14:paraId="32EE3DF5"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3435DECA"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2025</w:t>
            </w:r>
          </w:p>
        </w:tc>
        <w:tc>
          <w:tcPr>
            <w:tcW w:w="2138" w:type="dxa"/>
            <w:noWrap/>
            <w:vAlign w:val="bottom"/>
            <w:hideMark/>
          </w:tcPr>
          <w:p w14:paraId="11B0C500" w14:textId="59EF33EA" w:rsidR="00974CBF" w:rsidRPr="00903982" w:rsidRDefault="00974CBF" w:rsidP="006F08C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385,425</w:t>
            </w:r>
          </w:p>
        </w:tc>
        <w:tc>
          <w:tcPr>
            <w:tcW w:w="1502" w:type="dxa"/>
            <w:noWrap/>
            <w:vAlign w:val="bottom"/>
            <w:hideMark/>
          </w:tcPr>
          <w:p w14:paraId="45824DC4" w14:textId="2081DE8D" w:rsidR="00974CBF" w:rsidRPr="00903982" w:rsidRDefault="00974CBF" w:rsidP="006202D2">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93,693</w:t>
            </w:r>
          </w:p>
        </w:tc>
      </w:tr>
      <w:tr w:rsidR="00974CBF" w:rsidRPr="00903982" w14:paraId="77B35A58"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78CBAD1A"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2026</w:t>
            </w:r>
          </w:p>
        </w:tc>
        <w:tc>
          <w:tcPr>
            <w:tcW w:w="2138" w:type="dxa"/>
            <w:noWrap/>
            <w:vAlign w:val="bottom"/>
            <w:hideMark/>
          </w:tcPr>
          <w:p w14:paraId="38BCBB20" w14:textId="5A5A286B" w:rsidR="00974CBF" w:rsidRPr="00903982" w:rsidRDefault="00974CBF" w:rsidP="0041430A">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396,758</w:t>
            </w:r>
          </w:p>
        </w:tc>
        <w:tc>
          <w:tcPr>
            <w:tcW w:w="1502" w:type="dxa"/>
            <w:noWrap/>
            <w:vAlign w:val="bottom"/>
            <w:hideMark/>
          </w:tcPr>
          <w:p w14:paraId="3B639E0E" w14:textId="081130CF" w:rsidR="00974CBF" w:rsidRPr="00903982" w:rsidRDefault="00974CBF" w:rsidP="006F08C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97,564</w:t>
            </w:r>
          </w:p>
        </w:tc>
      </w:tr>
      <w:tr w:rsidR="00974CBF" w:rsidRPr="00903982" w14:paraId="3ADDA917"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369DEB50"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2027</w:t>
            </w:r>
          </w:p>
        </w:tc>
        <w:tc>
          <w:tcPr>
            <w:tcW w:w="2138" w:type="dxa"/>
            <w:noWrap/>
            <w:vAlign w:val="bottom"/>
            <w:hideMark/>
          </w:tcPr>
          <w:p w14:paraId="635933F4" w14:textId="16EB1523" w:rsidR="00974CBF" w:rsidRPr="00903982" w:rsidRDefault="00974CBF" w:rsidP="006F08C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408,063</w:t>
            </w:r>
          </w:p>
        </w:tc>
        <w:tc>
          <w:tcPr>
            <w:tcW w:w="1502" w:type="dxa"/>
            <w:noWrap/>
            <w:vAlign w:val="bottom"/>
            <w:hideMark/>
          </w:tcPr>
          <w:p w14:paraId="702AF3F3" w14:textId="503B4482" w:rsidR="00974CBF" w:rsidRPr="00903982" w:rsidRDefault="00974CBF" w:rsidP="006202D2">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99,917</w:t>
            </w:r>
          </w:p>
        </w:tc>
      </w:tr>
      <w:tr w:rsidR="00974CBF" w:rsidRPr="00903982" w14:paraId="7388C7FD"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64AC9BEA"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2028</w:t>
            </w:r>
          </w:p>
        </w:tc>
        <w:tc>
          <w:tcPr>
            <w:tcW w:w="2138" w:type="dxa"/>
            <w:noWrap/>
            <w:vAlign w:val="bottom"/>
            <w:hideMark/>
          </w:tcPr>
          <w:p w14:paraId="4CE64190" w14:textId="534BC874" w:rsidR="00974CBF" w:rsidRPr="00903982" w:rsidRDefault="00974CBF" w:rsidP="0041430A">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420,135</w:t>
            </w:r>
          </w:p>
        </w:tc>
        <w:tc>
          <w:tcPr>
            <w:tcW w:w="1502" w:type="dxa"/>
            <w:noWrap/>
            <w:vAlign w:val="bottom"/>
            <w:hideMark/>
          </w:tcPr>
          <w:p w14:paraId="386E1E2F" w14:textId="3CA4944F" w:rsidR="00974CBF" w:rsidRPr="00903982" w:rsidRDefault="00974CBF" w:rsidP="006F08C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104,186</w:t>
            </w:r>
          </w:p>
        </w:tc>
      </w:tr>
      <w:tr w:rsidR="00974CBF" w:rsidRPr="00903982" w14:paraId="2AABB83D"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616D29B9" w14:textId="7777777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2029</w:t>
            </w:r>
          </w:p>
        </w:tc>
        <w:tc>
          <w:tcPr>
            <w:tcW w:w="2138" w:type="dxa"/>
            <w:noWrap/>
            <w:vAlign w:val="bottom"/>
            <w:hideMark/>
          </w:tcPr>
          <w:p w14:paraId="33E67EF1" w14:textId="04FAD022" w:rsidR="00974CBF" w:rsidRPr="00903982" w:rsidRDefault="00974CBF" w:rsidP="006F08C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431,981</w:t>
            </w:r>
          </w:p>
        </w:tc>
        <w:tc>
          <w:tcPr>
            <w:tcW w:w="1502" w:type="dxa"/>
            <w:noWrap/>
            <w:vAlign w:val="bottom"/>
            <w:hideMark/>
          </w:tcPr>
          <w:p w14:paraId="2CA0AA22" w14:textId="24C76590" w:rsidR="00974CBF" w:rsidRPr="00903982" w:rsidRDefault="00974CBF" w:rsidP="006202D2">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108,064</w:t>
            </w:r>
          </w:p>
        </w:tc>
      </w:tr>
      <w:tr w:rsidR="00974CBF" w:rsidRPr="00903982" w14:paraId="288F8FA1"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300" w:type="dxa"/>
            <w:noWrap/>
            <w:hideMark/>
          </w:tcPr>
          <w:p w14:paraId="18C7C67E" w14:textId="29C57597" w:rsidR="00974CBF" w:rsidRPr="00903982" w:rsidRDefault="00974CBF" w:rsidP="006F08C8">
            <w:pPr>
              <w:jc w:val="right"/>
              <w:rPr>
                <w:rFonts w:asciiTheme="minorHAnsi" w:eastAsia="Times New Roman" w:hAnsiTheme="minorHAnsi"/>
                <w:b w:val="0"/>
                <w:color w:val="000000"/>
                <w:sz w:val="22"/>
                <w:szCs w:val="22"/>
                <w:lang w:val="es-ES_tradnl" w:eastAsia="es-ES"/>
              </w:rPr>
            </w:pPr>
            <w:r w:rsidRPr="00903982">
              <w:rPr>
                <w:rFonts w:asciiTheme="minorHAnsi" w:eastAsia="Times New Roman" w:hAnsiTheme="minorHAnsi"/>
                <w:b w:val="0"/>
                <w:color w:val="000000"/>
                <w:sz w:val="22"/>
                <w:szCs w:val="22"/>
                <w:lang w:val="es-ES_tradnl" w:eastAsia="es-ES"/>
              </w:rPr>
              <w:t>2030</w:t>
            </w:r>
          </w:p>
        </w:tc>
        <w:tc>
          <w:tcPr>
            <w:tcW w:w="2138" w:type="dxa"/>
            <w:noWrap/>
            <w:vAlign w:val="bottom"/>
            <w:hideMark/>
          </w:tcPr>
          <w:p w14:paraId="43168A71" w14:textId="58EC6991" w:rsidR="00974CBF" w:rsidRPr="00903982" w:rsidRDefault="00974CBF" w:rsidP="0041430A">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444,208</w:t>
            </w:r>
          </w:p>
        </w:tc>
        <w:tc>
          <w:tcPr>
            <w:tcW w:w="1502" w:type="dxa"/>
            <w:noWrap/>
            <w:vAlign w:val="bottom"/>
            <w:hideMark/>
          </w:tcPr>
          <w:p w14:paraId="52C9F381" w14:textId="7E6D8D5F" w:rsidR="00974CBF" w:rsidRPr="00903982" w:rsidRDefault="00974CBF" w:rsidP="006F08C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Calibri" w:hAnsi="Calibri"/>
                <w:color w:val="000000"/>
                <w:sz w:val="22"/>
                <w:szCs w:val="22"/>
                <w:lang w:val="es-ES_tradnl"/>
              </w:rPr>
              <w:t>110,415</w:t>
            </w:r>
          </w:p>
        </w:tc>
      </w:tr>
    </w:tbl>
    <w:p w14:paraId="173CE4D8" w14:textId="61F47DE8" w:rsidR="00F25D3E" w:rsidRPr="00903982" w:rsidRDefault="00F25D3E" w:rsidP="00F25D3E">
      <w:pPr>
        <w:jc w:val="center"/>
        <w:rPr>
          <w:rFonts w:asciiTheme="minorHAnsi" w:hAnsiTheme="minorHAnsi"/>
          <w:sz w:val="22"/>
          <w:szCs w:val="22"/>
          <w:lang w:val="es-ES_tradnl"/>
        </w:rPr>
      </w:pPr>
      <w:r w:rsidRPr="00903982">
        <w:rPr>
          <w:rFonts w:asciiTheme="minorHAnsi" w:hAnsiTheme="minorHAnsi"/>
          <w:sz w:val="22"/>
          <w:szCs w:val="22"/>
          <w:lang w:val="es-ES_tradnl"/>
        </w:rPr>
        <w:t xml:space="preserve">Fuente: </w:t>
      </w:r>
      <w:r w:rsidRPr="00903982">
        <w:rPr>
          <w:rFonts w:asciiTheme="minorHAnsi" w:hAnsiTheme="minorHAnsi" w:cs="Arial"/>
          <w:bCs/>
          <w:sz w:val="22"/>
          <w:szCs w:val="22"/>
          <w:lang w:val="es-ES_tradnl"/>
        </w:rPr>
        <w:t>Prospectiva del Sector Eléctrico 2016-2030 de la Secretaría de Energía de México</w:t>
      </w:r>
      <w:r w:rsidR="003E64EA" w:rsidRPr="00903982">
        <w:rPr>
          <w:rFonts w:asciiTheme="minorHAnsi" w:hAnsiTheme="minorHAnsi" w:cs="Arial"/>
          <w:bCs/>
          <w:sz w:val="22"/>
          <w:szCs w:val="22"/>
          <w:lang w:val="es-ES_tradnl"/>
        </w:rPr>
        <w:t>.</w:t>
      </w:r>
    </w:p>
    <w:p w14:paraId="2B39792C" w14:textId="77777777" w:rsidR="00846055" w:rsidRPr="00903982" w:rsidRDefault="00846055" w:rsidP="00846055">
      <w:pPr>
        <w:rPr>
          <w:lang w:val="es-ES_tradnl"/>
        </w:rPr>
      </w:pPr>
    </w:p>
    <w:p w14:paraId="23BA93DC" w14:textId="7C49210D" w:rsidR="00CD070D" w:rsidRPr="00903982" w:rsidRDefault="005332C6" w:rsidP="002F4A02">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 xml:space="preserve">Para retirar el efecto </w:t>
      </w:r>
      <w:r w:rsidR="00F25D3E" w:rsidRPr="00903982">
        <w:rPr>
          <w:rFonts w:asciiTheme="minorHAnsi" w:hAnsiTheme="minorHAnsi"/>
          <w:sz w:val="22"/>
          <w:szCs w:val="22"/>
          <w:lang w:val="es-ES_tradnl"/>
        </w:rPr>
        <w:t>de la eficiencia energética, el cual implicaba disminuir anualmente la</w:t>
      </w:r>
      <w:r w:rsidRPr="00903982">
        <w:rPr>
          <w:rFonts w:asciiTheme="minorHAnsi" w:hAnsiTheme="minorHAnsi"/>
          <w:sz w:val="22"/>
          <w:szCs w:val="22"/>
          <w:lang w:val="es-ES_tradnl"/>
        </w:rPr>
        <w:t xml:space="preserve"> tasa de incremento de</w:t>
      </w:r>
      <w:r w:rsidR="00F25D3E" w:rsidRPr="00903982">
        <w:rPr>
          <w:rFonts w:asciiTheme="minorHAnsi" w:hAnsiTheme="minorHAnsi"/>
          <w:sz w:val="22"/>
          <w:szCs w:val="22"/>
          <w:lang w:val="es-ES_tradnl"/>
        </w:rPr>
        <w:t xml:space="preserve"> in</w:t>
      </w:r>
      <w:r w:rsidR="00CD070D" w:rsidRPr="00903982">
        <w:rPr>
          <w:rFonts w:asciiTheme="minorHAnsi" w:hAnsiTheme="minorHAnsi"/>
          <w:sz w:val="22"/>
          <w:szCs w:val="22"/>
          <w:lang w:val="es-ES_tradnl"/>
        </w:rPr>
        <w:t>tensidad energética en un 1.9%.</w:t>
      </w:r>
      <w:r w:rsidR="00F25D3E" w:rsidRPr="00903982">
        <w:rPr>
          <w:rFonts w:asciiTheme="minorHAnsi" w:hAnsiTheme="minorHAnsi"/>
          <w:sz w:val="22"/>
          <w:szCs w:val="22"/>
          <w:lang w:val="es-ES_tradnl"/>
        </w:rPr>
        <w:t xml:space="preserve"> La </w:t>
      </w:r>
      <w:r w:rsidR="001D0AFD" w:rsidRPr="00903982">
        <w:rPr>
          <w:rFonts w:asciiTheme="minorHAnsi" w:hAnsiTheme="minorHAnsi"/>
          <w:sz w:val="22"/>
          <w:szCs w:val="22"/>
          <w:lang w:val="es-ES_tradnl"/>
        </w:rPr>
        <w:t>intensidad energética es una medida de eficiencia energética de la ec</w:t>
      </w:r>
      <w:r w:rsidR="00903982">
        <w:rPr>
          <w:rFonts w:asciiTheme="minorHAnsi" w:hAnsiTheme="minorHAnsi"/>
          <w:sz w:val="22"/>
          <w:szCs w:val="22"/>
          <w:lang w:val="es-ES_tradnl"/>
        </w:rPr>
        <w:t>onomía, matemáticamente es el c</w:t>
      </w:r>
      <w:r w:rsidR="001D0AFD" w:rsidRPr="00903982">
        <w:rPr>
          <w:rFonts w:asciiTheme="minorHAnsi" w:hAnsiTheme="minorHAnsi"/>
          <w:sz w:val="22"/>
          <w:szCs w:val="22"/>
          <w:lang w:val="es-ES_tradnl"/>
        </w:rPr>
        <w:t xml:space="preserve">ociente entre la energía consumida y el PIB de una nación. </w:t>
      </w:r>
      <w:r w:rsidR="00037593" w:rsidRPr="00903982">
        <w:rPr>
          <w:rFonts w:asciiTheme="minorHAnsi" w:hAnsiTheme="minorHAnsi"/>
          <w:sz w:val="22"/>
          <w:szCs w:val="22"/>
          <w:lang w:val="es-ES_tradnl"/>
        </w:rPr>
        <w:t xml:space="preserve">Considerando el Producto Interno Bruto </w:t>
      </w:r>
      <w:r w:rsidRPr="00903982">
        <w:rPr>
          <w:rFonts w:asciiTheme="minorHAnsi" w:hAnsiTheme="minorHAnsi"/>
          <w:sz w:val="22"/>
          <w:szCs w:val="22"/>
          <w:lang w:val="es-ES_tradnl"/>
        </w:rPr>
        <w:t xml:space="preserve">mexicano </w:t>
      </w:r>
      <w:r w:rsidR="00037593" w:rsidRPr="00903982">
        <w:rPr>
          <w:rFonts w:asciiTheme="minorHAnsi" w:hAnsiTheme="minorHAnsi"/>
          <w:sz w:val="22"/>
          <w:szCs w:val="22"/>
          <w:lang w:val="es-ES_tradnl"/>
        </w:rPr>
        <w:t xml:space="preserve">de 1,144 billones de dólares al 2015, según el Banco Mundial, con la estimación de crecimiento del </w:t>
      </w:r>
      <w:r w:rsidR="00B170DE">
        <w:rPr>
          <w:rFonts w:asciiTheme="minorHAnsi" w:hAnsiTheme="minorHAnsi"/>
          <w:sz w:val="22"/>
          <w:szCs w:val="22"/>
          <w:lang w:val="es-ES_tradnl"/>
        </w:rPr>
        <w:t>2.9</w:t>
      </w:r>
      <w:r w:rsidR="00037593" w:rsidRPr="00903982">
        <w:rPr>
          <w:rFonts w:asciiTheme="minorHAnsi" w:hAnsiTheme="minorHAnsi"/>
          <w:sz w:val="22"/>
          <w:szCs w:val="22"/>
          <w:lang w:val="es-ES_tradnl"/>
        </w:rPr>
        <w:t>% del documento de Prospectiva se obtiene la siguiente tabla con intensidad energética.  Es de importancia notar que esta intensidad energética es eléctrica.</w:t>
      </w:r>
    </w:p>
    <w:p w14:paraId="3FAE6FF6" w14:textId="77777777" w:rsidR="00CD070D" w:rsidRPr="00903982" w:rsidRDefault="00CD070D" w:rsidP="00CD070D">
      <w:pPr>
        <w:rPr>
          <w:lang w:val="es-ES_tradnl"/>
        </w:rPr>
      </w:pPr>
    </w:p>
    <w:p w14:paraId="34C143F5" w14:textId="47C730F8" w:rsidR="00846055" w:rsidRPr="00903982" w:rsidRDefault="00846055" w:rsidP="00CD070D">
      <w:pPr>
        <w:jc w:val="center"/>
        <w:rPr>
          <w:rFonts w:asciiTheme="minorHAnsi" w:hAnsiTheme="minorHAnsi"/>
          <w:lang w:val="es-ES_tradnl"/>
        </w:rPr>
      </w:pPr>
      <w:r w:rsidRPr="00903982">
        <w:rPr>
          <w:rFonts w:asciiTheme="minorHAnsi" w:hAnsiTheme="minorHAnsi"/>
          <w:lang w:val="es-ES_tradnl"/>
        </w:rPr>
        <w:t xml:space="preserve">Tabla </w:t>
      </w:r>
      <w:r w:rsidRPr="00903982">
        <w:rPr>
          <w:rFonts w:asciiTheme="minorHAnsi" w:hAnsiTheme="minorHAnsi"/>
          <w:lang w:val="es-ES_tradnl"/>
        </w:rPr>
        <w:fldChar w:fldCharType="begin"/>
      </w:r>
      <w:r w:rsidRPr="00903982">
        <w:rPr>
          <w:rFonts w:asciiTheme="minorHAnsi" w:hAnsiTheme="minorHAnsi"/>
          <w:lang w:val="es-ES_tradnl"/>
        </w:rPr>
        <w:instrText xml:space="preserve"> SEQ Tabla \* ARABIC </w:instrText>
      </w:r>
      <w:r w:rsidRPr="00903982">
        <w:rPr>
          <w:rFonts w:asciiTheme="minorHAnsi" w:hAnsiTheme="minorHAnsi"/>
          <w:lang w:val="es-ES_tradnl"/>
        </w:rPr>
        <w:fldChar w:fldCharType="separate"/>
      </w:r>
      <w:r w:rsidR="00C501C0" w:rsidRPr="00903982">
        <w:rPr>
          <w:rFonts w:asciiTheme="minorHAnsi" w:hAnsiTheme="minorHAnsi"/>
          <w:noProof/>
          <w:lang w:val="es-ES_tradnl"/>
        </w:rPr>
        <w:t>6</w:t>
      </w:r>
      <w:r w:rsidRPr="00903982">
        <w:rPr>
          <w:rFonts w:asciiTheme="minorHAnsi" w:hAnsiTheme="minorHAnsi"/>
          <w:lang w:val="es-ES_tradnl"/>
        </w:rPr>
        <w:fldChar w:fldCharType="end"/>
      </w:r>
      <w:r w:rsidR="003E64EA" w:rsidRPr="00903982">
        <w:rPr>
          <w:rFonts w:asciiTheme="minorHAnsi" w:hAnsiTheme="minorHAnsi"/>
          <w:lang w:val="es-ES_tradnl"/>
        </w:rPr>
        <w:t xml:space="preserve"> Intensidad Energética proyección PRODESEN</w:t>
      </w:r>
    </w:p>
    <w:p w14:paraId="7DC3C07D" w14:textId="77777777" w:rsidR="00846055" w:rsidRPr="00903982" w:rsidRDefault="00846055" w:rsidP="00846055">
      <w:pPr>
        <w:rPr>
          <w:lang w:val="es-ES_tradnl"/>
        </w:rPr>
      </w:pPr>
    </w:p>
    <w:p w14:paraId="59BC7DA2" w14:textId="77777777" w:rsidR="00846055" w:rsidRPr="00903982" w:rsidRDefault="00846055" w:rsidP="00846055">
      <w:pPr>
        <w:rPr>
          <w:lang w:val="es-ES_tradnl"/>
        </w:rPr>
      </w:pPr>
    </w:p>
    <w:p w14:paraId="2F2CA437" w14:textId="77777777" w:rsidR="00846055" w:rsidRPr="00903982" w:rsidRDefault="00846055" w:rsidP="00846055">
      <w:pPr>
        <w:rPr>
          <w:lang w:val="es-ES_tradnl"/>
        </w:rPr>
      </w:pPr>
    </w:p>
    <w:p w14:paraId="5EA4AF31" w14:textId="77777777" w:rsidR="00846055" w:rsidRPr="00903982" w:rsidRDefault="00846055" w:rsidP="00846055">
      <w:pPr>
        <w:rPr>
          <w:lang w:val="es-ES_tradnl"/>
        </w:rPr>
      </w:pPr>
    </w:p>
    <w:tbl>
      <w:tblPr>
        <w:tblStyle w:val="LightList-Accent1"/>
        <w:tblpPr w:leftFromText="141" w:rightFromText="141" w:vertAnchor="text" w:horzAnchor="page" w:tblpX="2350" w:tblpY="-1006"/>
        <w:tblW w:w="7853" w:type="dxa"/>
        <w:tblLook w:val="0420" w:firstRow="1" w:lastRow="0" w:firstColumn="0" w:lastColumn="0" w:noHBand="0" w:noVBand="1"/>
      </w:tblPr>
      <w:tblGrid>
        <w:gridCol w:w="907"/>
        <w:gridCol w:w="1417"/>
        <w:gridCol w:w="1701"/>
        <w:gridCol w:w="2241"/>
        <w:gridCol w:w="1587"/>
      </w:tblGrid>
      <w:tr w:rsidR="00865AF1" w:rsidRPr="00903982" w14:paraId="6DFA40C0" w14:textId="77777777" w:rsidTr="00865AF1">
        <w:trPr>
          <w:cnfStyle w:val="100000000000" w:firstRow="1" w:lastRow="0" w:firstColumn="0" w:lastColumn="0" w:oddVBand="0" w:evenVBand="0" w:oddHBand="0" w:evenHBand="0" w:firstRowFirstColumn="0" w:firstRowLastColumn="0" w:lastRowFirstColumn="0" w:lastRowLastColumn="0"/>
          <w:trHeight w:val="280"/>
        </w:trPr>
        <w:tc>
          <w:tcPr>
            <w:tcW w:w="907" w:type="dxa"/>
            <w:noWrap/>
            <w:hideMark/>
          </w:tcPr>
          <w:p w14:paraId="3CB2F233" w14:textId="77777777" w:rsidR="00865AF1" w:rsidRPr="00903982" w:rsidRDefault="00865AF1" w:rsidP="00865AF1">
            <w:pPr>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Año</w:t>
            </w:r>
          </w:p>
        </w:tc>
        <w:tc>
          <w:tcPr>
            <w:tcW w:w="1417" w:type="dxa"/>
            <w:noWrap/>
            <w:hideMark/>
          </w:tcPr>
          <w:p w14:paraId="38026153" w14:textId="77777777" w:rsidR="00865AF1" w:rsidRPr="00903982" w:rsidRDefault="00865AF1" w:rsidP="00865AF1">
            <w:pPr>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PIB (billones de US$)</w:t>
            </w:r>
          </w:p>
        </w:tc>
        <w:tc>
          <w:tcPr>
            <w:tcW w:w="1701" w:type="dxa"/>
            <w:noWrap/>
            <w:hideMark/>
          </w:tcPr>
          <w:p w14:paraId="4E5C7BFA" w14:textId="50A88047" w:rsidR="00865AF1" w:rsidRPr="00903982" w:rsidRDefault="00865AF1" w:rsidP="00865AF1">
            <w:pPr>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Energía generada (GWh)</w:t>
            </w:r>
          </w:p>
        </w:tc>
        <w:tc>
          <w:tcPr>
            <w:tcW w:w="2241" w:type="dxa"/>
            <w:noWrap/>
            <w:hideMark/>
          </w:tcPr>
          <w:p w14:paraId="4D0D02F5" w14:textId="77777777" w:rsidR="00865AF1" w:rsidRPr="00903982" w:rsidRDefault="00865AF1" w:rsidP="00865AF1">
            <w:pPr>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Intensidad Energética (MWh/mil millones de US$)</w:t>
            </w:r>
          </w:p>
        </w:tc>
        <w:tc>
          <w:tcPr>
            <w:tcW w:w="1587" w:type="dxa"/>
            <w:noWrap/>
            <w:hideMark/>
          </w:tcPr>
          <w:p w14:paraId="07374261" w14:textId="77777777" w:rsidR="00865AF1" w:rsidRPr="00903982" w:rsidRDefault="00865AF1" w:rsidP="00865AF1">
            <w:pPr>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Razón de cambio de la IE para LTE</w:t>
            </w:r>
          </w:p>
        </w:tc>
      </w:tr>
      <w:tr w:rsidR="00E6309F" w:rsidRPr="00903982" w14:paraId="63A6A4D0" w14:textId="77777777" w:rsidTr="00E63C09">
        <w:trPr>
          <w:cnfStyle w:val="000000100000" w:firstRow="0" w:lastRow="0" w:firstColumn="0" w:lastColumn="0" w:oddVBand="0" w:evenVBand="0" w:oddHBand="1" w:evenHBand="0" w:firstRowFirstColumn="0" w:firstRowLastColumn="0" w:lastRowFirstColumn="0" w:lastRowLastColumn="0"/>
          <w:trHeight w:val="280"/>
        </w:trPr>
        <w:tc>
          <w:tcPr>
            <w:tcW w:w="907" w:type="dxa"/>
            <w:noWrap/>
            <w:hideMark/>
          </w:tcPr>
          <w:p w14:paraId="34930AD3" w14:textId="77777777" w:rsidR="00E6309F" w:rsidRPr="00903982" w:rsidRDefault="00E6309F"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2016</w:t>
            </w:r>
          </w:p>
        </w:tc>
        <w:tc>
          <w:tcPr>
            <w:tcW w:w="1417" w:type="dxa"/>
            <w:noWrap/>
            <w:hideMark/>
          </w:tcPr>
          <w:p w14:paraId="08130AE9" w14:textId="78DDE59A" w:rsidR="00E6309F" w:rsidRPr="00903982" w:rsidRDefault="00E6309F" w:rsidP="00F676F5">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1.190 </w:t>
            </w:r>
          </w:p>
        </w:tc>
        <w:tc>
          <w:tcPr>
            <w:tcW w:w="1701" w:type="dxa"/>
            <w:noWrap/>
            <w:vAlign w:val="bottom"/>
            <w:hideMark/>
          </w:tcPr>
          <w:p w14:paraId="5D964058" w14:textId="3A3AAAF0" w:rsidR="00E6309F" w:rsidRPr="00903982" w:rsidRDefault="00E6309F" w:rsidP="003E64EA">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319,266</w:t>
            </w:r>
          </w:p>
        </w:tc>
        <w:tc>
          <w:tcPr>
            <w:tcW w:w="2241" w:type="dxa"/>
            <w:noWrap/>
            <w:vAlign w:val="bottom"/>
            <w:hideMark/>
          </w:tcPr>
          <w:p w14:paraId="682F568B" w14:textId="0859BF7D" w:rsidR="00E6309F" w:rsidRPr="00903982" w:rsidRDefault="00E6309F"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268.291 </w:t>
            </w:r>
          </w:p>
        </w:tc>
        <w:tc>
          <w:tcPr>
            <w:tcW w:w="1587" w:type="dxa"/>
            <w:noWrap/>
            <w:hideMark/>
          </w:tcPr>
          <w:p w14:paraId="7B1805E2" w14:textId="77777777" w:rsidR="00E6309F" w:rsidRPr="00903982" w:rsidRDefault="00E6309F" w:rsidP="00865AF1">
            <w:pPr>
              <w:rPr>
                <w:rFonts w:ascii="Calibri" w:eastAsia="Times New Roman" w:hAnsi="Calibri"/>
                <w:color w:val="000000"/>
                <w:sz w:val="22"/>
                <w:szCs w:val="22"/>
                <w:lang w:val="es-ES_tradnl" w:eastAsia="es-ES"/>
              </w:rPr>
            </w:pPr>
          </w:p>
        </w:tc>
      </w:tr>
      <w:tr w:rsidR="00021C43" w:rsidRPr="00903982" w14:paraId="0A1CB426" w14:textId="77777777" w:rsidTr="00E63C09">
        <w:trPr>
          <w:trHeight w:val="280"/>
        </w:trPr>
        <w:tc>
          <w:tcPr>
            <w:tcW w:w="907" w:type="dxa"/>
            <w:noWrap/>
            <w:hideMark/>
          </w:tcPr>
          <w:p w14:paraId="0B0DA731"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2017</w:t>
            </w:r>
          </w:p>
        </w:tc>
        <w:tc>
          <w:tcPr>
            <w:tcW w:w="1417" w:type="dxa"/>
            <w:noWrap/>
            <w:hideMark/>
          </w:tcPr>
          <w:p w14:paraId="25D3BE4C" w14:textId="4409CB13"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1.225 </w:t>
            </w:r>
          </w:p>
        </w:tc>
        <w:tc>
          <w:tcPr>
            <w:tcW w:w="1701" w:type="dxa"/>
            <w:noWrap/>
            <w:vAlign w:val="bottom"/>
            <w:hideMark/>
          </w:tcPr>
          <w:p w14:paraId="473825A0" w14:textId="1641FDA9" w:rsidR="00021C43" w:rsidRPr="00903982" w:rsidRDefault="00021C43" w:rsidP="003E64EA">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303,379</w:t>
            </w:r>
          </w:p>
        </w:tc>
        <w:tc>
          <w:tcPr>
            <w:tcW w:w="2241" w:type="dxa"/>
            <w:noWrap/>
            <w:vAlign w:val="bottom"/>
            <w:hideMark/>
          </w:tcPr>
          <w:p w14:paraId="500857EC" w14:textId="722B3A5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247.755 </w:t>
            </w:r>
          </w:p>
        </w:tc>
        <w:tc>
          <w:tcPr>
            <w:tcW w:w="1587" w:type="dxa"/>
            <w:noWrap/>
            <w:vAlign w:val="center"/>
            <w:hideMark/>
          </w:tcPr>
          <w:p w14:paraId="6B21C8AE" w14:textId="4A5614C9"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bCs/>
                <w:color w:val="000000"/>
                <w:sz w:val="22"/>
                <w:szCs w:val="22"/>
                <w:lang w:val="es-ES_tradnl"/>
              </w:rPr>
              <w:t>-7,7%</w:t>
            </w:r>
          </w:p>
        </w:tc>
      </w:tr>
      <w:tr w:rsidR="00021C43" w:rsidRPr="00903982" w14:paraId="44E92C6D" w14:textId="77777777" w:rsidTr="00E63C09">
        <w:trPr>
          <w:cnfStyle w:val="000000100000" w:firstRow="0" w:lastRow="0" w:firstColumn="0" w:lastColumn="0" w:oddVBand="0" w:evenVBand="0" w:oddHBand="1" w:evenHBand="0" w:firstRowFirstColumn="0" w:firstRowLastColumn="0" w:lastRowFirstColumn="0" w:lastRowLastColumn="0"/>
          <w:trHeight w:val="280"/>
        </w:trPr>
        <w:tc>
          <w:tcPr>
            <w:tcW w:w="907" w:type="dxa"/>
            <w:noWrap/>
            <w:hideMark/>
          </w:tcPr>
          <w:p w14:paraId="0A37CFE1"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2018</w:t>
            </w:r>
          </w:p>
        </w:tc>
        <w:tc>
          <w:tcPr>
            <w:tcW w:w="1417" w:type="dxa"/>
            <w:noWrap/>
            <w:hideMark/>
          </w:tcPr>
          <w:p w14:paraId="1A2E9573" w14:textId="2B548651"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1.260 </w:t>
            </w:r>
          </w:p>
        </w:tc>
        <w:tc>
          <w:tcPr>
            <w:tcW w:w="1701" w:type="dxa"/>
            <w:noWrap/>
            <w:vAlign w:val="bottom"/>
            <w:hideMark/>
          </w:tcPr>
          <w:p w14:paraId="082824CA" w14:textId="132A3C4A"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312,394</w:t>
            </w:r>
          </w:p>
        </w:tc>
        <w:tc>
          <w:tcPr>
            <w:tcW w:w="2241" w:type="dxa"/>
            <w:noWrap/>
            <w:vAlign w:val="bottom"/>
            <w:hideMark/>
          </w:tcPr>
          <w:p w14:paraId="0717FBDB" w14:textId="22E7FAE6"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247.928 </w:t>
            </w:r>
          </w:p>
        </w:tc>
        <w:tc>
          <w:tcPr>
            <w:tcW w:w="1587" w:type="dxa"/>
            <w:noWrap/>
            <w:vAlign w:val="center"/>
            <w:hideMark/>
          </w:tcPr>
          <w:p w14:paraId="3E25A2F3" w14:textId="31247365"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0,1%</w:t>
            </w:r>
          </w:p>
        </w:tc>
      </w:tr>
      <w:tr w:rsidR="00021C43" w:rsidRPr="00903982" w14:paraId="3126766B" w14:textId="77777777" w:rsidTr="00E63C09">
        <w:trPr>
          <w:trHeight w:val="280"/>
        </w:trPr>
        <w:tc>
          <w:tcPr>
            <w:tcW w:w="907" w:type="dxa"/>
            <w:noWrap/>
            <w:hideMark/>
          </w:tcPr>
          <w:p w14:paraId="405A3DDF"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2019</w:t>
            </w:r>
          </w:p>
        </w:tc>
        <w:tc>
          <w:tcPr>
            <w:tcW w:w="1417" w:type="dxa"/>
            <w:noWrap/>
            <w:hideMark/>
          </w:tcPr>
          <w:p w14:paraId="6104598B" w14:textId="616ECFA1"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1.297 </w:t>
            </w:r>
          </w:p>
        </w:tc>
        <w:tc>
          <w:tcPr>
            <w:tcW w:w="1701" w:type="dxa"/>
            <w:noWrap/>
            <w:vAlign w:val="bottom"/>
            <w:hideMark/>
          </w:tcPr>
          <w:p w14:paraId="7EEC18E9" w14:textId="7878215E"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322,003</w:t>
            </w:r>
          </w:p>
        </w:tc>
        <w:tc>
          <w:tcPr>
            <w:tcW w:w="2241" w:type="dxa"/>
            <w:noWrap/>
            <w:vAlign w:val="bottom"/>
            <w:hideMark/>
          </w:tcPr>
          <w:p w14:paraId="4284A6AB" w14:textId="3095078F"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248.352 </w:t>
            </w:r>
          </w:p>
        </w:tc>
        <w:tc>
          <w:tcPr>
            <w:tcW w:w="1587" w:type="dxa"/>
            <w:noWrap/>
            <w:vAlign w:val="center"/>
            <w:hideMark/>
          </w:tcPr>
          <w:p w14:paraId="75FACA0E" w14:textId="68279F58"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0,2%</w:t>
            </w:r>
          </w:p>
        </w:tc>
      </w:tr>
      <w:tr w:rsidR="00021C43" w:rsidRPr="00903982" w14:paraId="12BAEE40" w14:textId="77777777" w:rsidTr="00E63C09">
        <w:trPr>
          <w:cnfStyle w:val="000000100000" w:firstRow="0" w:lastRow="0" w:firstColumn="0" w:lastColumn="0" w:oddVBand="0" w:evenVBand="0" w:oddHBand="1" w:evenHBand="0" w:firstRowFirstColumn="0" w:firstRowLastColumn="0" w:lastRowFirstColumn="0" w:lastRowLastColumn="0"/>
          <w:trHeight w:val="280"/>
        </w:trPr>
        <w:tc>
          <w:tcPr>
            <w:tcW w:w="907" w:type="dxa"/>
            <w:noWrap/>
            <w:hideMark/>
          </w:tcPr>
          <w:p w14:paraId="2B99C01D"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2020</w:t>
            </w:r>
          </w:p>
        </w:tc>
        <w:tc>
          <w:tcPr>
            <w:tcW w:w="1417" w:type="dxa"/>
            <w:noWrap/>
            <w:hideMark/>
          </w:tcPr>
          <w:p w14:paraId="446BD8D3" w14:textId="55A1C614"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1.334 </w:t>
            </w:r>
          </w:p>
        </w:tc>
        <w:tc>
          <w:tcPr>
            <w:tcW w:w="1701" w:type="dxa"/>
            <w:noWrap/>
            <w:vAlign w:val="bottom"/>
            <w:hideMark/>
          </w:tcPr>
          <w:p w14:paraId="7869EAA5" w14:textId="5E1AFE7E"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331,654</w:t>
            </w:r>
          </w:p>
        </w:tc>
        <w:tc>
          <w:tcPr>
            <w:tcW w:w="2241" w:type="dxa"/>
            <w:noWrap/>
            <w:vAlign w:val="bottom"/>
            <w:hideMark/>
          </w:tcPr>
          <w:p w14:paraId="125BAD89" w14:textId="6DEC885E"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248.586 </w:t>
            </w:r>
          </w:p>
        </w:tc>
        <w:tc>
          <w:tcPr>
            <w:tcW w:w="1587" w:type="dxa"/>
            <w:noWrap/>
            <w:vAlign w:val="center"/>
            <w:hideMark/>
          </w:tcPr>
          <w:p w14:paraId="621D2254" w14:textId="79E04E15"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0,1%</w:t>
            </w:r>
          </w:p>
        </w:tc>
      </w:tr>
      <w:tr w:rsidR="00021C43" w:rsidRPr="00903982" w14:paraId="35954531" w14:textId="77777777" w:rsidTr="00E63C09">
        <w:trPr>
          <w:trHeight w:val="280"/>
        </w:trPr>
        <w:tc>
          <w:tcPr>
            <w:tcW w:w="907" w:type="dxa"/>
            <w:noWrap/>
            <w:hideMark/>
          </w:tcPr>
          <w:p w14:paraId="2852B8C9"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2021</w:t>
            </w:r>
          </w:p>
        </w:tc>
        <w:tc>
          <w:tcPr>
            <w:tcW w:w="1417" w:type="dxa"/>
            <w:noWrap/>
            <w:hideMark/>
          </w:tcPr>
          <w:p w14:paraId="0887BEF4" w14:textId="3CEBCA46"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1.373 </w:t>
            </w:r>
          </w:p>
        </w:tc>
        <w:tc>
          <w:tcPr>
            <w:tcW w:w="1701" w:type="dxa"/>
            <w:noWrap/>
            <w:vAlign w:val="bottom"/>
            <w:hideMark/>
          </w:tcPr>
          <w:p w14:paraId="5AB55880" w14:textId="021B680F"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341,715</w:t>
            </w:r>
          </w:p>
        </w:tc>
        <w:tc>
          <w:tcPr>
            <w:tcW w:w="2241" w:type="dxa"/>
            <w:noWrap/>
            <w:vAlign w:val="bottom"/>
            <w:hideMark/>
          </w:tcPr>
          <w:p w14:paraId="7A1119BD" w14:textId="5E48EBFA"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248.909 </w:t>
            </w:r>
          </w:p>
        </w:tc>
        <w:tc>
          <w:tcPr>
            <w:tcW w:w="1587" w:type="dxa"/>
            <w:noWrap/>
            <w:vAlign w:val="center"/>
            <w:hideMark/>
          </w:tcPr>
          <w:p w14:paraId="7D154F6F" w14:textId="524F8B25"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0,1%</w:t>
            </w:r>
          </w:p>
        </w:tc>
      </w:tr>
      <w:tr w:rsidR="00021C43" w:rsidRPr="00903982" w14:paraId="38C9737B" w14:textId="77777777" w:rsidTr="00E63C09">
        <w:trPr>
          <w:cnfStyle w:val="000000100000" w:firstRow="0" w:lastRow="0" w:firstColumn="0" w:lastColumn="0" w:oddVBand="0" w:evenVBand="0" w:oddHBand="1" w:evenHBand="0" w:firstRowFirstColumn="0" w:firstRowLastColumn="0" w:lastRowFirstColumn="0" w:lastRowLastColumn="0"/>
          <w:trHeight w:val="280"/>
        </w:trPr>
        <w:tc>
          <w:tcPr>
            <w:tcW w:w="907" w:type="dxa"/>
            <w:noWrap/>
            <w:hideMark/>
          </w:tcPr>
          <w:p w14:paraId="3A8C49FC"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2022</w:t>
            </w:r>
          </w:p>
        </w:tc>
        <w:tc>
          <w:tcPr>
            <w:tcW w:w="1417" w:type="dxa"/>
            <w:noWrap/>
            <w:hideMark/>
          </w:tcPr>
          <w:p w14:paraId="32FF1294" w14:textId="6F888304"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1.413 </w:t>
            </w:r>
          </w:p>
        </w:tc>
        <w:tc>
          <w:tcPr>
            <w:tcW w:w="1701" w:type="dxa"/>
            <w:noWrap/>
            <w:vAlign w:val="bottom"/>
            <w:hideMark/>
          </w:tcPr>
          <w:p w14:paraId="7E787CEC" w14:textId="233B833F"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352,257</w:t>
            </w:r>
          </w:p>
        </w:tc>
        <w:tc>
          <w:tcPr>
            <w:tcW w:w="2241" w:type="dxa"/>
            <w:noWrap/>
            <w:vAlign w:val="bottom"/>
            <w:hideMark/>
          </w:tcPr>
          <w:p w14:paraId="6F5D5CAC" w14:textId="2A316859"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249.356 </w:t>
            </w:r>
          </w:p>
        </w:tc>
        <w:tc>
          <w:tcPr>
            <w:tcW w:w="1587" w:type="dxa"/>
            <w:noWrap/>
            <w:vAlign w:val="center"/>
            <w:hideMark/>
          </w:tcPr>
          <w:p w14:paraId="6BB924E6" w14:textId="3C33402E"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0,2%</w:t>
            </w:r>
          </w:p>
        </w:tc>
      </w:tr>
      <w:tr w:rsidR="00021C43" w:rsidRPr="00903982" w14:paraId="2EFC5F0E" w14:textId="77777777" w:rsidTr="00E63C09">
        <w:trPr>
          <w:trHeight w:val="280"/>
        </w:trPr>
        <w:tc>
          <w:tcPr>
            <w:tcW w:w="907" w:type="dxa"/>
            <w:noWrap/>
            <w:hideMark/>
          </w:tcPr>
          <w:p w14:paraId="23600D21"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2023</w:t>
            </w:r>
          </w:p>
        </w:tc>
        <w:tc>
          <w:tcPr>
            <w:tcW w:w="1417" w:type="dxa"/>
            <w:noWrap/>
            <w:hideMark/>
          </w:tcPr>
          <w:p w14:paraId="36E45D7E" w14:textId="4DEA7191"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1.454 </w:t>
            </w:r>
          </w:p>
        </w:tc>
        <w:tc>
          <w:tcPr>
            <w:tcW w:w="1701" w:type="dxa"/>
            <w:noWrap/>
            <w:vAlign w:val="bottom"/>
            <w:hideMark/>
          </w:tcPr>
          <w:p w14:paraId="71E36E95" w14:textId="16B179A0"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362,850</w:t>
            </w:r>
          </w:p>
        </w:tc>
        <w:tc>
          <w:tcPr>
            <w:tcW w:w="2241" w:type="dxa"/>
            <w:noWrap/>
            <w:vAlign w:val="bottom"/>
            <w:hideMark/>
          </w:tcPr>
          <w:p w14:paraId="3D1632BB" w14:textId="058C4CBA"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249.616 </w:t>
            </w:r>
          </w:p>
        </w:tc>
        <w:tc>
          <w:tcPr>
            <w:tcW w:w="1587" w:type="dxa"/>
            <w:noWrap/>
            <w:vAlign w:val="center"/>
            <w:hideMark/>
          </w:tcPr>
          <w:p w14:paraId="17A4F94B" w14:textId="39F0D98B"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0,1%</w:t>
            </w:r>
          </w:p>
        </w:tc>
      </w:tr>
      <w:tr w:rsidR="00021C43" w:rsidRPr="00903982" w14:paraId="50057991" w14:textId="77777777" w:rsidTr="00E63C09">
        <w:trPr>
          <w:cnfStyle w:val="000000100000" w:firstRow="0" w:lastRow="0" w:firstColumn="0" w:lastColumn="0" w:oddVBand="0" w:evenVBand="0" w:oddHBand="1" w:evenHBand="0" w:firstRowFirstColumn="0" w:firstRowLastColumn="0" w:lastRowFirstColumn="0" w:lastRowLastColumn="0"/>
          <w:trHeight w:val="280"/>
        </w:trPr>
        <w:tc>
          <w:tcPr>
            <w:tcW w:w="907" w:type="dxa"/>
            <w:noWrap/>
            <w:hideMark/>
          </w:tcPr>
          <w:p w14:paraId="22D76764"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2024</w:t>
            </w:r>
          </w:p>
        </w:tc>
        <w:tc>
          <w:tcPr>
            <w:tcW w:w="1417" w:type="dxa"/>
            <w:noWrap/>
            <w:hideMark/>
          </w:tcPr>
          <w:p w14:paraId="3CA62FDC" w14:textId="11E15876"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1.496 </w:t>
            </w:r>
          </w:p>
        </w:tc>
        <w:tc>
          <w:tcPr>
            <w:tcW w:w="1701" w:type="dxa"/>
            <w:noWrap/>
            <w:vAlign w:val="bottom"/>
            <w:hideMark/>
          </w:tcPr>
          <w:p w14:paraId="4E86DE2B" w14:textId="0A5B6265"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374,305</w:t>
            </w:r>
          </w:p>
        </w:tc>
        <w:tc>
          <w:tcPr>
            <w:tcW w:w="2241" w:type="dxa"/>
            <w:noWrap/>
            <w:vAlign w:val="bottom"/>
            <w:hideMark/>
          </w:tcPr>
          <w:p w14:paraId="2705E9E5" w14:textId="208020F1"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250.239 </w:t>
            </w:r>
          </w:p>
        </w:tc>
        <w:tc>
          <w:tcPr>
            <w:tcW w:w="1587" w:type="dxa"/>
            <w:noWrap/>
            <w:vAlign w:val="center"/>
            <w:hideMark/>
          </w:tcPr>
          <w:p w14:paraId="28EABA9A" w14:textId="28BECB58"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0,3%</w:t>
            </w:r>
          </w:p>
        </w:tc>
      </w:tr>
      <w:tr w:rsidR="00021C43" w:rsidRPr="00903982" w14:paraId="227B2676" w14:textId="77777777" w:rsidTr="00E63C09">
        <w:trPr>
          <w:trHeight w:val="280"/>
        </w:trPr>
        <w:tc>
          <w:tcPr>
            <w:tcW w:w="907" w:type="dxa"/>
            <w:noWrap/>
            <w:hideMark/>
          </w:tcPr>
          <w:p w14:paraId="7D157E6C"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2025</w:t>
            </w:r>
          </w:p>
        </w:tc>
        <w:tc>
          <w:tcPr>
            <w:tcW w:w="1417" w:type="dxa"/>
            <w:noWrap/>
            <w:hideMark/>
          </w:tcPr>
          <w:p w14:paraId="3C9FF1C4" w14:textId="7BF1893C"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1.539 </w:t>
            </w:r>
          </w:p>
        </w:tc>
        <w:tc>
          <w:tcPr>
            <w:tcW w:w="1701" w:type="dxa"/>
            <w:noWrap/>
            <w:vAlign w:val="bottom"/>
            <w:hideMark/>
          </w:tcPr>
          <w:p w14:paraId="5F0AC1D8" w14:textId="4B64866F"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385,425</w:t>
            </w:r>
          </w:p>
        </w:tc>
        <w:tc>
          <w:tcPr>
            <w:tcW w:w="2241" w:type="dxa"/>
            <w:noWrap/>
            <w:vAlign w:val="bottom"/>
            <w:hideMark/>
          </w:tcPr>
          <w:p w14:paraId="3ABB6CE9" w14:textId="3833DDC4"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250.412 </w:t>
            </w:r>
          </w:p>
        </w:tc>
        <w:tc>
          <w:tcPr>
            <w:tcW w:w="1587" w:type="dxa"/>
            <w:noWrap/>
            <w:vAlign w:val="center"/>
            <w:hideMark/>
          </w:tcPr>
          <w:p w14:paraId="434E00A2" w14:textId="1A6ADB03"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0,1%</w:t>
            </w:r>
          </w:p>
        </w:tc>
      </w:tr>
      <w:tr w:rsidR="00021C43" w:rsidRPr="00903982" w14:paraId="219BD56D" w14:textId="77777777" w:rsidTr="00E63C09">
        <w:trPr>
          <w:cnfStyle w:val="000000100000" w:firstRow="0" w:lastRow="0" w:firstColumn="0" w:lastColumn="0" w:oddVBand="0" w:evenVBand="0" w:oddHBand="1" w:evenHBand="0" w:firstRowFirstColumn="0" w:firstRowLastColumn="0" w:lastRowFirstColumn="0" w:lastRowLastColumn="0"/>
          <w:trHeight w:val="280"/>
        </w:trPr>
        <w:tc>
          <w:tcPr>
            <w:tcW w:w="907" w:type="dxa"/>
            <w:noWrap/>
            <w:hideMark/>
          </w:tcPr>
          <w:p w14:paraId="697F4E03"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2026</w:t>
            </w:r>
          </w:p>
        </w:tc>
        <w:tc>
          <w:tcPr>
            <w:tcW w:w="1417" w:type="dxa"/>
            <w:noWrap/>
            <w:hideMark/>
          </w:tcPr>
          <w:p w14:paraId="53E0BE6D" w14:textId="5462DF39"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1.584 </w:t>
            </w:r>
          </w:p>
        </w:tc>
        <w:tc>
          <w:tcPr>
            <w:tcW w:w="1701" w:type="dxa"/>
            <w:noWrap/>
            <w:vAlign w:val="bottom"/>
            <w:hideMark/>
          </w:tcPr>
          <w:p w14:paraId="6FF646AB" w14:textId="3765A66E"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396,758</w:t>
            </w:r>
          </w:p>
        </w:tc>
        <w:tc>
          <w:tcPr>
            <w:tcW w:w="2241" w:type="dxa"/>
            <w:noWrap/>
            <w:vAlign w:val="bottom"/>
            <w:hideMark/>
          </w:tcPr>
          <w:p w14:paraId="5601FD9D" w14:textId="0AAE7DD4"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250.510 </w:t>
            </w:r>
          </w:p>
        </w:tc>
        <w:tc>
          <w:tcPr>
            <w:tcW w:w="1587" w:type="dxa"/>
            <w:noWrap/>
            <w:vAlign w:val="center"/>
            <w:hideMark/>
          </w:tcPr>
          <w:p w14:paraId="256B54AA" w14:textId="68C9315B"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0,0%</w:t>
            </w:r>
          </w:p>
        </w:tc>
      </w:tr>
      <w:tr w:rsidR="00021C43" w:rsidRPr="00903982" w14:paraId="105AA1B6" w14:textId="77777777" w:rsidTr="00E63C09">
        <w:trPr>
          <w:trHeight w:val="280"/>
        </w:trPr>
        <w:tc>
          <w:tcPr>
            <w:tcW w:w="907" w:type="dxa"/>
            <w:noWrap/>
            <w:hideMark/>
          </w:tcPr>
          <w:p w14:paraId="72577E00"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2027</w:t>
            </w:r>
          </w:p>
        </w:tc>
        <w:tc>
          <w:tcPr>
            <w:tcW w:w="1417" w:type="dxa"/>
            <w:noWrap/>
            <w:hideMark/>
          </w:tcPr>
          <w:p w14:paraId="2189CA2D" w14:textId="5064325C"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1.630 </w:t>
            </w:r>
          </w:p>
        </w:tc>
        <w:tc>
          <w:tcPr>
            <w:tcW w:w="1701" w:type="dxa"/>
            <w:noWrap/>
            <w:vAlign w:val="bottom"/>
            <w:hideMark/>
          </w:tcPr>
          <w:p w14:paraId="3E1DE3B5" w14:textId="3510B2A9"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408,063</w:t>
            </w:r>
          </w:p>
        </w:tc>
        <w:tc>
          <w:tcPr>
            <w:tcW w:w="2241" w:type="dxa"/>
            <w:noWrap/>
            <w:vAlign w:val="bottom"/>
            <w:hideMark/>
          </w:tcPr>
          <w:p w14:paraId="1BB57BE9" w14:textId="0CDEEAC2"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250.387 </w:t>
            </w:r>
          </w:p>
        </w:tc>
        <w:tc>
          <w:tcPr>
            <w:tcW w:w="1587" w:type="dxa"/>
            <w:noWrap/>
            <w:vAlign w:val="center"/>
            <w:hideMark/>
          </w:tcPr>
          <w:p w14:paraId="1C5F555D" w14:textId="422F5926"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-0,1%</w:t>
            </w:r>
          </w:p>
        </w:tc>
      </w:tr>
      <w:tr w:rsidR="00021C43" w:rsidRPr="00903982" w14:paraId="6462FFE5" w14:textId="77777777" w:rsidTr="00E63C09">
        <w:trPr>
          <w:cnfStyle w:val="000000100000" w:firstRow="0" w:lastRow="0" w:firstColumn="0" w:lastColumn="0" w:oddVBand="0" w:evenVBand="0" w:oddHBand="1" w:evenHBand="0" w:firstRowFirstColumn="0" w:firstRowLastColumn="0" w:lastRowFirstColumn="0" w:lastRowLastColumn="0"/>
          <w:trHeight w:val="280"/>
        </w:trPr>
        <w:tc>
          <w:tcPr>
            <w:tcW w:w="907" w:type="dxa"/>
            <w:noWrap/>
            <w:hideMark/>
          </w:tcPr>
          <w:p w14:paraId="7FFA7D2F"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2028</w:t>
            </w:r>
          </w:p>
        </w:tc>
        <w:tc>
          <w:tcPr>
            <w:tcW w:w="1417" w:type="dxa"/>
            <w:noWrap/>
            <w:hideMark/>
          </w:tcPr>
          <w:p w14:paraId="47A16B83" w14:textId="150DAEAE"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1.677 </w:t>
            </w:r>
          </w:p>
        </w:tc>
        <w:tc>
          <w:tcPr>
            <w:tcW w:w="1701" w:type="dxa"/>
            <w:noWrap/>
            <w:vAlign w:val="bottom"/>
            <w:hideMark/>
          </w:tcPr>
          <w:p w14:paraId="16A648C0" w14:textId="6DE8AD50"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420,135</w:t>
            </w:r>
          </w:p>
        </w:tc>
        <w:tc>
          <w:tcPr>
            <w:tcW w:w="2241" w:type="dxa"/>
            <w:noWrap/>
            <w:vAlign w:val="bottom"/>
            <w:hideMark/>
          </w:tcPr>
          <w:p w14:paraId="04419E28" w14:textId="71E4DBFB"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250.529 </w:t>
            </w:r>
          </w:p>
        </w:tc>
        <w:tc>
          <w:tcPr>
            <w:tcW w:w="1587" w:type="dxa"/>
            <w:noWrap/>
            <w:vAlign w:val="center"/>
            <w:hideMark/>
          </w:tcPr>
          <w:p w14:paraId="645D250B" w14:textId="01666E26"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0,1%</w:t>
            </w:r>
          </w:p>
        </w:tc>
      </w:tr>
      <w:tr w:rsidR="00021C43" w:rsidRPr="00903982" w14:paraId="27A34C31" w14:textId="77777777" w:rsidTr="00E63C09">
        <w:trPr>
          <w:trHeight w:val="280"/>
        </w:trPr>
        <w:tc>
          <w:tcPr>
            <w:tcW w:w="907" w:type="dxa"/>
            <w:noWrap/>
            <w:hideMark/>
          </w:tcPr>
          <w:p w14:paraId="44FFD96B"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2029</w:t>
            </w:r>
          </w:p>
        </w:tc>
        <w:tc>
          <w:tcPr>
            <w:tcW w:w="1417" w:type="dxa"/>
            <w:noWrap/>
            <w:hideMark/>
          </w:tcPr>
          <w:p w14:paraId="2644C6EC" w14:textId="6C56DC09"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1.726 </w:t>
            </w:r>
          </w:p>
        </w:tc>
        <w:tc>
          <w:tcPr>
            <w:tcW w:w="1701" w:type="dxa"/>
            <w:noWrap/>
            <w:vAlign w:val="bottom"/>
            <w:hideMark/>
          </w:tcPr>
          <w:p w14:paraId="37901889" w14:textId="4B676B63"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431,981</w:t>
            </w:r>
          </w:p>
        </w:tc>
        <w:tc>
          <w:tcPr>
            <w:tcW w:w="2241" w:type="dxa"/>
            <w:noWrap/>
            <w:vAlign w:val="bottom"/>
            <w:hideMark/>
          </w:tcPr>
          <w:p w14:paraId="2E0A2094" w14:textId="44D5BE9D"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250.333 </w:t>
            </w:r>
          </w:p>
        </w:tc>
        <w:tc>
          <w:tcPr>
            <w:tcW w:w="1587" w:type="dxa"/>
            <w:noWrap/>
            <w:vAlign w:val="center"/>
            <w:hideMark/>
          </w:tcPr>
          <w:p w14:paraId="55909B51" w14:textId="7480E0AF"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-0,1%</w:t>
            </w:r>
          </w:p>
        </w:tc>
      </w:tr>
      <w:tr w:rsidR="00021C43" w:rsidRPr="00903982" w14:paraId="0CFBFABC" w14:textId="77777777" w:rsidTr="00E63C09">
        <w:trPr>
          <w:cnfStyle w:val="000000100000" w:firstRow="0" w:lastRow="0" w:firstColumn="0" w:lastColumn="0" w:oddVBand="0" w:evenVBand="0" w:oddHBand="1" w:evenHBand="0" w:firstRowFirstColumn="0" w:firstRowLastColumn="0" w:lastRowFirstColumn="0" w:lastRowLastColumn="0"/>
          <w:trHeight w:val="280"/>
        </w:trPr>
        <w:tc>
          <w:tcPr>
            <w:tcW w:w="907" w:type="dxa"/>
            <w:noWrap/>
            <w:hideMark/>
          </w:tcPr>
          <w:p w14:paraId="3EAEBE81" w14:textId="77777777"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eastAsia="Times New Roman" w:hAnsi="Calibri"/>
                <w:color w:val="000000"/>
                <w:sz w:val="22"/>
                <w:szCs w:val="22"/>
                <w:lang w:val="es-ES_tradnl" w:eastAsia="es-ES"/>
              </w:rPr>
              <w:t>2030</w:t>
            </w:r>
          </w:p>
        </w:tc>
        <w:tc>
          <w:tcPr>
            <w:tcW w:w="1417" w:type="dxa"/>
            <w:noWrap/>
            <w:hideMark/>
          </w:tcPr>
          <w:p w14:paraId="50CF3860" w14:textId="7D029DA9" w:rsidR="00021C43" w:rsidRPr="00903982" w:rsidRDefault="00021C43" w:rsidP="00865AF1">
            <w:pPr>
              <w:jc w:val="right"/>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1.776 </w:t>
            </w:r>
          </w:p>
        </w:tc>
        <w:tc>
          <w:tcPr>
            <w:tcW w:w="1701" w:type="dxa"/>
            <w:noWrap/>
            <w:vAlign w:val="bottom"/>
            <w:hideMark/>
          </w:tcPr>
          <w:p w14:paraId="38B288BA" w14:textId="7271F17F"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444,208</w:t>
            </w:r>
          </w:p>
        </w:tc>
        <w:tc>
          <w:tcPr>
            <w:tcW w:w="2241" w:type="dxa"/>
            <w:noWrap/>
            <w:vAlign w:val="bottom"/>
            <w:hideMark/>
          </w:tcPr>
          <w:p w14:paraId="343416D8" w14:textId="75F4911E"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 xml:space="preserve">                         250.164 </w:t>
            </w:r>
          </w:p>
        </w:tc>
        <w:tc>
          <w:tcPr>
            <w:tcW w:w="1587" w:type="dxa"/>
            <w:noWrap/>
            <w:vAlign w:val="center"/>
            <w:hideMark/>
          </w:tcPr>
          <w:p w14:paraId="4D5D3D0D" w14:textId="063A1E08" w:rsidR="00021C43" w:rsidRPr="00903982" w:rsidRDefault="00021C43" w:rsidP="00865AF1">
            <w:pPr>
              <w:jc w:val="right"/>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-0,1%</w:t>
            </w:r>
          </w:p>
        </w:tc>
      </w:tr>
    </w:tbl>
    <w:p w14:paraId="1DB56345" w14:textId="77777777" w:rsidR="006F08C8" w:rsidRPr="00903982" w:rsidRDefault="006F08C8" w:rsidP="00AC1B50">
      <w:pPr>
        <w:spacing w:after="100" w:afterAutospacing="1"/>
        <w:jc w:val="both"/>
        <w:rPr>
          <w:rFonts w:asciiTheme="minorHAnsi" w:hAnsiTheme="minorHAnsi"/>
          <w:sz w:val="22"/>
          <w:szCs w:val="22"/>
          <w:lang w:val="es-ES_tradnl"/>
        </w:rPr>
      </w:pPr>
    </w:p>
    <w:p w14:paraId="5418D6F1" w14:textId="77777777" w:rsidR="00846055" w:rsidRPr="00903982" w:rsidRDefault="00846055" w:rsidP="00AC1B50">
      <w:pPr>
        <w:spacing w:after="100" w:afterAutospacing="1"/>
        <w:jc w:val="both"/>
        <w:rPr>
          <w:rFonts w:asciiTheme="minorHAnsi" w:hAnsiTheme="minorHAnsi"/>
          <w:sz w:val="22"/>
          <w:szCs w:val="22"/>
          <w:lang w:val="es-ES_tradnl"/>
        </w:rPr>
      </w:pPr>
    </w:p>
    <w:p w14:paraId="57FACDF7" w14:textId="77777777" w:rsidR="00846055" w:rsidRPr="00903982" w:rsidRDefault="00846055" w:rsidP="00AC1B50">
      <w:pPr>
        <w:spacing w:after="100" w:afterAutospacing="1"/>
        <w:jc w:val="both"/>
        <w:rPr>
          <w:rFonts w:asciiTheme="minorHAnsi" w:hAnsiTheme="minorHAnsi"/>
          <w:sz w:val="22"/>
          <w:szCs w:val="22"/>
          <w:lang w:val="es-ES_tradnl"/>
        </w:rPr>
      </w:pPr>
    </w:p>
    <w:p w14:paraId="4BBC6495" w14:textId="77777777" w:rsidR="00846055" w:rsidRPr="00903982" w:rsidRDefault="00846055" w:rsidP="00AC1B50">
      <w:pPr>
        <w:spacing w:after="100" w:afterAutospacing="1"/>
        <w:jc w:val="both"/>
        <w:rPr>
          <w:rFonts w:asciiTheme="minorHAnsi" w:hAnsiTheme="minorHAnsi"/>
          <w:sz w:val="22"/>
          <w:szCs w:val="22"/>
          <w:lang w:val="es-ES_tradnl"/>
        </w:rPr>
      </w:pPr>
    </w:p>
    <w:p w14:paraId="39CEBE10" w14:textId="77777777" w:rsidR="00865AF1" w:rsidRPr="00903982" w:rsidRDefault="00865AF1" w:rsidP="00AC1B50">
      <w:pPr>
        <w:spacing w:after="100" w:afterAutospacing="1"/>
        <w:jc w:val="both"/>
        <w:rPr>
          <w:rFonts w:asciiTheme="minorHAnsi" w:hAnsiTheme="minorHAnsi"/>
          <w:sz w:val="22"/>
          <w:szCs w:val="22"/>
          <w:lang w:val="es-ES_tradnl"/>
        </w:rPr>
      </w:pPr>
    </w:p>
    <w:p w14:paraId="4B5E3564" w14:textId="77777777" w:rsidR="00865AF1" w:rsidRPr="00903982" w:rsidRDefault="00865AF1" w:rsidP="00AC1B50">
      <w:pPr>
        <w:spacing w:after="100" w:afterAutospacing="1"/>
        <w:jc w:val="both"/>
        <w:rPr>
          <w:rFonts w:asciiTheme="minorHAnsi" w:hAnsiTheme="minorHAnsi"/>
          <w:sz w:val="22"/>
          <w:szCs w:val="22"/>
          <w:lang w:val="es-ES_tradnl"/>
        </w:rPr>
      </w:pPr>
    </w:p>
    <w:p w14:paraId="78332567" w14:textId="77777777" w:rsidR="00865AF1" w:rsidRPr="00903982" w:rsidRDefault="00865AF1" w:rsidP="00AC1B50">
      <w:pPr>
        <w:spacing w:after="100" w:afterAutospacing="1"/>
        <w:jc w:val="both"/>
        <w:rPr>
          <w:rFonts w:asciiTheme="minorHAnsi" w:hAnsiTheme="minorHAnsi"/>
          <w:sz w:val="22"/>
          <w:szCs w:val="22"/>
          <w:lang w:val="es-ES_tradnl"/>
        </w:rPr>
      </w:pPr>
    </w:p>
    <w:p w14:paraId="5D2EC5B8" w14:textId="77777777" w:rsidR="00865AF1" w:rsidRPr="00903982" w:rsidRDefault="00865AF1" w:rsidP="00AC1B50">
      <w:pPr>
        <w:spacing w:after="100" w:afterAutospacing="1"/>
        <w:jc w:val="both"/>
        <w:rPr>
          <w:rFonts w:asciiTheme="minorHAnsi" w:hAnsiTheme="minorHAnsi"/>
          <w:sz w:val="22"/>
          <w:szCs w:val="22"/>
          <w:lang w:val="es-ES_tradnl"/>
        </w:rPr>
      </w:pPr>
    </w:p>
    <w:p w14:paraId="22F2E3F3" w14:textId="7B8F198D" w:rsidR="003E64EA" w:rsidRPr="00903982" w:rsidRDefault="003E64EA" w:rsidP="003E64EA">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Prospectiva del Sector Eléctrico 2016-2030 de la Secretaría de Energía de México e información económica del Banco Mundial.</w:t>
      </w:r>
    </w:p>
    <w:p w14:paraId="77DD0A68" w14:textId="2AB38256" w:rsidR="006F08C8" w:rsidRPr="00903982" w:rsidRDefault="00037593" w:rsidP="00AC1B50">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Una vez obtenida la intensidad energética para los años de evaluación, se procedió a sumar a la intensidad energética el 1.9% que habría disminuido producto de</w:t>
      </w:r>
      <w:r w:rsidR="00146909" w:rsidRPr="00903982">
        <w:rPr>
          <w:rFonts w:asciiTheme="minorHAnsi" w:hAnsiTheme="minorHAnsi"/>
          <w:sz w:val="22"/>
          <w:szCs w:val="22"/>
          <w:lang w:val="es-ES_tradnl"/>
        </w:rPr>
        <w:t xml:space="preserve"> los programas de </w:t>
      </w:r>
      <w:r w:rsidRPr="00903982">
        <w:rPr>
          <w:rFonts w:asciiTheme="minorHAnsi" w:hAnsiTheme="minorHAnsi"/>
          <w:sz w:val="22"/>
          <w:szCs w:val="22"/>
          <w:lang w:val="es-ES_tradnl"/>
        </w:rPr>
        <w:t xml:space="preserve">eficiencia energética </w:t>
      </w:r>
      <w:r w:rsidR="00146909" w:rsidRPr="00903982">
        <w:rPr>
          <w:rFonts w:asciiTheme="minorHAnsi" w:hAnsiTheme="minorHAnsi"/>
          <w:sz w:val="22"/>
          <w:szCs w:val="22"/>
          <w:lang w:val="es-ES_tradnl"/>
        </w:rPr>
        <w:t>que se consideran para la determinación de proyección eléctrica del PRODESEN. Una vez sumado el porcentaje, se puede determinar la energía a generar en la línea base.</w:t>
      </w:r>
    </w:p>
    <w:p w14:paraId="6A72B4AA" w14:textId="74625D50" w:rsidR="00146909" w:rsidRPr="00903982" w:rsidRDefault="00146909" w:rsidP="00574C78">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7</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Determinación </w:t>
      </w:r>
      <w:r w:rsidR="00F444B2" w:rsidRPr="00903982">
        <w:rPr>
          <w:rFonts w:asciiTheme="minorHAnsi" w:hAnsiTheme="minorHAnsi"/>
          <w:b w:val="0"/>
          <w:sz w:val="22"/>
          <w:lang w:val="es-ES_tradnl"/>
        </w:rPr>
        <w:t>Línea</w:t>
      </w:r>
      <w:r w:rsidRPr="00903982">
        <w:rPr>
          <w:rFonts w:asciiTheme="minorHAnsi" w:hAnsiTheme="minorHAnsi"/>
          <w:b w:val="0"/>
          <w:sz w:val="22"/>
          <w:lang w:val="es-ES_tradnl"/>
        </w:rPr>
        <w:t xml:space="preserve"> Base a través de Intensidad Energética</w:t>
      </w:r>
    </w:p>
    <w:tbl>
      <w:tblPr>
        <w:tblStyle w:val="LightList-Accent1"/>
        <w:tblW w:w="6175" w:type="dxa"/>
        <w:jc w:val="center"/>
        <w:tblLook w:val="04A0" w:firstRow="1" w:lastRow="0" w:firstColumn="1" w:lastColumn="0" w:noHBand="0" w:noVBand="1"/>
      </w:tblPr>
      <w:tblGrid>
        <w:gridCol w:w="937"/>
        <w:gridCol w:w="1560"/>
        <w:gridCol w:w="2126"/>
        <w:gridCol w:w="1552"/>
      </w:tblGrid>
      <w:tr w:rsidR="00865AF1" w:rsidRPr="00903982" w14:paraId="755C0F59" w14:textId="77777777" w:rsidTr="00865AF1">
        <w:trPr>
          <w:cnfStyle w:val="100000000000" w:firstRow="1" w:lastRow="0" w:firstColumn="0" w:lastColumn="0" w:oddVBand="0" w:evenVBand="0" w:oddHBand="0"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0465CB0D" w14:textId="77777777" w:rsidR="00865AF1" w:rsidRPr="00903982" w:rsidRDefault="00865AF1" w:rsidP="00865AF1">
            <w:pPr>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Año</w:t>
            </w:r>
          </w:p>
        </w:tc>
        <w:tc>
          <w:tcPr>
            <w:tcW w:w="1560" w:type="dxa"/>
            <w:noWrap/>
            <w:hideMark/>
          </w:tcPr>
          <w:p w14:paraId="502B5B4F" w14:textId="77777777" w:rsidR="00865AF1" w:rsidRPr="00903982" w:rsidRDefault="00865AF1" w:rsidP="00865AF1">
            <w:pPr>
              <w:cnfStyle w:val="100000000000" w:firstRow="1" w:lastRow="0" w:firstColumn="0" w:lastColumn="0" w:oddVBand="0" w:evenVBand="0" w:oddHBand="0" w:evenHBand="0" w:firstRowFirstColumn="0" w:firstRowLastColumn="0" w:lastRowFirstColumn="0" w:lastRowLastColumn="0"/>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Razón de cambio de la IE para Línea Base</w:t>
            </w:r>
          </w:p>
        </w:tc>
        <w:tc>
          <w:tcPr>
            <w:tcW w:w="2126" w:type="dxa"/>
            <w:noWrap/>
            <w:hideMark/>
          </w:tcPr>
          <w:p w14:paraId="34B93DD4" w14:textId="44370C29" w:rsidR="00865AF1" w:rsidRPr="00903982" w:rsidRDefault="00865AF1" w:rsidP="00865AF1">
            <w:pPr>
              <w:cnfStyle w:val="100000000000" w:firstRow="1" w:lastRow="0" w:firstColumn="0" w:lastColumn="0" w:oddVBand="0" w:evenVBand="0" w:oddHBand="0" w:evenHBand="0" w:firstRowFirstColumn="0" w:firstRowLastColumn="0" w:lastRowFirstColumn="0" w:lastRowLastColumn="0"/>
              <w:rPr>
                <w:rFonts w:ascii="Calibri" w:eastAsia="Times New Roman" w:hAnsi="Calibri"/>
                <w:bCs w:val="0"/>
                <w:color w:val="000000"/>
                <w:sz w:val="22"/>
                <w:szCs w:val="22"/>
                <w:lang w:val="es-ES_tradnl" w:eastAsia="es-ES"/>
              </w:rPr>
            </w:pPr>
            <w:r w:rsidRPr="00903982">
              <w:rPr>
                <w:rFonts w:ascii="Calibri" w:eastAsia="Times New Roman" w:hAnsi="Calibri"/>
                <w:b w:val="0"/>
                <w:color w:val="000000"/>
                <w:sz w:val="22"/>
                <w:szCs w:val="22"/>
                <w:lang w:val="es-ES_tradnl" w:eastAsia="es-ES"/>
              </w:rPr>
              <w:t>Intensidad Energética Línea Base (MWh/mil millones de US$)</w:t>
            </w:r>
          </w:p>
        </w:tc>
        <w:tc>
          <w:tcPr>
            <w:tcW w:w="1552" w:type="dxa"/>
          </w:tcPr>
          <w:p w14:paraId="2A5AB846" w14:textId="6261E39C" w:rsidR="00865AF1" w:rsidRPr="00903982" w:rsidRDefault="00865AF1" w:rsidP="00865AF1">
            <w:pPr>
              <w:cnfStyle w:val="100000000000" w:firstRow="1" w:lastRow="0" w:firstColumn="0" w:lastColumn="0" w:oddVBand="0" w:evenVBand="0" w:oddHBand="0" w:evenHBand="0" w:firstRowFirstColumn="0" w:firstRowLastColumn="0" w:lastRowFirstColumn="0" w:lastRowLastColumn="0"/>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Energía Generada en Línea Base (GWh)</w:t>
            </w:r>
          </w:p>
        </w:tc>
      </w:tr>
      <w:tr w:rsidR="00021C43" w:rsidRPr="00903982" w14:paraId="62250DBD"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67C5B2D4"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2016</w:t>
            </w:r>
          </w:p>
        </w:tc>
        <w:tc>
          <w:tcPr>
            <w:tcW w:w="1560" w:type="dxa"/>
            <w:noWrap/>
            <w:hideMark/>
          </w:tcPr>
          <w:p w14:paraId="266A65A1" w14:textId="77777777" w:rsidR="00021C43" w:rsidRPr="00903982" w:rsidRDefault="00021C43" w:rsidP="00865AF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eastAsia="es-ES"/>
              </w:rPr>
            </w:pPr>
          </w:p>
        </w:tc>
        <w:tc>
          <w:tcPr>
            <w:tcW w:w="2126" w:type="dxa"/>
            <w:noWrap/>
            <w:hideMark/>
          </w:tcPr>
          <w:p w14:paraId="5AC99991" w14:textId="4C891C4C"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268,291 </w:t>
            </w:r>
          </w:p>
        </w:tc>
        <w:tc>
          <w:tcPr>
            <w:tcW w:w="1552" w:type="dxa"/>
            <w:noWrap/>
            <w:hideMark/>
          </w:tcPr>
          <w:p w14:paraId="031545D7" w14:textId="3FDD6149"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319,266 </w:t>
            </w:r>
          </w:p>
        </w:tc>
      </w:tr>
      <w:tr w:rsidR="00021C43" w:rsidRPr="00903982" w14:paraId="1D5B3EC6"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428CF430"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2017</w:t>
            </w:r>
          </w:p>
        </w:tc>
        <w:tc>
          <w:tcPr>
            <w:tcW w:w="1560" w:type="dxa"/>
            <w:noWrap/>
            <w:vAlign w:val="bottom"/>
            <w:hideMark/>
          </w:tcPr>
          <w:p w14:paraId="3480AED4" w14:textId="40A08B37"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-5,8%</w:t>
            </w:r>
          </w:p>
        </w:tc>
        <w:tc>
          <w:tcPr>
            <w:tcW w:w="2126" w:type="dxa"/>
            <w:noWrap/>
            <w:hideMark/>
          </w:tcPr>
          <w:p w14:paraId="47BFC93E" w14:textId="41922F58"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252,853 </w:t>
            </w:r>
          </w:p>
        </w:tc>
        <w:tc>
          <w:tcPr>
            <w:tcW w:w="1552" w:type="dxa"/>
            <w:noWrap/>
            <w:hideMark/>
          </w:tcPr>
          <w:p w14:paraId="23981B47" w14:textId="6E31F137"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309,621 </w:t>
            </w:r>
          </w:p>
        </w:tc>
      </w:tr>
      <w:tr w:rsidR="00021C43" w:rsidRPr="00903982" w14:paraId="7D616528"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5083EC73"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2018</w:t>
            </w:r>
          </w:p>
        </w:tc>
        <w:tc>
          <w:tcPr>
            <w:tcW w:w="1560" w:type="dxa"/>
            <w:noWrap/>
            <w:vAlign w:val="bottom"/>
            <w:hideMark/>
          </w:tcPr>
          <w:p w14:paraId="7012CC4B" w14:textId="0AF79E78"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2,0%</w:t>
            </w:r>
          </w:p>
        </w:tc>
        <w:tc>
          <w:tcPr>
            <w:tcW w:w="2126" w:type="dxa"/>
            <w:noWrap/>
            <w:hideMark/>
          </w:tcPr>
          <w:p w14:paraId="1C345541" w14:textId="4CCCA7B6"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257,833 </w:t>
            </w:r>
          </w:p>
        </w:tc>
        <w:tc>
          <w:tcPr>
            <w:tcW w:w="1552" w:type="dxa"/>
            <w:noWrap/>
            <w:hideMark/>
          </w:tcPr>
          <w:p w14:paraId="1EB769C5" w14:textId="47B04F09"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324,875 </w:t>
            </w:r>
          </w:p>
        </w:tc>
      </w:tr>
      <w:tr w:rsidR="00021C43" w:rsidRPr="00903982" w14:paraId="09493D82"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1C72B162"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2019</w:t>
            </w:r>
          </w:p>
        </w:tc>
        <w:tc>
          <w:tcPr>
            <w:tcW w:w="1560" w:type="dxa"/>
            <w:noWrap/>
            <w:vAlign w:val="bottom"/>
            <w:hideMark/>
          </w:tcPr>
          <w:p w14:paraId="770BCE32" w14:textId="4F68BA6B"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2,1%</w:t>
            </w:r>
          </w:p>
        </w:tc>
        <w:tc>
          <w:tcPr>
            <w:tcW w:w="2126" w:type="dxa"/>
            <w:noWrap/>
            <w:hideMark/>
          </w:tcPr>
          <w:p w14:paraId="1AF24CF3" w14:textId="6CD14E39"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263,173 </w:t>
            </w:r>
          </w:p>
        </w:tc>
        <w:tc>
          <w:tcPr>
            <w:tcW w:w="1552" w:type="dxa"/>
            <w:noWrap/>
            <w:hideMark/>
          </w:tcPr>
          <w:p w14:paraId="5C7ED89F" w14:textId="6DE0451C"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341,219 </w:t>
            </w:r>
          </w:p>
        </w:tc>
      </w:tr>
      <w:tr w:rsidR="00021C43" w:rsidRPr="00903982" w14:paraId="0DCA3BE2"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59C94D5C"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2020</w:t>
            </w:r>
          </w:p>
        </w:tc>
        <w:tc>
          <w:tcPr>
            <w:tcW w:w="1560" w:type="dxa"/>
            <w:noWrap/>
            <w:vAlign w:val="bottom"/>
            <w:hideMark/>
          </w:tcPr>
          <w:p w14:paraId="1AA9B7E9" w14:textId="323953B3"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2,0%</w:t>
            </w:r>
          </w:p>
        </w:tc>
        <w:tc>
          <w:tcPr>
            <w:tcW w:w="2126" w:type="dxa"/>
            <w:noWrap/>
            <w:hideMark/>
          </w:tcPr>
          <w:p w14:paraId="7C013849" w14:textId="49B68712"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268,421 </w:t>
            </w:r>
          </w:p>
        </w:tc>
        <w:tc>
          <w:tcPr>
            <w:tcW w:w="1552" w:type="dxa"/>
            <w:noWrap/>
            <w:hideMark/>
          </w:tcPr>
          <w:p w14:paraId="55D95622" w14:textId="50C4EBEF"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358,118 </w:t>
            </w:r>
          </w:p>
        </w:tc>
      </w:tr>
      <w:tr w:rsidR="00021C43" w:rsidRPr="00903982" w14:paraId="6D8D53C5"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2268054D"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2021</w:t>
            </w:r>
          </w:p>
        </w:tc>
        <w:tc>
          <w:tcPr>
            <w:tcW w:w="1560" w:type="dxa"/>
            <w:noWrap/>
            <w:vAlign w:val="bottom"/>
            <w:hideMark/>
          </w:tcPr>
          <w:p w14:paraId="0BA0174B" w14:textId="089CD204"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2,0%</w:t>
            </w:r>
          </w:p>
        </w:tc>
        <w:tc>
          <w:tcPr>
            <w:tcW w:w="2126" w:type="dxa"/>
            <w:noWrap/>
            <w:hideMark/>
          </w:tcPr>
          <w:p w14:paraId="17AA5431" w14:textId="1753AF22"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273,870 </w:t>
            </w:r>
          </w:p>
        </w:tc>
        <w:tc>
          <w:tcPr>
            <w:tcW w:w="1552" w:type="dxa"/>
            <w:noWrap/>
            <w:hideMark/>
          </w:tcPr>
          <w:p w14:paraId="7C6C9B43" w14:textId="57F49BDE"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375,983 </w:t>
            </w:r>
          </w:p>
        </w:tc>
      </w:tr>
      <w:tr w:rsidR="00021C43" w:rsidRPr="00903982" w14:paraId="083FCDD6"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61D3A546"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2022</w:t>
            </w:r>
          </w:p>
        </w:tc>
        <w:tc>
          <w:tcPr>
            <w:tcW w:w="1560" w:type="dxa"/>
            <w:noWrap/>
            <w:vAlign w:val="bottom"/>
            <w:hideMark/>
          </w:tcPr>
          <w:p w14:paraId="0F786040" w14:textId="217AAE7F"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2,1%</w:t>
            </w:r>
          </w:p>
        </w:tc>
        <w:tc>
          <w:tcPr>
            <w:tcW w:w="2126" w:type="dxa"/>
            <w:noWrap/>
            <w:hideMark/>
          </w:tcPr>
          <w:p w14:paraId="1811275B" w14:textId="3E50C0D4"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279,566 </w:t>
            </w:r>
          </w:p>
        </w:tc>
        <w:tc>
          <w:tcPr>
            <w:tcW w:w="1552" w:type="dxa"/>
            <w:noWrap/>
            <w:hideMark/>
          </w:tcPr>
          <w:p w14:paraId="651F990F" w14:textId="1D4A0C2A"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394,933 </w:t>
            </w:r>
          </w:p>
        </w:tc>
      </w:tr>
      <w:tr w:rsidR="00021C43" w:rsidRPr="00903982" w14:paraId="14C6AF21"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12C8481D"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2023</w:t>
            </w:r>
          </w:p>
        </w:tc>
        <w:tc>
          <w:tcPr>
            <w:tcW w:w="1560" w:type="dxa"/>
            <w:noWrap/>
            <w:vAlign w:val="bottom"/>
            <w:hideMark/>
          </w:tcPr>
          <w:p w14:paraId="28832AF2" w14:textId="5B0D6780"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2,0%</w:t>
            </w:r>
          </w:p>
        </w:tc>
        <w:tc>
          <w:tcPr>
            <w:tcW w:w="2126" w:type="dxa"/>
            <w:noWrap/>
            <w:hideMark/>
          </w:tcPr>
          <w:p w14:paraId="4B135869" w14:textId="61B0BAB7"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285,169 </w:t>
            </w:r>
          </w:p>
        </w:tc>
        <w:tc>
          <w:tcPr>
            <w:tcW w:w="1552" w:type="dxa"/>
            <w:noWrap/>
            <w:hideMark/>
          </w:tcPr>
          <w:p w14:paraId="40338D76" w14:textId="60F94D83"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414,531 </w:t>
            </w:r>
          </w:p>
        </w:tc>
      </w:tr>
      <w:tr w:rsidR="00021C43" w:rsidRPr="00903982" w14:paraId="0A9364DA"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25392E80"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2024</w:t>
            </w:r>
          </w:p>
        </w:tc>
        <w:tc>
          <w:tcPr>
            <w:tcW w:w="1560" w:type="dxa"/>
            <w:noWrap/>
            <w:vAlign w:val="bottom"/>
            <w:hideMark/>
          </w:tcPr>
          <w:p w14:paraId="1DB9B01B" w14:textId="7346D939"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2,1%</w:t>
            </w:r>
          </w:p>
        </w:tc>
        <w:tc>
          <w:tcPr>
            <w:tcW w:w="2126" w:type="dxa"/>
            <w:noWrap/>
            <w:hideMark/>
          </w:tcPr>
          <w:p w14:paraId="77A5B9D9" w14:textId="68465B89"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291,299 </w:t>
            </w:r>
          </w:p>
        </w:tc>
        <w:tc>
          <w:tcPr>
            <w:tcW w:w="1552" w:type="dxa"/>
            <w:noWrap/>
            <w:hideMark/>
          </w:tcPr>
          <w:p w14:paraId="2BD7A2F5" w14:textId="6C74D51F"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435,722 </w:t>
            </w:r>
          </w:p>
        </w:tc>
      </w:tr>
      <w:tr w:rsidR="00021C43" w:rsidRPr="00903982" w14:paraId="41279675"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5390BC7C"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2025</w:t>
            </w:r>
          </w:p>
        </w:tc>
        <w:tc>
          <w:tcPr>
            <w:tcW w:w="1560" w:type="dxa"/>
            <w:noWrap/>
            <w:vAlign w:val="bottom"/>
            <w:hideMark/>
          </w:tcPr>
          <w:p w14:paraId="729BD136" w14:textId="59466291"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2,0%</w:t>
            </w:r>
          </w:p>
        </w:tc>
        <w:tc>
          <w:tcPr>
            <w:tcW w:w="2126" w:type="dxa"/>
            <w:noWrap/>
            <w:hideMark/>
          </w:tcPr>
          <w:p w14:paraId="5EB60199" w14:textId="20C07AB7"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297,034 </w:t>
            </w:r>
          </w:p>
        </w:tc>
        <w:tc>
          <w:tcPr>
            <w:tcW w:w="1552" w:type="dxa"/>
            <w:noWrap/>
            <w:hideMark/>
          </w:tcPr>
          <w:p w14:paraId="07682387" w14:textId="625DFC46"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457,185 </w:t>
            </w:r>
          </w:p>
        </w:tc>
      </w:tr>
      <w:tr w:rsidR="00021C43" w:rsidRPr="00903982" w14:paraId="39B954F1"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26C3EAFC"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lastRenderedPageBreak/>
              <w:t>2026</w:t>
            </w:r>
          </w:p>
        </w:tc>
        <w:tc>
          <w:tcPr>
            <w:tcW w:w="1560" w:type="dxa"/>
            <w:noWrap/>
            <w:vAlign w:val="bottom"/>
            <w:hideMark/>
          </w:tcPr>
          <w:p w14:paraId="451A8F47" w14:textId="47816387"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1,9%</w:t>
            </w:r>
          </w:p>
        </w:tc>
        <w:tc>
          <w:tcPr>
            <w:tcW w:w="2126" w:type="dxa"/>
            <w:noWrap/>
            <w:hideMark/>
          </w:tcPr>
          <w:p w14:paraId="26F76672" w14:textId="4850AA7B"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302,795 </w:t>
            </w:r>
          </w:p>
        </w:tc>
        <w:tc>
          <w:tcPr>
            <w:tcW w:w="1552" w:type="dxa"/>
            <w:noWrap/>
            <w:hideMark/>
          </w:tcPr>
          <w:p w14:paraId="7C21DA1C" w14:textId="0CF6785F"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479,566 </w:t>
            </w:r>
          </w:p>
        </w:tc>
      </w:tr>
      <w:tr w:rsidR="00021C43" w:rsidRPr="00903982" w14:paraId="514B6285"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15FC6344"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2027</w:t>
            </w:r>
          </w:p>
        </w:tc>
        <w:tc>
          <w:tcPr>
            <w:tcW w:w="1560" w:type="dxa"/>
            <w:noWrap/>
            <w:vAlign w:val="bottom"/>
            <w:hideMark/>
          </w:tcPr>
          <w:p w14:paraId="0E78E6A5" w14:textId="64F5C480"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1,9%</w:t>
            </w:r>
          </w:p>
        </w:tc>
        <w:tc>
          <w:tcPr>
            <w:tcW w:w="2126" w:type="dxa"/>
            <w:noWrap/>
            <w:hideMark/>
          </w:tcPr>
          <w:p w14:paraId="4F351198" w14:textId="45A6811C"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308,399 </w:t>
            </w:r>
          </w:p>
        </w:tc>
        <w:tc>
          <w:tcPr>
            <w:tcW w:w="1552" w:type="dxa"/>
            <w:noWrap/>
            <w:hideMark/>
          </w:tcPr>
          <w:p w14:paraId="41F0E343" w14:textId="1ECB6F82"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502,607 </w:t>
            </w:r>
          </w:p>
        </w:tc>
      </w:tr>
      <w:tr w:rsidR="00021C43" w:rsidRPr="00903982" w14:paraId="5584832A"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540F78B5"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2028</w:t>
            </w:r>
          </w:p>
        </w:tc>
        <w:tc>
          <w:tcPr>
            <w:tcW w:w="1560" w:type="dxa"/>
            <w:noWrap/>
            <w:vAlign w:val="bottom"/>
            <w:hideMark/>
          </w:tcPr>
          <w:p w14:paraId="7096A346" w14:textId="29CB64F3"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2,0%</w:t>
            </w:r>
          </w:p>
        </w:tc>
        <w:tc>
          <w:tcPr>
            <w:tcW w:w="2126" w:type="dxa"/>
            <w:noWrap/>
            <w:hideMark/>
          </w:tcPr>
          <w:p w14:paraId="5E02A75E" w14:textId="53D6AB92"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314,433 </w:t>
            </w:r>
          </w:p>
        </w:tc>
        <w:tc>
          <w:tcPr>
            <w:tcW w:w="1552" w:type="dxa"/>
            <w:noWrap/>
            <w:hideMark/>
          </w:tcPr>
          <w:p w14:paraId="26DBB391" w14:textId="6EA6ED8C"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527,302 </w:t>
            </w:r>
          </w:p>
        </w:tc>
      </w:tr>
      <w:tr w:rsidR="00021C43" w:rsidRPr="00903982" w14:paraId="393CCD7C" w14:textId="77777777" w:rsidTr="00E63C09">
        <w:trPr>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57A8B2A8"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2029</w:t>
            </w:r>
          </w:p>
        </w:tc>
        <w:tc>
          <w:tcPr>
            <w:tcW w:w="1560" w:type="dxa"/>
            <w:noWrap/>
            <w:vAlign w:val="bottom"/>
            <w:hideMark/>
          </w:tcPr>
          <w:p w14:paraId="7DDAAD0C" w14:textId="61E504F3"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1,8%</w:t>
            </w:r>
          </w:p>
        </w:tc>
        <w:tc>
          <w:tcPr>
            <w:tcW w:w="2126" w:type="dxa"/>
            <w:noWrap/>
            <w:hideMark/>
          </w:tcPr>
          <w:p w14:paraId="492D9347" w14:textId="0607BDD3"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320,162 </w:t>
            </w:r>
          </w:p>
        </w:tc>
        <w:tc>
          <w:tcPr>
            <w:tcW w:w="1552" w:type="dxa"/>
            <w:noWrap/>
            <w:hideMark/>
          </w:tcPr>
          <w:p w14:paraId="7477F69D" w14:textId="72847DA0" w:rsidR="00021C43" w:rsidRPr="00903982" w:rsidRDefault="00021C43" w:rsidP="00865AF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552,479 </w:t>
            </w:r>
          </w:p>
        </w:tc>
      </w:tr>
      <w:tr w:rsidR="00021C43" w:rsidRPr="00903982" w14:paraId="22B8A3A8" w14:textId="77777777" w:rsidTr="00E63C09">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937" w:type="dxa"/>
            <w:noWrap/>
            <w:hideMark/>
          </w:tcPr>
          <w:p w14:paraId="6CA3EFFA" w14:textId="77777777" w:rsidR="00021C43" w:rsidRPr="00903982" w:rsidRDefault="00021C43" w:rsidP="00865AF1">
            <w:pPr>
              <w:jc w:val="right"/>
              <w:rPr>
                <w:rFonts w:ascii="Calibri" w:eastAsia="Times New Roman" w:hAnsi="Calibri"/>
                <w:b w:val="0"/>
                <w:color w:val="000000"/>
                <w:sz w:val="22"/>
                <w:szCs w:val="22"/>
                <w:lang w:val="es-ES_tradnl" w:eastAsia="es-ES"/>
              </w:rPr>
            </w:pPr>
            <w:r w:rsidRPr="00903982">
              <w:rPr>
                <w:rFonts w:ascii="Calibri" w:eastAsia="Times New Roman" w:hAnsi="Calibri"/>
                <w:b w:val="0"/>
                <w:color w:val="000000"/>
                <w:sz w:val="22"/>
                <w:szCs w:val="22"/>
                <w:lang w:val="es-ES_tradnl" w:eastAsia="es-ES"/>
              </w:rPr>
              <w:t>2030</w:t>
            </w:r>
          </w:p>
        </w:tc>
        <w:tc>
          <w:tcPr>
            <w:tcW w:w="1560" w:type="dxa"/>
            <w:noWrap/>
            <w:vAlign w:val="bottom"/>
            <w:hideMark/>
          </w:tcPr>
          <w:p w14:paraId="683A332B" w14:textId="38B669DD"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eastAsia="es-ES"/>
              </w:rPr>
            </w:pPr>
            <w:r w:rsidRPr="00903982">
              <w:rPr>
                <w:rFonts w:ascii="Calibri" w:hAnsi="Calibri"/>
                <w:color w:val="000000"/>
                <w:sz w:val="22"/>
                <w:szCs w:val="22"/>
                <w:lang w:val="es-ES_tradnl"/>
              </w:rPr>
              <w:t>1,8%</w:t>
            </w:r>
          </w:p>
        </w:tc>
        <w:tc>
          <w:tcPr>
            <w:tcW w:w="2126" w:type="dxa"/>
            <w:noWrap/>
            <w:hideMark/>
          </w:tcPr>
          <w:p w14:paraId="1BC9E173" w14:textId="037B3819"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326,028 </w:t>
            </w:r>
          </w:p>
        </w:tc>
        <w:tc>
          <w:tcPr>
            <w:tcW w:w="1552" w:type="dxa"/>
            <w:noWrap/>
            <w:hideMark/>
          </w:tcPr>
          <w:p w14:paraId="2ADAB0AD" w14:textId="714F868E" w:rsidR="00021C43" w:rsidRPr="00903982" w:rsidRDefault="00021C43" w:rsidP="00865AF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sz w:val="22"/>
                <w:szCs w:val="22"/>
                <w:lang w:val="es-ES_tradnl" w:eastAsia="es-ES"/>
              </w:rPr>
            </w:pPr>
            <w:r w:rsidRPr="00903982">
              <w:rPr>
                <w:rFonts w:asciiTheme="minorHAnsi" w:hAnsiTheme="minorHAnsi"/>
                <w:sz w:val="22"/>
                <w:lang w:val="es-ES_tradnl"/>
              </w:rPr>
              <w:t xml:space="preserve"> 578,918 </w:t>
            </w:r>
          </w:p>
        </w:tc>
      </w:tr>
    </w:tbl>
    <w:p w14:paraId="38389108" w14:textId="77777777" w:rsidR="00146909" w:rsidRPr="00903982" w:rsidRDefault="00146909" w:rsidP="00146909">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Prospectiva del Sector Eléctrico 2016-2030 de la Secretaría de Energía de México e información económica del Banco Mundial.</w:t>
      </w:r>
    </w:p>
    <w:p w14:paraId="61EB127C" w14:textId="7885DE80" w:rsidR="00E9421D" w:rsidRPr="00903982" w:rsidRDefault="00E9421D" w:rsidP="00E9421D">
      <w:pPr>
        <w:spacing w:after="100" w:afterAutospacing="1"/>
        <w:jc w:val="both"/>
        <w:rPr>
          <w:rFonts w:asciiTheme="minorHAnsi" w:hAnsiTheme="minorHAnsi"/>
          <w:sz w:val="22"/>
          <w:szCs w:val="22"/>
          <w:lang w:val="es-ES_tradnl"/>
        </w:rPr>
      </w:pPr>
      <w:r w:rsidRPr="00903982">
        <w:rPr>
          <w:rFonts w:asciiTheme="minorHAnsi" w:hAnsiTheme="minorHAnsi" w:cs="Arial"/>
          <w:bCs/>
          <w:sz w:val="22"/>
          <w:szCs w:val="22"/>
          <w:lang w:val="es-ES_tradnl"/>
        </w:rPr>
        <w:t>Luego para determinar la composición de la matriz de los años 2016 a 2030,</w:t>
      </w:r>
      <w:r w:rsidRPr="00903982">
        <w:rPr>
          <w:rFonts w:asciiTheme="minorHAnsi" w:hAnsiTheme="minorHAnsi"/>
          <w:sz w:val="22"/>
          <w:szCs w:val="22"/>
          <w:lang w:val="es-ES_tradnl"/>
        </w:rPr>
        <w:t xml:space="preserve"> se asume que se mantiene el porcentaje actual de capacidad instalada para las distintas tecnologías, lo que implica que no se realiza la transición a tecnologías de generación limpias. Considerando lo anterior, el porcentaje de energía generado por tipo de fuente no varía entre los años 2016 y 2030. Si bien se asume que los porcentajes de energía se mantienen, la energía a generar aumentará con el paso de los años.</w:t>
      </w:r>
      <w:r w:rsidR="008537F0" w:rsidRPr="00903982">
        <w:rPr>
          <w:rFonts w:asciiTheme="minorHAnsi" w:hAnsiTheme="minorHAnsi"/>
          <w:sz w:val="22"/>
          <w:szCs w:val="22"/>
          <w:lang w:val="es-ES_tradnl"/>
        </w:rPr>
        <w:t xml:space="preserve"> A </w:t>
      </w:r>
      <w:r w:rsidR="00F444B2" w:rsidRPr="00903982">
        <w:rPr>
          <w:rFonts w:asciiTheme="minorHAnsi" w:hAnsiTheme="minorHAnsi"/>
          <w:sz w:val="22"/>
          <w:szCs w:val="22"/>
          <w:lang w:val="es-ES_tradnl"/>
        </w:rPr>
        <w:t>continuación,</w:t>
      </w:r>
      <w:r w:rsidR="008537F0" w:rsidRPr="00903982">
        <w:rPr>
          <w:rFonts w:asciiTheme="minorHAnsi" w:hAnsiTheme="minorHAnsi"/>
          <w:sz w:val="22"/>
          <w:szCs w:val="22"/>
          <w:lang w:val="es-ES_tradnl"/>
        </w:rPr>
        <w:t xml:space="preserve"> se presenta la composición de generación eléctrica a considerar.</w:t>
      </w:r>
    </w:p>
    <w:p w14:paraId="72F1B31A" w14:textId="6DF1B790" w:rsidR="00580C19" w:rsidRPr="00903982" w:rsidRDefault="00580C19" w:rsidP="00E230D8">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t xml:space="preserve">Ilustración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Ilustración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1</w:t>
      </w:r>
      <w:r w:rsidRPr="00903982">
        <w:rPr>
          <w:rFonts w:asciiTheme="minorHAnsi" w:hAnsiTheme="minorHAnsi"/>
          <w:b w:val="0"/>
          <w:sz w:val="22"/>
          <w:lang w:val="es-ES_tradnl"/>
        </w:rPr>
        <w:fldChar w:fldCharType="end"/>
      </w:r>
      <w:r w:rsidR="004C68D9" w:rsidRPr="00903982">
        <w:rPr>
          <w:rFonts w:asciiTheme="minorHAnsi" w:hAnsiTheme="minorHAnsi"/>
          <w:b w:val="0"/>
          <w:sz w:val="22"/>
          <w:lang w:val="es-ES_tradnl"/>
        </w:rPr>
        <w:t>Capacidad instalada</w:t>
      </w:r>
      <w:r w:rsidRPr="00903982">
        <w:rPr>
          <w:rFonts w:asciiTheme="minorHAnsi" w:hAnsiTheme="minorHAnsi"/>
          <w:b w:val="0"/>
          <w:sz w:val="22"/>
          <w:lang w:val="es-ES_tradnl"/>
        </w:rPr>
        <w:t xml:space="preserve"> por tipo de tecnología</w:t>
      </w:r>
    </w:p>
    <w:p w14:paraId="7F52923A" w14:textId="5A8B05B5" w:rsidR="00F02501" w:rsidRPr="00903982" w:rsidRDefault="004C68D9" w:rsidP="005F2779">
      <w:pPr>
        <w:spacing w:after="100" w:afterAutospacing="1"/>
        <w:jc w:val="center"/>
        <w:rPr>
          <w:rFonts w:asciiTheme="minorHAnsi" w:hAnsiTheme="minorHAnsi"/>
          <w:sz w:val="22"/>
          <w:szCs w:val="22"/>
          <w:lang w:val="es-ES_tradnl"/>
        </w:rPr>
      </w:pPr>
      <w:r w:rsidRPr="00903982">
        <w:rPr>
          <w:noProof/>
          <w:lang w:val="en-US" w:eastAsia="en-US"/>
        </w:rPr>
        <w:drawing>
          <wp:inline distT="0" distB="0" distL="0" distR="0" wp14:anchorId="2266D682" wp14:editId="6D1C0D7D">
            <wp:extent cx="4572000" cy="277177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1D360C9" w14:textId="6C2BD09E" w:rsidR="00E51FB1" w:rsidRPr="00903982" w:rsidRDefault="00E51FB1" w:rsidP="00E51FB1">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Prospectiva del Sector Eléctrico 2016-2030 de la Secretaría de Energía de México</w:t>
      </w:r>
    </w:p>
    <w:p w14:paraId="42B7AF33" w14:textId="54B0C5F7" w:rsidR="004263ED" w:rsidRPr="00903982" w:rsidRDefault="00AC1B50" w:rsidP="00AC1B50">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 xml:space="preserve">Entre el </w:t>
      </w:r>
      <w:r w:rsidR="00E51FB1" w:rsidRPr="00903982">
        <w:rPr>
          <w:rFonts w:asciiTheme="minorHAnsi" w:hAnsiTheme="minorHAnsi"/>
          <w:sz w:val="22"/>
          <w:szCs w:val="22"/>
          <w:lang w:val="es-ES_tradnl"/>
        </w:rPr>
        <w:t xml:space="preserve">2016 </w:t>
      </w:r>
      <w:r w:rsidRPr="00903982">
        <w:rPr>
          <w:rFonts w:asciiTheme="minorHAnsi" w:hAnsiTheme="minorHAnsi"/>
          <w:sz w:val="22"/>
          <w:szCs w:val="22"/>
          <w:lang w:val="es-ES_tradnl"/>
        </w:rPr>
        <w:t xml:space="preserve">y 2030 la </w:t>
      </w:r>
      <w:r w:rsidR="005F2779" w:rsidRPr="00903982">
        <w:rPr>
          <w:rFonts w:asciiTheme="minorHAnsi" w:hAnsiTheme="minorHAnsi"/>
          <w:sz w:val="22"/>
          <w:szCs w:val="22"/>
          <w:lang w:val="es-ES_tradnl"/>
        </w:rPr>
        <w:t>generación</w:t>
      </w:r>
      <w:r w:rsidRPr="00903982">
        <w:rPr>
          <w:rFonts w:asciiTheme="minorHAnsi" w:hAnsiTheme="minorHAnsi"/>
          <w:sz w:val="22"/>
          <w:szCs w:val="22"/>
          <w:lang w:val="es-ES_tradnl"/>
        </w:rPr>
        <w:t xml:space="preserve"> eléctrica </w:t>
      </w:r>
      <w:r w:rsidR="00E51FB1" w:rsidRPr="00903982">
        <w:rPr>
          <w:rFonts w:asciiTheme="minorHAnsi" w:hAnsiTheme="minorHAnsi"/>
          <w:sz w:val="22"/>
          <w:szCs w:val="22"/>
          <w:lang w:val="es-ES_tradnl"/>
        </w:rPr>
        <w:t xml:space="preserve">aumenta un </w:t>
      </w:r>
      <w:r w:rsidR="00E9421D" w:rsidRPr="00903982">
        <w:rPr>
          <w:rFonts w:asciiTheme="minorHAnsi" w:hAnsiTheme="minorHAnsi"/>
          <w:sz w:val="22"/>
          <w:szCs w:val="22"/>
          <w:lang w:val="es-ES_tradnl"/>
        </w:rPr>
        <w:t>100</w:t>
      </w:r>
      <w:r w:rsidR="00E51FB1" w:rsidRPr="00903982">
        <w:rPr>
          <w:rFonts w:asciiTheme="minorHAnsi" w:hAnsiTheme="minorHAnsi"/>
          <w:sz w:val="22"/>
          <w:szCs w:val="22"/>
          <w:lang w:val="es-ES_tradnl"/>
        </w:rPr>
        <w:t>%</w:t>
      </w:r>
      <w:r w:rsidRPr="00903982">
        <w:rPr>
          <w:rFonts w:asciiTheme="minorHAnsi" w:hAnsiTheme="minorHAnsi"/>
          <w:sz w:val="22"/>
          <w:szCs w:val="22"/>
          <w:lang w:val="es-ES_tradnl"/>
        </w:rPr>
        <w:t xml:space="preserve">, llegando a </w:t>
      </w:r>
      <w:r w:rsidR="00E9421D" w:rsidRPr="00903982">
        <w:rPr>
          <w:rFonts w:asciiTheme="minorHAnsi" w:hAnsiTheme="minorHAnsi"/>
          <w:sz w:val="22"/>
          <w:szCs w:val="22"/>
          <w:lang w:val="es-ES_tradnl"/>
        </w:rPr>
        <w:t>579</w:t>
      </w:r>
      <w:r w:rsidRPr="00903982">
        <w:rPr>
          <w:rFonts w:asciiTheme="minorHAnsi" w:hAnsiTheme="minorHAnsi"/>
          <w:sz w:val="22"/>
          <w:szCs w:val="22"/>
          <w:lang w:val="es-ES_tradnl"/>
        </w:rPr>
        <w:t xml:space="preserve"> mil GWh. </w:t>
      </w:r>
    </w:p>
    <w:p w14:paraId="6B43BF7A" w14:textId="34D6AB12" w:rsidR="00A45CB5" w:rsidRPr="00903982" w:rsidRDefault="00A45CB5" w:rsidP="00AC1B50">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 xml:space="preserve">La línea base </w:t>
      </w:r>
      <w:r w:rsidR="005F2779" w:rsidRPr="00903982">
        <w:rPr>
          <w:rFonts w:asciiTheme="minorHAnsi" w:hAnsiTheme="minorHAnsi"/>
          <w:sz w:val="22"/>
          <w:szCs w:val="22"/>
          <w:lang w:val="es-ES_tradnl"/>
        </w:rPr>
        <w:t xml:space="preserve">de generación de electricidad conlleva </w:t>
      </w:r>
      <w:r w:rsidRPr="00903982">
        <w:rPr>
          <w:rFonts w:asciiTheme="minorHAnsi" w:hAnsiTheme="minorHAnsi"/>
          <w:sz w:val="22"/>
          <w:szCs w:val="22"/>
          <w:lang w:val="es-ES_tradnl"/>
        </w:rPr>
        <w:t>un</w:t>
      </w:r>
      <w:r w:rsidR="00056A92" w:rsidRPr="00903982">
        <w:rPr>
          <w:rFonts w:asciiTheme="minorHAnsi" w:hAnsiTheme="minorHAnsi"/>
          <w:sz w:val="22"/>
          <w:szCs w:val="22"/>
          <w:lang w:val="es-ES_tradnl"/>
        </w:rPr>
        <w:t>a línea base</w:t>
      </w:r>
      <w:r w:rsidRPr="00903982">
        <w:rPr>
          <w:rFonts w:asciiTheme="minorHAnsi" w:hAnsiTheme="minorHAnsi"/>
          <w:sz w:val="22"/>
          <w:szCs w:val="22"/>
          <w:lang w:val="es-ES_tradnl"/>
        </w:rPr>
        <w:t xml:space="preserve"> de emisiones de CO2 </w:t>
      </w:r>
      <w:r w:rsidR="00920401" w:rsidRPr="00903982">
        <w:rPr>
          <w:rFonts w:asciiTheme="minorHAnsi" w:hAnsiTheme="minorHAnsi"/>
          <w:sz w:val="22"/>
          <w:szCs w:val="22"/>
          <w:lang w:val="es-ES_tradnl"/>
        </w:rPr>
        <w:t xml:space="preserve">equivalente </w:t>
      </w:r>
      <w:r w:rsidRPr="00903982">
        <w:rPr>
          <w:rFonts w:asciiTheme="minorHAnsi" w:hAnsiTheme="minorHAnsi"/>
          <w:sz w:val="22"/>
          <w:szCs w:val="22"/>
          <w:lang w:val="es-ES_tradnl"/>
        </w:rPr>
        <w:t xml:space="preserve">desde el </w:t>
      </w:r>
      <w:r w:rsidR="00C6225A" w:rsidRPr="00903982">
        <w:rPr>
          <w:rFonts w:asciiTheme="minorHAnsi" w:hAnsiTheme="minorHAnsi"/>
          <w:sz w:val="22"/>
          <w:szCs w:val="22"/>
          <w:lang w:val="es-ES_tradnl"/>
        </w:rPr>
        <w:t xml:space="preserve">2016 </w:t>
      </w:r>
      <w:r w:rsidRPr="00903982">
        <w:rPr>
          <w:rFonts w:asciiTheme="minorHAnsi" w:hAnsiTheme="minorHAnsi"/>
          <w:sz w:val="22"/>
          <w:szCs w:val="22"/>
          <w:lang w:val="es-ES_tradnl"/>
        </w:rPr>
        <w:t xml:space="preserve">al 2030.  Estas emisiones corresponden al producto de la quema de combustibles fósiles </w:t>
      </w:r>
      <w:r w:rsidR="00920401" w:rsidRPr="00903982">
        <w:rPr>
          <w:rFonts w:asciiTheme="minorHAnsi" w:hAnsiTheme="minorHAnsi"/>
          <w:sz w:val="22"/>
          <w:szCs w:val="22"/>
          <w:lang w:val="es-ES_tradnl"/>
        </w:rPr>
        <w:t>primarios para la producción de energía eléctrica.</w:t>
      </w:r>
    </w:p>
    <w:p w14:paraId="5B359585" w14:textId="77777777" w:rsidR="00574C78" w:rsidRPr="00903982" w:rsidRDefault="00574C78" w:rsidP="00574C78">
      <w:pPr>
        <w:spacing w:after="100" w:afterAutospacing="1"/>
        <w:jc w:val="both"/>
        <w:rPr>
          <w:rFonts w:asciiTheme="minorHAnsi" w:hAnsiTheme="minorHAnsi"/>
          <w:b/>
          <w:sz w:val="22"/>
          <w:szCs w:val="22"/>
          <w:lang w:val="es-ES_tradnl"/>
        </w:rPr>
      </w:pPr>
    </w:p>
    <w:p w14:paraId="6D1AE888" w14:textId="42340E14" w:rsidR="001D557A" w:rsidRPr="00903982" w:rsidRDefault="001D557A" w:rsidP="00574C78">
      <w:pPr>
        <w:spacing w:after="100" w:afterAutospacing="1"/>
        <w:jc w:val="both"/>
        <w:rPr>
          <w:rFonts w:asciiTheme="minorHAnsi" w:hAnsiTheme="minorHAnsi"/>
          <w:b/>
          <w:sz w:val="22"/>
          <w:szCs w:val="22"/>
          <w:lang w:val="es-ES_tradnl"/>
        </w:rPr>
      </w:pPr>
      <w:r w:rsidRPr="00903982">
        <w:rPr>
          <w:rFonts w:asciiTheme="minorHAnsi" w:hAnsiTheme="minorHAnsi"/>
          <w:b/>
          <w:sz w:val="22"/>
          <w:szCs w:val="22"/>
          <w:lang w:val="es-ES_tradnl"/>
        </w:rPr>
        <w:t xml:space="preserve">Determinación </w:t>
      </w:r>
      <w:r w:rsidR="00574C78" w:rsidRPr="00903982">
        <w:rPr>
          <w:rFonts w:asciiTheme="minorHAnsi" w:hAnsiTheme="minorHAnsi"/>
          <w:b/>
          <w:sz w:val="22"/>
          <w:szCs w:val="22"/>
          <w:lang w:val="es-ES_tradnl"/>
        </w:rPr>
        <w:t xml:space="preserve">de </w:t>
      </w:r>
      <w:r w:rsidR="008F6000" w:rsidRPr="00903982">
        <w:rPr>
          <w:rFonts w:asciiTheme="minorHAnsi" w:hAnsiTheme="minorHAnsi"/>
          <w:b/>
          <w:sz w:val="22"/>
          <w:szCs w:val="22"/>
          <w:lang w:val="es-ES_tradnl"/>
        </w:rPr>
        <w:t>M</w:t>
      </w:r>
      <w:r w:rsidR="005332C6" w:rsidRPr="00903982">
        <w:rPr>
          <w:rFonts w:asciiTheme="minorHAnsi" w:hAnsiTheme="minorHAnsi"/>
          <w:b/>
          <w:sz w:val="22"/>
          <w:szCs w:val="22"/>
          <w:lang w:val="es-ES_tradnl"/>
        </w:rPr>
        <w:t xml:space="preserve">atriz </w:t>
      </w:r>
      <w:r w:rsidR="008F6000" w:rsidRPr="00903982">
        <w:rPr>
          <w:rFonts w:asciiTheme="minorHAnsi" w:hAnsiTheme="minorHAnsi"/>
          <w:b/>
          <w:sz w:val="22"/>
          <w:szCs w:val="22"/>
          <w:lang w:val="es-ES_tradnl"/>
        </w:rPr>
        <w:t>E</w:t>
      </w:r>
      <w:r w:rsidR="005332C6" w:rsidRPr="00903982">
        <w:rPr>
          <w:rFonts w:asciiTheme="minorHAnsi" w:hAnsiTheme="minorHAnsi"/>
          <w:b/>
          <w:sz w:val="22"/>
          <w:szCs w:val="22"/>
          <w:lang w:val="es-ES_tradnl"/>
        </w:rPr>
        <w:t xml:space="preserve">nergética de la </w:t>
      </w:r>
      <w:r w:rsidR="008F6000" w:rsidRPr="00903982">
        <w:rPr>
          <w:rFonts w:asciiTheme="minorHAnsi" w:hAnsiTheme="minorHAnsi"/>
          <w:b/>
          <w:sz w:val="22"/>
          <w:szCs w:val="22"/>
          <w:lang w:val="es-ES_tradnl"/>
        </w:rPr>
        <w:t>L</w:t>
      </w:r>
      <w:r w:rsidR="005332C6" w:rsidRPr="00903982">
        <w:rPr>
          <w:rFonts w:asciiTheme="minorHAnsi" w:hAnsiTheme="minorHAnsi"/>
          <w:b/>
          <w:sz w:val="22"/>
          <w:szCs w:val="22"/>
          <w:lang w:val="es-ES_tradnl"/>
        </w:rPr>
        <w:t xml:space="preserve">ínea </w:t>
      </w:r>
      <w:r w:rsidR="008F6000" w:rsidRPr="00903982">
        <w:rPr>
          <w:rFonts w:asciiTheme="minorHAnsi" w:hAnsiTheme="minorHAnsi"/>
          <w:b/>
          <w:sz w:val="22"/>
          <w:szCs w:val="22"/>
          <w:lang w:val="es-ES_tradnl"/>
        </w:rPr>
        <w:t>B</w:t>
      </w:r>
      <w:r w:rsidR="005332C6" w:rsidRPr="00903982">
        <w:rPr>
          <w:rFonts w:asciiTheme="minorHAnsi" w:hAnsiTheme="minorHAnsi"/>
          <w:b/>
          <w:sz w:val="22"/>
          <w:szCs w:val="22"/>
          <w:lang w:val="es-ES_tradnl"/>
        </w:rPr>
        <w:t>ase</w:t>
      </w:r>
    </w:p>
    <w:p w14:paraId="300381CB" w14:textId="64BF2B67" w:rsidR="001D557A" w:rsidRPr="00903982" w:rsidRDefault="001D557A" w:rsidP="00574C78">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lastRenderedPageBreak/>
        <w:t xml:space="preserve">Una vez determinada la energía a generar en el caso de no aplicar programas de eficiencia energética se procedió a </w:t>
      </w:r>
      <w:r w:rsidR="00790D40" w:rsidRPr="00903982">
        <w:rPr>
          <w:rFonts w:asciiTheme="minorHAnsi" w:hAnsiTheme="minorHAnsi"/>
          <w:sz w:val="22"/>
          <w:szCs w:val="22"/>
          <w:lang w:val="es-ES_tradnl"/>
        </w:rPr>
        <w:t>determinar cómo evolucionaría la matriz energética</w:t>
      </w:r>
      <w:r w:rsidR="005332C6" w:rsidRPr="00903982">
        <w:rPr>
          <w:rFonts w:asciiTheme="minorHAnsi" w:hAnsiTheme="minorHAnsi"/>
          <w:sz w:val="22"/>
          <w:szCs w:val="22"/>
          <w:lang w:val="es-ES_tradnl"/>
        </w:rPr>
        <w:t>, pero sin un incremento de las energías limpias</w:t>
      </w:r>
      <w:r w:rsidR="00790D40" w:rsidRPr="00903982">
        <w:rPr>
          <w:rFonts w:asciiTheme="minorHAnsi" w:hAnsiTheme="minorHAnsi"/>
          <w:sz w:val="22"/>
          <w:szCs w:val="22"/>
          <w:lang w:val="es-ES_tradnl"/>
        </w:rPr>
        <w:t>.</w:t>
      </w:r>
      <w:r w:rsidR="008537F0" w:rsidRPr="00903982">
        <w:rPr>
          <w:rFonts w:asciiTheme="minorHAnsi" w:hAnsiTheme="minorHAnsi"/>
          <w:sz w:val="22"/>
          <w:szCs w:val="22"/>
          <w:lang w:val="es-ES_tradnl"/>
        </w:rPr>
        <w:t xml:space="preserve"> </w:t>
      </w:r>
      <w:r w:rsidR="005332C6" w:rsidRPr="00903982">
        <w:rPr>
          <w:rFonts w:asciiTheme="minorHAnsi" w:hAnsiTheme="minorHAnsi"/>
          <w:sz w:val="22"/>
          <w:szCs w:val="22"/>
          <w:lang w:val="es-ES_tradnl"/>
        </w:rPr>
        <w:t>Para obtener esta matriz se asume que la composición de la matriz en el 2016 se proyecta de manera propo</w:t>
      </w:r>
      <w:r w:rsidR="00903982">
        <w:rPr>
          <w:rFonts w:asciiTheme="minorHAnsi" w:hAnsiTheme="minorHAnsi"/>
          <w:sz w:val="22"/>
          <w:szCs w:val="22"/>
          <w:lang w:val="es-ES_tradnl"/>
        </w:rPr>
        <w:t>r</w:t>
      </w:r>
      <w:r w:rsidR="005332C6" w:rsidRPr="00903982">
        <w:rPr>
          <w:rFonts w:asciiTheme="minorHAnsi" w:hAnsiTheme="minorHAnsi"/>
          <w:sz w:val="22"/>
          <w:szCs w:val="22"/>
          <w:lang w:val="es-ES_tradnl"/>
        </w:rPr>
        <w:t>cional por tecnología hasta el 2030.</w:t>
      </w:r>
      <w:r w:rsidR="008537F0" w:rsidRPr="00903982">
        <w:rPr>
          <w:rFonts w:asciiTheme="minorHAnsi" w:hAnsiTheme="minorHAnsi"/>
          <w:sz w:val="22"/>
          <w:szCs w:val="22"/>
          <w:lang w:val="es-ES_tradnl"/>
        </w:rPr>
        <w:t xml:space="preserve"> </w:t>
      </w:r>
      <w:r w:rsidR="005332C6" w:rsidRPr="00903982">
        <w:rPr>
          <w:rFonts w:asciiTheme="minorHAnsi" w:hAnsiTheme="minorHAnsi"/>
          <w:sz w:val="22"/>
          <w:szCs w:val="22"/>
          <w:lang w:val="es-ES_tradnl"/>
        </w:rPr>
        <w:t xml:space="preserve"> En base a esta línea base se puede esperar que el escenario con mayor incorpor</w:t>
      </w:r>
      <w:r w:rsidR="00903982">
        <w:rPr>
          <w:rFonts w:asciiTheme="minorHAnsi" w:hAnsiTheme="minorHAnsi"/>
          <w:sz w:val="22"/>
          <w:szCs w:val="22"/>
          <w:lang w:val="es-ES_tradnl"/>
        </w:rPr>
        <w:t>a</w:t>
      </w:r>
      <w:r w:rsidR="005332C6" w:rsidRPr="00903982">
        <w:rPr>
          <w:rFonts w:asciiTheme="minorHAnsi" w:hAnsiTheme="minorHAnsi"/>
          <w:sz w:val="22"/>
          <w:szCs w:val="22"/>
          <w:lang w:val="es-ES_tradnl"/>
        </w:rPr>
        <w:t>ción de energías limpias tenga</w:t>
      </w:r>
      <w:r w:rsidR="008537F0" w:rsidRPr="00903982">
        <w:rPr>
          <w:rFonts w:asciiTheme="minorHAnsi" w:hAnsiTheme="minorHAnsi"/>
          <w:sz w:val="22"/>
          <w:szCs w:val="22"/>
          <w:lang w:val="es-ES_tradnl"/>
        </w:rPr>
        <w:t xml:space="preserve"> una mayor inversión en capacidad instalada de generación, pero menores gastos de operación, además de menores emisiones de CO</w:t>
      </w:r>
      <w:r w:rsidR="008537F0" w:rsidRPr="00903982">
        <w:rPr>
          <w:rFonts w:asciiTheme="minorHAnsi" w:hAnsiTheme="minorHAnsi"/>
          <w:sz w:val="22"/>
          <w:szCs w:val="22"/>
          <w:vertAlign w:val="subscript"/>
          <w:lang w:val="es-ES_tradnl"/>
        </w:rPr>
        <w:t>2</w:t>
      </w:r>
      <w:r w:rsidR="008537F0" w:rsidRPr="00903982">
        <w:rPr>
          <w:rFonts w:asciiTheme="minorHAnsi" w:hAnsiTheme="minorHAnsi"/>
          <w:sz w:val="22"/>
          <w:szCs w:val="22"/>
          <w:lang w:val="es-ES_tradnl"/>
        </w:rPr>
        <w:t xml:space="preserve">. </w:t>
      </w:r>
    </w:p>
    <w:p w14:paraId="37082A9E" w14:textId="362D8BBE" w:rsidR="00E04019" w:rsidRPr="00903982" w:rsidRDefault="00E04019" w:rsidP="00E04019">
      <w:pPr>
        <w:spacing w:after="100" w:afterAutospacing="1"/>
        <w:jc w:val="both"/>
        <w:rPr>
          <w:rFonts w:asciiTheme="minorHAnsi" w:hAnsiTheme="minorHAnsi"/>
          <w:b/>
          <w:sz w:val="22"/>
          <w:szCs w:val="22"/>
          <w:lang w:val="es-ES_tradnl"/>
        </w:rPr>
      </w:pPr>
      <w:r w:rsidRPr="00903982">
        <w:rPr>
          <w:rFonts w:asciiTheme="minorHAnsi" w:hAnsiTheme="minorHAnsi"/>
          <w:b/>
          <w:sz w:val="22"/>
          <w:szCs w:val="22"/>
          <w:lang w:val="es-ES_tradnl"/>
        </w:rPr>
        <w:t>Metodología para el Cálculo del Impacto de Medidas del Programa</w:t>
      </w:r>
    </w:p>
    <w:p w14:paraId="5A72415D" w14:textId="481EF9F8" w:rsidR="00FF63E5" w:rsidRPr="00903982" w:rsidRDefault="00AC1B50" w:rsidP="00AC1B50">
      <w:pPr>
        <w:autoSpaceDE w:val="0"/>
        <w:autoSpaceDN w:val="0"/>
        <w:adjustRightInd w:val="0"/>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La plena ejecución de las cinco componentes del Programa permitirá desviar el desarrollo del sistema energético de su actual trayectoria</w:t>
      </w:r>
      <w:r w:rsidR="000C26B0" w:rsidRPr="00903982">
        <w:rPr>
          <w:rFonts w:asciiTheme="minorHAnsi" w:hAnsiTheme="minorHAnsi"/>
          <w:sz w:val="22"/>
          <w:szCs w:val="22"/>
          <w:lang w:val="es-ES_tradnl"/>
        </w:rPr>
        <w:t>, defina en la línea base,</w:t>
      </w:r>
      <w:r w:rsidRPr="00903982">
        <w:rPr>
          <w:rFonts w:asciiTheme="minorHAnsi" w:hAnsiTheme="minorHAnsi"/>
          <w:sz w:val="22"/>
          <w:szCs w:val="22"/>
          <w:lang w:val="es-ES_tradnl"/>
        </w:rPr>
        <w:t xml:space="preserve"> hacia una de menores costos de la energía, con una matriz energé</w:t>
      </w:r>
      <w:r w:rsidR="00625F98" w:rsidRPr="00903982">
        <w:rPr>
          <w:rFonts w:asciiTheme="minorHAnsi" w:hAnsiTheme="minorHAnsi"/>
          <w:sz w:val="22"/>
          <w:szCs w:val="22"/>
          <w:lang w:val="es-ES_tradnl"/>
        </w:rPr>
        <w:t>tica con más energía limpia</w:t>
      </w:r>
      <w:r w:rsidRPr="00903982">
        <w:rPr>
          <w:rFonts w:asciiTheme="minorHAnsi" w:hAnsiTheme="minorHAnsi"/>
          <w:sz w:val="22"/>
          <w:szCs w:val="22"/>
          <w:lang w:val="es-ES_tradnl"/>
        </w:rPr>
        <w:t>,</w:t>
      </w:r>
      <w:r w:rsidR="00625F98" w:rsidRPr="00903982">
        <w:rPr>
          <w:rFonts w:asciiTheme="minorHAnsi" w:hAnsiTheme="minorHAnsi"/>
          <w:sz w:val="22"/>
          <w:szCs w:val="22"/>
          <w:lang w:val="es-ES_tradnl"/>
        </w:rPr>
        <w:t xml:space="preserve"> de menor intensidad energética, </w:t>
      </w:r>
      <w:r w:rsidRPr="00903982">
        <w:rPr>
          <w:rFonts w:asciiTheme="minorHAnsi" w:hAnsiTheme="minorHAnsi"/>
          <w:sz w:val="22"/>
          <w:szCs w:val="22"/>
          <w:lang w:val="es-ES_tradnl"/>
        </w:rPr>
        <w:t>de menores emisiones globales</w:t>
      </w:r>
      <w:r w:rsidR="000C26B0" w:rsidRPr="00903982">
        <w:rPr>
          <w:rFonts w:asciiTheme="minorHAnsi" w:hAnsiTheme="minorHAnsi"/>
          <w:sz w:val="22"/>
          <w:szCs w:val="22"/>
          <w:lang w:val="es-ES_tradnl"/>
        </w:rPr>
        <w:t>, menores pérdidas no técnicas</w:t>
      </w:r>
      <w:r w:rsidR="00625F98" w:rsidRPr="00903982">
        <w:rPr>
          <w:rFonts w:asciiTheme="minorHAnsi" w:hAnsiTheme="minorHAnsi"/>
          <w:sz w:val="22"/>
          <w:szCs w:val="22"/>
          <w:lang w:val="es-ES_tradnl"/>
        </w:rPr>
        <w:t xml:space="preserve"> y de mayor cobertura</w:t>
      </w:r>
      <w:r w:rsidRPr="00903982">
        <w:rPr>
          <w:rFonts w:asciiTheme="minorHAnsi" w:hAnsiTheme="minorHAnsi"/>
          <w:sz w:val="22"/>
          <w:szCs w:val="22"/>
          <w:lang w:val="es-ES_tradnl"/>
        </w:rPr>
        <w:t xml:space="preserve">. Para determinar cuantitativamente estos impactos del Programa sobre la demanda y </w:t>
      </w:r>
      <w:r w:rsidR="00FF63E5" w:rsidRPr="00903982">
        <w:rPr>
          <w:rFonts w:asciiTheme="minorHAnsi" w:hAnsiTheme="minorHAnsi"/>
          <w:sz w:val="22"/>
          <w:szCs w:val="22"/>
          <w:lang w:val="es-ES_tradnl"/>
        </w:rPr>
        <w:t xml:space="preserve">matriz energética se utiliza las metas enunciadas en </w:t>
      </w:r>
      <w:r w:rsidR="00792272" w:rsidRPr="00903982">
        <w:rPr>
          <w:rFonts w:asciiTheme="minorHAnsi" w:hAnsiTheme="minorHAnsi"/>
          <w:sz w:val="22"/>
          <w:szCs w:val="22"/>
          <w:lang w:val="es-ES_tradnl"/>
        </w:rPr>
        <w:t>2016</w:t>
      </w:r>
      <w:r w:rsidR="00FF63E5" w:rsidRPr="00903982">
        <w:rPr>
          <w:rFonts w:asciiTheme="minorHAnsi" w:hAnsiTheme="minorHAnsi"/>
          <w:sz w:val="22"/>
          <w:szCs w:val="22"/>
          <w:lang w:val="es-ES_tradnl"/>
        </w:rPr>
        <w:t>, que se resumen a continuación.</w:t>
      </w:r>
    </w:p>
    <w:p w14:paraId="49F4DEF8" w14:textId="14F100B0" w:rsidR="00FF63E5" w:rsidRPr="00903982" w:rsidRDefault="00FF63E5" w:rsidP="00FF63E5">
      <w:pPr>
        <w:pStyle w:val="ListParagraph"/>
        <w:numPr>
          <w:ilvl w:val="0"/>
          <w:numId w:val="29"/>
        </w:numPr>
        <w:autoSpaceDE w:val="0"/>
        <w:autoSpaceDN w:val="0"/>
        <w:adjustRightInd w:val="0"/>
        <w:spacing w:after="100" w:afterAutospacing="1"/>
        <w:jc w:val="both"/>
        <w:rPr>
          <w:lang w:val="es-ES_tradnl"/>
        </w:rPr>
      </w:pPr>
      <w:r w:rsidRPr="00903982">
        <w:rPr>
          <w:lang w:val="es-ES_tradnl"/>
        </w:rPr>
        <w:t>Estabilidad macroeconómica</w:t>
      </w:r>
      <w:r w:rsidR="00625F98" w:rsidRPr="00903982">
        <w:rPr>
          <w:lang w:val="es-ES_tradnl"/>
        </w:rPr>
        <w:t>.  Este pilar es habilitante, es decir, permite la aplicación del resto de las medidas, pero no tiene un impacto per</w:t>
      </w:r>
      <w:r w:rsidR="00903982">
        <w:rPr>
          <w:lang w:val="es-ES_tradnl"/>
        </w:rPr>
        <w:t xml:space="preserve"> </w:t>
      </w:r>
      <w:r w:rsidR="00625F98" w:rsidRPr="00903982">
        <w:rPr>
          <w:lang w:val="es-ES_tradnl"/>
        </w:rPr>
        <w:t>se en los costos de la energía, la intensidad energética, las emisiones, ni en la cobertura.</w:t>
      </w:r>
    </w:p>
    <w:p w14:paraId="626741AB" w14:textId="64FB399F" w:rsidR="00FF63E5" w:rsidRPr="00903982" w:rsidRDefault="005C7844" w:rsidP="00FF63E5">
      <w:pPr>
        <w:pStyle w:val="ListParagraph"/>
        <w:numPr>
          <w:ilvl w:val="0"/>
          <w:numId w:val="29"/>
        </w:numPr>
        <w:autoSpaceDE w:val="0"/>
        <w:autoSpaceDN w:val="0"/>
        <w:adjustRightInd w:val="0"/>
        <w:spacing w:after="100" w:afterAutospacing="1"/>
        <w:jc w:val="both"/>
        <w:rPr>
          <w:lang w:val="es-ES_tradnl"/>
        </w:rPr>
      </w:pPr>
      <w:r>
        <w:rPr>
          <w:lang w:val="es-ES_tradnl"/>
        </w:rPr>
        <w:t>Marco</w:t>
      </w:r>
      <w:r w:rsidR="00FF63E5" w:rsidRPr="00903982">
        <w:rPr>
          <w:lang w:val="es-ES_tradnl"/>
        </w:rPr>
        <w:t xml:space="preserve"> institucional</w:t>
      </w:r>
      <w:r>
        <w:rPr>
          <w:lang w:val="es-ES_tradnl"/>
        </w:rPr>
        <w:t xml:space="preserve"> del sector</w:t>
      </w:r>
      <w:r w:rsidR="00625F98" w:rsidRPr="00903982">
        <w:rPr>
          <w:lang w:val="es-ES_tradnl"/>
        </w:rPr>
        <w:t>.  Este pilar es habilitante y al igual que el pilar anterior es fundamental para la aplicación de otras medidas, pero no produce per</w:t>
      </w:r>
      <w:r w:rsidR="00903982">
        <w:rPr>
          <w:lang w:val="es-ES_tradnl"/>
        </w:rPr>
        <w:t xml:space="preserve"> </w:t>
      </w:r>
      <w:r w:rsidR="00625F98" w:rsidRPr="00903982">
        <w:rPr>
          <w:lang w:val="es-ES_tradnl"/>
        </w:rPr>
        <w:t>se un cambio en las variables de interés.</w:t>
      </w:r>
    </w:p>
    <w:p w14:paraId="0F78E8F0" w14:textId="31B6079D" w:rsidR="00FF63E5" w:rsidRPr="00903982" w:rsidRDefault="00FF63E5" w:rsidP="00FF63E5">
      <w:pPr>
        <w:pStyle w:val="ListParagraph"/>
        <w:numPr>
          <w:ilvl w:val="0"/>
          <w:numId w:val="29"/>
        </w:numPr>
        <w:autoSpaceDE w:val="0"/>
        <w:autoSpaceDN w:val="0"/>
        <w:adjustRightInd w:val="0"/>
        <w:spacing w:after="100" w:afterAutospacing="1"/>
        <w:jc w:val="both"/>
        <w:rPr>
          <w:lang w:val="es-ES_tradnl"/>
        </w:rPr>
      </w:pPr>
      <w:r w:rsidRPr="00903982">
        <w:rPr>
          <w:lang w:val="es-ES_tradnl"/>
        </w:rPr>
        <w:t>Se</w:t>
      </w:r>
      <w:r w:rsidR="0058031D" w:rsidRPr="00903982">
        <w:rPr>
          <w:lang w:val="es-ES_tradnl"/>
        </w:rPr>
        <w:t>g</w:t>
      </w:r>
      <w:r w:rsidRPr="00903982">
        <w:rPr>
          <w:lang w:val="es-ES_tradnl"/>
        </w:rPr>
        <w:t>uridad energética</w:t>
      </w:r>
      <w:r w:rsidR="00625F98" w:rsidRPr="00903982">
        <w:rPr>
          <w:lang w:val="es-ES_tradnl"/>
        </w:rPr>
        <w:t>.  En este pilar el tema relacionado con la exploración, extracción y transporte de gas na</w:t>
      </w:r>
      <w:r w:rsidR="009200EE" w:rsidRPr="00903982">
        <w:rPr>
          <w:lang w:val="es-ES_tradnl"/>
        </w:rPr>
        <w:t>tural es habilitante y el tema de p</w:t>
      </w:r>
      <w:r w:rsidR="00A21751" w:rsidRPr="00903982">
        <w:rPr>
          <w:lang w:val="es-ES_tradnl"/>
        </w:rPr>
        <w:t>érdidas comerciales</w:t>
      </w:r>
      <w:r w:rsidR="00A21751" w:rsidRPr="00903982">
        <w:rPr>
          <w:color w:val="FF0000"/>
          <w:lang w:val="es-ES_tradnl"/>
        </w:rPr>
        <w:t xml:space="preserve"> </w:t>
      </w:r>
      <w:r w:rsidR="00625F98" w:rsidRPr="00903982">
        <w:rPr>
          <w:lang w:val="es-ES_tradnl"/>
        </w:rPr>
        <w:t xml:space="preserve">en distribución de energía eléctrica, tiene un impacto en la </w:t>
      </w:r>
      <w:r w:rsidR="00A21751" w:rsidRPr="00903982">
        <w:rPr>
          <w:lang w:val="es-ES_tradnl"/>
        </w:rPr>
        <w:t>tarifa</w:t>
      </w:r>
      <w:r w:rsidR="00625F98" w:rsidRPr="00903982">
        <w:rPr>
          <w:lang w:val="es-ES_tradnl"/>
        </w:rPr>
        <w:t xml:space="preserve"> energética</w:t>
      </w:r>
      <w:r w:rsidR="009200EE" w:rsidRPr="00903982">
        <w:rPr>
          <w:lang w:val="es-ES_tradnl"/>
        </w:rPr>
        <w:t xml:space="preserve">, que a su vez repercute en </w:t>
      </w:r>
      <w:r w:rsidR="00D21B82" w:rsidRPr="00903982">
        <w:rPr>
          <w:lang w:val="es-ES_tradnl"/>
        </w:rPr>
        <w:t>gasto energético por medio de un menor</w:t>
      </w:r>
      <w:r w:rsidR="00633EBC" w:rsidRPr="00903982">
        <w:rPr>
          <w:lang w:val="es-ES_tradnl"/>
        </w:rPr>
        <w:t xml:space="preserve"> precio de la e</w:t>
      </w:r>
      <w:r w:rsidR="00D21B82" w:rsidRPr="00903982">
        <w:rPr>
          <w:lang w:val="es-ES_tradnl"/>
        </w:rPr>
        <w:t>nergía</w:t>
      </w:r>
      <w:r w:rsidR="009200EE" w:rsidRPr="00903982">
        <w:rPr>
          <w:lang w:val="es-ES_tradnl"/>
        </w:rPr>
        <w:t>.</w:t>
      </w:r>
    </w:p>
    <w:p w14:paraId="2B7A6E3B" w14:textId="496237A9" w:rsidR="00FF63E5" w:rsidRPr="00903982" w:rsidRDefault="00F444B2" w:rsidP="00FF63E5">
      <w:pPr>
        <w:pStyle w:val="ListParagraph"/>
        <w:numPr>
          <w:ilvl w:val="0"/>
          <w:numId w:val="29"/>
        </w:numPr>
        <w:autoSpaceDE w:val="0"/>
        <w:autoSpaceDN w:val="0"/>
        <w:adjustRightInd w:val="0"/>
        <w:spacing w:after="100" w:afterAutospacing="1"/>
        <w:jc w:val="both"/>
        <w:rPr>
          <w:lang w:val="es-ES_tradnl"/>
        </w:rPr>
      </w:pPr>
      <w:r w:rsidRPr="00903982">
        <w:rPr>
          <w:lang w:val="es-ES_tradnl"/>
        </w:rPr>
        <w:t>Sustentabilidad</w:t>
      </w:r>
      <w:r w:rsidR="00FF63E5" w:rsidRPr="00903982">
        <w:rPr>
          <w:lang w:val="es-ES_tradnl"/>
        </w:rPr>
        <w:t xml:space="preserve"> energética</w:t>
      </w:r>
      <w:r w:rsidR="00633EBC" w:rsidRPr="00903982">
        <w:rPr>
          <w:lang w:val="es-ES_tradnl"/>
        </w:rPr>
        <w:t>.  En este pilar se incluye la participación creciente de energía renovables, lo que repercute en bajas de emisiones y en un alza de precios de la energía</w:t>
      </w:r>
      <w:r w:rsidR="00A21751" w:rsidRPr="00903982">
        <w:rPr>
          <w:lang w:val="es-ES_tradnl"/>
        </w:rPr>
        <w:t xml:space="preserve"> si esto no conlleva un aumento en competencia</w:t>
      </w:r>
      <w:r w:rsidR="00633EBC" w:rsidRPr="00903982">
        <w:rPr>
          <w:lang w:val="es-ES_tradnl"/>
        </w:rPr>
        <w:t>, y el impulso de eficiencia en</w:t>
      </w:r>
      <w:r w:rsidR="00A21751" w:rsidRPr="00903982">
        <w:rPr>
          <w:lang w:val="es-ES_tradnl"/>
        </w:rPr>
        <w:t>er</w:t>
      </w:r>
      <w:r w:rsidR="00633EBC" w:rsidRPr="00903982">
        <w:rPr>
          <w:lang w:val="es-ES_tradnl"/>
        </w:rPr>
        <w:t>gética, lo que repercu</w:t>
      </w:r>
      <w:r w:rsidR="00A21751" w:rsidRPr="00903982">
        <w:rPr>
          <w:lang w:val="es-ES_tradnl"/>
        </w:rPr>
        <w:t>t</w:t>
      </w:r>
      <w:r w:rsidR="00633EBC" w:rsidRPr="00903982">
        <w:rPr>
          <w:lang w:val="es-ES_tradnl"/>
        </w:rPr>
        <w:t>e en baja de emisiones y menor gasto energético.</w:t>
      </w:r>
    </w:p>
    <w:p w14:paraId="2A979423" w14:textId="750EB64E" w:rsidR="00E745CC" w:rsidRPr="00903982" w:rsidRDefault="00625F98" w:rsidP="00E745CC">
      <w:pPr>
        <w:pStyle w:val="ListParagraph"/>
        <w:numPr>
          <w:ilvl w:val="0"/>
          <w:numId w:val="29"/>
        </w:numPr>
        <w:autoSpaceDE w:val="0"/>
        <w:autoSpaceDN w:val="0"/>
        <w:adjustRightInd w:val="0"/>
        <w:spacing w:after="100" w:afterAutospacing="1"/>
        <w:jc w:val="both"/>
        <w:rPr>
          <w:lang w:val="es-ES_tradnl"/>
        </w:rPr>
      </w:pPr>
      <w:r w:rsidRPr="00903982">
        <w:rPr>
          <w:lang w:val="es-ES_tradnl"/>
        </w:rPr>
        <w:t>Incremento de la cobertura eléctrica</w:t>
      </w:r>
      <w:r w:rsidR="00D21B82" w:rsidRPr="00903982">
        <w:rPr>
          <w:lang w:val="es-ES_tradnl"/>
        </w:rPr>
        <w:t>.  En este pilar se incluye el aumento de la cobertura energética para incluir zo</w:t>
      </w:r>
      <w:r w:rsidR="00A21751" w:rsidRPr="00903982">
        <w:rPr>
          <w:lang w:val="es-ES_tradnl"/>
        </w:rPr>
        <w:t>nas de alto nivel de ruralidad.</w:t>
      </w:r>
      <w:r w:rsidR="00D21B82" w:rsidRPr="00903982">
        <w:rPr>
          <w:lang w:val="es-ES_tradnl"/>
        </w:rPr>
        <w:t xml:space="preserve"> Esto tiene un impacto en emisiones y menor gasto energético.</w:t>
      </w:r>
    </w:p>
    <w:p w14:paraId="286DAF70" w14:textId="58BE10F8" w:rsidR="001E7DD6" w:rsidRPr="00903982" w:rsidRDefault="001E7DD6" w:rsidP="0066397A">
      <w:pPr>
        <w:pStyle w:val="Caption"/>
        <w:keepNext/>
        <w:jc w:val="center"/>
        <w:rPr>
          <w:rFonts w:asciiTheme="minorHAnsi" w:hAnsiTheme="minorHAnsi"/>
          <w:b w:val="0"/>
          <w:sz w:val="28"/>
          <w:lang w:val="es-ES_tradnl"/>
        </w:rPr>
      </w:pPr>
    </w:p>
    <w:p w14:paraId="0270D9E7" w14:textId="77777777" w:rsidR="00574C78" w:rsidRPr="00903982" w:rsidRDefault="00574C78">
      <w:pPr>
        <w:spacing w:after="160" w:line="259" w:lineRule="auto"/>
        <w:rPr>
          <w:rFonts w:asciiTheme="minorHAnsi" w:hAnsiTheme="minorHAnsi"/>
          <w:bCs/>
          <w:color w:val="DDDDDD" w:themeColor="accent1"/>
          <w:sz w:val="22"/>
          <w:szCs w:val="18"/>
          <w:lang w:val="es-ES_tradnl"/>
        </w:rPr>
      </w:pPr>
      <w:r w:rsidRPr="00903982">
        <w:rPr>
          <w:rFonts w:asciiTheme="minorHAnsi" w:hAnsiTheme="minorHAnsi"/>
          <w:b/>
          <w:sz w:val="22"/>
          <w:lang w:val="es-ES_tradnl"/>
        </w:rPr>
        <w:br w:type="page"/>
      </w:r>
    </w:p>
    <w:p w14:paraId="72E0CC81" w14:textId="7C88E07B" w:rsidR="0066397A" w:rsidRPr="00903982" w:rsidRDefault="0066397A" w:rsidP="00574C78">
      <w:pPr>
        <w:pStyle w:val="Caption"/>
        <w:keepNext/>
        <w:jc w:val="center"/>
        <w:rPr>
          <w:rFonts w:asciiTheme="minorHAnsi" w:hAnsiTheme="minorHAnsi"/>
          <w:sz w:val="22"/>
          <w:lang w:val="es-ES_tradnl"/>
        </w:rPr>
      </w:pPr>
      <w:r w:rsidRPr="00903982">
        <w:rPr>
          <w:rFonts w:asciiTheme="minorHAnsi" w:hAnsiTheme="minorHAnsi"/>
          <w:b w:val="0"/>
          <w:sz w:val="22"/>
          <w:lang w:val="es-ES_tradnl"/>
        </w:rPr>
        <w:lastRenderedPageBreak/>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8</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Esquema metodológico para determinar </w:t>
      </w:r>
      <w:r w:rsidR="00F444B2" w:rsidRPr="00903982">
        <w:rPr>
          <w:rFonts w:asciiTheme="minorHAnsi" w:hAnsiTheme="minorHAnsi"/>
          <w:b w:val="0"/>
          <w:sz w:val="22"/>
          <w:lang w:val="es-ES_tradnl"/>
        </w:rPr>
        <w:t>los impactos</w:t>
      </w:r>
      <w:r w:rsidRPr="00903982">
        <w:rPr>
          <w:rFonts w:asciiTheme="minorHAnsi" w:hAnsiTheme="minorHAnsi"/>
          <w:b w:val="0"/>
          <w:sz w:val="22"/>
          <w:lang w:val="es-ES_tradnl"/>
        </w:rPr>
        <w:t xml:space="preserve"> de las medidas</w:t>
      </w:r>
    </w:p>
    <w:tbl>
      <w:tblPr>
        <w:tblStyle w:val="MediumShading1-Accent1"/>
        <w:tblW w:w="0" w:type="auto"/>
        <w:tblInd w:w="108" w:type="dxa"/>
        <w:tblLook w:val="04A0" w:firstRow="1" w:lastRow="0" w:firstColumn="1" w:lastColumn="0" w:noHBand="0" w:noVBand="1"/>
      </w:tblPr>
      <w:tblGrid>
        <w:gridCol w:w="1839"/>
        <w:gridCol w:w="2351"/>
        <w:gridCol w:w="2502"/>
        <w:gridCol w:w="2018"/>
      </w:tblGrid>
      <w:tr w:rsidR="001E7DD6" w:rsidRPr="00903982" w14:paraId="565BFFBF" w14:textId="77777777" w:rsidTr="001E7D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bottom"/>
          </w:tcPr>
          <w:p w14:paraId="58F659EF" w14:textId="2D4351C7" w:rsidR="0058031D" w:rsidRPr="00903982" w:rsidRDefault="0058031D" w:rsidP="00E745CC">
            <w:pPr>
              <w:keepNext/>
              <w:keepLines/>
              <w:spacing w:before="200" w:after="100" w:afterAutospacing="1"/>
              <w:jc w:val="center"/>
              <w:outlineLvl w:val="8"/>
              <w:rPr>
                <w:rFonts w:asciiTheme="minorHAnsi" w:hAnsiTheme="minorHAnsi" w:cs="Arial"/>
                <w:bCs w:val="0"/>
                <w:sz w:val="22"/>
                <w:szCs w:val="22"/>
                <w:lang w:val="es-ES_tradnl"/>
              </w:rPr>
            </w:pPr>
            <w:r w:rsidRPr="00903982">
              <w:rPr>
                <w:rFonts w:ascii="Calibri" w:hAnsi="Calibri"/>
                <w:color w:val="000000"/>
                <w:sz w:val="22"/>
                <w:szCs w:val="22"/>
                <w:lang w:val="es-ES_tradnl"/>
              </w:rPr>
              <w:t>Medidas</w:t>
            </w:r>
          </w:p>
        </w:tc>
        <w:tc>
          <w:tcPr>
            <w:tcW w:w="2410" w:type="dxa"/>
            <w:vAlign w:val="bottom"/>
          </w:tcPr>
          <w:p w14:paraId="7DE51983" w14:textId="0AA4FEE9" w:rsidR="0058031D" w:rsidRPr="00903982" w:rsidRDefault="0058031D" w:rsidP="00E745CC">
            <w:pPr>
              <w:keepNext/>
              <w:keepLines/>
              <w:spacing w:before="200" w:after="100" w:afterAutospacing="1"/>
              <w:jc w:val="center"/>
              <w:outlineLvl w:val="8"/>
              <w:cnfStyle w:val="100000000000" w:firstRow="1" w:lastRow="0" w:firstColumn="0" w:lastColumn="0" w:oddVBand="0" w:evenVBand="0" w:oddHBand="0" w:evenHBand="0" w:firstRowFirstColumn="0" w:firstRowLastColumn="0" w:lastRowFirstColumn="0" w:lastRowLastColumn="0"/>
              <w:rPr>
                <w:rFonts w:asciiTheme="minorHAnsi" w:hAnsiTheme="minorHAnsi" w:cs="Arial"/>
                <w:bCs w:val="0"/>
                <w:sz w:val="22"/>
                <w:szCs w:val="22"/>
                <w:lang w:val="es-ES_tradnl"/>
              </w:rPr>
            </w:pPr>
            <w:r w:rsidRPr="00903982">
              <w:rPr>
                <w:rFonts w:ascii="Calibri" w:hAnsi="Calibri"/>
                <w:color w:val="000000"/>
                <w:sz w:val="22"/>
                <w:szCs w:val="22"/>
                <w:lang w:val="es-ES_tradnl"/>
              </w:rPr>
              <w:t>Meta</w:t>
            </w:r>
          </w:p>
        </w:tc>
        <w:tc>
          <w:tcPr>
            <w:tcW w:w="2551" w:type="dxa"/>
            <w:vAlign w:val="bottom"/>
          </w:tcPr>
          <w:p w14:paraId="5910A1D0" w14:textId="76D3EC49" w:rsidR="0058031D" w:rsidRPr="00903982" w:rsidRDefault="0058031D" w:rsidP="00E745CC">
            <w:pPr>
              <w:keepNext/>
              <w:keepLines/>
              <w:spacing w:before="200" w:after="100" w:afterAutospacing="1"/>
              <w:jc w:val="center"/>
              <w:outlineLvl w:val="8"/>
              <w:cnfStyle w:val="100000000000" w:firstRow="1" w:lastRow="0" w:firstColumn="0" w:lastColumn="0" w:oddVBand="0" w:evenVBand="0" w:oddHBand="0" w:evenHBand="0" w:firstRowFirstColumn="0" w:firstRowLastColumn="0" w:lastRowFirstColumn="0" w:lastRowLastColumn="0"/>
              <w:rPr>
                <w:rFonts w:asciiTheme="minorHAnsi" w:hAnsiTheme="minorHAnsi" w:cs="Arial"/>
                <w:bCs w:val="0"/>
                <w:sz w:val="22"/>
                <w:szCs w:val="22"/>
                <w:lang w:val="es-ES_tradnl"/>
              </w:rPr>
            </w:pPr>
            <w:r w:rsidRPr="00903982">
              <w:rPr>
                <w:rFonts w:ascii="Calibri" w:hAnsi="Calibri"/>
                <w:color w:val="000000"/>
                <w:sz w:val="22"/>
                <w:szCs w:val="22"/>
                <w:lang w:val="es-ES_tradnl"/>
              </w:rPr>
              <w:t>Impacto Primario</w:t>
            </w:r>
          </w:p>
        </w:tc>
        <w:tc>
          <w:tcPr>
            <w:tcW w:w="2066" w:type="dxa"/>
            <w:vAlign w:val="bottom"/>
          </w:tcPr>
          <w:p w14:paraId="6E1C7FB4" w14:textId="3B1C9CD6" w:rsidR="0058031D" w:rsidRPr="00903982" w:rsidRDefault="0058031D" w:rsidP="00E745CC">
            <w:pPr>
              <w:keepNext/>
              <w:keepLines/>
              <w:spacing w:before="200" w:after="100" w:afterAutospacing="1"/>
              <w:jc w:val="center"/>
              <w:outlineLvl w:val="8"/>
              <w:cnfStyle w:val="100000000000" w:firstRow="1" w:lastRow="0" w:firstColumn="0" w:lastColumn="0" w:oddVBand="0" w:evenVBand="0" w:oddHBand="0" w:evenHBand="0" w:firstRowFirstColumn="0" w:firstRowLastColumn="0" w:lastRowFirstColumn="0" w:lastRowLastColumn="0"/>
              <w:rPr>
                <w:rFonts w:asciiTheme="minorHAnsi" w:hAnsiTheme="minorHAnsi" w:cs="Arial"/>
                <w:bCs w:val="0"/>
                <w:sz w:val="22"/>
                <w:szCs w:val="22"/>
                <w:lang w:val="es-ES_tradnl"/>
              </w:rPr>
            </w:pPr>
            <w:r w:rsidRPr="00903982">
              <w:rPr>
                <w:rFonts w:ascii="Calibri" w:hAnsi="Calibri"/>
                <w:color w:val="000000"/>
                <w:sz w:val="22"/>
                <w:szCs w:val="22"/>
                <w:lang w:val="es-ES_tradnl"/>
              </w:rPr>
              <w:t>Impacto Secundario</w:t>
            </w:r>
          </w:p>
        </w:tc>
      </w:tr>
      <w:tr w:rsidR="001E7DD6" w:rsidRPr="00903982" w14:paraId="1B276EBF" w14:textId="77777777" w:rsidTr="001E7D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bottom"/>
          </w:tcPr>
          <w:p w14:paraId="226F16AF" w14:textId="2CC866FA" w:rsidR="0058031D" w:rsidRPr="00903982" w:rsidRDefault="0058031D" w:rsidP="00574C78">
            <w:pPr>
              <w:spacing w:before="240" w:after="240"/>
              <w:jc w:val="center"/>
              <w:rPr>
                <w:rFonts w:asciiTheme="minorHAnsi" w:hAnsiTheme="minorHAnsi" w:cs="Arial"/>
                <w:bCs w:val="0"/>
                <w:sz w:val="22"/>
                <w:szCs w:val="22"/>
                <w:lang w:val="es-ES_tradnl"/>
              </w:rPr>
            </w:pPr>
            <w:r w:rsidRPr="00903982">
              <w:rPr>
                <w:rFonts w:ascii="Calibri" w:hAnsi="Calibri"/>
                <w:color w:val="000000"/>
                <w:sz w:val="22"/>
                <w:szCs w:val="22"/>
                <w:lang w:val="es-ES_tradnl"/>
              </w:rPr>
              <w:t>Estabilidad Macroeconómica</w:t>
            </w:r>
          </w:p>
        </w:tc>
        <w:tc>
          <w:tcPr>
            <w:tcW w:w="2410" w:type="dxa"/>
          </w:tcPr>
          <w:p w14:paraId="1AC5F851" w14:textId="1575A883" w:rsidR="0058031D" w:rsidRPr="00903982" w:rsidRDefault="0058031D" w:rsidP="00574C78">
            <w:pPr>
              <w:spacing w:before="240" w:after="100" w:afterAutospacing="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Pilar habilitante</w:t>
            </w:r>
          </w:p>
        </w:tc>
        <w:tc>
          <w:tcPr>
            <w:tcW w:w="2551" w:type="dxa"/>
          </w:tcPr>
          <w:p w14:paraId="37D3EC81" w14:textId="0FA086FF" w:rsidR="0058031D" w:rsidRPr="00903982" w:rsidRDefault="0058031D" w:rsidP="00E745CC">
            <w:pPr>
              <w:keepNext/>
              <w:keepLines/>
              <w:spacing w:before="200" w:after="100" w:afterAutospacing="1"/>
              <w:jc w:val="center"/>
              <w:outlineLvl w:val="8"/>
              <w:cnfStyle w:val="000000100000" w:firstRow="0" w:lastRow="0" w:firstColumn="0" w:lastColumn="0" w:oddVBand="0" w:evenVBand="0" w:oddHBand="1" w:evenHBand="0"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 xml:space="preserve">Permitir aplicación de medidas de </w:t>
            </w:r>
            <w:r w:rsidR="00981DD0" w:rsidRPr="00903982">
              <w:rPr>
                <w:rFonts w:asciiTheme="minorHAnsi" w:hAnsiTheme="minorHAnsi" w:cs="Arial"/>
                <w:bCs/>
                <w:sz w:val="22"/>
                <w:szCs w:val="22"/>
                <w:lang w:val="es-ES_tradnl"/>
              </w:rPr>
              <w:t>transición eléctrica</w:t>
            </w:r>
          </w:p>
        </w:tc>
        <w:tc>
          <w:tcPr>
            <w:tcW w:w="2066" w:type="dxa"/>
          </w:tcPr>
          <w:p w14:paraId="5824E9BA" w14:textId="77777777" w:rsidR="0058031D" w:rsidRPr="00903982" w:rsidRDefault="0058031D" w:rsidP="00E745CC">
            <w:pPr>
              <w:spacing w:after="100" w:afterAutospacing="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Cs/>
                <w:sz w:val="22"/>
                <w:szCs w:val="22"/>
                <w:lang w:val="es-ES_tradnl"/>
              </w:rPr>
            </w:pPr>
          </w:p>
        </w:tc>
      </w:tr>
      <w:tr w:rsidR="001E7DD6" w:rsidRPr="00903982" w14:paraId="659671D0" w14:textId="77777777" w:rsidTr="001E7DD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bottom"/>
          </w:tcPr>
          <w:p w14:paraId="52D0579F" w14:textId="75089DE7" w:rsidR="0058031D" w:rsidRPr="00903982" w:rsidRDefault="005C7844" w:rsidP="00574C78">
            <w:pPr>
              <w:spacing w:after="240"/>
              <w:jc w:val="center"/>
              <w:rPr>
                <w:rFonts w:asciiTheme="minorHAnsi" w:hAnsiTheme="minorHAnsi" w:cs="Arial"/>
                <w:bCs w:val="0"/>
                <w:sz w:val="22"/>
                <w:szCs w:val="22"/>
                <w:lang w:val="es-ES_tradnl"/>
              </w:rPr>
            </w:pPr>
            <w:r>
              <w:rPr>
                <w:rFonts w:ascii="Calibri" w:hAnsi="Calibri"/>
                <w:color w:val="000000"/>
                <w:sz w:val="22"/>
                <w:szCs w:val="22"/>
                <w:lang w:val="es-ES_tradnl"/>
              </w:rPr>
              <w:br/>
              <w:t>Marco</w:t>
            </w:r>
            <w:r>
              <w:rPr>
                <w:rFonts w:ascii="Calibri" w:hAnsi="Calibri"/>
                <w:color w:val="000000"/>
                <w:sz w:val="22"/>
                <w:szCs w:val="22"/>
                <w:lang w:val="es-ES_tradnl"/>
              </w:rPr>
              <w:br/>
            </w:r>
            <w:r w:rsidR="0058031D" w:rsidRPr="00903982">
              <w:rPr>
                <w:rFonts w:ascii="Calibri" w:hAnsi="Calibri"/>
                <w:color w:val="000000"/>
                <w:sz w:val="22"/>
                <w:szCs w:val="22"/>
                <w:lang w:val="es-ES_tradnl"/>
              </w:rPr>
              <w:t>Institucional</w:t>
            </w:r>
            <w:r>
              <w:rPr>
                <w:rFonts w:ascii="Calibri" w:hAnsi="Calibri"/>
                <w:color w:val="000000"/>
                <w:sz w:val="22"/>
                <w:szCs w:val="22"/>
                <w:lang w:val="es-ES_tradnl"/>
              </w:rPr>
              <w:br/>
              <w:t>del Sector</w:t>
            </w:r>
          </w:p>
        </w:tc>
        <w:tc>
          <w:tcPr>
            <w:tcW w:w="2410" w:type="dxa"/>
          </w:tcPr>
          <w:p w14:paraId="1DBE5E7B" w14:textId="50C9A75D" w:rsidR="0058031D" w:rsidRPr="00903982" w:rsidRDefault="0058031D" w:rsidP="00574C78">
            <w:pPr>
              <w:spacing w:before="240" w:after="100" w:afterAutospacing="1"/>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Pilar habilitante</w:t>
            </w:r>
          </w:p>
        </w:tc>
        <w:tc>
          <w:tcPr>
            <w:tcW w:w="2551" w:type="dxa"/>
          </w:tcPr>
          <w:p w14:paraId="2B3B67DB" w14:textId="6F98636A" w:rsidR="0058031D" w:rsidRPr="00903982" w:rsidRDefault="00981DD0" w:rsidP="00E745CC">
            <w:pPr>
              <w:keepNext/>
              <w:keepLines/>
              <w:spacing w:before="200" w:after="100" w:afterAutospacing="1"/>
              <w:jc w:val="center"/>
              <w:outlineLvl w:val="8"/>
              <w:cnfStyle w:val="000000010000" w:firstRow="0" w:lastRow="0" w:firstColumn="0" w:lastColumn="0" w:oddVBand="0" w:evenVBand="0" w:oddHBand="0" w:evenHBand="1"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Permitir aplicación de medidas de transición eléctrica</w:t>
            </w:r>
          </w:p>
        </w:tc>
        <w:tc>
          <w:tcPr>
            <w:tcW w:w="2066" w:type="dxa"/>
          </w:tcPr>
          <w:p w14:paraId="210C07DD" w14:textId="77777777" w:rsidR="0058031D" w:rsidRPr="00903982" w:rsidRDefault="0058031D" w:rsidP="00E745CC">
            <w:pPr>
              <w:spacing w:after="100" w:afterAutospacing="1"/>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bCs/>
                <w:sz w:val="22"/>
                <w:szCs w:val="22"/>
                <w:lang w:val="es-ES_tradnl"/>
              </w:rPr>
            </w:pPr>
          </w:p>
        </w:tc>
      </w:tr>
      <w:tr w:rsidR="001E7DD6" w:rsidRPr="00903982" w14:paraId="5D787A3E" w14:textId="77777777" w:rsidTr="00574C78">
        <w:trPr>
          <w:cnfStyle w:val="000000100000" w:firstRow="0" w:lastRow="0" w:firstColumn="0" w:lastColumn="0" w:oddVBand="0" w:evenVBand="0" w:oddHBand="1" w:evenHBand="0" w:firstRowFirstColumn="0" w:firstRowLastColumn="0" w:lastRowFirstColumn="0" w:lastRowLastColumn="0"/>
          <w:trHeight w:val="1262"/>
        </w:trPr>
        <w:tc>
          <w:tcPr>
            <w:cnfStyle w:val="001000000000" w:firstRow="0" w:lastRow="0" w:firstColumn="1" w:lastColumn="0" w:oddVBand="0" w:evenVBand="0" w:oddHBand="0" w:evenHBand="0" w:firstRowFirstColumn="0" w:firstRowLastColumn="0" w:lastRowFirstColumn="0" w:lastRowLastColumn="0"/>
            <w:tcW w:w="1843" w:type="dxa"/>
            <w:vAlign w:val="bottom"/>
          </w:tcPr>
          <w:p w14:paraId="22E6F349" w14:textId="77777777" w:rsidR="0058031D" w:rsidRPr="00903982" w:rsidRDefault="0058031D" w:rsidP="00574C78">
            <w:pPr>
              <w:spacing w:before="240"/>
              <w:jc w:val="center"/>
              <w:rPr>
                <w:rFonts w:ascii="Calibri" w:hAnsi="Calibri"/>
                <w:color w:val="000000"/>
                <w:sz w:val="22"/>
                <w:szCs w:val="22"/>
                <w:lang w:val="es-ES_tradnl"/>
              </w:rPr>
            </w:pPr>
            <w:r w:rsidRPr="00903982">
              <w:rPr>
                <w:rFonts w:ascii="Calibri" w:hAnsi="Calibri"/>
                <w:color w:val="000000"/>
                <w:sz w:val="22"/>
                <w:szCs w:val="22"/>
                <w:lang w:val="es-ES_tradnl"/>
              </w:rPr>
              <w:t>Seguridad Energética</w:t>
            </w:r>
          </w:p>
          <w:p w14:paraId="5799322C" w14:textId="27CE6F48" w:rsidR="00981DD0" w:rsidRPr="00903982" w:rsidRDefault="00981DD0" w:rsidP="00574C78">
            <w:pPr>
              <w:spacing w:after="240"/>
              <w:jc w:val="center"/>
              <w:rPr>
                <w:rFonts w:asciiTheme="minorHAnsi" w:hAnsiTheme="minorHAnsi" w:cs="Arial"/>
                <w:bCs w:val="0"/>
                <w:sz w:val="22"/>
                <w:szCs w:val="22"/>
                <w:lang w:val="es-ES_tradnl"/>
              </w:rPr>
            </w:pPr>
          </w:p>
        </w:tc>
        <w:tc>
          <w:tcPr>
            <w:tcW w:w="2410" w:type="dxa"/>
          </w:tcPr>
          <w:p w14:paraId="2B269442" w14:textId="0A6440D5" w:rsidR="0058031D" w:rsidRPr="00903982" w:rsidRDefault="00981DD0" w:rsidP="00574C78">
            <w:pPr>
              <w:spacing w:before="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Aumentar generación eléctrica con gas natural</w:t>
            </w:r>
            <w:r w:rsidR="008F7EB2" w:rsidRPr="00903982">
              <w:rPr>
                <w:rFonts w:asciiTheme="minorHAnsi" w:hAnsiTheme="minorHAnsi" w:cs="Arial"/>
                <w:bCs/>
                <w:sz w:val="22"/>
                <w:szCs w:val="22"/>
                <w:lang w:val="es-ES_tradnl"/>
              </w:rPr>
              <w:t>, reemplazando otros combustibles fósiles</w:t>
            </w:r>
          </w:p>
        </w:tc>
        <w:tc>
          <w:tcPr>
            <w:tcW w:w="2551" w:type="dxa"/>
          </w:tcPr>
          <w:p w14:paraId="02126C64" w14:textId="7FDD0780" w:rsidR="00981DD0" w:rsidRPr="00903982" w:rsidRDefault="00981DD0" w:rsidP="00574C78">
            <w:pPr>
              <w:spacing w:before="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Disminu</w:t>
            </w:r>
            <w:r w:rsidR="008F7EB2" w:rsidRPr="00903982">
              <w:rPr>
                <w:rFonts w:asciiTheme="minorHAnsi" w:hAnsiTheme="minorHAnsi" w:cs="Arial"/>
                <w:bCs/>
                <w:sz w:val="22"/>
                <w:szCs w:val="22"/>
                <w:lang w:val="es-ES_tradnl"/>
              </w:rPr>
              <w:t>ción de</w:t>
            </w:r>
            <w:r w:rsidRPr="00903982">
              <w:rPr>
                <w:rFonts w:asciiTheme="minorHAnsi" w:hAnsiTheme="minorHAnsi" w:cs="Arial"/>
                <w:bCs/>
                <w:sz w:val="22"/>
                <w:szCs w:val="22"/>
                <w:lang w:val="es-ES_tradnl"/>
              </w:rPr>
              <w:t xml:space="preserve"> emisiones de CO2</w:t>
            </w:r>
            <w:r w:rsidR="008F7EB2" w:rsidRPr="00903982">
              <w:rPr>
                <w:rFonts w:asciiTheme="minorHAnsi" w:hAnsiTheme="minorHAnsi" w:cs="Arial"/>
                <w:bCs/>
                <w:sz w:val="22"/>
                <w:szCs w:val="22"/>
                <w:lang w:val="es-ES_tradnl"/>
              </w:rPr>
              <w:t xml:space="preserve"> y disminución precios electricidad para usuarios finales</w:t>
            </w:r>
          </w:p>
        </w:tc>
        <w:tc>
          <w:tcPr>
            <w:tcW w:w="2066" w:type="dxa"/>
          </w:tcPr>
          <w:p w14:paraId="17D4E596" w14:textId="27D12353" w:rsidR="008F7EB2" w:rsidRPr="00903982" w:rsidRDefault="008F7EB2" w:rsidP="00574C78">
            <w:pPr>
              <w:spacing w:before="24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Mayor acceso a electricidad</w:t>
            </w:r>
            <w:r w:rsidR="001E7DD6" w:rsidRPr="00903982">
              <w:rPr>
                <w:rFonts w:asciiTheme="minorHAnsi" w:hAnsiTheme="minorHAnsi" w:cs="Arial"/>
                <w:bCs/>
                <w:sz w:val="22"/>
                <w:szCs w:val="22"/>
                <w:lang w:val="es-ES_tradnl"/>
              </w:rPr>
              <w:t xml:space="preserve"> y disminución de impactos negativos de generación eléctrica</w:t>
            </w:r>
          </w:p>
        </w:tc>
      </w:tr>
      <w:tr w:rsidR="001E7DD6" w:rsidRPr="00903982" w14:paraId="346368D3" w14:textId="77777777" w:rsidTr="001E7DD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bottom"/>
          </w:tcPr>
          <w:p w14:paraId="101BD989" w14:textId="77777777" w:rsidR="0058031D" w:rsidRPr="00903982" w:rsidRDefault="0058031D" w:rsidP="00E745CC">
            <w:pPr>
              <w:keepNext/>
              <w:keepLines/>
              <w:spacing w:before="200" w:after="100" w:afterAutospacing="1"/>
              <w:jc w:val="center"/>
              <w:outlineLvl w:val="8"/>
              <w:rPr>
                <w:rFonts w:ascii="Calibri" w:hAnsi="Calibri"/>
                <w:color w:val="000000"/>
                <w:sz w:val="22"/>
                <w:szCs w:val="22"/>
                <w:lang w:val="es-ES_tradnl"/>
              </w:rPr>
            </w:pPr>
            <w:r w:rsidRPr="00903982">
              <w:rPr>
                <w:rFonts w:ascii="Calibri" w:hAnsi="Calibri"/>
                <w:color w:val="000000"/>
                <w:sz w:val="22"/>
                <w:szCs w:val="22"/>
                <w:lang w:val="es-ES_tradnl"/>
              </w:rPr>
              <w:t>Sustentabilidad Energética</w:t>
            </w:r>
          </w:p>
          <w:p w14:paraId="079B02EA" w14:textId="77777777" w:rsidR="008F7EB2" w:rsidRPr="00903982" w:rsidRDefault="008F7EB2" w:rsidP="00E745CC">
            <w:pPr>
              <w:spacing w:after="100" w:afterAutospacing="1"/>
              <w:jc w:val="center"/>
              <w:rPr>
                <w:rFonts w:ascii="Calibri" w:hAnsi="Calibri"/>
                <w:color w:val="000000"/>
                <w:sz w:val="22"/>
                <w:szCs w:val="22"/>
                <w:lang w:val="es-ES_tradnl"/>
              </w:rPr>
            </w:pPr>
          </w:p>
          <w:p w14:paraId="71F689B1" w14:textId="358FD32E" w:rsidR="008F7EB2" w:rsidRPr="00903982" w:rsidRDefault="008F7EB2" w:rsidP="00E745CC">
            <w:pPr>
              <w:spacing w:after="100" w:afterAutospacing="1"/>
              <w:jc w:val="center"/>
              <w:rPr>
                <w:rFonts w:asciiTheme="minorHAnsi" w:hAnsiTheme="minorHAnsi" w:cs="Arial"/>
                <w:bCs w:val="0"/>
                <w:sz w:val="22"/>
                <w:szCs w:val="22"/>
                <w:lang w:val="es-ES_tradnl"/>
              </w:rPr>
            </w:pPr>
          </w:p>
        </w:tc>
        <w:tc>
          <w:tcPr>
            <w:tcW w:w="2410" w:type="dxa"/>
          </w:tcPr>
          <w:p w14:paraId="1A0D3E18" w14:textId="42D49B0D" w:rsidR="008F7EB2" w:rsidRPr="00903982" w:rsidRDefault="001E7DD6" w:rsidP="00574C78">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Aumento</w:t>
            </w:r>
            <w:r w:rsidR="00981DD0" w:rsidRPr="00903982">
              <w:rPr>
                <w:rFonts w:asciiTheme="minorHAnsi" w:hAnsiTheme="minorHAnsi" w:cs="Arial"/>
                <w:bCs/>
                <w:sz w:val="22"/>
                <w:szCs w:val="22"/>
                <w:lang w:val="es-ES_tradnl"/>
              </w:rPr>
              <w:t xml:space="preserve"> generación con tecnologías limpias </w:t>
            </w:r>
            <w:r w:rsidR="008F7EB2" w:rsidRPr="00903982">
              <w:rPr>
                <w:rFonts w:asciiTheme="minorHAnsi" w:hAnsiTheme="minorHAnsi" w:cs="Arial"/>
                <w:bCs/>
                <w:sz w:val="22"/>
                <w:szCs w:val="22"/>
                <w:lang w:val="es-ES_tradnl"/>
              </w:rPr>
              <w:t>hasta un 40.5% para el 2030 y disminuir en un 1,9% el crecimiento anual de intensidad energética</w:t>
            </w:r>
          </w:p>
        </w:tc>
        <w:tc>
          <w:tcPr>
            <w:tcW w:w="2551" w:type="dxa"/>
          </w:tcPr>
          <w:p w14:paraId="0913DCB0" w14:textId="1C70BBC9" w:rsidR="008F7EB2" w:rsidRPr="00903982" w:rsidRDefault="008F7EB2" w:rsidP="001E7DD6">
            <w:pPr>
              <w:keepNext/>
              <w:keepLines/>
              <w:spacing w:before="200" w:after="100" w:afterAutospacing="1"/>
              <w:jc w:val="center"/>
              <w:outlineLvl w:val="8"/>
              <w:cnfStyle w:val="000000010000" w:firstRow="0" w:lastRow="0" w:firstColumn="0" w:lastColumn="0" w:oddVBand="0" w:evenVBand="0" w:oddHBand="0" w:evenHBand="1"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Disminución emisiones de CO2 y aumento de aprovechamiento de energía eléctrica. Disminución en precios de operación y aumento en inversión</w:t>
            </w:r>
          </w:p>
        </w:tc>
        <w:tc>
          <w:tcPr>
            <w:tcW w:w="2066" w:type="dxa"/>
          </w:tcPr>
          <w:p w14:paraId="5A0607BB" w14:textId="77C56885" w:rsidR="0058031D" w:rsidRPr="00903982" w:rsidRDefault="001E7DD6" w:rsidP="00574C78">
            <w:pPr>
              <w:spacing w:before="240" w:after="100" w:afterAutospacing="1"/>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Disminución de impactos negativos de generación eléctrica</w:t>
            </w:r>
          </w:p>
        </w:tc>
      </w:tr>
      <w:tr w:rsidR="001E7DD6" w:rsidRPr="00903982" w14:paraId="5E006AD1" w14:textId="77777777" w:rsidTr="001E7D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bottom"/>
          </w:tcPr>
          <w:p w14:paraId="0E5E3532" w14:textId="77777777" w:rsidR="0058031D" w:rsidRPr="00903982" w:rsidRDefault="008F7EB2" w:rsidP="00574C78">
            <w:pPr>
              <w:spacing w:before="240" w:after="100" w:afterAutospacing="1"/>
              <w:jc w:val="center"/>
              <w:rPr>
                <w:rFonts w:ascii="Calibri" w:hAnsi="Calibri"/>
                <w:color w:val="000000"/>
                <w:sz w:val="22"/>
                <w:szCs w:val="22"/>
                <w:lang w:val="es-ES_tradnl"/>
              </w:rPr>
            </w:pPr>
            <w:r w:rsidRPr="00903982">
              <w:rPr>
                <w:rFonts w:ascii="Calibri" w:hAnsi="Calibri"/>
                <w:color w:val="000000"/>
                <w:sz w:val="22"/>
                <w:szCs w:val="22"/>
                <w:lang w:val="es-ES_tradnl"/>
              </w:rPr>
              <w:t>Incremen</w:t>
            </w:r>
            <w:r w:rsidR="0058031D" w:rsidRPr="00903982">
              <w:rPr>
                <w:rFonts w:ascii="Calibri" w:hAnsi="Calibri"/>
                <w:color w:val="000000"/>
                <w:sz w:val="22"/>
                <w:szCs w:val="22"/>
                <w:lang w:val="es-ES_tradnl"/>
              </w:rPr>
              <w:t>to de cobertura eléctrica</w:t>
            </w:r>
          </w:p>
          <w:p w14:paraId="64B942F6" w14:textId="024A8390" w:rsidR="001E7DD6" w:rsidRPr="00903982" w:rsidRDefault="001E7DD6" w:rsidP="00E745CC">
            <w:pPr>
              <w:spacing w:after="100" w:afterAutospacing="1"/>
              <w:jc w:val="center"/>
              <w:rPr>
                <w:rFonts w:asciiTheme="minorHAnsi" w:hAnsiTheme="minorHAnsi" w:cs="Arial"/>
                <w:bCs w:val="0"/>
                <w:sz w:val="22"/>
                <w:szCs w:val="22"/>
                <w:lang w:val="es-ES_tradnl"/>
              </w:rPr>
            </w:pPr>
          </w:p>
        </w:tc>
        <w:tc>
          <w:tcPr>
            <w:tcW w:w="2410" w:type="dxa"/>
          </w:tcPr>
          <w:p w14:paraId="324ACF2E" w14:textId="0F20FDE3" w:rsidR="0058031D" w:rsidRPr="00903982" w:rsidRDefault="001E7DD6" w:rsidP="00E46621">
            <w:pPr>
              <w:spacing w:before="240" w:after="100" w:afterAutospacing="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 xml:space="preserve">Aumento de cobertura eléctrica de un 98,5% a un </w:t>
            </w:r>
            <w:r w:rsidR="00E46621" w:rsidRPr="00903982">
              <w:rPr>
                <w:rFonts w:asciiTheme="minorHAnsi" w:hAnsiTheme="minorHAnsi" w:cs="Arial"/>
                <w:bCs/>
                <w:sz w:val="22"/>
                <w:szCs w:val="22"/>
                <w:lang w:val="es-ES_tradnl"/>
              </w:rPr>
              <w:t>98,7</w:t>
            </w:r>
            <w:r w:rsidRPr="00903982">
              <w:rPr>
                <w:rFonts w:asciiTheme="minorHAnsi" w:hAnsiTheme="minorHAnsi" w:cs="Arial"/>
                <w:bCs/>
                <w:sz w:val="22"/>
                <w:szCs w:val="22"/>
                <w:lang w:val="es-ES_tradnl"/>
              </w:rPr>
              <w:t>% para el año 20</w:t>
            </w:r>
            <w:r w:rsidR="00E46621" w:rsidRPr="00903982">
              <w:rPr>
                <w:rFonts w:asciiTheme="minorHAnsi" w:hAnsiTheme="minorHAnsi" w:cs="Arial"/>
                <w:bCs/>
                <w:sz w:val="22"/>
                <w:szCs w:val="22"/>
                <w:lang w:val="es-ES_tradnl"/>
              </w:rPr>
              <w:t>18</w:t>
            </w:r>
          </w:p>
        </w:tc>
        <w:tc>
          <w:tcPr>
            <w:tcW w:w="2551" w:type="dxa"/>
          </w:tcPr>
          <w:p w14:paraId="7AFADC31" w14:textId="14A299B8" w:rsidR="0058031D" w:rsidRPr="00903982" w:rsidRDefault="001E7DD6" w:rsidP="00574C78">
            <w:pPr>
              <w:spacing w:before="240" w:after="100" w:afterAutospacing="1"/>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Disminución precios de generación y emisiones de CO</w:t>
            </w:r>
            <w:r w:rsidRPr="00903982">
              <w:rPr>
                <w:rFonts w:asciiTheme="minorHAnsi" w:hAnsiTheme="minorHAnsi" w:cs="Arial"/>
                <w:bCs/>
                <w:sz w:val="22"/>
                <w:szCs w:val="22"/>
                <w:vertAlign w:val="subscript"/>
                <w:lang w:val="es-ES_tradnl"/>
              </w:rPr>
              <w:t>2</w:t>
            </w:r>
          </w:p>
        </w:tc>
        <w:tc>
          <w:tcPr>
            <w:tcW w:w="2066" w:type="dxa"/>
          </w:tcPr>
          <w:p w14:paraId="04DE44C2" w14:textId="3AED4739" w:rsidR="0058031D" w:rsidRPr="00903982" w:rsidRDefault="001E7DD6" w:rsidP="001E7DD6">
            <w:pPr>
              <w:keepNext/>
              <w:keepLines/>
              <w:spacing w:before="200" w:after="100" w:afterAutospacing="1"/>
              <w:jc w:val="center"/>
              <w:outlineLvl w:val="8"/>
              <w:cnfStyle w:val="000000100000" w:firstRow="0" w:lastRow="0" w:firstColumn="0" w:lastColumn="0" w:oddVBand="0" w:evenVBand="0" w:oddHBand="1" w:evenHBand="0" w:firstRowFirstColumn="0" w:firstRowLastColumn="0" w:lastRowFirstColumn="0" w:lastRowLastColumn="0"/>
              <w:rPr>
                <w:rFonts w:asciiTheme="minorHAnsi" w:hAnsiTheme="minorHAnsi" w:cs="Arial"/>
                <w:bCs/>
                <w:sz w:val="22"/>
                <w:szCs w:val="22"/>
                <w:lang w:val="es-ES_tradnl"/>
              </w:rPr>
            </w:pPr>
            <w:r w:rsidRPr="00903982">
              <w:rPr>
                <w:rFonts w:asciiTheme="minorHAnsi" w:hAnsiTheme="minorHAnsi" w:cs="Arial"/>
                <w:bCs/>
                <w:sz w:val="22"/>
                <w:szCs w:val="22"/>
                <w:lang w:val="es-ES_tradnl"/>
              </w:rPr>
              <w:t xml:space="preserve">Mayor acceso a electricidad y disminución de impactos negativos de generación eléctrica. </w:t>
            </w:r>
          </w:p>
        </w:tc>
      </w:tr>
    </w:tbl>
    <w:p w14:paraId="79FADFC7" w14:textId="1B3791C1" w:rsidR="0058031D" w:rsidRPr="00903982" w:rsidRDefault="001E7DD6" w:rsidP="00E745CC">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Prospectiva del Sector Eléctrico 2016-2030 de la Secretaría de Energía de México</w:t>
      </w:r>
      <w:r w:rsidRPr="00903982">
        <w:rPr>
          <w:rFonts w:asciiTheme="minorHAnsi" w:hAnsiTheme="minorHAnsi" w:cs="Arial"/>
          <w:bCs/>
          <w:noProof/>
          <w:sz w:val="22"/>
          <w:szCs w:val="22"/>
          <w:lang w:val="es-ES_tradnl"/>
        </w:rPr>
        <w:t xml:space="preserve"> </w:t>
      </w:r>
    </w:p>
    <w:p w14:paraId="74F951B1" w14:textId="530C7ACB" w:rsidR="005B11D8" w:rsidRPr="00903982" w:rsidRDefault="005B11D8" w:rsidP="00574C78">
      <w:pPr>
        <w:autoSpaceDE w:val="0"/>
        <w:autoSpaceDN w:val="0"/>
        <w:adjustRightInd w:val="0"/>
        <w:spacing w:after="100" w:afterAutospacing="1"/>
        <w:jc w:val="both"/>
        <w:rPr>
          <w:rFonts w:asciiTheme="minorHAnsi" w:hAnsiTheme="minorHAnsi"/>
          <w:b/>
          <w:sz w:val="22"/>
          <w:szCs w:val="22"/>
          <w:lang w:val="es-ES_tradnl"/>
        </w:rPr>
      </w:pPr>
      <w:r w:rsidRPr="00903982">
        <w:rPr>
          <w:rFonts w:asciiTheme="minorHAnsi" w:hAnsiTheme="minorHAnsi"/>
          <w:b/>
          <w:sz w:val="22"/>
          <w:szCs w:val="22"/>
          <w:lang w:val="es-ES_tradnl"/>
        </w:rPr>
        <w:t>Valorización de Impactos</w:t>
      </w:r>
    </w:p>
    <w:p w14:paraId="21FDEF53" w14:textId="1354F8E8" w:rsidR="005B11D8" w:rsidRPr="00903982" w:rsidRDefault="005B11D8" w:rsidP="005B11D8">
      <w:pPr>
        <w:spacing w:after="100" w:afterAutospacing="1"/>
        <w:jc w:val="both"/>
        <w:rPr>
          <w:rFonts w:asciiTheme="minorHAnsi" w:hAnsiTheme="minorHAnsi"/>
          <w:b/>
          <w:sz w:val="22"/>
          <w:szCs w:val="22"/>
          <w:lang w:val="es-ES_tradnl"/>
        </w:rPr>
      </w:pPr>
      <w:r w:rsidRPr="00903982">
        <w:rPr>
          <w:rFonts w:asciiTheme="minorHAnsi" w:hAnsiTheme="minorHAnsi"/>
          <w:sz w:val="22"/>
          <w:szCs w:val="22"/>
          <w:lang w:val="es-ES_tradnl"/>
        </w:rPr>
        <w:t xml:space="preserve">Los </w:t>
      </w:r>
      <w:r w:rsidRPr="00903982">
        <w:rPr>
          <w:rFonts w:asciiTheme="minorHAnsi" w:hAnsiTheme="minorHAnsi"/>
          <w:b/>
          <w:sz w:val="22"/>
          <w:szCs w:val="22"/>
          <w:lang w:val="es-ES_tradnl"/>
        </w:rPr>
        <w:t>impactos primarios</w:t>
      </w:r>
      <w:r w:rsidRPr="00903982">
        <w:rPr>
          <w:rFonts w:asciiTheme="minorHAnsi" w:hAnsiTheme="minorHAnsi"/>
          <w:sz w:val="22"/>
          <w:szCs w:val="22"/>
          <w:lang w:val="es-ES_tradnl"/>
        </w:rPr>
        <w:t xml:space="preserve"> señalados generan beneficios para el conjunto de la sociedad que se pueden valorizar. Por una parte, la reducción de emisiones de GEI se valora a través de un precio de mercado</w:t>
      </w:r>
      <w:r w:rsidR="000C26B0" w:rsidRPr="00903982">
        <w:rPr>
          <w:rFonts w:asciiTheme="minorHAnsi" w:hAnsiTheme="minorHAnsi"/>
          <w:sz w:val="22"/>
          <w:szCs w:val="22"/>
          <w:lang w:val="es-ES_tradnl"/>
        </w:rPr>
        <w:t>,</w:t>
      </w:r>
      <w:r w:rsidRPr="00903982">
        <w:rPr>
          <w:rFonts w:asciiTheme="minorHAnsi" w:hAnsiTheme="minorHAnsi"/>
          <w:sz w:val="22"/>
          <w:szCs w:val="22"/>
          <w:lang w:val="es-ES_tradnl"/>
        </w:rPr>
        <w:t xml:space="preserve"> y por la otra</w:t>
      </w:r>
      <w:r w:rsidR="000C26B0" w:rsidRPr="00903982">
        <w:rPr>
          <w:rFonts w:asciiTheme="minorHAnsi" w:hAnsiTheme="minorHAnsi"/>
          <w:sz w:val="22"/>
          <w:szCs w:val="22"/>
          <w:lang w:val="es-ES_tradnl"/>
        </w:rPr>
        <w:t>,</w:t>
      </w:r>
      <w:r w:rsidRPr="00903982">
        <w:rPr>
          <w:rFonts w:asciiTheme="minorHAnsi" w:hAnsiTheme="minorHAnsi"/>
          <w:sz w:val="22"/>
          <w:szCs w:val="22"/>
          <w:lang w:val="es-ES_tradnl"/>
        </w:rPr>
        <w:t xml:space="preserve"> el diferencial de gasto energético en los principales sectores de la economía</w:t>
      </w:r>
      <w:r w:rsidR="00F444B2">
        <w:rPr>
          <w:rFonts w:asciiTheme="minorHAnsi" w:hAnsiTheme="minorHAnsi"/>
          <w:sz w:val="22"/>
          <w:szCs w:val="22"/>
          <w:lang w:val="es-ES_tradnl"/>
        </w:rPr>
        <w:t>,</w:t>
      </w:r>
      <w:r w:rsidRPr="00903982">
        <w:rPr>
          <w:rFonts w:asciiTheme="minorHAnsi" w:hAnsiTheme="minorHAnsi"/>
          <w:sz w:val="22"/>
          <w:szCs w:val="22"/>
          <w:lang w:val="es-ES_tradnl"/>
        </w:rPr>
        <w:t xml:space="preserve"> se pueden valorizar a su valor nominal.</w:t>
      </w:r>
    </w:p>
    <w:p w14:paraId="25D2FFB2" w14:textId="79260C49" w:rsidR="005B11D8" w:rsidRPr="00903982" w:rsidRDefault="005B11D8" w:rsidP="005B11D8">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 xml:space="preserve">De esta forma cada uno de los impactos en emisiones y gasto energético provenientes de las medidas del Programa se puede valorizar a través de sus impactos primarios. Es importante mencionar que toda medida se puede descomponer en una componente de reducción de emisiones </w:t>
      </w:r>
      <w:r w:rsidRPr="00903982">
        <w:rPr>
          <w:rFonts w:asciiTheme="minorHAnsi" w:hAnsiTheme="minorHAnsi"/>
          <w:sz w:val="22"/>
          <w:szCs w:val="22"/>
          <w:lang w:val="es-ES_tradnl"/>
        </w:rPr>
        <w:lastRenderedPageBreak/>
        <w:t>y otra de gasto energético. A modo de ejemplo, la eficiencia energé</w:t>
      </w:r>
      <w:r w:rsidR="00903982">
        <w:rPr>
          <w:rFonts w:asciiTheme="minorHAnsi" w:hAnsiTheme="minorHAnsi"/>
          <w:sz w:val="22"/>
          <w:szCs w:val="22"/>
          <w:lang w:val="es-ES_tradnl"/>
        </w:rPr>
        <w:t>tica, que busca reducir la intens</w:t>
      </w:r>
      <w:r w:rsidRPr="00903982">
        <w:rPr>
          <w:rFonts w:asciiTheme="minorHAnsi" w:hAnsiTheme="minorHAnsi"/>
          <w:sz w:val="22"/>
          <w:szCs w:val="22"/>
          <w:lang w:val="es-ES_tradnl"/>
        </w:rPr>
        <w:t>idad energética, tiene un componente de menores emisiones debido al menor consumo energético, pero también menor gasto energético, para todos los sectores en los que se apliquen dichas medidas.</w:t>
      </w:r>
    </w:p>
    <w:p w14:paraId="0EF41B0F" w14:textId="69524D82" w:rsidR="005B11D8" w:rsidRPr="00903982" w:rsidRDefault="005B11D8" w:rsidP="005B11D8">
      <w:pPr>
        <w:spacing w:after="100" w:afterAutospacing="1"/>
        <w:jc w:val="both"/>
        <w:rPr>
          <w:rFonts w:asciiTheme="minorHAnsi" w:hAnsiTheme="minorHAnsi" w:cs="Arial"/>
          <w:bCs/>
          <w:sz w:val="22"/>
          <w:szCs w:val="22"/>
          <w:lang w:val="es-ES_tradnl"/>
        </w:rPr>
      </w:pPr>
      <w:r w:rsidRPr="00903982">
        <w:rPr>
          <w:rFonts w:asciiTheme="minorHAnsi" w:hAnsiTheme="minorHAnsi" w:cs="Arial"/>
          <w:bCs/>
          <w:sz w:val="22"/>
          <w:szCs w:val="22"/>
          <w:lang w:val="es-ES_tradnl"/>
        </w:rPr>
        <w:t xml:space="preserve">Cabe señalar que los resultados son conservadores. Por una parte, cuando la información no permite estimar un valor único, se utilizará el más conservador respecto de los beneficios. Por otra parte, hay un conjunto de beneficios de </w:t>
      </w:r>
      <w:r w:rsidRPr="00903982">
        <w:rPr>
          <w:rFonts w:asciiTheme="minorHAnsi" w:hAnsiTheme="minorHAnsi" w:cs="Arial"/>
          <w:b/>
          <w:bCs/>
          <w:sz w:val="22"/>
          <w:szCs w:val="22"/>
          <w:lang w:val="es-ES_tradnl"/>
        </w:rPr>
        <w:t xml:space="preserve">impactos secundarios </w:t>
      </w:r>
      <w:r w:rsidRPr="00903982">
        <w:rPr>
          <w:rFonts w:asciiTheme="minorHAnsi" w:hAnsiTheme="minorHAnsi" w:cs="Arial"/>
          <w:bCs/>
          <w:sz w:val="22"/>
          <w:szCs w:val="22"/>
          <w:lang w:val="es-ES_tradnl"/>
        </w:rPr>
        <w:t>que no se evaluarán. Estos impactos secundarios incluyen:</w:t>
      </w:r>
    </w:p>
    <w:p w14:paraId="45BEBD48" w14:textId="77777777" w:rsidR="005B11D8" w:rsidRPr="00903982" w:rsidRDefault="005B11D8" w:rsidP="005B11D8">
      <w:pPr>
        <w:pStyle w:val="ListParagraph"/>
        <w:numPr>
          <w:ilvl w:val="0"/>
          <w:numId w:val="26"/>
        </w:numPr>
        <w:spacing w:after="100" w:afterAutospacing="1"/>
        <w:jc w:val="both"/>
        <w:rPr>
          <w:rFonts w:cs="Arial"/>
          <w:bCs/>
          <w:lang w:val="es-ES_tradnl"/>
        </w:rPr>
      </w:pPr>
      <w:r w:rsidRPr="00903982">
        <w:rPr>
          <w:rFonts w:cs="Arial"/>
          <w:bCs/>
          <w:lang w:val="es-ES_tradnl"/>
        </w:rPr>
        <w:t>Mayor competitividad de las industrias debido al menor gasto en energía;</w:t>
      </w:r>
    </w:p>
    <w:p w14:paraId="41703ACA" w14:textId="77777777" w:rsidR="005B11D8" w:rsidRPr="00903982" w:rsidRDefault="005B11D8" w:rsidP="005B11D8">
      <w:pPr>
        <w:pStyle w:val="ListParagraph"/>
        <w:numPr>
          <w:ilvl w:val="0"/>
          <w:numId w:val="26"/>
        </w:numPr>
        <w:spacing w:after="100" w:afterAutospacing="1"/>
        <w:jc w:val="both"/>
        <w:rPr>
          <w:rFonts w:cs="Arial"/>
          <w:bCs/>
          <w:lang w:val="es-ES_tradnl"/>
        </w:rPr>
      </w:pPr>
      <w:r w:rsidRPr="00903982">
        <w:rPr>
          <w:rFonts w:cs="Arial"/>
          <w:bCs/>
          <w:lang w:val="es-ES_tradnl"/>
        </w:rPr>
        <w:t xml:space="preserve">Reducción de emisiones directas de la generación de otros contaminantes como óxidos de nitrógeno, óxidos de azufre, metales, </w:t>
      </w:r>
      <w:proofErr w:type="spellStart"/>
      <w:r w:rsidRPr="00903982">
        <w:rPr>
          <w:rFonts w:cs="Arial"/>
          <w:bCs/>
          <w:lang w:val="es-ES_tradnl"/>
        </w:rPr>
        <w:t>etc</w:t>
      </w:r>
      <w:proofErr w:type="spellEnd"/>
      <w:r w:rsidRPr="00903982">
        <w:rPr>
          <w:rFonts w:cs="Arial"/>
          <w:bCs/>
          <w:lang w:val="es-ES_tradnl"/>
        </w:rPr>
        <w:t>;</w:t>
      </w:r>
    </w:p>
    <w:p w14:paraId="506E66BA" w14:textId="4EEF26C4" w:rsidR="000C26B0" w:rsidRPr="00903982" w:rsidRDefault="000C26B0" w:rsidP="005B11D8">
      <w:pPr>
        <w:pStyle w:val="ListParagraph"/>
        <w:numPr>
          <w:ilvl w:val="0"/>
          <w:numId w:val="26"/>
        </w:numPr>
        <w:spacing w:after="100" w:afterAutospacing="1"/>
        <w:jc w:val="both"/>
        <w:rPr>
          <w:rFonts w:cs="Arial"/>
          <w:bCs/>
          <w:lang w:val="es-ES_tradnl"/>
        </w:rPr>
      </w:pPr>
      <w:r w:rsidRPr="00903982">
        <w:rPr>
          <w:rFonts w:cs="Arial"/>
          <w:bCs/>
          <w:lang w:val="es-ES_tradnl"/>
        </w:rPr>
        <w:t>Mejores señales de eficiencia debido que la disminución de pérdidas no técnicas lleva a que los usuarios paguen por la energía que consumen.</w:t>
      </w:r>
    </w:p>
    <w:p w14:paraId="098C23BD" w14:textId="77777777" w:rsidR="005B11D8" w:rsidRPr="00903982" w:rsidRDefault="005B11D8" w:rsidP="005B11D8">
      <w:pPr>
        <w:pStyle w:val="ListParagraph"/>
        <w:numPr>
          <w:ilvl w:val="0"/>
          <w:numId w:val="26"/>
        </w:numPr>
        <w:spacing w:after="100" w:afterAutospacing="1"/>
        <w:jc w:val="both"/>
        <w:rPr>
          <w:rFonts w:cs="Arial"/>
          <w:bCs/>
          <w:lang w:val="es-ES_tradnl"/>
        </w:rPr>
      </w:pPr>
      <w:r w:rsidRPr="00903982">
        <w:rPr>
          <w:rFonts w:cs="Arial"/>
          <w:bCs/>
          <w:lang w:val="es-ES_tradnl"/>
        </w:rPr>
        <w:t>Beneficio por mayor disponibilidad de ingreso en quintiles más vulnerables debido a menor gasto en energía;</w:t>
      </w:r>
    </w:p>
    <w:p w14:paraId="6043C0A8" w14:textId="77777777" w:rsidR="005B11D8" w:rsidRPr="00903982" w:rsidRDefault="005B11D8" w:rsidP="005B11D8">
      <w:pPr>
        <w:pStyle w:val="ListParagraph"/>
        <w:numPr>
          <w:ilvl w:val="0"/>
          <w:numId w:val="26"/>
        </w:numPr>
        <w:spacing w:after="100" w:afterAutospacing="1"/>
        <w:jc w:val="both"/>
        <w:rPr>
          <w:rFonts w:cs="Arial"/>
          <w:bCs/>
          <w:lang w:val="es-ES_tradnl"/>
        </w:rPr>
      </w:pPr>
      <w:r w:rsidRPr="00903982">
        <w:rPr>
          <w:rFonts w:cs="Arial"/>
          <w:bCs/>
          <w:lang w:val="es-ES_tradnl"/>
        </w:rPr>
        <w:t>Menores costos de desarrollo de proyectos energéticos producto de menos conflictos sociales asociado a desarrollo de matriz más limpia y a la participación de la sociedad en la elaboración de la política energética;</w:t>
      </w:r>
    </w:p>
    <w:p w14:paraId="2242D34F" w14:textId="77777777" w:rsidR="005B11D8" w:rsidRPr="00903982" w:rsidRDefault="005B11D8" w:rsidP="005B11D8">
      <w:pPr>
        <w:pStyle w:val="ListParagraph"/>
        <w:numPr>
          <w:ilvl w:val="0"/>
          <w:numId w:val="26"/>
        </w:numPr>
        <w:spacing w:after="100" w:afterAutospacing="1"/>
        <w:jc w:val="both"/>
        <w:rPr>
          <w:rFonts w:cs="Arial"/>
          <w:bCs/>
          <w:lang w:val="es-ES_tradnl"/>
        </w:rPr>
      </w:pPr>
      <w:r w:rsidRPr="00903982">
        <w:rPr>
          <w:rFonts w:cs="Arial"/>
          <w:bCs/>
          <w:lang w:val="es-ES_tradnl"/>
        </w:rPr>
        <w:t>Menos riesgos en el desarrollo de proyectos productivos debido a menor incertidumbre en disponibilidad y tarifa de energía;</w:t>
      </w:r>
    </w:p>
    <w:p w14:paraId="40BF59BB" w14:textId="0D0A6D75" w:rsidR="00E04019" w:rsidRPr="00903982" w:rsidRDefault="005B11D8" w:rsidP="005B11D8">
      <w:pPr>
        <w:pStyle w:val="ListParagraph"/>
        <w:numPr>
          <w:ilvl w:val="0"/>
          <w:numId w:val="26"/>
        </w:numPr>
        <w:spacing w:after="100" w:afterAutospacing="1"/>
        <w:jc w:val="both"/>
        <w:rPr>
          <w:rFonts w:cs="Arial"/>
          <w:bCs/>
          <w:lang w:val="es-ES_tradnl"/>
        </w:rPr>
      </w:pPr>
      <w:r w:rsidRPr="00903982">
        <w:rPr>
          <w:lang w:val="es-ES_tradnl"/>
        </w:rPr>
        <w:t>Mantener la condición de país de bajo riesgo para las inversiones externas y ser sujeto para los programas que se desarrollen para apoyar la incorporación de nuevas tecnologías para mitigar o adaptarse al cambio climático, producto del cumplimiento de los compromisos de reducción de emisiones GEI.</w:t>
      </w:r>
    </w:p>
    <w:p w14:paraId="33ACAD01" w14:textId="5278E6A4" w:rsidR="005B11D8" w:rsidRPr="00903982" w:rsidRDefault="005B11D8" w:rsidP="005B11D8">
      <w:pPr>
        <w:spacing w:after="100" w:afterAutospacing="1"/>
        <w:jc w:val="both"/>
        <w:rPr>
          <w:rFonts w:asciiTheme="minorHAnsi" w:hAnsiTheme="minorHAnsi"/>
          <w:b/>
          <w:sz w:val="22"/>
          <w:szCs w:val="22"/>
          <w:lang w:val="es-ES_tradnl"/>
        </w:rPr>
      </w:pPr>
      <w:r w:rsidRPr="00903982">
        <w:rPr>
          <w:rFonts w:asciiTheme="minorHAnsi" w:hAnsiTheme="minorHAnsi"/>
          <w:b/>
          <w:sz w:val="22"/>
          <w:szCs w:val="22"/>
          <w:lang w:val="es-ES_tradnl"/>
        </w:rPr>
        <w:t>Valoración de Emisiones de Contaminantes Globales</w:t>
      </w:r>
    </w:p>
    <w:p w14:paraId="52847691" w14:textId="3AE33FCD" w:rsidR="00280D79" w:rsidRPr="00903982" w:rsidRDefault="005B11D8" w:rsidP="005B11D8">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Los beneficios de la reducción de las emisiones de CO</w:t>
      </w:r>
      <w:r w:rsidR="00280D79" w:rsidRPr="00903982">
        <w:rPr>
          <w:rFonts w:asciiTheme="minorHAnsi" w:hAnsiTheme="minorHAnsi"/>
          <w:sz w:val="22"/>
          <w:szCs w:val="22"/>
          <w:vertAlign w:val="subscript"/>
          <w:lang w:val="es-ES_tradnl"/>
        </w:rPr>
        <w:t>2</w:t>
      </w:r>
      <w:r w:rsidRPr="00903982">
        <w:rPr>
          <w:rFonts w:asciiTheme="minorHAnsi" w:hAnsiTheme="minorHAnsi"/>
          <w:sz w:val="22"/>
          <w:szCs w:val="22"/>
          <w:lang w:val="es-ES_tradnl"/>
        </w:rPr>
        <w:t xml:space="preserve"> fueron valorizados usando el precio de carbono de mercado entregado por </w:t>
      </w:r>
      <w:r w:rsidR="00CD6175" w:rsidRPr="00903982">
        <w:rPr>
          <w:rFonts w:asciiTheme="minorHAnsi" w:hAnsiTheme="minorHAnsi"/>
          <w:i/>
          <w:sz w:val="22"/>
          <w:szCs w:val="22"/>
          <w:lang w:val="es-ES_tradnl"/>
        </w:rPr>
        <w:t>i</w:t>
      </w:r>
      <w:r w:rsidR="005953F3" w:rsidRPr="00903982">
        <w:rPr>
          <w:rFonts w:asciiTheme="minorHAnsi" w:hAnsiTheme="minorHAnsi"/>
          <w:i/>
          <w:sz w:val="22"/>
          <w:szCs w:val="22"/>
          <w:lang w:val="es-ES_tradnl"/>
        </w:rPr>
        <w:t>nvesting.com</w:t>
      </w:r>
      <w:r w:rsidR="005953F3" w:rsidRPr="00903982">
        <w:rPr>
          <w:rFonts w:asciiTheme="minorHAnsi" w:hAnsiTheme="minorHAnsi"/>
          <w:sz w:val="22"/>
          <w:szCs w:val="22"/>
          <w:lang w:val="es-ES_tradnl"/>
        </w:rPr>
        <w:t xml:space="preserve">. </w:t>
      </w:r>
      <w:r w:rsidRPr="00903982">
        <w:rPr>
          <w:rFonts w:asciiTheme="minorHAnsi" w:hAnsiTheme="minorHAnsi"/>
          <w:sz w:val="22"/>
          <w:szCs w:val="22"/>
          <w:lang w:val="es-ES_tradnl"/>
        </w:rPr>
        <w:t>El precio para el año 2017 de una tonelada de carbono corresponde a 4,53 US$/</w:t>
      </w:r>
      <w:r w:rsidR="001D1CBE" w:rsidRPr="00903982">
        <w:rPr>
          <w:rFonts w:asciiTheme="minorHAnsi" w:hAnsiTheme="minorHAnsi"/>
          <w:sz w:val="22"/>
          <w:szCs w:val="22"/>
          <w:lang w:val="es-ES_tradnl"/>
        </w:rPr>
        <w:t>ton</w:t>
      </w:r>
      <w:r w:rsidRPr="00903982">
        <w:rPr>
          <w:rFonts w:asciiTheme="minorHAnsi" w:hAnsiTheme="minorHAnsi"/>
          <w:sz w:val="22"/>
          <w:szCs w:val="22"/>
          <w:lang w:val="es-ES_tradnl"/>
        </w:rPr>
        <w:t xml:space="preserve">. </w:t>
      </w:r>
      <w:r w:rsidR="001356FD" w:rsidRPr="00903982">
        <w:rPr>
          <w:rFonts w:asciiTheme="minorHAnsi" w:hAnsiTheme="minorHAnsi"/>
          <w:sz w:val="22"/>
          <w:szCs w:val="22"/>
          <w:lang w:val="es-ES_tradnl"/>
        </w:rPr>
        <w:t>La cantidad de CO</w:t>
      </w:r>
      <w:r w:rsidR="001356FD" w:rsidRPr="00903982">
        <w:rPr>
          <w:rFonts w:asciiTheme="minorHAnsi" w:hAnsiTheme="minorHAnsi"/>
          <w:sz w:val="22"/>
          <w:szCs w:val="22"/>
          <w:vertAlign w:val="subscript"/>
          <w:lang w:val="es-ES_tradnl"/>
        </w:rPr>
        <w:t>2</w:t>
      </w:r>
      <w:r w:rsidR="001356FD" w:rsidRPr="00903982">
        <w:rPr>
          <w:rFonts w:asciiTheme="minorHAnsi" w:hAnsiTheme="minorHAnsi"/>
          <w:sz w:val="22"/>
          <w:szCs w:val="22"/>
          <w:lang w:val="es-ES_tradnl"/>
        </w:rPr>
        <w:t xml:space="preserve"> producido por tipo de generación se puede apreciar a continuación.</w:t>
      </w:r>
    </w:p>
    <w:p w14:paraId="7B23DF3C" w14:textId="376FB9DC" w:rsidR="00B74274" w:rsidRPr="00903982" w:rsidRDefault="00B74274" w:rsidP="00574C78">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9</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Emisión de CO</w:t>
      </w:r>
      <w:r w:rsidRPr="00903982">
        <w:rPr>
          <w:rFonts w:asciiTheme="minorHAnsi" w:hAnsiTheme="minorHAnsi"/>
          <w:b w:val="0"/>
          <w:sz w:val="22"/>
          <w:vertAlign w:val="subscript"/>
          <w:lang w:val="es-ES_tradnl"/>
        </w:rPr>
        <w:t>2</w:t>
      </w:r>
      <w:r w:rsidRPr="00903982">
        <w:rPr>
          <w:rFonts w:asciiTheme="minorHAnsi" w:hAnsiTheme="minorHAnsi"/>
          <w:b w:val="0"/>
          <w:sz w:val="22"/>
          <w:lang w:val="es-ES_tradnl"/>
        </w:rPr>
        <w:t xml:space="preserve"> por tipo de generación</w:t>
      </w:r>
    </w:p>
    <w:tbl>
      <w:tblPr>
        <w:tblStyle w:val="LightShading-Accent1"/>
        <w:tblW w:w="4956" w:type="dxa"/>
        <w:jc w:val="center"/>
        <w:tblLook w:val="04A0" w:firstRow="1" w:lastRow="0" w:firstColumn="1" w:lastColumn="0" w:noHBand="0" w:noVBand="1"/>
      </w:tblPr>
      <w:tblGrid>
        <w:gridCol w:w="3162"/>
        <w:gridCol w:w="1794"/>
      </w:tblGrid>
      <w:tr w:rsidR="001356FD" w:rsidRPr="00903982" w14:paraId="2B046416" w14:textId="77777777" w:rsidTr="00313F9C">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5B4017B7" w14:textId="7F1D6CDA" w:rsidR="001356FD" w:rsidRPr="00903982" w:rsidRDefault="001356FD" w:rsidP="001356FD">
            <w:pPr>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Tipo de generación</w:t>
            </w:r>
          </w:p>
        </w:tc>
        <w:tc>
          <w:tcPr>
            <w:tcW w:w="1794" w:type="dxa"/>
            <w:noWrap/>
            <w:hideMark/>
          </w:tcPr>
          <w:p w14:paraId="3D240C9B" w14:textId="76F9D44C" w:rsidR="001356FD" w:rsidRPr="00903982" w:rsidRDefault="00925850" w:rsidP="001356F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Emisiones</w:t>
            </w:r>
            <w:r w:rsidR="00B74274" w:rsidRPr="00903982">
              <w:rPr>
                <w:rFonts w:ascii="Calibri" w:eastAsia="Times New Roman" w:hAnsi="Calibri"/>
                <w:color w:val="000000"/>
                <w:sz w:val="22"/>
                <w:szCs w:val="22"/>
                <w:lang w:val="es-ES_tradnl"/>
              </w:rPr>
              <w:t xml:space="preserve"> (Ton CO2/GW</w:t>
            </w:r>
            <w:r w:rsidR="001356FD" w:rsidRPr="00903982">
              <w:rPr>
                <w:rFonts w:ascii="Calibri" w:eastAsia="Times New Roman" w:hAnsi="Calibri"/>
                <w:color w:val="000000"/>
                <w:sz w:val="22"/>
                <w:szCs w:val="22"/>
                <w:lang w:val="es-ES_tradnl"/>
              </w:rPr>
              <w:t>h)</w:t>
            </w:r>
          </w:p>
        </w:tc>
      </w:tr>
      <w:tr w:rsidR="00313F9C" w:rsidRPr="00903982" w14:paraId="4934ABB2" w14:textId="77777777" w:rsidTr="00313F9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133D6F06" w14:textId="6E64DE3C"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Ciclo combinado</w:t>
            </w:r>
          </w:p>
        </w:tc>
        <w:tc>
          <w:tcPr>
            <w:tcW w:w="1794" w:type="dxa"/>
            <w:noWrap/>
            <w:hideMark/>
          </w:tcPr>
          <w:p w14:paraId="732E104F" w14:textId="79BD0970"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417 </w:t>
            </w:r>
          </w:p>
        </w:tc>
      </w:tr>
      <w:tr w:rsidR="00313F9C" w:rsidRPr="00903982" w14:paraId="0C586CFC" w14:textId="77777777" w:rsidTr="00313F9C">
        <w:trPr>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3BD35101" w14:textId="3BB66187"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Carboeléctrica</w:t>
            </w:r>
          </w:p>
        </w:tc>
        <w:tc>
          <w:tcPr>
            <w:tcW w:w="1794" w:type="dxa"/>
            <w:noWrap/>
            <w:hideMark/>
          </w:tcPr>
          <w:p w14:paraId="4A5A7C1E" w14:textId="45DA7E32"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681 </w:t>
            </w:r>
          </w:p>
        </w:tc>
      </w:tr>
      <w:tr w:rsidR="00313F9C" w:rsidRPr="00903982" w14:paraId="712C5198" w14:textId="77777777" w:rsidTr="00313F9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47209A17" w14:textId="210DF2C9"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Hidroeléctrica</w:t>
            </w:r>
          </w:p>
        </w:tc>
        <w:tc>
          <w:tcPr>
            <w:tcW w:w="1794" w:type="dxa"/>
            <w:noWrap/>
            <w:hideMark/>
          </w:tcPr>
          <w:p w14:paraId="05DFAE3F" w14:textId="2628DB43"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26 </w:t>
            </w:r>
          </w:p>
        </w:tc>
      </w:tr>
      <w:tr w:rsidR="00313F9C" w:rsidRPr="00903982" w14:paraId="076CDF91" w14:textId="77777777" w:rsidTr="00313F9C">
        <w:trPr>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2A200685" w14:textId="5AF734CA"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Eólica</w:t>
            </w:r>
          </w:p>
        </w:tc>
        <w:tc>
          <w:tcPr>
            <w:tcW w:w="1794" w:type="dxa"/>
            <w:noWrap/>
            <w:hideMark/>
          </w:tcPr>
          <w:p w14:paraId="4692C3C3" w14:textId="1C50B6CD"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26 </w:t>
            </w:r>
          </w:p>
        </w:tc>
      </w:tr>
      <w:tr w:rsidR="00313F9C" w:rsidRPr="00903982" w14:paraId="170970A1" w14:textId="77777777" w:rsidTr="00313F9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045B186C" w14:textId="09031087"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Geotérmica</w:t>
            </w:r>
          </w:p>
        </w:tc>
        <w:tc>
          <w:tcPr>
            <w:tcW w:w="1794" w:type="dxa"/>
            <w:noWrap/>
            <w:hideMark/>
          </w:tcPr>
          <w:p w14:paraId="2A8DA541" w14:textId="219F8F1A"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26 </w:t>
            </w:r>
          </w:p>
        </w:tc>
      </w:tr>
      <w:tr w:rsidR="00313F9C" w:rsidRPr="00903982" w14:paraId="0AC7E564" w14:textId="77777777" w:rsidTr="00313F9C">
        <w:trPr>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552A8A5D" w14:textId="4A7C5016"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Solar fotovoltaica</w:t>
            </w:r>
          </w:p>
        </w:tc>
        <w:tc>
          <w:tcPr>
            <w:tcW w:w="1794" w:type="dxa"/>
            <w:noWrap/>
            <w:hideMark/>
          </w:tcPr>
          <w:p w14:paraId="0D22CAB9" w14:textId="4A69500A"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85 </w:t>
            </w:r>
          </w:p>
        </w:tc>
      </w:tr>
      <w:tr w:rsidR="00313F9C" w:rsidRPr="00903982" w14:paraId="1B1CEA75" w14:textId="77777777" w:rsidTr="00313F9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2954926E" w14:textId="6B17B1F9"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Solar térmica</w:t>
            </w:r>
          </w:p>
        </w:tc>
        <w:tc>
          <w:tcPr>
            <w:tcW w:w="1794" w:type="dxa"/>
            <w:noWrap/>
            <w:hideMark/>
          </w:tcPr>
          <w:p w14:paraId="75355C25" w14:textId="16D36B4D"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85 </w:t>
            </w:r>
          </w:p>
        </w:tc>
      </w:tr>
      <w:tr w:rsidR="00313F9C" w:rsidRPr="00903982" w14:paraId="02054008" w14:textId="77777777" w:rsidTr="00313F9C">
        <w:trPr>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1CC259C4" w14:textId="61DBA640"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Nuclear</w:t>
            </w:r>
          </w:p>
        </w:tc>
        <w:tc>
          <w:tcPr>
            <w:tcW w:w="1794" w:type="dxa"/>
            <w:noWrap/>
            <w:hideMark/>
          </w:tcPr>
          <w:p w14:paraId="2F1CE18A" w14:textId="23959DC6"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29 </w:t>
            </w:r>
          </w:p>
        </w:tc>
      </w:tr>
      <w:tr w:rsidR="00313F9C" w:rsidRPr="00903982" w14:paraId="5C43F342" w14:textId="77777777" w:rsidTr="00313F9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7B7CC4A5" w14:textId="3DD2840E"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lastRenderedPageBreak/>
              <w:t>Biomasa</w:t>
            </w:r>
          </w:p>
        </w:tc>
        <w:tc>
          <w:tcPr>
            <w:tcW w:w="1794" w:type="dxa"/>
            <w:noWrap/>
          </w:tcPr>
          <w:p w14:paraId="7C90DB8F" w14:textId="5020DFBB"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2"/>
                <w:szCs w:val="22"/>
                <w:lang w:val="es-ES_tradnl"/>
              </w:rPr>
            </w:pPr>
            <w:r w:rsidRPr="00903982">
              <w:rPr>
                <w:rFonts w:asciiTheme="minorHAnsi" w:hAnsiTheme="minorHAnsi"/>
                <w:color w:val="auto"/>
                <w:sz w:val="22"/>
                <w:lang w:val="es-ES_tradnl"/>
              </w:rPr>
              <w:t xml:space="preserve"> 45 </w:t>
            </w:r>
          </w:p>
        </w:tc>
      </w:tr>
      <w:tr w:rsidR="00313F9C" w:rsidRPr="00903982" w14:paraId="7759B47C" w14:textId="77777777" w:rsidTr="00313F9C">
        <w:trPr>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35D823FD" w14:textId="1833F030" w:rsidR="00313F9C" w:rsidRPr="00903982" w:rsidRDefault="00313F9C" w:rsidP="001356FD">
            <w:pPr>
              <w:rPr>
                <w:rFonts w:asciiTheme="minorHAnsi" w:eastAsia="Times New Roman" w:hAnsiTheme="minorHAnsi"/>
                <w:color w:val="auto"/>
                <w:sz w:val="22"/>
                <w:szCs w:val="22"/>
                <w:lang w:val="es-ES_tradnl"/>
              </w:rPr>
            </w:pPr>
            <w:proofErr w:type="spellStart"/>
            <w:r w:rsidRPr="00903982">
              <w:rPr>
                <w:rFonts w:asciiTheme="minorHAnsi" w:hAnsiTheme="minorHAnsi"/>
                <w:color w:val="auto"/>
                <w:sz w:val="22"/>
                <w:lang w:val="es-ES_tradnl"/>
              </w:rPr>
              <w:t>Turbogas</w:t>
            </w:r>
            <w:proofErr w:type="spellEnd"/>
          </w:p>
        </w:tc>
        <w:tc>
          <w:tcPr>
            <w:tcW w:w="1794" w:type="dxa"/>
            <w:noWrap/>
          </w:tcPr>
          <w:p w14:paraId="3FE961CC" w14:textId="1B922074"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2"/>
                <w:szCs w:val="22"/>
                <w:lang w:val="es-ES_tradnl"/>
              </w:rPr>
            </w:pPr>
            <w:r w:rsidRPr="00903982">
              <w:rPr>
                <w:rFonts w:asciiTheme="minorHAnsi" w:hAnsiTheme="minorHAnsi"/>
                <w:color w:val="auto"/>
                <w:sz w:val="22"/>
                <w:lang w:val="es-ES_tradnl"/>
              </w:rPr>
              <w:t xml:space="preserve"> 967 </w:t>
            </w:r>
          </w:p>
        </w:tc>
      </w:tr>
      <w:tr w:rsidR="00313F9C" w:rsidRPr="00903982" w14:paraId="29B88616" w14:textId="77777777" w:rsidTr="00313F9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2FB02CA7" w14:textId="57E96DC3"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Termoeléctrica convencional</w:t>
            </w:r>
          </w:p>
        </w:tc>
        <w:tc>
          <w:tcPr>
            <w:tcW w:w="1794" w:type="dxa"/>
            <w:noWrap/>
            <w:hideMark/>
          </w:tcPr>
          <w:p w14:paraId="34833C99" w14:textId="6803168F"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695 </w:t>
            </w:r>
          </w:p>
        </w:tc>
      </w:tr>
      <w:tr w:rsidR="00313F9C" w:rsidRPr="00903982" w14:paraId="20E8B89F" w14:textId="77777777" w:rsidTr="00313F9C">
        <w:trPr>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68EF0711" w14:textId="6E22CAE2"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Cogeneración eficiente</w:t>
            </w:r>
          </w:p>
        </w:tc>
        <w:tc>
          <w:tcPr>
            <w:tcW w:w="1794" w:type="dxa"/>
            <w:noWrap/>
            <w:hideMark/>
          </w:tcPr>
          <w:p w14:paraId="49356822" w14:textId="49CB9874"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100 </w:t>
            </w:r>
          </w:p>
        </w:tc>
      </w:tr>
      <w:tr w:rsidR="00313F9C" w:rsidRPr="00903982" w14:paraId="494F924D" w14:textId="77777777" w:rsidTr="00313F9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4F9241C0" w14:textId="1B3B87C3"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Combustión interna</w:t>
            </w:r>
          </w:p>
        </w:tc>
        <w:tc>
          <w:tcPr>
            <w:tcW w:w="1794" w:type="dxa"/>
            <w:noWrap/>
            <w:hideMark/>
          </w:tcPr>
          <w:p w14:paraId="51CD3AA4" w14:textId="415EBD9B"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689 </w:t>
            </w:r>
          </w:p>
        </w:tc>
      </w:tr>
      <w:tr w:rsidR="00313F9C" w:rsidRPr="00903982" w14:paraId="289643CA" w14:textId="77777777" w:rsidTr="00313F9C">
        <w:trPr>
          <w:trHeight w:val="300"/>
          <w:jc w:val="center"/>
        </w:trPr>
        <w:tc>
          <w:tcPr>
            <w:cnfStyle w:val="001000000000" w:firstRow="0" w:lastRow="0" w:firstColumn="1" w:lastColumn="0" w:oddVBand="0" w:evenVBand="0" w:oddHBand="0" w:evenHBand="0" w:firstRowFirstColumn="0" w:firstRowLastColumn="0" w:lastRowFirstColumn="0" w:lastRowLastColumn="0"/>
            <w:tcW w:w="3162" w:type="dxa"/>
          </w:tcPr>
          <w:p w14:paraId="1C0143C2" w14:textId="17EC252E" w:rsidR="00313F9C" w:rsidRPr="00903982" w:rsidRDefault="00313F9C" w:rsidP="001356FD">
            <w:pPr>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Lecho fluidizado</w:t>
            </w:r>
          </w:p>
        </w:tc>
        <w:tc>
          <w:tcPr>
            <w:tcW w:w="1794" w:type="dxa"/>
            <w:noWrap/>
            <w:hideMark/>
          </w:tcPr>
          <w:p w14:paraId="4B76D355" w14:textId="1764C69E"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lang w:val="es-ES_tradnl"/>
              </w:rPr>
              <w:t xml:space="preserve"> 860 </w:t>
            </w:r>
          </w:p>
        </w:tc>
      </w:tr>
    </w:tbl>
    <w:p w14:paraId="686A7EEA" w14:textId="35DC0959" w:rsidR="001356FD" w:rsidRPr="00B170DE" w:rsidRDefault="00B74274" w:rsidP="00574C78">
      <w:pPr>
        <w:spacing w:after="100" w:afterAutospacing="1"/>
        <w:jc w:val="center"/>
        <w:rPr>
          <w:rFonts w:asciiTheme="minorHAnsi" w:hAnsiTheme="minorHAnsi"/>
          <w:sz w:val="22"/>
          <w:szCs w:val="22"/>
          <w:lang w:val="en-US"/>
        </w:rPr>
      </w:pPr>
      <w:r w:rsidRPr="00B170DE">
        <w:rPr>
          <w:rFonts w:asciiTheme="minorHAnsi" w:hAnsiTheme="minorHAnsi"/>
          <w:sz w:val="22"/>
          <w:szCs w:val="22"/>
          <w:lang w:val="en-US"/>
        </w:rPr>
        <w:t xml:space="preserve">Fuente: De </w:t>
      </w:r>
      <w:proofErr w:type="spellStart"/>
      <w:r w:rsidRPr="00B170DE">
        <w:rPr>
          <w:rFonts w:asciiTheme="minorHAnsi" w:hAnsiTheme="minorHAnsi"/>
          <w:sz w:val="22"/>
          <w:szCs w:val="22"/>
          <w:lang w:val="en-US"/>
        </w:rPr>
        <w:t>fabricación</w:t>
      </w:r>
      <w:proofErr w:type="spellEnd"/>
      <w:r w:rsidRPr="00B170DE">
        <w:rPr>
          <w:rFonts w:asciiTheme="minorHAnsi" w:hAnsiTheme="minorHAnsi"/>
          <w:sz w:val="22"/>
          <w:szCs w:val="22"/>
          <w:lang w:val="en-US"/>
        </w:rPr>
        <w:t xml:space="preserve"> </w:t>
      </w:r>
      <w:proofErr w:type="spellStart"/>
      <w:r w:rsidRPr="00B170DE">
        <w:rPr>
          <w:rFonts w:asciiTheme="minorHAnsi" w:hAnsiTheme="minorHAnsi"/>
          <w:sz w:val="22"/>
          <w:szCs w:val="22"/>
          <w:lang w:val="en-US"/>
        </w:rPr>
        <w:t>propia</w:t>
      </w:r>
      <w:proofErr w:type="spellEnd"/>
      <w:r w:rsidRPr="00B170DE">
        <w:rPr>
          <w:rFonts w:asciiTheme="minorHAnsi" w:hAnsiTheme="minorHAnsi"/>
          <w:sz w:val="22"/>
          <w:szCs w:val="22"/>
          <w:lang w:val="en-US"/>
        </w:rPr>
        <w:t xml:space="preserve"> con </w:t>
      </w:r>
      <w:proofErr w:type="spellStart"/>
      <w:r w:rsidRPr="00B170DE">
        <w:rPr>
          <w:rFonts w:asciiTheme="minorHAnsi" w:hAnsiTheme="minorHAnsi"/>
          <w:sz w:val="22"/>
          <w:szCs w:val="22"/>
          <w:lang w:val="en-US"/>
        </w:rPr>
        <w:t>datos</w:t>
      </w:r>
      <w:proofErr w:type="spellEnd"/>
      <w:r w:rsidRPr="00B170DE">
        <w:rPr>
          <w:rFonts w:asciiTheme="minorHAnsi" w:hAnsiTheme="minorHAnsi"/>
          <w:sz w:val="22"/>
          <w:szCs w:val="22"/>
          <w:lang w:val="en-US"/>
        </w:rPr>
        <w:t xml:space="preserve"> </w:t>
      </w:r>
      <w:proofErr w:type="spellStart"/>
      <w:r w:rsidRPr="00B170DE">
        <w:rPr>
          <w:rFonts w:asciiTheme="minorHAnsi" w:hAnsiTheme="minorHAnsi"/>
          <w:sz w:val="22"/>
          <w:szCs w:val="22"/>
          <w:lang w:val="en-US"/>
        </w:rPr>
        <w:t>obtenidos</w:t>
      </w:r>
      <w:proofErr w:type="spellEnd"/>
      <w:r w:rsidRPr="00B170DE">
        <w:rPr>
          <w:rFonts w:asciiTheme="minorHAnsi" w:hAnsiTheme="minorHAnsi"/>
          <w:sz w:val="22"/>
          <w:szCs w:val="22"/>
          <w:lang w:val="en-US"/>
        </w:rPr>
        <w:t xml:space="preserve"> de Comparison of Lifecycle Greenhouse Gas Emissions of Various Electricity Generation Sources de World Nuclear Association</w:t>
      </w:r>
    </w:p>
    <w:p w14:paraId="0196798F" w14:textId="7248BC75" w:rsidR="001D1CBE" w:rsidRPr="00903982" w:rsidRDefault="00313F9C" w:rsidP="001D1CBE">
      <w:pPr>
        <w:spacing w:after="100" w:afterAutospacing="1"/>
        <w:jc w:val="both"/>
        <w:rPr>
          <w:rFonts w:asciiTheme="minorHAnsi" w:hAnsiTheme="minorHAnsi"/>
          <w:b/>
          <w:sz w:val="22"/>
          <w:szCs w:val="22"/>
          <w:lang w:val="es-ES_tradnl"/>
        </w:rPr>
      </w:pPr>
      <w:r w:rsidRPr="00903982">
        <w:rPr>
          <w:rFonts w:asciiTheme="minorHAnsi" w:hAnsiTheme="minorHAnsi"/>
          <w:b/>
          <w:sz w:val="22"/>
          <w:szCs w:val="22"/>
          <w:lang w:val="es-ES_tradnl"/>
        </w:rPr>
        <w:t>Parámetros</w:t>
      </w:r>
      <w:r w:rsidR="001D1CBE" w:rsidRPr="00903982">
        <w:rPr>
          <w:rFonts w:asciiTheme="minorHAnsi" w:hAnsiTheme="minorHAnsi"/>
          <w:b/>
          <w:sz w:val="22"/>
          <w:szCs w:val="22"/>
          <w:lang w:val="es-ES_tradnl"/>
        </w:rPr>
        <w:t xml:space="preserve"> </w:t>
      </w:r>
      <w:r w:rsidR="000C26B0" w:rsidRPr="00903982">
        <w:rPr>
          <w:rFonts w:asciiTheme="minorHAnsi" w:hAnsiTheme="minorHAnsi"/>
          <w:b/>
          <w:sz w:val="22"/>
          <w:szCs w:val="22"/>
          <w:lang w:val="es-ES_tradnl"/>
        </w:rPr>
        <w:t>R</w:t>
      </w:r>
      <w:r w:rsidR="001D1CBE" w:rsidRPr="00903982">
        <w:rPr>
          <w:rFonts w:asciiTheme="minorHAnsi" w:hAnsiTheme="minorHAnsi"/>
          <w:b/>
          <w:sz w:val="22"/>
          <w:szCs w:val="22"/>
          <w:lang w:val="es-ES_tradnl"/>
        </w:rPr>
        <w:t xml:space="preserve">elevantes para las </w:t>
      </w:r>
      <w:r w:rsidR="000C26B0" w:rsidRPr="00903982">
        <w:rPr>
          <w:rFonts w:asciiTheme="minorHAnsi" w:hAnsiTheme="minorHAnsi"/>
          <w:b/>
          <w:sz w:val="22"/>
          <w:szCs w:val="22"/>
          <w:lang w:val="es-ES_tradnl"/>
        </w:rPr>
        <w:t>E</w:t>
      </w:r>
      <w:r w:rsidR="001D1CBE" w:rsidRPr="00903982">
        <w:rPr>
          <w:rFonts w:asciiTheme="minorHAnsi" w:hAnsiTheme="minorHAnsi"/>
          <w:b/>
          <w:sz w:val="22"/>
          <w:szCs w:val="22"/>
          <w:lang w:val="es-ES_tradnl"/>
        </w:rPr>
        <w:t>stimaciones</w:t>
      </w:r>
    </w:p>
    <w:p w14:paraId="238FF488" w14:textId="4A086F74" w:rsidR="001D1CBE" w:rsidRPr="00903982" w:rsidRDefault="001D1CBE" w:rsidP="00925850">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En el estudio se utilizó una tasa de descuento igual a 10%.  Esta tasa corresponde al descuento aplicad</w:t>
      </w:r>
      <w:r w:rsidR="00925850" w:rsidRPr="00903982">
        <w:rPr>
          <w:rFonts w:asciiTheme="minorHAnsi" w:hAnsiTheme="minorHAnsi"/>
          <w:sz w:val="22"/>
          <w:szCs w:val="22"/>
          <w:lang w:val="es-ES_tradnl"/>
        </w:rPr>
        <w:t xml:space="preserve">o en el ámbito social en México, tal como lo documenta la publicación del IADB, “Tasa de descuento social y </w:t>
      </w:r>
      <w:r w:rsidR="00F444B2" w:rsidRPr="00903982">
        <w:rPr>
          <w:rFonts w:asciiTheme="minorHAnsi" w:hAnsiTheme="minorHAnsi"/>
          <w:sz w:val="22"/>
          <w:szCs w:val="22"/>
          <w:lang w:val="es-ES_tradnl"/>
        </w:rPr>
        <w:t>evaluación</w:t>
      </w:r>
      <w:r w:rsidR="00925850" w:rsidRPr="00903982">
        <w:rPr>
          <w:rFonts w:asciiTheme="minorHAnsi" w:hAnsiTheme="minorHAnsi"/>
          <w:sz w:val="22"/>
          <w:szCs w:val="22"/>
          <w:lang w:val="es-ES_tradnl"/>
        </w:rPr>
        <w:t xml:space="preserve"> de proyectos, Algunas reflexiones </w:t>
      </w:r>
      <w:r w:rsidR="00F444B2" w:rsidRPr="00903982">
        <w:rPr>
          <w:rFonts w:asciiTheme="minorHAnsi" w:hAnsiTheme="minorHAnsi"/>
          <w:sz w:val="22"/>
          <w:szCs w:val="22"/>
          <w:lang w:val="es-ES_tradnl"/>
        </w:rPr>
        <w:t>prácticas</w:t>
      </w:r>
      <w:r w:rsidR="00925850" w:rsidRPr="00903982">
        <w:rPr>
          <w:rFonts w:asciiTheme="minorHAnsi" w:hAnsiTheme="minorHAnsi"/>
          <w:sz w:val="22"/>
          <w:szCs w:val="22"/>
          <w:lang w:val="es-ES_tradnl"/>
        </w:rPr>
        <w:t xml:space="preserve"> para </w:t>
      </w:r>
      <w:r w:rsidR="00F444B2" w:rsidRPr="00903982">
        <w:rPr>
          <w:rFonts w:asciiTheme="minorHAnsi" w:hAnsiTheme="minorHAnsi"/>
          <w:sz w:val="22"/>
          <w:szCs w:val="22"/>
          <w:lang w:val="es-ES_tradnl"/>
        </w:rPr>
        <w:t>América</w:t>
      </w:r>
      <w:r w:rsidR="00925850" w:rsidRPr="00903982">
        <w:rPr>
          <w:rFonts w:asciiTheme="minorHAnsi" w:hAnsiTheme="minorHAnsi"/>
          <w:sz w:val="22"/>
          <w:szCs w:val="22"/>
          <w:lang w:val="es-ES_tradnl"/>
        </w:rPr>
        <w:t xml:space="preserve"> Latina y el Caribe”.</w:t>
      </w:r>
    </w:p>
    <w:p w14:paraId="5B09C7E5" w14:textId="6A4F0F7F" w:rsidR="00CD6175" w:rsidRPr="00903982" w:rsidRDefault="00CD6175" w:rsidP="001D1CBE">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Es también necesario considerar el costo de los programas de eficiencia energética, el cual se aproxima a 2</w:t>
      </w:r>
      <w:r w:rsidR="008325A2" w:rsidRPr="00903982">
        <w:rPr>
          <w:rFonts w:asciiTheme="minorHAnsi" w:hAnsiTheme="minorHAnsi"/>
          <w:sz w:val="22"/>
          <w:szCs w:val="22"/>
          <w:lang w:val="es-ES_tradnl"/>
        </w:rPr>
        <w:t>4</w:t>
      </w:r>
      <w:r w:rsidR="00D35695" w:rsidRPr="00903982">
        <w:rPr>
          <w:rFonts w:asciiTheme="minorHAnsi" w:hAnsiTheme="minorHAnsi"/>
          <w:sz w:val="22"/>
          <w:szCs w:val="22"/>
          <w:lang w:val="es-ES_tradnl"/>
        </w:rPr>
        <w:t xml:space="preserve"> centavos de dólar por kWh ahorrado</w:t>
      </w:r>
      <w:r w:rsidR="00925850" w:rsidRPr="00903982">
        <w:rPr>
          <w:rFonts w:asciiTheme="minorHAnsi" w:hAnsiTheme="minorHAnsi"/>
          <w:sz w:val="22"/>
          <w:szCs w:val="22"/>
          <w:lang w:val="es-ES_tradnl"/>
        </w:rPr>
        <w:t>, que co</w:t>
      </w:r>
      <w:r w:rsidR="00903982">
        <w:rPr>
          <w:rFonts w:asciiTheme="minorHAnsi" w:hAnsiTheme="minorHAnsi"/>
          <w:sz w:val="22"/>
          <w:szCs w:val="22"/>
          <w:lang w:val="es-ES_tradnl"/>
        </w:rPr>
        <w:t>rresponde a un valor ampliamente</w:t>
      </w:r>
      <w:r w:rsidR="00925850" w:rsidRPr="00903982">
        <w:rPr>
          <w:rFonts w:asciiTheme="minorHAnsi" w:hAnsiTheme="minorHAnsi"/>
          <w:sz w:val="22"/>
          <w:szCs w:val="22"/>
          <w:lang w:val="es-ES_tradnl"/>
        </w:rPr>
        <w:t xml:space="preserve"> utilizado </w:t>
      </w:r>
      <w:proofErr w:type="gramStart"/>
      <w:r w:rsidR="00925850" w:rsidRPr="00903982">
        <w:rPr>
          <w:rFonts w:asciiTheme="minorHAnsi" w:hAnsiTheme="minorHAnsi"/>
          <w:sz w:val="22"/>
          <w:szCs w:val="22"/>
          <w:lang w:val="es-ES_tradnl"/>
        </w:rPr>
        <w:t>de acuerdo a</w:t>
      </w:r>
      <w:proofErr w:type="gramEnd"/>
      <w:r w:rsidR="00925850" w:rsidRPr="00903982">
        <w:rPr>
          <w:rFonts w:asciiTheme="minorHAnsi" w:hAnsiTheme="minorHAnsi"/>
          <w:sz w:val="22"/>
          <w:szCs w:val="22"/>
          <w:lang w:val="es-ES_tradnl"/>
        </w:rPr>
        <w:t xml:space="preserve"> las investigaciones del Lawrence </w:t>
      </w:r>
      <w:r w:rsidR="008325A2" w:rsidRPr="00903982">
        <w:rPr>
          <w:rFonts w:asciiTheme="minorHAnsi" w:hAnsiTheme="minorHAnsi"/>
          <w:sz w:val="22"/>
          <w:szCs w:val="22"/>
          <w:lang w:val="es-ES_tradnl"/>
        </w:rPr>
        <w:t xml:space="preserve">Berkeley </w:t>
      </w:r>
      <w:proofErr w:type="spellStart"/>
      <w:r w:rsidR="008325A2" w:rsidRPr="00903982">
        <w:rPr>
          <w:rFonts w:asciiTheme="minorHAnsi" w:hAnsiTheme="minorHAnsi"/>
          <w:sz w:val="22"/>
          <w:szCs w:val="22"/>
          <w:lang w:val="es-ES_tradnl"/>
        </w:rPr>
        <w:t>National</w:t>
      </w:r>
      <w:proofErr w:type="spellEnd"/>
      <w:r w:rsidR="008325A2" w:rsidRPr="00903982">
        <w:rPr>
          <w:rFonts w:asciiTheme="minorHAnsi" w:hAnsiTheme="minorHAnsi"/>
          <w:sz w:val="22"/>
          <w:szCs w:val="22"/>
          <w:lang w:val="es-ES_tradnl"/>
        </w:rPr>
        <w:t xml:space="preserve"> </w:t>
      </w:r>
      <w:proofErr w:type="spellStart"/>
      <w:r w:rsidR="008325A2" w:rsidRPr="00903982">
        <w:rPr>
          <w:rFonts w:asciiTheme="minorHAnsi" w:hAnsiTheme="minorHAnsi"/>
          <w:sz w:val="22"/>
          <w:szCs w:val="22"/>
          <w:lang w:val="es-ES_tradnl"/>
        </w:rPr>
        <w:t>Laboratory</w:t>
      </w:r>
      <w:proofErr w:type="spellEnd"/>
      <w:r w:rsidR="008325A2" w:rsidRPr="00903982">
        <w:rPr>
          <w:rFonts w:asciiTheme="minorHAnsi" w:hAnsiTheme="minorHAnsi"/>
          <w:sz w:val="22"/>
          <w:szCs w:val="22"/>
          <w:lang w:val="es-ES_tradnl"/>
        </w:rPr>
        <w:t xml:space="preserve">, según reporta la American Council </w:t>
      </w:r>
      <w:proofErr w:type="spellStart"/>
      <w:r w:rsidR="008325A2" w:rsidRPr="00903982">
        <w:rPr>
          <w:rFonts w:asciiTheme="minorHAnsi" w:hAnsiTheme="minorHAnsi"/>
          <w:sz w:val="22"/>
          <w:szCs w:val="22"/>
          <w:lang w:val="es-ES_tradnl"/>
        </w:rPr>
        <w:t>for</w:t>
      </w:r>
      <w:proofErr w:type="spellEnd"/>
      <w:r w:rsidR="008325A2" w:rsidRPr="00903982">
        <w:rPr>
          <w:rFonts w:asciiTheme="minorHAnsi" w:hAnsiTheme="minorHAnsi"/>
          <w:sz w:val="22"/>
          <w:szCs w:val="22"/>
          <w:lang w:val="es-ES_tradnl"/>
        </w:rPr>
        <w:t xml:space="preserve"> </w:t>
      </w:r>
      <w:proofErr w:type="spellStart"/>
      <w:r w:rsidR="008325A2" w:rsidRPr="00903982">
        <w:rPr>
          <w:rFonts w:asciiTheme="minorHAnsi" w:hAnsiTheme="minorHAnsi"/>
          <w:sz w:val="22"/>
          <w:szCs w:val="22"/>
          <w:lang w:val="es-ES_tradnl"/>
        </w:rPr>
        <w:t>an</w:t>
      </w:r>
      <w:proofErr w:type="spellEnd"/>
      <w:r w:rsidR="008325A2" w:rsidRPr="00903982">
        <w:rPr>
          <w:rFonts w:asciiTheme="minorHAnsi" w:hAnsiTheme="minorHAnsi"/>
          <w:sz w:val="22"/>
          <w:szCs w:val="22"/>
          <w:lang w:val="es-ES_tradnl"/>
        </w:rPr>
        <w:t xml:space="preserve"> Energy-</w:t>
      </w:r>
      <w:proofErr w:type="spellStart"/>
      <w:r w:rsidR="008325A2" w:rsidRPr="00903982">
        <w:rPr>
          <w:rFonts w:asciiTheme="minorHAnsi" w:hAnsiTheme="minorHAnsi"/>
          <w:sz w:val="22"/>
          <w:szCs w:val="22"/>
          <w:lang w:val="es-ES_tradnl"/>
        </w:rPr>
        <w:t>Efficient</w:t>
      </w:r>
      <w:proofErr w:type="spellEnd"/>
      <w:r w:rsidR="008325A2" w:rsidRPr="00903982">
        <w:rPr>
          <w:rFonts w:asciiTheme="minorHAnsi" w:hAnsiTheme="minorHAnsi"/>
          <w:sz w:val="22"/>
          <w:szCs w:val="22"/>
          <w:lang w:val="es-ES_tradnl"/>
        </w:rPr>
        <w:t xml:space="preserve"> </w:t>
      </w:r>
      <w:proofErr w:type="spellStart"/>
      <w:r w:rsidR="008325A2" w:rsidRPr="00903982">
        <w:rPr>
          <w:rFonts w:asciiTheme="minorHAnsi" w:hAnsiTheme="minorHAnsi"/>
          <w:sz w:val="22"/>
          <w:szCs w:val="22"/>
          <w:lang w:val="es-ES_tradnl"/>
        </w:rPr>
        <w:t>Economy</w:t>
      </w:r>
      <w:proofErr w:type="spellEnd"/>
      <w:r w:rsidR="008325A2" w:rsidRPr="00903982">
        <w:rPr>
          <w:rFonts w:asciiTheme="minorHAnsi" w:hAnsiTheme="minorHAnsi"/>
          <w:sz w:val="22"/>
          <w:szCs w:val="22"/>
          <w:lang w:val="es-ES_tradnl"/>
        </w:rPr>
        <w:t>.</w:t>
      </w:r>
    </w:p>
    <w:p w14:paraId="36739922" w14:textId="5A7A4187" w:rsidR="001356FD" w:rsidRPr="00903982" w:rsidRDefault="001356FD" w:rsidP="001D1CBE">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Para determinar los costos de inversión y operación se utilizó la siguiente tabla</w:t>
      </w:r>
    </w:p>
    <w:p w14:paraId="7B261710" w14:textId="54091A8C" w:rsidR="001356FD" w:rsidRPr="00903982" w:rsidRDefault="001356FD" w:rsidP="00925850">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10</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Inversión y costos operacionales por tipo de energía</w:t>
      </w:r>
    </w:p>
    <w:tbl>
      <w:tblPr>
        <w:tblStyle w:val="LightShading-Accent1"/>
        <w:tblW w:w="7227" w:type="dxa"/>
        <w:jc w:val="center"/>
        <w:tblLook w:val="04A0" w:firstRow="1" w:lastRow="0" w:firstColumn="1" w:lastColumn="0" w:noHBand="0" w:noVBand="1"/>
      </w:tblPr>
      <w:tblGrid>
        <w:gridCol w:w="2252"/>
        <w:gridCol w:w="1420"/>
        <w:gridCol w:w="1980"/>
        <w:gridCol w:w="1575"/>
      </w:tblGrid>
      <w:tr w:rsidR="001356FD" w:rsidRPr="00903982" w14:paraId="33227301" w14:textId="77777777" w:rsidTr="00925850">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5AF0E696" w14:textId="77777777" w:rsidR="001356FD" w:rsidRPr="00903982" w:rsidRDefault="001356FD" w:rsidP="00925850">
            <w:pPr>
              <w:jc w:val="center"/>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Tipo de generación</w:t>
            </w:r>
          </w:p>
        </w:tc>
        <w:tc>
          <w:tcPr>
            <w:tcW w:w="1420" w:type="dxa"/>
            <w:noWrap/>
            <w:hideMark/>
          </w:tcPr>
          <w:p w14:paraId="66CB0146" w14:textId="5393451E" w:rsidR="001356FD" w:rsidRPr="00903982" w:rsidRDefault="000C26B0" w:rsidP="000C26B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Costo de </w:t>
            </w:r>
            <w:r w:rsidR="001356FD" w:rsidRPr="00903982">
              <w:rPr>
                <w:rFonts w:ascii="Calibri" w:eastAsia="Times New Roman" w:hAnsi="Calibri"/>
                <w:color w:val="000000"/>
                <w:sz w:val="22"/>
                <w:szCs w:val="22"/>
                <w:lang w:val="es-ES_tradnl"/>
              </w:rPr>
              <w:t>Capital ($/kW)</w:t>
            </w:r>
          </w:p>
        </w:tc>
        <w:tc>
          <w:tcPr>
            <w:tcW w:w="1980" w:type="dxa"/>
            <w:noWrap/>
            <w:hideMark/>
          </w:tcPr>
          <w:p w14:paraId="14FCD324" w14:textId="38F984FE" w:rsidR="001356FD" w:rsidRPr="00903982" w:rsidRDefault="000C26B0" w:rsidP="0092585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O&amp;M</w:t>
            </w:r>
            <w:r w:rsidR="00925850" w:rsidRPr="00903982">
              <w:rPr>
                <w:rFonts w:ascii="Calibri" w:eastAsia="Times New Roman" w:hAnsi="Calibri"/>
                <w:color w:val="000000"/>
                <w:sz w:val="22"/>
                <w:szCs w:val="22"/>
                <w:lang w:val="es-ES_tradnl"/>
              </w:rPr>
              <w:t xml:space="preserve"> </w:t>
            </w:r>
            <w:r w:rsidR="00903982">
              <w:rPr>
                <w:rFonts w:ascii="Calibri" w:eastAsia="Times New Roman" w:hAnsi="Calibri"/>
                <w:color w:val="000000"/>
                <w:sz w:val="22"/>
                <w:szCs w:val="22"/>
                <w:lang w:val="es-ES_tradnl"/>
              </w:rPr>
              <w:t>Fijo ($/kW</w:t>
            </w:r>
            <w:r w:rsidRPr="00903982">
              <w:rPr>
                <w:rFonts w:ascii="Calibri" w:eastAsia="Times New Roman" w:hAnsi="Calibri"/>
                <w:color w:val="000000"/>
                <w:sz w:val="22"/>
                <w:szCs w:val="22"/>
                <w:lang w:val="es-ES_tradnl"/>
              </w:rPr>
              <w:t>-año</w:t>
            </w:r>
            <w:r w:rsidR="001356FD" w:rsidRPr="00903982">
              <w:rPr>
                <w:rFonts w:ascii="Calibri" w:eastAsia="Times New Roman" w:hAnsi="Calibri"/>
                <w:color w:val="000000"/>
                <w:sz w:val="22"/>
                <w:szCs w:val="22"/>
                <w:lang w:val="es-ES_tradnl"/>
              </w:rPr>
              <w:t>)</w:t>
            </w:r>
          </w:p>
        </w:tc>
        <w:tc>
          <w:tcPr>
            <w:tcW w:w="1575" w:type="dxa"/>
            <w:noWrap/>
            <w:hideMark/>
          </w:tcPr>
          <w:p w14:paraId="423CD775" w14:textId="4F8F96F8" w:rsidR="001356FD" w:rsidRPr="00903982" w:rsidRDefault="001356FD" w:rsidP="00925850">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Variable ($/MWh)</w:t>
            </w:r>
          </w:p>
        </w:tc>
      </w:tr>
      <w:tr w:rsidR="00313F9C" w:rsidRPr="00903982" w14:paraId="0B068E77" w14:textId="77777777" w:rsidTr="0092585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4BA2BC7D" w14:textId="2D91BD5D"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Ciclo combinado</w:t>
            </w:r>
          </w:p>
        </w:tc>
        <w:tc>
          <w:tcPr>
            <w:tcW w:w="1420" w:type="dxa"/>
            <w:noWrap/>
            <w:hideMark/>
          </w:tcPr>
          <w:p w14:paraId="3D25DA0E" w14:textId="4C4B283C"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959 </w:t>
            </w:r>
          </w:p>
        </w:tc>
        <w:tc>
          <w:tcPr>
            <w:tcW w:w="1980" w:type="dxa"/>
            <w:noWrap/>
            <w:hideMark/>
          </w:tcPr>
          <w:p w14:paraId="702B3256" w14:textId="6ADC49A5"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19 </w:t>
            </w:r>
          </w:p>
        </w:tc>
        <w:tc>
          <w:tcPr>
            <w:tcW w:w="1575" w:type="dxa"/>
            <w:noWrap/>
            <w:hideMark/>
          </w:tcPr>
          <w:p w14:paraId="4436F29F" w14:textId="0DFBA5B2"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31 </w:t>
            </w:r>
          </w:p>
        </w:tc>
      </w:tr>
      <w:tr w:rsidR="00313F9C" w:rsidRPr="00903982" w14:paraId="0DBB83FE" w14:textId="77777777" w:rsidTr="00925850">
        <w:trPr>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15941066" w14:textId="30DFEE6A"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Carboeléctrica</w:t>
            </w:r>
          </w:p>
        </w:tc>
        <w:tc>
          <w:tcPr>
            <w:tcW w:w="1420" w:type="dxa"/>
            <w:noWrap/>
            <w:hideMark/>
          </w:tcPr>
          <w:p w14:paraId="6C45D020" w14:textId="78BEA2C2"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1.402 </w:t>
            </w:r>
          </w:p>
        </w:tc>
        <w:tc>
          <w:tcPr>
            <w:tcW w:w="1980" w:type="dxa"/>
            <w:noWrap/>
            <w:hideMark/>
          </w:tcPr>
          <w:p w14:paraId="4D4E48DF" w14:textId="1E6EA2E6"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33 </w:t>
            </w:r>
          </w:p>
        </w:tc>
        <w:tc>
          <w:tcPr>
            <w:tcW w:w="1575" w:type="dxa"/>
            <w:noWrap/>
            <w:hideMark/>
          </w:tcPr>
          <w:p w14:paraId="4F4E6668" w14:textId="6D6B65AB"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31 </w:t>
            </w:r>
          </w:p>
        </w:tc>
      </w:tr>
      <w:tr w:rsidR="00313F9C" w:rsidRPr="00903982" w14:paraId="0F391C20" w14:textId="77777777" w:rsidTr="0092585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6DC36370" w14:textId="407A1DB2"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Hidroeléctrica</w:t>
            </w:r>
          </w:p>
        </w:tc>
        <w:tc>
          <w:tcPr>
            <w:tcW w:w="1420" w:type="dxa"/>
            <w:noWrap/>
            <w:hideMark/>
          </w:tcPr>
          <w:p w14:paraId="7BCABA6B" w14:textId="42A0A2E7"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1.900 </w:t>
            </w:r>
          </w:p>
        </w:tc>
        <w:tc>
          <w:tcPr>
            <w:tcW w:w="1980" w:type="dxa"/>
            <w:noWrap/>
            <w:hideMark/>
          </w:tcPr>
          <w:p w14:paraId="2B5E88F1" w14:textId="4DE2249A"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24 </w:t>
            </w:r>
          </w:p>
        </w:tc>
        <w:tc>
          <w:tcPr>
            <w:tcW w:w="1575" w:type="dxa"/>
            <w:noWrap/>
            <w:hideMark/>
          </w:tcPr>
          <w:p w14:paraId="64B858F2" w14:textId="46CCC80F"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   </w:t>
            </w:r>
          </w:p>
        </w:tc>
      </w:tr>
      <w:tr w:rsidR="00313F9C" w:rsidRPr="00903982" w14:paraId="35510BBB" w14:textId="77777777" w:rsidTr="00925850">
        <w:trPr>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1CF8B3CB" w14:textId="2A2E5767"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Eólica</w:t>
            </w:r>
          </w:p>
        </w:tc>
        <w:tc>
          <w:tcPr>
            <w:tcW w:w="1420" w:type="dxa"/>
            <w:noWrap/>
            <w:hideMark/>
          </w:tcPr>
          <w:p w14:paraId="0C16471E" w14:textId="63BC9610"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1.400 </w:t>
            </w:r>
          </w:p>
        </w:tc>
        <w:tc>
          <w:tcPr>
            <w:tcW w:w="1980" w:type="dxa"/>
            <w:noWrap/>
            <w:hideMark/>
          </w:tcPr>
          <w:p w14:paraId="4DB3119B" w14:textId="28942D6D"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38 </w:t>
            </w:r>
          </w:p>
        </w:tc>
        <w:tc>
          <w:tcPr>
            <w:tcW w:w="1575" w:type="dxa"/>
            <w:noWrap/>
            <w:hideMark/>
          </w:tcPr>
          <w:p w14:paraId="69B73AA0" w14:textId="1B11A717"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   </w:t>
            </w:r>
          </w:p>
        </w:tc>
      </w:tr>
      <w:tr w:rsidR="00313F9C" w:rsidRPr="00903982" w14:paraId="3212A39B" w14:textId="77777777" w:rsidTr="0092585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013BC53A" w14:textId="3A896C34"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Geotérmica</w:t>
            </w:r>
          </w:p>
        </w:tc>
        <w:tc>
          <w:tcPr>
            <w:tcW w:w="1420" w:type="dxa"/>
            <w:noWrap/>
            <w:hideMark/>
          </w:tcPr>
          <w:p w14:paraId="6D09EFB3" w14:textId="7EED4B42"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1.859 </w:t>
            </w:r>
          </w:p>
        </w:tc>
        <w:tc>
          <w:tcPr>
            <w:tcW w:w="1980" w:type="dxa"/>
            <w:noWrap/>
            <w:hideMark/>
          </w:tcPr>
          <w:p w14:paraId="313D979F" w14:textId="27BD1882"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103 </w:t>
            </w:r>
          </w:p>
        </w:tc>
        <w:tc>
          <w:tcPr>
            <w:tcW w:w="1575" w:type="dxa"/>
            <w:noWrap/>
            <w:hideMark/>
          </w:tcPr>
          <w:p w14:paraId="22EE7BDD" w14:textId="7748E61B"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   </w:t>
            </w:r>
          </w:p>
        </w:tc>
      </w:tr>
      <w:tr w:rsidR="00313F9C" w:rsidRPr="00903982" w14:paraId="5858C4E5" w14:textId="77777777" w:rsidTr="00925850">
        <w:trPr>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101B2E61" w14:textId="0A22CD16"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Solar fotovoltaica</w:t>
            </w:r>
          </w:p>
        </w:tc>
        <w:tc>
          <w:tcPr>
            <w:tcW w:w="1420" w:type="dxa"/>
            <w:noWrap/>
            <w:hideMark/>
          </w:tcPr>
          <w:p w14:paraId="7DCEF422" w14:textId="676C1CAC"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1.375 </w:t>
            </w:r>
          </w:p>
        </w:tc>
        <w:tc>
          <w:tcPr>
            <w:tcW w:w="1980" w:type="dxa"/>
            <w:noWrap/>
            <w:hideMark/>
          </w:tcPr>
          <w:p w14:paraId="0778C5B3" w14:textId="1EED811E"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11 </w:t>
            </w:r>
          </w:p>
        </w:tc>
        <w:tc>
          <w:tcPr>
            <w:tcW w:w="1575" w:type="dxa"/>
            <w:noWrap/>
            <w:hideMark/>
          </w:tcPr>
          <w:p w14:paraId="3F45158E" w14:textId="5E4C9E3C"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   </w:t>
            </w:r>
          </w:p>
        </w:tc>
      </w:tr>
      <w:tr w:rsidR="00313F9C" w:rsidRPr="00903982" w14:paraId="7E949FD3" w14:textId="77777777" w:rsidTr="0092585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60867D00" w14:textId="2E421713"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Solar térmica</w:t>
            </w:r>
          </w:p>
        </w:tc>
        <w:tc>
          <w:tcPr>
            <w:tcW w:w="1420" w:type="dxa"/>
            <w:noWrap/>
            <w:hideMark/>
          </w:tcPr>
          <w:p w14:paraId="227653DA" w14:textId="0A4A8226"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6.500 </w:t>
            </w:r>
          </w:p>
        </w:tc>
        <w:tc>
          <w:tcPr>
            <w:tcW w:w="1980" w:type="dxa"/>
            <w:noWrap/>
            <w:hideMark/>
          </w:tcPr>
          <w:p w14:paraId="307B866C" w14:textId="3E83B2BF"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48 </w:t>
            </w:r>
          </w:p>
        </w:tc>
        <w:tc>
          <w:tcPr>
            <w:tcW w:w="1575" w:type="dxa"/>
            <w:noWrap/>
            <w:hideMark/>
          </w:tcPr>
          <w:p w14:paraId="0DE0A7DE" w14:textId="3C3B58C8"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   </w:t>
            </w:r>
          </w:p>
        </w:tc>
      </w:tr>
      <w:tr w:rsidR="00313F9C" w:rsidRPr="00903982" w14:paraId="1DA3B937" w14:textId="77777777" w:rsidTr="00925850">
        <w:trPr>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tcPr>
          <w:p w14:paraId="0EB7C198" w14:textId="4BC9C1A7"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Nuclear</w:t>
            </w:r>
          </w:p>
        </w:tc>
        <w:tc>
          <w:tcPr>
            <w:tcW w:w="1420" w:type="dxa"/>
            <w:noWrap/>
          </w:tcPr>
          <w:p w14:paraId="3A8AA628" w14:textId="16170B12"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3.924 </w:t>
            </w:r>
          </w:p>
        </w:tc>
        <w:tc>
          <w:tcPr>
            <w:tcW w:w="1980" w:type="dxa"/>
            <w:noWrap/>
          </w:tcPr>
          <w:p w14:paraId="74152060" w14:textId="0D107E7E"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100 </w:t>
            </w:r>
          </w:p>
        </w:tc>
        <w:tc>
          <w:tcPr>
            <w:tcW w:w="1575" w:type="dxa"/>
            <w:noWrap/>
          </w:tcPr>
          <w:p w14:paraId="6987E687" w14:textId="4CD17027"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10 </w:t>
            </w:r>
          </w:p>
        </w:tc>
      </w:tr>
      <w:tr w:rsidR="00313F9C" w:rsidRPr="00903982" w14:paraId="581D9A6D" w14:textId="77777777" w:rsidTr="0092585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tcPr>
          <w:p w14:paraId="2D05233C" w14:textId="19C873D8"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Biomasa</w:t>
            </w:r>
          </w:p>
        </w:tc>
        <w:tc>
          <w:tcPr>
            <w:tcW w:w="1420" w:type="dxa"/>
            <w:noWrap/>
          </w:tcPr>
          <w:p w14:paraId="39258DBD" w14:textId="3A10D99F"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4.985 </w:t>
            </w:r>
          </w:p>
        </w:tc>
        <w:tc>
          <w:tcPr>
            <w:tcW w:w="1980" w:type="dxa"/>
            <w:noWrap/>
          </w:tcPr>
          <w:p w14:paraId="70BB5670" w14:textId="33796C6C"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110 </w:t>
            </w:r>
          </w:p>
        </w:tc>
        <w:tc>
          <w:tcPr>
            <w:tcW w:w="1575" w:type="dxa"/>
            <w:noWrap/>
          </w:tcPr>
          <w:p w14:paraId="5DEFEB2A" w14:textId="544145E6"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4 </w:t>
            </w:r>
          </w:p>
        </w:tc>
      </w:tr>
      <w:tr w:rsidR="00313F9C" w:rsidRPr="00903982" w14:paraId="42EEF9BF" w14:textId="77777777" w:rsidTr="00925850">
        <w:trPr>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26C459FD" w14:textId="52465C97" w:rsidR="00313F9C" w:rsidRPr="00903982" w:rsidRDefault="00313F9C" w:rsidP="001356FD">
            <w:pPr>
              <w:rPr>
                <w:rFonts w:asciiTheme="minorHAnsi" w:eastAsia="Times New Roman" w:hAnsiTheme="minorHAnsi"/>
                <w:b w:val="0"/>
                <w:color w:val="auto"/>
                <w:sz w:val="22"/>
                <w:szCs w:val="22"/>
                <w:lang w:val="es-ES_tradnl"/>
              </w:rPr>
            </w:pPr>
            <w:proofErr w:type="spellStart"/>
            <w:r w:rsidRPr="00903982">
              <w:rPr>
                <w:rFonts w:asciiTheme="minorHAnsi" w:hAnsiTheme="minorHAnsi"/>
                <w:color w:val="auto"/>
                <w:sz w:val="22"/>
                <w:szCs w:val="22"/>
                <w:lang w:val="es-ES_tradnl"/>
              </w:rPr>
              <w:t>Turbogas</w:t>
            </w:r>
            <w:proofErr w:type="spellEnd"/>
          </w:p>
        </w:tc>
        <w:tc>
          <w:tcPr>
            <w:tcW w:w="1420" w:type="dxa"/>
            <w:noWrap/>
            <w:hideMark/>
          </w:tcPr>
          <w:p w14:paraId="55BD0DCF" w14:textId="69319944"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800 </w:t>
            </w:r>
          </w:p>
        </w:tc>
        <w:tc>
          <w:tcPr>
            <w:tcW w:w="1980" w:type="dxa"/>
            <w:noWrap/>
            <w:hideMark/>
          </w:tcPr>
          <w:p w14:paraId="50C7A24D" w14:textId="3F1578CD"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5 </w:t>
            </w:r>
          </w:p>
        </w:tc>
        <w:tc>
          <w:tcPr>
            <w:tcW w:w="1575" w:type="dxa"/>
            <w:noWrap/>
            <w:hideMark/>
          </w:tcPr>
          <w:p w14:paraId="15AA5797" w14:textId="59F81D26"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33 </w:t>
            </w:r>
          </w:p>
        </w:tc>
      </w:tr>
      <w:tr w:rsidR="00313F9C" w:rsidRPr="00903982" w14:paraId="5C9E46B1" w14:textId="77777777" w:rsidTr="0092585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64EFEF93" w14:textId="27767BB3"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Termoeléctrica convencional</w:t>
            </w:r>
          </w:p>
        </w:tc>
        <w:tc>
          <w:tcPr>
            <w:tcW w:w="1420" w:type="dxa"/>
            <w:noWrap/>
            <w:hideMark/>
          </w:tcPr>
          <w:p w14:paraId="63C6B66A" w14:textId="12C4CA0D"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1.614 </w:t>
            </w:r>
          </w:p>
        </w:tc>
        <w:tc>
          <w:tcPr>
            <w:tcW w:w="1980" w:type="dxa"/>
            <w:noWrap/>
            <w:hideMark/>
          </w:tcPr>
          <w:p w14:paraId="5950DC72" w14:textId="5A897D59"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35 </w:t>
            </w:r>
          </w:p>
        </w:tc>
        <w:tc>
          <w:tcPr>
            <w:tcW w:w="1575" w:type="dxa"/>
            <w:noWrap/>
            <w:hideMark/>
          </w:tcPr>
          <w:p w14:paraId="0E25D663" w14:textId="34FDD01A"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31 </w:t>
            </w:r>
          </w:p>
        </w:tc>
      </w:tr>
      <w:tr w:rsidR="00313F9C" w:rsidRPr="00903982" w14:paraId="442A778E" w14:textId="77777777" w:rsidTr="00925850">
        <w:trPr>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3F0ACD04" w14:textId="16716275"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Cogeneración eficiente</w:t>
            </w:r>
          </w:p>
        </w:tc>
        <w:tc>
          <w:tcPr>
            <w:tcW w:w="1420" w:type="dxa"/>
            <w:noWrap/>
            <w:hideMark/>
          </w:tcPr>
          <w:p w14:paraId="1C67EEB1" w14:textId="67AE290E"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2.888 </w:t>
            </w:r>
          </w:p>
        </w:tc>
        <w:tc>
          <w:tcPr>
            <w:tcW w:w="1980" w:type="dxa"/>
            <w:noWrap/>
            <w:hideMark/>
          </w:tcPr>
          <w:p w14:paraId="5A3CC6C7" w14:textId="3EEE7E55"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46 </w:t>
            </w:r>
          </w:p>
        </w:tc>
        <w:tc>
          <w:tcPr>
            <w:tcW w:w="1575" w:type="dxa"/>
            <w:noWrap/>
            <w:hideMark/>
          </w:tcPr>
          <w:p w14:paraId="68A2AF42" w14:textId="3E88CA4F"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32 </w:t>
            </w:r>
          </w:p>
        </w:tc>
      </w:tr>
      <w:tr w:rsidR="00313F9C" w:rsidRPr="00903982" w14:paraId="4175611F" w14:textId="77777777" w:rsidTr="00925850">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2C3950BD" w14:textId="68CAD4ED"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Combustión interna</w:t>
            </w:r>
          </w:p>
        </w:tc>
        <w:tc>
          <w:tcPr>
            <w:tcW w:w="1420" w:type="dxa"/>
            <w:noWrap/>
            <w:hideMark/>
          </w:tcPr>
          <w:p w14:paraId="2DDB2772" w14:textId="5CA276DB"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2.888 </w:t>
            </w:r>
          </w:p>
        </w:tc>
        <w:tc>
          <w:tcPr>
            <w:tcW w:w="1980" w:type="dxa"/>
            <w:noWrap/>
            <w:hideMark/>
          </w:tcPr>
          <w:p w14:paraId="4B851083" w14:textId="7BC9FCCE"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46 </w:t>
            </w:r>
          </w:p>
        </w:tc>
        <w:tc>
          <w:tcPr>
            <w:tcW w:w="1575" w:type="dxa"/>
            <w:noWrap/>
            <w:hideMark/>
          </w:tcPr>
          <w:p w14:paraId="4AD75219" w14:textId="51A4316A" w:rsidR="00313F9C" w:rsidRPr="00903982" w:rsidRDefault="00313F9C" w:rsidP="001356FD">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32 </w:t>
            </w:r>
          </w:p>
        </w:tc>
      </w:tr>
      <w:tr w:rsidR="00313F9C" w:rsidRPr="00903982" w14:paraId="0A7F93BD" w14:textId="77777777" w:rsidTr="00925850">
        <w:trPr>
          <w:trHeight w:val="300"/>
          <w:jc w:val="center"/>
        </w:trPr>
        <w:tc>
          <w:tcPr>
            <w:cnfStyle w:val="001000000000" w:firstRow="0" w:lastRow="0" w:firstColumn="1" w:lastColumn="0" w:oddVBand="0" w:evenVBand="0" w:oddHBand="0" w:evenHBand="0" w:firstRowFirstColumn="0" w:firstRowLastColumn="0" w:lastRowFirstColumn="0" w:lastRowLastColumn="0"/>
            <w:tcW w:w="2252" w:type="dxa"/>
            <w:noWrap/>
            <w:hideMark/>
          </w:tcPr>
          <w:p w14:paraId="4F1BCC82" w14:textId="19B50B11" w:rsidR="00313F9C" w:rsidRPr="00903982" w:rsidRDefault="00313F9C" w:rsidP="001356FD">
            <w:pPr>
              <w:rPr>
                <w:rFonts w:asciiTheme="minorHAnsi" w:eastAsia="Times New Roman" w:hAnsiTheme="minorHAnsi"/>
                <w:b w:val="0"/>
                <w:color w:val="auto"/>
                <w:sz w:val="22"/>
                <w:szCs w:val="22"/>
                <w:lang w:val="es-ES_tradnl"/>
              </w:rPr>
            </w:pPr>
            <w:r w:rsidRPr="00903982">
              <w:rPr>
                <w:rFonts w:asciiTheme="minorHAnsi" w:hAnsiTheme="minorHAnsi"/>
                <w:color w:val="auto"/>
                <w:sz w:val="22"/>
                <w:szCs w:val="22"/>
                <w:lang w:val="es-ES_tradnl"/>
              </w:rPr>
              <w:t>Lecho fluidizado</w:t>
            </w:r>
          </w:p>
        </w:tc>
        <w:tc>
          <w:tcPr>
            <w:tcW w:w="1420" w:type="dxa"/>
            <w:noWrap/>
            <w:hideMark/>
          </w:tcPr>
          <w:p w14:paraId="788186CB" w14:textId="42792561"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1.402 </w:t>
            </w:r>
          </w:p>
        </w:tc>
        <w:tc>
          <w:tcPr>
            <w:tcW w:w="1980" w:type="dxa"/>
            <w:noWrap/>
            <w:hideMark/>
          </w:tcPr>
          <w:p w14:paraId="1C1D0558" w14:textId="429C63FF"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33 </w:t>
            </w:r>
          </w:p>
        </w:tc>
        <w:tc>
          <w:tcPr>
            <w:tcW w:w="1575" w:type="dxa"/>
            <w:noWrap/>
            <w:hideMark/>
          </w:tcPr>
          <w:p w14:paraId="2062D484" w14:textId="2F710A8E" w:rsidR="00313F9C" w:rsidRPr="00903982" w:rsidRDefault="00313F9C" w:rsidP="001356FD">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903982">
              <w:rPr>
                <w:rFonts w:asciiTheme="minorHAnsi" w:hAnsiTheme="minorHAnsi"/>
                <w:color w:val="auto"/>
                <w:sz w:val="22"/>
                <w:szCs w:val="22"/>
                <w:lang w:val="es-ES_tradnl"/>
              </w:rPr>
              <w:t xml:space="preserve"> 31 </w:t>
            </w:r>
          </w:p>
        </w:tc>
      </w:tr>
    </w:tbl>
    <w:p w14:paraId="2A5CE154" w14:textId="2BAB5F0F" w:rsidR="001356FD" w:rsidRDefault="001356FD" w:rsidP="00925850">
      <w:pPr>
        <w:spacing w:after="100" w:afterAutospacing="1"/>
        <w:jc w:val="center"/>
        <w:rPr>
          <w:rFonts w:asciiTheme="minorHAnsi" w:hAnsiTheme="minorHAnsi"/>
          <w:sz w:val="22"/>
          <w:szCs w:val="22"/>
          <w:lang w:val="es-ES_tradnl"/>
        </w:rPr>
      </w:pPr>
      <w:r w:rsidRPr="00903982">
        <w:rPr>
          <w:rFonts w:asciiTheme="minorHAnsi" w:hAnsiTheme="minorHAnsi"/>
          <w:sz w:val="22"/>
          <w:szCs w:val="22"/>
          <w:lang w:val="es-ES_tradnl"/>
        </w:rPr>
        <w:lastRenderedPageBreak/>
        <w:t xml:space="preserve">Fuente: De fabricación propia con información obtenida de </w:t>
      </w:r>
      <w:proofErr w:type="spellStart"/>
      <w:r w:rsidRPr="00903982">
        <w:rPr>
          <w:rFonts w:asciiTheme="minorHAnsi" w:hAnsiTheme="minorHAnsi"/>
          <w:sz w:val="22"/>
          <w:szCs w:val="22"/>
          <w:lang w:val="es-ES_tradnl"/>
        </w:rPr>
        <w:t>Updated</w:t>
      </w:r>
      <w:proofErr w:type="spellEnd"/>
      <w:r w:rsidRPr="00903982">
        <w:rPr>
          <w:rFonts w:asciiTheme="minorHAnsi" w:hAnsiTheme="minorHAnsi"/>
          <w:sz w:val="22"/>
          <w:szCs w:val="22"/>
          <w:lang w:val="es-ES_tradnl"/>
        </w:rPr>
        <w:t xml:space="preserve"> Capital </w:t>
      </w:r>
      <w:proofErr w:type="spellStart"/>
      <w:r w:rsidRPr="00903982">
        <w:rPr>
          <w:rFonts w:asciiTheme="minorHAnsi" w:hAnsiTheme="minorHAnsi"/>
          <w:sz w:val="22"/>
          <w:szCs w:val="22"/>
          <w:lang w:val="es-ES_tradnl"/>
        </w:rPr>
        <w:t>Cost</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Estimates</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for</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Utility</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Scale</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Electricity</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Generating</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Plants</w:t>
      </w:r>
      <w:proofErr w:type="spellEnd"/>
      <w:r w:rsidRPr="00903982">
        <w:rPr>
          <w:rFonts w:asciiTheme="minorHAnsi" w:hAnsiTheme="minorHAnsi"/>
          <w:sz w:val="22"/>
          <w:szCs w:val="22"/>
          <w:lang w:val="es-ES_tradnl"/>
        </w:rPr>
        <w:t xml:space="preserve"> 2016 e información adicional de Energy </w:t>
      </w:r>
      <w:proofErr w:type="spellStart"/>
      <w:r w:rsidRPr="00903982">
        <w:rPr>
          <w:rFonts w:asciiTheme="minorHAnsi" w:hAnsiTheme="minorHAnsi"/>
          <w:sz w:val="22"/>
          <w:szCs w:val="22"/>
          <w:lang w:val="es-ES_tradnl"/>
        </w:rPr>
        <w:t>Information</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Administration</w:t>
      </w:r>
      <w:proofErr w:type="spellEnd"/>
      <w:r w:rsidRPr="00903982">
        <w:rPr>
          <w:rFonts w:asciiTheme="minorHAnsi" w:hAnsiTheme="minorHAnsi"/>
          <w:sz w:val="22"/>
          <w:szCs w:val="22"/>
          <w:lang w:val="es-ES_tradnl"/>
        </w:rPr>
        <w:t xml:space="preserve"> de los Estados Unidos.</w:t>
      </w:r>
    </w:p>
    <w:p w14:paraId="7FC3FE97" w14:textId="49D29A32" w:rsidR="00AC55CB" w:rsidRPr="00AC55CB" w:rsidRDefault="00AC55CB" w:rsidP="00AC55CB">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Pr>
          <w:rFonts w:asciiTheme="minorHAnsi" w:hAnsiTheme="minorHAnsi"/>
          <w:b w:val="0"/>
          <w:noProof/>
          <w:sz w:val="22"/>
          <w:lang w:val="es-ES_tradnl"/>
        </w:rPr>
        <w:t>12</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w:t>
      </w:r>
      <w:r>
        <w:rPr>
          <w:rFonts w:asciiTheme="minorHAnsi" w:hAnsiTheme="minorHAnsi"/>
          <w:b w:val="0"/>
          <w:sz w:val="22"/>
          <w:lang w:val="es-ES_tradnl"/>
        </w:rPr>
        <w:t>Vida útil por tipo de tecnología</w:t>
      </w:r>
    </w:p>
    <w:tbl>
      <w:tblPr>
        <w:tblStyle w:val="LightShading-Accent3"/>
        <w:tblW w:w="4859" w:type="dxa"/>
        <w:jc w:val="center"/>
        <w:tblLayout w:type="fixed"/>
        <w:tblLook w:val="04A0" w:firstRow="1" w:lastRow="0" w:firstColumn="1" w:lastColumn="0" w:noHBand="0" w:noVBand="1"/>
      </w:tblPr>
      <w:tblGrid>
        <w:gridCol w:w="3077"/>
        <w:gridCol w:w="1782"/>
      </w:tblGrid>
      <w:tr w:rsidR="000023FD" w:rsidRPr="000023FD" w14:paraId="482F31B9" w14:textId="77777777" w:rsidTr="00AC55CB">
        <w:trPr>
          <w:cnfStyle w:val="100000000000" w:firstRow="1" w:lastRow="0" w:firstColumn="0" w:lastColumn="0" w:oddVBand="0" w:evenVBand="0" w:oddHBand="0" w:evenHBand="0" w:firstRowFirstColumn="0" w:firstRowLastColumn="0" w:lastRowFirstColumn="0" w:lastRowLastColumn="0"/>
          <w:trHeight w:val="580"/>
          <w:jc w:val="center"/>
        </w:trPr>
        <w:tc>
          <w:tcPr>
            <w:cnfStyle w:val="001000000000" w:firstRow="0" w:lastRow="0" w:firstColumn="1" w:lastColumn="0" w:oddVBand="0" w:evenVBand="0" w:oddHBand="0" w:evenHBand="0" w:firstRowFirstColumn="0" w:firstRowLastColumn="0" w:lastRowFirstColumn="0" w:lastRowLastColumn="0"/>
            <w:tcW w:w="3077" w:type="dxa"/>
            <w:hideMark/>
          </w:tcPr>
          <w:p w14:paraId="75CB5F98"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Tecnología</w:t>
            </w:r>
          </w:p>
        </w:tc>
        <w:tc>
          <w:tcPr>
            <w:tcW w:w="1782" w:type="dxa"/>
            <w:hideMark/>
          </w:tcPr>
          <w:p w14:paraId="161F41E2" w14:textId="77777777" w:rsidR="000023FD" w:rsidRPr="000023FD" w:rsidRDefault="000023FD" w:rsidP="000023FD">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Vida útil (años)</w:t>
            </w:r>
          </w:p>
        </w:tc>
      </w:tr>
      <w:tr w:rsidR="000023FD" w:rsidRPr="000023FD" w14:paraId="79FDED01" w14:textId="77777777" w:rsidTr="00AC55CB">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55937001"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Ciclo combinado</w:t>
            </w:r>
          </w:p>
        </w:tc>
        <w:tc>
          <w:tcPr>
            <w:tcW w:w="1782" w:type="dxa"/>
            <w:noWrap/>
            <w:hideMark/>
          </w:tcPr>
          <w:p w14:paraId="143CC27D" w14:textId="77777777" w:rsidR="000023FD" w:rsidRPr="000023FD" w:rsidRDefault="000023FD" w:rsidP="000023F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30 </w:t>
            </w:r>
          </w:p>
        </w:tc>
      </w:tr>
      <w:tr w:rsidR="000023FD" w:rsidRPr="000023FD" w14:paraId="62953B0E" w14:textId="77777777" w:rsidTr="00AC55CB">
        <w:trPr>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1D7A3707"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Termoeléctrica convencional</w:t>
            </w:r>
          </w:p>
        </w:tc>
        <w:tc>
          <w:tcPr>
            <w:tcW w:w="1782" w:type="dxa"/>
            <w:noWrap/>
            <w:hideMark/>
          </w:tcPr>
          <w:p w14:paraId="749DBE2A" w14:textId="77777777" w:rsidR="000023FD" w:rsidRPr="000023FD" w:rsidRDefault="000023FD" w:rsidP="000023F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30 </w:t>
            </w:r>
          </w:p>
        </w:tc>
      </w:tr>
      <w:tr w:rsidR="000023FD" w:rsidRPr="000023FD" w14:paraId="3CDC5647" w14:textId="77777777" w:rsidTr="00AC55CB">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12077436"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Carboeléctrica</w:t>
            </w:r>
          </w:p>
        </w:tc>
        <w:tc>
          <w:tcPr>
            <w:tcW w:w="1782" w:type="dxa"/>
            <w:noWrap/>
            <w:hideMark/>
          </w:tcPr>
          <w:p w14:paraId="4301F337" w14:textId="77777777" w:rsidR="000023FD" w:rsidRPr="000023FD" w:rsidRDefault="000023FD" w:rsidP="000023F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40 </w:t>
            </w:r>
          </w:p>
        </w:tc>
      </w:tr>
      <w:tr w:rsidR="000023FD" w:rsidRPr="000023FD" w14:paraId="37A96EA9" w14:textId="77777777" w:rsidTr="00AC55CB">
        <w:trPr>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6BE6BEB4" w14:textId="77777777" w:rsidR="000023FD" w:rsidRPr="000023FD" w:rsidRDefault="000023FD" w:rsidP="000023FD">
            <w:pPr>
              <w:rPr>
                <w:rFonts w:ascii="Calibri" w:eastAsia="Times New Roman" w:hAnsi="Calibri"/>
                <w:color w:val="000000"/>
                <w:sz w:val="22"/>
                <w:szCs w:val="22"/>
                <w:lang w:eastAsia="es-ES"/>
              </w:rPr>
            </w:pPr>
            <w:proofErr w:type="spellStart"/>
            <w:r w:rsidRPr="000023FD">
              <w:rPr>
                <w:rFonts w:ascii="Calibri" w:eastAsia="Times New Roman" w:hAnsi="Calibri"/>
                <w:color w:val="000000"/>
                <w:sz w:val="22"/>
                <w:szCs w:val="22"/>
                <w:lang w:eastAsia="es-ES"/>
              </w:rPr>
              <w:t>Turbogas</w:t>
            </w:r>
            <w:proofErr w:type="spellEnd"/>
          </w:p>
        </w:tc>
        <w:tc>
          <w:tcPr>
            <w:tcW w:w="1782" w:type="dxa"/>
            <w:noWrap/>
            <w:hideMark/>
          </w:tcPr>
          <w:p w14:paraId="0E2EE239" w14:textId="77777777" w:rsidR="000023FD" w:rsidRPr="000023FD" w:rsidRDefault="000023FD" w:rsidP="000023F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30 </w:t>
            </w:r>
          </w:p>
        </w:tc>
      </w:tr>
      <w:tr w:rsidR="000023FD" w:rsidRPr="000023FD" w14:paraId="798BA96B" w14:textId="77777777" w:rsidTr="00AC55CB">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7A072DF2"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Combustión interna</w:t>
            </w:r>
          </w:p>
        </w:tc>
        <w:tc>
          <w:tcPr>
            <w:tcW w:w="1782" w:type="dxa"/>
            <w:noWrap/>
            <w:hideMark/>
          </w:tcPr>
          <w:p w14:paraId="007A93FB" w14:textId="77777777" w:rsidR="000023FD" w:rsidRPr="000023FD" w:rsidRDefault="000023FD" w:rsidP="000023F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25 </w:t>
            </w:r>
          </w:p>
        </w:tc>
      </w:tr>
      <w:tr w:rsidR="000023FD" w:rsidRPr="000023FD" w14:paraId="38C5FF89" w14:textId="77777777" w:rsidTr="00AC55CB">
        <w:trPr>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7DEF78A3"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Lecho fluidizado</w:t>
            </w:r>
          </w:p>
        </w:tc>
        <w:tc>
          <w:tcPr>
            <w:tcW w:w="1782" w:type="dxa"/>
            <w:noWrap/>
            <w:hideMark/>
          </w:tcPr>
          <w:p w14:paraId="66F3F9E0" w14:textId="77777777" w:rsidR="000023FD" w:rsidRPr="000023FD" w:rsidRDefault="000023FD" w:rsidP="000023F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40 </w:t>
            </w:r>
          </w:p>
        </w:tc>
      </w:tr>
      <w:tr w:rsidR="000023FD" w:rsidRPr="000023FD" w14:paraId="4D25896E" w14:textId="77777777" w:rsidTr="00AC55CB">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1EE8F999"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Hidroeléctrica</w:t>
            </w:r>
          </w:p>
        </w:tc>
        <w:tc>
          <w:tcPr>
            <w:tcW w:w="1782" w:type="dxa"/>
            <w:noWrap/>
            <w:hideMark/>
          </w:tcPr>
          <w:p w14:paraId="6ABC195A" w14:textId="77777777" w:rsidR="000023FD" w:rsidRPr="000023FD" w:rsidRDefault="000023FD" w:rsidP="000023F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60 </w:t>
            </w:r>
          </w:p>
        </w:tc>
      </w:tr>
      <w:tr w:rsidR="000023FD" w:rsidRPr="000023FD" w14:paraId="45C75E2E" w14:textId="77777777" w:rsidTr="00AC55CB">
        <w:trPr>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341624D7"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Eólica</w:t>
            </w:r>
          </w:p>
        </w:tc>
        <w:tc>
          <w:tcPr>
            <w:tcW w:w="1782" w:type="dxa"/>
            <w:noWrap/>
            <w:hideMark/>
          </w:tcPr>
          <w:p w14:paraId="50902AD0" w14:textId="77777777" w:rsidR="000023FD" w:rsidRPr="000023FD" w:rsidRDefault="000023FD" w:rsidP="000023F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25 </w:t>
            </w:r>
          </w:p>
        </w:tc>
      </w:tr>
      <w:tr w:rsidR="000023FD" w:rsidRPr="000023FD" w14:paraId="7B5E5640" w14:textId="77777777" w:rsidTr="00AC55CB">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0C74E4C7"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Geotérmica</w:t>
            </w:r>
          </w:p>
        </w:tc>
        <w:tc>
          <w:tcPr>
            <w:tcW w:w="1782" w:type="dxa"/>
            <w:noWrap/>
            <w:hideMark/>
          </w:tcPr>
          <w:p w14:paraId="7B796681" w14:textId="77777777" w:rsidR="000023FD" w:rsidRPr="000023FD" w:rsidRDefault="000023FD" w:rsidP="000023F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30 </w:t>
            </w:r>
          </w:p>
        </w:tc>
      </w:tr>
      <w:tr w:rsidR="000023FD" w:rsidRPr="000023FD" w14:paraId="3B76C035" w14:textId="77777777" w:rsidTr="00AC55CB">
        <w:trPr>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6D1FCAF6"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Solar fotovoltaica</w:t>
            </w:r>
          </w:p>
        </w:tc>
        <w:tc>
          <w:tcPr>
            <w:tcW w:w="1782" w:type="dxa"/>
            <w:noWrap/>
            <w:hideMark/>
          </w:tcPr>
          <w:p w14:paraId="77BA26FD" w14:textId="77777777" w:rsidR="000023FD" w:rsidRPr="000023FD" w:rsidRDefault="000023FD" w:rsidP="000023F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30 </w:t>
            </w:r>
          </w:p>
        </w:tc>
      </w:tr>
      <w:tr w:rsidR="000023FD" w:rsidRPr="000023FD" w14:paraId="2DB4BBF5" w14:textId="77777777" w:rsidTr="00AC55CB">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55B87450"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Solar térmica</w:t>
            </w:r>
          </w:p>
        </w:tc>
        <w:tc>
          <w:tcPr>
            <w:tcW w:w="1782" w:type="dxa"/>
            <w:noWrap/>
            <w:hideMark/>
          </w:tcPr>
          <w:p w14:paraId="205310B5" w14:textId="77777777" w:rsidR="000023FD" w:rsidRPr="000023FD" w:rsidRDefault="000023FD" w:rsidP="000023F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35 </w:t>
            </w:r>
          </w:p>
        </w:tc>
      </w:tr>
      <w:tr w:rsidR="000023FD" w:rsidRPr="000023FD" w14:paraId="683AE6AA" w14:textId="77777777" w:rsidTr="00AC55CB">
        <w:trPr>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099B756E"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Nuclear</w:t>
            </w:r>
          </w:p>
        </w:tc>
        <w:tc>
          <w:tcPr>
            <w:tcW w:w="1782" w:type="dxa"/>
            <w:noWrap/>
            <w:hideMark/>
          </w:tcPr>
          <w:p w14:paraId="2BF4C51E" w14:textId="77777777" w:rsidR="000023FD" w:rsidRPr="000023FD" w:rsidRDefault="000023FD" w:rsidP="000023F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60 </w:t>
            </w:r>
          </w:p>
        </w:tc>
      </w:tr>
      <w:tr w:rsidR="000023FD" w:rsidRPr="000023FD" w14:paraId="617D9BFA" w14:textId="77777777" w:rsidTr="00AC55CB">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36AFEEA3"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Biomasa</w:t>
            </w:r>
          </w:p>
        </w:tc>
        <w:tc>
          <w:tcPr>
            <w:tcW w:w="1782" w:type="dxa"/>
            <w:noWrap/>
            <w:hideMark/>
          </w:tcPr>
          <w:p w14:paraId="1662A5C1" w14:textId="77777777" w:rsidR="000023FD" w:rsidRPr="000023FD" w:rsidRDefault="000023FD" w:rsidP="000023F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20 </w:t>
            </w:r>
          </w:p>
        </w:tc>
      </w:tr>
      <w:tr w:rsidR="000023FD" w:rsidRPr="000023FD" w14:paraId="0C5BA560" w14:textId="77777777" w:rsidTr="00AC55CB">
        <w:trPr>
          <w:trHeight w:val="300"/>
          <w:jc w:val="center"/>
        </w:trPr>
        <w:tc>
          <w:tcPr>
            <w:cnfStyle w:val="001000000000" w:firstRow="0" w:lastRow="0" w:firstColumn="1" w:lastColumn="0" w:oddVBand="0" w:evenVBand="0" w:oddHBand="0" w:evenHBand="0" w:firstRowFirstColumn="0" w:firstRowLastColumn="0" w:lastRowFirstColumn="0" w:lastRowLastColumn="0"/>
            <w:tcW w:w="3077" w:type="dxa"/>
            <w:noWrap/>
            <w:hideMark/>
          </w:tcPr>
          <w:p w14:paraId="2AD5AEDF" w14:textId="77777777" w:rsidR="000023FD" w:rsidRPr="000023FD" w:rsidRDefault="000023FD" w:rsidP="000023FD">
            <w:pPr>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Cogeneración eficiente</w:t>
            </w:r>
          </w:p>
        </w:tc>
        <w:tc>
          <w:tcPr>
            <w:tcW w:w="1782" w:type="dxa"/>
            <w:noWrap/>
            <w:hideMark/>
          </w:tcPr>
          <w:p w14:paraId="62A26DD0" w14:textId="77777777" w:rsidR="000023FD" w:rsidRPr="000023FD" w:rsidRDefault="000023FD" w:rsidP="000023FD">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eastAsia="es-ES"/>
              </w:rPr>
            </w:pPr>
            <w:r w:rsidRPr="000023FD">
              <w:rPr>
                <w:rFonts w:ascii="Calibri" w:eastAsia="Times New Roman" w:hAnsi="Calibri"/>
                <w:color w:val="000000"/>
                <w:sz w:val="22"/>
                <w:szCs w:val="22"/>
                <w:lang w:eastAsia="es-ES"/>
              </w:rPr>
              <w:t xml:space="preserve"> 33 </w:t>
            </w:r>
          </w:p>
        </w:tc>
      </w:tr>
    </w:tbl>
    <w:p w14:paraId="19781E1A" w14:textId="0A819823" w:rsidR="00714D3F" w:rsidRDefault="00714D3F" w:rsidP="00714D3F">
      <w:pPr>
        <w:spacing w:after="100" w:afterAutospacing="1"/>
        <w:jc w:val="center"/>
        <w:rPr>
          <w:rFonts w:asciiTheme="minorHAnsi" w:hAnsiTheme="minorHAnsi"/>
          <w:sz w:val="22"/>
          <w:szCs w:val="22"/>
          <w:lang w:val="es-ES_tradnl"/>
        </w:rPr>
      </w:pPr>
      <w:r w:rsidRPr="00903982">
        <w:rPr>
          <w:rFonts w:asciiTheme="minorHAnsi" w:hAnsiTheme="minorHAnsi"/>
          <w:sz w:val="22"/>
          <w:szCs w:val="22"/>
          <w:lang w:val="es-ES_tradnl"/>
        </w:rPr>
        <w:t xml:space="preserve">Fuente: </w:t>
      </w:r>
      <w:r w:rsidR="00FD3B59">
        <w:rPr>
          <w:rFonts w:asciiTheme="minorHAnsi" w:hAnsiTheme="minorHAnsi"/>
          <w:sz w:val="22"/>
          <w:szCs w:val="22"/>
          <w:lang w:val="es-ES_tradnl"/>
        </w:rPr>
        <w:t xml:space="preserve">PRODESEN </w:t>
      </w:r>
      <w:r w:rsidR="00B170DE">
        <w:rPr>
          <w:rFonts w:asciiTheme="minorHAnsi" w:hAnsiTheme="minorHAnsi"/>
          <w:sz w:val="22"/>
          <w:szCs w:val="22"/>
          <w:lang w:val="es-ES_tradnl"/>
        </w:rPr>
        <w:t>2017</w:t>
      </w:r>
      <w:r w:rsidR="00FD3B59">
        <w:rPr>
          <w:rFonts w:asciiTheme="minorHAnsi" w:hAnsiTheme="minorHAnsi"/>
          <w:sz w:val="22"/>
          <w:szCs w:val="22"/>
          <w:lang w:val="es-ES_tradnl"/>
        </w:rPr>
        <w:t>-</w:t>
      </w:r>
      <w:r w:rsidR="00B170DE">
        <w:rPr>
          <w:rFonts w:asciiTheme="minorHAnsi" w:hAnsiTheme="minorHAnsi"/>
          <w:sz w:val="22"/>
          <w:szCs w:val="22"/>
          <w:lang w:val="es-ES_tradnl"/>
        </w:rPr>
        <w:t>2031 y Energía de la Biomasa, del Gobierno de España.</w:t>
      </w:r>
    </w:p>
    <w:p w14:paraId="374C0612" w14:textId="77777777" w:rsidR="006D6A53" w:rsidRDefault="006D6A53">
      <w:pPr>
        <w:spacing w:after="160" w:line="259" w:lineRule="auto"/>
        <w:rPr>
          <w:rFonts w:asciiTheme="majorHAnsi" w:eastAsiaTheme="majorEastAsia" w:hAnsiTheme="majorHAnsi" w:cstheme="majorBidi"/>
          <w:color w:val="A5A5A5" w:themeColor="accent1" w:themeShade="BF"/>
          <w:sz w:val="32"/>
          <w:szCs w:val="32"/>
          <w:lang w:val="es-ES_tradnl"/>
        </w:rPr>
      </w:pPr>
      <w:r>
        <w:rPr>
          <w:lang w:val="es-ES_tradnl"/>
        </w:rPr>
        <w:br w:type="page"/>
      </w:r>
    </w:p>
    <w:p w14:paraId="458EA37F" w14:textId="2E6D6F1A" w:rsidR="00E04019" w:rsidRPr="00903982" w:rsidRDefault="00E04019" w:rsidP="00E04019">
      <w:pPr>
        <w:pStyle w:val="Heading1"/>
        <w:rPr>
          <w:lang w:val="es-ES_tradnl"/>
        </w:rPr>
      </w:pPr>
      <w:r w:rsidRPr="00903982">
        <w:rPr>
          <w:lang w:val="es-ES_tradnl"/>
        </w:rPr>
        <w:lastRenderedPageBreak/>
        <w:t>Impacto de Medidas del Programa</w:t>
      </w:r>
    </w:p>
    <w:p w14:paraId="0A622C1F" w14:textId="4E352AE0" w:rsidR="00AC1B50" w:rsidRPr="00903982" w:rsidRDefault="00AC1B50" w:rsidP="00AC1B50">
      <w:pPr>
        <w:autoSpaceDE w:val="0"/>
        <w:autoSpaceDN w:val="0"/>
        <w:adjustRightInd w:val="0"/>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 xml:space="preserve">Al comparar la </w:t>
      </w:r>
      <w:r w:rsidR="000C26B0" w:rsidRPr="00903982">
        <w:rPr>
          <w:rFonts w:asciiTheme="minorHAnsi" w:hAnsiTheme="minorHAnsi"/>
          <w:sz w:val="22"/>
          <w:szCs w:val="22"/>
          <w:lang w:val="es-ES_tradnl"/>
        </w:rPr>
        <w:t>l</w:t>
      </w:r>
      <w:r w:rsidRPr="00903982">
        <w:rPr>
          <w:rFonts w:asciiTheme="minorHAnsi" w:hAnsiTheme="minorHAnsi"/>
          <w:sz w:val="22"/>
          <w:szCs w:val="22"/>
          <w:lang w:val="es-ES_tradnl"/>
        </w:rPr>
        <w:t xml:space="preserve">ínea </w:t>
      </w:r>
      <w:r w:rsidR="000C26B0" w:rsidRPr="00903982">
        <w:rPr>
          <w:rFonts w:asciiTheme="minorHAnsi" w:hAnsiTheme="minorHAnsi"/>
          <w:sz w:val="22"/>
          <w:szCs w:val="22"/>
          <w:lang w:val="es-ES_tradnl"/>
        </w:rPr>
        <w:t>b</w:t>
      </w:r>
      <w:r w:rsidRPr="00903982">
        <w:rPr>
          <w:rFonts w:asciiTheme="minorHAnsi" w:hAnsiTheme="minorHAnsi"/>
          <w:sz w:val="22"/>
          <w:szCs w:val="22"/>
          <w:lang w:val="es-ES_tradnl"/>
        </w:rPr>
        <w:t>ase de desa</w:t>
      </w:r>
      <w:r w:rsidR="00E04019" w:rsidRPr="00903982">
        <w:rPr>
          <w:rFonts w:asciiTheme="minorHAnsi" w:hAnsiTheme="minorHAnsi"/>
          <w:sz w:val="22"/>
          <w:szCs w:val="22"/>
          <w:lang w:val="es-ES_tradnl"/>
        </w:rPr>
        <w:t>rrollo del sector eléctrico 2016</w:t>
      </w:r>
      <w:r w:rsidRPr="00903982">
        <w:rPr>
          <w:rFonts w:asciiTheme="minorHAnsi" w:hAnsiTheme="minorHAnsi"/>
          <w:sz w:val="22"/>
          <w:szCs w:val="22"/>
          <w:lang w:val="es-ES_tradnl"/>
        </w:rPr>
        <w:t>-20</w:t>
      </w:r>
      <w:r w:rsidR="005C49EB" w:rsidRPr="00903982">
        <w:rPr>
          <w:rFonts w:asciiTheme="minorHAnsi" w:hAnsiTheme="minorHAnsi"/>
          <w:sz w:val="22"/>
          <w:szCs w:val="22"/>
          <w:lang w:val="es-ES_tradnl"/>
        </w:rPr>
        <w:t>3</w:t>
      </w:r>
      <w:r w:rsidRPr="00903982">
        <w:rPr>
          <w:rFonts w:asciiTheme="minorHAnsi" w:hAnsiTheme="minorHAnsi"/>
          <w:sz w:val="22"/>
          <w:szCs w:val="22"/>
          <w:lang w:val="es-ES_tradnl"/>
        </w:rPr>
        <w:t xml:space="preserve">0 </w:t>
      </w:r>
      <w:r w:rsidR="008325A2" w:rsidRPr="00903982">
        <w:rPr>
          <w:rFonts w:asciiTheme="minorHAnsi" w:hAnsiTheme="minorHAnsi"/>
          <w:sz w:val="22"/>
          <w:szCs w:val="22"/>
          <w:lang w:val="es-ES_tradnl"/>
        </w:rPr>
        <w:t>descrita en la sección ant</w:t>
      </w:r>
      <w:r w:rsidR="000C26B0" w:rsidRPr="00903982">
        <w:rPr>
          <w:rFonts w:asciiTheme="minorHAnsi" w:hAnsiTheme="minorHAnsi"/>
          <w:sz w:val="22"/>
          <w:szCs w:val="22"/>
          <w:lang w:val="es-ES_tradnl"/>
        </w:rPr>
        <w:t>erior</w:t>
      </w:r>
      <w:r w:rsidR="008325A2" w:rsidRPr="00903982">
        <w:rPr>
          <w:rFonts w:asciiTheme="minorHAnsi" w:hAnsiTheme="minorHAnsi"/>
          <w:sz w:val="22"/>
          <w:szCs w:val="22"/>
          <w:lang w:val="es-ES_tradnl"/>
        </w:rPr>
        <w:t xml:space="preserve"> con el</w:t>
      </w:r>
      <w:r w:rsidRPr="00903982">
        <w:rPr>
          <w:rFonts w:asciiTheme="minorHAnsi" w:hAnsiTheme="minorHAnsi"/>
          <w:sz w:val="22"/>
          <w:szCs w:val="22"/>
          <w:lang w:val="es-ES_tradnl"/>
        </w:rPr>
        <w:t xml:space="preserve"> escenario con </w:t>
      </w:r>
      <w:r w:rsidR="000C26B0" w:rsidRPr="00903982">
        <w:rPr>
          <w:rFonts w:asciiTheme="minorHAnsi" w:hAnsiTheme="minorHAnsi"/>
          <w:sz w:val="22"/>
          <w:szCs w:val="22"/>
          <w:lang w:val="es-ES_tradnl"/>
        </w:rPr>
        <w:t xml:space="preserve">la aplicación individuales de medidas del </w:t>
      </w:r>
      <w:r w:rsidRPr="00903982">
        <w:rPr>
          <w:rFonts w:asciiTheme="minorHAnsi" w:hAnsiTheme="minorHAnsi"/>
          <w:sz w:val="22"/>
          <w:szCs w:val="22"/>
          <w:lang w:val="es-ES_tradnl"/>
        </w:rPr>
        <w:t xml:space="preserve">Programa, se </w:t>
      </w:r>
      <w:r w:rsidR="000C26B0" w:rsidRPr="00903982">
        <w:rPr>
          <w:rFonts w:asciiTheme="minorHAnsi" w:hAnsiTheme="minorHAnsi"/>
          <w:sz w:val="22"/>
          <w:szCs w:val="22"/>
          <w:lang w:val="es-ES_tradnl"/>
        </w:rPr>
        <w:t xml:space="preserve">pueden </w:t>
      </w:r>
      <w:r w:rsidRPr="00903982">
        <w:rPr>
          <w:rFonts w:asciiTheme="minorHAnsi" w:hAnsiTheme="minorHAnsi"/>
          <w:sz w:val="22"/>
          <w:szCs w:val="22"/>
          <w:lang w:val="es-ES_tradnl"/>
        </w:rPr>
        <w:t>proyectan los siguientes impactos:</w:t>
      </w:r>
    </w:p>
    <w:p w14:paraId="73435748" w14:textId="6039D8D8" w:rsidR="00AC1B50" w:rsidRPr="00903982" w:rsidRDefault="000C26B0" w:rsidP="00AC1B50">
      <w:pPr>
        <w:pStyle w:val="ListParagraph"/>
        <w:numPr>
          <w:ilvl w:val="0"/>
          <w:numId w:val="25"/>
        </w:numPr>
        <w:spacing w:after="100" w:afterAutospacing="1" w:line="240" w:lineRule="auto"/>
        <w:jc w:val="both"/>
        <w:rPr>
          <w:lang w:val="es-ES_tradnl"/>
        </w:rPr>
      </w:pPr>
      <w:r w:rsidRPr="00903982">
        <w:rPr>
          <w:lang w:val="es-ES_tradnl"/>
        </w:rPr>
        <w:t>Escenario con D</w:t>
      </w:r>
      <w:r w:rsidR="00E04019" w:rsidRPr="00903982">
        <w:rPr>
          <w:lang w:val="es-ES_tradnl"/>
        </w:rPr>
        <w:t xml:space="preserve">isminución de la </w:t>
      </w:r>
      <w:r w:rsidRPr="00903982">
        <w:rPr>
          <w:lang w:val="es-ES_tradnl"/>
        </w:rPr>
        <w:t xml:space="preserve">Tasa de Incremento de la </w:t>
      </w:r>
      <w:r w:rsidR="00E04019" w:rsidRPr="00903982">
        <w:rPr>
          <w:lang w:val="es-ES_tradnl"/>
        </w:rPr>
        <w:t>Intensidad Energética</w:t>
      </w:r>
    </w:p>
    <w:p w14:paraId="4421409A" w14:textId="28903F64" w:rsidR="00794F71" w:rsidRPr="00903982" w:rsidRDefault="00F444B2" w:rsidP="00794F71">
      <w:pPr>
        <w:spacing w:after="100" w:afterAutospacing="1"/>
        <w:jc w:val="both"/>
        <w:rPr>
          <w:rFonts w:asciiTheme="minorHAnsi" w:hAnsiTheme="minorHAnsi" w:cs="Arial"/>
          <w:bCs/>
          <w:sz w:val="22"/>
          <w:szCs w:val="22"/>
          <w:lang w:val="es-ES_tradnl"/>
        </w:rPr>
      </w:pPr>
      <w:r w:rsidRPr="00903982">
        <w:rPr>
          <w:rFonts w:asciiTheme="minorHAnsi" w:hAnsiTheme="minorHAnsi"/>
          <w:sz w:val="22"/>
          <w:szCs w:val="22"/>
          <w:lang w:val="es-ES_tradnl"/>
        </w:rPr>
        <w:t>El primer impacto por considerar</w:t>
      </w:r>
      <w:r w:rsidR="00401B33" w:rsidRPr="00903982">
        <w:rPr>
          <w:rFonts w:asciiTheme="minorHAnsi" w:hAnsiTheme="minorHAnsi"/>
          <w:sz w:val="22"/>
          <w:szCs w:val="22"/>
          <w:lang w:val="es-ES_tradnl"/>
        </w:rPr>
        <w:t xml:space="preserve"> es el aumento de la eficiencia energética, que redunde en una</w:t>
      </w:r>
      <w:r w:rsidR="00794F71" w:rsidRPr="00903982">
        <w:rPr>
          <w:rFonts w:asciiTheme="minorHAnsi" w:hAnsiTheme="minorHAnsi"/>
          <w:sz w:val="22"/>
          <w:szCs w:val="22"/>
          <w:lang w:val="es-ES_tradnl"/>
        </w:rPr>
        <w:t xml:space="preserve"> disminución de generación eléctrica producto de los programas de eficiencia energética implementados por el gobierno</w:t>
      </w:r>
      <w:r w:rsidR="00401B33" w:rsidRPr="00903982">
        <w:rPr>
          <w:rFonts w:asciiTheme="minorHAnsi" w:hAnsiTheme="minorHAnsi"/>
          <w:sz w:val="22"/>
          <w:szCs w:val="22"/>
          <w:lang w:val="es-ES_tradnl"/>
        </w:rPr>
        <w:t>, con respecto a la línea base</w:t>
      </w:r>
      <w:r w:rsidR="00794F71" w:rsidRPr="00903982">
        <w:rPr>
          <w:rFonts w:asciiTheme="minorHAnsi" w:hAnsiTheme="minorHAnsi"/>
          <w:sz w:val="22"/>
          <w:szCs w:val="22"/>
          <w:lang w:val="es-ES_tradnl"/>
        </w:rPr>
        <w:t>.</w:t>
      </w:r>
      <w:r w:rsidR="00794F71" w:rsidRPr="00903982">
        <w:rPr>
          <w:rFonts w:asciiTheme="minorHAnsi" w:hAnsiTheme="minorHAnsi" w:cs="Arial"/>
          <w:bCs/>
          <w:sz w:val="22"/>
          <w:szCs w:val="22"/>
          <w:lang w:val="es-ES_tradnl"/>
        </w:rPr>
        <w:t xml:space="preserve"> </w:t>
      </w:r>
      <w:r w:rsidR="00E04019" w:rsidRPr="00903982">
        <w:rPr>
          <w:rFonts w:asciiTheme="minorHAnsi" w:hAnsiTheme="minorHAnsi" w:cs="Arial"/>
          <w:bCs/>
          <w:sz w:val="22"/>
          <w:szCs w:val="22"/>
          <w:lang w:val="es-ES_tradnl"/>
        </w:rPr>
        <w:t xml:space="preserve">En la </w:t>
      </w:r>
      <w:r w:rsidR="00401B33" w:rsidRPr="00903982">
        <w:rPr>
          <w:rFonts w:asciiTheme="minorHAnsi" w:hAnsiTheme="minorHAnsi" w:cs="Arial"/>
          <w:bCs/>
          <w:sz w:val="22"/>
          <w:szCs w:val="22"/>
          <w:lang w:val="es-ES_tradnl"/>
        </w:rPr>
        <w:t>l</w:t>
      </w:r>
      <w:r w:rsidR="00E04019" w:rsidRPr="00903982">
        <w:rPr>
          <w:rFonts w:asciiTheme="minorHAnsi" w:hAnsiTheme="minorHAnsi" w:cs="Arial"/>
          <w:bCs/>
          <w:sz w:val="22"/>
          <w:szCs w:val="22"/>
          <w:lang w:val="es-ES_tradnl"/>
        </w:rPr>
        <w:t xml:space="preserve">ínea </w:t>
      </w:r>
      <w:r w:rsidR="00401B33" w:rsidRPr="00903982">
        <w:rPr>
          <w:rFonts w:asciiTheme="minorHAnsi" w:hAnsiTheme="minorHAnsi" w:cs="Arial"/>
          <w:bCs/>
          <w:sz w:val="22"/>
          <w:szCs w:val="22"/>
          <w:lang w:val="es-ES_tradnl"/>
        </w:rPr>
        <w:t>b</w:t>
      </w:r>
      <w:r w:rsidR="00E04019" w:rsidRPr="00903982">
        <w:rPr>
          <w:rFonts w:asciiTheme="minorHAnsi" w:hAnsiTheme="minorHAnsi" w:cs="Arial"/>
          <w:bCs/>
          <w:sz w:val="22"/>
          <w:szCs w:val="22"/>
          <w:lang w:val="es-ES_tradnl"/>
        </w:rPr>
        <w:t>ase, l</w:t>
      </w:r>
      <w:r w:rsidR="00AC1B50" w:rsidRPr="00903982">
        <w:rPr>
          <w:rFonts w:asciiTheme="minorHAnsi" w:hAnsiTheme="minorHAnsi" w:cs="Arial"/>
          <w:bCs/>
          <w:sz w:val="22"/>
          <w:szCs w:val="22"/>
          <w:lang w:val="es-ES_tradnl"/>
        </w:rPr>
        <w:t xml:space="preserve">a </w:t>
      </w:r>
      <w:r w:rsidR="005F2779" w:rsidRPr="00903982">
        <w:rPr>
          <w:rFonts w:asciiTheme="minorHAnsi" w:hAnsiTheme="minorHAnsi" w:cs="Arial"/>
          <w:bCs/>
          <w:sz w:val="22"/>
          <w:szCs w:val="22"/>
          <w:lang w:val="es-ES_tradnl"/>
        </w:rPr>
        <w:t>generación</w:t>
      </w:r>
      <w:r w:rsidR="00AC1B50" w:rsidRPr="00903982">
        <w:rPr>
          <w:rFonts w:asciiTheme="minorHAnsi" w:hAnsiTheme="minorHAnsi" w:cs="Arial"/>
          <w:bCs/>
          <w:sz w:val="22"/>
          <w:szCs w:val="22"/>
          <w:lang w:val="es-ES_tradnl"/>
        </w:rPr>
        <w:t xml:space="preserve"> total de energía en </w:t>
      </w:r>
      <w:r w:rsidR="00DB55A1" w:rsidRPr="00903982">
        <w:rPr>
          <w:rFonts w:asciiTheme="minorHAnsi" w:hAnsiTheme="minorHAnsi" w:cs="Arial"/>
          <w:bCs/>
          <w:sz w:val="22"/>
          <w:szCs w:val="22"/>
          <w:lang w:val="es-ES_tradnl"/>
        </w:rPr>
        <w:t>el sistema</w:t>
      </w:r>
      <w:r w:rsidR="00AC1B50" w:rsidRPr="00903982">
        <w:rPr>
          <w:rFonts w:asciiTheme="minorHAnsi" w:hAnsiTheme="minorHAnsi" w:cs="Arial"/>
          <w:bCs/>
          <w:sz w:val="22"/>
          <w:szCs w:val="22"/>
          <w:lang w:val="es-ES_tradnl"/>
        </w:rPr>
        <w:t xml:space="preserve"> </w:t>
      </w:r>
      <w:r w:rsidR="00E04019" w:rsidRPr="00903982">
        <w:rPr>
          <w:rFonts w:asciiTheme="minorHAnsi" w:hAnsiTheme="minorHAnsi" w:cs="Arial"/>
          <w:bCs/>
          <w:sz w:val="22"/>
          <w:szCs w:val="22"/>
          <w:lang w:val="es-ES_tradnl"/>
        </w:rPr>
        <w:t>se dobla desde el</w:t>
      </w:r>
      <w:r w:rsidR="00AC1B50" w:rsidRPr="00903982">
        <w:rPr>
          <w:rFonts w:asciiTheme="minorHAnsi" w:hAnsiTheme="minorHAnsi" w:cs="Arial"/>
          <w:bCs/>
          <w:sz w:val="22"/>
          <w:szCs w:val="22"/>
          <w:lang w:val="es-ES_tradnl"/>
        </w:rPr>
        <w:t xml:space="preserve"> año 20</w:t>
      </w:r>
      <w:r w:rsidR="00DB55A1" w:rsidRPr="00903982">
        <w:rPr>
          <w:rFonts w:asciiTheme="minorHAnsi" w:hAnsiTheme="minorHAnsi" w:cs="Arial"/>
          <w:bCs/>
          <w:sz w:val="22"/>
          <w:szCs w:val="22"/>
          <w:lang w:val="es-ES_tradnl"/>
        </w:rPr>
        <w:t>1</w:t>
      </w:r>
      <w:r w:rsidR="00E04019" w:rsidRPr="00903982">
        <w:rPr>
          <w:rFonts w:asciiTheme="minorHAnsi" w:hAnsiTheme="minorHAnsi" w:cs="Arial"/>
          <w:bCs/>
          <w:sz w:val="22"/>
          <w:szCs w:val="22"/>
          <w:lang w:val="es-ES_tradnl"/>
        </w:rPr>
        <w:t>6</w:t>
      </w:r>
      <w:r w:rsidR="00DB55A1" w:rsidRPr="00903982">
        <w:rPr>
          <w:rFonts w:asciiTheme="minorHAnsi" w:hAnsiTheme="minorHAnsi" w:cs="Arial"/>
          <w:bCs/>
          <w:sz w:val="22"/>
          <w:szCs w:val="22"/>
          <w:lang w:val="es-ES_tradnl"/>
        </w:rPr>
        <w:t xml:space="preserve"> </w:t>
      </w:r>
      <w:r w:rsidR="00E04019" w:rsidRPr="00903982">
        <w:rPr>
          <w:rFonts w:asciiTheme="minorHAnsi" w:hAnsiTheme="minorHAnsi" w:cs="Arial"/>
          <w:bCs/>
          <w:sz w:val="22"/>
          <w:szCs w:val="22"/>
          <w:lang w:val="es-ES_tradnl"/>
        </w:rPr>
        <w:t>a</w:t>
      </w:r>
      <w:r w:rsidR="00AC1B50" w:rsidRPr="00903982">
        <w:rPr>
          <w:rFonts w:asciiTheme="minorHAnsi" w:hAnsiTheme="minorHAnsi" w:cs="Arial"/>
          <w:bCs/>
          <w:sz w:val="22"/>
          <w:szCs w:val="22"/>
          <w:lang w:val="es-ES_tradnl"/>
        </w:rPr>
        <w:t>l 2030. Esto último significa un</w:t>
      </w:r>
      <w:r w:rsidR="00E04019" w:rsidRPr="00903982">
        <w:rPr>
          <w:rFonts w:asciiTheme="minorHAnsi" w:hAnsiTheme="minorHAnsi" w:cs="Arial"/>
          <w:bCs/>
          <w:sz w:val="22"/>
          <w:szCs w:val="22"/>
          <w:lang w:val="es-ES_tradnl"/>
        </w:rPr>
        <w:t>a</w:t>
      </w:r>
      <w:r w:rsidR="00AC1B50" w:rsidRPr="00903982">
        <w:rPr>
          <w:rFonts w:asciiTheme="minorHAnsi" w:hAnsiTheme="minorHAnsi" w:cs="Arial"/>
          <w:bCs/>
          <w:sz w:val="22"/>
          <w:szCs w:val="22"/>
          <w:lang w:val="es-ES_tradnl"/>
        </w:rPr>
        <w:t xml:space="preserve"> </w:t>
      </w:r>
      <w:r w:rsidR="00E04019" w:rsidRPr="00903982">
        <w:rPr>
          <w:rFonts w:asciiTheme="minorHAnsi" w:hAnsiTheme="minorHAnsi" w:cs="Arial"/>
          <w:bCs/>
          <w:sz w:val="22"/>
          <w:szCs w:val="22"/>
          <w:lang w:val="es-ES_tradnl"/>
        </w:rPr>
        <w:t>generación de 579</w:t>
      </w:r>
      <w:r w:rsidR="00227CA9" w:rsidRPr="00903982">
        <w:rPr>
          <w:rFonts w:asciiTheme="minorHAnsi" w:hAnsiTheme="minorHAnsi" w:cs="Arial"/>
          <w:bCs/>
          <w:sz w:val="22"/>
          <w:szCs w:val="22"/>
          <w:lang w:val="es-ES_tradnl"/>
        </w:rPr>
        <w:t xml:space="preserve"> </w:t>
      </w:r>
      <w:r w:rsidR="000C26B0" w:rsidRPr="00903982">
        <w:rPr>
          <w:rFonts w:asciiTheme="minorHAnsi" w:hAnsiTheme="minorHAnsi" w:cs="Arial"/>
          <w:bCs/>
          <w:sz w:val="22"/>
          <w:szCs w:val="22"/>
          <w:lang w:val="es-ES_tradnl"/>
        </w:rPr>
        <w:t xml:space="preserve">mil GWh ese año. </w:t>
      </w:r>
      <w:r w:rsidR="00E04019" w:rsidRPr="00903982">
        <w:rPr>
          <w:rFonts w:asciiTheme="minorHAnsi" w:hAnsiTheme="minorHAnsi" w:cs="Arial"/>
          <w:bCs/>
          <w:sz w:val="22"/>
          <w:szCs w:val="22"/>
          <w:lang w:val="es-ES_tradnl"/>
        </w:rPr>
        <w:t xml:space="preserve"> El Programa plantea un agresivo plan de eficiencia ener</w:t>
      </w:r>
      <w:r w:rsidR="009F2435" w:rsidRPr="00903982">
        <w:rPr>
          <w:rFonts w:asciiTheme="minorHAnsi" w:hAnsiTheme="minorHAnsi" w:cs="Arial"/>
          <w:bCs/>
          <w:sz w:val="22"/>
          <w:szCs w:val="22"/>
          <w:lang w:val="es-ES_tradnl"/>
        </w:rPr>
        <w:t>gética que permitiría disminuir la tasa de variación de la intensidad energética (i.e.</w:t>
      </w:r>
      <w:r w:rsidR="00903982">
        <w:rPr>
          <w:rFonts w:asciiTheme="minorHAnsi" w:hAnsiTheme="minorHAnsi" w:cs="Arial"/>
          <w:bCs/>
          <w:sz w:val="22"/>
          <w:szCs w:val="22"/>
          <w:lang w:val="es-ES_tradnl"/>
        </w:rPr>
        <w:t>, cantidad de energía requerida</w:t>
      </w:r>
      <w:r w:rsidR="009F2435" w:rsidRPr="00903982">
        <w:rPr>
          <w:rFonts w:asciiTheme="minorHAnsi" w:hAnsiTheme="minorHAnsi" w:cs="Arial"/>
          <w:bCs/>
          <w:sz w:val="22"/>
          <w:szCs w:val="22"/>
          <w:lang w:val="es-ES_tradnl"/>
        </w:rPr>
        <w:t xml:space="preserve"> para producir una unidad monetaria) en 1,9% anual. Esto no quiere decir que las tasas de crecimiento de dicha demanda serán negativas, sino más bien, que serán menores que en la línea base. De esta forma la demanda eléctrica no crecerá del estimado 579 GWh de la línea base, sino más bien al 444 mil GWh al 2030 de la LTE. </w:t>
      </w:r>
      <w:r w:rsidR="00313E46" w:rsidRPr="00903982">
        <w:rPr>
          <w:rFonts w:asciiTheme="minorHAnsi" w:hAnsiTheme="minorHAnsi" w:cs="Arial"/>
          <w:bCs/>
          <w:sz w:val="22"/>
          <w:szCs w:val="22"/>
          <w:lang w:val="es-ES_tradnl"/>
        </w:rPr>
        <w:t xml:space="preserve">El impacto en la demanda de energía eléctrica afecta en el </w:t>
      </w:r>
      <w:r w:rsidR="009F2435" w:rsidRPr="00903982">
        <w:rPr>
          <w:rFonts w:asciiTheme="minorHAnsi" w:hAnsiTheme="minorHAnsi" w:cs="Arial"/>
          <w:bCs/>
          <w:sz w:val="22"/>
          <w:szCs w:val="22"/>
          <w:lang w:val="es-ES_tradnl"/>
        </w:rPr>
        <w:t>costo del sistema en su inversión y operación,</w:t>
      </w:r>
      <w:r w:rsidR="00313E46" w:rsidRPr="00903982">
        <w:rPr>
          <w:rFonts w:asciiTheme="minorHAnsi" w:hAnsiTheme="minorHAnsi" w:cs="Arial"/>
          <w:bCs/>
          <w:sz w:val="22"/>
          <w:szCs w:val="22"/>
          <w:lang w:val="es-ES_tradnl"/>
        </w:rPr>
        <w:t xml:space="preserve"> </w:t>
      </w:r>
      <w:r w:rsidR="00E53200" w:rsidRPr="00903982">
        <w:rPr>
          <w:rFonts w:asciiTheme="minorHAnsi" w:hAnsiTheme="minorHAnsi" w:cs="Arial"/>
          <w:bCs/>
          <w:sz w:val="22"/>
          <w:szCs w:val="22"/>
          <w:lang w:val="es-ES_tradnl"/>
        </w:rPr>
        <w:t>y</w:t>
      </w:r>
      <w:r w:rsidR="009F2435" w:rsidRPr="00903982">
        <w:rPr>
          <w:rFonts w:asciiTheme="minorHAnsi" w:hAnsiTheme="minorHAnsi" w:cs="Arial"/>
          <w:bCs/>
          <w:sz w:val="22"/>
          <w:szCs w:val="22"/>
          <w:lang w:val="es-ES_tradnl"/>
        </w:rPr>
        <w:t>,</w:t>
      </w:r>
      <w:r w:rsidR="00E53200" w:rsidRPr="00903982">
        <w:rPr>
          <w:rFonts w:asciiTheme="minorHAnsi" w:hAnsiTheme="minorHAnsi" w:cs="Arial"/>
          <w:bCs/>
          <w:sz w:val="22"/>
          <w:szCs w:val="22"/>
          <w:lang w:val="es-ES_tradnl"/>
        </w:rPr>
        <w:t xml:space="preserve"> </w:t>
      </w:r>
      <w:r w:rsidR="005B11D8" w:rsidRPr="00903982">
        <w:rPr>
          <w:rFonts w:asciiTheme="minorHAnsi" w:hAnsiTheme="minorHAnsi" w:cs="Arial"/>
          <w:bCs/>
          <w:sz w:val="22"/>
          <w:szCs w:val="22"/>
          <w:lang w:val="es-ES_tradnl"/>
        </w:rPr>
        <w:t xml:space="preserve">disminuye </w:t>
      </w:r>
      <w:r w:rsidR="00E53200" w:rsidRPr="00903982">
        <w:rPr>
          <w:rFonts w:asciiTheme="minorHAnsi" w:hAnsiTheme="minorHAnsi" w:cs="Arial"/>
          <w:bCs/>
          <w:sz w:val="22"/>
          <w:szCs w:val="22"/>
          <w:lang w:val="es-ES_tradnl"/>
        </w:rPr>
        <w:t>las emisiones</w:t>
      </w:r>
      <w:r w:rsidR="005B11D8" w:rsidRPr="00903982">
        <w:rPr>
          <w:rFonts w:asciiTheme="minorHAnsi" w:hAnsiTheme="minorHAnsi" w:cs="Arial"/>
          <w:bCs/>
          <w:sz w:val="22"/>
          <w:szCs w:val="22"/>
          <w:lang w:val="es-ES_tradnl"/>
        </w:rPr>
        <w:t xml:space="preserve"> de CO2</w:t>
      </w:r>
      <w:r w:rsidR="00E53200" w:rsidRPr="00903982">
        <w:rPr>
          <w:rFonts w:asciiTheme="minorHAnsi" w:hAnsiTheme="minorHAnsi" w:cs="Arial"/>
          <w:bCs/>
          <w:sz w:val="22"/>
          <w:szCs w:val="22"/>
          <w:lang w:val="es-ES_tradnl"/>
        </w:rPr>
        <w:t>.</w:t>
      </w:r>
      <w:r w:rsidR="00313E46" w:rsidRPr="00903982">
        <w:rPr>
          <w:rFonts w:asciiTheme="minorHAnsi" w:hAnsiTheme="minorHAnsi" w:cs="Arial"/>
          <w:bCs/>
          <w:sz w:val="22"/>
          <w:szCs w:val="22"/>
          <w:lang w:val="es-ES_tradnl"/>
        </w:rPr>
        <w:t xml:space="preserve"> </w:t>
      </w:r>
      <w:r w:rsidR="00970E5A" w:rsidRPr="00903982">
        <w:rPr>
          <w:rFonts w:asciiTheme="minorHAnsi" w:hAnsiTheme="minorHAnsi" w:cs="Arial"/>
          <w:bCs/>
          <w:sz w:val="22"/>
          <w:szCs w:val="22"/>
          <w:lang w:val="es-ES_tradnl"/>
        </w:rPr>
        <w:t xml:space="preserve"> </w:t>
      </w:r>
      <w:r w:rsidR="00794F71" w:rsidRPr="00903982">
        <w:rPr>
          <w:rFonts w:asciiTheme="minorHAnsi" w:hAnsiTheme="minorHAnsi"/>
          <w:sz w:val="22"/>
          <w:szCs w:val="22"/>
          <w:lang w:val="es-ES_tradnl"/>
        </w:rPr>
        <w:t xml:space="preserve">A </w:t>
      </w:r>
      <w:r w:rsidRPr="00903982">
        <w:rPr>
          <w:rFonts w:asciiTheme="minorHAnsi" w:hAnsiTheme="minorHAnsi"/>
          <w:sz w:val="22"/>
          <w:szCs w:val="22"/>
          <w:lang w:val="es-ES_tradnl"/>
        </w:rPr>
        <w:t>continuación,</w:t>
      </w:r>
      <w:r w:rsidR="00794F71" w:rsidRPr="00903982">
        <w:rPr>
          <w:rFonts w:asciiTheme="minorHAnsi" w:hAnsiTheme="minorHAnsi"/>
          <w:sz w:val="22"/>
          <w:szCs w:val="22"/>
          <w:lang w:val="es-ES_tradnl"/>
        </w:rPr>
        <w:t xml:space="preserve"> se pueden apreciar las diferencias entre energía generada en la Línea Base versus la energía generada en una línea base a la cual se le aplica eficiencia energética</w:t>
      </w:r>
      <w:r w:rsidR="002F0F82" w:rsidRPr="00903982">
        <w:rPr>
          <w:rFonts w:asciiTheme="minorHAnsi" w:hAnsiTheme="minorHAnsi"/>
          <w:sz w:val="22"/>
          <w:szCs w:val="22"/>
          <w:lang w:val="es-ES_tradnl"/>
        </w:rPr>
        <w:t>.</w:t>
      </w:r>
      <w:r w:rsidR="00794F71" w:rsidRPr="00903982">
        <w:rPr>
          <w:rFonts w:asciiTheme="minorHAnsi" w:hAnsiTheme="minorHAnsi"/>
          <w:sz w:val="22"/>
          <w:szCs w:val="22"/>
          <w:lang w:val="es-ES_tradnl"/>
        </w:rPr>
        <w:t xml:space="preserve"> </w:t>
      </w:r>
    </w:p>
    <w:p w14:paraId="4AB8325B" w14:textId="77777777" w:rsidR="00794F71" w:rsidRPr="00903982" w:rsidRDefault="00794F71" w:rsidP="00794F71">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t xml:space="preserve">Ilustración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Ilustración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2</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Comparación generación eléctrica con y sin eficiencia energética</w:t>
      </w:r>
    </w:p>
    <w:p w14:paraId="1770A1CE" w14:textId="72E633BD" w:rsidR="00794F71" w:rsidRPr="00903982" w:rsidRDefault="004C68D9" w:rsidP="00794F71">
      <w:pPr>
        <w:spacing w:after="100" w:afterAutospacing="1"/>
        <w:jc w:val="center"/>
        <w:rPr>
          <w:rFonts w:asciiTheme="minorHAnsi" w:hAnsiTheme="minorHAnsi"/>
          <w:sz w:val="22"/>
          <w:szCs w:val="22"/>
          <w:lang w:val="es-ES_tradnl"/>
        </w:rPr>
      </w:pPr>
      <w:r w:rsidRPr="00903982">
        <w:rPr>
          <w:noProof/>
          <w:lang w:val="en-US" w:eastAsia="en-US"/>
        </w:rPr>
        <w:drawing>
          <wp:inline distT="0" distB="0" distL="0" distR="0" wp14:anchorId="045BD838" wp14:editId="7389540E">
            <wp:extent cx="4572000" cy="276225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6FC2005" w14:textId="77777777" w:rsidR="00794F71" w:rsidRPr="00903982" w:rsidRDefault="00794F71" w:rsidP="00794F71">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216544E6" w14:textId="77777777" w:rsidR="00794F71" w:rsidRPr="00903982" w:rsidRDefault="00794F71" w:rsidP="00794F71">
      <w:pPr>
        <w:spacing w:after="100" w:afterAutospacing="1"/>
        <w:jc w:val="both"/>
        <w:rPr>
          <w:rFonts w:asciiTheme="minorHAnsi" w:hAnsiTheme="minorHAnsi" w:cs="Arial"/>
          <w:bCs/>
          <w:sz w:val="22"/>
          <w:szCs w:val="22"/>
          <w:lang w:val="es-ES_tradnl"/>
        </w:rPr>
      </w:pPr>
      <w:r w:rsidRPr="00903982">
        <w:rPr>
          <w:rFonts w:asciiTheme="minorHAnsi" w:hAnsiTheme="minorHAnsi" w:cs="Arial"/>
          <w:bCs/>
          <w:sz w:val="22"/>
          <w:szCs w:val="22"/>
          <w:lang w:val="es-ES_tradnl"/>
        </w:rPr>
        <w:t>Es posible apreciar a simple vista como afecta la eficiencia energética en la generación eléctrica, disminuyéndola hasta la mitad para el año 2030 respecto a la línea base. Esta eficiencia energética tiene un costo en función de la energía ahorrada, como se mencionó anteriormente, por lo cual es necesario conocer la energía que se ahorra anualmente y el costo que este ahorro tiene.</w:t>
      </w:r>
    </w:p>
    <w:p w14:paraId="3379E561" w14:textId="77777777" w:rsidR="00794F71" w:rsidRPr="00903982" w:rsidRDefault="00794F71" w:rsidP="00794F71">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lastRenderedPageBreak/>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11</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Inversión en eficiencia energética en función de la energía ahorrada</w:t>
      </w:r>
    </w:p>
    <w:tbl>
      <w:tblPr>
        <w:tblStyle w:val="LightShading-Accent1"/>
        <w:tblW w:w="8292" w:type="dxa"/>
        <w:jc w:val="center"/>
        <w:tblLook w:val="04A0" w:firstRow="1" w:lastRow="0" w:firstColumn="1" w:lastColumn="0" w:noHBand="0" w:noVBand="1"/>
      </w:tblPr>
      <w:tblGrid>
        <w:gridCol w:w="1298"/>
        <w:gridCol w:w="1701"/>
        <w:gridCol w:w="2339"/>
        <w:gridCol w:w="2954"/>
      </w:tblGrid>
      <w:tr w:rsidR="00794F71" w:rsidRPr="00903982" w14:paraId="01306CC2" w14:textId="77777777" w:rsidTr="00714D3F">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66619A4B" w14:textId="77777777" w:rsidR="00794F71" w:rsidRPr="00903982" w:rsidRDefault="00794F71" w:rsidP="00794F71">
            <w:pPr>
              <w:jc w:val="center"/>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Año</w:t>
            </w:r>
          </w:p>
          <w:p w14:paraId="49692A34" w14:textId="77777777" w:rsidR="00794F71" w:rsidRPr="00903982" w:rsidRDefault="00794F71" w:rsidP="00794F71">
            <w:pPr>
              <w:jc w:val="center"/>
              <w:rPr>
                <w:rFonts w:ascii="Calibri" w:eastAsia="Times New Roman" w:hAnsi="Calibri"/>
                <w:color w:val="000000"/>
                <w:sz w:val="22"/>
                <w:szCs w:val="22"/>
                <w:lang w:val="es-ES_tradnl"/>
              </w:rPr>
            </w:pPr>
          </w:p>
        </w:tc>
        <w:tc>
          <w:tcPr>
            <w:tcW w:w="1701" w:type="dxa"/>
            <w:noWrap/>
            <w:hideMark/>
          </w:tcPr>
          <w:p w14:paraId="6284E980" w14:textId="77777777" w:rsidR="00794F71" w:rsidRPr="00903982" w:rsidRDefault="00794F71" w:rsidP="00794F7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Energía ahorrada (GWh)</w:t>
            </w:r>
          </w:p>
        </w:tc>
        <w:tc>
          <w:tcPr>
            <w:tcW w:w="2339" w:type="dxa"/>
          </w:tcPr>
          <w:p w14:paraId="1FFEC0D3" w14:textId="36776E2D" w:rsidR="00794F71" w:rsidRPr="00903982" w:rsidRDefault="00794F71" w:rsidP="00585B9B">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hAnsi="Calibri"/>
                <w:color w:val="000000"/>
                <w:sz w:val="22"/>
                <w:szCs w:val="22"/>
                <w:lang w:val="es-ES_tradnl"/>
              </w:rPr>
              <w:t>Valor energía ahorrada</w:t>
            </w:r>
            <w:r w:rsidR="00714D3F" w:rsidRPr="00903982">
              <w:rPr>
                <w:rFonts w:ascii="Calibri" w:hAnsi="Calibri"/>
                <w:color w:val="000000"/>
                <w:sz w:val="22"/>
                <w:szCs w:val="22"/>
                <w:lang w:val="es-ES_tradnl"/>
              </w:rPr>
              <w:t xml:space="preserve"> </w:t>
            </w:r>
            <w:r w:rsidR="00714D3F">
              <w:rPr>
                <w:rFonts w:ascii="Calibri" w:eastAsia="Times New Roman" w:hAnsi="Calibri"/>
                <w:color w:val="000000"/>
                <w:sz w:val="22"/>
                <w:szCs w:val="22"/>
                <w:lang w:val="es-ES_tradnl"/>
              </w:rPr>
              <w:t xml:space="preserve">(millones de </w:t>
            </w:r>
            <w:r w:rsidRPr="00903982">
              <w:rPr>
                <w:rFonts w:ascii="Calibri" w:eastAsia="Times New Roman" w:hAnsi="Calibri"/>
                <w:color w:val="000000"/>
                <w:sz w:val="22"/>
                <w:szCs w:val="22"/>
                <w:lang w:val="es-ES_tradnl"/>
              </w:rPr>
              <w:t>USD)</w:t>
            </w:r>
          </w:p>
        </w:tc>
        <w:tc>
          <w:tcPr>
            <w:tcW w:w="2954" w:type="dxa"/>
            <w:noWrap/>
            <w:hideMark/>
          </w:tcPr>
          <w:p w14:paraId="0B3812A8" w14:textId="298C337C" w:rsidR="00794F71" w:rsidRPr="00903982" w:rsidRDefault="00794F71" w:rsidP="00794F7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Invers</w:t>
            </w:r>
            <w:r w:rsidR="00714D3F">
              <w:rPr>
                <w:rFonts w:ascii="Calibri" w:eastAsia="Times New Roman" w:hAnsi="Calibri"/>
                <w:color w:val="000000"/>
                <w:sz w:val="22"/>
                <w:szCs w:val="22"/>
                <w:lang w:val="es-ES_tradnl"/>
              </w:rPr>
              <w:t xml:space="preserve">ión en eficiencia energética (millones de </w:t>
            </w:r>
            <w:r w:rsidRPr="00903982">
              <w:rPr>
                <w:rFonts w:ascii="Calibri" w:eastAsia="Times New Roman" w:hAnsi="Calibri"/>
                <w:color w:val="000000"/>
                <w:sz w:val="22"/>
                <w:szCs w:val="22"/>
                <w:lang w:val="es-ES_tradnl"/>
              </w:rPr>
              <w:t>USD)</w:t>
            </w:r>
          </w:p>
        </w:tc>
      </w:tr>
      <w:tr w:rsidR="00585B9B" w:rsidRPr="00903982" w14:paraId="4FD607C4"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39C90B05"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2016</w:t>
            </w:r>
          </w:p>
        </w:tc>
        <w:tc>
          <w:tcPr>
            <w:tcW w:w="1701" w:type="dxa"/>
            <w:noWrap/>
            <w:vAlign w:val="bottom"/>
          </w:tcPr>
          <w:p w14:paraId="70B88FAA" w14:textId="35668420" w:rsidR="00585B9B" w:rsidRPr="0090398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   </w:t>
            </w:r>
          </w:p>
        </w:tc>
        <w:tc>
          <w:tcPr>
            <w:tcW w:w="2339" w:type="dxa"/>
          </w:tcPr>
          <w:p w14:paraId="736C51AF" w14:textId="039EC4DE"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   </w:t>
            </w:r>
          </w:p>
        </w:tc>
        <w:tc>
          <w:tcPr>
            <w:tcW w:w="2954" w:type="dxa"/>
            <w:noWrap/>
          </w:tcPr>
          <w:p w14:paraId="1D869A31" w14:textId="3F935A44"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   </w:t>
            </w:r>
          </w:p>
        </w:tc>
      </w:tr>
      <w:tr w:rsidR="00585B9B" w:rsidRPr="00903982" w14:paraId="31A62AB7"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60F4CC5C"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2017</w:t>
            </w:r>
          </w:p>
        </w:tc>
        <w:tc>
          <w:tcPr>
            <w:tcW w:w="1701" w:type="dxa"/>
            <w:noWrap/>
            <w:vAlign w:val="bottom"/>
          </w:tcPr>
          <w:p w14:paraId="2A50BD50" w14:textId="767D1202" w:rsidR="00585B9B" w:rsidRPr="00903982" w:rsidRDefault="00585B9B" w:rsidP="00B50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6,242 </w:t>
            </w:r>
          </w:p>
        </w:tc>
        <w:tc>
          <w:tcPr>
            <w:tcW w:w="2339" w:type="dxa"/>
          </w:tcPr>
          <w:p w14:paraId="767B825F" w14:textId="17556049"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60 </w:t>
            </w:r>
          </w:p>
        </w:tc>
        <w:tc>
          <w:tcPr>
            <w:tcW w:w="2954" w:type="dxa"/>
            <w:noWrap/>
          </w:tcPr>
          <w:p w14:paraId="7B456E52" w14:textId="12FAC3D0"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156 </w:t>
            </w:r>
          </w:p>
        </w:tc>
      </w:tr>
      <w:tr w:rsidR="00585B9B" w:rsidRPr="00903982" w14:paraId="1D1938F7"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4EC169C0"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2018</w:t>
            </w:r>
          </w:p>
        </w:tc>
        <w:tc>
          <w:tcPr>
            <w:tcW w:w="1701" w:type="dxa"/>
            <w:noWrap/>
            <w:vAlign w:val="bottom"/>
          </w:tcPr>
          <w:p w14:paraId="6D02B839" w14:textId="41FCC571" w:rsidR="00585B9B" w:rsidRPr="00903982" w:rsidRDefault="00585B9B" w:rsidP="0052074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                 12,482 </w:t>
            </w:r>
          </w:p>
        </w:tc>
        <w:tc>
          <w:tcPr>
            <w:tcW w:w="2339" w:type="dxa"/>
          </w:tcPr>
          <w:p w14:paraId="1C625BDE" w14:textId="6DAD2D46"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154 </w:t>
            </w:r>
          </w:p>
        </w:tc>
        <w:tc>
          <w:tcPr>
            <w:tcW w:w="2954" w:type="dxa"/>
            <w:noWrap/>
          </w:tcPr>
          <w:p w14:paraId="046B228D" w14:textId="3936C5A0"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312 </w:t>
            </w:r>
          </w:p>
        </w:tc>
      </w:tr>
      <w:tr w:rsidR="00585B9B" w:rsidRPr="00903982" w14:paraId="17E846B0"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6BAB28FB"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2019</w:t>
            </w:r>
          </w:p>
        </w:tc>
        <w:tc>
          <w:tcPr>
            <w:tcW w:w="1701" w:type="dxa"/>
            <w:noWrap/>
            <w:vAlign w:val="bottom"/>
          </w:tcPr>
          <w:p w14:paraId="20500971" w14:textId="1C302115" w:rsidR="00585B9B" w:rsidRPr="0090398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19,218 </w:t>
            </w:r>
          </w:p>
        </w:tc>
        <w:tc>
          <w:tcPr>
            <w:tcW w:w="2339" w:type="dxa"/>
          </w:tcPr>
          <w:p w14:paraId="3986E907" w14:textId="771131C1"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396 </w:t>
            </w:r>
          </w:p>
        </w:tc>
        <w:tc>
          <w:tcPr>
            <w:tcW w:w="2954" w:type="dxa"/>
            <w:noWrap/>
          </w:tcPr>
          <w:p w14:paraId="07A67522" w14:textId="05485469"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480 </w:t>
            </w:r>
          </w:p>
        </w:tc>
      </w:tr>
      <w:tr w:rsidR="00585B9B" w:rsidRPr="00903982" w14:paraId="732D5704"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44EC7D4B"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2020</w:t>
            </w:r>
          </w:p>
        </w:tc>
        <w:tc>
          <w:tcPr>
            <w:tcW w:w="1701" w:type="dxa"/>
            <w:noWrap/>
            <w:vAlign w:val="bottom"/>
          </w:tcPr>
          <w:p w14:paraId="3F8F784B" w14:textId="7C51D70D" w:rsidR="00585B9B" w:rsidRPr="0090398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26,465 </w:t>
            </w:r>
          </w:p>
        </w:tc>
        <w:tc>
          <w:tcPr>
            <w:tcW w:w="2339" w:type="dxa"/>
          </w:tcPr>
          <w:p w14:paraId="7E06AB1C" w14:textId="6D789C12"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699 </w:t>
            </w:r>
          </w:p>
        </w:tc>
        <w:tc>
          <w:tcPr>
            <w:tcW w:w="2954" w:type="dxa"/>
            <w:noWrap/>
          </w:tcPr>
          <w:p w14:paraId="60DF5784" w14:textId="42DAE5FC"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662 </w:t>
            </w:r>
          </w:p>
        </w:tc>
      </w:tr>
      <w:tr w:rsidR="00585B9B" w:rsidRPr="00903982" w14:paraId="0FABCA32"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2D701C28"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2021</w:t>
            </w:r>
          </w:p>
        </w:tc>
        <w:tc>
          <w:tcPr>
            <w:tcW w:w="1701" w:type="dxa"/>
            <w:noWrap/>
            <w:vAlign w:val="bottom"/>
          </w:tcPr>
          <w:p w14:paraId="40F4ECFE" w14:textId="5F6BEF2E" w:rsidR="00585B9B" w:rsidRPr="0090398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34,270 </w:t>
            </w:r>
          </w:p>
        </w:tc>
        <w:tc>
          <w:tcPr>
            <w:tcW w:w="2339" w:type="dxa"/>
          </w:tcPr>
          <w:p w14:paraId="0F34AA89" w14:textId="4671DDC9"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1,056 </w:t>
            </w:r>
          </w:p>
        </w:tc>
        <w:tc>
          <w:tcPr>
            <w:tcW w:w="2954" w:type="dxa"/>
            <w:noWrap/>
          </w:tcPr>
          <w:p w14:paraId="727F1093" w14:textId="62B5C3F8"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857 </w:t>
            </w:r>
          </w:p>
        </w:tc>
      </w:tr>
      <w:tr w:rsidR="00585B9B" w:rsidRPr="00903982" w14:paraId="58A19B3F"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4C789E21"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2022</w:t>
            </w:r>
          </w:p>
        </w:tc>
        <w:tc>
          <w:tcPr>
            <w:tcW w:w="1701" w:type="dxa"/>
            <w:noWrap/>
            <w:vAlign w:val="bottom"/>
          </w:tcPr>
          <w:p w14:paraId="4A573A25" w14:textId="32768BB9" w:rsidR="00585B9B" w:rsidRPr="0090398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42,679 </w:t>
            </w:r>
          </w:p>
        </w:tc>
        <w:tc>
          <w:tcPr>
            <w:tcW w:w="2339" w:type="dxa"/>
          </w:tcPr>
          <w:p w14:paraId="0F5E7556" w14:textId="4CE85639"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1,474 </w:t>
            </w:r>
          </w:p>
        </w:tc>
        <w:tc>
          <w:tcPr>
            <w:tcW w:w="2954" w:type="dxa"/>
            <w:noWrap/>
          </w:tcPr>
          <w:p w14:paraId="35C81A31" w14:textId="722BEF9C"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1,067 </w:t>
            </w:r>
          </w:p>
        </w:tc>
      </w:tr>
      <w:tr w:rsidR="00585B9B" w:rsidRPr="00903982" w14:paraId="4FE79E63"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4ACDAABC"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2023</w:t>
            </w:r>
          </w:p>
        </w:tc>
        <w:tc>
          <w:tcPr>
            <w:tcW w:w="1701" w:type="dxa"/>
            <w:noWrap/>
            <w:vAlign w:val="bottom"/>
          </w:tcPr>
          <w:p w14:paraId="4F1BC8E2" w14:textId="644A6DE0" w:rsidR="00585B9B" w:rsidRPr="0090398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51,684 </w:t>
            </w:r>
          </w:p>
        </w:tc>
        <w:tc>
          <w:tcPr>
            <w:tcW w:w="2339" w:type="dxa"/>
          </w:tcPr>
          <w:p w14:paraId="77F67717" w14:textId="33D409E3"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1,883 </w:t>
            </w:r>
          </w:p>
        </w:tc>
        <w:tc>
          <w:tcPr>
            <w:tcW w:w="2954" w:type="dxa"/>
            <w:noWrap/>
          </w:tcPr>
          <w:p w14:paraId="4543AA43" w14:textId="1A9430CE"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1,292 </w:t>
            </w:r>
          </w:p>
        </w:tc>
      </w:tr>
      <w:tr w:rsidR="00585B9B" w:rsidRPr="00903982" w14:paraId="2C936752"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03B411D6"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2024</w:t>
            </w:r>
          </w:p>
        </w:tc>
        <w:tc>
          <w:tcPr>
            <w:tcW w:w="1701" w:type="dxa"/>
            <w:noWrap/>
            <w:vAlign w:val="bottom"/>
          </w:tcPr>
          <w:p w14:paraId="2E1CF85D" w14:textId="085699EA" w:rsidR="00585B9B" w:rsidRPr="0090398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61,421 </w:t>
            </w:r>
          </w:p>
        </w:tc>
        <w:tc>
          <w:tcPr>
            <w:tcW w:w="2339" w:type="dxa"/>
          </w:tcPr>
          <w:p w14:paraId="2870D56A" w14:textId="1FF5EB74" w:rsidR="00585B9B" w:rsidRPr="00520742" w:rsidRDefault="00585B9B" w:rsidP="00585B9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2,308 </w:t>
            </w:r>
          </w:p>
        </w:tc>
        <w:tc>
          <w:tcPr>
            <w:tcW w:w="2954" w:type="dxa"/>
            <w:noWrap/>
          </w:tcPr>
          <w:p w14:paraId="0BB7FDE1" w14:textId="42210F59"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1,536 </w:t>
            </w:r>
          </w:p>
        </w:tc>
      </w:tr>
      <w:tr w:rsidR="00585B9B" w:rsidRPr="00903982" w14:paraId="25D7F511"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2DEF92AD"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2025</w:t>
            </w:r>
          </w:p>
        </w:tc>
        <w:tc>
          <w:tcPr>
            <w:tcW w:w="1701" w:type="dxa"/>
            <w:noWrap/>
            <w:vAlign w:val="bottom"/>
          </w:tcPr>
          <w:p w14:paraId="5ADAC12D" w14:textId="65285C7A" w:rsidR="00585B9B" w:rsidRPr="0090398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71,765 </w:t>
            </w:r>
          </w:p>
        </w:tc>
        <w:tc>
          <w:tcPr>
            <w:tcW w:w="2339" w:type="dxa"/>
          </w:tcPr>
          <w:p w14:paraId="1531BC62" w14:textId="43BD4F9E"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2,774 </w:t>
            </w:r>
          </w:p>
        </w:tc>
        <w:tc>
          <w:tcPr>
            <w:tcW w:w="2954" w:type="dxa"/>
            <w:noWrap/>
          </w:tcPr>
          <w:p w14:paraId="3014B7B2" w14:textId="0956B23C"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1,794 </w:t>
            </w:r>
          </w:p>
        </w:tc>
      </w:tr>
      <w:tr w:rsidR="00585B9B" w:rsidRPr="00903982" w14:paraId="5BCEB309"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68E15900"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2026</w:t>
            </w:r>
          </w:p>
        </w:tc>
        <w:tc>
          <w:tcPr>
            <w:tcW w:w="1701" w:type="dxa"/>
            <w:noWrap/>
            <w:vAlign w:val="bottom"/>
          </w:tcPr>
          <w:p w14:paraId="28204E50" w14:textId="1EA398B8" w:rsidR="00585B9B" w:rsidRPr="0090398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82,814 </w:t>
            </w:r>
          </w:p>
        </w:tc>
        <w:tc>
          <w:tcPr>
            <w:tcW w:w="2339" w:type="dxa"/>
          </w:tcPr>
          <w:p w14:paraId="7A690975" w14:textId="7095D215"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3,284 </w:t>
            </w:r>
          </w:p>
        </w:tc>
        <w:tc>
          <w:tcPr>
            <w:tcW w:w="2954" w:type="dxa"/>
            <w:noWrap/>
          </w:tcPr>
          <w:p w14:paraId="2A9CC8C3" w14:textId="5E0066A9"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2,070 </w:t>
            </w:r>
          </w:p>
        </w:tc>
      </w:tr>
      <w:tr w:rsidR="00585B9B" w:rsidRPr="00903982" w14:paraId="645BE7A2"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23B74413"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2027</w:t>
            </w:r>
          </w:p>
        </w:tc>
        <w:tc>
          <w:tcPr>
            <w:tcW w:w="1701" w:type="dxa"/>
            <w:noWrap/>
            <w:vAlign w:val="bottom"/>
          </w:tcPr>
          <w:p w14:paraId="48BB64A5" w14:textId="30A9636D" w:rsidR="00585B9B" w:rsidRPr="0090398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94,551 </w:t>
            </w:r>
          </w:p>
        </w:tc>
        <w:tc>
          <w:tcPr>
            <w:tcW w:w="2339" w:type="dxa"/>
          </w:tcPr>
          <w:p w14:paraId="5810DC51" w14:textId="6766429C"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3,897 </w:t>
            </w:r>
          </w:p>
        </w:tc>
        <w:tc>
          <w:tcPr>
            <w:tcW w:w="2954" w:type="dxa"/>
            <w:noWrap/>
          </w:tcPr>
          <w:p w14:paraId="19E0E91E" w14:textId="506F4A71"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2,364 </w:t>
            </w:r>
          </w:p>
        </w:tc>
      </w:tr>
      <w:tr w:rsidR="00585B9B" w:rsidRPr="00903982" w14:paraId="5A7E6F72"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34D2137C"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2028</w:t>
            </w:r>
          </w:p>
        </w:tc>
        <w:tc>
          <w:tcPr>
            <w:tcW w:w="1701" w:type="dxa"/>
            <w:noWrap/>
            <w:vAlign w:val="bottom"/>
          </w:tcPr>
          <w:p w14:paraId="7A424985" w14:textId="6EB58C9F" w:rsidR="00585B9B" w:rsidRPr="0090398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107,175 </w:t>
            </w:r>
          </w:p>
        </w:tc>
        <w:tc>
          <w:tcPr>
            <w:tcW w:w="2339" w:type="dxa"/>
          </w:tcPr>
          <w:p w14:paraId="5C0B6C79" w14:textId="4D42567D"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4,532 </w:t>
            </w:r>
          </w:p>
        </w:tc>
        <w:tc>
          <w:tcPr>
            <w:tcW w:w="2954" w:type="dxa"/>
            <w:noWrap/>
          </w:tcPr>
          <w:p w14:paraId="3D4D5338" w14:textId="5887C437"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2,679 </w:t>
            </w:r>
          </w:p>
        </w:tc>
      </w:tr>
      <w:tr w:rsidR="00585B9B" w:rsidRPr="00903982" w14:paraId="6A59F3B2"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3F865C07"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2029</w:t>
            </w:r>
          </w:p>
        </w:tc>
        <w:tc>
          <w:tcPr>
            <w:tcW w:w="1701" w:type="dxa"/>
            <w:noWrap/>
            <w:vAlign w:val="bottom"/>
          </w:tcPr>
          <w:p w14:paraId="20855CCD" w14:textId="6F324C3E" w:rsidR="00585B9B" w:rsidRPr="0090398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120,507 </w:t>
            </w:r>
          </w:p>
        </w:tc>
        <w:tc>
          <w:tcPr>
            <w:tcW w:w="2339" w:type="dxa"/>
          </w:tcPr>
          <w:p w14:paraId="3745D94C" w14:textId="3372311F"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5,247 </w:t>
            </w:r>
          </w:p>
        </w:tc>
        <w:tc>
          <w:tcPr>
            <w:tcW w:w="2954" w:type="dxa"/>
            <w:noWrap/>
          </w:tcPr>
          <w:p w14:paraId="0DAE14A0" w14:textId="6B7F52C9" w:rsidR="00585B9B" w:rsidRPr="00520742" w:rsidRDefault="00585B9B"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3,013 </w:t>
            </w:r>
          </w:p>
        </w:tc>
      </w:tr>
      <w:tr w:rsidR="00585B9B" w:rsidRPr="00903982" w14:paraId="1BE909F5"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98" w:type="dxa"/>
            <w:noWrap/>
            <w:hideMark/>
          </w:tcPr>
          <w:p w14:paraId="17E6EF00" w14:textId="77777777" w:rsidR="00585B9B" w:rsidRPr="00903982" w:rsidRDefault="00585B9B"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2030</w:t>
            </w:r>
          </w:p>
        </w:tc>
        <w:tc>
          <w:tcPr>
            <w:tcW w:w="1701" w:type="dxa"/>
            <w:noWrap/>
            <w:vAlign w:val="bottom"/>
          </w:tcPr>
          <w:p w14:paraId="116B85BB" w14:textId="31181314" w:rsidR="00585B9B" w:rsidRPr="0090398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lang w:val="es-ES_tradnl"/>
              </w:rPr>
            </w:pPr>
            <w:r>
              <w:rPr>
                <w:rFonts w:ascii="Calibri" w:hAnsi="Calibri"/>
                <w:color w:val="000000"/>
                <w:sz w:val="22"/>
                <w:szCs w:val="22"/>
              </w:rPr>
              <w:t xml:space="preserve">134,720 </w:t>
            </w:r>
          </w:p>
        </w:tc>
        <w:tc>
          <w:tcPr>
            <w:tcW w:w="2339" w:type="dxa"/>
          </w:tcPr>
          <w:p w14:paraId="64F60949" w14:textId="50C43722"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6,091 </w:t>
            </w:r>
          </w:p>
        </w:tc>
        <w:tc>
          <w:tcPr>
            <w:tcW w:w="2954" w:type="dxa"/>
            <w:noWrap/>
          </w:tcPr>
          <w:p w14:paraId="4DCF11C1" w14:textId="0E97DCF0" w:rsidR="00585B9B" w:rsidRPr="00520742" w:rsidRDefault="00585B9B"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rPr>
              <w:t xml:space="preserve"> 3,368 </w:t>
            </w:r>
          </w:p>
        </w:tc>
      </w:tr>
    </w:tbl>
    <w:p w14:paraId="562FC49C" w14:textId="77777777" w:rsidR="00794F71" w:rsidRPr="00903982" w:rsidRDefault="00794F71" w:rsidP="00794F71">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01966EE4" w14:textId="77777777" w:rsidR="00794F71" w:rsidRPr="00903982" w:rsidRDefault="00794F71" w:rsidP="00794F71">
      <w:pPr>
        <w:spacing w:after="100" w:afterAutospacing="1"/>
        <w:jc w:val="both"/>
        <w:rPr>
          <w:rFonts w:asciiTheme="minorHAnsi" w:hAnsiTheme="minorHAnsi" w:cs="Arial"/>
          <w:bCs/>
          <w:sz w:val="22"/>
          <w:szCs w:val="22"/>
          <w:lang w:val="es-ES_tradnl"/>
        </w:rPr>
      </w:pPr>
      <w:r w:rsidRPr="00903982">
        <w:rPr>
          <w:rFonts w:asciiTheme="minorHAnsi" w:hAnsiTheme="minorHAnsi" w:cs="Arial"/>
          <w:bCs/>
          <w:sz w:val="22"/>
          <w:szCs w:val="22"/>
          <w:lang w:val="es-ES_tradnl"/>
        </w:rPr>
        <w:t>Por otro lado, la disminución de generación eléctrica implica una menor producción de CO</w:t>
      </w:r>
      <w:r w:rsidRPr="00903982">
        <w:rPr>
          <w:rFonts w:asciiTheme="minorHAnsi" w:hAnsiTheme="minorHAnsi" w:cs="Arial"/>
          <w:bCs/>
          <w:sz w:val="22"/>
          <w:szCs w:val="22"/>
          <w:vertAlign w:val="subscript"/>
          <w:lang w:val="es-ES_tradnl"/>
        </w:rPr>
        <w:t>2</w:t>
      </w:r>
      <w:r w:rsidRPr="00903982">
        <w:rPr>
          <w:rFonts w:asciiTheme="minorHAnsi" w:hAnsiTheme="minorHAnsi" w:cs="Arial"/>
          <w:bCs/>
          <w:sz w:val="22"/>
          <w:szCs w:val="22"/>
          <w:lang w:val="es-ES_tradnl"/>
        </w:rPr>
        <w:t>, lo cual puede apreciarse en la siguiente figura.</w:t>
      </w:r>
    </w:p>
    <w:p w14:paraId="0328C89E" w14:textId="77777777" w:rsidR="00794F71" w:rsidRPr="00903982" w:rsidRDefault="00794F71" w:rsidP="00794F71">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t>Ilustración 6 Comparación emisiones de CO2 con y sin eficiencia energética</w:t>
      </w:r>
    </w:p>
    <w:p w14:paraId="4EA51A2F" w14:textId="458DB03B" w:rsidR="00794F71" w:rsidRPr="00903982" w:rsidRDefault="004C68D9" w:rsidP="00794F71">
      <w:pPr>
        <w:spacing w:after="100" w:afterAutospacing="1"/>
        <w:jc w:val="center"/>
        <w:rPr>
          <w:rFonts w:asciiTheme="minorHAnsi" w:hAnsiTheme="minorHAnsi" w:cs="Arial"/>
          <w:bCs/>
          <w:sz w:val="22"/>
          <w:szCs w:val="22"/>
          <w:lang w:val="es-ES_tradnl"/>
        </w:rPr>
      </w:pPr>
      <w:r w:rsidRPr="00903982">
        <w:rPr>
          <w:noProof/>
          <w:lang w:val="en-US" w:eastAsia="en-US"/>
        </w:rPr>
        <w:drawing>
          <wp:inline distT="0" distB="0" distL="0" distR="0" wp14:anchorId="67AE9DC0" wp14:editId="0D3910F4">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EEA58AC" w14:textId="31F5E540" w:rsidR="00794F71" w:rsidRPr="00903982" w:rsidRDefault="00794F71" w:rsidP="00794F71">
      <w:pPr>
        <w:spacing w:after="100" w:afterAutospacing="1"/>
        <w:jc w:val="center"/>
        <w:rPr>
          <w:rFonts w:asciiTheme="minorHAnsi" w:hAnsiTheme="minorHAnsi"/>
          <w:sz w:val="22"/>
          <w:szCs w:val="22"/>
          <w:lang w:val="es-ES_tradnl"/>
        </w:rPr>
      </w:pPr>
      <w:r w:rsidRPr="00903982">
        <w:rPr>
          <w:rFonts w:asciiTheme="minorHAnsi" w:hAnsiTheme="minorHAnsi" w:cs="Arial"/>
          <w:bCs/>
          <w:sz w:val="22"/>
          <w:szCs w:val="22"/>
          <w:lang w:val="es-ES_tradnl"/>
        </w:rPr>
        <w:t xml:space="preserve">Fuente: Elaboración propia en base a Prospectiva del Sector Eléctrico 2016-2030 de la Secretaría de Energía de México y </w:t>
      </w:r>
      <w:proofErr w:type="spellStart"/>
      <w:r w:rsidRPr="00903982">
        <w:rPr>
          <w:rFonts w:asciiTheme="minorHAnsi" w:hAnsiTheme="minorHAnsi"/>
          <w:sz w:val="22"/>
          <w:szCs w:val="22"/>
          <w:lang w:val="es-ES_tradnl"/>
        </w:rPr>
        <w:t>Comparison</w:t>
      </w:r>
      <w:proofErr w:type="spellEnd"/>
      <w:r w:rsidRPr="00903982">
        <w:rPr>
          <w:rFonts w:asciiTheme="minorHAnsi" w:hAnsiTheme="minorHAnsi"/>
          <w:sz w:val="22"/>
          <w:szCs w:val="22"/>
          <w:lang w:val="es-ES_tradnl"/>
        </w:rPr>
        <w:t xml:space="preserve"> of </w:t>
      </w:r>
      <w:proofErr w:type="spellStart"/>
      <w:r w:rsidRPr="00903982">
        <w:rPr>
          <w:rFonts w:asciiTheme="minorHAnsi" w:hAnsiTheme="minorHAnsi"/>
          <w:sz w:val="22"/>
          <w:szCs w:val="22"/>
          <w:lang w:val="es-ES_tradnl"/>
        </w:rPr>
        <w:t>Lifecycle</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Greenhouse</w:t>
      </w:r>
      <w:proofErr w:type="spellEnd"/>
      <w:r w:rsidRPr="00903982">
        <w:rPr>
          <w:rFonts w:asciiTheme="minorHAnsi" w:hAnsiTheme="minorHAnsi"/>
          <w:sz w:val="22"/>
          <w:szCs w:val="22"/>
          <w:lang w:val="es-ES_tradnl"/>
        </w:rPr>
        <w:t xml:space="preserve"> Gas </w:t>
      </w:r>
      <w:proofErr w:type="spellStart"/>
      <w:r w:rsidRPr="00903982">
        <w:rPr>
          <w:rFonts w:asciiTheme="minorHAnsi" w:hAnsiTheme="minorHAnsi"/>
          <w:sz w:val="22"/>
          <w:szCs w:val="22"/>
          <w:lang w:val="es-ES_tradnl"/>
        </w:rPr>
        <w:t>Emissions</w:t>
      </w:r>
      <w:proofErr w:type="spellEnd"/>
      <w:r w:rsidRPr="00903982">
        <w:rPr>
          <w:rFonts w:asciiTheme="minorHAnsi" w:hAnsiTheme="minorHAnsi"/>
          <w:sz w:val="22"/>
          <w:szCs w:val="22"/>
          <w:lang w:val="es-ES_tradnl"/>
        </w:rPr>
        <w:t xml:space="preserve"> of </w:t>
      </w:r>
      <w:proofErr w:type="spellStart"/>
      <w:r w:rsidRPr="00903982">
        <w:rPr>
          <w:rFonts w:asciiTheme="minorHAnsi" w:hAnsiTheme="minorHAnsi"/>
          <w:sz w:val="22"/>
          <w:szCs w:val="22"/>
          <w:lang w:val="es-ES_tradnl"/>
        </w:rPr>
        <w:t>Various</w:t>
      </w:r>
      <w:proofErr w:type="spellEnd"/>
      <w:r w:rsidRPr="00903982">
        <w:rPr>
          <w:rFonts w:asciiTheme="minorHAnsi" w:hAnsiTheme="minorHAnsi"/>
          <w:sz w:val="22"/>
          <w:szCs w:val="22"/>
          <w:lang w:val="es-ES_tradnl"/>
        </w:rPr>
        <w:t xml:space="preserve"> </w:t>
      </w:r>
      <w:proofErr w:type="spellStart"/>
      <w:r w:rsidRPr="00903982">
        <w:rPr>
          <w:rFonts w:asciiTheme="minorHAnsi" w:hAnsiTheme="minorHAnsi"/>
          <w:sz w:val="22"/>
          <w:szCs w:val="22"/>
          <w:lang w:val="es-ES_tradnl"/>
        </w:rPr>
        <w:t>Electricity</w:t>
      </w:r>
      <w:proofErr w:type="spellEnd"/>
      <w:r w:rsidRPr="00903982">
        <w:rPr>
          <w:rFonts w:asciiTheme="minorHAnsi" w:hAnsiTheme="minorHAnsi"/>
          <w:sz w:val="22"/>
          <w:szCs w:val="22"/>
          <w:lang w:val="es-ES_tradnl"/>
        </w:rPr>
        <w:t xml:space="preserve"> </w:t>
      </w:r>
    </w:p>
    <w:p w14:paraId="34993CAC" w14:textId="5B8CCDE4" w:rsidR="00794F71" w:rsidRPr="00903982" w:rsidRDefault="00794F71" w:rsidP="00794F71">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lastRenderedPageBreak/>
        <w:t>A modo de resumen, la eficiencia energética tendría un va</w:t>
      </w:r>
      <w:r w:rsidR="00714D3F">
        <w:rPr>
          <w:rFonts w:asciiTheme="minorHAnsi" w:hAnsiTheme="minorHAnsi"/>
          <w:sz w:val="22"/>
          <w:szCs w:val="22"/>
          <w:lang w:val="es-ES_tradnl"/>
        </w:rPr>
        <w:t>lor presente de 11</w:t>
      </w:r>
      <w:r w:rsidRPr="00903982">
        <w:rPr>
          <w:rFonts w:asciiTheme="minorHAnsi" w:hAnsiTheme="minorHAnsi"/>
          <w:sz w:val="22"/>
          <w:szCs w:val="22"/>
          <w:lang w:val="es-ES_tradnl"/>
        </w:rPr>
        <w:t>,</w:t>
      </w:r>
      <w:r w:rsidR="00714D3F">
        <w:rPr>
          <w:rFonts w:asciiTheme="minorHAnsi" w:hAnsiTheme="minorHAnsi"/>
          <w:sz w:val="22"/>
          <w:szCs w:val="22"/>
          <w:lang w:val="es-ES_tradnl"/>
        </w:rPr>
        <w:t>334</w:t>
      </w:r>
      <w:r w:rsidRPr="00903982">
        <w:rPr>
          <w:rFonts w:asciiTheme="minorHAnsi" w:hAnsiTheme="minorHAnsi"/>
          <w:sz w:val="22"/>
          <w:szCs w:val="22"/>
          <w:lang w:val="es-ES_tradnl"/>
        </w:rPr>
        <w:t xml:space="preserve"> millones de dólares</w:t>
      </w:r>
      <w:r w:rsidR="00714D3F">
        <w:rPr>
          <w:rFonts w:asciiTheme="minorHAnsi" w:hAnsiTheme="minorHAnsi"/>
          <w:sz w:val="22"/>
          <w:szCs w:val="22"/>
          <w:lang w:val="es-ES_tradnl"/>
        </w:rPr>
        <w:t xml:space="preserve"> y una tasa interna de retorno de 60%</w:t>
      </w:r>
      <w:r w:rsidRPr="00903982">
        <w:rPr>
          <w:rFonts w:asciiTheme="minorHAnsi" w:hAnsiTheme="minorHAnsi"/>
          <w:sz w:val="22"/>
          <w:szCs w:val="22"/>
          <w:lang w:val="es-ES_tradnl"/>
        </w:rPr>
        <w:t xml:space="preserve">, </w:t>
      </w:r>
      <w:r w:rsidR="00714D3F">
        <w:rPr>
          <w:rFonts w:asciiTheme="minorHAnsi" w:hAnsiTheme="minorHAnsi"/>
          <w:sz w:val="22"/>
          <w:szCs w:val="22"/>
          <w:lang w:val="es-ES_tradnl"/>
        </w:rPr>
        <w:t xml:space="preserve">debido principalmente por </w:t>
      </w:r>
      <w:r w:rsidRPr="00903982">
        <w:rPr>
          <w:rFonts w:asciiTheme="minorHAnsi" w:hAnsiTheme="minorHAnsi"/>
          <w:sz w:val="22"/>
          <w:szCs w:val="22"/>
          <w:lang w:val="es-ES_tradnl"/>
        </w:rPr>
        <w:t>una menor producción de CO</w:t>
      </w:r>
      <w:r w:rsidRPr="00903982">
        <w:rPr>
          <w:rFonts w:asciiTheme="minorHAnsi" w:hAnsiTheme="minorHAnsi"/>
          <w:sz w:val="22"/>
          <w:szCs w:val="22"/>
          <w:vertAlign w:val="subscript"/>
          <w:lang w:val="es-ES_tradnl"/>
        </w:rPr>
        <w:t>2</w:t>
      </w:r>
      <w:r w:rsidRPr="00903982">
        <w:rPr>
          <w:rFonts w:asciiTheme="minorHAnsi" w:hAnsiTheme="minorHAnsi"/>
          <w:sz w:val="22"/>
          <w:szCs w:val="22"/>
          <w:lang w:val="es-ES_tradnl"/>
        </w:rPr>
        <w:t>, una menor generación de electricidad y una menor necesidad de potencia instalada, en la misma proporción que la energía generada.</w:t>
      </w:r>
    </w:p>
    <w:p w14:paraId="75B95372" w14:textId="7468E14F" w:rsidR="00794F71" w:rsidRPr="00903982" w:rsidRDefault="00794F71" w:rsidP="00794F71">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12</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Resumen de ingresos, costos y utilidad de eficiencia energética</w:t>
      </w:r>
    </w:p>
    <w:tbl>
      <w:tblPr>
        <w:tblStyle w:val="TableGrid"/>
        <w:tblW w:w="0" w:type="auto"/>
        <w:jc w:val="center"/>
        <w:tblLook w:val="04A0" w:firstRow="1" w:lastRow="0" w:firstColumn="1" w:lastColumn="0" w:noHBand="0" w:noVBand="1"/>
      </w:tblPr>
      <w:tblGrid>
        <w:gridCol w:w="4166"/>
        <w:gridCol w:w="1862"/>
      </w:tblGrid>
      <w:tr w:rsidR="00794F71" w:rsidRPr="00903982" w14:paraId="56BEEB6F" w14:textId="77777777" w:rsidTr="00794F71">
        <w:trPr>
          <w:trHeight w:val="327"/>
          <w:jc w:val="center"/>
        </w:trPr>
        <w:tc>
          <w:tcPr>
            <w:tcW w:w="4166" w:type="dxa"/>
            <w:shd w:val="clear" w:color="auto" w:fill="D9D9D9" w:themeFill="background1" w:themeFillShade="D9"/>
            <w:vAlign w:val="center"/>
          </w:tcPr>
          <w:p w14:paraId="6A21A7E8" w14:textId="77777777" w:rsidR="00794F71" w:rsidRPr="00903982" w:rsidRDefault="00794F71" w:rsidP="00794F71">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w:t>
            </w:r>
          </w:p>
        </w:tc>
        <w:tc>
          <w:tcPr>
            <w:tcW w:w="1862" w:type="dxa"/>
            <w:shd w:val="clear" w:color="auto" w:fill="D9D9D9" w:themeFill="background1" w:themeFillShade="D9"/>
            <w:vAlign w:val="center"/>
          </w:tcPr>
          <w:p w14:paraId="28336538" w14:textId="77777777" w:rsidR="00794F71" w:rsidRPr="00903982" w:rsidRDefault="00794F71" w:rsidP="00794F71">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 Millones de US$ </w:t>
            </w:r>
          </w:p>
        </w:tc>
      </w:tr>
      <w:tr w:rsidR="00CF6054" w:rsidRPr="00903982" w14:paraId="6599F574" w14:textId="77777777" w:rsidTr="00794F71">
        <w:trPr>
          <w:trHeight w:val="561"/>
          <w:jc w:val="center"/>
        </w:trPr>
        <w:tc>
          <w:tcPr>
            <w:tcW w:w="4166" w:type="dxa"/>
            <w:vAlign w:val="center"/>
          </w:tcPr>
          <w:p w14:paraId="755AF636" w14:textId="77777777" w:rsidR="00CF6054" w:rsidRPr="00903982" w:rsidRDefault="00CF6054" w:rsidP="00794F71">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Valoración de menores emisiones de CO2</w:t>
            </w:r>
          </w:p>
        </w:tc>
        <w:tc>
          <w:tcPr>
            <w:tcW w:w="1862" w:type="dxa"/>
            <w:vAlign w:val="center"/>
          </w:tcPr>
          <w:p w14:paraId="3DA45D3E" w14:textId="417B202F" w:rsidR="00CF6054" w:rsidRPr="00903982" w:rsidRDefault="00CF6054" w:rsidP="00794F71">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683 </w:t>
            </w:r>
          </w:p>
        </w:tc>
      </w:tr>
      <w:tr w:rsidR="00CF6054" w:rsidRPr="00903982" w14:paraId="77785C50" w14:textId="77777777" w:rsidTr="00794F71">
        <w:trPr>
          <w:trHeight w:val="446"/>
          <w:jc w:val="center"/>
        </w:trPr>
        <w:tc>
          <w:tcPr>
            <w:tcW w:w="4166" w:type="dxa"/>
            <w:vAlign w:val="center"/>
          </w:tcPr>
          <w:p w14:paraId="5E6A4C7D" w14:textId="77777777" w:rsidR="00CF6054" w:rsidRPr="00903982" w:rsidRDefault="00CF6054" w:rsidP="00794F71">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Menores costos de generación </w:t>
            </w:r>
          </w:p>
        </w:tc>
        <w:tc>
          <w:tcPr>
            <w:tcW w:w="1862" w:type="dxa"/>
            <w:vAlign w:val="center"/>
          </w:tcPr>
          <w:p w14:paraId="2F054016" w14:textId="779113D8" w:rsidR="00CF6054" w:rsidRPr="00903982" w:rsidRDefault="00CF6054" w:rsidP="00E63C09">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 xml:space="preserve">                   12,8</w:t>
            </w:r>
            <w:r w:rsidR="00E63C09" w:rsidRPr="00903982">
              <w:rPr>
                <w:rFonts w:ascii="Calibri" w:hAnsi="Calibri"/>
                <w:color w:val="000000"/>
                <w:sz w:val="22"/>
                <w:szCs w:val="22"/>
                <w:lang w:val="es-ES_tradnl"/>
              </w:rPr>
              <w:t>65</w:t>
            </w:r>
          </w:p>
        </w:tc>
      </w:tr>
      <w:tr w:rsidR="00CF6054" w:rsidRPr="00903982" w14:paraId="02CBB6E2" w14:textId="77777777" w:rsidTr="00794F71">
        <w:trPr>
          <w:trHeight w:val="468"/>
          <w:jc w:val="center"/>
        </w:trPr>
        <w:tc>
          <w:tcPr>
            <w:tcW w:w="4166" w:type="dxa"/>
            <w:vAlign w:val="center"/>
          </w:tcPr>
          <w:p w14:paraId="5F7A5E79" w14:textId="77777777" w:rsidR="00CF6054" w:rsidRPr="00903982" w:rsidRDefault="00CF6054" w:rsidP="00794F71">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Menores costos de inversión en potencia </w:t>
            </w:r>
          </w:p>
        </w:tc>
        <w:tc>
          <w:tcPr>
            <w:tcW w:w="1862" w:type="dxa"/>
            <w:vAlign w:val="center"/>
          </w:tcPr>
          <w:p w14:paraId="74873A12" w14:textId="3E1EB4F0" w:rsidR="00CF6054" w:rsidRPr="00903982" w:rsidRDefault="00714D3F" w:rsidP="00E63C09">
            <w:pPr>
              <w:jc w:val="right"/>
              <w:rPr>
                <w:rFonts w:ascii="Calibri" w:hAnsi="Calibri"/>
                <w:color w:val="000000"/>
                <w:sz w:val="22"/>
                <w:szCs w:val="22"/>
                <w:lang w:val="es-ES_tradnl"/>
              </w:rPr>
            </w:pPr>
            <w:r>
              <w:rPr>
                <w:rFonts w:ascii="Calibri" w:hAnsi="Calibri"/>
                <w:color w:val="000000"/>
                <w:sz w:val="22"/>
                <w:szCs w:val="22"/>
                <w:lang w:val="es-ES_tradnl"/>
              </w:rPr>
              <w:t>6,513</w:t>
            </w:r>
          </w:p>
        </w:tc>
      </w:tr>
      <w:tr w:rsidR="00CF6054" w:rsidRPr="00903982" w14:paraId="20DD7896" w14:textId="77777777" w:rsidTr="00794F71">
        <w:trPr>
          <w:trHeight w:val="454"/>
          <w:jc w:val="center"/>
        </w:trPr>
        <w:tc>
          <w:tcPr>
            <w:tcW w:w="4166" w:type="dxa"/>
            <w:shd w:val="clear" w:color="auto" w:fill="D9D9D9" w:themeFill="background1" w:themeFillShade="D9"/>
            <w:vAlign w:val="center"/>
          </w:tcPr>
          <w:p w14:paraId="5C33B6C5" w14:textId="77777777" w:rsidR="00CF6054" w:rsidRPr="00903982" w:rsidRDefault="00CF6054" w:rsidP="00794F71">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Costos</w:t>
            </w:r>
          </w:p>
        </w:tc>
        <w:tc>
          <w:tcPr>
            <w:tcW w:w="1862" w:type="dxa"/>
            <w:shd w:val="clear" w:color="auto" w:fill="D9D9D9" w:themeFill="background1" w:themeFillShade="D9"/>
            <w:vAlign w:val="center"/>
          </w:tcPr>
          <w:p w14:paraId="46F78606" w14:textId="30F58B42" w:rsidR="00CF6054" w:rsidRPr="00903982" w:rsidRDefault="00CF6054" w:rsidP="00794F71">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CF6054" w:rsidRPr="00903982" w14:paraId="339B7670" w14:textId="77777777" w:rsidTr="00794F71">
        <w:trPr>
          <w:trHeight w:val="454"/>
          <w:jc w:val="center"/>
        </w:trPr>
        <w:tc>
          <w:tcPr>
            <w:tcW w:w="4166" w:type="dxa"/>
            <w:vAlign w:val="center"/>
          </w:tcPr>
          <w:p w14:paraId="6B67D540" w14:textId="77777777" w:rsidR="00CF6054" w:rsidRPr="00903982" w:rsidRDefault="00CF6054" w:rsidP="00794F71">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Implementación de programas de EE</w:t>
            </w:r>
          </w:p>
        </w:tc>
        <w:tc>
          <w:tcPr>
            <w:tcW w:w="1862" w:type="dxa"/>
            <w:vAlign w:val="center"/>
          </w:tcPr>
          <w:p w14:paraId="096CF263" w14:textId="3BE3BDC4" w:rsidR="00CF6054" w:rsidRPr="00903982" w:rsidRDefault="00CF6054" w:rsidP="00794F71">
            <w:pPr>
              <w:jc w:val="right"/>
              <w:rPr>
                <w:rFonts w:ascii="Calibri" w:hAnsi="Calibri"/>
                <w:color w:val="000000"/>
                <w:sz w:val="22"/>
                <w:szCs w:val="22"/>
                <w:lang w:val="es-ES_tradnl"/>
              </w:rPr>
            </w:pPr>
            <w:r w:rsidRPr="00903982">
              <w:rPr>
                <w:rFonts w:asciiTheme="minorHAnsi" w:hAnsiTheme="minorHAnsi"/>
                <w:sz w:val="22"/>
                <w:lang w:val="es-ES_tradnl"/>
              </w:rPr>
              <w:t>8,727</w:t>
            </w:r>
          </w:p>
        </w:tc>
      </w:tr>
      <w:tr w:rsidR="00CF6054" w:rsidRPr="00903982" w14:paraId="40764CFE" w14:textId="77777777" w:rsidTr="00794F71">
        <w:trPr>
          <w:trHeight w:val="454"/>
          <w:jc w:val="center"/>
        </w:trPr>
        <w:tc>
          <w:tcPr>
            <w:tcW w:w="4166" w:type="dxa"/>
            <w:shd w:val="clear" w:color="auto" w:fill="D9D9D9" w:themeFill="background1" w:themeFillShade="D9"/>
            <w:vAlign w:val="center"/>
          </w:tcPr>
          <w:p w14:paraId="6E1B828C" w14:textId="77777777" w:rsidR="00CF6054" w:rsidRPr="00903982" w:rsidRDefault="00CF6054" w:rsidP="00794F71">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w:t>
            </w:r>
          </w:p>
        </w:tc>
        <w:tc>
          <w:tcPr>
            <w:tcW w:w="1862" w:type="dxa"/>
            <w:shd w:val="clear" w:color="auto" w:fill="D9D9D9" w:themeFill="background1" w:themeFillShade="D9"/>
            <w:vAlign w:val="center"/>
          </w:tcPr>
          <w:p w14:paraId="306C2939" w14:textId="6B24DB4B" w:rsidR="00CF6054" w:rsidRPr="00903982" w:rsidRDefault="00CF6054" w:rsidP="00794F71">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714D3F" w:rsidRPr="00903982" w14:paraId="780626C1" w14:textId="77777777" w:rsidTr="00714D3F">
        <w:trPr>
          <w:trHeight w:val="454"/>
          <w:jc w:val="center"/>
        </w:trPr>
        <w:tc>
          <w:tcPr>
            <w:tcW w:w="4166" w:type="dxa"/>
            <w:vAlign w:val="center"/>
          </w:tcPr>
          <w:p w14:paraId="43428F00" w14:textId="77777777" w:rsidR="00714D3F" w:rsidRPr="00903982" w:rsidRDefault="00714D3F" w:rsidP="00714D3F">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 menos costos</w:t>
            </w:r>
          </w:p>
        </w:tc>
        <w:tc>
          <w:tcPr>
            <w:tcW w:w="1862" w:type="dxa"/>
            <w:vAlign w:val="center"/>
          </w:tcPr>
          <w:p w14:paraId="6B74B9BB" w14:textId="77777777" w:rsidR="00714D3F" w:rsidRPr="00903982" w:rsidRDefault="00714D3F" w:rsidP="00714D3F">
            <w:pPr>
              <w:jc w:val="right"/>
              <w:rPr>
                <w:rFonts w:asciiTheme="minorHAnsi" w:eastAsia="Calibri" w:hAnsiTheme="minorHAnsi" w:cstheme="minorBidi"/>
                <w:sz w:val="22"/>
                <w:szCs w:val="22"/>
                <w:lang w:val="es-ES_tradnl" w:eastAsia="en-US"/>
              </w:rPr>
            </w:pPr>
            <w:r>
              <w:rPr>
                <w:rFonts w:ascii="Calibri" w:hAnsi="Calibri"/>
                <w:color w:val="000000"/>
                <w:sz w:val="22"/>
                <w:szCs w:val="22"/>
                <w:lang w:val="es-ES_tradnl"/>
              </w:rPr>
              <w:t>11,334</w:t>
            </w:r>
          </w:p>
        </w:tc>
      </w:tr>
      <w:tr w:rsidR="00714D3F" w:rsidRPr="00903982" w14:paraId="74B637A2" w14:textId="77777777" w:rsidTr="00714D3F">
        <w:trPr>
          <w:trHeight w:val="454"/>
          <w:jc w:val="center"/>
        </w:trPr>
        <w:tc>
          <w:tcPr>
            <w:tcW w:w="4166" w:type="dxa"/>
            <w:shd w:val="clear" w:color="auto" w:fill="D9D9D9" w:themeFill="background1" w:themeFillShade="D9"/>
            <w:vAlign w:val="center"/>
          </w:tcPr>
          <w:p w14:paraId="756F0EC7" w14:textId="77777777" w:rsidR="00714D3F" w:rsidRPr="00903982" w:rsidRDefault="00714D3F" w:rsidP="00714D3F">
            <w:pPr>
              <w:rPr>
                <w:rFonts w:asciiTheme="minorHAnsi" w:eastAsia="Calibri" w:hAnsiTheme="minorHAnsi" w:cstheme="minorBidi"/>
                <w:sz w:val="22"/>
                <w:szCs w:val="22"/>
                <w:lang w:val="es-ES_tradnl" w:eastAsia="en-US"/>
              </w:rPr>
            </w:pPr>
            <w:r>
              <w:rPr>
                <w:rFonts w:asciiTheme="minorHAnsi" w:eastAsia="Calibri" w:hAnsiTheme="minorHAnsi" w:cstheme="minorBidi"/>
                <w:sz w:val="22"/>
                <w:szCs w:val="22"/>
                <w:lang w:val="es-ES_tradnl" w:eastAsia="en-US"/>
              </w:rPr>
              <w:t>Tasa Interna de Retorno</w:t>
            </w:r>
          </w:p>
        </w:tc>
        <w:tc>
          <w:tcPr>
            <w:tcW w:w="1862" w:type="dxa"/>
            <w:shd w:val="clear" w:color="auto" w:fill="D9D9D9" w:themeFill="background1" w:themeFillShade="D9"/>
            <w:vAlign w:val="center"/>
          </w:tcPr>
          <w:p w14:paraId="4096CFFF" w14:textId="77777777" w:rsidR="00714D3F" w:rsidRPr="00903982" w:rsidRDefault="00714D3F" w:rsidP="00714D3F">
            <w:pPr>
              <w:jc w:val="right"/>
              <w:rPr>
                <w:rFonts w:asciiTheme="minorHAnsi" w:eastAsia="Calibri" w:hAnsiTheme="minorHAnsi" w:cstheme="minorBidi"/>
                <w:sz w:val="22"/>
                <w:szCs w:val="22"/>
                <w:lang w:val="es-ES_tradnl" w:eastAsia="en-US"/>
              </w:rPr>
            </w:pPr>
            <w:r>
              <w:rPr>
                <w:rFonts w:ascii="Calibri" w:hAnsi="Calibri"/>
                <w:color w:val="000000"/>
                <w:sz w:val="22"/>
                <w:szCs w:val="22"/>
                <w:lang w:val="es-ES_tradnl"/>
              </w:rPr>
              <w:t>60%</w:t>
            </w:r>
          </w:p>
        </w:tc>
      </w:tr>
    </w:tbl>
    <w:p w14:paraId="5352591F" w14:textId="77777777" w:rsidR="00794F71" w:rsidRPr="00903982" w:rsidRDefault="00794F71" w:rsidP="00794F71">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1A9EAE8E" w14:textId="337A3DB2" w:rsidR="00AC1B50" w:rsidRPr="00903982" w:rsidRDefault="002F0F82" w:rsidP="00AC1B50">
      <w:pPr>
        <w:pStyle w:val="ListParagraph"/>
        <w:numPr>
          <w:ilvl w:val="0"/>
          <w:numId w:val="25"/>
        </w:numPr>
        <w:spacing w:after="100" w:afterAutospacing="1" w:line="240" w:lineRule="auto"/>
        <w:jc w:val="both"/>
        <w:rPr>
          <w:lang w:val="es-ES_tradnl"/>
        </w:rPr>
      </w:pPr>
      <w:r w:rsidRPr="00903982">
        <w:rPr>
          <w:lang w:val="es-ES_tradnl"/>
        </w:rPr>
        <w:t>Escenario con Aumento de la Energía Limpia en la</w:t>
      </w:r>
      <w:r w:rsidR="00AC1B50" w:rsidRPr="00903982">
        <w:rPr>
          <w:lang w:val="es-ES_tradnl"/>
        </w:rPr>
        <w:t xml:space="preserve"> </w:t>
      </w:r>
      <w:r w:rsidRPr="00903982">
        <w:rPr>
          <w:lang w:val="es-ES_tradnl"/>
        </w:rPr>
        <w:t>M</w:t>
      </w:r>
      <w:r w:rsidR="00AC1B50" w:rsidRPr="00903982">
        <w:rPr>
          <w:lang w:val="es-ES_tradnl"/>
        </w:rPr>
        <w:t xml:space="preserve">atriz </w:t>
      </w:r>
      <w:r w:rsidRPr="00903982">
        <w:rPr>
          <w:lang w:val="es-ES_tradnl"/>
        </w:rPr>
        <w:t>E</w:t>
      </w:r>
      <w:r w:rsidR="00AC1B50" w:rsidRPr="00903982">
        <w:rPr>
          <w:lang w:val="es-ES_tradnl"/>
        </w:rPr>
        <w:t>nergética</w:t>
      </w:r>
    </w:p>
    <w:p w14:paraId="557535DE" w14:textId="2880C337" w:rsidR="00E745CC" w:rsidRPr="00903982" w:rsidRDefault="002F0F82" w:rsidP="00794F71">
      <w:pPr>
        <w:spacing w:after="100" w:afterAutospacing="1"/>
        <w:jc w:val="both"/>
        <w:rPr>
          <w:rFonts w:asciiTheme="minorHAnsi" w:hAnsiTheme="minorHAnsi" w:cs="Arial"/>
          <w:bCs/>
          <w:sz w:val="22"/>
          <w:szCs w:val="22"/>
          <w:lang w:val="es-ES_tradnl"/>
        </w:rPr>
      </w:pPr>
      <w:r w:rsidRPr="00903982">
        <w:rPr>
          <w:rFonts w:asciiTheme="minorHAnsi" w:hAnsiTheme="minorHAnsi" w:cs="Arial"/>
          <w:bCs/>
          <w:sz w:val="22"/>
          <w:szCs w:val="22"/>
          <w:lang w:val="es-ES_tradnl"/>
        </w:rPr>
        <w:t xml:space="preserve">El segundo impacto a considerar el aumento de la </w:t>
      </w:r>
      <w:r w:rsidR="00CE1CD8" w:rsidRPr="00903982">
        <w:rPr>
          <w:rFonts w:asciiTheme="minorHAnsi" w:hAnsiTheme="minorHAnsi" w:cs="Arial"/>
          <w:bCs/>
          <w:sz w:val="22"/>
          <w:szCs w:val="22"/>
          <w:lang w:val="es-ES_tradnl"/>
        </w:rPr>
        <w:t xml:space="preserve">proporción de </w:t>
      </w:r>
      <w:r w:rsidRPr="00903982">
        <w:rPr>
          <w:rFonts w:asciiTheme="minorHAnsi" w:hAnsiTheme="minorHAnsi" w:cs="Arial"/>
          <w:bCs/>
          <w:sz w:val="22"/>
          <w:szCs w:val="22"/>
          <w:lang w:val="es-ES_tradnl"/>
        </w:rPr>
        <w:t>energía limpia en la matriz energética</w:t>
      </w:r>
      <w:r w:rsidR="00AC1B50" w:rsidRPr="00903982">
        <w:rPr>
          <w:rFonts w:asciiTheme="minorHAnsi" w:hAnsiTheme="minorHAnsi" w:cs="Arial"/>
          <w:bCs/>
          <w:sz w:val="22"/>
          <w:szCs w:val="22"/>
          <w:lang w:val="es-ES_tradnl"/>
        </w:rPr>
        <w:t xml:space="preserve">. </w:t>
      </w:r>
      <w:r w:rsidR="00CE1CD8" w:rsidRPr="00903982">
        <w:rPr>
          <w:rFonts w:asciiTheme="minorHAnsi" w:hAnsiTheme="minorHAnsi" w:cs="Arial"/>
          <w:bCs/>
          <w:sz w:val="22"/>
          <w:szCs w:val="22"/>
          <w:lang w:val="es-ES_tradnl"/>
        </w:rPr>
        <w:t xml:space="preserve">La evolución de la matriz hacia el año 2030 </w:t>
      </w:r>
      <w:r w:rsidR="00AC1B50" w:rsidRPr="00903982">
        <w:rPr>
          <w:rFonts w:asciiTheme="minorHAnsi" w:hAnsiTheme="minorHAnsi" w:cs="Arial"/>
          <w:bCs/>
          <w:sz w:val="22"/>
          <w:szCs w:val="22"/>
          <w:lang w:val="es-ES_tradnl"/>
        </w:rPr>
        <w:t>se observa en la siguiente</w:t>
      </w:r>
      <w:r w:rsidR="00CE1CD8" w:rsidRPr="00903982">
        <w:rPr>
          <w:rFonts w:asciiTheme="minorHAnsi" w:hAnsiTheme="minorHAnsi" w:cs="Arial"/>
          <w:bCs/>
          <w:sz w:val="22"/>
          <w:szCs w:val="22"/>
          <w:lang w:val="es-ES_tradnl"/>
        </w:rPr>
        <w:t>, con</w:t>
      </w:r>
      <w:r w:rsidR="00AC1B50" w:rsidRPr="00903982">
        <w:rPr>
          <w:rFonts w:asciiTheme="minorHAnsi" w:hAnsiTheme="minorHAnsi" w:cs="Arial"/>
          <w:bCs/>
          <w:sz w:val="22"/>
          <w:szCs w:val="22"/>
          <w:lang w:val="es-ES_tradnl"/>
        </w:rPr>
        <w:t xml:space="preserve"> un </w:t>
      </w:r>
      <w:r w:rsidR="006B1F8F" w:rsidRPr="00903982">
        <w:rPr>
          <w:rFonts w:asciiTheme="minorHAnsi" w:hAnsiTheme="minorHAnsi" w:cs="Arial"/>
          <w:bCs/>
          <w:sz w:val="22"/>
          <w:szCs w:val="22"/>
          <w:lang w:val="es-ES_tradnl"/>
        </w:rPr>
        <w:t>40,5</w:t>
      </w:r>
      <w:r w:rsidR="00AC1B50" w:rsidRPr="00903982">
        <w:rPr>
          <w:rFonts w:asciiTheme="minorHAnsi" w:hAnsiTheme="minorHAnsi" w:cs="Arial"/>
          <w:bCs/>
          <w:sz w:val="22"/>
          <w:szCs w:val="22"/>
          <w:lang w:val="es-ES_tradnl"/>
        </w:rPr>
        <w:t xml:space="preserve">% de </w:t>
      </w:r>
      <w:r w:rsidR="006B1F8F" w:rsidRPr="00903982">
        <w:rPr>
          <w:rFonts w:asciiTheme="minorHAnsi" w:hAnsiTheme="minorHAnsi" w:cs="Arial"/>
          <w:bCs/>
          <w:sz w:val="22"/>
          <w:szCs w:val="22"/>
          <w:lang w:val="es-ES_tradnl"/>
        </w:rPr>
        <w:t>generación con energías limpias</w:t>
      </w:r>
      <w:r w:rsidR="00AC1B50" w:rsidRPr="00903982">
        <w:rPr>
          <w:rFonts w:asciiTheme="minorHAnsi" w:hAnsiTheme="minorHAnsi" w:cs="Arial"/>
          <w:bCs/>
          <w:sz w:val="22"/>
          <w:szCs w:val="22"/>
          <w:lang w:val="es-ES_tradnl"/>
        </w:rPr>
        <w:t xml:space="preserve">. </w:t>
      </w:r>
      <w:r w:rsidR="00313E46" w:rsidRPr="00903982">
        <w:rPr>
          <w:rFonts w:asciiTheme="minorHAnsi" w:hAnsiTheme="minorHAnsi" w:cs="Arial"/>
          <w:bCs/>
          <w:sz w:val="22"/>
          <w:szCs w:val="22"/>
          <w:lang w:val="es-ES_tradnl"/>
        </w:rPr>
        <w:t xml:space="preserve"> </w:t>
      </w:r>
      <w:r w:rsidR="00AC1B50" w:rsidRPr="00903982">
        <w:rPr>
          <w:rFonts w:asciiTheme="minorHAnsi" w:hAnsiTheme="minorHAnsi" w:cs="Arial"/>
          <w:bCs/>
          <w:sz w:val="22"/>
          <w:szCs w:val="22"/>
          <w:lang w:val="es-ES_tradnl"/>
        </w:rPr>
        <w:t xml:space="preserve">Esto permite alcanzar las metas establecidas en la política energética </w:t>
      </w:r>
      <w:r w:rsidR="00CE1CD8" w:rsidRPr="00903982">
        <w:rPr>
          <w:rFonts w:asciiTheme="minorHAnsi" w:hAnsiTheme="minorHAnsi" w:cs="Arial"/>
          <w:bCs/>
          <w:sz w:val="22"/>
          <w:szCs w:val="22"/>
          <w:lang w:val="es-ES_tradnl"/>
        </w:rPr>
        <w:t>descrita en la LTE</w:t>
      </w:r>
      <w:r w:rsidR="00313E46" w:rsidRPr="00903982">
        <w:rPr>
          <w:rFonts w:asciiTheme="minorHAnsi" w:hAnsiTheme="minorHAnsi" w:cs="Arial"/>
          <w:bCs/>
          <w:sz w:val="22"/>
          <w:szCs w:val="22"/>
          <w:lang w:val="es-ES_tradnl"/>
        </w:rPr>
        <w:t>, situación que no se da en la l</w:t>
      </w:r>
      <w:r w:rsidR="00AC1B50" w:rsidRPr="00903982">
        <w:rPr>
          <w:rFonts w:asciiTheme="minorHAnsi" w:hAnsiTheme="minorHAnsi" w:cs="Arial"/>
          <w:bCs/>
          <w:sz w:val="22"/>
          <w:szCs w:val="22"/>
          <w:lang w:val="es-ES_tradnl"/>
        </w:rPr>
        <w:t xml:space="preserve">ínea </w:t>
      </w:r>
      <w:r w:rsidR="00313E46" w:rsidRPr="00903982">
        <w:rPr>
          <w:rFonts w:asciiTheme="minorHAnsi" w:hAnsiTheme="minorHAnsi" w:cs="Arial"/>
          <w:bCs/>
          <w:sz w:val="22"/>
          <w:szCs w:val="22"/>
          <w:lang w:val="es-ES_tradnl"/>
        </w:rPr>
        <w:t>b</w:t>
      </w:r>
      <w:r w:rsidR="00AC1B50" w:rsidRPr="00903982">
        <w:rPr>
          <w:rFonts w:asciiTheme="minorHAnsi" w:hAnsiTheme="minorHAnsi" w:cs="Arial"/>
          <w:bCs/>
          <w:sz w:val="22"/>
          <w:szCs w:val="22"/>
          <w:lang w:val="es-ES_tradnl"/>
        </w:rPr>
        <w:t>ase.</w:t>
      </w:r>
      <w:r w:rsidR="00E53200" w:rsidRPr="00903982">
        <w:rPr>
          <w:rFonts w:asciiTheme="minorHAnsi" w:hAnsiTheme="minorHAnsi" w:cs="Arial"/>
          <w:bCs/>
          <w:sz w:val="22"/>
          <w:szCs w:val="22"/>
          <w:lang w:val="es-ES_tradnl"/>
        </w:rPr>
        <w:t xml:space="preserve"> El impacto en la matriz energética</w:t>
      </w:r>
      <w:r w:rsidR="0046316E" w:rsidRPr="00903982">
        <w:rPr>
          <w:rFonts w:asciiTheme="minorHAnsi" w:hAnsiTheme="minorHAnsi" w:cs="Arial"/>
          <w:bCs/>
          <w:sz w:val="22"/>
          <w:szCs w:val="22"/>
          <w:lang w:val="es-ES_tradnl"/>
        </w:rPr>
        <w:t xml:space="preserve"> afecta de manera relevante aumentado los costos de inversión, disminuyendo los costos de operación</w:t>
      </w:r>
      <w:r w:rsidR="00E53200" w:rsidRPr="00903982">
        <w:rPr>
          <w:rFonts w:asciiTheme="minorHAnsi" w:hAnsiTheme="minorHAnsi" w:cs="Arial"/>
          <w:bCs/>
          <w:sz w:val="22"/>
          <w:szCs w:val="22"/>
          <w:lang w:val="es-ES_tradnl"/>
        </w:rPr>
        <w:t xml:space="preserve"> y </w:t>
      </w:r>
      <w:r w:rsidR="0046316E" w:rsidRPr="00903982">
        <w:rPr>
          <w:rFonts w:asciiTheme="minorHAnsi" w:hAnsiTheme="minorHAnsi" w:cs="Arial"/>
          <w:bCs/>
          <w:sz w:val="22"/>
          <w:szCs w:val="22"/>
          <w:lang w:val="es-ES_tradnl"/>
        </w:rPr>
        <w:t xml:space="preserve">reduciendo </w:t>
      </w:r>
      <w:r w:rsidR="00E53200" w:rsidRPr="00903982">
        <w:rPr>
          <w:rFonts w:asciiTheme="minorHAnsi" w:hAnsiTheme="minorHAnsi" w:cs="Arial"/>
          <w:bCs/>
          <w:sz w:val="22"/>
          <w:szCs w:val="22"/>
          <w:lang w:val="es-ES_tradnl"/>
        </w:rPr>
        <w:t xml:space="preserve">las emisiones </w:t>
      </w:r>
      <w:r w:rsidR="0046316E" w:rsidRPr="00903982">
        <w:rPr>
          <w:rFonts w:asciiTheme="minorHAnsi" w:hAnsiTheme="minorHAnsi" w:cs="Arial"/>
          <w:bCs/>
          <w:sz w:val="22"/>
          <w:szCs w:val="22"/>
          <w:lang w:val="es-ES_tradnl"/>
        </w:rPr>
        <w:t>de CO</w:t>
      </w:r>
      <w:r w:rsidR="0046316E" w:rsidRPr="00903982">
        <w:rPr>
          <w:rFonts w:asciiTheme="minorHAnsi" w:hAnsiTheme="minorHAnsi" w:cs="Arial"/>
          <w:bCs/>
          <w:sz w:val="22"/>
          <w:szCs w:val="22"/>
          <w:vertAlign w:val="subscript"/>
          <w:lang w:val="es-ES_tradnl"/>
        </w:rPr>
        <w:t>2</w:t>
      </w:r>
      <w:r w:rsidR="00903982">
        <w:rPr>
          <w:rFonts w:asciiTheme="minorHAnsi" w:hAnsiTheme="minorHAnsi" w:cs="Arial"/>
          <w:bCs/>
          <w:sz w:val="22"/>
          <w:szCs w:val="22"/>
          <w:lang w:val="es-ES_tradnl"/>
        </w:rPr>
        <w:t xml:space="preserve"> por el uso de menos</w:t>
      </w:r>
      <w:r w:rsidR="0046316E" w:rsidRPr="00903982">
        <w:rPr>
          <w:rFonts w:asciiTheme="minorHAnsi" w:hAnsiTheme="minorHAnsi" w:cs="Arial"/>
          <w:bCs/>
          <w:sz w:val="22"/>
          <w:szCs w:val="22"/>
          <w:lang w:val="es-ES_tradnl"/>
        </w:rPr>
        <w:t xml:space="preserve"> combustibles fósiles</w:t>
      </w:r>
      <w:r w:rsidR="00E53200" w:rsidRPr="00903982">
        <w:rPr>
          <w:rFonts w:asciiTheme="minorHAnsi" w:hAnsiTheme="minorHAnsi" w:cs="Arial"/>
          <w:bCs/>
          <w:sz w:val="22"/>
          <w:szCs w:val="22"/>
          <w:lang w:val="es-ES_tradnl"/>
        </w:rPr>
        <w:t>.</w:t>
      </w:r>
    </w:p>
    <w:p w14:paraId="09C5D3C1" w14:textId="494F16E1" w:rsidR="00794F71" w:rsidRPr="00903982" w:rsidRDefault="0046316E" w:rsidP="00794F71">
      <w:pPr>
        <w:spacing w:after="100" w:afterAutospacing="1"/>
        <w:jc w:val="both"/>
        <w:rPr>
          <w:rFonts w:asciiTheme="minorHAnsi" w:hAnsiTheme="minorHAnsi" w:cs="Arial"/>
          <w:bCs/>
          <w:sz w:val="22"/>
          <w:szCs w:val="22"/>
          <w:lang w:val="es-ES_tradnl"/>
        </w:rPr>
      </w:pPr>
      <w:r w:rsidRPr="00903982">
        <w:rPr>
          <w:rFonts w:asciiTheme="minorHAnsi" w:hAnsiTheme="minorHAnsi" w:cs="Arial"/>
          <w:bCs/>
          <w:sz w:val="22"/>
          <w:szCs w:val="22"/>
          <w:lang w:val="es-ES_tradnl"/>
        </w:rPr>
        <w:t xml:space="preserve">Con el fin de cuantificar </w:t>
      </w:r>
      <w:r w:rsidR="00794F71" w:rsidRPr="00903982">
        <w:rPr>
          <w:rFonts w:asciiTheme="minorHAnsi" w:hAnsiTheme="minorHAnsi" w:cs="Arial"/>
          <w:bCs/>
          <w:sz w:val="22"/>
          <w:szCs w:val="22"/>
          <w:lang w:val="es-ES_tradnl"/>
        </w:rPr>
        <w:t>el impacto económico que tendría la incorporación de tecnologías de generación limpia en la matriz eléctrica mexicana, se compararon la línea base obtenida anteriormente, con una matriz que tuviera que generar la misma cantidad de energía producida en la línea base, pero con un enfoq</w:t>
      </w:r>
      <w:r w:rsidRPr="00903982">
        <w:rPr>
          <w:rFonts w:asciiTheme="minorHAnsi" w:hAnsiTheme="minorHAnsi" w:cs="Arial"/>
          <w:bCs/>
          <w:sz w:val="22"/>
          <w:szCs w:val="22"/>
          <w:lang w:val="es-ES_tradnl"/>
        </w:rPr>
        <w:t>ue en que la matriz evolucionará</w:t>
      </w:r>
      <w:r w:rsidR="00794F71" w:rsidRPr="00903982">
        <w:rPr>
          <w:rFonts w:asciiTheme="minorHAnsi" w:hAnsiTheme="minorHAnsi" w:cs="Arial"/>
          <w:bCs/>
          <w:sz w:val="22"/>
          <w:szCs w:val="22"/>
          <w:lang w:val="es-ES_tradnl"/>
        </w:rPr>
        <w:t xml:space="preserve"> hacia la producción con tecnologías limpias.  Esta nueva matriz se obtiene a partir de la evolución energética propuesta por el PRODESEN</w:t>
      </w:r>
      <w:r w:rsidRPr="00903982">
        <w:rPr>
          <w:rFonts w:asciiTheme="minorHAnsi" w:hAnsiTheme="minorHAnsi" w:cs="Arial"/>
          <w:bCs/>
          <w:sz w:val="22"/>
          <w:szCs w:val="22"/>
          <w:lang w:val="es-ES_tradnl"/>
        </w:rPr>
        <w:t xml:space="preserve"> 2017-2030</w:t>
      </w:r>
      <w:r w:rsidR="00794F71" w:rsidRPr="00903982">
        <w:rPr>
          <w:rFonts w:asciiTheme="minorHAnsi" w:hAnsiTheme="minorHAnsi" w:cs="Arial"/>
          <w:bCs/>
          <w:sz w:val="22"/>
          <w:szCs w:val="22"/>
          <w:lang w:val="es-ES_tradnl"/>
        </w:rPr>
        <w:t>, la cual incorpora la LTE. Si bien en este caso no se produce una disminución de energía generada respecto a la línea base, si se puede esperar una menor producción de CO</w:t>
      </w:r>
      <w:r w:rsidR="00794F71" w:rsidRPr="00903982">
        <w:rPr>
          <w:rFonts w:asciiTheme="minorHAnsi" w:hAnsiTheme="minorHAnsi" w:cs="Arial"/>
          <w:bCs/>
          <w:sz w:val="22"/>
          <w:szCs w:val="22"/>
          <w:vertAlign w:val="subscript"/>
          <w:lang w:val="es-ES_tradnl"/>
        </w:rPr>
        <w:t>2</w:t>
      </w:r>
      <w:r w:rsidR="00794F71" w:rsidRPr="00903982">
        <w:rPr>
          <w:rFonts w:asciiTheme="minorHAnsi" w:hAnsiTheme="minorHAnsi" w:cs="Arial"/>
          <w:bCs/>
          <w:sz w:val="22"/>
          <w:szCs w:val="22"/>
          <w:lang w:val="es-ES_tradnl"/>
        </w:rPr>
        <w:t xml:space="preserve">, dado que la nueva matriz incorporaría una mayor cantidad de generación con energías limpias. Por otro </w:t>
      </w:r>
      <w:r w:rsidR="00F444B2" w:rsidRPr="00903982">
        <w:rPr>
          <w:rFonts w:asciiTheme="minorHAnsi" w:hAnsiTheme="minorHAnsi" w:cs="Arial"/>
          <w:bCs/>
          <w:sz w:val="22"/>
          <w:szCs w:val="22"/>
          <w:lang w:val="es-ES_tradnl"/>
        </w:rPr>
        <w:t>lado,</w:t>
      </w:r>
      <w:r w:rsidR="00794F71" w:rsidRPr="00903982">
        <w:rPr>
          <w:rFonts w:asciiTheme="minorHAnsi" w:hAnsiTheme="minorHAnsi" w:cs="Arial"/>
          <w:bCs/>
          <w:sz w:val="22"/>
          <w:szCs w:val="22"/>
          <w:lang w:val="es-ES_tradnl"/>
        </w:rPr>
        <w:t xml:space="preserve"> se esperaría un menor costo de operación, pero se requeriría una mayor inversión por la construcción de centrales eléctricas de generación no convencional. La diferencia en emisiones de CO</w:t>
      </w:r>
      <w:r w:rsidR="00794F71" w:rsidRPr="00903982">
        <w:rPr>
          <w:rFonts w:asciiTheme="minorHAnsi" w:hAnsiTheme="minorHAnsi" w:cs="Arial"/>
          <w:bCs/>
          <w:sz w:val="22"/>
          <w:szCs w:val="22"/>
          <w:vertAlign w:val="subscript"/>
          <w:lang w:val="es-ES_tradnl"/>
        </w:rPr>
        <w:t>2</w:t>
      </w:r>
      <w:r w:rsidR="00794F71" w:rsidRPr="00903982">
        <w:rPr>
          <w:rFonts w:asciiTheme="minorHAnsi" w:hAnsiTheme="minorHAnsi" w:cs="Arial"/>
          <w:bCs/>
          <w:sz w:val="22"/>
          <w:szCs w:val="22"/>
          <w:lang w:val="es-ES_tradnl"/>
        </w:rPr>
        <w:t xml:space="preserve"> puede apreciarse a continuación  </w:t>
      </w:r>
    </w:p>
    <w:p w14:paraId="4FE6FEA5" w14:textId="782E189B" w:rsidR="00794F71" w:rsidRPr="00903982" w:rsidRDefault="00794F71" w:rsidP="00794F71">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lastRenderedPageBreak/>
        <w:t xml:space="preserve">Ilustración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Ilustración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4</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Comparación emisiones de CO2 entre línea base y</w:t>
      </w:r>
      <w:r w:rsidR="004C68D9" w:rsidRPr="00903982">
        <w:rPr>
          <w:rFonts w:asciiTheme="minorHAnsi" w:hAnsiTheme="minorHAnsi"/>
          <w:b w:val="0"/>
          <w:sz w:val="22"/>
          <w:lang w:val="es-ES_tradnl"/>
        </w:rPr>
        <w:t xml:space="preserve"> escenario de energía limpia</w:t>
      </w:r>
    </w:p>
    <w:p w14:paraId="6BC3D3C9" w14:textId="11E087D9" w:rsidR="00794F71" w:rsidRPr="00903982" w:rsidRDefault="004C68D9" w:rsidP="00794F71">
      <w:pPr>
        <w:spacing w:after="100" w:afterAutospacing="1"/>
        <w:jc w:val="center"/>
        <w:rPr>
          <w:rFonts w:asciiTheme="minorHAnsi" w:hAnsiTheme="minorHAnsi" w:cs="Arial"/>
          <w:bCs/>
          <w:sz w:val="22"/>
          <w:szCs w:val="22"/>
          <w:lang w:val="es-ES_tradnl"/>
        </w:rPr>
      </w:pPr>
      <w:r w:rsidRPr="00903982">
        <w:rPr>
          <w:noProof/>
          <w:lang w:val="en-US" w:eastAsia="en-US"/>
        </w:rPr>
        <w:drawing>
          <wp:inline distT="0" distB="0" distL="0" distR="0" wp14:anchorId="6DC844F4" wp14:editId="370A3C87">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2A0A9AC" w14:textId="77777777" w:rsidR="00794F71" w:rsidRPr="00903982" w:rsidRDefault="00794F71" w:rsidP="00794F71">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4B296C07" w14:textId="772C01D6" w:rsidR="00794F71" w:rsidRPr="00903982" w:rsidRDefault="00794F71" w:rsidP="00794F71">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t xml:space="preserve">Ilustración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Ilustración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5</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Comparación anualidad de inversión e</w:t>
      </w:r>
      <w:r w:rsidR="00192159">
        <w:rPr>
          <w:rFonts w:asciiTheme="minorHAnsi" w:hAnsiTheme="minorHAnsi"/>
          <w:b w:val="0"/>
          <w:sz w:val="22"/>
          <w:lang w:val="es-ES_tradnl"/>
        </w:rPr>
        <w:t>ntre línea base y</w:t>
      </w:r>
      <w:r w:rsidRPr="00903982">
        <w:rPr>
          <w:rFonts w:asciiTheme="minorHAnsi" w:hAnsiTheme="minorHAnsi"/>
          <w:b w:val="0"/>
          <w:sz w:val="22"/>
          <w:lang w:val="es-ES_tradnl"/>
        </w:rPr>
        <w:t xml:space="preserve"> generación limpia</w:t>
      </w:r>
    </w:p>
    <w:p w14:paraId="4E061C41" w14:textId="2CD9D593" w:rsidR="009D1AA4" w:rsidRPr="00903982" w:rsidRDefault="009D1AA4" w:rsidP="00794F71">
      <w:pPr>
        <w:spacing w:after="100" w:afterAutospacing="1"/>
        <w:jc w:val="center"/>
        <w:rPr>
          <w:rFonts w:asciiTheme="minorHAnsi" w:hAnsiTheme="minorHAnsi" w:cs="Arial"/>
          <w:bCs/>
          <w:sz w:val="22"/>
          <w:szCs w:val="22"/>
          <w:lang w:val="es-ES_tradnl"/>
        </w:rPr>
      </w:pPr>
      <w:r>
        <w:rPr>
          <w:noProof/>
          <w:lang w:val="en-US" w:eastAsia="en-US"/>
        </w:rPr>
        <w:drawing>
          <wp:inline distT="0" distB="0" distL="0" distR="0" wp14:anchorId="3BE32877" wp14:editId="68063656">
            <wp:extent cx="5080000" cy="2552700"/>
            <wp:effectExtent l="0" t="0" r="25400" b="1270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A34EACB" w14:textId="77777777" w:rsidR="00794F71" w:rsidRPr="00903982" w:rsidRDefault="00794F71" w:rsidP="00794F71">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4B2042F0" w14:textId="7E90F9A4" w:rsidR="00794F71" w:rsidRPr="00903982" w:rsidRDefault="00794F71" w:rsidP="00794F71">
      <w:pPr>
        <w:spacing w:after="100" w:afterAutospacing="1"/>
        <w:jc w:val="both"/>
        <w:rPr>
          <w:rFonts w:asciiTheme="minorHAnsi" w:hAnsiTheme="minorHAnsi" w:cs="Arial"/>
          <w:bCs/>
          <w:sz w:val="22"/>
          <w:szCs w:val="22"/>
          <w:lang w:val="es-ES_tradnl"/>
        </w:rPr>
      </w:pPr>
      <w:r w:rsidRPr="00903982">
        <w:rPr>
          <w:rFonts w:asciiTheme="minorHAnsi" w:hAnsiTheme="minorHAnsi" w:cs="Arial"/>
          <w:bCs/>
          <w:sz w:val="22"/>
          <w:szCs w:val="22"/>
          <w:lang w:val="es-ES_tradnl"/>
        </w:rPr>
        <w:t xml:space="preserve">Como es de esperarse, se requiere una mayor inversión para la instalación de centrales en el escenario de generación eléctrica con energías limpias, sin </w:t>
      </w:r>
      <w:r w:rsidR="00F444B2" w:rsidRPr="00903982">
        <w:rPr>
          <w:rFonts w:asciiTheme="minorHAnsi" w:hAnsiTheme="minorHAnsi" w:cs="Arial"/>
          <w:bCs/>
          <w:sz w:val="22"/>
          <w:szCs w:val="22"/>
          <w:lang w:val="es-ES_tradnl"/>
        </w:rPr>
        <w:t>embargo,</w:t>
      </w:r>
      <w:r w:rsidRPr="00903982">
        <w:rPr>
          <w:rFonts w:asciiTheme="minorHAnsi" w:hAnsiTheme="minorHAnsi" w:cs="Arial"/>
          <w:bCs/>
          <w:sz w:val="22"/>
          <w:szCs w:val="22"/>
          <w:lang w:val="es-ES_tradnl"/>
        </w:rPr>
        <w:t xml:space="preserve"> esto también implica un menor costo operacional.</w:t>
      </w:r>
    </w:p>
    <w:p w14:paraId="2FB4DF2F" w14:textId="6F22F1AC" w:rsidR="00794F71" w:rsidRPr="00903982" w:rsidRDefault="00794F71" w:rsidP="00794F71">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lastRenderedPageBreak/>
        <w:t xml:space="preserve">Ilustración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Ilustración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6</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Comparación costos operacionales entre línea base y generación limpia</w:t>
      </w:r>
    </w:p>
    <w:p w14:paraId="48E2DA6D" w14:textId="2F6176E5" w:rsidR="00794F71" w:rsidRPr="00903982" w:rsidRDefault="006A7DB9" w:rsidP="00794F71">
      <w:pPr>
        <w:spacing w:after="100" w:afterAutospacing="1"/>
        <w:jc w:val="center"/>
        <w:rPr>
          <w:rFonts w:asciiTheme="minorHAnsi" w:hAnsiTheme="minorHAnsi" w:cs="Arial"/>
          <w:bCs/>
          <w:sz w:val="22"/>
          <w:szCs w:val="22"/>
          <w:lang w:val="es-ES_tradnl"/>
        </w:rPr>
      </w:pPr>
      <w:r w:rsidRPr="00903982">
        <w:rPr>
          <w:noProof/>
          <w:lang w:val="en-US" w:eastAsia="en-US"/>
        </w:rPr>
        <w:drawing>
          <wp:inline distT="0" distB="0" distL="0" distR="0" wp14:anchorId="491B0908" wp14:editId="41FA80A9">
            <wp:extent cx="4523603" cy="2594039"/>
            <wp:effectExtent l="0" t="0" r="23495" b="222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1E264F5" w14:textId="77777777" w:rsidR="00794F71" w:rsidRPr="00903982" w:rsidRDefault="00794F71" w:rsidP="00794F71">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2547F148" w14:textId="404F64D1" w:rsidR="00794F71" w:rsidRPr="00903982" w:rsidRDefault="00794F71" w:rsidP="00794F71">
      <w:pPr>
        <w:spacing w:after="100" w:afterAutospacing="1"/>
        <w:jc w:val="both"/>
        <w:rPr>
          <w:rFonts w:asciiTheme="minorHAnsi" w:hAnsiTheme="minorHAnsi" w:cs="Arial"/>
          <w:bCs/>
          <w:sz w:val="22"/>
          <w:szCs w:val="22"/>
          <w:lang w:val="es-ES_tradnl"/>
        </w:rPr>
      </w:pPr>
      <w:r w:rsidRPr="00903982">
        <w:rPr>
          <w:rFonts w:asciiTheme="minorHAnsi" w:hAnsiTheme="minorHAnsi" w:cs="Arial"/>
          <w:bCs/>
          <w:sz w:val="22"/>
          <w:szCs w:val="22"/>
          <w:lang w:val="es-ES_tradnl"/>
        </w:rPr>
        <w:t xml:space="preserve">A modo de resumen, en ambos escenarios comparados la cantidad de energía a generar es la misma, sin </w:t>
      </w:r>
      <w:r w:rsidR="00F444B2" w:rsidRPr="00903982">
        <w:rPr>
          <w:rFonts w:asciiTheme="minorHAnsi" w:hAnsiTheme="minorHAnsi" w:cs="Arial"/>
          <w:bCs/>
          <w:sz w:val="22"/>
          <w:szCs w:val="22"/>
          <w:lang w:val="es-ES_tradnl"/>
        </w:rPr>
        <w:t>embargo,</w:t>
      </w:r>
      <w:r w:rsidRPr="00903982">
        <w:rPr>
          <w:rFonts w:asciiTheme="minorHAnsi" w:hAnsiTheme="minorHAnsi" w:cs="Arial"/>
          <w:bCs/>
          <w:sz w:val="22"/>
          <w:szCs w:val="22"/>
          <w:lang w:val="es-ES_tradnl"/>
        </w:rPr>
        <w:t xml:space="preserve"> las emisiones y costos operacionales son menores al utilizar energía limpia para producir electricidad, a cambio de una mayor inversión requerida, lo cual se puede apreciar a continuación</w:t>
      </w:r>
      <w:r w:rsidR="00192159">
        <w:rPr>
          <w:rFonts w:asciiTheme="minorHAnsi" w:hAnsiTheme="minorHAnsi" w:cs="Arial"/>
          <w:bCs/>
          <w:sz w:val="22"/>
          <w:szCs w:val="22"/>
          <w:lang w:val="es-ES_tradnl"/>
        </w:rPr>
        <w:t>.</w:t>
      </w:r>
      <w:r w:rsidRPr="00903982">
        <w:rPr>
          <w:rFonts w:asciiTheme="minorHAnsi" w:hAnsiTheme="minorHAnsi" w:cs="Arial"/>
          <w:bCs/>
          <w:sz w:val="22"/>
          <w:szCs w:val="22"/>
          <w:lang w:val="es-ES_tradnl"/>
        </w:rPr>
        <w:t xml:space="preserve"> </w:t>
      </w:r>
    </w:p>
    <w:p w14:paraId="54002EAC" w14:textId="77777777" w:rsidR="00794F71" w:rsidRPr="00903982" w:rsidRDefault="00794F71" w:rsidP="00794F71">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13</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Resumen diferencia de costos entre matriz limpia y línea base</w:t>
      </w:r>
    </w:p>
    <w:tbl>
      <w:tblPr>
        <w:tblStyle w:val="LightShading-Accent1"/>
        <w:tblW w:w="8237" w:type="dxa"/>
        <w:jc w:val="center"/>
        <w:tblLook w:val="04A0" w:firstRow="1" w:lastRow="0" w:firstColumn="1" w:lastColumn="0" w:noHBand="0" w:noVBand="1"/>
      </w:tblPr>
      <w:tblGrid>
        <w:gridCol w:w="1149"/>
        <w:gridCol w:w="2410"/>
        <w:gridCol w:w="2552"/>
        <w:gridCol w:w="2126"/>
      </w:tblGrid>
      <w:tr w:rsidR="00794F71" w:rsidRPr="00903982" w14:paraId="0D747AFC" w14:textId="77777777" w:rsidTr="00280D7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260B5C52" w14:textId="77777777" w:rsidR="00794F71" w:rsidRPr="00903982" w:rsidRDefault="00794F71" w:rsidP="00794F71">
            <w:pPr>
              <w:spacing w:after="24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Año</w:t>
            </w:r>
          </w:p>
        </w:tc>
        <w:tc>
          <w:tcPr>
            <w:tcW w:w="2410" w:type="dxa"/>
            <w:noWrap/>
            <w:hideMark/>
          </w:tcPr>
          <w:p w14:paraId="1CE1757B" w14:textId="77777777" w:rsidR="00794F71" w:rsidRPr="00903982" w:rsidRDefault="00794F71" w:rsidP="00794F7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Diferencia de costos operacionales (MMUSD)</w:t>
            </w:r>
          </w:p>
        </w:tc>
        <w:tc>
          <w:tcPr>
            <w:tcW w:w="2552" w:type="dxa"/>
            <w:noWrap/>
            <w:hideMark/>
          </w:tcPr>
          <w:p w14:paraId="1064B24C" w14:textId="77777777" w:rsidR="00794F71" w:rsidRPr="00903982" w:rsidRDefault="00794F71" w:rsidP="00794F7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Diferencia de Costos de inversión (MMUSD)</w:t>
            </w:r>
          </w:p>
        </w:tc>
        <w:tc>
          <w:tcPr>
            <w:tcW w:w="2126" w:type="dxa"/>
            <w:noWrap/>
            <w:hideMark/>
          </w:tcPr>
          <w:p w14:paraId="0218D372" w14:textId="77777777" w:rsidR="00794F71" w:rsidRPr="00903982" w:rsidRDefault="00794F71" w:rsidP="00794F71">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Diferencia producción de CO2 (MMUSD)</w:t>
            </w:r>
          </w:p>
        </w:tc>
      </w:tr>
      <w:tr w:rsidR="00692853" w:rsidRPr="00903982" w14:paraId="14EDD77D" w14:textId="77777777" w:rsidTr="00520742">
        <w:trPr>
          <w:cnfStyle w:val="000000100000" w:firstRow="0" w:lastRow="0" w:firstColumn="0" w:lastColumn="0" w:oddVBand="0" w:evenVBand="0" w:oddHBand="1" w:evenHBand="0" w:firstRowFirstColumn="0" w:firstRowLastColumn="0" w:lastRowFirstColumn="0" w:lastRowLastColumn="0"/>
          <w:trHeight w:val="82"/>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489EBC5D"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2016</w:t>
            </w:r>
          </w:p>
        </w:tc>
        <w:tc>
          <w:tcPr>
            <w:tcW w:w="2410" w:type="dxa"/>
            <w:noWrap/>
          </w:tcPr>
          <w:p w14:paraId="0CAD09B7" w14:textId="64B13C84"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   </w:t>
            </w:r>
          </w:p>
        </w:tc>
        <w:tc>
          <w:tcPr>
            <w:tcW w:w="2552" w:type="dxa"/>
            <w:noWrap/>
            <w:vAlign w:val="bottom"/>
          </w:tcPr>
          <w:p w14:paraId="655A615C" w14:textId="493B58F9" w:rsidR="00692853" w:rsidRPr="00520742" w:rsidRDefault="00692853" w:rsidP="00794F71">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   </w:t>
            </w:r>
          </w:p>
        </w:tc>
        <w:tc>
          <w:tcPr>
            <w:tcW w:w="2126" w:type="dxa"/>
            <w:noWrap/>
          </w:tcPr>
          <w:p w14:paraId="5755E2E2" w14:textId="76ABC0D2"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   </w:t>
            </w:r>
          </w:p>
        </w:tc>
      </w:tr>
      <w:tr w:rsidR="00692853" w:rsidRPr="00903982" w14:paraId="3411A432" w14:textId="77777777" w:rsidTr="00520742">
        <w:trPr>
          <w:trHeight w:val="132"/>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037092A8"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2017</w:t>
            </w:r>
          </w:p>
        </w:tc>
        <w:tc>
          <w:tcPr>
            <w:tcW w:w="2410" w:type="dxa"/>
            <w:noWrap/>
          </w:tcPr>
          <w:p w14:paraId="10B6EC02" w14:textId="7E6B8B3C"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193 </w:t>
            </w:r>
          </w:p>
        </w:tc>
        <w:tc>
          <w:tcPr>
            <w:tcW w:w="2552" w:type="dxa"/>
            <w:noWrap/>
            <w:vAlign w:val="bottom"/>
          </w:tcPr>
          <w:p w14:paraId="5488CC50" w14:textId="76668025" w:rsidR="00692853" w:rsidRPr="00520742" w:rsidRDefault="00692853" w:rsidP="00840BB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-3,476 </w:t>
            </w:r>
          </w:p>
        </w:tc>
        <w:tc>
          <w:tcPr>
            <w:tcW w:w="2126" w:type="dxa"/>
            <w:noWrap/>
          </w:tcPr>
          <w:p w14:paraId="1F12ECC2" w14:textId="36112F0D"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31 </w:t>
            </w:r>
          </w:p>
        </w:tc>
      </w:tr>
      <w:tr w:rsidR="00692853" w:rsidRPr="00903982" w14:paraId="7365E423"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23D4E436"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2018</w:t>
            </w:r>
          </w:p>
        </w:tc>
        <w:tc>
          <w:tcPr>
            <w:tcW w:w="2410" w:type="dxa"/>
            <w:noWrap/>
          </w:tcPr>
          <w:p w14:paraId="3943C17C" w14:textId="7EC98397"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407 </w:t>
            </w:r>
          </w:p>
        </w:tc>
        <w:tc>
          <w:tcPr>
            <w:tcW w:w="2552" w:type="dxa"/>
            <w:noWrap/>
            <w:vAlign w:val="bottom"/>
          </w:tcPr>
          <w:p w14:paraId="77629207" w14:textId="7BFD47AC" w:rsidR="00692853" w:rsidRPr="00520742" w:rsidRDefault="00520742" w:rsidP="00840BB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3,093 </w:t>
            </w:r>
          </w:p>
        </w:tc>
        <w:tc>
          <w:tcPr>
            <w:tcW w:w="2126" w:type="dxa"/>
            <w:noWrap/>
          </w:tcPr>
          <w:p w14:paraId="1B890A89" w14:textId="4C46DBD1"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59 </w:t>
            </w:r>
          </w:p>
        </w:tc>
      </w:tr>
      <w:tr w:rsidR="00692853" w:rsidRPr="00903982" w14:paraId="6C4EB820"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26EDFFAA"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2019</w:t>
            </w:r>
          </w:p>
        </w:tc>
        <w:tc>
          <w:tcPr>
            <w:tcW w:w="2410" w:type="dxa"/>
            <w:noWrap/>
          </w:tcPr>
          <w:p w14:paraId="1375D46F" w14:textId="13CA2F5E"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824 </w:t>
            </w:r>
          </w:p>
        </w:tc>
        <w:tc>
          <w:tcPr>
            <w:tcW w:w="2552" w:type="dxa"/>
            <w:noWrap/>
            <w:vAlign w:val="bottom"/>
          </w:tcPr>
          <w:p w14:paraId="2A63583A" w14:textId="0AC074EA" w:rsidR="00692853" w:rsidRPr="00520742" w:rsidRDefault="00520742" w:rsidP="00840BB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2,709 </w:t>
            </w:r>
          </w:p>
        </w:tc>
        <w:tc>
          <w:tcPr>
            <w:tcW w:w="2126" w:type="dxa"/>
            <w:noWrap/>
          </w:tcPr>
          <w:p w14:paraId="403C81DC" w14:textId="556BAF73"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88 </w:t>
            </w:r>
          </w:p>
        </w:tc>
      </w:tr>
      <w:tr w:rsidR="00692853" w:rsidRPr="00903982" w14:paraId="134FFA82"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22FA9059"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2020</w:t>
            </w:r>
          </w:p>
        </w:tc>
        <w:tc>
          <w:tcPr>
            <w:tcW w:w="2410" w:type="dxa"/>
            <w:noWrap/>
          </w:tcPr>
          <w:p w14:paraId="01806F64" w14:textId="4E87F832"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967 </w:t>
            </w:r>
          </w:p>
        </w:tc>
        <w:tc>
          <w:tcPr>
            <w:tcW w:w="2552" w:type="dxa"/>
            <w:noWrap/>
            <w:vAlign w:val="bottom"/>
          </w:tcPr>
          <w:p w14:paraId="373E06A0" w14:textId="24EC133F" w:rsidR="00692853" w:rsidRPr="00520742" w:rsidRDefault="00520742" w:rsidP="00840BB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1,962 </w:t>
            </w:r>
          </w:p>
        </w:tc>
        <w:tc>
          <w:tcPr>
            <w:tcW w:w="2126" w:type="dxa"/>
            <w:noWrap/>
          </w:tcPr>
          <w:p w14:paraId="619103E9" w14:textId="1F36B668"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112 </w:t>
            </w:r>
          </w:p>
        </w:tc>
      </w:tr>
      <w:tr w:rsidR="00692853" w:rsidRPr="00903982" w14:paraId="116AB3D5"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7E4A002D"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2021</w:t>
            </w:r>
          </w:p>
        </w:tc>
        <w:tc>
          <w:tcPr>
            <w:tcW w:w="2410" w:type="dxa"/>
            <w:noWrap/>
          </w:tcPr>
          <w:p w14:paraId="77F5ABF7" w14:textId="0A8B6FC7"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1,292 </w:t>
            </w:r>
          </w:p>
        </w:tc>
        <w:tc>
          <w:tcPr>
            <w:tcW w:w="2552" w:type="dxa"/>
            <w:noWrap/>
            <w:vAlign w:val="bottom"/>
          </w:tcPr>
          <w:p w14:paraId="26D3190B" w14:textId="342CAEED" w:rsidR="00692853" w:rsidRPr="00520742" w:rsidRDefault="00520742" w:rsidP="00840BB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1,760 </w:t>
            </w:r>
          </w:p>
        </w:tc>
        <w:tc>
          <w:tcPr>
            <w:tcW w:w="2126" w:type="dxa"/>
            <w:noWrap/>
          </w:tcPr>
          <w:p w14:paraId="0B748DA5" w14:textId="11006F47"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134 </w:t>
            </w:r>
          </w:p>
        </w:tc>
      </w:tr>
      <w:tr w:rsidR="00692853" w:rsidRPr="00903982" w14:paraId="36896278"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4581B165"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2022</w:t>
            </w:r>
          </w:p>
        </w:tc>
        <w:tc>
          <w:tcPr>
            <w:tcW w:w="2410" w:type="dxa"/>
            <w:noWrap/>
          </w:tcPr>
          <w:p w14:paraId="1B7F4051" w14:textId="4A9F80D8"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1,578 </w:t>
            </w:r>
          </w:p>
        </w:tc>
        <w:tc>
          <w:tcPr>
            <w:tcW w:w="2552" w:type="dxa"/>
            <w:noWrap/>
            <w:vAlign w:val="bottom"/>
          </w:tcPr>
          <w:p w14:paraId="7BD327FB" w14:textId="6E381A13" w:rsidR="00692853" w:rsidRPr="00520742" w:rsidRDefault="00520742" w:rsidP="00840BB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907 </w:t>
            </w:r>
          </w:p>
        </w:tc>
        <w:tc>
          <w:tcPr>
            <w:tcW w:w="2126" w:type="dxa"/>
            <w:noWrap/>
          </w:tcPr>
          <w:p w14:paraId="6EB1D01A" w14:textId="58B9B2CF"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151 </w:t>
            </w:r>
          </w:p>
        </w:tc>
      </w:tr>
      <w:tr w:rsidR="00692853" w:rsidRPr="00903982" w14:paraId="0A35B702"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4F935429"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2023</w:t>
            </w:r>
          </w:p>
        </w:tc>
        <w:tc>
          <w:tcPr>
            <w:tcW w:w="2410" w:type="dxa"/>
            <w:noWrap/>
          </w:tcPr>
          <w:p w14:paraId="62107612" w14:textId="3B46D259"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1,977 </w:t>
            </w:r>
          </w:p>
        </w:tc>
        <w:tc>
          <w:tcPr>
            <w:tcW w:w="2552" w:type="dxa"/>
            <w:noWrap/>
            <w:vAlign w:val="bottom"/>
          </w:tcPr>
          <w:p w14:paraId="2C8E6DD4" w14:textId="2241DF45" w:rsidR="00692853" w:rsidRPr="00520742" w:rsidRDefault="00520742" w:rsidP="00840BB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4,359 </w:t>
            </w:r>
          </w:p>
        </w:tc>
        <w:tc>
          <w:tcPr>
            <w:tcW w:w="2126" w:type="dxa"/>
            <w:noWrap/>
          </w:tcPr>
          <w:p w14:paraId="6F1816F5" w14:textId="670D9BFE"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185 </w:t>
            </w:r>
          </w:p>
        </w:tc>
      </w:tr>
      <w:tr w:rsidR="00692853" w:rsidRPr="00903982" w14:paraId="3164C032"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49BA80E6"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2024</w:t>
            </w:r>
          </w:p>
        </w:tc>
        <w:tc>
          <w:tcPr>
            <w:tcW w:w="2410" w:type="dxa"/>
            <w:noWrap/>
          </w:tcPr>
          <w:p w14:paraId="12EFC1BD" w14:textId="36827691"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2,352 </w:t>
            </w:r>
          </w:p>
        </w:tc>
        <w:tc>
          <w:tcPr>
            <w:tcW w:w="2552" w:type="dxa"/>
            <w:noWrap/>
            <w:vAlign w:val="bottom"/>
          </w:tcPr>
          <w:p w14:paraId="12E81C65" w14:textId="4B706474" w:rsidR="00692853" w:rsidRPr="00520742" w:rsidRDefault="00520742" w:rsidP="00840BB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1,916 </w:t>
            </w:r>
          </w:p>
        </w:tc>
        <w:tc>
          <w:tcPr>
            <w:tcW w:w="2126" w:type="dxa"/>
            <w:noWrap/>
          </w:tcPr>
          <w:p w14:paraId="6D961306" w14:textId="10265597"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220 </w:t>
            </w:r>
          </w:p>
        </w:tc>
      </w:tr>
      <w:tr w:rsidR="00692853" w:rsidRPr="00903982" w14:paraId="5B28B4C7"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012E111D"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2025</w:t>
            </w:r>
          </w:p>
        </w:tc>
        <w:tc>
          <w:tcPr>
            <w:tcW w:w="2410" w:type="dxa"/>
            <w:noWrap/>
          </w:tcPr>
          <w:p w14:paraId="5F533BEE" w14:textId="70C88B28"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2,681 </w:t>
            </w:r>
          </w:p>
        </w:tc>
        <w:tc>
          <w:tcPr>
            <w:tcW w:w="2552" w:type="dxa"/>
            <w:noWrap/>
            <w:vAlign w:val="bottom"/>
          </w:tcPr>
          <w:p w14:paraId="172F14B9" w14:textId="1BA51902" w:rsidR="00692853" w:rsidRPr="00520742" w:rsidRDefault="00840BB8" w:rsidP="00840BB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143 </w:t>
            </w:r>
          </w:p>
        </w:tc>
        <w:tc>
          <w:tcPr>
            <w:tcW w:w="2126" w:type="dxa"/>
            <w:noWrap/>
          </w:tcPr>
          <w:p w14:paraId="043AB46F" w14:textId="29AE2E11"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245 </w:t>
            </w:r>
          </w:p>
        </w:tc>
      </w:tr>
      <w:tr w:rsidR="00692853" w:rsidRPr="00903982" w14:paraId="0E150110"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43AC27CF"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2026</w:t>
            </w:r>
          </w:p>
        </w:tc>
        <w:tc>
          <w:tcPr>
            <w:tcW w:w="2410" w:type="dxa"/>
            <w:noWrap/>
          </w:tcPr>
          <w:p w14:paraId="3E801128" w14:textId="5F1D6FB8"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3,028 </w:t>
            </w:r>
          </w:p>
        </w:tc>
        <w:tc>
          <w:tcPr>
            <w:tcW w:w="2552" w:type="dxa"/>
            <w:noWrap/>
            <w:vAlign w:val="bottom"/>
          </w:tcPr>
          <w:p w14:paraId="521F0705" w14:textId="27BD13EE" w:rsidR="00692853" w:rsidRPr="00520742" w:rsidRDefault="00692853" w:rsidP="00840BB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368 </w:t>
            </w:r>
          </w:p>
        </w:tc>
        <w:tc>
          <w:tcPr>
            <w:tcW w:w="2126" w:type="dxa"/>
            <w:noWrap/>
          </w:tcPr>
          <w:p w14:paraId="0B5D1C58" w14:textId="1A29FC19"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262 </w:t>
            </w:r>
          </w:p>
        </w:tc>
      </w:tr>
      <w:tr w:rsidR="00692853" w:rsidRPr="00903982" w14:paraId="02FCCB83"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56D672EA"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2027</w:t>
            </w:r>
          </w:p>
        </w:tc>
        <w:tc>
          <w:tcPr>
            <w:tcW w:w="2410" w:type="dxa"/>
            <w:noWrap/>
          </w:tcPr>
          <w:p w14:paraId="7C036C5F" w14:textId="00ADFA6A"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3,376 </w:t>
            </w:r>
          </w:p>
        </w:tc>
        <w:tc>
          <w:tcPr>
            <w:tcW w:w="2552" w:type="dxa"/>
            <w:noWrap/>
            <w:vAlign w:val="bottom"/>
          </w:tcPr>
          <w:p w14:paraId="2A6171E6" w14:textId="25108E90" w:rsidR="00692853" w:rsidRPr="00520742" w:rsidRDefault="00840BB8" w:rsidP="00840BB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1,264 </w:t>
            </w:r>
          </w:p>
        </w:tc>
        <w:tc>
          <w:tcPr>
            <w:tcW w:w="2126" w:type="dxa"/>
            <w:noWrap/>
          </w:tcPr>
          <w:p w14:paraId="775B41EB" w14:textId="57B90E37"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281 </w:t>
            </w:r>
          </w:p>
        </w:tc>
      </w:tr>
      <w:tr w:rsidR="00692853" w:rsidRPr="00903982" w14:paraId="2FCFC097"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37180CE0"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2028</w:t>
            </w:r>
          </w:p>
        </w:tc>
        <w:tc>
          <w:tcPr>
            <w:tcW w:w="2410" w:type="dxa"/>
            <w:noWrap/>
          </w:tcPr>
          <w:p w14:paraId="30B2AE44" w14:textId="6E7F3ECE"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3,775 </w:t>
            </w:r>
          </w:p>
        </w:tc>
        <w:tc>
          <w:tcPr>
            <w:tcW w:w="2552" w:type="dxa"/>
            <w:noWrap/>
            <w:vAlign w:val="bottom"/>
          </w:tcPr>
          <w:p w14:paraId="51D43CB8" w14:textId="550C3CE1" w:rsidR="00692853" w:rsidRPr="00520742" w:rsidRDefault="00840BB8" w:rsidP="00840BB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1,618 </w:t>
            </w:r>
          </w:p>
        </w:tc>
        <w:tc>
          <w:tcPr>
            <w:tcW w:w="2126" w:type="dxa"/>
            <w:noWrap/>
          </w:tcPr>
          <w:p w14:paraId="562A4CC3" w14:textId="71634A97"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305 </w:t>
            </w:r>
          </w:p>
        </w:tc>
      </w:tr>
      <w:tr w:rsidR="00692853" w:rsidRPr="00903982" w14:paraId="24A4EABB" w14:textId="77777777" w:rsidTr="00520742">
        <w:trPr>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501C1BF9"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2029</w:t>
            </w:r>
          </w:p>
        </w:tc>
        <w:tc>
          <w:tcPr>
            <w:tcW w:w="2410" w:type="dxa"/>
            <w:noWrap/>
          </w:tcPr>
          <w:p w14:paraId="616A055C" w14:textId="4B1D283D"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4,407 </w:t>
            </w:r>
          </w:p>
        </w:tc>
        <w:tc>
          <w:tcPr>
            <w:tcW w:w="2552" w:type="dxa"/>
            <w:noWrap/>
            <w:vAlign w:val="bottom"/>
          </w:tcPr>
          <w:p w14:paraId="3B5C7576" w14:textId="762797B2" w:rsidR="00692853" w:rsidRPr="00520742" w:rsidRDefault="00840BB8" w:rsidP="00840BB8">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5,984 </w:t>
            </w:r>
          </w:p>
        </w:tc>
        <w:tc>
          <w:tcPr>
            <w:tcW w:w="2126" w:type="dxa"/>
            <w:noWrap/>
          </w:tcPr>
          <w:p w14:paraId="6512FDF1" w14:textId="0931714E" w:rsidR="00692853" w:rsidRPr="00520742" w:rsidRDefault="00692853" w:rsidP="00794F71">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352 </w:t>
            </w:r>
          </w:p>
        </w:tc>
      </w:tr>
      <w:tr w:rsidR="00692853" w:rsidRPr="00903982" w14:paraId="4DE132AC" w14:textId="77777777" w:rsidTr="00520742">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149" w:type="dxa"/>
            <w:noWrap/>
            <w:hideMark/>
          </w:tcPr>
          <w:p w14:paraId="65CDDC27" w14:textId="77777777" w:rsidR="00692853" w:rsidRPr="00903982" w:rsidRDefault="00692853" w:rsidP="00794F71">
            <w:pPr>
              <w:jc w:val="right"/>
              <w:rPr>
                <w:rFonts w:ascii="Calibri" w:eastAsia="Times New Roman" w:hAnsi="Calibri"/>
                <w:b w:val="0"/>
                <w:color w:val="000000"/>
                <w:sz w:val="22"/>
                <w:szCs w:val="22"/>
                <w:lang w:val="es-ES_tradnl"/>
              </w:rPr>
            </w:pPr>
            <w:r w:rsidRPr="00903982">
              <w:rPr>
                <w:rFonts w:ascii="Calibri" w:eastAsia="Times New Roman" w:hAnsi="Calibri"/>
                <w:b w:val="0"/>
                <w:color w:val="000000"/>
                <w:sz w:val="22"/>
                <w:szCs w:val="22"/>
                <w:lang w:val="es-ES_tradnl"/>
              </w:rPr>
              <w:t>2030</w:t>
            </w:r>
          </w:p>
        </w:tc>
        <w:tc>
          <w:tcPr>
            <w:tcW w:w="2410" w:type="dxa"/>
            <w:noWrap/>
          </w:tcPr>
          <w:p w14:paraId="2583A44E" w14:textId="623CE81F"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5,040 </w:t>
            </w:r>
          </w:p>
        </w:tc>
        <w:tc>
          <w:tcPr>
            <w:tcW w:w="2552" w:type="dxa"/>
            <w:noWrap/>
            <w:vAlign w:val="bottom"/>
          </w:tcPr>
          <w:p w14:paraId="4642F989" w14:textId="02C1B7A5" w:rsidR="00692853" w:rsidRPr="00520742" w:rsidRDefault="00840BB8" w:rsidP="00840BB8">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Pr>
                <w:rFonts w:asciiTheme="minorHAnsi" w:hAnsiTheme="minorHAnsi"/>
                <w:color w:val="auto"/>
                <w:sz w:val="22"/>
                <w:szCs w:val="22"/>
              </w:rPr>
              <w:t>-</w:t>
            </w:r>
            <w:r w:rsidR="00692853" w:rsidRPr="00520742">
              <w:rPr>
                <w:rFonts w:asciiTheme="minorHAnsi" w:hAnsiTheme="minorHAnsi"/>
                <w:color w:val="auto"/>
                <w:sz w:val="22"/>
                <w:szCs w:val="22"/>
              </w:rPr>
              <w:t xml:space="preserve">4,136 </w:t>
            </w:r>
          </w:p>
        </w:tc>
        <w:tc>
          <w:tcPr>
            <w:tcW w:w="2126" w:type="dxa"/>
            <w:noWrap/>
          </w:tcPr>
          <w:p w14:paraId="126BD543" w14:textId="48D466C5" w:rsidR="00692853" w:rsidRPr="00520742" w:rsidRDefault="00692853" w:rsidP="00794F71">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auto"/>
                <w:sz w:val="22"/>
                <w:szCs w:val="22"/>
                <w:lang w:val="es-ES_tradnl"/>
              </w:rPr>
            </w:pPr>
            <w:r w:rsidRPr="00520742">
              <w:rPr>
                <w:rFonts w:asciiTheme="minorHAnsi" w:hAnsiTheme="minorHAnsi"/>
                <w:color w:val="auto"/>
                <w:sz w:val="22"/>
                <w:szCs w:val="22"/>
              </w:rPr>
              <w:t xml:space="preserve"> 389 </w:t>
            </w:r>
          </w:p>
        </w:tc>
      </w:tr>
    </w:tbl>
    <w:p w14:paraId="5361C753" w14:textId="3463B566" w:rsidR="00794F71" w:rsidRPr="00903982" w:rsidRDefault="00794F71" w:rsidP="00767285">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Fuente: Elaboración propia en base a resultados</w:t>
      </w:r>
    </w:p>
    <w:p w14:paraId="4CED9496" w14:textId="1C3D7C5D" w:rsidR="0026600C" w:rsidRPr="00643F12" w:rsidRDefault="00794F71" w:rsidP="00643F12">
      <w:pPr>
        <w:pStyle w:val="Caption"/>
        <w:keepNext/>
        <w:jc w:val="both"/>
        <w:rPr>
          <w:rFonts w:asciiTheme="minorHAnsi" w:hAnsiTheme="minorHAnsi"/>
          <w:b w:val="0"/>
          <w:color w:val="auto"/>
          <w:sz w:val="22"/>
          <w:lang w:val="es-ES_tradnl"/>
        </w:rPr>
      </w:pPr>
      <w:r w:rsidRPr="00903982">
        <w:rPr>
          <w:rFonts w:asciiTheme="minorHAnsi" w:hAnsiTheme="minorHAnsi"/>
          <w:b w:val="0"/>
          <w:color w:val="auto"/>
          <w:sz w:val="22"/>
          <w:lang w:val="es-ES_tradnl"/>
        </w:rPr>
        <w:lastRenderedPageBreak/>
        <w:t xml:space="preserve">Finalmente es necesario traer a valor presente los impactos económicos de utilizar energía limpia en la matriz energética, en la misma proporción que la propuesta por el PRODESEN, pero con la tasa de crecimiento de la línea base. Notar que la diferencia en costos de generación no es por la cantidad de energía generada, sino por el método de generación. </w:t>
      </w:r>
      <w:r w:rsidR="0026600C">
        <w:rPr>
          <w:rFonts w:asciiTheme="minorHAnsi" w:hAnsiTheme="minorHAnsi"/>
          <w:b w:val="0"/>
          <w:color w:val="auto"/>
          <w:sz w:val="22"/>
          <w:lang w:val="es-ES_tradnl"/>
        </w:rPr>
        <w:t xml:space="preserve"> </w:t>
      </w:r>
      <w:r w:rsidR="0026600C" w:rsidRPr="0026600C">
        <w:rPr>
          <w:rFonts w:asciiTheme="minorHAnsi" w:hAnsiTheme="minorHAnsi"/>
          <w:b w:val="0"/>
          <w:color w:val="auto"/>
          <w:sz w:val="22"/>
          <w:lang w:val="es-ES_tradnl"/>
        </w:rPr>
        <w:t xml:space="preserve">El resultado de sumar los ingresos y restarle los costos da una utilidad </w:t>
      </w:r>
      <w:r w:rsidR="00643F12">
        <w:rPr>
          <w:rFonts w:asciiTheme="minorHAnsi" w:hAnsiTheme="minorHAnsi"/>
          <w:b w:val="0"/>
          <w:color w:val="auto"/>
          <w:sz w:val="22"/>
          <w:lang w:val="es-ES_tradnl"/>
        </w:rPr>
        <w:t>positiva de 2,810</w:t>
      </w:r>
      <w:r w:rsidR="0026600C" w:rsidRPr="0026600C">
        <w:rPr>
          <w:rFonts w:asciiTheme="minorHAnsi" w:hAnsiTheme="minorHAnsi"/>
          <w:b w:val="0"/>
          <w:color w:val="auto"/>
          <w:sz w:val="22"/>
          <w:lang w:val="es-ES_tradnl"/>
        </w:rPr>
        <w:t xml:space="preserve"> millones de dólares, lo que equivale a una tasa interna de retorno de </w:t>
      </w:r>
      <w:r w:rsidR="00643F12">
        <w:rPr>
          <w:rFonts w:asciiTheme="minorHAnsi" w:hAnsiTheme="minorHAnsi"/>
          <w:b w:val="0"/>
          <w:color w:val="auto"/>
          <w:sz w:val="22"/>
          <w:lang w:val="es-ES_tradnl"/>
        </w:rPr>
        <w:t>13</w:t>
      </w:r>
      <w:r w:rsidR="0026600C" w:rsidRPr="0026600C">
        <w:rPr>
          <w:rFonts w:asciiTheme="minorHAnsi" w:hAnsiTheme="minorHAnsi"/>
          <w:b w:val="0"/>
          <w:color w:val="auto"/>
          <w:sz w:val="22"/>
          <w:lang w:val="es-ES_tradnl"/>
        </w:rPr>
        <w:t>%.</w:t>
      </w:r>
    </w:p>
    <w:p w14:paraId="57E8236A" w14:textId="6C03CECE" w:rsidR="00794F71" w:rsidRPr="00903982" w:rsidRDefault="00794F71" w:rsidP="00794F71">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14</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Resumen de </w:t>
      </w:r>
      <w:r w:rsidR="00767285" w:rsidRPr="00903982">
        <w:rPr>
          <w:rFonts w:asciiTheme="minorHAnsi" w:hAnsiTheme="minorHAnsi"/>
          <w:b w:val="0"/>
          <w:sz w:val="22"/>
          <w:lang w:val="es-ES_tradnl"/>
        </w:rPr>
        <w:t>ingresos, costos y utilidad</w:t>
      </w:r>
      <w:r w:rsidRPr="00903982">
        <w:rPr>
          <w:rFonts w:asciiTheme="minorHAnsi" w:hAnsiTheme="minorHAnsi"/>
          <w:b w:val="0"/>
          <w:sz w:val="22"/>
          <w:lang w:val="es-ES_tradnl"/>
        </w:rPr>
        <w:t xml:space="preserve"> de </w:t>
      </w:r>
      <w:r w:rsidR="00767285" w:rsidRPr="00903982">
        <w:rPr>
          <w:rFonts w:asciiTheme="minorHAnsi" w:hAnsiTheme="minorHAnsi"/>
          <w:b w:val="0"/>
          <w:sz w:val="22"/>
          <w:lang w:val="es-ES_tradnl"/>
        </w:rPr>
        <w:t xml:space="preserve">la </w:t>
      </w:r>
      <w:r w:rsidRPr="00903982">
        <w:rPr>
          <w:rFonts w:asciiTheme="minorHAnsi" w:hAnsiTheme="minorHAnsi"/>
          <w:b w:val="0"/>
          <w:sz w:val="22"/>
          <w:lang w:val="es-ES_tradnl"/>
        </w:rPr>
        <w:t>incorporación de energías limpias</w:t>
      </w:r>
    </w:p>
    <w:tbl>
      <w:tblPr>
        <w:tblStyle w:val="TableGrid"/>
        <w:tblW w:w="0" w:type="auto"/>
        <w:jc w:val="center"/>
        <w:tblLook w:val="04A0" w:firstRow="1" w:lastRow="0" w:firstColumn="1" w:lastColumn="0" w:noHBand="0" w:noVBand="1"/>
      </w:tblPr>
      <w:tblGrid>
        <w:gridCol w:w="4166"/>
        <w:gridCol w:w="1862"/>
      </w:tblGrid>
      <w:tr w:rsidR="007C2C30" w:rsidRPr="00903982" w14:paraId="15575228" w14:textId="77777777" w:rsidTr="00192159">
        <w:trPr>
          <w:trHeight w:val="327"/>
          <w:jc w:val="center"/>
        </w:trPr>
        <w:tc>
          <w:tcPr>
            <w:tcW w:w="4166" w:type="dxa"/>
            <w:shd w:val="clear" w:color="auto" w:fill="D9D9D9" w:themeFill="background1" w:themeFillShade="D9"/>
            <w:vAlign w:val="center"/>
          </w:tcPr>
          <w:p w14:paraId="4EB7583F"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Ingresos </w:t>
            </w:r>
          </w:p>
        </w:tc>
        <w:tc>
          <w:tcPr>
            <w:tcW w:w="1862" w:type="dxa"/>
            <w:shd w:val="clear" w:color="auto" w:fill="D9D9D9" w:themeFill="background1" w:themeFillShade="D9"/>
            <w:vAlign w:val="center"/>
          </w:tcPr>
          <w:p w14:paraId="6AC15142" w14:textId="77777777" w:rsidR="007C2C30" w:rsidRPr="00903982" w:rsidRDefault="007C2C30" w:rsidP="00192159">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 Millones de US$ </w:t>
            </w:r>
          </w:p>
        </w:tc>
      </w:tr>
      <w:tr w:rsidR="007C2C30" w:rsidRPr="00903982" w14:paraId="3417D423" w14:textId="77777777" w:rsidTr="00192159">
        <w:trPr>
          <w:trHeight w:val="561"/>
          <w:jc w:val="center"/>
        </w:trPr>
        <w:tc>
          <w:tcPr>
            <w:tcW w:w="4166" w:type="dxa"/>
            <w:vAlign w:val="center"/>
          </w:tcPr>
          <w:p w14:paraId="51F781B3"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Valoración de menores emisiones de CO2</w:t>
            </w:r>
          </w:p>
        </w:tc>
        <w:tc>
          <w:tcPr>
            <w:tcW w:w="1862" w:type="dxa"/>
            <w:vAlign w:val="bottom"/>
          </w:tcPr>
          <w:p w14:paraId="1F37A092" w14:textId="77777777" w:rsidR="007C2C30" w:rsidRPr="00903982" w:rsidRDefault="007C2C30" w:rsidP="00192159">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                                   1,190 </w:t>
            </w:r>
          </w:p>
        </w:tc>
      </w:tr>
      <w:tr w:rsidR="007C2C30" w:rsidRPr="00903982" w14:paraId="484317BF" w14:textId="77777777" w:rsidTr="00192159">
        <w:trPr>
          <w:trHeight w:val="446"/>
          <w:jc w:val="center"/>
        </w:trPr>
        <w:tc>
          <w:tcPr>
            <w:tcW w:w="4166" w:type="dxa"/>
            <w:vAlign w:val="center"/>
          </w:tcPr>
          <w:p w14:paraId="1132070D"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Menores costos de generación </w:t>
            </w:r>
          </w:p>
        </w:tc>
        <w:tc>
          <w:tcPr>
            <w:tcW w:w="1862" w:type="dxa"/>
            <w:vAlign w:val="bottom"/>
          </w:tcPr>
          <w:p w14:paraId="47454A60" w14:textId="77777777" w:rsidR="007C2C30" w:rsidRPr="00903982" w:rsidRDefault="007C2C30" w:rsidP="00192159">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                                12,8</w:t>
            </w:r>
            <w:r>
              <w:rPr>
                <w:rFonts w:ascii="Calibri" w:hAnsi="Calibri"/>
                <w:color w:val="000000"/>
                <w:sz w:val="22"/>
                <w:szCs w:val="22"/>
                <w:lang w:val="es-ES_tradnl"/>
              </w:rPr>
              <w:t>90</w:t>
            </w:r>
            <w:r w:rsidRPr="00903982">
              <w:rPr>
                <w:rFonts w:ascii="Calibri" w:hAnsi="Calibri"/>
                <w:color w:val="000000"/>
                <w:sz w:val="22"/>
                <w:szCs w:val="22"/>
                <w:lang w:val="es-ES_tradnl"/>
              </w:rPr>
              <w:t xml:space="preserve"> </w:t>
            </w:r>
          </w:p>
        </w:tc>
      </w:tr>
      <w:tr w:rsidR="007C2C30" w:rsidRPr="00903982" w14:paraId="6197AA51" w14:textId="77777777" w:rsidTr="00192159">
        <w:trPr>
          <w:trHeight w:val="454"/>
          <w:jc w:val="center"/>
        </w:trPr>
        <w:tc>
          <w:tcPr>
            <w:tcW w:w="4166" w:type="dxa"/>
            <w:shd w:val="clear" w:color="auto" w:fill="D9D9D9" w:themeFill="background1" w:themeFillShade="D9"/>
            <w:vAlign w:val="center"/>
          </w:tcPr>
          <w:p w14:paraId="50F2D02E"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Costos</w:t>
            </w:r>
          </w:p>
        </w:tc>
        <w:tc>
          <w:tcPr>
            <w:tcW w:w="1862" w:type="dxa"/>
            <w:shd w:val="clear" w:color="auto" w:fill="D9D9D9" w:themeFill="background1" w:themeFillShade="D9"/>
            <w:vAlign w:val="center"/>
          </w:tcPr>
          <w:p w14:paraId="0E294DBB" w14:textId="77777777" w:rsidR="007C2C30" w:rsidRPr="00903982" w:rsidRDefault="007C2C30" w:rsidP="00192159">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Millones de US$</w:t>
            </w:r>
          </w:p>
        </w:tc>
      </w:tr>
      <w:tr w:rsidR="007C2C30" w:rsidRPr="00903982" w14:paraId="55DEE9C0" w14:textId="77777777" w:rsidTr="00192159">
        <w:trPr>
          <w:trHeight w:val="454"/>
          <w:jc w:val="center"/>
        </w:trPr>
        <w:tc>
          <w:tcPr>
            <w:tcW w:w="4166" w:type="dxa"/>
            <w:vAlign w:val="center"/>
          </w:tcPr>
          <w:p w14:paraId="126DC5C9"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Mayores costos de inversión</w:t>
            </w:r>
          </w:p>
        </w:tc>
        <w:tc>
          <w:tcPr>
            <w:tcW w:w="1862" w:type="dxa"/>
            <w:vAlign w:val="bottom"/>
          </w:tcPr>
          <w:p w14:paraId="18497A20" w14:textId="77777777" w:rsidR="007C2C30" w:rsidRPr="00903982" w:rsidRDefault="007C2C30" w:rsidP="00192159">
            <w:pPr>
              <w:jc w:val="right"/>
              <w:rPr>
                <w:rFonts w:ascii="Calibri" w:hAnsi="Calibri"/>
                <w:color w:val="000000"/>
                <w:sz w:val="22"/>
                <w:szCs w:val="22"/>
                <w:lang w:val="es-ES_tradnl"/>
              </w:rPr>
            </w:pPr>
            <w:r w:rsidRPr="00903982">
              <w:rPr>
                <w:rFonts w:ascii="Calibri" w:hAnsi="Calibri"/>
                <w:color w:val="000000"/>
                <w:sz w:val="22"/>
                <w:szCs w:val="22"/>
                <w:lang w:val="es-ES_tradnl"/>
              </w:rPr>
              <w:t xml:space="preserve">                                      </w:t>
            </w:r>
            <w:r>
              <w:rPr>
                <w:rFonts w:ascii="Calibri" w:hAnsi="Calibri"/>
                <w:color w:val="000000"/>
                <w:sz w:val="22"/>
                <w:szCs w:val="22"/>
                <w:lang w:val="es-ES_tradnl"/>
              </w:rPr>
              <w:t>11,270</w:t>
            </w:r>
          </w:p>
        </w:tc>
      </w:tr>
      <w:tr w:rsidR="007C2C30" w:rsidRPr="00903982" w14:paraId="6464B3D1" w14:textId="77777777" w:rsidTr="00192159">
        <w:trPr>
          <w:trHeight w:val="454"/>
          <w:jc w:val="center"/>
        </w:trPr>
        <w:tc>
          <w:tcPr>
            <w:tcW w:w="4166" w:type="dxa"/>
            <w:shd w:val="clear" w:color="auto" w:fill="D9D9D9" w:themeFill="background1" w:themeFillShade="D9"/>
            <w:vAlign w:val="center"/>
          </w:tcPr>
          <w:p w14:paraId="63BA5991"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w:t>
            </w:r>
          </w:p>
        </w:tc>
        <w:tc>
          <w:tcPr>
            <w:tcW w:w="1862" w:type="dxa"/>
            <w:shd w:val="clear" w:color="auto" w:fill="D9D9D9" w:themeFill="background1" w:themeFillShade="D9"/>
            <w:vAlign w:val="center"/>
          </w:tcPr>
          <w:p w14:paraId="7F0B0250" w14:textId="77777777" w:rsidR="007C2C30" w:rsidRPr="00903982" w:rsidRDefault="007C2C30" w:rsidP="00192159">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Millones de US$</w:t>
            </w:r>
          </w:p>
        </w:tc>
      </w:tr>
      <w:tr w:rsidR="007C2C30" w:rsidRPr="00903982" w14:paraId="0EEDF07F" w14:textId="77777777" w:rsidTr="00192159">
        <w:trPr>
          <w:trHeight w:val="454"/>
          <w:jc w:val="center"/>
        </w:trPr>
        <w:tc>
          <w:tcPr>
            <w:tcW w:w="4166" w:type="dxa"/>
            <w:vAlign w:val="center"/>
          </w:tcPr>
          <w:p w14:paraId="06534367"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 menos costos</w:t>
            </w:r>
          </w:p>
        </w:tc>
        <w:tc>
          <w:tcPr>
            <w:tcW w:w="1862" w:type="dxa"/>
            <w:vAlign w:val="bottom"/>
          </w:tcPr>
          <w:p w14:paraId="434D7E2A" w14:textId="77777777" w:rsidR="007C2C30" w:rsidRPr="00903982" w:rsidRDefault="007C2C30" w:rsidP="00192159">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 xml:space="preserve">                                </w:t>
            </w:r>
            <w:r>
              <w:rPr>
                <w:rFonts w:ascii="Calibri" w:hAnsi="Calibri"/>
                <w:color w:val="000000"/>
                <w:sz w:val="22"/>
                <w:szCs w:val="22"/>
                <w:lang w:val="es-ES_tradnl"/>
              </w:rPr>
              <w:t>2,810</w:t>
            </w:r>
          </w:p>
        </w:tc>
      </w:tr>
      <w:tr w:rsidR="007C2C30" w:rsidRPr="00903982" w14:paraId="5F8FE9B0" w14:textId="77777777" w:rsidTr="00192159">
        <w:trPr>
          <w:trHeight w:val="454"/>
          <w:jc w:val="center"/>
        </w:trPr>
        <w:tc>
          <w:tcPr>
            <w:tcW w:w="4166" w:type="dxa"/>
            <w:shd w:val="clear" w:color="auto" w:fill="D9D9D9" w:themeFill="background1" w:themeFillShade="D9"/>
            <w:vAlign w:val="center"/>
          </w:tcPr>
          <w:p w14:paraId="592FE671" w14:textId="77777777" w:rsidR="007C2C30" w:rsidRPr="00903982" w:rsidRDefault="007C2C30" w:rsidP="00192159">
            <w:pPr>
              <w:rPr>
                <w:rFonts w:asciiTheme="minorHAnsi" w:eastAsia="Calibri" w:hAnsiTheme="minorHAnsi" w:cstheme="minorBidi"/>
                <w:sz w:val="22"/>
                <w:szCs w:val="22"/>
                <w:lang w:val="es-ES_tradnl" w:eastAsia="en-US"/>
              </w:rPr>
            </w:pPr>
            <w:r>
              <w:rPr>
                <w:rFonts w:asciiTheme="minorHAnsi" w:eastAsia="Calibri" w:hAnsiTheme="minorHAnsi" w:cstheme="minorBidi"/>
                <w:sz w:val="22"/>
                <w:szCs w:val="22"/>
                <w:lang w:val="es-ES_tradnl" w:eastAsia="en-US"/>
              </w:rPr>
              <w:t>Tasa Interna de Retorno</w:t>
            </w:r>
          </w:p>
        </w:tc>
        <w:tc>
          <w:tcPr>
            <w:tcW w:w="1862" w:type="dxa"/>
            <w:shd w:val="clear" w:color="auto" w:fill="D9D9D9" w:themeFill="background1" w:themeFillShade="D9"/>
            <w:vAlign w:val="center"/>
          </w:tcPr>
          <w:p w14:paraId="1DA860A2" w14:textId="77777777" w:rsidR="007C2C30" w:rsidRPr="00903982" w:rsidRDefault="007C2C30" w:rsidP="00192159">
            <w:pPr>
              <w:jc w:val="right"/>
              <w:rPr>
                <w:rFonts w:asciiTheme="minorHAnsi" w:eastAsia="Calibri" w:hAnsiTheme="minorHAnsi" w:cstheme="minorBidi"/>
                <w:sz w:val="22"/>
                <w:szCs w:val="22"/>
                <w:lang w:val="es-ES_tradnl" w:eastAsia="en-US"/>
              </w:rPr>
            </w:pPr>
            <w:r>
              <w:rPr>
                <w:rFonts w:ascii="Calibri" w:hAnsi="Calibri"/>
                <w:color w:val="000000"/>
                <w:sz w:val="22"/>
                <w:szCs w:val="22"/>
                <w:lang w:val="es-ES_tradnl"/>
              </w:rPr>
              <w:t>13%</w:t>
            </w:r>
          </w:p>
        </w:tc>
      </w:tr>
    </w:tbl>
    <w:p w14:paraId="17CD1E5F" w14:textId="77777777" w:rsidR="00767285" w:rsidRPr="00903982" w:rsidRDefault="00767285" w:rsidP="00767285">
      <w:pPr>
        <w:rPr>
          <w:lang w:val="es-ES_tradnl"/>
        </w:rPr>
      </w:pPr>
    </w:p>
    <w:p w14:paraId="48D103FF" w14:textId="4A2E3DC1" w:rsidR="00794F71" w:rsidRPr="00903982" w:rsidRDefault="00794F71" w:rsidP="00767285">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Fuente: Elaboración propia en base a resultados</w:t>
      </w:r>
    </w:p>
    <w:p w14:paraId="7C552F3C" w14:textId="77777777" w:rsidR="005B11D8" w:rsidRPr="00903982" w:rsidRDefault="005B11D8" w:rsidP="001C1F83">
      <w:pPr>
        <w:pStyle w:val="ListParagraph"/>
        <w:numPr>
          <w:ilvl w:val="0"/>
          <w:numId w:val="25"/>
        </w:numPr>
        <w:spacing w:after="100" w:afterAutospacing="1" w:line="240" w:lineRule="auto"/>
        <w:jc w:val="both"/>
        <w:rPr>
          <w:lang w:val="es-ES_tradnl"/>
        </w:rPr>
      </w:pPr>
      <w:r w:rsidRPr="00903982">
        <w:rPr>
          <w:lang w:val="es-ES_tradnl"/>
        </w:rPr>
        <w:t>Disminución de las pérdidas de distribución</w:t>
      </w:r>
    </w:p>
    <w:p w14:paraId="29B80848" w14:textId="477BDF2D" w:rsidR="005B11D8" w:rsidRPr="00903982" w:rsidRDefault="00416724" w:rsidP="00794F71">
      <w:pPr>
        <w:spacing w:after="100" w:afterAutospacing="1"/>
        <w:jc w:val="both"/>
        <w:rPr>
          <w:rFonts w:asciiTheme="minorHAnsi" w:hAnsiTheme="minorHAnsi" w:cs="Arial"/>
          <w:bCs/>
          <w:sz w:val="22"/>
          <w:szCs w:val="22"/>
          <w:lang w:val="es-ES_tradnl"/>
        </w:rPr>
      </w:pPr>
      <w:r w:rsidRPr="00903982">
        <w:rPr>
          <w:rFonts w:asciiTheme="minorHAnsi" w:hAnsiTheme="minorHAnsi" w:cs="Arial"/>
          <w:bCs/>
          <w:sz w:val="22"/>
          <w:szCs w:val="22"/>
          <w:lang w:val="es-ES_tradnl"/>
        </w:rPr>
        <w:t xml:space="preserve">La LTE busca disminuir las pérdidas </w:t>
      </w:r>
      <w:r w:rsidR="005B11D8" w:rsidRPr="00903982">
        <w:rPr>
          <w:rFonts w:asciiTheme="minorHAnsi" w:hAnsiTheme="minorHAnsi" w:cs="Arial"/>
          <w:bCs/>
          <w:sz w:val="22"/>
          <w:szCs w:val="22"/>
          <w:lang w:val="es-ES_tradnl"/>
        </w:rPr>
        <w:t>de energía eléctr</w:t>
      </w:r>
      <w:r w:rsidRPr="00903982">
        <w:rPr>
          <w:rFonts w:asciiTheme="minorHAnsi" w:hAnsiTheme="minorHAnsi" w:cs="Arial"/>
          <w:bCs/>
          <w:sz w:val="22"/>
          <w:szCs w:val="22"/>
          <w:lang w:val="es-ES_tradnl"/>
        </w:rPr>
        <w:t>ica en distribución</w:t>
      </w:r>
      <w:r w:rsidR="005B11D8" w:rsidRPr="00903982">
        <w:rPr>
          <w:rFonts w:asciiTheme="minorHAnsi" w:hAnsiTheme="minorHAnsi" w:cs="Arial"/>
          <w:bCs/>
          <w:sz w:val="22"/>
          <w:szCs w:val="22"/>
          <w:lang w:val="es-ES_tradnl"/>
        </w:rPr>
        <w:t xml:space="preserve"> de un 13.1%, r</w:t>
      </w:r>
      <w:r w:rsidR="00A86629" w:rsidRPr="00903982">
        <w:rPr>
          <w:rFonts w:asciiTheme="minorHAnsi" w:hAnsiTheme="minorHAnsi" w:cs="Arial"/>
          <w:bCs/>
          <w:sz w:val="22"/>
          <w:szCs w:val="22"/>
          <w:lang w:val="es-ES_tradnl"/>
        </w:rPr>
        <w:t>egistradas en 2015, a un 10.5%.</w:t>
      </w:r>
      <w:r w:rsidR="005B11D8" w:rsidRPr="00903982">
        <w:rPr>
          <w:rFonts w:asciiTheme="minorHAnsi" w:hAnsiTheme="minorHAnsi" w:cs="Arial"/>
          <w:bCs/>
          <w:sz w:val="22"/>
          <w:szCs w:val="22"/>
          <w:lang w:val="es-ES_tradnl"/>
        </w:rPr>
        <w:t xml:space="preserve"> Dado que la demanda del SEN el año 2015 correspondió a 288232 GWh, el reducir 2,6% corresponde a 7494 GWh anuales.  El Programa en este caso busca una disminución completa antes de llegar al 2020, donde el grueso de la disminución de central en las pérdidas no técnicas debido a que las técnicas se encuentran estabilizadas en su punto objetivo de 6% desde comienzos de la década.  De esta forma se busca disminuir las pérdidas no técnicas de 6% (2016) a 5% (2017) y 4% (2018). </w:t>
      </w:r>
    </w:p>
    <w:p w14:paraId="2138ABB6" w14:textId="201C3EF0" w:rsidR="00B442D8" w:rsidRPr="00903982" w:rsidRDefault="005B11D8" w:rsidP="00B442D8">
      <w:pPr>
        <w:spacing w:after="100" w:afterAutospacing="1"/>
        <w:jc w:val="both"/>
        <w:rPr>
          <w:rFonts w:asciiTheme="minorHAnsi" w:hAnsiTheme="minorHAnsi" w:cs="Arial"/>
          <w:bCs/>
          <w:sz w:val="22"/>
          <w:szCs w:val="22"/>
          <w:lang w:val="es-ES_tradnl"/>
        </w:rPr>
      </w:pPr>
      <w:r w:rsidRPr="00903982">
        <w:rPr>
          <w:rFonts w:asciiTheme="minorHAnsi" w:hAnsiTheme="minorHAnsi" w:cs="Arial"/>
          <w:bCs/>
          <w:sz w:val="22"/>
          <w:szCs w:val="22"/>
          <w:lang w:val="es-ES_tradnl"/>
        </w:rPr>
        <w:t>En este sentido el PRODESEN incluye diversos programas or</w:t>
      </w:r>
      <w:r w:rsidR="00B442D8" w:rsidRPr="00903982">
        <w:rPr>
          <w:rFonts w:asciiTheme="minorHAnsi" w:hAnsiTheme="minorHAnsi" w:cs="Arial"/>
          <w:bCs/>
          <w:sz w:val="22"/>
          <w:szCs w:val="22"/>
          <w:lang w:val="es-ES_tradnl"/>
        </w:rPr>
        <w:t xml:space="preserve">ientados a reducir las </w:t>
      </w:r>
      <w:r w:rsidRPr="00903982">
        <w:rPr>
          <w:rFonts w:asciiTheme="minorHAnsi" w:hAnsiTheme="minorHAnsi" w:cs="Arial"/>
          <w:bCs/>
          <w:sz w:val="22"/>
          <w:szCs w:val="22"/>
          <w:lang w:val="es-ES_tradnl"/>
        </w:rPr>
        <w:t>pérdidas no técnicas se incluye:</w:t>
      </w:r>
    </w:p>
    <w:p w14:paraId="63A94EE4" w14:textId="0BEAB829" w:rsidR="00B442D8" w:rsidRPr="00903982" w:rsidRDefault="00903982" w:rsidP="00B442D8">
      <w:pPr>
        <w:pStyle w:val="ListParagraph"/>
        <w:numPr>
          <w:ilvl w:val="0"/>
          <w:numId w:val="40"/>
        </w:numPr>
        <w:spacing w:after="100" w:afterAutospacing="1"/>
        <w:jc w:val="both"/>
        <w:rPr>
          <w:rFonts w:cs="Arial"/>
          <w:bCs/>
          <w:lang w:val="es-ES_tradnl"/>
        </w:rPr>
      </w:pPr>
      <w:r>
        <w:rPr>
          <w:rFonts w:cs="Arial"/>
          <w:bCs/>
          <w:lang w:val="es-ES_tradnl"/>
        </w:rPr>
        <w:t>Instalació</w:t>
      </w:r>
      <w:r w:rsidR="00B442D8" w:rsidRPr="00903982">
        <w:rPr>
          <w:rFonts w:cs="Arial"/>
          <w:bCs/>
          <w:lang w:val="es-ES_tradnl"/>
        </w:rPr>
        <w:t>n medidores AMI para reducción de pérdidas</w:t>
      </w:r>
    </w:p>
    <w:p w14:paraId="7144721E" w14:textId="77777777" w:rsidR="00B442D8" w:rsidRPr="00903982" w:rsidRDefault="00B442D8" w:rsidP="00B442D8">
      <w:pPr>
        <w:pStyle w:val="ListParagraph"/>
        <w:numPr>
          <w:ilvl w:val="0"/>
          <w:numId w:val="40"/>
        </w:numPr>
        <w:spacing w:after="100" w:afterAutospacing="1"/>
        <w:jc w:val="both"/>
        <w:rPr>
          <w:rFonts w:cs="Arial"/>
          <w:bCs/>
          <w:lang w:val="es-ES_tradnl"/>
        </w:rPr>
      </w:pPr>
      <w:r w:rsidRPr="00903982">
        <w:rPr>
          <w:rFonts w:cs="Arial"/>
          <w:bCs/>
          <w:lang w:val="es-ES_tradnl"/>
        </w:rPr>
        <w:t>Instalación de Equipo Automatizado (EPROSEC)</w:t>
      </w:r>
    </w:p>
    <w:p w14:paraId="69DADB50" w14:textId="77777777" w:rsidR="00B442D8" w:rsidRPr="00903982" w:rsidRDefault="00B442D8" w:rsidP="00B442D8">
      <w:pPr>
        <w:pStyle w:val="ListParagraph"/>
        <w:numPr>
          <w:ilvl w:val="0"/>
          <w:numId w:val="40"/>
        </w:numPr>
        <w:spacing w:after="100" w:afterAutospacing="1"/>
        <w:jc w:val="both"/>
        <w:rPr>
          <w:rFonts w:cs="Arial"/>
          <w:bCs/>
          <w:lang w:val="es-ES_tradnl"/>
        </w:rPr>
      </w:pPr>
      <w:r w:rsidRPr="00903982">
        <w:rPr>
          <w:rFonts w:cs="Arial"/>
          <w:bCs/>
          <w:lang w:val="es-ES_tradnl"/>
        </w:rPr>
        <w:t>Confiabilidad de redes generales de distribución</w:t>
      </w:r>
    </w:p>
    <w:p w14:paraId="0C1C73FE" w14:textId="77777777" w:rsidR="00B442D8" w:rsidRPr="00903982" w:rsidRDefault="00B442D8" w:rsidP="00B442D8">
      <w:pPr>
        <w:pStyle w:val="ListParagraph"/>
        <w:numPr>
          <w:ilvl w:val="0"/>
          <w:numId w:val="40"/>
        </w:numPr>
        <w:spacing w:after="100" w:afterAutospacing="1"/>
        <w:jc w:val="both"/>
        <w:rPr>
          <w:rFonts w:cs="Arial"/>
          <w:bCs/>
          <w:lang w:val="es-ES_tradnl"/>
        </w:rPr>
      </w:pPr>
      <w:r w:rsidRPr="00903982">
        <w:rPr>
          <w:rFonts w:cs="Arial"/>
          <w:bCs/>
          <w:lang w:val="es-ES_tradnl"/>
        </w:rPr>
        <w:t>Regularización de Colonias Populares</w:t>
      </w:r>
    </w:p>
    <w:p w14:paraId="3A9A8847" w14:textId="77777777" w:rsidR="00B442D8" w:rsidRPr="00903982" w:rsidRDefault="00B442D8" w:rsidP="00B442D8">
      <w:pPr>
        <w:pStyle w:val="ListParagraph"/>
        <w:numPr>
          <w:ilvl w:val="0"/>
          <w:numId w:val="40"/>
        </w:numPr>
        <w:spacing w:after="100" w:afterAutospacing="1"/>
        <w:jc w:val="both"/>
        <w:rPr>
          <w:rFonts w:cs="Arial"/>
          <w:bCs/>
          <w:lang w:val="es-ES_tradnl"/>
        </w:rPr>
      </w:pPr>
      <w:r w:rsidRPr="00903982">
        <w:rPr>
          <w:rFonts w:cs="Arial"/>
          <w:bCs/>
          <w:lang w:val="es-ES_tradnl"/>
        </w:rPr>
        <w:t>Instalación de Acometidas y medidores</w:t>
      </w:r>
    </w:p>
    <w:p w14:paraId="556ADDB0" w14:textId="77777777" w:rsidR="00B442D8" w:rsidRPr="00903982" w:rsidRDefault="00B442D8" w:rsidP="00B442D8">
      <w:pPr>
        <w:pStyle w:val="ListParagraph"/>
        <w:numPr>
          <w:ilvl w:val="0"/>
          <w:numId w:val="40"/>
        </w:numPr>
        <w:spacing w:after="100" w:afterAutospacing="1"/>
        <w:jc w:val="both"/>
        <w:rPr>
          <w:rFonts w:cs="Arial"/>
          <w:bCs/>
          <w:lang w:val="es-ES_tradnl"/>
        </w:rPr>
      </w:pPr>
      <w:r w:rsidRPr="00903982">
        <w:rPr>
          <w:rFonts w:cs="Arial"/>
          <w:bCs/>
          <w:lang w:val="es-ES_tradnl"/>
        </w:rPr>
        <w:t>Equipamiento Operativo para las Redes Generales de Distribución</w:t>
      </w:r>
    </w:p>
    <w:p w14:paraId="7FC7973A" w14:textId="77777777" w:rsidR="00B442D8" w:rsidRPr="00903982" w:rsidRDefault="00B442D8" w:rsidP="00B442D8">
      <w:pPr>
        <w:pStyle w:val="ListParagraph"/>
        <w:numPr>
          <w:ilvl w:val="0"/>
          <w:numId w:val="40"/>
        </w:numPr>
        <w:spacing w:after="100" w:afterAutospacing="1"/>
        <w:jc w:val="both"/>
        <w:rPr>
          <w:rFonts w:cs="Arial"/>
          <w:bCs/>
          <w:lang w:val="es-ES_tradnl"/>
        </w:rPr>
      </w:pPr>
      <w:r w:rsidRPr="00903982">
        <w:rPr>
          <w:rFonts w:cs="Arial"/>
          <w:bCs/>
          <w:lang w:val="es-ES_tradnl"/>
        </w:rPr>
        <w:t>Modernización (cambio de medidores electromecánicos por electrónicos)</w:t>
      </w:r>
    </w:p>
    <w:p w14:paraId="16201FF0" w14:textId="27019AA9" w:rsidR="00B442D8" w:rsidRPr="00903982" w:rsidRDefault="00B442D8" w:rsidP="00B442D8">
      <w:pPr>
        <w:pStyle w:val="ListParagraph"/>
        <w:numPr>
          <w:ilvl w:val="0"/>
          <w:numId w:val="40"/>
        </w:numPr>
        <w:spacing w:after="100" w:afterAutospacing="1"/>
        <w:jc w:val="both"/>
        <w:rPr>
          <w:rFonts w:cs="Arial"/>
          <w:bCs/>
          <w:lang w:val="es-ES_tradnl"/>
        </w:rPr>
      </w:pPr>
      <w:r w:rsidRPr="00903982">
        <w:rPr>
          <w:rFonts w:cs="Arial"/>
          <w:bCs/>
          <w:lang w:val="es-ES_tradnl"/>
        </w:rPr>
        <w:t>Reducción pérdidas (Inv. Financiada)</w:t>
      </w:r>
    </w:p>
    <w:p w14:paraId="76A74CFC" w14:textId="7681B802" w:rsidR="00B442D8" w:rsidRPr="00903982" w:rsidRDefault="00416724" w:rsidP="00416724">
      <w:pPr>
        <w:spacing w:after="100" w:afterAutospacing="1"/>
        <w:jc w:val="both"/>
        <w:rPr>
          <w:rFonts w:asciiTheme="minorHAnsi" w:hAnsiTheme="minorHAnsi" w:cs="Arial"/>
          <w:bCs/>
          <w:sz w:val="22"/>
          <w:szCs w:val="22"/>
          <w:lang w:val="es-ES_tradnl" w:eastAsia="en-US"/>
        </w:rPr>
      </w:pPr>
      <w:r w:rsidRPr="00903982">
        <w:rPr>
          <w:rFonts w:asciiTheme="minorHAnsi" w:hAnsiTheme="minorHAnsi" w:cs="Arial"/>
          <w:bCs/>
          <w:sz w:val="22"/>
          <w:szCs w:val="22"/>
          <w:lang w:val="es-ES_tradnl" w:eastAsia="en-US"/>
        </w:rPr>
        <w:lastRenderedPageBreak/>
        <w:t>El documento PRODESEN entrega un monto de inversión para la reducción de las pérdidas no técni</w:t>
      </w:r>
      <w:r w:rsidR="00E63C09" w:rsidRPr="00903982">
        <w:rPr>
          <w:rFonts w:asciiTheme="minorHAnsi" w:hAnsiTheme="minorHAnsi" w:cs="Arial"/>
          <w:bCs/>
          <w:sz w:val="22"/>
          <w:szCs w:val="22"/>
          <w:lang w:val="es-ES_tradnl" w:eastAsia="en-US"/>
        </w:rPr>
        <w:t>c</w:t>
      </w:r>
      <w:r w:rsidR="005A4DDF" w:rsidRPr="00903982">
        <w:rPr>
          <w:rFonts w:asciiTheme="minorHAnsi" w:hAnsiTheme="minorHAnsi" w:cs="Arial"/>
          <w:bCs/>
          <w:sz w:val="22"/>
          <w:szCs w:val="22"/>
          <w:lang w:val="es-ES_tradnl" w:eastAsia="en-US"/>
        </w:rPr>
        <w:t>as de 3</w:t>
      </w:r>
      <w:r w:rsidRPr="00903982">
        <w:rPr>
          <w:rFonts w:asciiTheme="minorHAnsi" w:hAnsiTheme="minorHAnsi" w:cs="Arial"/>
          <w:bCs/>
          <w:sz w:val="22"/>
          <w:szCs w:val="22"/>
          <w:lang w:val="es-ES_tradnl" w:eastAsia="en-US"/>
        </w:rPr>
        <w:t>,</w:t>
      </w:r>
      <w:r w:rsidR="005A4DDF" w:rsidRPr="00903982">
        <w:rPr>
          <w:rFonts w:asciiTheme="minorHAnsi" w:hAnsiTheme="minorHAnsi" w:cs="Arial"/>
          <w:bCs/>
          <w:sz w:val="22"/>
          <w:szCs w:val="22"/>
          <w:lang w:val="es-ES_tradnl" w:eastAsia="en-US"/>
        </w:rPr>
        <w:t>810</w:t>
      </w:r>
      <w:r w:rsidRPr="00903982">
        <w:rPr>
          <w:rFonts w:asciiTheme="minorHAnsi" w:hAnsiTheme="minorHAnsi" w:cs="Arial"/>
          <w:bCs/>
          <w:sz w:val="22"/>
          <w:szCs w:val="22"/>
          <w:lang w:val="es-ES_tradnl" w:eastAsia="en-US"/>
        </w:rPr>
        <w:t xml:space="preserve"> millones de dólares (con tasa de cambio de 0,053439 pesos mexicanos por dólar.  </w:t>
      </w:r>
    </w:p>
    <w:p w14:paraId="5A9A7D0B" w14:textId="4A1A73BE" w:rsidR="005A4DDF" w:rsidRPr="00903982" w:rsidRDefault="00416724" w:rsidP="005A4DDF">
      <w:pPr>
        <w:spacing w:after="100" w:afterAutospacing="1"/>
        <w:jc w:val="both"/>
        <w:rPr>
          <w:rFonts w:asciiTheme="minorHAnsi" w:hAnsiTheme="minorHAnsi" w:cs="Arial"/>
          <w:bCs/>
          <w:sz w:val="22"/>
          <w:szCs w:val="22"/>
          <w:lang w:val="es-ES_tradnl" w:eastAsia="en-US"/>
        </w:rPr>
      </w:pPr>
      <w:r w:rsidRPr="00903982">
        <w:rPr>
          <w:rFonts w:asciiTheme="minorHAnsi" w:hAnsiTheme="minorHAnsi" w:cs="Arial"/>
          <w:bCs/>
          <w:sz w:val="22"/>
          <w:szCs w:val="22"/>
          <w:lang w:val="es-ES_tradnl" w:eastAsia="en-US"/>
        </w:rPr>
        <w:t>Es de importancia señalar que la reducción de pérdidas no técnicas no trae consigo ahorros del costo social (empresa y consumidores) y que se traduce solamente a una transferencia desde los consumidor</w:t>
      </w:r>
      <w:r w:rsidR="005A4DDF" w:rsidRPr="00903982">
        <w:rPr>
          <w:rFonts w:asciiTheme="minorHAnsi" w:hAnsiTheme="minorHAnsi" w:cs="Arial"/>
          <w:bCs/>
          <w:sz w:val="22"/>
          <w:szCs w:val="22"/>
          <w:lang w:val="es-ES_tradnl" w:eastAsia="en-US"/>
        </w:rPr>
        <w:t>es a la empresa, por lo que no existe un</w:t>
      </w:r>
      <w:r w:rsidR="005A4DDF" w:rsidRPr="00903982">
        <w:rPr>
          <w:rFonts w:asciiTheme="minorHAnsi" w:hAnsiTheme="minorHAnsi"/>
          <w:sz w:val="22"/>
          <w:lang w:val="es-ES_tradnl"/>
        </w:rPr>
        <w:t xml:space="preserve"> beneficio social en la disminución de las pérdidas.</w:t>
      </w:r>
      <w:r w:rsidR="00A50222" w:rsidRPr="00903982">
        <w:rPr>
          <w:rFonts w:asciiTheme="minorHAnsi" w:hAnsiTheme="minorHAnsi"/>
          <w:sz w:val="22"/>
          <w:lang w:val="es-ES_tradnl"/>
        </w:rPr>
        <w:t xml:space="preserve">  </w:t>
      </w:r>
      <w:r w:rsidR="0026600C">
        <w:rPr>
          <w:rFonts w:asciiTheme="minorHAnsi" w:hAnsiTheme="minorHAnsi"/>
          <w:sz w:val="22"/>
          <w:lang w:val="es-ES_tradnl"/>
        </w:rPr>
        <w:t>Finamente, debido a que este flujo es negativo, y no tiene una contraparte positiva, no tiene sentido calcular una tasa interna de retorno debido a que ésta se indefiniría.</w:t>
      </w:r>
    </w:p>
    <w:p w14:paraId="73BC0694" w14:textId="77777777" w:rsidR="005A4DDF" w:rsidRPr="00903982" w:rsidRDefault="005A4DDF" w:rsidP="005A4DDF">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Pr="00903982">
        <w:rPr>
          <w:rFonts w:asciiTheme="minorHAnsi" w:hAnsiTheme="minorHAnsi"/>
          <w:b w:val="0"/>
          <w:noProof/>
          <w:sz w:val="22"/>
          <w:lang w:val="es-ES_tradnl"/>
        </w:rPr>
        <w:t>16</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Diferencia entre línea base y escenario con reducción de pérdidas no técnicas de distribución</w:t>
      </w:r>
    </w:p>
    <w:tbl>
      <w:tblPr>
        <w:tblStyle w:val="TableGrid"/>
        <w:tblW w:w="0" w:type="auto"/>
        <w:jc w:val="center"/>
        <w:tblLook w:val="04A0" w:firstRow="1" w:lastRow="0" w:firstColumn="1" w:lastColumn="0" w:noHBand="0" w:noVBand="1"/>
      </w:tblPr>
      <w:tblGrid>
        <w:gridCol w:w="4166"/>
        <w:gridCol w:w="1862"/>
      </w:tblGrid>
      <w:tr w:rsidR="005A4DDF" w:rsidRPr="00903982" w14:paraId="747D3825" w14:textId="77777777" w:rsidTr="005A4DDF">
        <w:trPr>
          <w:trHeight w:val="454"/>
          <w:jc w:val="center"/>
        </w:trPr>
        <w:tc>
          <w:tcPr>
            <w:tcW w:w="4166" w:type="dxa"/>
            <w:shd w:val="clear" w:color="auto" w:fill="D9D9D9" w:themeFill="background1" w:themeFillShade="D9"/>
            <w:vAlign w:val="center"/>
          </w:tcPr>
          <w:p w14:paraId="0F555813" w14:textId="77777777" w:rsidR="005A4DDF" w:rsidRPr="00903982" w:rsidRDefault="005A4DDF" w:rsidP="005A4DDF">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Costos</w:t>
            </w:r>
          </w:p>
        </w:tc>
        <w:tc>
          <w:tcPr>
            <w:tcW w:w="1862" w:type="dxa"/>
            <w:shd w:val="clear" w:color="auto" w:fill="D9D9D9" w:themeFill="background1" w:themeFillShade="D9"/>
            <w:vAlign w:val="center"/>
          </w:tcPr>
          <w:p w14:paraId="58209190" w14:textId="77777777" w:rsidR="005A4DDF" w:rsidRPr="00903982" w:rsidRDefault="005A4DDF" w:rsidP="005A4DDF">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5A4DDF" w:rsidRPr="00903982" w14:paraId="0B5A59B6" w14:textId="77777777" w:rsidTr="005A4DDF">
        <w:trPr>
          <w:trHeight w:val="454"/>
          <w:jc w:val="center"/>
        </w:trPr>
        <w:tc>
          <w:tcPr>
            <w:tcW w:w="4166" w:type="dxa"/>
            <w:vAlign w:val="center"/>
          </w:tcPr>
          <w:p w14:paraId="02DFE6CB" w14:textId="77777777" w:rsidR="005A4DDF" w:rsidRPr="00903982" w:rsidRDefault="005A4DDF" w:rsidP="005A4DDF">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Mayores costos de inversión</w:t>
            </w:r>
          </w:p>
        </w:tc>
        <w:tc>
          <w:tcPr>
            <w:tcW w:w="1862" w:type="dxa"/>
            <w:vAlign w:val="center"/>
          </w:tcPr>
          <w:p w14:paraId="62A5BD41" w14:textId="77777777" w:rsidR="005A4DDF" w:rsidRPr="00903982" w:rsidRDefault="005A4DDF" w:rsidP="005A4DDF">
            <w:pPr>
              <w:jc w:val="right"/>
              <w:rPr>
                <w:rFonts w:ascii="Calibri" w:hAnsi="Calibri"/>
                <w:color w:val="000000"/>
                <w:sz w:val="22"/>
                <w:szCs w:val="22"/>
                <w:lang w:val="es-ES_tradnl"/>
              </w:rPr>
            </w:pPr>
            <w:r w:rsidRPr="00903982">
              <w:rPr>
                <w:rFonts w:ascii="Calibri" w:hAnsi="Calibri"/>
                <w:color w:val="000000"/>
                <w:sz w:val="22"/>
                <w:szCs w:val="22"/>
                <w:lang w:val="es-ES_tradnl"/>
              </w:rPr>
              <w:t>3,810</w:t>
            </w:r>
          </w:p>
        </w:tc>
      </w:tr>
      <w:tr w:rsidR="005A4DDF" w:rsidRPr="00903982" w14:paraId="36CDAEA2" w14:textId="77777777" w:rsidTr="005A4DDF">
        <w:trPr>
          <w:trHeight w:val="454"/>
          <w:jc w:val="center"/>
        </w:trPr>
        <w:tc>
          <w:tcPr>
            <w:tcW w:w="4166" w:type="dxa"/>
            <w:shd w:val="clear" w:color="auto" w:fill="D9D9D9" w:themeFill="background1" w:themeFillShade="D9"/>
            <w:vAlign w:val="center"/>
          </w:tcPr>
          <w:p w14:paraId="24303F3C" w14:textId="77777777" w:rsidR="005A4DDF" w:rsidRPr="00903982" w:rsidRDefault="005A4DDF" w:rsidP="005A4DDF">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w:t>
            </w:r>
          </w:p>
        </w:tc>
        <w:tc>
          <w:tcPr>
            <w:tcW w:w="1862" w:type="dxa"/>
            <w:shd w:val="clear" w:color="auto" w:fill="D9D9D9" w:themeFill="background1" w:themeFillShade="D9"/>
            <w:vAlign w:val="center"/>
          </w:tcPr>
          <w:p w14:paraId="69F6A966" w14:textId="77777777" w:rsidR="005A4DDF" w:rsidRPr="00903982" w:rsidRDefault="005A4DDF" w:rsidP="005A4DDF">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5A4DDF" w:rsidRPr="00903982" w14:paraId="6138C3E7" w14:textId="77777777" w:rsidTr="005A4DDF">
        <w:trPr>
          <w:trHeight w:val="454"/>
          <w:jc w:val="center"/>
        </w:trPr>
        <w:tc>
          <w:tcPr>
            <w:tcW w:w="4166" w:type="dxa"/>
            <w:vAlign w:val="center"/>
          </w:tcPr>
          <w:p w14:paraId="0BB14B01" w14:textId="77777777" w:rsidR="005A4DDF" w:rsidRPr="00903982" w:rsidRDefault="005A4DDF" w:rsidP="005A4DDF">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 menos costos</w:t>
            </w:r>
          </w:p>
        </w:tc>
        <w:tc>
          <w:tcPr>
            <w:tcW w:w="1862" w:type="dxa"/>
            <w:vAlign w:val="center"/>
          </w:tcPr>
          <w:p w14:paraId="2B972A26" w14:textId="77777777" w:rsidR="005A4DDF" w:rsidRPr="00903982" w:rsidRDefault="005A4DDF" w:rsidP="005A4DDF">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-3,810</w:t>
            </w:r>
          </w:p>
        </w:tc>
      </w:tr>
    </w:tbl>
    <w:p w14:paraId="59C0556D" w14:textId="77777777" w:rsidR="005A4DDF" w:rsidRPr="00903982" w:rsidRDefault="005A4DDF" w:rsidP="005A4DDF">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 xml:space="preserve">Fuente: Elaboración propia en base a resultados </w:t>
      </w:r>
    </w:p>
    <w:p w14:paraId="3F4B4792" w14:textId="506F3B0B" w:rsidR="00946333" w:rsidRPr="00903982" w:rsidRDefault="00946333" w:rsidP="00946333">
      <w:pPr>
        <w:pStyle w:val="ListParagraph"/>
        <w:numPr>
          <w:ilvl w:val="0"/>
          <w:numId w:val="25"/>
        </w:numPr>
        <w:spacing w:after="100" w:afterAutospacing="1" w:line="240" w:lineRule="auto"/>
        <w:jc w:val="both"/>
        <w:rPr>
          <w:lang w:val="es-ES_tradnl"/>
        </w:rPr>
      </w:pPr>
      <w:r w:rsidRPr="00903982">
        <w:rPr>
          <w:lang w:val="es-ES_tradnl"/>
        </w:rPr>
        <w:t xml:space="preserve">Determinación impacto aumento de cobertura </w:t>
      </w:r>
    </w:p>
    <w:p w14:paraId="4605808F" w14:textId="2B67EFB3" w:rsidR="00946333" w:rsidRPr="00903982" w:rsidRDefault="00946333" w:rsidP="00946333">
      <w:pPr>
        <w:jc w:val="both"/>
        <w:rPr>
          <w:rFonts w:ascii="Calibri" w:eastAsia="Times New Roman" w:hAnsi="Calibri"/>
          <w:color w:val="000000"/>
          <w:sz w:val="22"/>
          <w:szCs w:val="22"/>
          <w:lang w:val="es-ES_tradnl"/>
        </w:rPr>
      </w:pPr>
      <w:r w:rsidRPr="00903982">
        <w:rPr>
          <w:rFonts w:asciiTheme="minorHAnsi" w:hAnsiTheme="minorHAnsi" w:cs="Arial"/>
          <w:bCs/>
          <w:sz w:val="22"/>
          <w:szCs w:val="22"/>
          <w:lang w:val="es-ES_tradnl"/>
        </w:rPr>
        <w:t xml:space="preserve">Uno de los puntos de menor relevancia a considerar es el impacto del aumento de cobertura, con la consiguiente expansión de matriz eléctrica, para incrementar la cobertura de 98,5% a 98,7% para el 2018, lo cual implica llevar energía </w:t>
      </w:r>
      <w:r w:rsidR="00C3059B" w:rsidRPr="00903982">
        <w:rPr>
          <w:rFonts w:asciiTheme="minorHAnsi" w:hAnsiTheme="minorHAnsi" w:cs="Arial"/>
          <w:bCs/>
          <w:sz w:val="22"/>
          <w:szCs w:val="22"/>
          <w:lang w:val="es-ES_tradnl"/>
        </w:rPr>
        <w:t xml:space="preserve">del sistema </w:t>
      </w:r>
      <w:r w:rsidRPr="00903982">
        <w:rPr>
          <w:rFonts w:asciiTheme="minorHAnsi" w:hAnsiTheme="minorHAnsi" w:cs="Arial"/>
          <w:bCs/>
          <w:sz w:val="22"/>
          <w:szCs w:val="22"/>
          <w:lang w:val="es-ES_tradnl"/>
        </w:rPr>
        <w:t xml:space="preserve">a 248,325 mexicanos adicionales. Según el </w:t>
      </w:r>
      <w:r w:rsidR="00C3059B" w:rsidRPr="00903982">
        <w:rPr>
          <w:rFonts w:asciiTheme="minorHAnsi" w:hAnsiTheme="minorHAnsi" w:cs="Arial"/>
          <w:bCs/>
          <w:sz w:val="22"/>
          <w:szCs w:val="22"/>
          <w:lang w:val="es-ES_tradnl"/>
        </w:rPr>
        <w:t>B</w:t>
      </w:r>
      <w:r w:rsidRPr="00903982">
        <w:rPr>
          <w:rFonts w:asciiTheme="minorHAnsi" w:hAnsiTheme="minorHAnsi" w:cs="Arial"/>
          <w:bCs/>
          <w:sz w:val="22"/>
          <w:szCs w:val="22"/>
          <w:lang w:val="es-ES_tradnl"/>
        </w:rPr>
        <w:t xml:space="preserve">anco </w:t>
      </w:r>
      <w:r w:rsidR="00C3059B" w:rsidRPr="00903982">
        <w:rPr>
          <w:rFonts w:asciiTheme="minorHAnsi" w:hAnsiTheme="minorHAnsi" w:cs="Arial"/>
          <w:bCs/>
          <w:sz w:val="22"/>
          <w:szCs w:val="22"/>
          <w:lang w:val="es-ES_tradnl"/>
        </w:rPr>
        <w:t>M</w:t>
      </w:r>
      <w:r w:rsidRPr="00903982">
        <w:rPr>
          <w:rFonts w:asciiTheme="minorHAnsi" w:hAnsiTheme="minorHAnsi" w:cs="Arial"/>
          <w:bCs/>
          <w:sz w:val="22"/>
          <w:szCs w:val="22"/>
          <w:lang w:val="es-ES_tradnl"/>
        </w:rPr>
        <w:t>undial, el consumo por persona de electricidad en México es de 2,057 kWh anuales de electricidad, lo que implicaría generar</w:t>
      </w:r>
      <w:r w:rsidRPr="00903982">
        <w:rPr>
          <w:rFonts w:ascii="Calibri" w:eastAsia="Times New Roman" w:hAnsi="Calibri"/>
          <w:color w:val="000000"/>
          <w:sz w:val="22"/>
          <w:szCs w:val="22"/>
          <w:lang w:val="es-ES_tradnl"/>
        </w:rPr>
        <w:t xml:space="preserve"> 511 GWh adicionales el 2018. Esto implica una inversión a valor presente de 27,180,400 de d</w:t>
      </w:r>
      <w:r w:rsidR="00903982">
        <w:rPr>
          <w:rFonts w:ascii="Calibri" w:eastAsia="Times New Roman" w:hAnsi="Calibri"/>
          <w:color w:val="000000"/>
          <w:sz w:val="22"/>
          <w:szCs w:val="22"/>
          <w:lang w:val="es-ES_tradnl"/>
        </w:rPr>
        <w:t>ó</w:t>
      </w:r>
      <w:r w:rsidRPr="00903982">
        <w:rPr>
          <w:rFonts w:ascii="Calibri" w:eastAsia="Times New Roman" w:hAnsi="Calibri"/>
          <w:color w:val="000000"/>
          <w:sz w:val="22"/>
          <w:szCs w:val="22"/>
          <w:lang w:val="es-ES_tradnl"/>
        </w:rPr>
        <w:t>lares, considerando la siguiente tabla</w:t>
      </w:r>
    </w:p>
    <w:p w14:paraId="5C21C397" w14:textId="77777777" w:rsidR="00946333" w:rsidRPr="00903982" w:rsidRDefault="00946333" w:rsidP="00946333">
      <w:pPr>
        <w:jc w:val="both"/>
        <w:rPr>
          <w:rFonts w:ascii="Calibri" w:eastAsia="Times New Roman" w:hAnsi="Calibri"/>
          <w:color w:val="000000"/>
          <w:sz w:val="22"/>
          <w:szCs w:val="22"/>
          <w:lang w:val="es-ES_tradnl"/>
        </w:rPr>
      </w:pPr>
    </w:p>
    <w:p w14:paraId="1659694D" w14:textId="3D79DAA0" w:rsidR="00946333" w:rsidRPr="00903982" w:rsidRDefault="00946333" w:rsidP="00946333">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15</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Inversiones para expansión de </w:t>
      </w:r>
      <w:r w:rsidR="00F444B2" w:rsidRPr="00903982">
        <w:rPr>
          <w:rFonts w:asciiTheme="minorHAnsi" w:hAnsiTheme="minorHAnsi"/>
          <w:b w:val="0"/>
          <w:sz w:val="22"/>
          <w:lang w:val="es-ES_tradnl"/>
        </w:rPr>
        <w:t>matriz</w:t>
      </w:r>
      <w:r w:rsidRPr="00903982">
        <w:rPr>
          <w:rFonts w:asciiTheme="minorHAnsi" w:hAnsiTheme="minorHAnsi"/>
          <w:b w:val="0"/>
          <w:sz w:val="22"/>
          <w:lang w:val="es-ES_tradnl"/>
        </w:rPr>
        <w:t xml:space="preserve"> energética</w:t>
      </w:r>
      <w:r w:rsidR="00087872" w:rsidRPr="00903982">
        <w:rPr>
          <w:rFonts w:asciiTheme="minorHAnsi" w:hAnsiTheme="minorHAnsi"/>
          <w:b w:val="0"/>
          <w:sz w:val="22"/>
          <w:lang w:val="es-ES_tradnl"/>
        </w:rPr>
        <w:t xml:space="preserve"> en millones de pesos mexicanos</w:t>
      </w:r>
    </w:p>
    <w:tbl>
      <w:tblPr>
        <w:tblStyle w:val="TableGrid"/>
        <w:tblW w:w="0" w:type="auto"/>
        <w:tblLook w:val="04A0" w:firstRow="1" w:lastRow="0" w:firstColumn="1" w:lastColumn="0" w:noHBand="0" w:noVBand="1"/>
      </w:tblPr>
      <w:tblGrid>
        <w:gridCol w:w="5372"/>
        <w:gridCol w:w="1042"/>
        <w:gridCol w:w="1372"/>
        <w:gridCol w:w="1042"/>
      </w:tblGrid>
      <w:tr w:rsidR="00946333" w:rsidRPr="00903982" w14:paraId="74DE8231" w14:textId="77777777" w:rsidTr="00946333">
        <w:trPr>
          <w:trHeight w:val="300"/>
        </w:trPr>
        <w:tc>
          <w:tcPr>
            <w:tcW w:w="5433" w:type="dxa"/>
            <w:noWrap/>
            <w:hideMark/>
          </w:tcPr>
          <w:p w14:paraId="7F296298" w14:textId="77777777" w:rsidR="00946333" w:rsidRPr="00903982" w:rsidRDefault="00946333" w:rsidP="00946333">
            <w:pPr>
              <w:jc w:val="both"/>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Inversiones por año (miles de dólares)</w:t>
            </w:r>
          </w:p>
        </w:tc>
        <w:tc>
          <w:tcPr>
            <w:tcW w:w="1052" w:type="dxa"/>
            <w:noWrap/>
            <w:hideMark/>
          </w:tcPr>
          <w:p w14:paraId="71B86730" w14:textId="77777777" w:rsidR="00946333" w:rsidRPr="00903982" w:rsidRDefault="00946333" w:rsidP="00946333">
            <w:pPr>
              <w:jc w:val="both"/>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2016</w:t>
            </w:r>
          </w:p>
        </w:tc>
        <w:tc>
          <w:tcPr>
            <w:tcW w:w="1386" w:type="dxa"/>
            <w:noWrap/>
            <w:hideMark/>
          </w:tcPr>
          <w:p w14:paraId="4A5B93F3" w14:textId="77777777" w:rsidR="00946333" w:rsidRPr="00903982" w:rsidRDefault="00946333" w:rsidP="00946333">
            <w:pPr>
              <w:jc w:val="both"/>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2017</w:t>
            </w:r>
          </w:p>
        </w:tc>
        <w:tc>
          <w:tcPr>
            <w:tcW w:w="1052" w:type="dxa"/>
            <w:noWrap/>
            <w:hideMark/>
          </w:tcPr>
          <w:p w14:paraId="3647A054" w14:textId="77777777" w:rsidR="00946333" w:rsidRPr="00903982" w:rsidRDefault="00946333" w:rsidP="00946333">
            <w:pPr>
              <w:jc w:val="both"/>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2018</w:t>
            </w:r>
          </w:p>
        </w:tc>
      </w:tr>
      <w:tr w:rsidR="0061719F" w:rsidRPr="00903982" w14:paraId="4A115823" w14:textId="77777777" w:rsidTr="0061719F">
        <w:trPr>
          <w:trHeight w:val="300"/>
        </w:trPr>
        <w:tc>
          <w:tcPr>
            <w:tcW w:w="5433" w:type="dxa"/>
            <w:noWrap/>
            <w:hideMark/>
          </w:tcPr>
          <w:p w14:paraId="17357D2D" w14:textId="77777777" w:rsidR="0061719F" w:rsidRPr="00903982" w:rsidRDefault="0061719F" w:rsidP="00946333">
            <w:pPr>
              <w:jc w:val="both"/>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Interconexión de Isla de Holbox</w:t>
            </w:r>
          </w:p>
        </w:tc>
        <w:tc>
          <w:tcPr>
            <w:tcW w:w="1052" w:type="dxa"/>
            <w:noWrap/>
            <w:vAlign w:val="bottom"/>
            <w:hideMark/>
          </w:tcPr>
          <w:p w14:paraId="7A0FE60F" w14:textId="34372ED2"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71 </w:t>
            </w:r>
          </w:p>
        </w:tc>
        <w:tc>
          <w:tcPr>
            <w:tcW w:w="1386" w:type="dxa"/>
            <w:noWrap/>
            <w:vAlign w:val="bottom"/>
            <w:hideMark/>
          </w:tcPr>
          <w:p w14:paraId="4EF9CEED" w14:textId="1B367BF5"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150 </w:t>
            </w:r>
          </w:p>
        </w:tc>
        <w:tc>
          <w:tcPr>
            <w:tcW w:w="1052" w:type="dxa"/>
            <w:noWrap/>
            <w:vAlign w:val="bottom"/>
            <w:hideMark/>
          </w:tcPr>
          <w:p w14:paraId="60842F24" w14:textId="143E2D90"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   </w:t>
            </w:r>
          </w:p>
        </w:tc>
      </w:tr>
      <w:tr w:rsidR="0061719F" w:rsidRPr="00903982" w14:paraId="796F10F2" w14:textId="77777777" w:rsidTr="0061719F">
        <w:trPr>
          <w:trHeight w:val="300"/>
        </w:trPr>
        <w:tc>
          <w:tcPr>
            <w:tcW w:w="5433" w:type="dxa"/>
            <w:noWrap/>
            <w:hideMark/>
          </w:tcPr>
          <w:p w14:paraId="166F0B50" w14:textId="77777777" w:rsidR="0061719F" w:rsidRPr="00903982" w:rsidRDefault="0061719F" w:rsidP="00946333">
            <w:pPr>
              <w:jc w:val="both"/>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Modernización del Cable Submarino de Isla Mujeres</w:t>
            </w:r>
          </w:p>
        </w:tc>
        <w:tc>
          <w:tcPr>
            <w:tcW w:w="1052" w:type="dxa"/>
            <w:noWrap/>
            <w:vAlign w:val="bottom"/>
            <w:hideMark/>
          </w:tcPr>
          <w:p w14:paraId="3D11B250" w14:textId="6EE23825"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65 </w:t>
            </w:r>
          </w:p>
        </w:tc>
        <w:tc>
          <w:tcPr>
            <w:tcW w:w="1386" w:type="dxa"/>
            <w:noWrap/>
            <w:vAlign w:val="bottom"/>
            <w:hideMark/>
          </w:tcPr>
          <w:p w14:paraId="6AF26E04" w14:textId="08891003"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99 </w:t>
            </w:r>
          </w:p>
        </w:tc>
        <w:tc>
          <w:tcPr>
            <w:tcW w:w="1052" w:type="dxa"/>
            <w:noWrap/>
            <w:vAlign w:val="bottom"/>
            <w:hideMark/>
          </w:tcPr>
          <w:p w14:paraId="7173902D" w14:textId="353A7E86"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   </w:t>
            </w:r>
          </w:p>
        </w:tc>
      </w:tr>
      <w:tr w:rsidR="0061719F" w:rsidRPr="00903982" w14:paraId="1F677E1F" w14:textId="77777777" w:rsidTr="0061719F">
        <w:trPr>
          <w:trHeight w:val="300"/>
        </w:trPr>
        <w:tc>
          <w:tcPr>
            <w:tcW w:w="5433" w:type="dxa"/>
            <w:noWrap/>
            <w:hideMark/>
          </w:tcPr>
          <w:p w14:paraId="34EA04D5" w14:textId="77777777" w:rsidR="0061719F" w:rsidRPr="00903982" w:rsidRDefault="0061719F" w:rsidP="00946333">
            <w:pPr>
              <w:jc w:val="both"/>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Conversión de la Red Eléctrica de Baja California SUR</w:t>
            </w:r>
          </w:p>
        </w:tc>
        <w:tc>
          <w:tcPr>
            <w:tcW w:w="1052" w:type="dxa"/>
            <w:noWrap/>
            <w:vAlign w:val="bottom"/>
            <w:hideMark/>
          </w:tcPr>
          <w:p w14:paraId="10C82F08" w14:textId="2014AAC8"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   </w:t>
            </w:r>
          </w:p>
        </w:tc>
        <w:tc>
          <w:tcPr>
            <w:tcW w:w="1386" w:type="dxa"/>
            <w:noWrap/>
            <w:vAlign w:val="bottom"/>
            <w:hideMark/>
          </w:tcPr>
          <w:p w14:paraId="6AC0FC9A" w14:textId="17D5B484"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1.618 </w:t>
            </w:r>
          </w:p>
        </w:tc>
        <w:tc>
          <w:tcPr>
            <w:tcW w:w="1052" w:type="dxa"/>
            <w:noWrap/>
            <w:vAlign w:val="bottom"/>
            <w:hideMark/>
          </w:tcPr>
          <w:p w14:paraId="08A790B7" w14:textId="134FD450"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1.618 </w:t>
            </w:r>
          </w:p>
        </w:tc>
      </w:tr>
      <w:tr w:rsidR="0061719F" w:rsidRPr="00903982" w14:paraId="275BEC24" w14:textId="77777777" w:rsidTr="0061719F">
        <w:trPr>
          <w:trHeight w:val="300"/>
        </w:trPr>
        <w:tc>
          <w:tcPr>
            <w:tcW w:w="5433" w:type="dxa"/>
            <w:noWrap/>
            <w:hideMark/>
          </w:tcPr>
          <w:p w14:paraId="605E233B" w14:textId="50EFBE95" w:rsidR="0061719F" w:rsidRPr="00903982" w:rsidRDefault="0061719F" w:rsidP="00946333">
            <w:pPr>
              <w:jc w:val="both"/>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C</w:t>
            </w:r>
            <w:r w:rsidR="00903982">
              <w:rPr>
                <w:rFonts w:ascii="Calibri" w:eastAsia="Times New Roman" w:hAnsi="Calibri"/>
                <w:color w:val="000000"/>
                <w:sz w:val="22"/>
                <w:szCs w:val="22"/>
                <w:lang w:val="es-ES_tradnl"/>
              </w:rPr>
              <w:t>ambio de cable de potencia en lí</w:t>
            </w:r>
            <w:r w:rsidRPr="00903982">
              <w:rPr>
                <w:rFonts w:ascii="Calibri" w:eastAsia="Times New Roman" w:hAnsi="Calibri"/>
                <w:color w:val="000000"/>
                <w:sz w:val="22"/>
                <w:szCs w:val="22"/>
                <w:lang w:val="es-ES_tradnl"/>
              </w:rPr>
              <w:t>neas de 115 kV</w:t>
            </w:r>
          </w:p>
        </w:tc>
        <w:tc>
          <w:tcPr>
            <w:tcW w:w="1052" w:type="dxa"/>
            <w:noWrap/>
            <w:vAlign w:val="bottom"/>
            <w:hideMark/>
          </w:tcPr>
          <w:p w14:paraId="167A8293" w14:textId="65170506"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50 </w:t>
            </w:r>
          </w:p>
        </w:tc>
        <w:tc>
          <w:tcPr>
            <w:tcW w:w="1386" w:type="dxa"/>
            <w:noWrap/>
            <w:vAlign w:val="bottom"/>
            <w:hideMark/>
          </w:tcPr>
          <w:p w14:paraId="74F009B5" w14:textId="3F28A134"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   </w:t>
            </w:r>
          </w:p>
        </w:tc>
        <w:tc>
          <w:tcPr>
            <w:tcW w:w="1052" w:type="dxa"/>
            <w:noWrap/>
            <w:vAlign w:val="bottom"/>
            <w:hideMark/>
          </w:tcPr>
          <w:p w14:paraId="37B14975" w14:textId="36E3732F" w:rsidR="0061719F" w:rsidRPr="00903982" w:rsidRDefault="0061719F"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 xml:space="preserve"> -   </w:t>
            </w:r>
          </w:p>
        </w:tc>
      </w:tr>
      <w:tr w:rsidR="00946333" w:rsidRPr="00903982" w14:paraId="7AB67B7B" w14:textId="77777777" w:rsidTr="00946333">
        <w:trPr>
          <w:trHeight w:val="300"/>
        </w:trPr>
        <w:tc>
          <w:tcPr>
            <w:tcW w:w="5433" w:type="dxa"/>
            <w:noWrap/>
            <w:hideMark/>
          </w:tcPr>
          <w:p w14:paraId="0C7EE45E" w14:textId="77777777" w:rsidR="00946333" w:rsidRPr="00903982" w:rsidRDefault="00946333" w:rsidP="00946333">
            <w:pPr>
              <w:jc w:val="both"/>
              <w:rPr>
                <w:rFonts w:ascii="Calibri" w:eastAsia="Times New Roman" w:hAnsi="Calibri"/>
                <w:color w:val="000000"/>
                <w:sz w:val="22"/>
                <w:szCs w:val="22"/>
                <w:lang w:val="es-ES_tradnl"/>
              </w:rPr>
            </w:pPr>
            <w:proofErr w:type="gramStart"/>
            <w:r w:rsidRPr="00903982">
              <w:rPr>
                <w:rFonts w:ascii="Calibri" w:eastAsia="Times New Roman" w:hAnsi="Calibri"/>
                <w:color w:val="000000"/>
                <w:sz w:val="22"/>
                <w:szCs w:val="22"/>
                <w:lang w:val="es-ES_tradnl"/>
              </w:rPr>
              <w:t>Total</w:t>
            </w:r>
            <w:proofErr w:type="gramEnd"/>
            <w:r w:rsidRPr="00903982">
              <w:rPr>
                <w:rFonts w:ascii="Calibri" w:eastAsia="Times New Roman" w:hAnsi="Calibri"/>
                <w:color w:val="000000"/>
                <w:sz w:val="22"/>
                <w:szCs w:val="22"/>
                <w:lang w:val="es-ES_tradnl"/>
              </w:rPr>
              <w:t xml:space="preserve"> inversiones</w:t>
            </w:r>
          </w:p>
        </w:tc>
        <w:tc>
          <w:tcPr>
            <w:tcW w:w="1052" w:type="dxa"/>
            <w:noWrap/>
            <w:hideMark/>
          </w:tcPr>
          <w:p w14:paraId="7B0BA1F7" w14:textId="487D346B" w:rsidR="00946333" w:rsidRPr="00903982" w:rsidRDefault="00087872"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186</w:t>
            </w:r>
            <w:r w:rsidR="00946333" w:rsidRPr="00903982">
              <w:rPr>
                <w:rFonts w:ascii="Calibri" w:eastAsia="Times New Roman" w:hAnsi="Calibri"/>
                <w:color w:val="000000"/>
                <w:sz w:val="22"/>
                <w:szCs w:val="22"/>
                <w:lang w:val="es-ES_tradnl"/>
              </w:rPr>
              <w:t xml:space="preserve"> </w:t>
            </w:r>
          </w:p>
        </w:tc>
        <w:tc>
          <w:tcPr>
            <w:tcW w:w="1386" w:type="dxa"/>
            <w:noWrap/>
            <w:hideMark/>
          </w:tcPr>
          <w:p w14:paraId="08518D4D" w14:textId="18E767F1" w:rsidR="00946333" w:rsidRPr="00903982" w:rsidRDefault="00087872"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1,867</w:t>
            </w:r>
            <w:r w:rsidR="00946333" w:rsidRPr="00903982">
              <w:rPr>
                <w:rFonts w:ascii="Calibri" w:eastAsia="Times New Roman" w:hAnsi="Calibri"/>
                <w:color w:val="000000"/>
                <w:sz w:val="22"/>
                <w:szCs w:val="22"/>
                <w:lang w:val="es-ES_tradnl"/>
              </w:rPr>
              <w:t xml:space="preserve"> </w:t>
            </w:r>
          </w:p>
        </w:tc>
        <w:tc>
          <w:tcPr>
            <w:tcW w:w="1052" w:type="dxa"/>
            <w:noWrap/>
            <w:hideMark/>
          </w:tcPr>
          <w:p w14:paraId="3BA66D28" w14:textId="7A0EB8C1" w:rsidR="00946333" w:rsidRPr="00903982" w:rsidRDefault="00087872" w:rsidP="00946333">
            <w:pPr>
              <w:jc w:val="right"/>
              <w:rPr>
                <w:rFonts w:ascii="Calibri" w:eastAsia="Times New Roman" w:hAnsi="Calibri"/>
                <w:color w:val="000000"/>
                <w:sz w:val="22"/>
                <w:szCs w:val="22"/>
                <w:lang w:val="es-ES_tradnl"/>
              </w:rPr>
            </w:pPr>
            <w:r w:rsidRPr="00903982">
              <w:rPr>
                <w:rFonts w:ascii="Calibri" w:eastAsia="Times New Roman" w:hAnsi="Calibri"/>
                <w:color w:val="000000"/>
                <w:sz w:val="22"/>
                <w:szCs w:val="22"/>
                <w:lang w:val="es-ES_tradnl"/>
              </w:rPr>
              <w:t>1,618</w:t>
            </w:r>
            <w:r w:rsidR="00946333" w:rsidRPr="00903982">
              <w:rPr>
                <w:rFonts w:ascii="Calibri" w:eastAsia="Times New Roman" w:hAnsi="Calibri"/>
                <w:color w:val="000000"/>
                <w:sz w:val="22"/>
                <w:szCs w:val="22"/>
                <w:lang w:val="es-ES_tradnl"/>
              </w:rPr>
              <w:t xml:space="preserve"> </w:t>
            </w:r>
          </w:p>
        </w:tc>
      </w:tr>
    </w:tbl>
    <w:p w14:paraId="4ACA277F" w14:textId="75DE6057" w:rsidR="00946333" w:rsidRPr="00903982" w:rsidRDefault="00946333" w:rsidP="00946333">
      <w:pPr>
        <w:spacing w:after="160" w:line="259" w:lineRule="auto"/>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w:t>
      </w:r>
      <w:r w:rsidR="00280D79" w:rsidRPr="00903982">
        <w:rPr>
          <w:rFonts w:asciiTheme="minorHAnsi" w:hAnsiTheme="minorHAnsi" w:cs="Arial"/>
          <w:bCs/>
          <w:sz w:val="22"/>
          <w:szCs w:val="22"/>
          <w:lang w:val="es-ES_tradnl"/>
        </w:rPr>
        <w:t>ación propia en base a PRODESEN</w:t>
      </w:r>
    </w:p>
    <w:p w14:paraId="51024206" w14:textId="6105DDA4" w:rsidR="00C3059B" w:rsidRPr="00903982" w:rsidRDefault="00A86629" w:rsidP="00C3059B">
      <w:pPr>
        <w:spacing w:after="160" w:line="259" w:lineRule="auto"/>
        <w:jc w:val="both"/>
        <w:rPr>
          <w:rFonts w:asciiTheme="minorHAnsi" w:hAnsiTheme="minorHAnsi"/>
          <w:sz w:val="22"/>
          <w:lang w:val="es-ES_tradnl"/>
        </w:rPr>
      </w:pPr>
      <w:r w:rsidRPr="00903982">
        <w:rPr>
          <w:rFonts w:asciiTheme="minorHAnsi" w:hAnsiTheme="minorHAnsi"/>
          <w:sz w:val="22"/>
          <w:lang w:val="es-ES_tradnl"/>
        </w:rPr>
        <w:t xml:space="preserve">Lo </w:t>
      </w:r>
      <w:r w:rsidR="00F444B2" w:rsidRPr="00903982">
        <w:rPr>
          <w:rFonts w:asciiTheme="minorHAnsi" w:hAnsiTheme="minorHAnsi"/>
          <w:sz w:val="22"/>
          <w:lang w:val="es-ES_tradnl"/>
        </w:rPr>
        <w:t>que,</w:t>
      </w:r>
      <w:r w:rsidRPr="00903982">
        <w:rPr>
          <w:rFonts w:asciiTheme="minorHAnsi" w:hAnsiTheme="minorHAnsi"/>
          <w:sz w:val="22"/>
          <w:lang w:val="es-ES_tradnl"/>
        </w:rPr>
        <w:t xml:space="preserve"> </w:t>
      </w:r>
      <w:r w:rsidR="00087872" w:rsidRPr="00903982">
        <w:rPr>
          <w:rFonts w:asciiTheme="minorHAnsi" w:hAnsiTheme="minorHAnsi"/>
          <w:sz w:val="22"/>
          <w:lang w:val="es-ES_tradnl"/>
        </w:rPr>
        <w:t xml:space="preserve">llevado a anualidades, convertido a dólares </w:t>
      </w:r>
      <w:r w:rsidR="00AF3BD5" w:rsidRPr="00903982">
        <w:rPr>
          <w:rFonts w:asciiTheme="minorHAnsi" w:hAnsiTheme="minorHAnsi"/>
          <w:sz w:val="22"/>
          <w:lang w:val="es-ES_tradnl"/>
        </w:rPr>
        <w:t xml:space="preserve">(con una tasa de cambio de 0,053439 dólares por peso mexicano) </w:t>
      </w:r>
      <w:r w:rsidR="00087872" w:rsidRPr="00903982">
        <w:rPr>
          <w:rFonts w:asciiTheme="minorHAnsi" w:hAnsiTheme="minorHAnsi"/>
          <w:sz w:val="22"/>
          <w:lang w:val="es-ES_tradnl"/>
        </w:rPr>
        <w:t xml:space="preserve">y </w:t>
      </w:r>
      <w:r w:rsidRPr="00903982">
        <w:rPr>
          <w:rFonts w:asciiTheme="minorHAnsi" w:hAnsiTheme="minorHAnsi"/>
          <w:sz w:val="22"/>
          <w:lang w:val="es-ES_tradnl"/>
        </w:rPr>
        <w:t>traído a presente da 1</w:t>
      </w:r>
      <w:r w:rsidR="00087872" w:rsidRPr="00903982">
        <w:rPr>
          <w:rFonts w:asciiTheme="minorHAnsi" w:hAnsiTheme="minorHAnsi"/>
          <w:sz w:val="22"/>
          <w:lang w:val="es-ES_tradnl"/>
        </w:rPr>
        <w:t>38</w:t>
      </w:r>
      <w:r w:rsidRPr="00903982">
        <w:rPr>
          <w:rFonts w:asciiTheme="minorHAnsi" w:hAnsiTheme="minorHAnsi"/>
          <w:sz w:val="22"/>
          <w:lang w:val="es-ES_tradnl"/>
        </w:rPr>
        <w:t xml:space="preserve"> millones de dólares. </w:t>
      </w:r>
      <w:r w:rsidR="00C3059B" w:rsidRPr="00903982">
        <w:rPr>
          <w:rFonts w:asciiTheme="minorHAnsi" w:hAnsiTheme="minorHAnsi"/>
          <w:sz w:val="22"/>
          <w:lang w:val="es-ES_tradnl"/>
        </w:rPr>
        <w:t>Adicionalmente es de importancia comparar los ingresos y costos producto de la amp</w:t>
      </w:r>
      <w:r w:rsidR="00903982">
        <w:rPr>
          <w:rFonts w:asciiTheme="minorHAnsi" w:hAnsiTheme="minorHAnsi"/>
          <w:sz w:val="22"/>
          <w:lang w:val="es-ES_tradnl"/>
        </w:rPr>
        <w:t>l</w:t>
      </w:r>
      <w:r w:rsidR="00C3059B" w:rsidRPr="00903982">
        <w:rPr>
          <w:rFonts w:asciiTheme="minorHAnsi" w:hAnsiTheme="minorHAnsi"/>
          <w:sz w:val="22"/>
          <w:lang w:val="es-ES_tradnl"/>
        </w:rPr>
        <w:t xml:space="preserve">iación de la cobertura de servicio eléctrico.  </w:t>
      </w:r>
      <w:r w:rsidR="00AF3BD5" w:rsidRPr="00903982">
        <w:rPr>
          <w:rFonts w:asciiTheme="minorHAnsi" w:hAnsiTheme="minorHAnsi"/>
          <w:sz w:val="22"/>
          <w:lang w:val="es-ES_tradnl"/>
        </w:rPr>
        <w:t>En e</w:t>
      </w:r>
      <w:r w:rsidR="00C3059B" w:rsidRPr="00903982">
        <w:rPr>
          <w:rFonts w:asciiTheme="minorHAnsi" w:hAnsiTheme="minorHAnsi"/>
          <w:sz w:val="22"/>
          <w:lang w:val="es-ES_tradnl"/>
        </w:rPr>
        <w:t xml:space="preserve">ste caso </w:t>
      </w:r>
      <w:r w:rsidR="00AF3BD5" w:rsidRPr="00903982">
        <w:rPr>
          <w:rFonts w:asciiTheme="minorHAnsi" w:hAnsiTheme="minorHAnsi"/>
          <w:sz w:val="22"/>
          <w:lang w:val="es-ES_tradnl"/>
        </w:rPr>
        <w:t>los</w:t>
      </w:r>
      <w:r w:rsidR="00C3059B" w:rsidRPr="00903982">
        <w:rPr>
          <w:rFonts w:asciiTheme="minorHAnsi" w:hAnsiTheme="minorHAnsi"/>
          <w:sz w:val="22"/>
          <w:lang w:val="es-ES_tradnl"/>
        </w:rPr>
        <w:t xml:space="preserve"> costos fueron considerados como la inversión incremental de ampliar la cobertura en base a la mezcla de generación </w:t>
      </w:r>
      <w:r w:rsidR="00AF3BD5" w:rsidRPr="00903982">
        <w:rPr>
          <w:rFonts w:asciiTheme="minorHAnsi" w:hAnsiTheme="minorHAnsi"/>
          <w:sz w:val="22"/>
          <w:lang w:val="es-ES_tradnl"/>
        </w:rPr>
        <w:t xml:space="preserve">equivalente a la matriz del SIN y la transmisión para ampliar la cobertura, </w:t>
      </w:r>
      <w:r w:rsidR="00C3059B" w:rsidRPr="00903982">
        <w:rPr>
          <w:rFonts w:asciiTheme="minorHAnsi" w:hAnsiTheme="minorHAnsi"/>
          <w:sz w:val="22"/>
          <w:lang w:val="es-ES_tradnl"/>
        </w:rPr>
        <w:t>en lugar de una expansión en base a generación de turbina a gas</w:t>
      </w:r>
      <w:r w:rsidR="00AF3BD5" w:rsidRPr="00903982">
        <w:rPr>
          <w:rFonts w:asciiTheme="minorHAnsi" w:hAnsiTheme="minorHAnsi"/>
          <w:sz w:val="22"/>
          <w:lang w:val="es-ES_tradnl"/>
        </w:rPr>
        <w:t xml:space="preserve"> de manera local</w:t>
      </w:r>
      <w:r w:rsidR="00C3059B" w:rsidRPr="00903982">
        <w:rPr>
          <w:rFonts w:asciiTheme="minorHAnsi" w:hAnsiTheme="minorHAnsi"/>
          <w:sz w:val="22"/>
          <w:lang w:val="es-ES_tradnl"/>
        </w:rPr>
        <w:t xml:space="preserve">.  En el caso los ingresos o ahorros estos provienen de los menores costos de operación de la </w:t>
      </w:r>
      <w:r w:rsidR="00C3059B" w:rsidRPr="00903982">
        <w:rPr>
          <w:rFonts w:asciiTheme="minorHAnsi" w:hAnsiTheme="minorHAnsi"/>
          <w:sz w:val="22"/>
          <w:lang w:val="es-ES_tradnl"/>
        </w:rPr>
        <w:lastRenderedPageBreak/>
        <w:t>matriz (en comparación al gas) y las menores emisiones.</w:t>
      </w:r>
      <w:r w:rsidR="0026600C">
        <w:rPr>
          <w:rFonts w:asciiTheme="minorHAnsi" w:hAnsiTheme="minorHAnsi"/>
          <w:sz w:val="22"/>
          <w:lang w:val="es-ES_tradnl"/>
        </w:rPr>
        <w:t xml:space="preserve">  El resultado de sumar los ingresos y restarle los costos da una utilidad negativa de 195 millones de dólares, lo que equivale a una tasa interna de retorno de 4%.</w:t>
      </w:r>
    </w:p>
    <w:p w14:paraId="5EABBAEB" w14:textId="6CBA8B32" w:rsidR="00C3059B" w:rsidRPr="00903982" w:rsidRDefault="00C3059B" w:rsidP="00C3059B">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00C501C0" w:rsidRPr="00903982">
        <w:rPr>
          <w:rFonts w:asciiTheme="minorHAnsi" w:hAnsiTheme="minorHAnsi"/>
          <w:b w:val="0"/>
          <w:noProof/>
          <w:sz w:val="22"/>
          <w:lang w:val="es-ES_tradnl"/>
        </w:rPr>
        <w:t>16</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Resumen de </w:t>
      </w:r>
      <w:r w:rsidR="00AF3BD5" w:rsidRPr="00903982">
        <w:rPr>
          <w:rFonts w:asciiTheme="minorHAnsi" w:hAnsiTheme="minorHAnsi"/>
          <w:b w:val="0"/>
          <w:sz w:val="22"/>
          <w:lang w:val="es-ES_tradnl"/>
        </w:rPr>
        <w:t>ingresos y costo</w:t>
      </w:r>
      <w:r w:rsidRPr="00903982">
        <w:rPr>
          <w:rFonts w:asciiTheme="minorHAnsi" w:hAnsiTheme="minorHAnsi"/>
          <w:b w:val="0"/>
          <w:sz w:val="22"/>
          <w:lang w:val="es-ES_tradnl"/>
        </w:rPr>
        <w:t xml:space="preserve"> de incremento de los niveles de cobertura</w:t>
      </w:r>
    </w:p>
    <w:tbl>
      <w:tblPr>
        <w:tblStyle w:val="TableGrid"/>
        <w:tblW w:w="0" w:type="auto"/>
        <w:jc w:val="center"/>
        <w:tblLook w:val="04A0" w:firstRow="1" w:lastRow="0" w:firstColumn="1" w:lastColumn="0" w:noHBand="0" w:noVBand="1"/>
      </w:tblPr>
      <w:tblGrid>
        <w:gridCol w:w="4166"/>
        <w:gridCol w:w="1862"/>
      </w:tblGrid>
      <w:tr w:rsidR="007C2C30" w:rsidRPr="00903982" w14:paraId="08412A90" w14:textId="77777777" w:rsidTr="00192159">
        <w:trPr>
          <w:trHeight w:val="327"/>
          <w:jc w:val="center"/>
        </w:trPr>
        <w:tc>
          <w:tcPr>
            <w:tcW w:w="4166" w:type="dxa"/>
            <w:shd w:val="clear" w:color="auto" w:fill="D9D9D9" w:themeFill="background1" w:themeFillShade="D9"/>
            <w:vAlign w:val="center"/>
          </w:tcPr>
          <w:p w14:paraId="545CCBC8"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Ingresos </w:t>
            </w:r>
          </w:p>
        </w:tc>
        <w:tc>
          <w:tcPr>
            <w:tcW w:w="1862" w:type="dxa"/>
            <w:shd w:val="clear" w:color="auto" w:fill="D9D9D9" w:themeFill="background1" w:themeFillShade="D9"/>
            <w:vAlign w:val="center"/>
          </w:tcPr>
          <w:p w14:paraId="07028F53" w14:textId="77777777" w:rsidR="007C2C30" w:rsidRPr="00903982" w:rsidRDefault="007C2C30" w:rsidP="00192159">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 Millones de US$ </w:t>
            </w:r>
          </w:p>
        </w:tc>
      </w:tr>
      <w:tr w:rsidR="007C2C30" w:rsidRPr="00903982" w14:paraId="791ECAAD" w14:textId="77777777" w:rsidTr="00192159">
        <w:trPr>
          <w:trHeight w:val="561"/>
          <w:jc w:val="center"/>
        </w:trPr>
        <w:tc>
          <w:tcPr>
            <w:tcW w:w="4166" w:type="dxa"/>
            <w:vAlign w:val="center"/>
          </w:tcPr>
          <w:p w14:paraId="470A8DC2"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Valoración de menores emisiones de CO2</w:t>
            </w:r>
          </w:p>
        </w:tc>
        <w:tc>
          <w:tcPr>
            <w:tcW w:w="1862" w:type="dxa"/>
            <w:vAlign w:val="center"/>
          </w:tcPr>
          <w:p w14:paraId="7AED3532" w14:textId="77777777" w:rsidR="007C2C30" w:rsidRPr="00903982" w:rsidRDefault="007C2C30" w:rsidP="00192159">
            <w:pPr>
              <w:jc w:val="right"/>
              <w:rPr>
                <w:rFonts w:ascii="Calibri" w:hAnsi="Calibri"/>
                <w:color w:val="000000"/>
                <w:sz w:val="22"/>
                <w:szCs w:val="22"/>
                <w:lang w:val="es-ES_tradnl"/>
              </w:rPr>
            </w:pPr>
            <w:r w:rsidRPr="00903982">
              <w:rPr>
                <w:rFonts w:ascii="Calibri" w:hAnsi="Calibri"/>
                <w:color w:val="000000"/>
                <w:sz w:val="22"/>
                <w:szCs w:val="22"/>
                <w:lang w:val="es-ES_tradnl"/>
              </w:rPr>
              <w:t>10</w:t>
            </w:r>
          </w:p>
        </w:tc>
      </w:tr>
      <w:tr w:rsidR="007C2C30" w:rsidRPr="00903982" w14:paraId="4DC896ED" w14:textId="77777777" w:rsidTr="00192159">
        <w:trPr>
          <w:trHeight w:val="561"/>
          <w:jc w:val="center"/>
        </w:trPr>
        <w:tc>
          <w:tcPr>
            <w:tcW w:w="4166" w:type="dxa"/>
            <w:vAlign w:val="center"/>
          </w:tcPr>
          <w:p w14:paraId="2D52574B"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Menores costos de operación</w:t>
            </w:r>
          </w:p>
        </w:tc>
        <w:tc>
          <w:tcPr>
            <w:tcW w:w="1862" w:type="dxa"/>
            <w:vAlign w:val="center"/>
          </w:tcPr>
          <w:p w14:paraId="4AEBA93E" w14:textId="77777777" w:rsidR="007C2C30" w:rsidRPr="00903982" w:rsidRDefault="007C2C30" w:rsidP="00192159">
            <w:pPr>
              <w:jc w:val="right"/>
              <w:rPr>
                <w:rFonts w:ascii="Calibri" w:hAnsi="Calibri"/>
                <w:color w:val="000000"/>
                <w:sz w:val="22"/>
                <w:szCs w:val="22"/>
                <w:lang w:val="es-ES_tradnl"/>
              </w:rPr>
            </w:pPr>
            <w:r w:rsidRPr="00903982">
              <w:rPr>
                <w:rFonts w:ascii="Calibri" w:hAnsi="Calibri"/>
                <w:color w:val="000000"/>
                <w:sz w:val="22"/>
                <w:szCs w:val="22"/>
                <w:lang w:val="es-ES_tradnl"/>
              </w:rPr>
              <w:t>24</w:t>
            </w:r>
          </w:p>
        </w:tc>
      </w:tr>
      <w:tr w:rsidR="007C2C30" w:rsidRPr="00903982" w14:paraId="6F04471D" w14:textId="77777777" w:rsidTr="00192159">
        <w:trPr>
          <w:trHeight w:val="454"/>
          <w:jc w:val="center"/>
        </w:trPr>
        <w:tc>
          <w:tcPr>
            <w:tcW w:w="4166" w:type="dxa"/>
            <w:shd w:val="clear" w:color="auto" w:fill="D9D9D9" w:themeFill="background1" w:themeFillShade="D9"/>
            <w:vAlign w:val="center"/>
          </w:tcPr>
          <w:p w14:paraId="2352CF0D"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Costos</w:t>
            </w:r>
          </w:p>
        </w:tc>
        <w:tc>
          <w:tcPr>
            <w:tcW w:w="1862" w:type="dxa"/>
            <w:shd w:val="clear" w:color="auto" w:fill="D9D9D9" w:themeFill="background1" w:themeFillShade="D9"/>
            <w:vAlign w:val="center"/>
          </w:tcPr>
          <w:p w14:paraId="3ADDEE1B" w14:textId="77777777" w:rsidR="007C2C30" w:rsidRPr="00903982" w:rsidRDefault="007C2C30" w:rsidP="00192159">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7C2C30" w:rsidRPr="00903982" w14:paraId="3300DE49" w14:textId="77777777" w:rsidTr="00192159">
        <w:trPr>
          <w:trHeight w:val="454"/>
          <w:jc w:val="center"/>
        </w:trPr>
        <w:tc>
          <w:tcPr>
            <w:tcW w:w="4166" w:type="dxa"/>
            <w:vAlign w:val="center"/>
          </w:tcPr>
          <w:p w14:paraId="1229246A"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Costo de inversión en la red</w:t>
            </w:r>
          </w:p>
        </w:tc>
        <w:tc>
          <w:tcPr>
            <w:tcW w:w="1862" w:type="dxa"/>
            <w:vAlign w:val="center"/>
          </w:tcPr>
          <w:p w14:paraId="4F66BA2B" w14:textId="77777777" w:rsidR="007C2C30" w:rsidRPr="00903982" w:rsidRDefault="007C2C30" w:rsidP="00192159">
            <w:pPr>
              <w:jc w:val="right"/>
              <w:rPr>
                <w:rFonts w:ascii="Calibri" w:hAnsi="Calibri"/>
                <w:color w:val="000000"/>
                <w:sz w:val="22"/>
                <w:szCs w:val="22"/>
                <w:highlight w:val="yellow"/>
                <w:lang w:val="es-ES_tradnl"/>
              </w:rPr>
            </w:pPr>
            <w:r w:rsidRPr="00903982">
              <w:rPr>
                <w:rFonts w:ascii="Calibri" w:hAnsi="Calibri"/>
                <w:color w:val="000000"/>
                <w:sz w:val="22"/>
                <w:szCs w:val="22"/>
                <w:lang w:val="es-ES_tradnl"/>
              </w:rPr>
              <w:t>138</w:t>
            </w:r>
          </w:p>
        </w:tc>
      </w:tr>
      <w:tr w:rsidR="007C2C30" w:rsidRPr="00903982" w14:paraId="36BF3123" w14:textId="77777777" w:rsidTr="00192159">
        <w:trPr>
          <w:trHeight w:val="454"/>
          <w:jc w:val="center"/>
        </w:trPr>
        <w:tc>
          <w:tcPr>
            <w:tcW w:w="4166" w:type="dxa"/>
            <w:vAlign w:val="center"/>
          </w:tcPr>
          <w:p w14:paraId="435C681E"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Mayores costos de inversión en generación</w:t>
            </w:r>
          </w:p>
        </w:tc>
        <w:tc>
          <w:tcPr>
            <w:tcW w:w="1862" w:type="dxa"/>
            <w:vAlign w:val="center"/>
          </w:tcPr>
          <w:p w14:paraId="4B131952" w14:textId="77777777" w:rsidR="007C2C30" w:rsidRPr="00903982" w:rsidRDefault="007C2C30" w:rsidP="00192159">
            <w:pPr>
              <w:jc w:val="right"/>
              <w:rPr>
                <w:rFonts w:ascii="Calibri" w:hAnsi="Calibri"/>
                <w:color w:val="000000"/>
                <w:sz w:val="22"/>
                <w:szCs w:val="22"/>
                <w:highlight w:val="yellow"/>
                <w:lang w:val="es-ES_tradnl"/>
              </w:rPr>
            </w:pPr>
            <w:r>
              <w:rPr>
                <w:rFonts w:ascii="Calibri" w:hAnsi="Calibri"/>
                <w:color w:val="000000"/>
                <w:sz w:val="22"/>
                <w:szCs w:val="22"/>
                <w:lang w:val="es-ES_tradnl"/>
              </w:rPr>
              <w:t>92</w:t>
            </w:r>
          </w:p>
        </w:tc>
      </w:tr>
      <w:tr w:rsidR="007C2C30" w:rsidRPr="00903982" w14:paraId="3B0ACA78" w14:textId="77777777" w:rsidTr="00192159">
        <w:trPr>
          <w:trHeight w:val="454"/>
          <w:jc w:val="center"/>
        </w:trPr>
        <w:tc>
          <w:tcPr>
            <w:tcW w:w="4166" w:type="dxa"/>
            <w:shd w:val="clear" w:color="auto" w:fill="D9D9D9" w:themeFill="background1" w:themeFillShade="D9"/>
            <w:vAlign w:val="center"/>
          </w:tcPr>
          <w:p w14:paraId="5FCCD717"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w:t>
            </w:r>
          </w:p>
        </w:tc>
        <w:tc>
          <w:tcPr>
            <w:tcW w:w="1862" w:type="dxa"/>
            <w:shd w:val="clear" w:color="auto" w:fill="D9D9D9" w:themeFill="background1" w:themeFillShade="D9"/>
            <w:vAlign w:val="center"/>
          </w:tcPr>
          <w:p w14:paraId="50648338" w14:textId="77777777" w:rsidR="007C2C30" w:rsidRPr="00903982" w:rsidRDefault="007C2C30" w:rsidP="00192159">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Millones de US$</w:t>
            </w:r>
          </w:p>
        </w:tc>
      </w:tr>
      <w:tr w:rsidR="007C2C30" w:rsidRPr="00903982" w14:paraId="060C5087" w14:textId="77777777" w:rsidTr="00192159">
        <w:trPr>
          <w:trHeight w:val="454"/>
          <w:jc w:val="center"/>
        </w:trPr>
        <w:tc>
          <w:tcPr>
            <w:tcW w:w="4166" w:type="dxa"/>
            <w:vAlign w:val="center"/>
          </w:tcPr>
          <w:p w14:paraId="2806303E" w14:textId="77777777" w:rsidR="007C2C30" w:rsidRPr="00903982" w:rsidRDefault="007C2C30"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Ingresos menos costos</w:t>
            </w:r>
          </w:p>
        </w:tc>
        <w:tc>
          <w:tcPr>
            <w:tcW w:w="1862" w:type="dxa"/>
            <w:vAlign w:val="center"/>
          </w:tcPr>
          <w:p w14:paraId="10757B6A" w14:textId="77777777" w:rsidR="007C2C30" w:rsidRPr="00903982" w:rsidRDefault="007C2C30" w:rsidP="00192159">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-1</w:t>
            </w:r>
            <w:r>
              <w:rPr>
                <w:rFonts w:asciiTheme="minorHAnsi" w:eastAsia="Calibri" w:hAnsiTheme="minorHAnsi" w:cstheme="minorBidi"/>
                <w:sz w:val="22"/>
                <w:szCs w:val="22"/>
                <w:lang w:val="es-ES_tradnl" w:eastAsia="en-US"/>
              </w:rPr>
              <w:t>95</w:t>
            </w:r>
          </w:p>
        </w:tc>
      </w:tr>
      <w:tr w:rsidR="007C2C30" w:rsidRPr="00903982" w14:paraId="31EBB3C0" w14:textId="77777777" w:rsidTr="00192159">
        <w:trPr>
          <w:trHeight w:val="454"/>
          <w:jc w:val="center"/>
        </w:trPr>
        <w:tc>
          <w:tcPr>
            <w:tcW w:w="4166" w:type="dxa"/>
            <w:shd w:val="clear" w:color="auto" w:fill="D9D9D9" w:themeFill="background1" w:themeFillShade="D9"/>
            <w:vAlign w:val="center"/>
          </w:tcPr>
          <w:p w14:paraId="2179F54E" w14:textId="77777777" w:rsidR="007C2C30" w:rsidRPr="00903982" w:rsidRDefault="007C2C30" w:rsidP="00192159">
            <w:pPr>
              <w:rPr>
                <w:rFonts w:asciiTheme="minorHAnsi" w:eastAsia="Calibri" w:hAnsiTheme="minorHAnsi" w:cstheme="minorBidi"/>
                <w:sz w:val="22"/>
                <w:szCs w:val="22"/>
                <w:lang w:val="es-ES_tradnl" w:eastAsia="en-US"/>
              </w:rPr>
            </w:pPr>
            <w:r>
              <w:rPr>
                <w:rFonts w:asciiTheme="minorHAnsi" w:eastAsia="Calibri" w:hAnsiTheme="minorHAnsi" w:cstheme="minorBidi"/>
                <w:sz w:val="22"/>
                <w:szCs w:val="22"/>
                <w:lang w:val="es-ES_tradnl" w:eastAsia="en-US"/>
              </w:rPr>
              <w:t>Tasa Interna de Retorno</w:t>
            </w:r>
          </w:p>
        </w:tc>
        <w:tc>
          <w:tcPr>
            <w:tcW w:w="1862" w:type="dxa"/>
            <w:shd w:val="clear" w:color="auto" w:fill="D9D9D9" w:themeFill="background1" w:themeFillShade="D9"/>
            <w:vAlign w:val="center"/>
          </w:tcPr>
          <w:p w14:paraId="5EC475E5" w14:textId="77777777" w:rsidR="007C2C30" w:rsidRPr="00903982" w:rsidRDefault="007C2C30" w:rsidP="00192159">
            <w:pPr>
              <w:jc w:val="right"/>
              <w:rPr>
                <w:rFonts w:asciiTheme="minorHAnsi" w:eastAsia="Calibri" w:hAnsiTheme="minorHAnsi" w:cstheme="minorBidi"/>
                <w:sz w:val="22"/>
                <w:szCs w:val="22"/>
                <w:lang w:val="es-ES_tradnl" w:eastAsia="en-US"/>
              </w:rPr>
            </w:pPr>
            <w:r>
              <w:rPr>
                <w:rFonts w:ascii="Calibri" w:hAnsi="Calibri"/>
                <w:color w:val="000000"/>
                <w:sz w:val="22"/>
                <w:szCs w:val="22"/>
                <w:lang w:val="es-ES_tradnl"/>
              </w:rPr>
              <w:t>4%</w:t>
            </w:r>
          </w:p>
        </w:tc>
      </w:tr>
    </w:tbl>
    <w:p w14:paraId="07975E45" w14:textId="77777777" w:rsidR="00C3059B" w:rsidRPr="00903982" w:rsidRDefault="00C3059B" w:rsidP="00C3059B">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Fuente: Elaboración propia en base a resultados</w:t>
      </w:r>
    </w:p>
    <w:p w14:paraId="55083B2E" w14:textId="64D0C533" w:rsidR="00C3059B" w:rsidRPr="00903982" w:rsidRDefault="00C3059B" w:rsidP="00C3059B">
      <w:pPr>
        <w:spacing w:after="160" w:line="259" w:lineRule="auto"/>
        <w:jc w:val="both"/>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sz w:val="22"/>
          <w:lang w:val="es-ES_tradnl"/>
        </w:rPr>
        <w:t>De esta forma el efecto compuesto de la reducción de la intensidad energética, cambio en la matriz energética, reducción de pérdidas no técnicas en distribución y mayores niveles de cobertur</w:t>
      </w:r>
      <w:r w:rsidR="00AF3BD5" w:rsidRPr="00903982">
        <w:rPr>
          <w:rFonts w:asciiTheme="minorHAnsi" w:hAnsiTheme="minorHAnsi"/>
          <w:sz w:val="22"/>
          <w:lang w:val="es-ES_tradnl"/>
        </w:rPr>
        <w:t xml:space="preserve">a tiene una utilidad total de </w:t>
      </w:r>
      <w:r w:rsidR="00D50A11">
        <w:rPr>
          <w:rFonts w:asciiTheme="minorHAnsi" w:hAnsiTheme="minorHAnsi"/>
          <w:sz w:val="22"/>
          <w:lang w:val="es-ES_tradnl"/>
        </w:rPr>
        <w:t>11,334</w:t>
      </w:r>
      <w:r w:rsidRPr="00903982">
        <w:rPr>
          <w:rFonts w:asciiTheme="minorHAnsi" w:hAnsiTheme="minorHAnsi"/>
          <w:sz w:val="22"/>
          <w:lang w:val="es-ES_tradnl"/>
        </w:rPr>
        <w:t xml:space="preserve"> millones de mayores utilidades por la mayor eficiencia energética, </w:t>
      </w:r>
      <w:r w:rsidR="00D50A11">
        <w:rPr>
          <w:rFonts w:asciiTheme="minorHAnsi" w:hAnsiTheme="minorHAnsi"/>
          <w:sz w:val="22"/>
          <w:lang w:val="es-ES_tradnl"/>
        </w:rPr>
        <w:t>2,810</w:t>
      </w:r>
      <w:r w:rsidRPr="00903982">
        <w:rPr>
          <w:rFonts w:asciiTheme="minorHAnsi" w:hAnsiTheme="minorHAnsi"/>
          <w:sz w:val="22"/>
          <w:lang w:val="es-ES_tradnl"/>
        </w:rPr>
        <w:t xml:space="preserve"> millones de mayores utilidades por la matriz limpia, 3,8</w:t>
      </w:r>
      <w:r w:rsidR="00AF3BD5" w:rsidRPr="00903982">
        <w:rPr>
          <w:rFonts w:asciiTheme="minorHAnsi" w:hAnsiTheme="minorHAnsi"/>
          <w:sz w:val="22"/>
          <w:lang w:val="es-ES_tradnl"/>
        </w:rPr>
        <w:t>10</w:t>
      </w:r>
      <w:r w:rsidRPr="00903982">
        <w:rPr>
          <w:rFonts w:asciiTheme="minorHAnsi" w:hAnsiTheme="minorHAnsi"/>
          <w:sz w:val="22"/>
          <w:lang w:val="es-ES_tradnl"/>
        </w:rPr>
        <w:t xml:space="preserve"> millones de menores utilidades p</w:t>
      </w:r>
      <w:r w:rsidR="00A86629" w:rsidRPr="00903982">
        <w:rPr>
          <w:rFonts w:asciiTheme="minorHAnsi" w:hAnsiTheme="minorHAnsi"/>
          <w:sz w:val="22"/>
          <w:lang w:val="es-ES_tradnl"/>
        </w:rPr>
        <w:t xml:space="preserve">or la reducción de pérdidas y </w:t>
      </w:r>
      <w:r w:rsidR="00D50A11">
        <w:rPr>
          <w:rFonts w:asciiTheme="minorHAnsi" w:hAnsiTheme="minorHAnsi"/>
          <w:sz w:val="22"/>
          <w:lang w:val="es-ES_tradnl"/>
        </w:rPr>
        <w:t>195</w:t>
      </w:r>
      <w:r w:rsidR="00A86629" w:rsidRPr="00903982">
        <w:rPr>
          <w:rFonts w:asciiTheme="minorHAnsi" w:hAnsiTheme="minorHAnsi"/>
          <w:sz w:val="22"/>
          <w:lang w:val="es-ES_tradnl"/>
        </w:rPr>
        <w:t xml:space="preserve"> millones en menores</w:t>
      </w:r>
      <w:r w:rsidRPr="00903982">
        <w:rPr>
          <w:rFonts w:asciiTheme="minorHAnsi" w:hAnsiTheme="minorHAnsi"/>
          <w:sz w:val="22"/>
          <w:lang w:val="es-ES_tradnl"/>
        </w:rPr>
        <w:t xml:space="preserve"> utilidades por la ampliación de cobertura.  E</w:t>
      </w:r>
      <w:r w:rsidR="00D50A11">
        <w:rPr>
          <w:rFonts w:asciiTheme="minorHAnsi" w:hAnsiTheme="minorHAnsi"/>
          <w:sz w:val="22"/>
          <w:lang w:val="es-ES_tradnl"/>
        </w:rPr>
        <w:t>sto da un total para la LTE de 10,140</w:t>
      </w:r>
      <w:r w:rsidRPr="00903982">
        <w:rPr>
          <w:rFonts w:asciiTheme="minorHAnsi" w:hAnsiTheme="minorHAnsi"/>
          <w:sz w:val="22"/>
          <w:lang w:val="es-ES_tradnl"/>
        </w:rPr>
        <w:t xml:space="preserve"> millones de dólares como utilidades adicionales en el </w:t>
      </w:r>
      <w:r w:rsidR="00AF3BD5" w:rsidRPr="00903982">
        <w:rPr>
          <w:rFonts w:asciiTheme="minorHAnsi" w:hAnsiTheme="minorHAnsi"/>
          <w:sz w:val="22"/>
          <w:lang w:val="es-ES_tradnl"/>
        </w:rPr>
        <w:t>periodo 2016-2030, tal como se ve reflejado en la siguiente tabla.</w:t>
      </w:r>
      <w:r w:rsidRPr="00903982">
        <w:rPr>
          <w:rFonts w:asciiTheme="minorHAnsi" w:hAnsiTheme="minorHAnsi"/>
          <w:sz w:val="22"/>
          <w:lang w:val="es-ES_tradnl"/>
        </w:rPr>
        <w:t xml:space="preserve"> </w:t>
      </w:r>
    </w:p>
    <w:p w14:paraId="0F747106" w14:textId="02606C4A" w:rsidR="00AF3BD5" w:rsidRPr="00903982" w:rsidRDefault="00AF3BD5" w:rsidP="00AF3BD5">
      <w:pPr>
        <w:pStyle w:val="Caption"/>
        <w:keepNext/>
        <w:jc w:val="center"/>
        <w:rPr>
          <w:rFonts w:asciiTheme="minorHAnsi" w:hAnsiTheme="minorHAnsi"/>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Pr="00903982">
        <w:rPr>
          <w:rFonts w:asciiTheme="minorHAnsi" w:hAnsiTheme="minorHAnsi"/>
          <w:b w:val="0"/>
          <w:noProof/>
          <w:sz w:val="22"/>
          <w:lang w:val="es-ES_tradnl"/>
        </w:rPr>
        <w:t>19</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Resultados </w:t>
      </w:r>
      <w:r w:rsidR="00903982" w:rsidRPr="00903982">
        <w:rPr>
          <w:rFonts w:asciiTheme="minorHAnsi" w:hAnsiTheme="minorHAnsi"/>
          <w:b w:val="0"/>
          <w:sz w:val="22"/>
          <w:lang w:val="es-ES_tradnl"/>
        </w:rPr>
        <w:t>acumulados</w:t>
      </w:r>
      <w:r w:rsidRPr="00903982">
        <w:rPr>
          <w:rFonts w:asciiTheme="minorHAnsi" w:hAnsiTheme="minorHAnsi"/>
          <w:b w:val="0"/>
          <w:sz w:val="22"/>
          <w:lang w:val="es-ES_tradnl"/>
        </w:rPr>
        <w:t xml:space="preserve"> de las medidas del Programa</w:t>
      </w:r>
    </w:p>
    <w:tbl>
      <w:tblPr>
        <w:tblStyle w:val="TableGrid"/>
        <w:tblW w:w="0" w:type="auto"/>
        <w:jc w:val="center"/>
        <w:tblLook w:val="04A0" w:firstRow="1" w:lastRow="0" w:firstColumn="1" w:lastColumn="0" w:noHBand="0" w:noVBand="1"/>
      </w:tblPr>
      <w:tblGrid>
        <w:gridCol w:w="6604"/>
        <w:gridCol w:w="1737"/>
      </w:tblGrid>
      <w:tr w:rsidR="00D50A11" w:rsidRPr="00903982" w14:paraId="7F6305B6" w14:textId="77777777" w:rsidTr="00192159">
        <w:trPr>
          <w:trHeight w:val="327"/>
          <w:jc w:val="center"/>
        </w:trPr>
        <w:tc>
          <w:tcPr>
            <w:tcW w:w="6604" w:type="dxa"/>
            <w:shd w:val="clear" w:color="auto" w:fill="D9D9D9" w:themeFill="background1" w:themeFillShade="D9"/>
            <w:vAlign w:val="center"/>
          </w:tcPr>
          <w:p w14:paraId="5F595AD0" w14:textId="77777777" w:rsidR="00D50A11" w:rsidRPr="00903982" w:rsidRDefault="00D50A11"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por medida</w:t>
            </w:r>
          </w:p>
        </w:tc>
        <w:tc>
          <w:tcPr>
            <w:tcW w:w="1737" w:type="dxa"/>
            <w:shd w:val="clear" w:color="auto" w:fill="D9D9D9" w:themeFill="background1" w:themeFillShade="D9"/>
            <w:vAlign w:val="center"/>
          </w:tcPr>
          <w:p w14:paraId="01FDC45E" w14:textId="77777777" w:rsidR="00D50A11" w:rsidRPr="00903982" w:rsidRDefault="00D50A11" w:rsidP="00192159">
            <w:pPr>
              <w:jc w:val="right"/>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 xml:space="preserve"> Millones de US$ </w:t>
            </w:r>
          </w:p>
        </w:tc>
      </w:tr>
      <w:tr w:rsidR="00D50A11" w:rsidRPr="00903982" w14:paraId="1BC29E0D" w14:textId="77777777" w:rsidTr="00192159">
        <w:trPr>
          <w:trHeight w:val="316"/>
          <w:jc w:val="center"/>
        </w:trPr>
        <w:tc>
          <w:tcPr>
            <w:tcW w:w="6604" w:type="dxa"/>
            <w:vAlign w:val="center"/>
          </w:tcPr>
          <w:p w14:paraId="14DF26D6" w14:textId="77777777" w:rsidR="00D50A11" w:rsidRPr="00903982" w:rsidRDefault="00D50A11"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de escenario con mayor incorporación de eficiencia energética</w:t>
            </w:r>
          </w:p>
        </w:tc>
        <w:tc>
          <w:tcPr>
            <w:tcW w:w="1737" w:type="dxa"/>
            <w:vAlign w:val="center"/>
          </w:tcPr>
          <w:p w14:paraId="4FE1929E" w14:textId="77777777" w:rsidR="00D50A11" w:rsidRPr="00903982" w:rsidRDefault="00D50A11" w:rsidP="00192159">
            <w:pPr>
              <w:jc w:val="right"/>
              <w:rPr>
                <w:rFonts w:ascii="Calibri" w:hAnsi="Calibri"/>
                <w:color w:val="000000"/>
                <w:sz w:val="22"/>
                <w:szCs w:val="22"/>
                <w:lang w:val="es-ES_tradnl"/>
              </w:rPr>
            </w:pPr>
            <w:r>
              <w:rPr>
                <w:rFonts w:ascii="Calibri" w:hAnsi="Calibri"/>
                <w:color w:val="000000"/>
                <w:sz w:val="22"/>
                <w:szCs w:val="22"/>
                <w:lang w:val="es-ES_tradnl"/>
              </w:rPr>
              <w:t>11</w:t>
            </w:r>
            <w:r w:rsidRPr="00903982">
              <w:rPr>
                <w:rFonts w:ascii="Calibri" w:hAnsi="Calibri"/>
                <w:color w:val="000000"/>
                <w:sz w:val="22"/>
                <w:szCs w:val="22"/>
                <w:lang w:val="es-ES_tradnl"/>
              </w:rPr>
              <w:t>,</w:t>
            </w:r>
            <w:r>
              <w:rPr>
                <w:rFonts w:ascii="Calibri" w:hAnsi="Calibri"/>
                <w:color w:val="000000"/>
                <w:sz w:val="22"/>
                <w:szCs w:val="22"/>
                <w:lang w:val="es-ES_tradnl"/>
              </w:rPr>
              <w:t>334</w:t>
            </w:r>
            <w:r w:rsidRPr="00903982">
              <w:rPr>
                <w:rFonts w:ascii="Calibri" w:hAnsi="Calibri"/>
                <w:color w:val="000000"/>
                <w:sz w:val="22"/>
                <w:szCs w:val="22"/>
                <w:lang w:val="es-ES_tradnl"/>
              </w:rPr>
              <w:t xml:space="preserve"> </w:t>
            </w:r>
          </w:p>
        </w:tc>
      </w:tr>
      <w:tr w:rsidR="00D50A11" w:rsidRPr="00903982" w14:paraId="27B24C77" w14:textId="77777777" w:rsidTr="00192159">
        <w:trPr>
          <w:trHeight w:val="438"/>
          <w:jc w:val="center"/>
        </w:trPr>
        <w:tc>
          <w:tcPr>
            <w:tcW w:w="6604" w:type="dxa"/>
            <w:vAlign w:val="center"/>
          </w:tcPr>
          <w:p w14:paraId="14362CB8" w14:textId="77777777" w:rsidR="00D50A11" w:rsidRPr="00903982" w:rsidRDefault="00D50A11"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de escenario con mayor incorporación de energías limpias</w:t>
            </w:r>
          </w:p>
        </w:tc>
        <w:tc>
          <w:tcPr>
            <w:tcW w:w="1737" w:type="dxa"/>
            <w:vAlign w:val="center"/>
          </w:tcPr>
          <w:p w14:paraId="7D5E5A11" w14:textId="77777777" w:rsidR="00D50A11" w:rsidRPr="00903982" w:rsidRDefault="00D50A11" w:rsidP="00192159">
            <w:pPr>
              <w:jc w:val="right"/>
              <w:rPr>
                <w:rFonts w:ascii="Calibri" w:hAnsi="Calibri"/>
                <w:color w:val="000000"/>
                <w:sz w:val="22"/>
                <w:szCs w:val="22"/>
                <w:lang w:val="es-ES_tradnl"/>
              </w:rPr>
            </w:pPr>
            <w:r>
              <w:rPr>
                <w:rFonts w:ascii="Calibri" w:hAnsi="Calibri"/>
                <w:color w:val="000000"/>
                <w:sz w:val="22"/>
                <w:szCs w:val="22"/>
                <w:lang w:val="es-ES_tradnl"/>
              </w:rPr>
              <w:t>2</w:t>
            </w:r>
            <w:r w:rsidRPr="00903982">
              <w:rPr>
                <w:rFonts w:ascii="Calibri" w:hAnsi="Calibri"/>
                <w:color w:val="000000"/>
                <w:sz w:val="22"/>
                <w:szCs w:val="22"/>
                <w:lang w:val="es-ES_tradnl"/>
              </w:rPr>
              <w:t>,</w:t>
            </w:r>
            <w:r>
              <w:rPr>
                <w:rFonts w:ascii="Calibri" w:hAnsi="Calibri"/>
                <w:color w:val="000000"/>
                <w:sz w:val="22"/>
                <w:szCs w:val="22"/>
                <w:lang w:val="es-ES_tradnl"/>
              </w:rPr>
              <w:t>810</w:t>
            </w:r>
            <w:r w:rsidRPr="00903982">
              <w:rPr>
                <w:rFonts w:ascii="Calibri" w:hAnsi="Calibri"/>
                <w:color w:val="000000"/>
                <w:sz w:val="22"/>
                <w:szCs w:val="22"/>
                <w:lang w:val="es-ES_tradnl"/>
              </w:rPr>
              <w:t xml:space="preserve"> </w:t>
            </w:r>
          </w:p>
        </w:tc>
      </w:tr>
      <w:tr w:rsidR="00D50A11" w:rsidRPr="00903982" w14:paraId="2DA88B82" w14:textId="77777777" w:rsidTr="00192159">
        <w:trPr>
          <w:trHeight w:val="386"/>
          <w:jc w:val="center"/>
        </w:trPr>
        <w:tc>
          <w:tcPr>
            <w:tcW w:w="6604" w:type="dxa"/>
            <w:vAlign w:val="center"/>
          </w:tcPr>
          <w:p w14:paraId="7E2C48AB" w14:textId="77777777" w:rsidR="00D50A11" w:rsidRPr="00903982" w:rsidRDefault="00D50A11"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de escenario con un menor nivel de pérdidas no técnicas</w:t>
            </w:r>
          </w:p>
        </w:tc>
        <w:tc>
          <w:tcPr>
            <w:tcW w:w="1737" w:type="dxa"/>
            <w:vAlign w:val="center"/>
          </w:tcPr>
          <w:p w14:paraId="03ECC75A" w14:textId="77777777" w:rsidR="00D50A11" w:rsidRPr="00903982" w:rsidRDefault="00D50A11" w:rsidP="00192159">
            <w:pPr>
              <w:jc w:val="right"/>
              <w:rPr>
                <w:rFonts w:ascii="Calibri" w:hAnsi="Calibri"/>
                <w:color w:val="000000"/>
                <w:sz w:val="22"/>
                <w:szCs w:val="22"/>
                <w:lang w:val="es-ES_tradnl"/>
              </w:rPr>
            </w:pPr>
            <w:r w:rsidRPr="00903982">
              <w:rPr>
                <w:rFonts w:ascii="Calibri" w:hAnsi="Calibri"/>
                <w:color w:val="000000"/>
                <w:sz w:val="22"/>
                <w:szCs w:val="22"/>
                <w:lang w:val="es-ES_tradnl"/>
              </w:rPr>
              <w:t>-3,810</w:t>
            </w:r>
          </w:p>
        </w:tc>
      </w:tr>
      <w:tr w:rsidR="00D50A11" w:rsidRPr="00903982" w14:paraId="3EF24FAA" w14:textId="77777777" w:rsidTr="00192159">
        <w:trPr>
          <w:trHeight w:val="419"/>
          <w:jc w:val="center"/>
        </w:trPr>
        <w:tc>
          <w:tcPr>
            <w:tcW w:w="6604" w:type="dxa"/>
            <w:vAlign w:val="center"/>
          </w:tcPr>
          <w:p w14:paraId="35FCBC77" w14:textId="77777777" w:rsidR="00D50A11" w:rsidRPr="00903982" w:rsidRDefault="00D50A11"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de escenario con un incremento de los niveles de cobertura</w:t>
            </w:r>
          </w:p>
        </w:tc>
        <w:tc>
          <w:tcPr>
            <w:tcW w:w="1737" w:type="dxa"/>
            <w:vAlign w:val="center"/>
          </w:tcPr>
          <w:p w14:paraId="3BD6EA96" w14:textId="77777777" w:rsidR="00D50A11" w:rsidRPr="00903982" w:rsidRDefault="00D50A11" w:rsidP="00192159">
            <w:pPr>
              <w:jc w:val="right"/>
              <w:rPr>
                <w:rFonts w:ascii="Calibri" w:hAnsi="Calibri"/>
                <w:color w:val="000000"/>
                <w:sz w:val="22"/>
                <w:szCs w:val="22"/>
                <w:lang w:val="es-ES_tradnl"/>
              </w:rPr>
            </w:pPr>
            <w:r w:rsidRPr="00903982">
              <w:rPr>
                <w:rFonts w:ascii="Calibri" w:hAnsi="Calibri"/>
                <w:color w:val="000000"/>
                <w:sz w:val="22"/>
                <w:szCs w:val="22"/>
                <w:lang w:val="es-ES_tradnl"/>
              </w:rPr>
              <w:t>-1</w:t>
            </w:r>
            <w:r>
              <w:rPr>
                <w:rFonts w:ascii="Calibri" w:hAnsi="Calibri"/>
                <w:color w:val="000000"/>
                <w:sz w:val="22"/>
                <w:szCs w:val="22"/>
                <w:lang w:val="es-ES_tradnl"/>
              </w:rPr>
              <w:t>95</w:t>
            </w:r>
          </w:p>
        </w:tc>
      </w:tr>
      <w:tr w:rsidR="00D50A11" w:rsidRPr="00903982" w14:paraId="62E27136" w14:textId="77777777" w:rsidTr="00192159">
        <w:trPr>
          <w:trHeight w:val="410"/>
          <w:jc w:val="center"/>
        </w:trPr>
        <w:tc>
          <w:tcPr>
            <w:tcW w:w="6604" w:type="dxa"/>
            <w:shd w:val="clear" w:color="auto" w:fill="D9D9D9" w:themeFill="background1" w:themeFillShade="D9"/>
            <w:vAlign w:val="center"/>
          </w:tcPr>
          <w:p w14:paraId="70E6F80F" w14:textId="77777777" w:rsidR="00D50A11" w:rsidRPr="00903982" w:rsidRDefault="00D50A11"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Utilidad Total</w:t>
            </w:r>
          </w:p>
        </w:tc>
        <w:tc>
          <w:tcPr>
            <w:tcW w:w="1737" w:type="dxa"/>
            <w:shd w:val="clear" w:color="auto" w:fill="D9D9D9" w:themeFill="background1" w:themeFillShade="D9"/>
            <w:vAlign w:val="center"/>
          </w:tcPr>
          <w:p w14:paraId="67C74657" w14:textId="77777777" w:rsidR="00D50A11" w:rsidRPr="00903982" w:rsidRDefault="00D50A11" w:rsidP="00192159">
            <w:pPr>
              <w:jc w:val="right"/>
              <w:rPr>
                <w:rFonts w:asciiTheme="minorHAnsi" w:eastAsia="Calibri" w:hAnsiTheme="minorHAnsi" w:cstheme="minorBidi"/>
                <w:sz w:val="22"/>
                <w:szCs w:val="22"/>
                <w:lang w:val="es-ES_tradnl" w:eastAsia="en-US"/>
              </w:rPr>
            </w:pPr>
            <w:r w:rsidRPr="00903982">
              <w:rPr>
                <w:rFonts w:ascii="Calibri" w:hAnsi="Calibri"/>
                <w:color w:val="000000"/>
                <w:sz w:val="22"/>
                <w:szCs w:val="22"/>
                <w:lang w:val="es-ES_tradnl"/>
              </w:rPr>
              <w:t>Millones de US$</w:t>
            </w:r>
          </w:p>
        </w:tc>
      </w:tr>
      <w:tr w:rsidR="00D50A11" w:rsidRPr="00903982" w14:paraId="0394B8CE" w14:textId="77777777" w:rsidTr="00192159">
        <w:trPr>
          <w:trHeight w:val="376"/>
          <w:jc w:val="center"/>
        </w:trPr>
        <w:tc>
          <w:tcPr>
            <w:tcW w:w="6604" w:type="dxa"/>
            <w:vAlign w:val="center"/>
          </w:tcPr>
          <w:p w14:paraId="241E1D41" w14:textId="77777777" w:rsidR="00D50A11" w:rsidRPr="00903982" w:rsidRDefault="00D50A11" w:rsidP="00192159">
            <w:pPr>
              <w:rPr>
                <w:rFonts w:asciiTheme="minorHAnsi" w:eastAsia="Calibri" w:hAnsiTheme="minorHAnsi" w:cstheme="minorBidi"/>
                <w:sz w:val="22"/>
                <w:szCs w:val="22"/>
                <w:lang w:val="es-ES_tradnl" w:eastAsia="en-US"/>
              </w:rPr>
            </w:pPr>
            <w:r w:rsidRPr="00903982">
              <w:rPr>
                <w:rFonts w:asciiTheme="minorHAnsi" w:eastAsia="Calibri" w:hAnsiTheme="minorHAnsi" w:cstheme="minorBidi"/>
                <w:sz w:val="22"/>
                <w:szCs w:val="22"/>
                <w:lang w:val="es-ES_tradnl" w:eastAsia="en-US"/>
              </w:rPr>
              <w:t>Combinación de las medidas del Programa</w:t>
            </w:r>
          </w:p>
        </w:tc>
        <w:tc>
          <w:tcPr>
            <w:tcW w:w="1737" w:type="dxa"/>
            <w:vAlign w:val="center"/>
          </w:tcPr>
          <w:p w14:paraId="32550B06" w14:textId="77777777" w:rsidR="00D50A11" w:rsidRPr="00903982" w:rsidRDefault="00D50A11" w:rsidP="00192159">
            <w:pPr>
              <w:jc w:val="right"/>
              <w:rPr>
                <w:rFonts w:ascii="Calibri" w:hAnsi="Calibri"/>
                <w:color w:val="000000"/>
                <w:sz w:val="22"/>
                <w:szCs w:val="22"/>
                <w:lang w:val="es-ES_tradnl"/>
              </w:rPr>
            </w:pPr>
            <w:r>
              <w:rPr>
                <w:rFonts w:ascii="Calibri" w:hAnsi="Calibri"/>
                <w:color w:val="000000"/>
                <w:sz w:val="22"/>
                <w:szCs w:val="22"/>
                <w:lang w:val="es-ES_tradnl"/>
              </w:rPr>
              <w:t>10</w:t>
            </w:r>
            <w:r w:rsidRPr="00903982">
              <w:rPr>
                <w:rFonts w:ascii="Calibri" w:hAnsi="Calibri"/>
                <w:color w:val="000000"/>
                <w:sz w:val="22"/>
                <w:szCs w:val="22"/>
                <w:lang w:val="es-ES_tradnl"/>
              </w:rPr>
              <w:t>,</w:t>
            </w:r>
            <w:r>
              <w:rPr>
                <w:rFonts w:ascii="Calibri" w:hAnsi="Calibri"/>
                <w:color w:val="000000"/>
                <w:sz w:val="22"/>
                <w:szCs w:val="22"/>
                <w:lang w:val="es-ES_tradnl"/>
              </w:rPr>
              <w:t>140</w:t>
            </w:r>
            <w:r w:rsidRPr="00903982">
              <w:rPr>
                <w:rFonts w:ascii="Calibri" w:hAnsi="Calibri"/>
                <w:color w:val="000000"/>
                <w:sz w:val="22"/>
                <w:szCs w:val="22"/>
                <w:lang w:val="es-ES_tradnl"/>
              </w:rPr>
              <w:t xml:space="preserve"> </w:t>
            </w:r>
          </w:p>
        </w:tc>
      </w:tr>
    </w:tbl>
    <w:p w14:paraId="10AF49FA" w14:textId="77777777" w:rsidR="00AF3BD5" w:rsidRPr="00903982" w:rsidRDefault="00AF3BD5" w:rsidP="00AF3BD5">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Fuente: Elaboración propia en base a resultados</w:t>
      </w:r>
    </w:p>
    <w:p w14:paraId="386A4395" w14:textId="77777777" w:rsidR="005953F3" w:rsidRPr="00903982" w:rsidRDefault="005953F3" w:rsidP="0070307A">
      <w:pPr>
        <w:spacing w:after="160" w:line="259" w:lineRule="auto"/>
        <w:rPr>
          <w:rFonts w:asciiTheme="minorHAnsi" w:hAnsiTheme="minorHAnsi"/>
          <w:b/>
          <w:sz w:val="22"/>
          <w:szCs w:val="22"/>
          <w:lang w:val="es-ES_tradnl"/>
        </w:rPr>
      </w:pPr>
    </w:p>
    <w:p w14:paraId="5B59B756" w14:textId="77777777" w:rsidR="00CD6175" w:rsidRPr="00903982" w:rsidRDefault="00CD6175" w:rsidP="0070307A">
      <w:pPr>
        <w:spacing w:after="160" w:line="259" w:lineRule="auto"/>
        <w:rPr>
          <w:rFonts w:asciiTheme="minorHAnsi" w:hAnsiTheme="minorHAnsi"/>
          <w:b/>
          <w:sz w:val="22"/>
          <w:szCs w:val="22"/>
          <w:lang w:val="es-ES_tradnl"/>
        </w:rPr>
      </w:pPr>
    </w:p>
    <w:p w14:paraId="121E3CAC" w14:textId="6D5A6E45" w:rsidR="00690762" w:rsidRPr="00903982" w:rsidRDefault="00690762" w:rsidP="00690762">
      <w:pPr>
        <w:pStyle w:val="Heading1"/>
        <w:rPr>
          <w:lang w:val="es-ES_tradnl"/>
        </w:rPr>
      </w:pPr>
      <w:r w:rsidRPr="00903982">
        <w:rPr>
          <w:lang w:val="es-ES_tradnl"/>
        </w:rPr>
        <w:lastRenderedPageBreak/>
        <w:t>Identificación de potenciales riesgos</w:t>
      </w:r>
      <w:r w:rsidR="00280D79" w:rsidRPr="00903982">
        <w:rPr>
          <w:lang w:val="es-ES_tradnl"/>
        </w:rPr>
        <w:t xml:space="preserve"> al Programa</w:t>
      </w:r>
    </w:p>
    <w:p w14:paraId="1369CF2B" w14:textId="1DEC34EC" w:rsidR="00280D79" w:rsidRPr="00903982" w:rsidRDefault="00690762" w:rsidP="00280D79">
      <w:pPr>
        <w:spacing w:after="100" w:afterAutospacing="1"/>
        <w:jc w:val="both"/>
        <w:rPr>
          <w:rFonts w:asciiTheme="minorHAnsi" w:hAnsiTheme="minorHAnsi" w:cs="Arial"/>
          <w:sz w:val="22"/>
          <w:szCs w:val="22"/>
          <w:lang w:val="es-ES_tradnl"/>
        </w:rPr>
      </w:pPr>
      <w:r w:rsidRPr="00903982">
        <w:rPr>
          <w:rFonts w:asciiTheme="minorHAnsi" w:hAnsiTheme="minorHAnsi" w:cs="Arial"/>
          <w:sz w:val="22"/>
          <w:szCs w:val="22"/>
          <w:lang w:val="es-ES_tradnl"/>
        </w:rPr>
        <w:t xml:space="preserve">En la presente sección se identifican los potenciales riesgos asociados a la operación y sus posibles medidas de mitigación. Para valorar la importancia de cada riesgo se rehicieron las simulaciones de flujos de manera de obtener una métrica del impacto que </w:t>
      </w:r>
      <w:r w:rsidR="00903982" w:rsidRPr="00903982">
        <w:rPr>
          <w:rFonts w:asciiTheme="minorHAnsi" w:hAnsiTheme="minorHAnsi" w:cs="Arial"/>
          <w:sz w:val="22"/>
          <w:szCs w:val="22"/>
          <w:lang w:val="es-ES_tradnl"/>
        </w:rPr>
        <w:t>tendría</w:t>
      </w:r>
      <w:r w:rsidRPr="00903982">
        <w:rPr>
          <w:rFonts w:asciiTheme="minorHAnsi" w:hAnsiTheme="minorHAnsi" w:cs="Arial"/>
          <w:sz w:val="22"/>
          <w:szCs w:val="22"/>
          <w:lang w:val="es-ES_tradnl"/>
        </w:rPr>
        <w:t xml:space="preserve"> en los resultados el que alguno de estos riesgos se concretara.  Los riesgos identificados fueron:</w:t>
      </w:r>
    </w:p>
    <w:p w14:paraId="684E0F94" w14:textId="10BC67E2" w:rsidR="00C8172F" w:rsidRPr="00903982" w:rsidRDefault="00010B3B" w:rsidP="00C8172F">
      <w:pPr>
        <w:pStyle w:val="ListParagraph"/>
        <w:numPr>
          <w:ilvl w:val="0"/>
          <w:numId w:val="41"/>
        </w:numPr>
        <w:spacing w:after="100" w:afterAutospacing="1"/>
        <w:jc w:val="both"/>
        <w:rPr>
          <w:rFonts w:cs="Arial"/>
          <w:lang w:val="es-ES_tradnl"/>
        </w:rPr>
      </w:pPr>
      <w:r w:rsidRPr="00903982">
        <w:rPr>
          <w:rFonts w:cs="Arial"/>
          <w:lang w:val="es-ES_tradnl"/>
        </w:rPr>
        <w:t>Precio de la reducción de emisiones de CO</w:t>
      </w:r>
      <w:r w:rsidRPr="00903982">
        <w:rPr>
          <w:vertAlign w:val="subscript"/>
          <w:lang w:val="es-ES_tradnl"/>
        </w:rPr>
        <w:t>2</w:t>
      </w:r>
      <w:r w:rsidRPr="00903982">
        <w:rPr>
          <w:rFonts w:cs="Arial"/>
          <w:lang w:val="es-ES_tradnl"/>
        </w:rPr>
        <w:t xml:space="preserve"> equivalente. </w:t>
      </w:r>
      <w:r w:rsidR="00C8172F" w:rsidRPr="00903982">
        <w:rPr>
          <w:rFonts w:cs="Arial"/>
          <w:lang w:val="es-ES_tradnl"/>
        </w:rPr>
        <w:t>El primer riesgo asociado a la evaluación del programa es el cambio</w:t>
      </w:r>
      <w:r w:rsidR="00395F59" w:rsidRPr="00903982">
        <w:rPr>
          <w:rFonts w:cs="Arial"/>
          <w:lang w:val="es-ES_tradnl"/>
        </w:rPr>
        <w:t xml:space="preserve"> </w:t>
      </w:r>
      <w:r w:rsidR="00C8172F" w:rsidRPr="00903982">
        <w:rPr>
          <w:rFonts w:cs="Arial"/>
          <w:lang w:val="es-ES_tradnl"/>
        </w:rPr>
        <w:t>en el valor de los certificados de reducción de</w:t>
      </w:r>
      <w:r w:rsidR="00395F59" w:rsidRPr="00903982">
        <w:rPr>
          <w:rFonts w:cs="Arial"/>
          <w:lang w:val="es-ES_tradnl"/>
        </w:rPr>
        <w:t xml:space="preserve"> em</w:t>
      </w:r>
      <w:r w:rsidR="00DD70C5" w:rsidRPr="00903982">
        <w:rPr>
          <w:rFonts w:cs="Arial"/>
          <w:lang w:val="es-ES_tradnl"/>
        </w:rPr>
        <w:t>i</w:t>
      </w:r>
      <w:r w:rsidR="00395F59" w:rsidRPr="00903982">
        <w:rPr>
          <w:rFonts w:cs="Arial"/>
          <w:lang w:val="es-ES_tradnl"/>
        </w:rPr>
        <w:t xml:space="preserve">siones de carbono </w:t>
      </w:r>
      <w:r w:rsidR="00C8172F" w:rsidRPr="00903982">
        <w:rPr>
          <w:rFonts w:cs="Arial"/>
          <w:lang w:val="es-ES_tradnl"/>
        </w:rPr>
        <w:t>equivalente.  En este caso se sensibilizaron los resultados desde</w:t>
      </w:r>
      <w:r w:rsidR="00395F59" w:rsidRPr="00903982">
        <w:rPr>
          <w:rFonts w:cs="Arial"/>
          <w:lang w:val="es-ES_tradnl"/>
        </w:rPr>
        <w:t xml:space="preserve"> </w:t>
      </w:r>
      <w:r w:rsidR="00C8172F" w:rsidRPr="00903982">
        <w:rPr>
          <w:rFonts w:cs="Arial"/>
          <w:lang w:val="es-ES_tradnl"/>
        </w:rPr>
        <w:t xml:space="preserve">0 a </w:t>
      </w:r>
      <w:r w:rsidR="00395F59" w:rsidRPr="00903982">
        <w:rPr>
          <w:rFonts w:cs="Arial"/>
          <w:lang w:val="es-ES_tradnl"/>
        </w:rPr>
        <w:t>20 dólares por tonelada de CO</w:t>
      </w:r>
      <w:r w:rsidR="00280D79" w:rsidRPr="00903982">
        <w:rPr>
          <w:vertAlign w:val="subscript"/>
          <w:lang w:val="es-ES_tradnl"/>
        </w:rPr>
        <w:t>2</w:t>
      </w:r>
      <w:r w:rsidR="00395F59" w:rsidRPr="00903982">
        <w:rPr>
          <w:rFonts w:cs="Arial"/>
          <w:lang w:val="es-ES_tradnl"/>
        </w:rPr>
        <w:t xml:space="preserve">. </w:t>
      </w:r>
    </w:p>
    <w:p w14:paraId="337B2E71" w14:textId="0B654E1F" w:rsidR="00B568CC" w:rsidRDefault="00C8172F" w:rsidP="00C8172F">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Pr="00903982">
        <w:rPr>
          <w:rFonts w:asciiTheme="minorHAnsi" w:hAnsiTheme="minorHAnsi"/>
          <w:b w:val="0"/>
          <w:sz w:val="22"/>
          <w:lang w:val="es-ES_tradnl"/>
        </w:rPr>
        <w:t>20</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Sensibilidad de la utilidad del Programa a </w:t>
      </w:r>
      <w:r w:rsidR="00CA6469" w:rsidRPr="00903982">
        <w:rPr>
          <w:rFonts w:asciiTheme="minorHAnsi" w:hAnsiTheme="minorHAnsi"/>
          <w:b w:val="0"/>
          <w:sz w:val="22"/>
          <w:lang w:val="es-ES_tradnl"/>
        </w:rPr>
        <w:t>cambios en</w:t>
      </w:r>
      <w:r w:rsidRPr="00903982">
        <w:rPr>
          <w:rFonts w:asciiTheme="minorHAnsi" w:hAnsiTheme="minorHAnsi"/>
          <w:b w:val="0"/>
          <w:sz w:val="22"/>
          <w:lang w:val="es-ES_tradnl"/>
        </w:rPr>
        <w:t xml:space="preserve"> el precio de los certificados de reducción de emisiones</w:t>
      </w:r>
    </w:p>
    <w:tbl>
      <w:tblPr>
        <w:tblW w:w="4397" w:type="dxa"/>
        <w:jc w:val="center"/>
        <w:tblCellMar>
          <w:left w:w="70" w:type="dxa"/>
          <w:right w:w="70" w:type="dxa"/>
        </w:tblCellMar>
        <w:tblLook w:val="04A0" w:firstRow="1" w:lastRow="0" w:firstColumn="1" w:lastColumn="0" w:noHBand="0" w:noVBand="1"/>
      </w:tblPr>
      <w:tblGrid>
        <w:gridCol w:w="2180"/>
        <w:gridCol w:w="2217"/>
      </w:tblGrid>
      <w:tr w:rsidR="00CA6469" w:rsidRPr="00CA6469" w14:paraId="656B0066" w14:textId="77777777" w:rsidTr="00CA6469">
        <w:trPr>
          <w:trHeight w:val="330"/>
          <w:jc w:val="center"/>
        </w:trPr>
        <w:tc>
          <w:tcPr>
            <w:tcW w:w="2180" w:type="dxa"/>
            <w:tcBorders>
              <w:top w:val="single" w:sz="8" w:space="0" w:color="auto"/>
              <w:left w:val="single" w:sz="8" w:space="0" w:color="auto"/>
              <w:bottom w:val="single" w:sz="8" w:space="0" w:color="auto"/>
              <w:right w:val="single" w:sz="8" w:space="0" w:color="auto"/>
            </w:tcBorders>
            <w:shd w:val="clear" w:color="000000" w:fill="DDDDDD"/>
            <w:noWrap/>
            <w:vAlign w:val="center"/>
            <w:hideMark/>
          </w:tcPr>
          <w:p w14:paraId="5C44A90E" w14:textId="77777777" w:rsidR="00CA6469" w:rsidRPr="00CA6469" w:rsidRDefault="00CA6469" w:rsidP="00CA6469">
            <w:pPr>
              <w:rPr>
                <w:rFonts w:ascii="Calibri" w:eastAsia="Times New Roman" w:hAnsi="Calibri"/>
                <w:color w:val="000000"/>
                <w:sz w:val="22"/>
              </w:rPr>
            </w:pPr>
            <w:r w:rsidRPr="00CA6469">
              <w:rPr>
                <w:rFonts w:ascii="Calibri" w:eastAsia="Times New Roman" w:hAnsi="Calibri"/>
                <w:color w:val="000000"/>
                <w:sz w:val="22"/>
              </w:rPr>
              <w:t xml:space="preserve">Precio de los Certificados de Reducción de Emisiones </w:t>
            </w:r>
          </w:p>
        </w:tc>
        <w:tc>
          <w:tcPr>
            <w:tcW w:w="2217" w:type="dxa"/>
            <w:tcBorders>
              <w:top w:val="single" w:sz="8" w:space="0" w:color="auto"/>
              <w:left w:val="nil"/>
              <w:bottom w:val="single" w:sz="8" w:space="0" w:color="auto"/>
              <w:right w:val="single" w:sz="8" w:space="0" w:color="auto"/>
            </w:tcBorders>
            <w:shd w:val="clear" w:color="000000" w:fill="DDDDDD"/>
            <w:noWrap/>
            <w:vAlign w:val="center"/>
            <w:hideMark/>
          </w:tcPr>
          <w:p w14:paraId="511673F3" w14:textId="77777777" w:rsidR="00CA6469" w:rsidRPr="00CA6469" w:rsidRDefault="00CA6469" w:rsidP="00CA6469">
            <w:pPr>
              <w:rPr>
                <w:rFonts w:ascii="Calibri" w:eastAsia="Times New Roman" w:hAnsi="Calibri"/>
                <w:color w:val="000000"/>
                <w:sz w:val="22"/>
              </w:rPr>
            </w:pPr>
            <w:r w:rsidRPr="00CA6469">
              <w:rPr>
                <w:rFonts w:ascii="Calibri" w:eastAsia="Times New Roman" w:hAnsi="Calibri"/>
                <w:color w:val="000000"/>
                <w:sz w:val="22"/>
              </w:rPr>
              <w:t>Utilidad Programa en Millones de US$</w:t>
            </w:r>
          </w:p>
        </w:tc>
      </w:tr>
      <w:tr w:rsidR="00CA6469" w:rsidRPr="00CA6469" w14:paraId="2C0D1631"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54FB4210" w14:textId="77777777"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0</w:t>
            </w:r>
          </w:p>
        </w:tc>
        <w:tc>
          <w:tcPr>
            <w:tcW w:w="2217" w:type="dxa"/>
            <w:tcBorders>
              <w:top w:val="nil"/>
              <w:left w:val="nil"/>
              <w:bottom w:val="single" w:sz="8" w:space="0" w:color="auto"/>
              <w:right w:val="single" w:sz="8" w:space="0" w:color="auto"/>
            </w:tcBorders>
            <w:shd w:val="clear" w:color="auto" w:fill="auto"/>
            <w:noWrap/>
            <w:vAlign w:val="center"/>
            <w:hideMark/>
          </w:tcPr>
          <w:p w14:paraId="46224710" w14:textId="0919898A"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 xml:space="preserve">              8,</w:t>
            </w:r>
            <w:r w:rsidRPr="00CA6469">
              <w:rPr>
                <w:rFonts w:ascii="Calibri" w:eastAsia="Times New Roman" w:hAnsi="Calibri"/>
                <w:color w:val="000000"/>
                <w:sz w:val="22"/>
              </w:rPr>
              <w:t xml:space="preserve">255 </w:t>
            </w:r>
          </w:p>
        </w:tc>
      </w:tr>
      <w:tr w:rsidR="00CA6469" w:rsidRPr="00CA6469" w14:paraId="7A4E2816"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0D19266D" w14:textId="77777777"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4</w:t>
            </w:r>
          </w:p>
        </w:tc>
        <w:tc>
          <w:tcPr>
            <w:tcW w:w="2217" w:type="dxa"/>
            <w:tcBorders>
              <w:top w:val="nil"/>
              <w:left w:val="nil"/>
              <w:bottom w:val="single" w:sz="8" w:space="0" w:color="auto"/>
              <w:right w:val="single" w:sz="8" w:space="0" w:color="auto"/>
            </w:tcBorders>
            <w:shd w:val="clear" w:color="auto" w:fill="auto"/>
            <w:noWrap/>
            <w:vAlign w:val="center"/>
            <w:hideMark/>
          </w:tcPr>
          <w:p w14:paraId="18E3E829" w14:textId="17C9FEEF"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 xml:space="preserve">              9,</w:t>
            </w:r>
            <w:r w:rsidRPr="00CA6469">
              <w:rPr>
                <w:rFonts w:ascii="Calibri" w:eastAsia="Times New Roman" w:hAnsi="Calibri"/>
                <w:color w:val="000000"/>
                <w:sz w:val="22"/>
              </w:rPr>
              <w:t xml:space="preserve">919 </w:t>
            </w:r>
          </w:p>
        </w:tc>
      </w:tr>
      <w:tr w:rsidR="00CA6469" w:rsidRPr="00CA6469" w14:paraId="39023A36"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000000" w:fill="DFDFDF"/>
            <w:noWrap/>
            <w:vAlign w:val="center"/>
            <w:hideMark/>
          </w:tcPr>
          <w:p w14:paraId="2364C0DD" w14:textId="02E39E52"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4.</w:t>
            </w:r>
            <w:r w:rsidRPr="00CA6469">
              <w:rPr>
                <w:rFonts w:ascii="Calibri" w:eastAsia="Times New Roman" w:hAnsi="Calibri"/>
                <w:color w:val="000000"/>
                <w:sz w:val="22"/>
              </w:rPr>
              <w:t>53</w:t>
            </w:r>
          </w:p>
        </w:tc>
        <w:tc>
          <w:tcPr>
            <w:tcW w:w="2217" w:type="dxa"/>
            <w:tcBorders>
              <w:top w:val="nil"/>
              <w:left w:val="nil"/>
              <w:bottom w:val="single" w:sz="8" w:space="0" w:color="auto"/>
              <w:right w:val="single" w:sz="8" w:space="0" w:color="auto"/>
            </w:tcBorders>
            <w:shd w:val="clear" w:color="000000" w:fill="DFDFDF"/>
            <w:noWrap/>
            <w:vAlign w:val="center"/>
            <w:hideMark/>
          </w:tcPr>
          <w:p w14:paraId="6B47B546" w14:textId="23477B2D"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 xml:space="preserve">            10,</w:t>
            </w:r>
            <w:r w:rsidRPr="00CA6469">
              <w:rPr>
                <w:rFonts w:ascii="Calibri" w:eastAsia="Times New Roman" w:hAnsi="Calibri"/>
                <w:color w:val="000000"/>
                <w:sz w:val="22"/>
              </w:rPr>
              <w:t xml:space="preserve">140 </w:t>
            </w:r>
          </w:p>
        </w:tc>
      </w:tr>
      <w:tr w:rsidR="00CA6469" w:rsidRPr="00CA6469" w14:paraId="291688CD"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25800628" w14:textId="77777777"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8</w:t>
            </w:r>
          </w:p>
        </w:tc>
        <w:tc>
          <w:tcPr>
            <w:tcW w:w="2217" w:type="dxa"/>
            <w:tcBorders>
              <w:top w:val="nil"/>
              <w:left w:val="nil"/>
              <w:bottom w:val="single" w:sz="8" w:space="0" w:color="auto"/>
              <w:right w:val="single" w:sz="8" w:space="0" w:color="auto"/>
            </w:tcBorders>
            <w:shd w:val="clear" w:color="auto" w:fill="auto"/>
            <w:noWrap/>
            <w:vAlign w:val="center"/>
            <w:hideMark/>
          </w:tcPr>
          <w:p w14:paraId="3B78EC85" w14:textId="1EC2689E"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 xml:space="preserve">            11,</w:t>
            </w:r>
            <w:r w:rsidRPr="00CA6469">
              <w:rPr>
                <w:rFonts w:ascii="Calibri" w:eastAsia="Times New Roman" w:hAnsi="Calibri"/>
                <w:color w:val="000000"/>
                <w:sz w:val="22"/>
              </w:rPr>
              <w:t xml:space="preserve">583 </w:t>
            </w:r>
          </w:p>
        </w:tc>
      </w:tr>
      <w:tr w:rsidR="00CA6469" w:rsidRPr="00CA6469" w14:paraId="54507CF4"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608AFC2F" w14:textId="77777777"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12</w:t>
            </w:r>
          </w:p>
        </w:tc>
        <w:tc>
          <w:tcPr>
            <w:tcW w:w="2217" w:type="dxa"/>
            <w:tcBorders>
              <w:top w:val="nil"/>
              <w:left w:val="nil"/>
              <w:bottom w:val="single" w:sz="8" w:space="0" w:color="auto"/>
              <w:right w:val="single" w:sz="8" w:space="0" w:color="auto"/>
            </w:tcBorders>
            <w:shd w:val="clear" w:color="auto" w:fill="auto"/>
            <w:noWrap/>
            <w:vAlign w:val="center"/>
            <w:hideMark/>
          </w:tcPr>
          <w:p w14:paraId="4EF97D80" w14:textId="0E5BE304"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 xml:space="preserve">            13,</w:t>
            </w:r>
            <w:r w:rsidRPr="00CA6469">
              <w:rPr>
                <w:rFonts w:ascii="Calibri" w:eastAsia="Times New Roman" w:hAnsi="Calibri"/>
                <w:color w:val="000000"/>
                <w:sz w:val="22"/>
              </w:rPr>
              <w:t xml:space="preserve">247 </w:t>
            </w:r>
          </w:p>
        </w:tc>
      </w:tr>
      <w:tr w:rsidR="00CA6469" w:rsidRPr="00CA6469" w14:paraId="5234F9BA"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2ED6743C" w14:textId="77777777"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16</w:t>
            </w:r>
          </w:p>
        </w:tc>
        <w:tc>
          <w:tcPr>
            <w:tcW w:w="2217" w:type="dxa"/>
            <w:tcBorders>
              <w:top w:val="nil"/>
              <w:left w:val="nil"/>
              <w:bottom w:val="single" w:sz="8" w:space="0" w:color="auto"/>
              <w:right w:val="single" w:sz="8" w:space="0" w:color="auto"/>
            </w:tcBorders>
            <w:shd w:val="clear" w:color="auto" w:fill="auto"/>
            <w:noWrap/>
            <w:vAlign w:val="center"/>
            <w:hideMark/>
          </w:tcPr>
          <w:p w14:paraId="7435E23B" w14:textId="63561B07"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 xml:space="preserve">            14,</w:t>
            </w:r>
            <w:r w:rsidRPr="00CA6469">
              <w:rPr>
                <w:rFonts w:ascii="Calibri" w:eastAsia="Times New Roman" w:hAnsi="Calibri"/>
                <w:color w:val="000000"/>
                <w:sz w:val="22"/>
              </w:rPr>
              <w:t xml:space="preserve">911 </w:t>
            </w:r>
          </w:p>
        </w:tc>
      </w:tr>
      <w:tr w:rsidR="00CA6469" w:rsidRPr="00CA6469" w14:paraId="6DCE8B92"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555D3DFE" w14:textId="77777777"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20</w:t>
            </w:r>
          </w:p>
        </w:tc>
        <w:tc>
          <w:tcPr>
            <w:tcW w:w="2217" w:type="dxa"/>
            <w:tcBorders>
              <w:top w:val="nil"/>
              <w:left w:val="nil"/>
              <w:bottom w:val="single" w:sz="8" w:space="0" w:color="auto"/>
              <w:right w:val="single" w:sz="8" w:space="0" w:color="auto"/>
            </w:tcBorders>
            <w:shd w:val="clear" w:color="auto" w:fill="auto"/>
            <w:noWrap/>
            <w:vAlign w:val="center"/>
            <w:hideMark/>
          </w:tcPr>
          <w:p w14:paraId="752028EA" w14:textId="340E7743"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 xml:space="preserve">            16,</w:t>
            </w:r>
            <w:r w:rsidRPr="00CA6469">
              <w:rPr>
                <w:rFonts w:ascii="Calibri" w:eastAsia="Times New Roman" w:hAnsi="Calibri"/>
                <w:color w:val="000000"/>
                <w:sz w:val="22"/>
              </w:rPr>
              <w:t xml:space="preserve">574 </w:t>
            </w:r>
          </w:p>
        </w:tc>
      </w:tr>
    </w:tbl>
    <w:p w14:paraId="07409E24" w14:textId="77777777" w:rsidR="00CA6469" w:rsidRPr="00CA6469" w:rsidRDefault="00CA6469" w:rsidP="00CA6469">
      <w:pPr>
        <w:rPr>
          <w:lang w:val="es-ES_tradnl"/>
        </w:rPr>
      </w:pPr>
    </w:p>
    <w:p w14:paraId="78C3D568" w14:textId="77777777" w:rsidR="007824DC" w:rsidRPr="00903982" w:rsidRDefault="00C8172F" w:rsidP="007824DC">
      <w:pPr>
        <w:spacing w:after="160" w:line="259" w:lineRule="auto"/>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26AF70E4" w14:textId="77777777" w:rsidR="00903982" w:rsidRPr="00903982" w:rsidRDefault="00903982">
      <w:pPr>
        <w:spacing w:after="160" w:line="259" w:lineRule="auto"/>
        <w:rPr>
          <w:rFonts w:asciiTheme="minorHAnsi" w:hAnsiTheme="minorHAnsi"/>
          <w:b/>
          <w:sz w:val="22"/>
          <w:lang w:val="es-ES_tradnl"/>
        </w:rPr>
      </w:pPr>
      <w:r w:rsidRPr="00903982">
        <w:rPr>
          <w:rFonts w:asciiTheme="minorHAnsi" w:hAnsiTheme="minorHAnsi"/>
          <w:b/>
          <w:sz w:val="22"/>
          <w:lang w:val="es-ES_tradnl"/>
        </w:rPr>
        <w:br w:type="page"/>
      </w:r>
    </w:p>
    <w:p w14:paraId="62CECED3" w14:textId="179E159A" w:rsidR="00B753F5" w:rsidRPr="00903982" w:rsidRDefault="00B753F5" w:rsidP="007824DC">
      <w:pPr>
        <w:spacing w:after="160" w:line="259" w:lineRule="auto"/>
        <w:jc w:val="center"/>
        <w:rPr>
          <w:rFonts w:asciiTheme="minorHAnsi" w:hAnsiTheme="minorHAnsi" w:cs="Arial"/>
          <w:bCs/>
          <w:sz w:val="22"/>
          <w:szCs w:val="22"/>
          <w:lang w:val="es-ES_tradnl"/>
        </w:rPr>
      </w:pPr>
      <w:r w:rsidRPr="00903982">
        <w:rPr>
          <w:rFonts w:asciiTheme="minorHAnsi" w:hAnsiTheme="minorHAnsi"/>
          <w:b/>
          <w:sz w:val="22"/>
          <w:lang w:val="es-ES_tradnl"/>
        </w:rPr>
        <w:lastRenderedPageBreak/>
        <w:t xml:space="preserve">Ilustración </w:t>
      </w:r>
      <w:r w:rsidRPr="00903982">
        <w:rPr>
          <w:rFonts w:asciiTheme="minorHAnsi" w:hAnsiTheme="minorHAnsi"/>
          <w:b/>
          <w:sz w:val="22"/>
          <w:lang w:val="es-ES_tradnl"/>
        </w:rPr>
        <w:fldChar w:fldCharType="begin"/>
      </w:r>
      <w:r w:rsidRPr="00903982">
        <w:rPr>
          <w:rFonts w:asciiTheme="minorHAnsi" w:hAnsiTheme="minorHAnsi"/>
          <w:b/>
          <w:sz w:val="22"/>
          <w:lang w:val="es-ES_tradnl"/>
        </w:rPr>
        <w:instrText xml:space="preserve"> SEQ Ilustración \* ARABIC </w:instrText>
      </w:r>
      <w:r w:rsidRPr="00903982">
        <w:rPr>
          <w:rFonts w:asciiTheme="minorHAnsi" w:hAnsiTheme="minorHAnsi"/>
          <w:b/>
          <w:sz w:val="22"/>
          <w:lang w:val="es-ES_tradnl"/>
        </w:rPr>
        <w:fldChar w:fldCharType="separate"/>
      </w:r>
      <w:r w:rsidRPr="00903982">
        <w:rPr>
          <w:rFonts w:asciiTheme="minorHAnsi" w:hAnsiTheme="minorHAnsi"/>
          <w:b/>
          <w:noProof/>
          <w:sz w:val="22"/>
          <w:lang w:val="es-ES_tradnl"/>
        </w:rPr>
        <w:t>7</w:t>
      </w:r>
      <w:r w:rsidRPr="00903982">
        <w:rPr>
          <w:rFonts w:asciiTheme="minorHAnsi" w:hAnsiTheme="minorHAnsi"/>
          <w:b/>
          <w:sz w:val="22"/>
          <w:lang w:val="es-ES_tradnl"/>
        </w:rPr>
        <w:fldChar w:fldCharType="end"/>
      </w:r>
      <w:r w:rsidRPr="00903982">
        <w:rPr>
          <w:rFonts w:asciiTheme="minorHAnsi" w:hAnsiTheme="minorHAnsi"/>
          <w:b/>
          <w:sz w:val="22"/>
          <w:lang w:val="es-ES_tradnl"/>
        </w:rPr>
        <w:t xml:space="preserve"> Utilidad Programa para diferentes precios de la reducción de emisiones de CO2 equivalente</w:t>
      </w:r>
    </w:p>
    <w:p w14:paraId="159D1939" w14:textId="1B386FE6" w:rsidR="00B753F5" w:rsidRPr="00903982" w:rsidRDefault="00CA6469" w:rsidP="00CA6469">
      <w:pPr>
        <w:pStyle w:val="ListParagraph"/>
        <w:spacing w:after="100" w:afterAutospacing="1"/>
        <w:jc w:val="center"/>
        <w:rPr>
          <w:rFonts w:cs="Arial"/>
          <w:lang w:val="es-ES_tradnl"/>
        </w:rPr>
      </w:pPr>
      <w:r>
        <w:rPr>
          <w:noProof/>
          <w:lang w:val="en-US"/>
        </w:rPr>
        <w:drawing>
          <wp:inline distT="0" distB="0" distL="0" distR="0" wp14:anchorId="5F297988" wp14:editId="27ECD0E3">
            <wp:extent cx="3162300" cy="2867025"/>
            <wp:effectExtent l="0" t="0" r="1905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6DD50EF" w14:textId="55F84B97" w:rsidR="00B753F5" w:rsidRPr="00903982" w:rsidRDefault="00B753F5" w:rsidP="00B753F5">
      <w:pPr>
        <w:spacing w:after="160" w:line="259" w:lineRule="auto"/>
        <w:jc w:val="center"/>
        <w:rPr>
          <w:rFonts w:asciiTheme="majorHAnsi" w:eastAsiaTheme="majorEastAsia" w:hAnsiTheme="majorHAnsi" w:cstheme="majorBidi"/>
          <w:color w:val="A5A5A5" w:themeColor="accent1" w:themeShade="BF"/>
          <w:sz w:val="32"/>
          <w:szCs w:val="32"/>
          <w:lang w:val="es-ES_tradnl"/>
        </w:rPr>
      </w:pPr>
      <w:r w:rsidRPr="00903982">
        <w:rPr>
          <w:rFonts w:asciiTheme="minorHAnsi" w:hAnsiTheme="minorHAnsi" w:cs="Arial"/>
          <w:bCs/>
          <w:sz w:val="22"/>
          <w:szCs w:val="22"/>
          <w:lang w:val="es-ES_tradnl"/>
        </w:rPr>
        <w:t>Fuente: Elaboración propia en base a resultados</w:t>
      </w:r>
    </w:p>
    <w:p w14:paraId="55BFB0B5" w14:textId="40DA2D63" w:rsidR="00B568CC" w:rsidRDefault="007D0267" w:rsidP="00B753F5">
      <w:pPr>
        <w:pStyle w:val="ListParagraph"/>
        <w:spacing w:after="100" w:afterAutospacing="1"/>
        <w:jc w:val="both"/>
        <w:rPr>
          <w:rFonts w:cs="Arial"/>
          <w:lang w:val="es-ES_tradnl"/>
        </w:rPr>
      </w:pPr>
      <w:r w:rsidRPr="00903982">
        <w:rPr>
          <w:rFonts w:cs="Arial"/>
          <w:lang w:val="es-ES_tradnl"/>
        </w:rPr>
        <w:t xml:space="preserve">El impacto del precio de los certificados de reducción de emisiones es claro debido a que 3 de las 4 medidas consideran la valoración de menores emisiones.  Sin embargo, este efecto es menor debido a que la valoración de dichas emisiones en menor en valor absoluto frente a los cambios en costos de inversión u operación.  De hecho, un cambio que lleve al precio de los certificados de emisiones a casi 5 veces su valor a 20 dólares por </w:t>
      </w:r>
      <w:r w:rsidR="002443E0" w:rsidRPr="00903982">
        <w:rPr>
          <w:rFonts w:cs="Arial"/>
          <w:lang w:val="es-ES_tradnl"/>
        </w:rPr>
        <w:t>tonelada</w:t>
      </w:r>
      <w:r w:rsidRPr="00903982">
        <w:rPr>
          <w:rFonts w:cs="Arial"/>
          <w:lang w:val="es-ES_tradnl"/>
        </w:rPr>
        <w:t xml:space="preserve"> aumenta la </w:t>
      </w:r>
      <w:r w:rsidR="00903982" w:rsidRPr="00903982">
        <w:rPr>
          <w:rFonts w:cs="Arial"/>
          <w:lang w:val="es-ES_tradnl"/>
        </w:rPr>
        <w:t>utilidad</w:t>
      </w:r>
      <w:r w:rsidR="00D77F48">
        <w:rPr>
          <w:rFonts w:cs="Arial"/>
          <w:lang w:val="es-ES_tradnl"/>
        </w:rPr>
        <w:t xml:space="preserve"> de 10,140 a 16,574</w:t>
      </w:r>
      <w:r w:rsidRPr="00903982">
        <w:rPr>
          <w:rFonts w:cs="Arial"/>
          <w:lang w:val="es-ES_tradnl"/>
        </w:rPr>
        <w:t xml:space="preserve"> millones de dólares, lo que implica un 31,3% más utilidad. </w:t>
      </w:r>
    </w:p>
    <w:p w14:paraId="0D0C073C" w14:textId="2658E2FD" w:rsidR="002443E0" w:rsidRDefault="002443E0" w:rsidP="00B753F5">
      <w:pPr>
        <w:pStyle w:val="ListParagraph"/>
        <w:spacing w:after="100" w:afterAutospacing="1"/>
        <w:jc w:val="both"/>
        <w:rPr>
          <w:rFonts w:cs="Arial"/>
          <w:lang w:val="es-ES_tradnl"/>
        </w:rPr>
      </w:pPr>
    </w:p>
    <w:p w14:paraId="3B08D9C8" w14:textId="06E05AE2" w:rsidR="002443E0" w:rsidRPr="00903982" w:rsidRDefault="002443E0" w:rsidP="00B753F5">
      <w:pPr>
        <w:pStyle w:val="ListParagraph"/>
        <w:spacing w:after="100" w:afterAutospacing="1"/>
        <w:jc w:val="both"/>
        <w:rPr>
          <w:rFonts w:cs="Arial"/>
          <w:lang w:val="es-ES_tradnl"/>
        </w:rPr>
      </w:pPr>
      <w:r>
        <w:rPr>
          <w:rFonts w:cs="Arial"/>
          <w:lang w:val="es-ES_tradnl"/>
        </w:rPr>
        <w:t xml:space="preserve">Como se mencionó en el párrafo anterior el efecto de posibles cambios en los precios de los certificados de emisiones es menor, sin embargo, en caso de que estos disminuyeran, siguen existiendo mecanismos y fondos de financiamiento no reembolsable que pueden compensar esta reducción. Estos fondos han sido y son utilizados por el Gobierno de México, como son los </w:t>
      </w:r>
      <w:proofErr w:type="spellStart"/>
      <w:r>
        <w:rPr>
          <w:rFonts w:cs="Arial"/>
          <w:lang w:val="es-ES_tradnl"/>
        </w:rPr>
        <w:t>Climate</w:t>
      </w:r>
      <w:proofErr w:type="spellEnd"/>
      <w:r>
        <w:rPr>
          <w:rFonts w:cs="Arial"/>
          <w:lang w:val="es-ES_tradnl"/>
        </w:rPr>
        <w:t xml:space="preserve"> </w:t>
      </w:r>
      <w:proofErr w:type="spellStart"/>
      <w:r>
        <w:rPr>
          <w:rFonts w:cs="Arial"/>
          <w:lang w:val="es-ES_tradnl"/>
        </w:rPr>
        <w:t>Technology</w:t>
      </w:r>
      <w:proofErr w:type="spellEnd"/>
      <w:r>
        <w:rPr>
          <w:rFonts w:cs="Arial"/>
          <w:lang w:val="es-ES_tradnl"/>
        </w:rPr>
        <w:t xml:space="preserve"> </w:t>
      </w:r>
      <w:proofErr w:type="spellStart"/>
      <w:r>
        <w:rPr>
          <w:rFonts w:cs="Arial"/>
          <w:lang w:val="es-ES_tradnl"/>
        </w:rPr>
        <w:t>Fund</w:t>
      </w:r>
      <w:proofErr w:type="spellEnd"/>
      <w:r>
        <w:rPr>
          <w:rFonts w:cs="Arial"/>
          <w:lang w:val="es-ES_tradnl"/>
        </w:rPr>
        <w:t xml:space="preserve">, </w:t>
      </w:r>
      <w:proofErr w:type="spellStart"/>
      <w:r>
        <w:rPr>
          <w:rFonts w:cs="Arial"/>
          <w:lang w:val="es-ES_tradnl"/>
        </w:rPr>
        <w:t>Climate</w:t>
      </w:r>
      <w:proofErr w:type="spellEnd"/>
      <w:r>
        <w:rPr>
          <w:rFonts w:cs="Arial"/>
          <w:lang w:val="es-ES_tradnl"/>
        </w:rPr>
        <w:t xml:space="preserve"> </w:t>
      </w:r>
      <w:proofErr w:type="spellStart"/>
      <w:r>
        <w:rPr>
          <w:rFonts w:cs="Arial"/>
          <w:lang w:val="es-ES_tradnl"/>
        </w:rPr>
        <w:t>Investment</w:t>
      </w:r>
      <w:proofErr w:type="spellEnd"/>
      <w:r>
        <w:rPr>
          <w:rFonts w:cs="Arial"/>
          <w:lang w:val="es-ES_tradnl"/>
        </w:rPr>
        <w:t xml:space="preserve"> </w:t>
      </w:r>
      <w:proofErr w:type="spellStart"/>
      <w:proofErr w:type="gramStart"/>
      <w:r>
        <w:rPr>
          <w:rFonts w:cs="Arial"/>
          <w:lang w:val="es-ES_tradnl"/>
        </w:rPr>
        <w:t>Fund,Global</w:t>
      </w:r>
      <w:proofErr w:type="spellEnd"/>
      <w:proofErr w:type="gramEnd"/>
      <w:r>
        <w:rPr>
          <w:rFonts w:cs="Arial"/>
          <w:lang w:val="es-ES_tradnl"/>
        </w:rPr>
        <w:t xml:space="preserve"> </w:t>
      </w:r>
      <w:proofErr w:type="spellStart"/>
      <w:r>
        <w:rPr>
          <w:rFonts w:cs="Arial"/>
          <w:lang w:val="es-ES_tradnl"/>
        </w:rPr>
        <w:t>Environmental</w:t>
      </w:r>
      <w:proofErr w:type="spellEnd"/>
      <w:r>
        <w:rPr>
          <w:rFonts w:cs="Arial"/>
          <w:lang w:val="es-ES_tradnl"/>
        </w:rPr>
        <w:t xml:space="preserve"> </w:t>
      </w:r>
      <w:proofErr w:type="spellStart"/>
      <w:r>
        <w:rPr>
          <w:rFonts w:cs="Arial"/>
          <w:lang w:val="es-ES_tradnl"/>
        </w:rPr>
        <w:t>Fund</w:t>
      </w:r>
      <w:proofErr w:type="spellEnd"/>
      <w:r>
        <w:rPr>
          <w:rFonts w:cs="Arial"/>
          <w:lang w:val="es-ES_tradnl"/>
        </w:rPr>
        <w:t xml:space="preserve">, así como fondos de países y se espera también tener </w:t>
      </w:r>
      <w:proofErr w:type="spellStart"/>
      <w:r>
        <w:rPr>
          <w:rFonts w:cs="Arial"/>
          <w:lang w:val="es-ES_tradnl"/>
        </w:rPr>
        <w:t>aceso</w:t>
      </w:r>
      <w:proofErr w:type="spellEnd"/>
      <w:r>
        <w:rPr>
          <w:rFonts w:cs="Arial"/>
          <w:lang w:val="es-ES_tradnl"/>
        </w:rPr>
        <w:t xml:space="preserve"> a los recursos del Global </w:t>
      </w:r>
      <w:proofErr w:type="spellStart"/>
      <w:r>
        <w:rPr>
          <w:rFonts w:cs="Arial"/>
          <w:lang w:val="es-ES_tradnl"/>
        </w:rPr>
        <w:t>Climate</w:t>
      </w:r>
      <w:proofErr w:type="spellEnd"/>
      <w:r>
        <w:rPr>
          <w:rFonts w:cs="Arial"/>
          <w:lang w:val="es-ES_tradnl"/>
        </w:rPr>
        <w:t xml:space="preserve"> </w:t>
      </w:r>
      <w:proofErr w:type="spellStart"/>
      <w:r>
        <w:rPr>
          <w:rFonts w:cs="Arial"/>
          <w:lang w:val="es-ES_tradnl"/>
        </w:rPr>
        <w:t>Fund</w:t>
      </w:r>
      <w:proofErr w:type="spellEnd"/>
      <w:r>
        <w:rPr>
          <w:rFonts w:cs="Arial"/>
          <w:lang w:val="es-ES_tradnl"/>
        </w:rPr>
        <w:t>.</w:t>
      </w:r>
    </w:p>
    <w:p w14:paraId="0B86AEBC" w14:textId="77777777" w:rsidR="00B568CC" w:rsidRPr="00903982" w:rsidRDefault="00B568CC" w:rsidP="00B568CC">
      <w:pPr>
        <w:pStyle w:val="ListParagraph"/>
        <w:spacing w:after="100" w:afterAutospacing="1"/>
        <w:jc w:val="both"/>
        <w:rPr>
          <w:rFonts w:cs="Arial"/>
          <w:lang w:val="es-ES_tradnl"/>
        </w:rPr>
      </w:pPr>
    </w:p>
    <w:p w14:paraId="5004E4FA" w14:textId="346E4C70" w:rsidR="00395F59" w:rsidRDefault="00395F59" w:rsidP="00280D79">
      <w:pPr>
        <w:pStyle w:val="ListParagraph"/>
        <w:numPr>
          <w:ilvl w:val="0"/>
          <w:numId w:val="41"/>
        </w:numPr>
        <w:spacing w:after="100" w:afterAutospacing="1"/>
        <w:jc w:val="both"/>
        <w:rPr>
          <w:rFonts w:cs="Arial"/>
          <w:lang w:val="es-ES_tradnl"/>
        </w:rPr>
      </w:pPr>
      <w:r w:rsidRPr="00903982">
        <w:rPr>
          <w:rFonts w:cs="Arial"/>
          <w:lang w:val="es-ES_tradnl"/>
        </w:rPr>
        <w:t>Menor crecimiento de la economía.  Sin duda un</w:t>
      </w:r>
      <w:r w:rsidR="00B753F5" w:rsidRPr="00903982">
        <w:rPr>
          <w:rFonts w:cs="Arial"/>
          <w:lang w:val="es-ES_tradnl"/>
        </w:rPr>
        <w:t xml:space="preserve"> menor crecimiento llevará a </w:t>
      </w:r>
      <w:r w:rsidR="002443E0" w:rsidRPr="00903982">
        <w:rPr>
          <w:rFonts w:cs="Arial"/>
          <w:lang w:val="es-ES_tradnl"/>
        </w:rPr>
        <w:t>una menor tasa</w:t>
      </w:r>
      <w:r w:rsidRPr="00903982">
        <w:rPr>
          <w:rFonts w:cs="Arial"/>
          <w:lang w:val="es-ES_tradnl"/>
        </w:rPr>
        <w:t xml:space="preserve"> de recambio de tecnología, lo que redundará en un menor impacto en menores emisiones y menores</w:t>
      </w:r>
      <w:r w:rsidR="00B753F5" w:rsidRPr="00903982">
        <w:rPr>
          <w:rFonts w:cs="Arial"/>
          <w:lang w:val="es-ES_tradnl"/>
        </w:rPr>
        <w:t xml:space="preserve"> ahorros en gastos de operación, pero a su vez en menos inversión.</w:t>
      </w:r>
    </w:p>
    <w:p w14:paraId="0677377D" w14:textId="77777777" w:rsidR="002443E0" w:rsidRPr="002443E0" w:rsidRDefault="002443E0" w:rsidP="002443E0">
      <w:pPr>
        <w:spacing w:after="100" w:afterAutospacing="1"/>
        <w:jc w:val="both"/>
        <w:rPr>
          <w:rFonts w:cs="Arial"/>
          <w:lang w:val="es-ES_tradnl"/>
        </w:rPr>
      </w:pPr>
    </w:p>
    <w:p w14:paraId="346B2944" w14:textId="338AA5CC" w:rsidR="00B83C2A" w:rsidRPr="00903982" w:rsidRDefault="00B83C2A" w:rsidP="00B83C2A">
      <w:pPr>
        <w:pStyle w:val="Caption"/>
        <w:keepNext/>
        <w:ind w:left="720"/>
        <w:rPr>
          <w:rFonts w:asciiTheme="minorHAnsi" w:hAnsiTheme="minorHAnsi"/>
          <w:b w:val="0"/>
          <w:sz w:val="22"/>
          <w:lang w:val="es-ES_tradnl"/>
        </w:rPr>
      </w:pPr>
      <w:r w:rsidRPr="00903982">
        <w:rPr>
          <w:rFonts w:asciiTheme="minorHAnsi" w:hAnsiTheme="minorHAnsi"/>
          <w:b w:val="0"/>
          <w:sz w:val="22"/>
          <w:lang w:val="es-ES_tradnl"/>
        </w:rPr>
        <w:lastRenderedPageBreak/>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Pr="00903982">
        <w:rPr>
          <w:rFonts w:asciiTheme="minorHAnsi" w:hAnsiTheme="minorHAnsi"/>
          <w:b w:val="0"/>
          <w:noProof/>
          <w:sz w:val="22"/>
          <w:lang w:val="es-ES_tradnl"/>
        </w:rPr>
        <w:t>21</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Sensibilidad de la utilidad del Programa a la tasa de crecimiento del PIB</w:t>
      </w:r>
    </w:p>
    <w:tbl>
      <w:tblPr>
        <w:tblW w:w="4255" w:type="dxa"/>
        <w:jc w:val="center"/>
        <w:tblCellMar>
          <w:left w:w="70" w:type="dxa"/>
          <w:right w:w="70" w:type="dxa"/>
        </w:tblCellMar>
        <w:tblLook w:val="04A0" w:firstRow="1" w:lastRow="0" w:firstColumn="1" w:lastColumn="0" w:noHBand="0" w:noVBand="1"/>
      </w:tblPr>
      <w:tblGrid>
        <w:gridCol w:w="2180"/>
        <w:gridCol w:w="2075"/>
      </w:tblGrid>
      <w:tr w:rsidR="00CA6469" w:rsidRPr="00CA6469" w14:paraId="11AB7FAA" w14:textId="77777777" w:rsidTr="00CA6469">
        <w:trPr>
          <w:trHeight w:val="330"/>
          <w:jc w:val="center"/>
        </w:trPr>
        <w:tc>
          <w:tcPr>
            <w:tcW w:w="2180" w:type="dxa"/>
            <w:tcBorders>
              <w:top w:val="single" w:sz="8" w:space="0" w:color="auto"/>
              <w:left w:val="single" w:sz="8" w:space="0" w:color="auto"/>
              <w:bottom w:val="single" w:sz="8" w:space="0" w:color="auto"/>
              <w:right w:val="single" w:sz="8" w:space="0" w:color="auto"/>
            </w:tcBorders>
            <w:shd w:val="clear" w:color="000000" w:fill="DFDFDF"/>
            <w:noWrap/>
            <w:vAlign w:val="center"/>
            <w:hideMark/>
          </w:tcPr>
          <w:p w14:paraId="60B68F94" w14:textId="77777777" w:rsidR="00CA6469" w:rsidRPr="00CA6469" w:rsidRDefault="00CA6469" w:rsidP="00CA6469">
            <w:pPr>
              <w:rPr>
                <w:rFonts w:ascii="Calibri" w:eastAsia="Times New Roman" w:hAnsi="Calibri"/>
                <w:color w:val="000000"/>
                <w:sz w:val="22"/>
              </w:rPr>
            </w:pPr>
            <w:r w:rsidRPr="00CA6469">
              <w:rPr>
                <w:rFonts w:ascii="Calibri" w:eastAsia="Times New Roman" w:hAnsi="Calibri"/>
                <w:color w:val="000000"/>
                <w:sz w:val="22"/>
              </w:rPr>
              <w:t>Tasa de Crecimiento PIB</w:t>
            </w:r>
          </w:p>
        </w:tc>
        <w:tc>
          <w:tcPr>
            <w:tcW w:w="2075" w:type="dxa"/>
            <w:tcBorders>
              <w:top w:val="single" w:sz="8" w:space="0" w:color="auto"/>
              <w:left w:val="nil"/>
              <w:bottom w:val="single" w:sz="8" w:space="0" w:color="auto"/>
              <w:right w:val="single" w:sz="8" w:space="0" w:color="auto"/>
            </w:tcBorders>
            <w:shd w:val="clear" w:color="000000" w:fill="DFDFDF"/>
            <w:noWrap/>
            <w:vAlign w:val="center"/>
            <w:hideMark/>
          </w:tcPr>
          <w:p w14:paraId="56AEF9A1" w14:textId="77777777" w:rsidR="00CA6469" w:rsidRPr="00CA6469" w:rsidRDefault="00CA6469" w:rsidP="00CA6469">
            <w:pPr>
              <w:rPr>
                <w:rFonts w:ascii="Calibri" w:eastAsia="Times New Roman" w:hAnsi="Calibri"/>
                <w:color w:val="000000"/>
                <w:sz w:val="22"/>
              </w:rPr>
            </w:pPr>
            <w:r w:rsidRPr="00CA6469">
              <w:rPr>
                <w:rFonts w:ascii="Calibri" w:eastAsia="Times New Roman" w:hAnsi="Calibri"/>
                <w:color w:val="000000"/>
                <w:sz w:val="22"/>
              </w:rPr>
              <w:t>Utilidad Programa en Millones de US$</w:t>
            </w:r>
          </w:p>
        </w:tc>
      </w:tr>
      <w:tr w:rsidR="00CA6469" w:rsidRPr="00CA6469" w14:paraId="1EB85485"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7B4D5EFE" w14:textId="715E1D3E"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1.</w:t>
            </w:r>
            <w:r w:rsidRPr="00CA6469">
              <w:rPr>
                <w:rFonts w:ascii="Calibri" w:eastAsia="Times New Roman" w:hAnsi="Calibri"/>
                <w:color w:val="000000"/>
                <w:sz w:val="22"/>
              </w:rPr>
              <w:t>9%</w:t>
            </w:r>
          </w:p>
        </w:tc>
        <w:tc>
          <w:tcPr>
            <w:tcW w:w="2075" w:type="dxa"/>
            <w:tcBorders>
              <w:top w:val="nil"/>
              <w:left w:val="nil"/>
              <w:bottom w:val="single" w:sz="8" w:space="0" w:color="auto"/>
              <w:right w:val="single" w:sz="8" w:space="0" w:color="auto"/>
            </w:tcBorders>
            <w:shd w:val="clear" w:color="auto" w:fill="auto"/>
            <w:noWrap/>
            <w:vAlign w:val="center"/>
            <w:hideMark/>
          </w:tcPr>
          <w:p w14:paraId="624225FD" w14:textId="2A020362"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9</w:t>
            </w:r>
            <w:r>
              <w:rPr>
                <w:rFonts w:ascii="Calibri" w:eastAsia="Times New Roman" w:hAnsi="Calibri"/>
                <w:color w:val="000000"/>
                <w:sz w:val="22"/>
              </w:rPr>
              <w:t>,</w:t>
            </w:r>
            <w:r w:rsidRPr="00CA6469">
              <w:rPr>
                <w:rFonts w:ascii="Calibri" w:eastAsia="Times New Roman" w:hAnsi="Calibri"/>
                <w:color w:val="000000"/>
                <w:sz w:val="22"/>
              </w:rPr>
              <w:t>942</w:t>
            </w:r>
          </w:p>
        </w:tc>
      </w:tr>
      <w:tr w:rsidR="00CA6469" w:rsidRPr="00CA6469" w14:paraId="49A11953"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208F4497" w14:textId="3A192B06"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2.</w:t>
            </w:r>
            <w:r w:rsidRPr="00CA6469">
              <w:rPr>
                <w:rFonts w:ascii="Calibri" w:eastAsia="Times New Roman" w:hAnsi="Calibri"/>
                <w:color w:val="000000"/>
                <w:sz w:val="22"/>
              </w:rPr>
              <w:t>4%</w:t>
            </w:r>
          </w:p>
        </w:tc>
        <w:tc>
          <w:tcPr>
            <w:tcW w:w="2075" w:type="dxa"/>
            <w:tcBorders>
              <w:top w:val="nil"/>
              <w:left w:val="nil"/>
              <w:bottom w:val="single" w:sz="8" w:space="0" w:color="auto"/>
              <w:right w:val="single" w:sz="8" w:space="0" w:color="auto"/>
            </w:tcBorders>
            <w:shd w:val="clear" w:color="auto" w:fill="auto"/>
            <w:noWrap/>
            <w:vAlign w:val="center"/>
            <w:hideMark/>
          </w:tcPr>
          <w:p w14:paraId="33471944" w14:textId="2A48895D"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10</w:t>
            </w:r>
            <w:r>
              <w:rPr>
                <w:rFonts w:ascii="Calibri" w:eastAsia="Times New Roman" w:hAnsi="Calibri"/>
                <w:color w:val="000000"/>
                <w:sz w:val="22"/>
              </w:rPr>
              <w:t>,</w:t>
            </w:r>
            <w:r w:rsidRPr="00CA6469">
              <w:rPr>
                <w:rFonts w:ascii="Calibri" w:eastAsia="Times New Roman" w:hAnsi="Calibri"/>
                <w:color w:val="000000"/>
                <w:sz w:val="22"/>
              </w:rPr>
              <w:t>041</w:t>
            </w:r>
          </w:p>
        </w:tc>
      </w:tr>
      <w:tr w:rsidR="00CA6469" w:rsidRPr="00CA6469" w14:paraId="18CA707D"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000000" w:fill="D9D9D9"/>
            <w:noWrap/>
            <w:vAlign w:val="center"/>
            <w:hideMark/>
          </w:tcPr>
          <w:p w14:paraId="445553E7" w14:textId="4037074E"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2.</w:t>
            </w:r>
            <w:r w:rsidRPr="00CA6469">
              <w:rPr>
                <w:rFonts w:ascii="Calibri" w:eastAsia="Times New Roman" w:hAnsi="Calibri"/>
                <w:color w:val="000000"/>
                <w:sz w:val="22"/>
              </w:rPr>
              <w:t>9%</w:t>
            </w:r>
          </w:p>
        </w:tc>
        <w:tc>
          <w:tcPr>
            <w:tcW w:w="2075" w:type="dxa"/>
            <w:tcBorders>
              <w:top w:val="nil"/>
              <w:left w:val="nil"/>
              <w:bottom w:val="single" w:sz="8" w:space="0" w:color="auto"/>
              <w:right w:val="single" w:sz="8" w:space="0" w:color="auto"/>
            </w:tcBorders>
            <w:shd w:val="clear" w:color="000000" w:fill="D9D9D9"/>
            <w:noWrap/>
            <w:vAlign w:val="center"/>
            <w:hideMark/>
          </w:tcPr>
          <w:p w14:paraId="18809B17" w14:textId="3BCA888E"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10</w:t>
            </w:r>
            <w:r>
              <w:rPr>
                <w:rFonts w:ascii="Calibri" w:eastAsia="Times New Roman" w:hAnsi="Calibri"/>
                <w:color w:val="000000"/>
                <w:sz w:val="22"/>
              </w:rPr>
              <w:t>,</w:t>
            </w:r>
            <w:r w:rsidRPr="00CA6469">
              <w:rPr>
                <w:rFonts w:ascii="Calibri" w:eastAsia="Times New Roman" w:hAnsi="Calibri"/>
                <w:color w:val="000000"/>
                <w:sz w:val="22"/>
              </w:rPr>
              <w:t>140</w:t>
            </w:r>
          </w:p>
        </w:tc>
      </w:tr>
      <w:tr w:rsidR="00CA6469" w:rsidRPr="00CA6469" w14:paraId="05ACC001"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294A288E" w14:textId="00CF69AB"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3.</w:t>
            </w:r>
            <w:r w:rsidRPr="00CA6469">
              <w:rPr>
                <w:rFonts w:ascii="Calibri" w:eastAsia="Times New Roman" w:hAnsi="Calibri"/>
                <w:color w:val="000000"/>
                <w:sz w:val="22"/>
              </w:rPr>
              <w:t>4%</w:t>
            </w:r>
          </w:p>
        </w:tc>
        <w:tc>
          <w:tcPr>
            <w:tcW w:w="2075" w:type="dxa"/>
            <w:tcBorders>
              <w:top w:val="nil"/>
              <w:left w:val="nil"/>
              <w:bottom w:val="single" w:sz="8" w:space="0" w:color="auto"/>
              <w:right w:val="single" w:sz="8" w:space="0" w:color="auto"/>
            </w:tcBorders>
            <w:shd w:val="clear" w:color="auto" w:fill="auto"/>
            <w:noWrap/>
            <w:vAlign w:val="center"/>
            <w:hideMark/>
          </w:tcPr>
          <w:p w14:paraId="1D028B75" w14:textId="63E58C45"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10</w:t>
            </w:r>
            <w:r>
              <w:rPr>
                <w:rFonts w:ascii="Calibri" w:eastAsia="Times New Roman" w:hAnsi="Calibri"/>
                <w:color w:val="000000"/>
                <w:sz w:val="22"/>
              </w:rPr>
              <w:t>,</w:t>
            </w:r>
            <w:r w:rsidRPr="00CA6469">
              <w:rPr>
                <w:rFonts w:ascii="Calibri" w:eastAsia="Times New Roman" w:hAnsi="Calibri"/>
                <w:color w:val="000000"/>
                <w:sz w:val="22"/>
              </w:rPr>
              <w:t>238</w:t>
            </w:r>
          </w:p>
        </w:tc>
      </w:tr>
      <w:tr w:rsidR="00CA6469" w:rsidRPr="00CA6469" w14:paraId="227AF817"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4F4E9831" w14:textId="0B5369BA"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3.</w:t>
            </w:r>
            <w:r w:rsidRPr="00CA6469">
              <w:rPr>
                <w:rFonts w:ascii="Calibri" w:eastAsia="Times New Roman" w:hAnsi="Calibri"/>
                <w:color w:val="000000"/>
                <w:sz w:val="22"/>
              </w:rPr>
              <w:t>9%</w:t>
            </w:r>
          </w:p>
        </w:tc>
        <w:tc>
          <w:tcPr>
            <w:tcW w:w="2075" w:type="dxa"/>
            <w:tcBorders>
              <w:top w:val="nil"/>
              <w:left w:val="nil"/>
              <w:bottom w:val="single" w:sz="8" w:space="0" w:color="auto"/>
              <w:right w:val="single" w:sz="8" w:space="0" w:color="auto"/>
            </w:tcBorders>
            <w:shd w:val="clear" w:color="auto" w:fill="auto"/>
            <w:noWrap/>
            <w:vAlign w:val="center"/>
            <w:hideMark/>
          </w:tcPr>
          <w:p w14:paraId="153161A0" w14:textId="7843275A"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10</w:t>
            </w:r>
            <w:r>
              <w:rPr>
                <w:rFonts w:ascii="Calibri" w:eastAsia="Times New Roman" w:hAnsi="Calibri"/>
                <w:color w:val="000000"/>
                <w:sz w:val="22"/>
              </w:rPr>
              <w:t>,</w:t>
            </w:r>
            <w:r w:rsidRPr="00CA6469">
              <w:rPr>
                <w:rFonts w:ascii="Calibri" w:eastAsia="Times New Roman" w:hAnsi="Calibri"/>
                <w:color w:val="000000"/>
                <w:sz w:val="22"/>
              </w:rPr>
              <w:t>337</w:t>
            </w:r>
          </w:p>
        </w:tc>
      </w:tr>
      <w:tr w:rsidR="00CA6469" w:rsidRPr="00CA6469" w14:paraId="7072851A" w14:textId="77777777" w:rsidTr="00CA6469">
        <w:trPr>
          <w:trHeight w:val="330"/>
          <w:jc w:val="center"/>
        </w:trPr>
        <w:tc>
          <w:tcPr>
            <w:tcW w:w="2180" w:type="dxa"/>
            <w:tcBorders>
              <w:top w:val="nil"/>
              <w:left w:val="single" w:sz="8" w:space="0" w:color="auto"/>
              <w:bottom w:val="single" w:sz="8" w:space="0" w:color="auto"/>
              <w:right w:val="single" w:sz="8" w:space="0" w:color="auto"/>
            </w:tcBorders>
            <w:shd w:val="clear" w:color="auto" w:fill="auto"/>
            <w:noWrap/>
            <w:vAlign w:val="center"/>
            <w:hideMark/>
          </w:tcPr>
          <w:p w14:paraId="628C5056" w14:textId="5763BCE8" w:rsidR="00CA6469" w:rsidRPr="00CA6469" w:rsidRDefault="00CA6469" w:rsidP="00CA6469">
            <w:pPr>
              <w:jc w:val="right"/>
              <w:rPr>
                <w:rFonts w:ascii="Calibri" w:eastAsia="Times New Roman" w:hAnsi="Calibri"/>
                <w:color w:val="000000"/>
                <w:sz w:val="22"/>
              </w:rPr>
            </w:pPr>
            <w:r>
              <w:rPr>
                <w:rFonts w:ascii="Calibri" w:eastAsia="Times New Roman" w:hAnsi="Calibri"/>
                <w:color w:val="000000"/>
                <w:sz w:val="22"/>
              </w:rPr>
              <w:t>4.</w:t>
            </w:r>
            <w:r w:rsidRPr="00CA6469">
              <w:rPr>
                <w:rFonts w:ascii="Calibri" w:eastAsia="Times New Roman" w:hAnsi="Calibri"/>
                <w:color w:val="000000"/>
                <w:sz w:val="22"/>
              </w:rPr>
              <w:t>4%</w:t>
            </w:r>
          </w:p>
        </w:tc>
        <w:tc>
          <w:tcPr>
            <w:tcW w:w="2075" w:type="dxa"/>
            <w:tcBorders>
              <w:top w:val="nil"/>
              <w:left w:val="nil"/>
              <w:bottom w:val="single" w:sz="8" w:space="0" w:color="auto"/>
              <w:right w:val="single" w:sz="8" w:space="0" w:color="auto"/>
            </w:tcBorders>
            <w:shd w:val="clear" w:color="auto" w:fill="auto"/>
            <w:noWrap/>
            <w:vAlign w:val="center"/>
            <w:hideMark/>
          </w:tcPr>
          <w:p w14:paraId="3BF2E61C" w14:textId="4349A44D" w:rsidR="00CA6469" w:rsidRPr="00CA6469" w:rsidRDefault="00CA6469" w:rsidP="00CA6469">
            <w:pPr>
              <w:jc w:val="right"/>
              <w:rPr>
                <w:rFonts w:ascii="Calibri" w:eastAsia="Times New Roman" w:hAnsi="Calibri"/>
                <w:color w:val="000000"/>
                <w:sz w:val="22"/>
              </w:rPr>
            </w:pPr>
            <w:r w:rsidRPr="00CA6469">
              <w:rPr>
                <w:rFonts w:ascii="Calibri" w:eastAsia="Times New Roman" w:hAnsi="Calibri"/>
                <w:color w:val="000000"/>
                <w:sz w:val="22"/>
              </w:rPr>
              <w:t>10</w:t>
            </w:r>
            <w:r>
              <w:rPr>
                <w:rFonts w:ascii="Calibri" w:eastAsia="Times New Roman" w:hAnsi="Calibri"/>
                <w:color w:val="000000"/>
                <w:sz w:val="22"/>
              </w:rPr>
              <w:t>,</w:t>
            </w:r>
            <w:r w:rsidRPr="00CA6469">
              <w:rPr>
                <w:rFonts w:ascii="Calibri" w:eastAsia="Times New Roman" w:hAnsi="Calibri"/>
                <w:color w:val="000000"/>
                <w:sz w:val="22"/>
              </w:rPr>
              <w:t>436</w:t>
            </w:r>
          </w:p>
        </w:tc>
      </w:tr>
    </w:tbl>
    <w:p w14:paraId="4511E39F" w14:textId="77777777" w:rsidR="00B83C2A" w:rsidRPr="00903982" w:rsidRDefault="00B83C2A" w:rsidP="00903982">
      <w:pPr>
        <w:spacing w:after="160" w:line="259" w:lineRule="auto"/>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104E7A07" w14:textId="5EEC2F27" w:rsidR="0030268C" w:rsidRPr="00903982" w:rsidRDefault="0030268C" w:rsidP="0030268C">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t xml:space="preserve">Ilustración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Ilustración \* ARABIC </w:instrText>
      </w:r>
      <w:r w:rsidRPr="00903982">
        <w:rPr>
          <w:rFonts w:asciiTheme="minorHAnsi" w:hAnsiTheme="minorHAnsi"/>
          <w:b w:val="0"/>
          <w:sz w:val="22"/>
          <w:lang w:val="es-ES_tradnl"/>
        </w:rPr>
        <w:fldChar w:fldCharType="separate"/>
      </w:r>
      <w:r w:rsidRPr="00903982">
        <w:rPr>
          <w:rFonts w:asciiTheme="minorHAnsi" w:hAnsiTheme="minorHAnsi"/>
          <w:b w:val="0"/>
          <w:noProof/>
          <w:sz w:val="22"/>
          <w:lang w:val="es-ES_tradnl"/>
        </w:rPr>
        <w:t>8</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Utilidad Programa para diferentes tasas de crecimiento del PIB</w:t>
      </w:r>
    </w:p>
    <w:p w14:paraId="2D88A3E4" w14:textId="7E122646" w:rsidR="000E3814" w:rsidRPr="00903982" w:rsidRDefault="00CA6469" w:rsidP="00B83C2A">
      <w:pPr>
        <w:spacing w:after="100" w:afterAutospacing="1"/>
        <w:jc w:val="center"/>
        <w:rPr>
          <w:rFonts w:cs="Arial"/>
          <w:lang w:val="es-ES_tradnl"/>
        </w:rPr>
      </w:pPr>
      <w:r>
        <w:rPr>
          <w:noProof/>
          <w:lang w:val="en-US" w:eastAsia="en-US"/>
        </w:rPr>
        <w:drawing>
          <wp:inline distT="0" distB="0" distL="0" distR="0" wp14:anchorId="19534F75" wp14:editId="431653EE">
            <wp:extent cx="3397250" cy="2882900"/>
            <wp:effectExtent l="0" t="0" r="12700" b="1270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CEDF084" w14:textId="77777777" w:rsidR="00B83C2A" w:rsidRPr="00903982" w:rsidRDefault="00B83C2A" w:rsidP="00B83C2A">
      <w:pPr>
        <w:spacing w:after="160" w:line="259" w:lineRule="auto"/>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54D3422C" w14:textId="141C7144" w:rsidR="000E3814" w:rsidRDefault="003D6336" w:rsidP="00010B3B">
      <w:pPr>
        <w:pStyle w:val="ListParagraph"/>
        <w:spacing w:after="100" w:afterAutospacing="1"/>
        <w:jc w:val="both"/>
        <w:rPr>
          <w:rFonts w:cs="Arial"/>
          <w:lang w:val="es-ES_tradnl"/>
        </w:rPr>
      </w:pPr>
      <w:r w:rsidRPr="00903982">
        <w:rPr>
          <w:rFonts w:cs="Arial"/>
          <w:lang w:val="es-ES_tradnl"/>
        </w:rPr>
        <w:t xml:space="preserve">El impacto de cambios en la tasa de crecimiento del Producto Interno Bruto (PIB) es bastante menor, esto pese a que expresa en una medida muy relevante como es el </w:t>
      </w:r>
      <w:r w:rsidR="00903982" w:rsidRPr="00903982">
        <w:rPr>
          <w:rFonts w:cs="Arial"/>
          <w:lang w:val="es-ES_tradnl"/>
        </w:rPr>
        <w:t>aumento</w:t>
      </w:r>
      <w:r w:rsidRPr="00903982">
        <w:rPr>
          <w:rFonts w:cs="Arial"/>
          <w:lang w:val="es-ES_tradnl"/>
        </w:rPr>
        <w:t xml:space="preserve"> de la eficiencia energética.  Sin embargo, cambios</w:t>
      </w:r>
      <w:r w:rsidR="00E23714" w:rsidRPr="00903982">
        <w:rPr>
          <w:rFonts w:cs="Arial"/>
          <w:lang w:val="es-ES_tradnl"/>
        </w:rPr>
        <w:t xml:space="preserve"> en el PIB tiene</w:t>
      </w:r>
      <w:r w:rsidR="00E466B2" w:rsidRPr="00903982">
        <w:rPr>
          <w:rFonts w:cs="Arial"/>
          <w:lang w:val="es-ES_tradnl"/>
        </w:rPr>
        <w:t xml:space="preserve"> efectos mixtos: un menor crecimiento del PIB redundará en un beneficio por la menor inversión, pero menores beneficios en gastos de operación y emisiones.</w:t>
      </w:r>
      <w:r w:rsidR="00E23714" w:rsidRPr="00903982">
        <w:rPr>
          <w:rFonts w:cs="Arial"/>
          <w:lang w:val="es-ES_tradnl"/>
        </w:rPr>
        <w:t xml:space="preserve"> </w:t>
      </w:r>
      <w:r w:rsidR="00E466B2" w:rsidRPr="00903982">
        <w:rPr>
          <w:rFonts w:cs="Arial"/>
          <w:lang w:val="es-ES_tradnl"/>
        </w:rPr>
        <w:t>De hecho, un cambio que suba e</w:t>
      </w:r>
      <w:r w:rsidR="00903982" w:rsidRPr="00903982">
        <w:rPr>
          <w:rFonts w:cs="Arial"/>
          <w:lang w:val="es-ES_tradnl"/>
        </w:rPr>
        <w:t>n un punto la tasa del PIB de 2.9% a 3.</w:t>
      </w:r>
      <w:r w:rsidR="00E466B2" w:rsidRPr="00903982">
        <w:rPr>
          <w:rFonts w:cs="Arial"/>
          <w:lang w:val="es-ES_tradnl"/>
        </w:rPr>
        <w:t xml:space="preserve">9% tiene un efecto </w:t>
      </w:r>
      <w:r w:rsidR="00010B3B" w:rsidRPr="00903982">
        <w:rPr>
          <w:rFonts w:cs="Arial"/>
          <w:lang w:val="es-ES_tradnl"/>
        </w:rPr>
        <w:t xml:space="preserve">de solo un </w:t>
      </w:r>
      <w:r w:rsidR="00D77F48">
        <w:rPr>
          <w:rFonts w:cs="Arial"/>
          <w:lang w:val="es-ES_tradnl"/>
        </w:rPr>
        <w:t>2</w:t>
      </w:r>
      <w:r w:rsidR="00010B3B" w:rsidRPr="00903982">
        <w:rPr>
          <w:rFonts w:cs="Arial"/>
          <w:lang w:val="es-ES_tradnl"/>
        </w:rPr>
        <w:t>% de</w:t>
      </w:r>
      <w:r w:rsidRPr="00903982">
        <w:rPr>
          <w:rFonts w:cs="Arial"/>
          <w:lang w:val="es-ES_tradnl"/>
        </w:rPr>
        <w:t xml:space="preserve"> más utilidad</w:t>
      </w:r>
      <w:r w:rsidR="00010B3B" w:rsidRPr="00903982">
        <w:rPr>
          <w:rFonts w:cs="Arial"/>
          <w:lang w:val="es-ES_tradnl"/>
        </w:rPr>
        <w:t xml:space="preserve"> del Programa</w:t>
      </w:r>
      <w:r w:rsidRPr="00903982">
        <w:rPr>
          <w:rFonts w:cs="Arial"/>
          <w:lang w:val="es-ES_tradnl"/>
        </w:rPr>
        <w:t xml:space="preserve">. </w:t>
      </w:r>
    </w:p>
    <w:p w14:paraId="223201AA" w14:textId="65E24889" w:rsidR="007236B8" w:rsidRDefault="007236B8" w:rsidP="00010B3B">
      <w:pPr>
        <w:pStyle w:val="ListParagraph"/>
        <w:spacing w:after="100" w:afterAutospacing="1"/>
        <w:jc w:val="both"/>
        <w:rPr>
          <w:rFonts w:cs="Arial"/>
          <w:lang w:val="es-ES_tradnl"/>
        </w:rPr>
      </w:pPr>
    </w:p>
    <w:p w14:paraId="3505ABED" w14:textId="5CD8CB59" w:rsidR="007236B8" w:rsidRPr="00903982" w:rsidRDefault="007236B8" w:rsidP="00010B3B">
      <w:pPr>
        <w:pStyle w:val="ListParagraph"/>
        <w:spacing w:after="100" w:afterAutospacing="1"/>
        <w:jc w:val="both"/>
        <w:rPr>
          <w:rFonts w:cs="Arial"/>
          <w:lang w:val="es-ES_tradnl"/>
        </w:rPr>
      </w:pPr>
      <w:r>
        <w:rPr>
          <w:rFonts w:cs="Arial"/>
          <w:lang w:val="es-ES_tradnl"/>
        </w:rPr>
        <w:t xml:space="preserve">No obstante que el efecto esperado de cambios en el PIB es menor, en México se han desarrollado, por ejemplo, proyectos de eficiencia energética, como es el caso de la sustitución de equipos electrodomésticos, mediante un esquema de financiamiento fondeado con recursos nacionales y de organismos multilaterales, cuya implementación ha permitido, en épocas de situaciones económicas nacionales adversas, contribuir a un </w:t>
      </w:r>
      <w:r>
        <w:rPr>
          <w:rFonts w:cs="Arial"/>
          <w:lang w:val="es-ES_tradnl"/>
        </w:rPr>
        <w:lastRenderedPageBreak/>
        <w:t>crecimiento de industrias claves para el país como es el caso de la industria de refrigeradores, lo cual reactivo la producción y empleo en esta industria. Este mismo proceso puede esperarse por el desarrollo de la industria de energías renovables.</w:t>
      </w:r>
    </w:p>
    <w:p w14:paraId="0B9587CD" w14:textId="77777777" w:rsidR="00010B3B" w:rsidRPr="00903982" w:rsidRDefault="00010B3B" w:rsidP="00010B3B">
      <w:pPr>
        <w:pStyle w:val="ListParagraph"/>
        <w:spacing w:after="100" w:afterAutospacing="1"/>
        <w:jc w:val="both"/>
        <w:rPr>
          <w:rFonts w:cs="Arial"/>
          <w:lang w:val="es-ES_tradnl"/>
        </w:rPr>
      </w:pPr>
    </w:p>
    <w:p w14:paraId="5CB778B8" w14:textId="7AD5E916" w:rsidR="00395F59" w:rsidRPr="00903982" w:rsidRDefault="001C018B" w:rsidP="00280D79">
      <w:pPr>
        <w:pStyle w:val="ListParagraph"/>
        <w:numPr>
          <w:ilvl w:val="0"/>
          <w:numId w:val="41"/>
        </w:numPr>
        <w:spacing w:after="100" w:afterAutospacing="1"/>
        <w:jc w:val="both"/>
        <w:rPr>
          <w:rFonts w:cs="Arial"/>
          <w:lang w:val="es-ES_tradnl"/>
        </w:rPr>
      </w:pPr>
      <w:r w:rsidRPr="00903982">
        <w:rPr>
          <w:rFonts w:cs="Arial"/>
          <w:lang w:val="es-ES_tradnl"/>
        </w:rPr>
        <w:t>Cambio en la</w:t>
      </w:r>
      <w:r w:rsidR="00395F59" w:rsidRPr="00903982">
        <w:rPr>
          <w:rFonts w:cs="Arial"/>
          <w:lang w:val="es-ES_tradnl"/>
        </w:rPr>
        <w:t xml:space="preserve"> efectividad de los programas de eficiencia energética.  En particular, si los programas de eficiencia en</w:t>
      </w:r>
      <w:r w:rsidR="00433F28" w:rsidRPr="00903982">
        <w:rPr>
          <w:rFonts w:cs="Arial"/>
          <w:lang w:val="es-ES_tradnl"/>
        </w:rPr>
        <w:t>er</w:t>
      </w:r>
      <w:r w:rsidRPr="00903982">
        <w:rPr>
          <w:rFonts w:cs="Arial"/>
          <w:lang w:val="es-ES_tradnl"/>
        </w:rPr>
        <w:t>gética tienen un</w:t>
      </w:r>
      <w:r w:rsidR="00395F59" w:rsidRPr="00903982">
        <w:rPr>
          <w:rFonts w:cs="Arial"/>
          <w:lang w:val="es-ES_tradnl"/>
        </w:rPr>
        <w:t xml:space="preserve"> efecto </w:t>
      </w:r>
      <w:r w:rsidR="00903982" w:rsidRPr="00903982">
        <w:rPr>
          <w:rFonts w:cs="Arial"/>
          <w:lang w:val="es-ES_tradnl"/>
        </w:rPr>
        <w:t>distinto al 1.</w:t>
      </w:r>
      <w:r w:rsidRPr="00903982">
        <w:rPr>
          <w:rFonts w:cs="Arial"/>
          <w:lang w:val="es-ES_tradnl"/>
        </w:rPr>
        <w:t>9% menor anual de inte</w:t>
      </w:r>
      <w:r w:rsidR="00903982">
        <w:rPr>
          <w:rFonts w:cs="Arial"/>
          <w:lang w:val="es-ES_tradnl"/>
        </w:rPr>
        <w:t>n</w:t>
      </w:r>
      <w:r w:rsidRPr="00903982">
        <w:rPr>
          <w:rFonts w:cs="Arial"/>
          <w:lang w:val="es-ES_tradnl"/>
        </w:rPr>
        <w:t xml:space="preserve">sidad energética.  A modo de ejemplo, </w:t>
      </w:r>
      <w:r w:rsidR="007236B8" w:rsidRPr="00903982">
        <w:rPr>
          <w:rFonts w:cs="Arial"/>
          <w:lang w:val="es-ES_tradnl"/>
        </w:rPr>
        <w:t>una disminución</w:t>
      </w:r>
      <w:r w:rsidRPr="00903982">
        <w:rPr>
          <w:rFonts w:cs="Arial"/>
          <w:lang w:val="es-ES_tradnl"/>
        </w:rPr>
        <w:t xml:space="preserve"> del impacto de la eficiencia energía</w:t>
      </w:r>
      <w:r w:rsidR="00395F59" w:rsidRPr="00903982">
        <w:rPr>
          <w:rFonts w:cs="Arial"/>
          <w:lang w:val="es-ES_tradnl"/>
        </w:rPr>
        <w:t xml:space="preserve"> redundará</w:t>
      </w:r>
      <w:r w:rsidR="00433F28" w:rsidRPr="00903982">
        <w:rPr>
          <w:rFonts w:cs="Arial"/>
          <w:lang w:val="es-ES_tradnl"/>
        </w:rPr>
        <w:t xml:space="preserve"> en mayor demanda por energía</w:t>
      </w:r>
      <w:r w:rsidR="00395F59" w:rsidRPr="00903982">
        <w:rPr>
          <w:rFonts w:cs="Arial"/>
          <w:lang w:val="es-ES_tradnl"/>
        </w:rPr>
        <w:t xml:space="preserve">, con el consiguiente aumento en las emisiones y gasto en inversión y operación del parque generador. </w:t>
      </w:r>
      <w:r w:rsidR="00433F28" w:rsidRPr="00903982">
        <w:rPr>
          <w:rFonts w:cs="Arial"/>
          <w:lang w:val="es-ES_tradnl"/>
        </w:rPr>
        <w:t>El presente análisis incluye tasas de disminución de la intensidad</w:t>
      </w:r>
      <w:r w:rsidR="00903982" w:rsidRPr="00903982">
        <w:rPr>
          <w:rFonts w:cs="Arial"/>
          <w:lang w:val="es-ES_tradnl"/>
        </w:rPr>
        <w:t xml:space="preserve"> energética de 0.4% a 2.</w:t>
      </w:r>
      <w:r w:rsidR="00433F28" w:rsidRPr="00903982">
        <w:rPr>
          <w:rFonts w:cs="Arial"/>
          <w:lang w:val="es-ES_tradnl"/>
        </w:rPr>
        <w:t xml:space="preserve">9%, considerando </w:t>
      </w:r>
      <w:r w:rsidR="00903982" w:rsidRPr="00903982">
        <w:rPr>
          <w:rFonts w:cs="Arial"/>
          <w:lang w:val="es-ES_tradnl"/>
        </w:rPr>
        <w:t xml:space="preserve">la tasa incluida en </w:t>
      </w:r>
      <w:r w:rsidR="00F444B2">
        <w:rPr>
          <w:rFonts w:cs="Arial"/>
          <w:lang w:val="es-ES_tradnl"/>
        </w:rPr>
        <w:t>la</w:t>
      </w:r>
      <w:r w:rsidR="00903982" w:rsidRPr="00903982">
        <w:rPr>
          <w:rFonts w:cs="Arial"/>
          <w:lang w:val="es-ES_tradnl"/>
        </w:rPr>
        <w:t xml:space="preserve"> LTE de 1.</w:t>
      </w:r>
      <w:r w:rsidR="00433F28" w:rsidRPr="00903982">
        <w:rPr>
          <w:rFonts w:cs="Arial"/>
          <w:lang w:val="es-ES_tradnl"/>
        </w:rPr>
        <w:t>9%.</w:t>
      </w:r>
    </w:p>
    <w:p w14:paraId="122AA50D" w14:textId="3E862BBC" w:rsidR="00A659CE" w:rsidRPr="00903982" w:rsidRDefault="00A659CE" w:rsidP="00A659CE">
      <w:pPr>
        <w:pStyle w:val="Caption"/>
        <w:keepNext/>
        <w:ind w:left="720"/>
        <w:rPr>
          <w:rFonts w:asciiTheme="minorHAnsi" w:hAnsiTheme="minorHAnsi"/>
          <w:b w:val="0"/>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Pr="00903982">
        <w:rPr>
          <w:rFonts w:asciiTheme="minorHAnsi" w:hAnsiTheme="minorHAnsi"/>
          <w:b w:val="0"/>
          <w:noProof/>
          <w:sz w:val="22"/>
          <w:lang w:val="es-ES_tradnl"/>
        </w:rPr>
        <w:t>22</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Sensibilidad de la utilidad del Programa a cambios en la tasa de la intensidad energética por aplicación de EE</w:t>
      </w:r>
    </w:p>
    <w:tbl>
      <w:tblPr>
        <w:tblW w:w="5224" w:type="dxa"/>
        <w:jc w:val="center"/>
        <w:tblCellMar>
          <w:left w:w="70" w:type="dxa"/>
          <w:right w:w="70" w:type="dxa"/>
        </w:tblCellMar>
        <w:tblLook w:val="04A0" w:firstRow="1" w:lastRow="0" w:firstColumn="1" w:lastColumn="0" w:noHBand="0" w:noVBand="1"/>
      </w:tblPr>
      <w:tblGrid>
        <w:gridCol w:w="3098"/>
        <w:gridCol w:w="2126"/>
      </w:tblGrid>
      <w:tr w:rsidR="00CA6469" w:rsidRPr="00CA6469" w14:paraId="38F52A1D" w14:textId="77777777" w:rsidTr="00CA6469">
        <w:trPr>
          <w:trHeight w:val="1215"/>
          <w:jc w:val="center"/>
        </w:trPr>
        <w:tc>
          <w:tcPr>
            <w:tcW w:w="3098" w:type="dxa"/>
            <w:tcBorders>
              <w:top w:val="single" w:sz="8" w:space="0" w:color="auto"/>
              <w:left w:val="single" w:sz="8" w:space="0" w:color="auto"/>
              <w:bottom w:val="single" w:sz="8" w:space="0" w:color="auto"/>
              <w:right w:val="single" w:sz="8" w:space="0" w:color="auto"/>
            </w:tcBorders>
            <w:shd w:val="clear" w:color="000000" w:fill="DFDFDF"/>
            <w:vAlign w:val="center"/>
            <w:hideMark/>
          </w:tcPr>
          <w:p w14:paraId="1E1EA84F" w14:textId="77777777" w:rsidR="00CA6469" w:rsidRPr="00CA6469" w:rsidRDefault="00CA6469" w:rsidP="00CA6469">
            <w:pPr>
              <w:jc w:val="center"/>
              <w:rPr>
                <w:rFonts w:ascii="Calibri" w:eastAsia="Times New Roman" w:hAnsi="Calibri"/>
                <w:color w:val="000000"/>
                <w:sz w:val="22"/>
                <w:szCs w:val="22"/>
              </w:rPr>
            </w:pPr>
            <w:r w:rsidRPr="00CA6469">
              <w:rPr>
                <w:rFonts w:ascii="Calibri" w:eastAsia="Times New Roman" w:hAnsi="Calibri"/>
                <w:color w:val="000000"/>
                <w:sz w:val="22"/>
                <w:szCs w:val="22"/>
              </w:rPr>
              <w:t>Impacto de la EE en la tasa de cambio de la intensidad energética</w:t>
            </w:r>
          </w:p>
        </w:tc>
        <w:tc>
          <w:tcPr>
            <w:tcW w:w="2126" w:type="dxa"/>
            <w:tcBorders>
              <w:top w:val="single" w:sz="8" w:space="0" w:color="auto"/>
              <w:left w:val="nil"/>
              <w:bottom w:val="single" w:sz="8" w:space="0" w:color="auto"/>
              <w:right w:val="single" w:sz="8" w:space="0" w:color="auto"/>
            </w:tcBorders>
            <w:shd w:val="clear" w:color="000000" w:fill="DFDFDF"/>
            <w:vAlign w:val="center"/>
            <w:hideMark/>
          </w:tcPr>
          <w:p w14:paraId="192B9B65" w14:textId="77777777" w:rsidR="00CA6469" w:rsidRPr="00CA6469" w:rsidRDefault="00CA6469" w:rsidP="00CA6469">
            <w:pPr>
              <w:jc w:val="center"/>
              <w:rPr>
                <w:rFonts w:ascii="Calibri" w:eastAsia="Times New Roman" w:hAnsi="Calibri"/>
                <w:color w:val="000000"/>
                <w:sz w:val="22"/>
                <w:szCs w:val="22"/>
              </w:rPr>
            </w:pPr>
            <w:r w:rsidRPr="00CA6469">
              <w:rPr>
                <w:rFonts w:ascii="Calibri" w:eastAsia="Times New Roman" w:hAnsi="Calibri"/>
                <w:color w:val="000000"/>
                <w:sz w:val="22"/>
                <w:szCs w:val="22"/>
              </w:rPr>
              <w:t>Utilidad Programa en Millones de US$</w:t>
            </w:r>
          </w:p>
        </w:tc>
      </w:tr>
      <w:tr w:rsidR="00CA6469" w:rsidRPr="00CA6469" w14:paraId="781E3AD2" w14:textId="77777777" w:rsidTr="00CA6469">
        <w:trPr>
          <w:trHeight w:val="315"/>
          <w:jc w:val="center"/>
        </w:trPr>
        <w:tc>
          <w:tcPr>
            <w:tcW w:w="3098" w:type="dxa"/>
            <w:tcBorders>
              <w:top w:val="nil"/>
              <w:left w:val="single" w:sz="8" w:space="0" w:color="auto"/>
              <w:bottom w:val="single" w:sz="8" w:space="0" w:color="auto"/>
              <w:right w:val="single" w:sz="8" w:space="0" w:color="auto"/>
            </w:tcBorders>
            <w:shd w:val="clear" w:color="auto" w:fill="auto"/>
            <w:noWrap/>
            <w:vAlign w:val="center"/>
            <w:hideMark/>
          </w:tcPr>
          <w:p w14:paraId="305D6BC2" w14:textId="5970A535" w:rsidR="00CA6469" w:rsidRPr="00CA6469" w:rsidRDefault="00CA6469" w:rsidP="00CA6469">
            <w:pPr>
              <w:jc w:val="center"/>
              <w:rPr>
                <w:rFonts w:ascii="Calibri" w:eastAsia="Times New Roman" w:hAnsi="Calibri"/>
                <w:color w:val="000000"/>
                <w:sz w:val="22"/>
                <w:szCs w:val="22"/>
              </w:rPr>
            </w:pPr>
            <w:r>
              <w:rPr>
                <w:rFonts w:ascii="Calibri" w:eastAsia="Times New Roman" w:hAnsi="Calibri"/>
                <w:color w:val="000000"/>
                <w:sz w:val="22"/>
                <w:szCs w:val="22"/>
              </w:rPr>
              <w:t>0.</w:t>
            </w:r>
            <w:r w:rsidRPr="00CA6469">
              <w:rPr>
                <w:rFonts w:ascii="Calibri" w:eastAsia="Times New Roman" w:hAnsi="Calibri"/>
                <w:color w:val="000000"/>
                <w:sz w:val="22"/>
                <w:szCs w:val="22"/>
              </w:rPr>
              <w:t>40%</w:t>
            </w:r>
          </w:p>
        </w:tc>
        <w:tc>
          <w:tcPr>
            <w:tcW w:w="2126" w:type="dxa"/>
            <w:tcBorders>
              <w:top w:val="nil"/>
              <w:left w:val="nil"/>
              <w:bottom w:val="single" w:sz="8" w:space="0" w:color="auto"/>
              <w:right w:val="single" w:sz="8" w:space="0" w:color="auto"/>
            </w:tcBorders>
            <w:shd w:val="clear" w:color="auto" w:fill="auto"/>
            <w:noWrap/>
            <w:vAlign w:val="center"/>
            <w:hideMark/>
          </w:tcPr>
          <w:p w14:paraId="0AFBC76C" w14:textId="5C88B5A5" w:rsidR="00CA6469" w:rsidRPr="00CA6469" w:rsidRDefault="00CA6469" w:rsidP="00CA6469">
            <w:pPr>
              <w:jc w:val="center"/>
              <w:rPr>
                <w:rFonts w:ascii="Calibri" w:eastAsia="Times New Roman" w:hAnsi="Calibri"/>
                <w:color w:val="000000"/>
                <w:sz w:val="22"/>
                <w:szCs w:val="22"/>
              </w:rPr>
            </w:pPr>
            <w:r w:rsidRPr="00CA6469">
              <w:rPr>
                <w:rFonts w:ascii="Calibri" w:eastAsia="Times New Roman" w:hAnsi="Calibri"/>
                <w:color w:val="000000"/>
                <w:sz w:val="22"/>
                <w:szCs w:val="22"/>
              </w:rPr>
              <w:t>-4</w:t>
            </w:r>
            <w:r>
              <w:rPr>
                <w:rFonts w:ascii="Calibri" w:eastAsia="Times New Roman" w:hAnsi="Calibri"/>
                <w:color w:val="000000"/>
                <w:sz w:val="22"/>
                <w:szCs w:val="22"/>
              </w:rPr>
              <w:t>,</w:t>
            </w:r>
            <w:r w:rsidRPr="00CA6469">
              <w:rPr>
                <w:rFonts w:ascii="Calibri" w:eastAsia="Times New Roman" w:hAnsi="Calibri"/>
                <w:color w:val="000000"/>
                <w:sz w:val="22"/>
                <w:szCs w:val="22"/>
              </w:rPr>
              <w:t>981</w:t>
            </w:r>
          </w:p>
        </w:tc>
      </w:tr>
      <w:tr w:rsidR="00CA6469" w:rsidRPr="00CA6469" w14:paraId="38AA0383" w14:textId="77777777" w:rsidTr="00CA6469">
        <w:trPr>
          <w:trHeight w:val="315"/>
          <w:jc w:val="center"/>
        </w:trPr>
        <w:tc>
          <w:tcPr>
            <w:tcW w:w="3098" w:type="dxa"/>
            <w:tcBorders>
              <w:top w:val="nil"/>
              <w:left w:val="single" w:sz="8" w:space="0" w:color="auto"/>
              <w:bottom w:val="single" w:sz="8" w:space="0" w:color="auto"/>
              <w:right w:val="single" w:sz="8" w:space="0" w:color="auto"/>
            </w:tcBorders>
            <w:shd w:val="clear" w:color="auto" w:fill="auto"/>
            <w:noWrap/>
            <w:vAlign w:val="center"/>
            <w:hideMark/>
          </w:tcPr>
          <w:p w14:paraId="3AC37A28" w14:textId="73F649CF" w:rsidR="00CA6469" w:rsidRPr="00CA6469" w:rsidRDefault="00CA6469" w:rsidP="00CA6469">
            <w:pPr>
              <w:jc w:val="center"/>
              <w:rPr>
                <w:rFonts w:ascii="Calibri" w:eastAsia="Times New Roman" w:hAnsi="Calibri"/>
                <w:color w:val="000000"/>
                <w:sz w:val="22"/>
                <w:szCs w:val="22"/>
              </w:rPr>
            </w:pPr>
            <w:r>
              <w:rPr>
                <w:rFonts w:ascii="Calibri" w:eastAsia="Times New Roman" w:hAnsi="Calibri"/>
                <w:color w:val="000000"/>
                <w:sz w:val="22"/>
                <w:szCs w:val="22"/>
              </w:rPr>
              <w:t>0.</w:t>
            </w:r>
            <w:r w:rsidRPr="00CA6469">
              <w:rPr>
                <w:rFonts w:ascii="Calibri" w:eastAsia="Times New Roman" w:hAnsi="Calibri"/>
                <w:color w:val="000000"/>
                <w:sz w:val="22"/>
                <w:szCs w:val="22"/>
              </w:rPr>
              <w:t>90%</w:t>
            </w:r>
          </w:p>
        </w:tc>
        <w:tc>
          <w:tcPr>
            <w:tcW w:w="2126" w:type="dxa"/>
            <w:tcBorders>
              <w:top w:val="nil"/>
              <w:left w:val="nil"/>
              <w:bottom w:val="single" w:sz="8" w:space="0" w:color="auto"/>
              <w:right w:val="single" w:sz="8" w:space="0" w:color="auto"/>
            </w:tcBorders>
            <w:shd w:val="clear" w:color="auto" w:fill="auto"/>
            <w:noWrap/>
            <w:vAlign w:val="center"/>
            <w:hideMark/>
          </w:tcPr>
          <w:p w14:paraId="783231B6" w14:textId="77777777" w:rsidR="00CA6469" w:rsidRPr="00CA6469" w:rsidRDefault="00CA6469" w:rsidP="00CA6469">
            <w:pPr>
              <w:jc w:val="center"/>
              <w:rPr>
                <w:rFonts w:ascii="Calibri" w:eastAsia="Times New Roman" w:hAnsi="Calibri"/>
                <w:color w:val="000000"/>
                <w:sz w:val="22"/>
                <w:szCs w:val="22"/>
              </w:rPr>
            </w:pPr>
            <w:r w:rsidRPr="00CA6469">
              <w:rPr>
                <w:rFonts w:ascii="Calibri" w:eastAsia="Times New Roman" w:hAnsi="Calibri"/>
                <w:color w:val="000000"/>
                <w:sz w:val="22"/>
                <w:szCs w:val="22"/>
              </w:rPr>
              <w:t>-121</w:t>
            </w:r>
          </w:p>
        </w:tc>
      </w:tr>
      <w:tr w:rsidR="00CA6469" w:rsidRPr="00CA6469" w14:paraId="5D47916B" w14:textId="77777777" w:rsidTr="00CA6469">
        <w:trPr>
          <w:trHeight w:val="315"/>
          <w:jc w:val="center"/>
        </w:trPr>
        <w:tc>
          <w:tcPr>
            <w:tcW w:w="3098" w:type="dxa"/>
            <w:tcBorders>
              <w:top w:val="nil"/>
              <w:left w:val="single" w:sz="8" w:space="0" w:color="auto"/>
              <w:bottom w:val="single" w:sz="8" w:space="0" w:color="auto"/>
              <w:right w:val="single" w:sz="8" w:space="0" w:color="auto"/>
            </w:tcBorders>
            <w:shd w:val="clear" w:color="auto" w:fill="auto"/>
            <w:noWrap/>
            <w:vAlign w:val="center"/>
            <w:hideMark/>
          </w:tcPr>
          <w:p w14:paraId="6D557DBF" w14:textId="17B3D42D" w:rsidR="00CA6469" w:rsidRPr="00CA6469" w:rsidRDefault="00CA6469" w:rsidP="00CA6469">
            <w:pPr>
              <w:jc w:val="center"/>
              <w:rPr>
                <w:rFonts w:ascii="Calibri" w:eastAsia="Times New Roman" w:hAnsi="Calibri"/>
                <w:color w:val="000000"/>
                <w:sz w:val="22"/>
                <w:szCs w:val="22"/>
              </w:rPr>
            </w:pPr>
            <w:r>
              <w:rPr>
                <w:rFonts w:ascii="Calibri" w:eastAsia="Times New Roman" w:hAnsi="Calibri"/>
                <w:color w:val="000000"/>
                <w:sz w:val="22"/>
                <w:szCs w:val="22"/>
              </w:rPr>
              <w:t>1.</w:t>
            </w:r>
            <w:r w:rsidRPr="00CA6469">
              <w:rPr>
                <w:rFonts w:ascii="Calibri" w:eastAsia="Times New Roman" w:hAnsi="Calibri"/>
                <w:color w:val="000000"/>
                <w:sz w:val="22"/>
                <w:szCs w:val="22"/>
              </w:rPr>
              <w:t>40%</w:t>
            </w:r>
          </w:p>
        </w:tc>
        <w:tc>
          <w:tcPr>
            <w:tcW w:w="2126" w:type="dxa"/>
            <w:tcBorders>
              <w:top w:val="nil"/>
              <w:left w:val="nil"/>
              <w:bottom w:val="single" w:sz="8" w:space="0" w:color="auto"/>
              <w:right w:val="single" w:sz="8" w:space="0" w:color="auto"/>
            </w:tcBorders>
            <w:shd w:val="clear" w:color="auto" w:fill="auto"/>
            <w:noWrap/>
            <w:vAlign w:val="center"/>
            <w:hideMark/>
          </w:tcPr>
          <w:p w14:paraId="03C5FB55" w14:textId="1A918ADB" w:rsidR="00CA6469" w:rsidRPr="00CA6469" w:rsidRDefault="00CA6469" w:rsidP="00CA6469">
            <w:pPr>
              <w:jc w:val="center"/>
              <w:rPr>
                <w:rFonts w:ascii="Calibri" w:eastAsia="Times New Roman" w:hAnsi="Calibri"/>
                <w:color w:val="000000"/>
                <w:sz w:val="22"/>
                <w:szCs w:val="22"/>
              </w:rPr>
            </w:pPr>
            <w:r w:rsidRPr="00CA6469">
              <w:rPr>
                <w:rFonts w:ascii="Calibri" w:eastAsia="Times New Roman" w:hAnsi="Calibri"/>
                <w:color w:val="000000"/>
                <w:sz w:val="22"/>
                <w:szCs w:val="22"/>
              </w:rPr>
              <w:t>4</w:t>
            </w:r>
            <w:r>
              <w:rPr>
                <w:rFonts w:ascii="Calibri" w:eastAsia="Times New Roman" w:hAnsi="Calibri"/>
                <w:color w:val="000000"/>
                <w:sz w:val="22"/>
                <w:szCs w:val="22"/>
              </w:rPr>
              <w:t>,</w:t>
            </w:r>
            <w:r w:rsidRPr="00CA6469">
              <w:rPr>
                <w:rFonts w:ascii="Calibri" w:eastAsia="Times New Roman" w:hAnsi="Calibri"/>
                <w:color w:val="000000"/>
                <w:sz w:val="22"/>
                <w:szCs w:val="22"/>
              </w:rPr>
              <w:t>909</w:t>
            </w:r>
          </w:p>
        </w:tc>
      </w:tr>
      <w:tr w:rsidR="00CA6469" w:rsidRPr="00CA6469" w14:paraId="53A12AA9" w14:textId="77777777" w:rsidTr="00CA6469">
        <w:trPr>
          <w:trHeight w:val="315"/>
          <w:jc w:val="center"/>
        </w:trPr>
        <w:tc>
          <w:tcPr>
            <w:tcW w:w="3098" w:type="dxa"/>
            <w:tcBorders>
              <w:top w:val="nil"/>
              <w:left w:val="single" w:sz="8" w:space="0" w:color="auto"/>
              <w:bottom w:val="single" w:sz="8" w:space="0" w:color="auto"/>
              <w:right w:val="single" w:sz="8" w:space="0" w:color="auto"/>
            </w:tcBorders>
            <w:shd w:val="clear" w:color="000000" w:fill="D9D9D9"/>
            <w:noWrap/>
            <w:vAlign w:val="center"/>
            <w:hideMark/>
          </w:tcPr>
          <w:p w14:paraId="1DA28FCA" w14:textId="0D63C89B" w:rsidR="00CA6469" w:rsidRPr="00CA6469" w:rsidRDefault="00CA6469" w:rsidP="00CA6469">
            <w:pPr>
              <w:jc w:val="center"/>
              <w:rPr>
                <w:rFonts w:ascii="Calibri" w:eastAsia="Times New Roman" w:hAnsi="Calibri"/>
                <w:color w:val="000000"/>
                <w:sz w:val="22"/>
                <w:szCs w:val="22"/>
              </w:rPr>
            </w:pPr>
            <w:r>
              <w:rPr>
                <w:rFonts w:ascii="Calibri" w:eastAsia="Times New Roman" w:hAnsi="Calibri"/>
                <w:color w:val="000000"/>
                <w:sz w:val="22"/>
                <w:szCs w:val="22"/>
              </w:rPr>
              <w:t>1.</w:t>
            </w:r>
            <w:r w:rsidRPr="00CA6469">
              <w:rPr>
                <w:rFonts w:ascii="Calibri" w:eastAsia="Times New Roman" w:hAnsi="Calibri"/>
                <w:color w:val="000000"/>
                <w:sz w:val="22"/>
                <w:szCs w:val="22"/>
              </w:rPr>
              <w:t>90%</w:t>
            </w:r>
          </w:p>
        </w:tc>
        <w:tc>
          <w:tcPr>
            <w:tcW w:w="2126" w:type="dxa"/>
            <w:tcBorders>
              <w:top w:val="nil"/>
              <w:left w:val="nil"/>
              <w:bottom w:val="single" w:sz="8" w:space="0" w:color="auto"/>
              <w:right w:val="single" w:sz="8" w:space="0" w:color="auto"/>
            </w:tcBorders>
            <w:shd w:val="clear" w:color="000000" w:fill="D9D9D9"/>
            <w:noWrap/>
            <w:vAlign w:val="center"/>
            <w:hideMark/>
          </w:tcPr>
          <w:p w14:paraId="0072EAAA" w14:textId="653E1AA8" w:rsidR="00CA6469" w:rsidRPr="00CA6469" w:rsidRDefault="00CA6469" w:rsidP="00CA6469">
            <w:pPr>
              <w:jc w:val="center"/>
              <w:rPr>
                <w:rFonts w:ascii="Calibri" w:eastAsia="Times New Roman" w:hAnsi="Calibri"/>
                <w:color w:val="000000"/>
                <w:sz w:val="22"/>
                <w:szCs w:val="22"/>
              </w:rPr>
            </w:pPr>
            <w:r w:rsidRPr="00CA6469">
              <w:rPr>
                <w:rFonts w:ascii="Calibri" w:eastAsia="Times New Roman" w:hAnsi="Calibri"/>
                <w:color w:val="000000"/>
                <w:sz w:val="22"/>
                <w:szCs w:val="22"/>
              </w:rPr>
              <w:t>10</w:t>
            </w:r>
            <w:r>
              <w:rPr>
                <w:rFonts w:ascii="Calibri" w:eastAsia="Times New Roman" w:hAnsi="Calibri"/>
                <w:color w:val="000000"/>
                <w:sz w:val="22"/>
                <w:szCs w:val="22"/>
              </w:rPr>
              <w:t>,</w:t>
            </w:r>
            <w:r w:rsidRPr="00CA6469">
              <w:rPr>
                <w:rFonts w:ascii="Calibri" w:eastAsia="Times New Roman" w:hAnsi="Calibri"/>
                <w:color w:val="000000"/>
                <w:sz w:val="22"/>
                <w:szCs w:val="22"/>
              </w:rPr>
              <w:t>140</w:t>
            </w:r>
          </w:p>
        </w:tc>
      </w:tr>
      <w:tr w:rsidR="00CA6469" w:rsidRPr="00CA6469" w14:paraId="5C36B79D" w14:textId="77777777" w:rsidTr="00CA6469">
        <w:trPr>
          <w:trHeight w:val="315"/>
          <w:jc w:val="center"/>
        </w:trPr>
        <w:tc>
          <w:tcPr>
            <w:tcW w:w="3098" w:type="dxa"/>
            <w:tcBorders>
              <w:top w:val="nil"/>
              <w:left w:val="single" w:sz="8" w:space="0" w:color="auto"/>
              <w:bottom w:val="single" w:sz="8" w:space="0" w:color="auto"/>
              <w:right w:val="single" w:sz="8" w:space="0" w:color="auto"/>
            </w:tcBorders>
            <w:shd w:val="clear" w:color="auto" w:fill="auto"/>
            <w:noWrap/>
            <w:vAlign w:val="center"/>
            <w:hideMark/>
          </w:tcPr>
          <w:p w14:paraId="68EE8A5B" w14:textId="326CF1F4" w:rsidR="00CA6469" w:rsidRPr="00CA6469" w:rsidRDefault="00CA6469" w:rsidP="00CA6469">
            <w:pPr>
              <w:jc w:val="center"/>
              <w:rPr>
                <w:rFonts w:ascii="Calibri" w:eastAsia="Times New Roman" w:hAnsi="Calibri"/>
                <w:color w:val="000000"/>
                <w:sz w:val="22"/>
                <w:szCs w:val="22"/>
              </w:rPr>
            </w:pPr>
            <w:r>
              <w:rPr>
                <w:rFonts w:ascii="Calibri" w:eastAsia="Times New Roman" w:hAnsi="Calibri"/>
                <w:color w:val="000000"/>
                <w:sz w:val="22"/>
                <w:szCs w:val="22"/>
              </w:rPr>
              <w:t>2.</w:t>
            </w:r>
            <w:r w:rsidRPr="00CA6469">
              <w:rPr>
                <w:rFonts w:ascii="Calibri" w:eastAsia="Times New Roman" w:hAnsi="Calibri"/>
                <w:color w:val="000000"/>
                <w:sz w:val="22"/>
                <w:szCs w:val="22"/>
              </w:rPr>
              <w:t>40%</w:t>
            </w:r>
          </w:p>
        </w:tc>
        <w:tc>
          <w:tcPr>
            <w:tcW w:w="2126" w:type="dxa"/>
            <w:tcBorders>
              <w:top w:val="nil"/>
              <w:left w:val="nil"/>
              <w:bottom w:val="single" w:sz="8" w:space="0" w:color="auto"/>
              <w:right w:val="single" w:sz="8" w:space="0" w:color="auto"/>
            </w:tcBorders>
            <w:shd w:val="clear" w:color="auto" w:fill="auto"/>
            <w:noWrap/>
            <w:vAlign w:val="center"/>
            <w:hideMark/>
          </w:tcPr>
          <w:p w14:paraId="223EBF1E" w14:textId="30F5EAD1" w:rsidR="00CA6469" w:rsidRPr="00CA6469" w:rsidRDefault="00CA6469" w:rsidP="00CA6469">
            <w:pPr>
              <w:jc w:val="center"/>
              <w:rPr>
                <w:rFonts w:ascii="Calibri" w:eastAsia="Times New Roman" w:hAnsi="Calibri"/>
                <w:color w:val="000000"/>
                <w:sz w:val="22"/>
                <w:szCs w:val="22"/>
              </w:rPr>
            </w:pPr>
            <w:r w:rsidRPr="00CA6469">
              <w:rPr>
                <w:rFonts w:ascii="Calibri" w:eastAsia="Times New Roman" w:hAnsi="Calibri"/>
                <w:color w:val="000000"/>
                <w:sz w:val="22"/>
                <w:szCs w:val="22"/>
              </w:rPr>
              <w:t>15</w:t>
            </w:r>
            <w:r>
              <w:rPr>
                <w:rFonts w:ascii="Calibri" w:eastAsia="Times New Roman" w:hAnsi="Calibri"/>
                <w:color w:val="000000"/>
                <w:sz w:val="22"/>
                <w:szCs w:val="22"/>
              </w:rPr>
              <w:t>,</w:t>
            </w:r>
            <w:r w:rsidRPr="00CA6469">
              <w:rPr>
                <w:rFonts w:ascii="Calibri" w:eastAsia="Times New Roman" w:hAnsi="Calibri"/>
                <w:color w:val="000000"/>
                <w:sz w:val="22"/>
                <w:szCs w:val="22"/>
              </w:rPr>
              <w:t>599</w:t>
            </w:r>
          </w:p>
        </w:tc>
      </w:tr>
      <w:tr w:rsidR="00CA6469" w:rsidRPr="00CA6469" w14:paraId="494C5324" w14:textId="77777777" w:rsidTr="00CA6469">
        <w:trPr>
          <w:trHeight w:val="315"/>
          <w:jc w:val="center"/>
        </w:trPr>
        <w:tc>
          <w:tcPr>
            <w:tcW w:w="3098" w:type="dxa"/>
            <w:tcBorders>
              <w:top w:val="nil"/>
              <w:left w:val="single" w:sz="8" w:space="0" w:color="auto"/>
              <w:bottom w:val="single" w:sz="8" w:space="0" w:color="auto"/>
              <w:right w:val="single" w:sz="8" w:space="0" w:color="auto"/>
            </w:tcBorders>
            <w:shd w:val="clear" w:color="auto" w:fill="auto"/>
            <w:noWrap/>
            <w:vAlign w:val="center"/>
            <w:hideMark/>
          </w:tcPr>
          <w:p w14:paraId="3A2EFA72" w14:textId="2FF650B9" w:rsidR="00CA6469" w:rsidRPr="00CA6469" w:rsidRDefault="00CA6469" w:rsidP="00CA6469">
            <w:pPr>
              <w:jc w:val="center"/>
              <w:rPr>
                <w:rFonts w:ascii="Calibri" w:eastAsia="Times New Roman" w:hAnsi="Calibri"/>
                <w:color w:val="000000"/>
                <w:sz w:val="22"/>
                <w:szCs w:val="22"/>
              </w:rPr>
            </w:pPr>
            <w:r>
              <w:rPr>
                <w:rFonts w:ascii="Calibri" w:eastAsia="Times New Roman" w:hAnsi="Calibri"/>
                <w:color w:val="000000"/>
                <w:sz w:val="22"/>
                <w:szCs w:val="22"/>
              </w:rPr>
              <w:t>2.</w:t>
            </w:r>
            <w:r w:rsidRPr="00CA6469">
              <w:rPr>
                <w:rFonts w:ascii="Calibri" w:eastAsia="Times New Roman" w:hAnsi="Calibri"/>
                <w:color w:val="000000"/>
                <w:sz w:val="22"/>
                <w:szCs w:val="22"/>
              </w:rPr>
              <w:t>90%</w:t>
            </w:r>
          </w:p>
        </w:tc>
        <w:tc>
          <w:tcPr>
            <w:tcW w:w="2126" w:type="dxa"/>
            <w:tcBorders>
              <w:top w:val="nil"/>
              <w:left w:val="nil"/>
              <w:bottom w:val="single" w:sz="8" w:space="0" w:color="auto"/>
              <w:right w:val="single" w:sz="8" w:space="0" w:color="auto"/>
            </w:tcBorders>
            <w:shd w:val="clear" w:color="auto" w:fill="auto"/>
            <w:noWrap/>
            <w:vAlign w:val="center"/>
            <w:hideMark/>
          </w:tcPr>
          <w:p w14:paraId="374ABD48" w14:textId="1783A8F8" w:rsidR="00CA6469" w:rsidRPr="00CA6469" w:rsidRDefault="00CA6469" w:rsidP="00CA6469">
            <w:pPr>
              <w:jc w:val="center"/>
              <w:rPr>
                <w:rFonts w:ascii="Calibri" w:eastAsia="Times New Roman" w:hAnsi="Calibri"/>
                <w:color w:val="000000"/>
                <w:sz w:val="22"/>
                <w:szCs w:val="22"/>
              </w:rPr>
            </w:pPr>
            <w:r w:rsidRPr="00CA6469">
              <w:rPr>
                <w:rFonts w:ascii="Calibri" w:eastAsia="Times New Roman" w:hAnsi="Calibri"/>
                <w:color w:val="000000"/>
                <w:sz w:val="22"/>
                <w:szCs w:val="22"/>
              </w:rPr>
              <w:t>21</w:t>
            </w:r>
            <w:r>
              <w:rPr>
                <w:rFonts w:ascii="Calibri" w:eastAsia="Times New Roman" w:hAnsi="Calibri"/>
                <w:color w:val="000000"/>
                <w:sz w:val="22"/>
                <w:szCs w:val="22"/>
              </w:rPr>
              <w:t>,</w:t>
            </w:r>
            <w:r w:rsidRPr="00CA6469">
              <w:rPr>
                <w:rFonts w:ascii="Calibri" w:eastAsia="Times New Roman" w:hAnsi="Calibri"/>
                <w:color w:val="000000"/>
                <w:sz w:val="22"/>
                <w:szCs w:val="22"/>
              </w:rPr>
              <w:t>298</w:t>
            </w:r>
          </w:p>
        </w:tc>
      </w:tr>
    </w:tbl>
    <w:p w14:paraId="55B81880" w14:textId="77777777" w:rsidR="00A659CE" w:rsidRPr="00903982" w:rsidRDefault="00A659CE" w:rsidP="00A659CE">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521AE432" w14:textId="75E535DA" w:rsidR="000E3814" w:rsidRPr="00903982" w:rsidRDefault="00A659CE" w:rsidP="00A659CE">
      <w:pPr>
        <w:pStyle w:val="Caption"/>
        <w:keepNext/>
        <w:jc w:val="center"/>
        <w:rPr>
          <w:rFonts w:asciiTheme="minorHAnsi" w:hAnsiTheme="minorHAnsi"/>
          <w:b w:val="0"/>
          <w:sz w:val="22"/>
          <w:lang w:val="es-ES_tradnl"/>
        </w:rPr>
      </w:pPr>
      <w:r w:rsidRPr="00903982">
        <w:rPr>
          <w:rFonts w:asciiTheme="minorHAnsi" w:hAnsiTheme="minorHAnsi"/>
          <w:b w:val="0"/>
          <w:sz w:val="22"/>
          <w:lang w:val="es-ES_tradnl"/>
        </w:rPr>
        <w:lastRenderedPageBreak/>
        <w:t xml:space="preserve">Ilustración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Ilustración \* ARABIC </w:instrText>
      </w:r>
      <w:r w:rsidRPr="00903982">
        <w:rPr>
          <w:rFonts w:asciiTheme="minorHAnsi" w:hAnsiTheme="minorHAnsi"/>
          <w:b w:val="0"/>
          <w:sz w:val="22"/>
          <w:lang w:val="es-ES_tradnl"/>
        </w:rPr>
        <w:fldChar w:fldCharType="separate"/>
      </w:r>
      <w:r w:rsidRPr="00903982">
        <w:rPr>
          <w:rFonts w:asciiTheme="minorHAnsi" w:hAnsiTheme="minorHAnsi"/>
          <w:b w:val="0"/>
          <w:noProof/>
          <w:sz w:val="22"/>
          <w:lang w:val="es-ES_tradnl"/>
        </w:rPr>
        <w:t>9</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Utilidad Programa para diferentes tasas de reducción de la intensidad energética producto de la EE</w:t>
      </w:r>
    </w:p>
    <w:p w14:paraId="64896359" w14:textId="4648BE8D" w:rsidR="000E3814" w:rsidRPr="00903982" w:rsidRDefault="00CA6469" w:rsidP="00A659CE">
      <w:pPr>
        <w:spacing w:after="100" w:afterAutospacing="1"/>
        <w:jc w:val="center"/>
        <w:rPr>
          <w:rFonts w:cs="Arial"/>
          <w:lang w:val="es-ES_tradnl"/>
        </w:rPr>
      </w:pPr>
      <w:r>
        <w:rPr>
          <w:noProof/>
          <w:lang w:val="en-US" w:eastAsia="en-US"/>
        </w:rPr>
        <w:drawing>
          <wp:inline distT="0" distB="0" distL="0" distR="0" wp14:anchorId="6FC306D4" wp14:editId="2B5BCD64">
            <wp:extent cx="4714586" cy="3508375"/>
            <wp:effectExtent l="0" t="0" r="35560" b="2222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612439A" w14:textId="77777777" w:rsidR="00A659CE" w:rsidRPr="00903982" w:rsidRDefault="00A659CE" w:rsidP="00A659CE">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60E6ECAB" w14:textId="70ECA1D4" w:rsidR="00A659CE" w:rsidRDefault="007236B8" w:rsidP="00BF3526">
      <w:pPr>
        <w:pStyle w:val="ListParagraph"/>
        <w:spacing w:after="100" w:afterAutospacing="1"/>
        <w:jc w:val="both"/>
        <w:rPr>
          <w:rFonts w:cs="Arial"/>
          <w:lang w:val="es-ES_tradnl"/>
        </w:rPr>
      </w:pPr>
      <w:r w:rsidRPr="00903982">
        <w:rPr>
          <w:rFonts w:cs="Arial"/>
          <w:lang w:val="es-ES_tradnl"/>
        </w:rPr>
        <w:t>El resultado del análisis muestra</w:t>
      </w:r>
      <w:r w:rsidR="001C018B" w:rsidRPr="00903982">
        <w:rPr>
          <w:rFonts w:cs="Arial"/>
          <w:lang w:val="es-ES_tradnl"/>
        </w:rPr>
        <w:t xml:space="preserve"> que el impacto en el monto de utilidad de cambios en la efectividad de la eficiencia energética es muy sign</w:t>
      </w:r>
      <w:r w:rsidR="00903982">
        <w:rPr>
          <w:rFonts w:cs="Arial"/>
          <w:lang w:val="es-ES_tradnl"/>
        </w:rPr>
        <w:t>i</w:t>
      </w:r>
      <w:r w:rsidR="001C018B" w:rsidRPr="00903982">
        <w:rPr>
          <w:rFonts w:cs="Arial"/>
          <w:lang w:val="es-ES_tradnl"/>
        </w:rPr>
        <w:t xml:space="preserve">ficativo. Los cambios la tasa de variación de la intensidad energética tiene efectos aditivos.  A modo de ejemplo, un aumento </w:t>
      </w:r>
      <w:r w:rsidR="00BF3526" w:rsidRPr="00903982">
        <w:rPr>
          <w:rFonts w:cs="Arial"/>
          <w:lang w:val="es-ES_tradnl"/>
        </w:rPr>
        <w:t>de dicha tasa conllevará menor necesidad de inversión y</w:t>
      </w:r>
      <w:r w:rsidR="001C018B" w:rsidRPr="00903982">
        <w:rPr>
          <w:rFonts w:cs="Arial"/>
          <w:lang w:val="es-ES_tradnl"/>
        </w:rPr>
        <w:t xml:space="preserve"> menores gastos de operación</w:t>
      </w:r>
      <w:r w:rsidR="00BF3526" w:rsidRPr="00903982">
        <w:rPr>
          <w:rFonts w:cs="Arial"/>
          <w:lang w:val="es-ES_tradnl"/>
        </w:rPr>
        <w:t xml:space="preserve">.  </w:t>
      </w:r>
      <w:r w:rsidRPr="00903982">
        <w:rPr>
          <w:rFonts w:cs="Arial"/>
          <w:lang w:val="es-ES_tradnl"/>
        </w:rPr>
        <w:t>Los efectos de menores beneficios de reducción de emisiones no logran</w:t>
      </w:r>
      <w:r w:rsidR="00BF3526" w:rsidRPr="00903982">
        <w:rPr>
          <w:rFonts w:cs="Arial"/>
          <w:lang w:val="es-ES_tradnl"/>
        </w:rPr>
        <w:t xml:space="preserve"> contrarrestar a los componentes de inversión y operación</w:t>
      </w:r>
      <w:r w:rsidR="001C018B" w:rsidRPr="00903982">
        <w:rPr>
          <w:rFonts w:cs="Arial"/>
          <w:lang w:val="es-ES_tradnl"/>
        </w:rPr>
        <w:t xml:space="preserve">. </w:t>
      </w:r>
      <w:r w:rsidR="00BF3526" w:rsidRPr="00903982">
        <w:rPr>
          <w:rFonts w:cs="Arial"/>
          <w:lang w:val="es-ES_tradnl"/>
        </w:rPr>
        <w:t>De forma numérica</w:t>
      </w:r>
      <w:r w:rsidR="001C018B" w:rsidRPr="00903982">
        <w:rPr>
          <w:rFonts w:cs="Arial"/>
          <w:lang w:val="es-ES_tradnl"/>
        </w:rPr>
        <w:t xml:space="preserve">, un cambio </w:t>
      </w:r>
      <w:r w:rsidR="00BF3526" w:rsidRPr="00903982">
        <w:rPr>
          <w:rFonts w:cs="Arial"/>
          <w:lang w:val="es-ES_tradnl"/>
        </w:rPr>
        <w:t>de</w:t>
      </w:r>
      <w:r w:rsidR="001C018B" w:rsidRPr="00903982">
        <w:rPr>
          <w:rFonts w:cs="Arial"/>
          <w:lang w:val="es-ES_tradnl"/>
        </w:rPr>
        <w:t xml:space="preserve"> un punto la </w:t>
      </w:r>
      <w:r w:rsidR="00BF3526" w:rsidRPr="00903982">
        <w:rPr>
          <w:rFonts w:cs="Arial"/>
          <w:lang w:val="es-ES_tradnl"/>
        </w:rPr>
        <w:t>tasa de reducción de la intensidad energética,</w:t>
      </w:r>
      <w:r w:rsidR="001C018B" w:rsidRPr="00903982">
        <w:rPr>
          <w:rFonts w:cs="Arial"/>
          <w:lang w:val="es-ES_tradnl"/>
        </w:rPr>
        <w:t xml:space="preserve"> de </w:t>
      </w:r>
      <w:r w:rsidR="00BF3526" w:rsidRPr="00903982">
        <w:rPr>
          <w:rFonts w:cs="Arial"/>
          <w:lang w:val="es-ES_tradnl"/>
        </w:rPr>
        <w:t>1</w:t>
      </w:r>
      <w:r w:rsidR="00903982" w:rsidRPr="00903982">
        <w:rPr>
          <w:rFonts w:cs="Arial"/>
          <w:lang w:val="es-ES_tradnl"/>
        </w:rPr>
        <w:t>.</w:t>
      </w:r>
      <w:r w:rsidR="001C018B" w:rsidRPr="00903982">
        <w:rPr>
          <w:rFonts w:cs="Arial"/>
          <w:lang w:val="es-ES_tradnl"/>
        </w:rPr>
        <w:t xml:space="preserve">9% a </w:t>
      </w:r>
      <w:r w:rsidR="00BF3526" w:rsidRPr="00903982">
        <w:rPr>
          <w:rFonts w:cs="Arial"/>
          <w:lang w:val="es-ES_tradnl"/>
        </w:rPr>
        <w:t>2</w:t>
      </w:r>
      <w:r w:rsidR="00903982" w:rsidRPr="00903982">
        <w:rPr>
          <w:rFonts w:cs="Arial"/>
          <w:lang w:val="es-ES_tradnl"/>
        </w:rPr>
        <w:t>.</w:t>
      </w:r>
      <w:r w:rsidR="001C018B" w:rsidRPr="00903982">
        <w:rPr>
          <w:rFonts w:cs="Arial"/>
          <w:lang w:val="es-ES_tradnl"/>
        </w:rPr>
        <w:t>9%</w:t>
      </w:r>
      <w:r w:rsidR="00BF3526" w:rsidRPr="00903982">
        <w:rPr>
          <w:rFonts w:cs="Arial"/>
          <w:lang w:val="es-ES_tradnl"/>
        </w:rPr>
        <w:t>,</w:t>
      </w:r>
      <w:r w:rsidR="001C018B" w:rsidRPr="00903982">
        <w:rPr>
          <w:rFonts w:cs="Arial"/>
          <w:lang w:val="es-ES_tradnl"/>
        </w:rPr>
        <w:t xml:space="preserve"> tiene un efecto de </w:t>
      </w:r>
      <w:r w:rsidR="00BF3526" w:rsidRPr="00903982">
        <w:rPr>
          <w:rFonts w:cs="Arial"/>
          <w:lang w:val="es-ES_tradnl"/>
        </w:rPr>
        <w:t>11,</w:t>
      </w:r>
      <w:r w:rsidR="00D77F48">
        <w:rPr>
          <w:rFonts w:cs="Arial"/>
          <w:lang w:val="es-ES_tradnl"/>
        </w:rPr>
        <w:t>158</w:t>
      </w:r>
      <w:r w:rsidR="00903982" w:rsidRPr="00903982">
        <w:rPr>
          <w:rFonts w:cs="Arial"/>
          <w:lang w:val="es-ES_tradnl"/>
        </w:rPr>
        <w:t xml:space="preserve"> millones de dólares, o un </w:t>
      </w:r>
      <w:r w:rsidR="00D77F48">
        <w:rPr>
          <w:rFonts w:cs="Arial"/>
          <w:lang w:val="es-ES_tradnl"/>
        </w:rPr>
        <w:t>110</w:t>
      </w:r>
      <w:r w:rsidR="001C018B" w:rsidRPr="00903982">
        <w:rPr>
          <w:rFonts w:cs="Arial"/>
          <w:lang w:val="es-ES_tradnl"/>
        </w:rPr>
        <w:t xml:space="preserve">% de más utilidad del Programa. </w:t>
      </w:r>
    </w:p>
    <w:p w14:paraId="41094298" w14:textId="78B6FC1C" w:rsidR="007236B8" w:rsidRDefault="007236B8" w:rsidP="00BF3526">
      <w:pPr>
        <w:pStyle w:val="ListParagraph"/>
        <w:spacing w:after="100" w:afterAutospacing="1"/>
        <w:jc w:val="both"/>
        <w:rPr>
          <w:rFonts w:cs="Arial"/>
          <w:lang w:val="es-ES_tradnl"/>
        </w:rPr>
      </w:pPr>
    </w:p>
    <w:p w14:paraId="1EF2B6E2" w14:textId="4E62CC36" w:rsidR="007236B8" w:rsidRPr="00903982" w:rsidRDefault="007236B8" w:rsidP="00BF3526">
      <w:pPr>
        <w:pStyle w:val="ListParagraph"/>
        <w:spacing w:after="100" w:afterAutospacing="1"/>
        <w:jc w:val="both"/>
        <w:rPr>
          <w:rFonts w:cs="Arial"/>
          <w:lang w:val="es-ES_tradnl"/>
        </w:rPr>
      </w:pPr>
      <w:r>
        <w:rPr>
          <w:rFonts w:cs="Arial"/>
          <w:lang w:val="es-ES_tradnl"/>
        </w:rPr>
        <w:t>En virtud de que la reducción de la intensidad energética se ha mantenido en los últimos años como resultado de los procesos de normalización de eficiencia energética, de aplicación obligatoria, de equipos, instalaciones y materiales, y que entren en vigor nuevas normas y se refuercen, en los procesos de revisión y actualización, las vigentes, se considera que esto contribuirá a mantener el escenario de mayor eficiencia energética.</w:t>
      </w:r>
    </w:p>
    <w:p w14:paraId="7F6FF17F" w14:textId="77777777" w:rsidR="00BF3526" w:rsidRPr="00903982" w:rsidRDefault="00BF3526" w:rsidP="00BF3526">
      <w:pPr>
        <w:pStyle w:val="ListParagraph"/>
        <w:spacing w:after="100" w:afterAutospacing="1"/>
        <w:jc w:val="both"/>
        <w:rPr>
          <w:rFonts w:cs="Arial"/>
          <w:lang w:val="es-ES_tradnl"/>
        </w:rPr>
      </w:pPr>
    </w:p>
    <w:p w14:paraId="32325BBB" w14:textId="74077223" w:rsidR="00395F59" w:rsidRPr="00903982" w:rsidRDefault="00395F59" w:rsidP="00280D79">
      <w:pPr>
        <w:pStyle w:val="ListParagraph"/>
        <w:numPr>
          <w:ilvl w:val="0"/>
          <w:numId w:val="41"/>
        </w:numPr>
        <w:spacing w:after="100" w:afterAutospacing="1"/>
        <w:jc w:val="both"/>
        <w:rPr>
          <w:rFonts w:cs="Arial"/>
          <w:lang w:val="es-ES_tradnl"/>
        </w:rPr>
      </w:pPr>
      <w:r w:rsidRPr="00903982">
        <w:rPr>
          <w:rFonts w:cs="Arial"/>
          <w:lang w:val="es-ES_tradnl"/>
        </w:rPr>
        <w:t xml:space="preserve">Menor efectividad de recambio tecnológico.  Un riesgo </w:t>
      </w:r>
      <w:r w:rsidR="00C54DDE" w:rsidRPr="00903982">
        <w:rPr>
          <w:rFonts w:cs="Arial"/>
          <w:lang w:val="es-ES_tradnl"/>
        </w:rPr>
        <w:t xml:space="preserve">que aplica a la LTE </w:t>
      </w:r>
      <w:r w:rsidRPr="00903982">
        <w:rPr>
          <w:rFonts w:cs="Arial"/>
          <w:lang w:val="es-ES_tradnl"/>
        </w:rPr>
        <w:t xml:space="preserve">es que </w:t>
      </w:r>
      <w:r w:rsidR="00C54DDE" w:rsidRPr="00903982">
        <w:rPr>
          <w:rFonts w:cs="Arial"/>
          <w:lang w:val="es-ES_tradnl"/>
        </w:rPr>
        <w:t xml:space="preserve">el recambio tecnológico avance a una velocidad menor a la presupuestada.  Esto puede tener distintas causas, como que </w:t>
      </w:r>
      <w:r w:rsidRPr="00903982">
        <w:rPr>
          <w:rFonts w:cs="Arial"/>
          <w:lang w:val="es-ES_tradnl"/>
        </w:rPr>
        <w:t>el proceso de licitaciones</w:t>
      </w:r>
      <w:r w:rsidR="00C54DDE" w:rsidRPr="00903982">
        <w:rPr>
          <w:rFonts w:cs="Arial"/>
          <w:lang w:val="es-ES_tradnl"/>
        </w:rPr>
        <w:t xml:space="preserve"> de energías limpias</w:t>
      </w:r>
      <w:r w:rsidRPr="00903982">
        <w:rPr>
          <w:rFonts w:cs="Arial"/>
          <w:lang w:val="es-ES_tradnl"/>
        </w:rPr>
        <w:t xml:space="preserve"> </w:t>
      </w:r>
      <w:r w:rsidR="00C54DDE" w:rsidRPr="00903982">
        <w:rPr>
          <w:rFonts w:cs="Arial"/>
          <w:lang w:val="es-ES_tradnl"/>
        </w:rPr>
        <w:t>no sea lo suficientemente</w:t>
      </w:r>
      <w:r w:rsidRPr="00903982">
        <w:rPr>
          <w:rFonts w:cs="Arial"/>
          <w:lang w:val="es-ES_tradnl"/>
        </w:rPr>
        <w:t xml:space="preserve"> exitoso</w:t>
      </w:r>
      <w:r w:rsidR="00C54DDE" w:rsidRPr="00903982">
        <w:rPr>
          <w:rFonts w:cs="Arial"/>
          <w:lang w:val="es-ES_tradnl"/>
        </w:rPr>
        <w:t>, con muchos procesos incompletos o</w:t>
      </w:r>
      <w:r w:rsidRPr="00903982">
        <w:rPr>
          <w:rFonts w:cs="Arial"/>
          <w:lang w:val="es-ES_tradnl"/>
        </w:rPr>
        <w:t xml:space="preserve">, lo que lleve a licitaciones parcialmente </w:t>
      </w:r>
      <w:r w:rsidR="00C54DDE" w:rsidRPr="00903982">
        <w:rPr>
          <w:rFonts w:cs="Arial"/>
          <w:lang w:val="es-ES_tradnl"/>
        </w:rPr>
        <w:t xml:space="preserve">adjudicadas o </w:t>
      </w:r>
      <w:r w:rsidRPr="00903982">
        <w:rPr>
          <w:rFonts w:cs="Arial"/>
          <w:lang w:val="es-ES_tradnl"/>
        </w:rPr>
        <w:t>desiertas</w:t>
      </w:r>
      <w:r w:rsidR="00C54DDE" w:rsidRPr="00903982">
        <w:rPr>
          <w:rFonts w:cs="Arial"/>
          <w:lang w:val="es-ES_tradnl"/>
        </w:rPr>
        <w:t>.  Esta menor efectividad</w:t>
      </w:r>
      <w:r w:rsidRPr="00903982">
        <w:rPr>
          <w:rFonts w:cs="Arial"/>
          <w:lang w:val="es-ES_tradnl"/>
        </w:rPr>
        <w:t xml:space="preserve"> </w:t>
      </w:r>
      <w:r w:rsidR="00C54DDE" w:rsidRPr="00903982">
        <w:rPr>
          <w:rFonts w:cs="Arial"/>
          <w:lang w:val="es-ES_tradnl"/>
        </w:rPr>
        <w:t>redunda</w:t>
      </w:r>
      <w:r w:rsidRPr="00903982">
        <w:rPr>
          <w:rFonts w:cs="Arial"/>
          <w:lang w:val="es-ES_tradnl"/>
        </w:rPr>
        <w:t xml:space="preserve"> en una matriz más </w:t>
      </w:r>
      <w:r w:rsidRPr="00903982">
        <w:rPr>
          <w:rFonts w:cs="Arial"/>
          <w:lang w:val="es-ES_tradnl"/>
        </w:rPr>
        <w:lastRenderedPageBreak/>
        <w:t xml:space="preserve">convencional que la asumida por la LTE.  </w:t>
      </w:r>
      <w:r w:rsidR="00C54DDE" w:rsidRPr="00903982">
        <w:rPr>
          <w:rFonts w:cs="Arial"/>
          <w:lang w:val="es-ES_tradnl"/>
        </w:rPr>
        <w:t>El análisis incluye d</w:t>
      </w:r>
      <w:r w:rsidR="00903982">
        <w:rPr>
          <w:rFonts w:cs="Arial"/>
          <w:lang w:val="es-ES_tradnl"/>
        </w:rPr>
        <w:t>istintas penetraciones de energí</w:t>
      </w:r>
      <w:r w:rsidR="00C54DDE" w:rsidRPr="00903982">
        <w:rPr>
          <w:rFonts w:cs="Arial"/>
          <w:lang w:val="es-ES_tradnl"/>
        </w:rPr>
        <w:t xml:space="preserve">as limpias, desde 0%, que sería la línea base, hasta el 100% que corresponde al escenario descrito por </w:t>
      </w:r>
      <w:r w:rsidRPr="00903982">
        <w:rPr>
          <w:rFonts w:cs="Arial"/>
          <w:lang w:val="es-ES_tradnl"/>
        </w:rPr>
        <w:t>la LTE.</w:t>
      </w:r>
    </w:p>
    <w:p w14:paraId="16850165" w14:textId="4DA59327" w:rsidR="008B339F" w:rsidRPr="00903982" w:rsidRDefault="008B339F" w:rsidP="008B339F">
      <w:pPr>
        <w:pStyle w:val="Caption"/>
        <w:keepNext/>
        <w:ind w:left="720"/>
        <w:rPr>
          <w:rFonts w:asciiTheme="minorHAnsi" w:hAnsiTheme="minorHAnsi"/>
          <w:b w:val="0"/>
          <w:sz w:val="22"/>
          <w:lang w:val="es-ES_tradnl"/>
        </w:rPr>
      </w:pPr>
      <w:r w:rsidRPr="00903982">
        <w:rPr>
          <w:rFonts w:asciiTheme="minorHAnsi" w:hAnsiTheme="minorHAnsi"/>
          <w:b w:val="0"/>
          <w:sz w:val="22"/>
          <w:lang w:val="es-ES_tradnl"/>
        </w:rPr>
        <w:t xml:space="preserve">Tabla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Tabla \* ARABIC </w:instrText>
      </w:r>
      <w:r w:rsidRPr="00903982">
        <w:rPr>
          <w:rFonts w:asciiTheme="minorHAnsi" w:hAnsiTheme="minorHAnsi"/>
          <w:b w:val="0"/>
          <w:sz w:val="22"/>
          <w:lang w:val="es-ES_tradnl"/>
        </w:rPr>
        <w:fldChar w:fldCharType="separate"/>
      </w:r>
      <w:r w:rsidRPr="00903982">
        <w:rPr>
          <w:rFonts w:asciiTheme="minorHAnsi" w:hAnsiTheme="minorHAnsi"/>
          <w:b w:val="0"/>
          <w:noProof/>
          <w:sz w:val="22"/>
          <w:lang w:val="es-ES_tradnl"/>
        </w:rPr>
        <w:t>23</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Sensibilidad de la utilidad del Programa a cambios en el porcentaje de penetración de energías limpias</w:t>
      </w:r>
    </w:p>
    <w:tbl>
      <w:tblPr>
        <w:tblW w:w="4260" w:type="dxa"/>
        <w:jc w:val="center"/>
        <w:tblCellMar>
          <w:left w:w="70" w:type="dxa"/>
          <w:right w:w="70" w:type="dxa"/>
        </w:tblCellMar>
        <w:tblLook w:val="04A0" w:firstRow="1" w:lastRow="0" w:firstColumn="1" w:lastColumn="0" w:noHBand="0" w:noVBand="1"/>
      </w:tblPr>
      <w:tblGrid>
        <w:gridCol w:w="2480"/>
        <w:gridCol w:w="1780"/>
      </w:tblGrid>
      <w:tr w:rsidR="00520742" w:rsidRPr="00903982" w14:paraId="6AE1174A" w14:textId="77777777" w:rsidTr="008B339F">
        <w:trPr>
          <w:trHeight w:val="860"/>
          <w:jc w:val="center"/>
        </w:trPr>
        <w:tc>
          <w:tcPr>
            <w:tcW w:w="2480" w:type="dxa"/>
            <w:tcBorders>
              <w:top w:val="single" w:sz="8" w:space="0" w:color="auto"/>
              <w:left w:val="single" w:sz="8" w:space="0" w:color="auto"/>
              <w:bottom w:val="single" w:sz="8" w:space="0" w:color="auto"/>
              <w:right w:val="single" w:sz="8" w:space="0" w:color="auto"/>
            </w:tcBorders>
            <w:shd w:val="clear" w:color="000000" w:fill="DFDFDF"/>
            <w:vAlign w:val="center"/>
            <w:hideMark/>
          </w:tcPr>
          <w:p w14:paraId="317491B3" w14:textId="1B06A3F8" w:rsidR="00520742" w:rsidRPr="00903982" w:rsidRDefault="00520742" w:rsidP="003054F1">
            <w:pPr>
              <w:jc w:val="center"/>
              <w:rPr>
                <w:rFonts w:ascii="Calibri" w:eastAsia="Times New Roman" w:hAnsi="Calibri"/>
                <w:color w:val="000000"/>
                <w:sz w:val="22"/>
                <w:szCs w:val="22"/>
                <w:lang w:val="es-ES_tradnl" w:eastAsia="es-ES"/>
              </w:rPr>
            </w:pPr>
            <w:r>
              <w:rPr>
                <w:rFonts w:ascii="Calibri" w:hAnsi="Calibri"/>
                <w:color w:val="000000"/>
                <w:sz w:val="22"/>
                <w:szCs w:val="22"/>
              </w:rPr>
              <w:t>Penetración de Energías Limpias</w:t>
            </w:r>
          </w:p>
        </w:tc>
        <w:tc>
          <w:tcPr>
            <w:tcW w:w="1780" w:type="dxa"/>
            <w:tcBorders>
              <w:top w:val="single" w:sz="8" w:space="0" w:color="auto"/>
              <w:left w:val="nil"/>
              <w:bottom w:val="single" w:sz="8" w:space="0" w:color="auto"/>
              <w:right w:val="single" w:sz="8" w:space="0" w:color="auto"/>
            </w:tcBorders>
            <w:shd w:val="clear" w:color="000000" w:fill="DFDFDF"/>
            <w:vAlign w:val="center"/>
            <w:hideMark/>
          </w:tcPr>
          <w:p w14:paraId="60064064" w14:textId="1F728D04" w:rsidR="00520742" w:rsidRPr="00903982" w:rsidRDefault="00520742" w:rsidP="003054F1">
            <w:pPr>
              <w:jc w:val="center"/>
              <w:rPr>
                <w:rFonts w:ascii="Calibri" w:eastAsia="Times New Roman" w:hAnsi="Calibri"/>
                <w:color w:val="000000"/>
                <w:sz w:val="22"/>
                <w:szCs w:val="22"/>
                <w:lang w:val="es-ES_tradnl" w:eastAsia="es-ES"/>
              </w:rPr>
            </w:pPr>
            <w:r>
              <w:rPr>
                <w:rFonts w:ascii="Calibri" w:hAnsi="Calibri"/>
                <w:color w:val="000000"/>
                <w:sz w:val="22"/>
                <w:szCs w:val="22"/>
              </w:rPr>
              <w:t>Utilidad Programa en Millones de US$</w:t>
            </w:r>
          </w:p>
        </w:tc>
      </w:tr>
      <w:tr w:rsidR="00520742" w:rsidRPr="00903982" w14:paraId="40D0D55A" w14:textId="77777777" w:rsidTr="008B339F">
        <w:trPr>
          <w:trHeight w:val="300"/>
          <w:jc w:val="center"/>
        </w:trPr>
        <w:tc>
          <w:tcPr>
            <w:tcW w:w="2480" w:type="dxa"/>
            <w:tcBorders>
              <w:top w:val="nil"/>
              <w:left w:val="single" w:sz="8" w:space="0" w:color="auto"/>
              <w:bottom w:val="single" w:sz="8" w:space="0" w:color="auto"/>
              <w:right w:val="single" w:sz="8" w:space="0" w:color="auto"/>
            </w:tcBorders>
            <w:shd w:val="clear" w:color="auto" w:fill="auto"/>
            <w:noWrap/>
            <w:vAlign w:val="center"/>
            <w:hideMark/>
          </w:tcPr>
          <w:p w14:paraId="58475F5A" w14:textId="5DF231A8"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0%</w:t>
            </w:r>
          </w:p>
        </w:tc>
        <w:tc>
          <w:tcPr>
            <w:tcW w:w="1780" w:type="dxa"/>
            <w:tcBorders>
              <w:top w:val="nil"/>
              <w:left w:val="nil"/>
              <w:bottom w:val="single" w:sz="8" w:space="0" w:color="auto"/>
              <w:right w:val="single" w:sz="8" w:space="0" w:color="auto"/>
            </w:tcBorders>
            <w:shd w:val="clear" w:color="auto" w:fill="auto"/>
            <w:noWrap/>
            <w:vAlign w:val="center"/>
            <w:hideMark/>
          </w:tcPr>
          <w:p w14:paraId="4521E812" w14:textId="77587F4A"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7,329</w:t>
            </w:r>
          </w:p>
        </w:tc>
      </w:tr>
      <w:tr w:rsidR="00520742" w:rsidRPr="00903982" w14:paraId="03003C22" w14:textId="77777777" w:rsidTr="008B339F">
        <w:trPr>
          <w:trHeight w:val="300"/>
          <w:jc w:val="center"/>
        </w:trPr>
        <w:tc>
          <w:tcPr>
            <w:tcW w:w="2480" w:type="dxa"/>
            <w:tcBorders>
              <w:top w:val="nil"/>
              <w:left w:val="single" w:sz="8" w:space="0" w:color="auto"/>
              <w:bottom w:val="single" w:sz="8" w:space="0" w:color="auto"/>
              <w:right w:val="single" w:sz="8" w:space="0" w:color="auto"/>
            </w:tcBorders>
            <w:shd w:val="clear" w:color="auto" w:fill="auto"/>
            <w:noWrap/>
            <w:vAlign w:val="center"/>
            <w:hideMark/>
          </w:tcPr>
          <w:p w14:paraId="2695BD3B" w14:textId="64B3949D"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20%</w:t>
            </w:r>
          </w:p>
        </w:tc>
        <w:tc>
          <w:tcPr>
            <w:tcW w:w="1780" w:type="dxa"/>
            <w:tcBorders>
              <w:top w:val="nil"/>
              <w:left w:val="nil"/>
              <w:bottom w:val="single" w:sz="8" w:space="0" w:color="auto"/>
              <w:right w:val="single" w:sz="8" w:space="0" w:color="auto"/>
            </w:tcBorders>
            <w:shd w:val="clear" w:color="auto" w:fill="auto"/>
            <w:noWrap/>
            <w:vAlign w:val="center"/>
            <w:hideMark/>
          </w:tcPr>
          <w:p w14:paraId="59894A9D" w14:textId="19182B07"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7,891</w:t>
            </w:r>
          </w:p>
        </w:tc>
      </w:tr>
      <w:tr w:rsidR="00520742" w:rsidRPr="00903982" w14:paraId="0F396EBC" w14:textId="77777777" w:rsidTr="008B339F">
        <w:trPr>
          <w:trHeight w:val="300"/>
          <w:jc w:val="center"/>
        </w:trPr>
        <w:tc>
          <w:tcPr>
            <w:tcW w:w="2480" w:type="dxa"/>
            <w:tcBorders>
              <w:top w:val="nil"/>
              <w:left w:val="single" w:sz="8" w:space="0" w:color="auto"/>
              <w:bottom w:val="single" w:sz="8" w:space="0" w:color="auto"/>
              <w:right w:val="single" w:sz="8" w:space="0" w:color="auto"/>
            </w:tcBorders>
            <w:shd w:val="clear" w:color="auto" w:fill="auto"/>
            <w:noWrap/>
            <w:vAlign w:val="center"/>
            <w:hideMark/>
          </w:tcPr>
          <w:p w14:paraId="3B0FA8B0" w14:textId="3ACA153F"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40%</w:t>
            </w:r>
          </w:p>
        </w:tc>
        <w:tc>
          <w:tcPr>
            <w:tcW w:w="1780" w:type="dxa"/>
            <w:tcBorders>
              <w:top w:val="nil"/>
              <w:left w:val="nil"/>
              <w:bottom w:val="single" w:sz="8" w:space="0" w:color="auto"/>
              <w:right w:val="single" w:sz="8" w:space="0" w:color="auto"/>
            </w:tcBorders>
            <w:shd w:val="clear" w:color="auto" w:fill="auto"/>
            <w:noWrap/>
            <w:vAlign w:val="center"/>
            <w:hideMark/>
          </w:tcPr>
          <w:p w14:paraId="62C73497" w14:textId="4F3769A8"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8,453</w:t>
            </w:r>
          </w:p>
        </w:tc>
      </w:tr>
      <w:tr w:rsidR="00520742" w:rsidRPr="00903982" w14:paraId="1AC83079" w14:textId="77777777" w:rsidTr="008B339F">
        <w:trPr>
          <w:trHeight w:val="300"/>
          <w:jc w:val="center"/>
        </w:trPr>
        <w:tc>
          <w:tcPr>
            <w:tcW w:w="2480" w:type="dxa"/>
            <w:tcBorders>
              <w:top w:val="nil"/>
              <w:left w:val="single" w:sz="8" w:space="0" w:color="auto"/>
              <w:bottom w:val="single" w:sz="8" w:space="0" w:color="auto"/>
              <w:right w:val="single" w:sz="8" w:space="0" w:color="auto"/>
            </w:tcBorders>
            <w:shd w:val="clear" w:color="auto" w:fill="auto"/>
            <w:noWrap/>
            <w:vAlign w:val="center"/>
            <w:hideMark/>
          </w:tcPr>
          <w:p w14:paraId="2959C8A9" w14:textId="2B8557F8"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60%</w:t>
            </w:r>
          </w:p>
        </w:tc>
        <w:tc>
          <w:tcPr>
            <w:tcW w:w="1780" w:type="dxa"/>
            <w:tcBorders>
              <w:top w:val="nil"/>
              <w:left w:val="nil"/>
              <w:bottom w:val="single" w:sz="8" w:space="0" w:color="auto"/>
              <w:right w:val="single" w:sz="8" w:space="0" w:color="auto"/>
            </w:tcBorders>
            <w:shd w:val="clear" w:color="auto" w:fill="auto"/>
            <w:noWrap/>
            <w:vAlign w:val="center"/>
            <w:hideMark/>
          </w:tcPr>
          <w:p w14:paraId="7473D53B" w14:textId="1BDD4220"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9,015</w:t>
            </w:r>
          </w:p>
        </w:tc>
      </w:tr>
      <w:tr w:rsidR="00520742" w:rsidRPr="00903982" w14:paraId="0FBD5C77" w14:textId="77777777" w:rsidTr="008B339F">
        <w:trPr>
          <w:trHeight w:val="300"/>
          <w:jc w:val="center"/>
        </w:trPr>
        <w:tc>
          <w:tcPr>
            <w:tcW w:w="2480" w:type="dxa"/>
            <w:tcBorders>
              <w:top w:val="nil"/>
              <w:left w:val="single" w:sz="8" w:space="0" w:color="auto"/>
              <w:bottom w:val="single" w:sz="8" w:space="0" w:color="auto"/>
              <w:right w:val="single" w:sz="8" w:space="0" w:color="auto"/>
            </w:tcBorders>
            <w:shd w:val="clear" w:color="auto" w:fill="auto"/>
            <w:noWrap/>
            <w:vAlign w:val="center"/>
            <w:hideMark/>
          </w:tcPr>
          <w:p w14:paraId="0CF84523" w14:textId="2242FABB"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80%</w:t>
            </w:r>
          </w:p>
        </w:tc>
        <w:tc>
          <w:tcPr>
            <w:tcW w:w="1780" w:type="dxa"/>
            <w:tcBorders>
              <w:top w:val="nil"/>
              <w:left w:val="nil"/>
              <w:bottom w:val="single" w:sz="8" w:space="0" w:color="auto"/>
              <w:right w:val="single" w:sz="8" w:space="0" w:color="auto"/>
            </w:tcBorders>
            <w:shd w:val="clear" w:color="auto" w:fill="auto"/>
            <w:noWrap/>
            <w:vAlign w:val="center"/>
            <w:hideMark/>
          </w:tcPr>
          <w:p w14:paraId="2B810584" w14:textId="123E9547"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9,577</w:t>
            </w:r>
          </w:p>
        </w:tc>
      </w:tr>
      <w:tr w:rsidR="00520742" w:rsidRPr="00903982" w14:paraId="710AB536" w14:textId="77777777" w:rsidTr="008B339F">
        <w:trPr>
          <w:trHeight w:val="300"/>
          <w:jc w:val="center"/>
        </w:trPr>
        <w:tc>
          <w:tcPr>
            <w:tcW w:w="2480" w:type="dxa"/>
            <w:tcBorders>
              <w:top w:val="nil"/>
              <w:left w:val="single" w:sz="8" w:space="0" w:color="auto"/>
              <w:bottom w:val="single" w:sz="8" w:space="0" w:color="auto"/>
              <w:right w:val="single" w:sz="8" w:space="0" w:color="auto"/>
            </w:tcBorders>
            <w:shd w:val="clear" w:color="000000" w:fill="D9D9D9"/>
            <w:noWrap/>
            <w:vAlign w:val="center"/>
            <w:hideMark/>
          </w:tcPr>
          <w:p w14:paraId="6E910DF4" w14:textId="14CAABB2"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100%</w:t>
            </w:r>
          </w:p>
        </w:tc>
        <w:tc>
          <w:tcPr>
            <w:tcW w:w="1780" w:type="dxa"/>
            <w:tcBorders>
              <w:top w:val="nil"/>
              <w:left w:val="nil"/>
              <w:bottom w:val="single" w:sz="8" w:space="0" w:color="auto"/>
              <w:right w:val="single" w:sz="8" w:space="0" w:color="auto"/>
            </w:tcBorders>
            <w:shd w:val="clear" w:color="000000" w:fill="D9D9D9"/>
            <w:noWrap/>
            <w:vAlign w:val="center"/>
            <w:hideMark/>
          </w:tcPr>
          <w:p w14:paraId="4DD149D8" w14:textId="05F17B7F" w:rsidR="00520742" w:rsidRPr="00903982" w:rsidRDefault="00520742" w:rsidP="00903982">
            <w:pPr>
              <w:jc w:val="right"/>
              <w:rPr>
                <w:rFonts w:ascii="Calibri" w:eastAsia="Times New Roman" w:hAnsi="Calibri"/>
                <w:color w:val="000000"/>
                <w:sz w:val="22"/>
                <w:szCs w:val="22"/>
                <w:lang w:val="es-ES_tradnl" w:eastAsia="es-ES"/>
              </w:rPr>
            </w:pPr>
            <w:r>
              <w:rPr>
                <w:rFonts w:ascii="Calibri" w:hAnsi="Calibri"/>
                <w:color w:val="000000"/>
                <w:sz w:val="22"/>
                <w:szCs w:val="22"/>
              </w:rPr>
              <w:t>10,140</w:t>
            </w:r>
          </w:p>
        </w:tc>
      </w:tr>
    </w:tbl>
    <w:p w14:paraId="4842D6DC" w14:textId="77777777" w:rsidR="003054F1" w:rsidRPr="00903982" w:rsidRDefault="003054F1" w:rsidP="003054F1">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47398FFC" w14:textId="430F05DC" w:rsidR="003054F1" w:rsidRPr="00903982" w:rsidRDefault="008B339F" w:rsidP="00C54DDE">
      <w:pPr>
        <w:pStyle w:val="Caption"/>
        <w:keepNext/>
        <w:jc w:val="center"/>
        <w:rPr>
          <w:noProof/>
          <w:lang w:val="es-ES_tradnl"/>
        </w:rPr>
      </w:pPr>
      <w:r w:rsidRPr="00903982">
        <w:rPr>
          <w:rFonts w:asciiTheme="minorHAnsi" w:hAnsiTheme="minorHAnsi"/>
          <w:b w:val="0"/>
          <w:sz w:val="22"/>
          <w:lang w:val="es-ES_tradnl"/>
        </w:rPr>
        <w:t xml:space="preserve">Ilustración </w:t>
      </w:r>
      <w:r w:rsidRPr="00903982">
        <w:rPr>
          <w:rFonts w:asciiTheme="minorHAnsi" w:hAnsiTheme="minorHAnsi"/>
          <w:b w:val="0"/>
          <w:sz w:val="22"/>
          <w:lang w:val="es-ES_tradnl"/>
        </w:rPr>
        <w:fldChar w:fldCharType="begin"/>
      </w:r>
      <w:r w:rsidRPr="00903982">
        <w:rPr>
          <w:rFonts w:asciiTheme="minorHAnsi" w:hAnsiTheme="minorHAnsi"/>
          <w:b w:val="0"/>
          <w:sz w:val="22"/>
          <w:lang w:val="es-ES_tradnl"/>
        </w:rPr>
        <w:instrText xml:space="preserve"> SEQ Ilustración \* ARABIC </w:instrText>
      </w:r>
      <w:r w:rsidRPr="00903982">
        <w:rPr>
          <w:rFonts w:asciiTheme="minorHAnsi" w:hAnsiTheme="minorHAnsi"/>
          <w:b w:val="0"/>
          <w:sz w:val="22"/>
          <w:lang w:val="es-ES_tradnl"/>
        </w:rPr>
        <w:fldChar w:fldCharType="separate"/>
      </w:r>
      <w:r w:rsidRPr="00903982">
        <w:rPr>
          <w:rFonts w:asciiTheme="minorHAnsi" w:hAnsiTheme="minorHAnsi"/>
          <w:b w:val="0"/>
          <w:noProof/>
          <w:sz w:val="22"/>
          <w:lang w:val="es-ES_tradnl"/>
        </w:rPr>
        <w:t>10</w:t>
      </w:r>
      <w:r w:rsidRPr="00903982">
        <w:rPr>
          <w:rFonts w:asciiTheme="minorHAnsi" w:hAnsiTheme="minorHAnsi"/>
          <w:b w:val="0"/>
          <w:sz w:val="22"/>
          <w:lang w:val="es-ES_tradnl"/>
        </w:rPr>
        <w:fldChar w:fldCharType="end"/>
      </w:r>
      <w:r w:rsidRPr="00903982">
        <w:rPr>
          <w:rFonts w:asciiTheme="minorHAnsi" w:hAnsiTheme="minorHAnsi"/>
          <w:b w:val="0"/>
          <w:sz w:val="22"/>
          <w:lang w:val="es-ES_tradnl"/>
        </w:rPr>
        <w:t xml:space="preserve"> Utilidad Programa para diferentes porcentajes de penetración de energía limpia</w:t>
      </w:r>
      <w:r w:rsidRPr="00903982">
        <w:rPr>
          <w:noProof/>
          <w:lang w:val="es-ES_tradnl"/>
        </w:rPr>
        <w:t xml:space="preserve"> </w:t>
      </w:r>
    </w:p>
    <w:p w14:paraId="7A1460A0" w14:textId="39D3D7A1" w:rsidR="00C54DDE" w:rsidRPr="00903982" w:rsidRDefault="00520742" w:rsidP="003054F1">
      <w:pPr>
        <w:spacing w:after="100" w:afterAutospacing="1"/>
        <w:jc w:val="center"/>
        <w:rPr>
          <w:rFonts w:asciiTheme="minorHAnsi" w:hAnsiTheme="minorHAnsi" w:cs="Arial"/>
          <w:sz w:val="22"/>
          <w:szCs w:val="22"/>
          <w:lang w:val="es-ES_tradnl"/>
        </w:rPr>
      </w:pPr>
      <w:r>
        <w:rPr>
          <w:noProof/>
          <w:lang w:val="en-US" w:eastAsia="en-US"/>
        </w:rPr>
        <w:drawing>
          <wp:inline distT="0" distB="0" distL="0" distR="0" wp14:anchorId="0F0404FF" wp14:editId="4341249A">
            <wp:extent cx="3886200" cy="3321050"/>
            <wp:effectExtent l="0" t="0" r="19050" b="1270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4ECA802" w14:textId="7ACBDE12" w:rsidR="003054F1" w:rsidRPr="00903982" w:rsidRDefault="003054F1" w:rsidP="003054F1">
      <w:pPr>
        <w:spacing w:after="100" w:afterAutospacing="1"/>
        <w:jc w:val="center"/>
        <w:rPr>
          <w:rFonts w:asciiTheme="minorHAnsi" w:hAnsiTheme="minorHAnsi" w:cs="Arial"/>
          <w:bCs/>
          <w:sz w:val="22"/>
          <w:szCs w:val="22"/>
          <w:lang w:val="es-ES_tradnl"/>
        </w:rPr>
      </w:pPr>
      <w:r w:rsidRPr="00903982">
        <w:rPr>
          <w:rFonts w:asciiTheme="minorHAnsi" w:hAnsiTheme="minorHAnsi" w:cs="Arial"/>
          <w:bCs/>
          <w:sz w:val="22"/>
          <w:szCs w:val="22"/>
          <w:lang w:val="es-ES_tradnl"/>
        </w:rPr>
        <w:t>Fuente: Elaboración propia en base a resultados.</w:t>
      </w:r>
    </w:p>
    <w:p w14:paraId="0DFCE470" w14:textId="25FD9155" w:rsidR="00C54DDE" w:rsidRDefault="007236B8" w:rsidP="00C54DDE">
      <w:pPr>
        <w:pStyle w:val="ListParagraph"/>
        <w:spacing w:after="100" w:afterAutospacing="1"/>
        <w:jc w:val="both"/>
        <w:rPr>
          <w:rFonts w:cs="Arial"/>
          <w:lang w:val="es-ES_tradnl"/>
        </w:rPr>
      </w:pPr>
      <w:r w:rsidRPr="00903982">
        <w:rPr>
          <w:rFonts w:cs="Arial"/>
          <w:lang w:val="es-ES_tradnl"/>
        </w:rPr>
        <w:t>El resultado del análisis muestra</w:t>
      </w:r>
      <w:r w:rsidR="00C54DDE" w:rsidRPr="00903982">
        <w:rPr>
          <w:rFonts w:cs="Arial"/>
          <w:lang w:val="es-ES_tradnl"/>
        </w:rPr>
        <w:t xml:space="preserve"> que el impacto en el monto de utilidad de cambios de cambios en la penetración de energías renovables es relevante. Un aumento del porce</w:t>
      </w:r>
      <w:r w:rsidR="00903982">
        <w:rPr>
          <w:rFonts w:cs="Arial"/>
          <w:lang w:val="es-ES_tradnl"/>
        </w:rPr>
        <w:t>n</w:t>
      </w:r>
      <w:r w:rsidR="00C54DDE" w:rsidRPr="00903982">
        <w:rPr>
          <w:rFonts w:cs="Arial"/>
          <w:lang w:val="es-ES_tradnl"/>
        </w:rPr>
        <w:t xml:space="preserve">taje tiene efectos en aumentar los costos de inversión.  A modo de ejemplo, un aumento de </w:t>
      </w:r>
      <w:r w:rsidR="00552353" w:rsidRPr="00903982">
        <w:rPr>
          <w:rFonts w:cs="Arial"/>
          <w:lang w:val="es-ES_tradnl"/>
        </w:rPr>
        <w:t>en la penetración de energías limpias trae consigo una mayor</w:t>
      </w:r>
      <w:r w:rsidR="00C54DDE" w:rsidRPr="00903982">
        <w:rPr>
          <w:rFonts w:cs="Arial"/>
          <w:lang w:val="es-ES_tradnl"/>
        </w:rPr>
        <w:t xml:space="preserve"> necesidad de inversión</w:t>
      </w:r>
      <w:r w:rsidR="00552353" w:rsidRPr="00903982">
        <w:rPr>
          <w:rFonts w:cs="Arial"/>
          <w:lang w:val="es-ES_tradnl"/>
        </w:rPr>
        <w:t>,</w:t>
      </w:r>
      <w:r w:rsidR="00C54DDE" w:rsidRPr="00903982">
        <w:rPr>
          <w:rFonts w:cs="Arial"/>
          <w:lang w:val="es-ES_tradnl"/>
        </w:rPr>
        <w:t xml:space="preserve"> menores </w:t>
      </w:r>
      <w:r w:rsidR="00C54DDE" w:rsidRPr="00903982">
        <w:rPr>
          <w:rFonts w:cs="Arial"/>
          <w:lang w:val="es-ES_tradnl"/>
        </w:rPr>
        <w:lastRenderedPageBreak/>
        <w:t>gastos de operación</w:t>
      </w:r>
      <w:r w:rsidR="00552353" w:rsidRPr="00903982">
        <w:rPr>
          <w:rFonts w:cs="Arial"/>
          <w:lang w:val="es-ES_tradnl"/>
        </w:rPr>
        <w:t xml:space="preserve"> y menores emisiones</w:t>
      </w:r>
      <w:r w:rsidR="00C54DDE" w:rsidRPr="00903982">
        <w:rPr>
          <w:rFonts w:cs="Arial"/>
          <w:lang w:val="es-ES_tradnl"/>
        </w:rPr>
        <w:t xml:space="preserve">. </w:t>
      </w:r>
      <w:r w:rsidR="00552353" w:rsidRPr="00903982">
        <w:rPr>
          <w:rFonts w:cs="Arial"/>
          <w:lang w:val="es-ES_tradnl"/>
        </w:rPr>
        <w:t>De forma numérica, una disminución de 20% desde la LTE conlleva una dismi</w:t>
      </w:r>
      <w:r w:rsidR="00903982">
        <w:rPr>
          <w:rFonts w:cs="Arial"/>
          <w:lang w:val="es-ES_tradnl"/>
        </w:rPr>
        <w:t>nu</w:t>
      </w:r>
      <w:r w:rsidR="00552353" w:rsidRPr="00903982">
        <w:rPr>
          <w:rFonts w:cs="Arial"/>
          <w:lang w:val="es-ES_tradnl"/>
        </w:rPr>
        <w:t xml:space="preserve">ción de la utilidad total </w:t>
      </w:r>
      <w:r w:rsidR="00C54DDE" w:rsidRPr="00903982">
        <w:rPr>
          <w:rFonts w:cs="Arial"/>
          <w:lang w:val="es-ES_tradnl"/>
        </w:rPr>
        <w:t xml:space="preserve">de </w:t>
      </w:r>
      <w:r w:rsidR="00D77F48">
        <w:rPr>
          <w:rFonts w:cs="Arial"/>
          <w:lang w:val="es-ES_tradnl"/>
        </w:rPr>
        <w:t>5</w:t>
      </w:r>
      <w:r w:rsidR="00552353" w:rsidRPr="00903982">
        <w:rPr>
          <w:rFonts w:cs="Arial"/>
          <w:lang w:val="es-ES_tradnl"/>
        </w:rPr>
        <w:t>.</w:t>
      </w:r>
      <w:r w:rsidR="00D77F48">
        <w:rPr>
          <w:rFonts w:cs="Arial"/>
          <w:lang w:val="es-ES_tradnl"/>
        </w:rPr>
        <w:t>5</w:t>
      </w:r>
      <w:r w:rsidR="00C54DDE" w:rsidRPr="00903982">
        <w:rPr>
          <w:rFonts w:cs="Arial"/>
          <w:lang w:val="es-ES_tradnl"/>
        </w:rPr>
        <w:t xml:space="preserve">%, </w:t>
      </w:r>
      <w:r w:rsidR="00D77F48">
        <w:rPr>
          <w:rFonts w:cs="Arial"/>
          <w:lang w:val="es-ES_tradnl"/>
        </w:rPr>
        <w:t>o</w:t>
      </w:r>
      <w:r w:rsidR="00C54DDE" w:rsidRPr="00903982">
        <w:rPr>
          <w:rFonts w:cs="Arial"/>
          <w:lang w:val="es-ES_tradnl"/>
        </w:rPr>
        <w:t xml:space="preserve"> </w:t>
      </w:r>
      <w:r w:rsidR="00D77F48">
        <w:rPr>
          <w:rFonts w:cs="Arial"/>
          <w:lang w:val="es-ES_tradnl"/>
        </w:rPr>
        <w:t>563</w:t>
      </w:r>
      <w:r w:rsidR="00C54DDE" w:rsidRPr="00903982">
        <w:rPr>
          <w:rFonts w:cs="Arial"/>
          <w:lang w:val="es-ES_tradnl"/>
        </w:rPr>
        <w:t xml:space="preserve"> millones de dólares. </w:t>
      </w:r>
    </w:p>
    <w:p w14:paraId="0BBD2AD8" w14:textId="65721D8B" w:rsidR="007236B8" w:rsidRDefault="007236B8" w:rsidP="00C54DDE">
      <w:pPr>
        <w:pStyle w:val="ListParagraph"/>
        <w:spacing w:after="100" w:afterAutospacing="1"/>
        <w:jc w:val="both"/>
        <w:rPr>
          <w:rFonts w:cs="Arial"/>
          <w:lang w:val="es-ES_tradnl"/>
        </w:rPr>
      </w:pPr>
    </w:p>
    <w:p w14:paraId="65E4560E" w14:textId="7D478ACF" w:rsidR="007236B8" w:rsidRPr="00903982" w:rsidRDefault="007236B8" w:rsidP="00C54DDE">
      <w:pPr>
        <w:pStyle w:val="ListParagraph"/>
        <w:spacing w:after="100" w:afterAutospacing="1"/>
        <w:jc w:val="both"/>
        <w:rPr>
          <w:rFonts w:cs="Arial"/>
          <w:lang w:val="es-ES_tradnl"/>
        </w:rPr>
      </w:pPr>
      <w:r>
        <w:rPr>
          <w:rFonts w:cs="Arial"/>
          <w:lang w:val="es-ES_tradnl"/>
        </w:rPr>
        <w:t>Los resultados de los procesos de subastas realizados han mostrado su éxito y la reducción en los costos por el aprovechamiento de energías renovables, especialmente en el caso de energía fotovoltaica y eólica, adicionalmente se han desarrollado los Centros Mexicanos de Innovación en Energía, que incluye también energía oceánica y almacenamiento de energía, cuyo desarrollo contribuirá a reducir los costos de estos recursos y aumentar su viabilidad técnica.</w:t>
      </w:r>
    </w:p>
    <w:p w14:paraId="73BA0BC1" w14:textId="77777777" w:rsidR="00D77F48" w:rsidRDefault="00D77F48" w:rsidP="006B3253">
      <w:pPr>
        <w:pStyle w:val="ListParagraph"/>
        <w:spacing w:after="100" w:afterAutospacing="1"/>
        <w:jc w:val="both"/>
        <w:rPr>
          <w:rFonts w:cs="Arial"/>
          <w:lang w:val="es-ES_tradnl"/>
        </w:rPr>
      </w:pPr>
    </w:p>
    <w:p w14:paraId="1D79A1A7" w14:textId="03D2F7C3" w:rsidR="003054F1" w:rsidRPr="00903982" w:rsidRDefault="006B3253" w:rsidP="006B3253">
      <w:pPr>
        <w:pStyle w:val="ListParagraph"/>
        <w:spacing w:after="100" w:afterAutospacing="1"/>
        <w:jc w:val="both"/>
        <w:rPr>
          <w:rFonts w:cs="Arial"/>
          <w:lang w:val="es-ES_tradnl"/>
        </w:rPr>
      </w:pPr>
      <w:r w:rsidRPr="00903982">
        <w:rPr>
          <w:rFonts w:cs="Arial"/>
          <w:lang w:val="es-ES_tradnl"/>
        </w:rPr>
        <w:t>El presente anál</w:t>
      </w:r>
      <w:r w:rsidR="00903982">
        <w:rPr>
          <w:rFonts w:cs="Arial"/>
          <w:lang w:val="es-ES_tradnl"/>
        </w:rPr>
        <w:t>i</w:t>
      </w:r>
      <w:r w:rsidRPr="00903982">
        <w:rPr>
          <w:rFonts w:cs="Arial"/>
          <w:lang w:val="es-ES_tradnl"/>
        </w:rPr>
        <w:t>sis de sensibilidad muestra que los resultados son robustos debido a que no cambian de signo para variaciones significativas en el precio de la reducción de emisiones, en la tasa de inte</w:t>
      </w:r>
      <w:r w:rsidR="00903982">
        <w:rPr>
          <w:rFonts w:cs="Arial"/>
          <w:lang w:val="es-ES_tradnl"/>
        </w:rPr>
        <w:t>n</w:t>
      </w:r>
      <w:r w:rsidRPr="00903982">
        <w:rPr>
          <w:rFonts w:cs="Arial"/>
          <w:lang w:val="es-ES_tradnl"/>
        </w:rPr>
        <w:t>sidad energética, crecimiento económico y porcentaje de energía limpia.  El mayor efecto analizado corresponde a cambios en la intensidad energética un mayor porcentaje de cambio conlleva aumento de los beneficios en inversión y operación</w:t>
      </w:r>
    </w:p>
    <w:p w14:paraId="64938A49" w14:textId="37A4DEED" w:rsidR="002D5B9C" w:rsidRPr="00B170DE" w:rsidRDefault="002D5B9C" w:rsidP="00966F94">
      <w:pPr>
        <w:pStyle w:val="Heading1"/>
        <w:rPr>
          <w:lang w:val="en-US"/>
        </w:rPr>
      </w:pPr>
      <w:bookmarkStart w:id="2" w:name="_Toc459677789"/>
      <w:proofErr w:type="spellStart"/>
      <w:r w:rsidRPr="00B170DE">
        <w:rPr>
          <w:lang w:val="en-US"/>
        </w:rPr>
        <w:t>Bibliografía</w:t>
      </w:r>
      <w:bookmarkEnd w:id="2"/>
      <w:proofErr w:type="spellEnd"/>
    </w:p>
    <w:p w14:paraId="6A3DB531" w14:textId="75DAE37A" w:rsidR="008325A2" w:rsidRPr="00903982" w:rsidRDefault="008325A2" w:rsidP="005A0BB8">
      <w:pPr>
        <w:spacing w:after="100" w:afterAutospacing="1"/>
        <w:jc w:val="both"/>
        <w:rPr>
          <w:rFonts w:asciiTheme="minorHAnsi" w:hAnsiTheme="minorHAnsi" w:cs="Arial"/>
          <w:bCs/>
          <w:sz w:val="22"/>
          <w:szCs w:val="22"/>
          <w:lang w:val="es-ES_tradnl" w:eastAsia="en-US"/>
        </w:rPr>
      </w:pPr>
      <w:r w:rsidRPr="00B170DE">
        <w:rPr>
          <w:rFonts w:asciiTheme="minorHAnsi" w:hAnsiTheme="minorHAnsi" w:cs="Arial"/>
          <w:bCs/>
          <w:sz w:val="22"/>
          <w:szCs w:val="22"/>
          <w:lang w:val="en-US" w:eastAsia="en-US"/>
        </w:rPr>
        <w:t xml:space="preserve">ACEEE, </w:t>
      </w:r>
      <w:proofErr w:type="gramStart"/>
      <w:r w:rsidRPr="00B170DE">
        <w:rPr>
          <w:rFonts w:asciiTheme="minorHAnsi" w:hAnsiTheme="minorHAnsi" w:cs="Arial"/>
          <w:bCs/>
          <w:sz w:val="22"/>
          <w:szCs w:val="22"/>
          <w:lang w:val="en-US" w:eastAsia="en-US"/>
        </w:rPr>
        <w:t>How</w:t>
      </w:r>
      <w:proofErr w:type="gramEnd"/>
      <w:r w:rsidRPr="00B170DE">
        <w:rPr>
          <w:rFonts w:asciiTheme="minorHAnsi" w:hAnsiTheme="minorHAnsi" w:cs="Arial"/>
          <w:bCs/>
          <w:sz w:val="22"/>
          <w:szCs w:val="22"/>
          <w:lang w:val="en-US" w:eastAsia="en-US"/>
        </w:rPr>
        <w:t xml:space="preserve"> does energy efficiency cost? </w:t>
      </w:r>
      <w:r w:rsidRPr="00903982">
        <w:rPr>
          <w:rFonts w:asciiTheme="minorHAnsi" w:hAnsiTheme="minorHAnsi" w:cs="Arial"/>
          <w:bCs/>
          <w:sz w:val="22"/>
          <w:szCs w:val="22"/>
          <w:lang w:val="es-ES_tradnl" w:eastAsia="en-US"/>
        </w:rPr>
        <w:t xml:space="preserve">Estados Unidos, 2015. Disponible en aceee.org. </w:t>
      </w:r>
    </w:p>
    <w:p w14:paraId="6955C7B0" w14:textId="5D28BB4A" w:rsidR="008325A2" w:rsidRPr="00903982" w:rsidRDefault="008325A2" w:rsidP="008325A2">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 xml:space="preserve">BID. “Tasa de descuento social y </w:t>
      </w:r>
      <w:proofErr w:type="spellStart"/>
      <w:r w:rsidRPr="00903982">
        <w:rPr>
          <w:rFonts w:asciiTheme="minorHAnsi" w:hAnsiTheme="minorHAnsi"/>
          <w:sz w:val="22"/>
          <w:szCs w:val="22"/>
          <w:lang w:val="es-ES_tradnl"/>
        </w:rPr>
        <w:t>evaluación</w:t>
      </w:r>
      <w:proofErr w:type="spellEnd"/>
      <w:r w:rsidRPr="00903982">
        <w:rPr>
          <w:rFonts w:asciiTheme="minorHAnsi" w:hAnsiTheme="minorHAnsi"/>
          <w:sz w:val="22"/>
          <w:szCs w:val="22"/>
          <w:lang w:val="es-ES_tradnl"/>
        </w:rPr>
        <w:t xml:space="preserve"> de proyectos. Algunas reflexiones </w:t>
      </w:r>
      <w:proofErr w:type="spellStart"/>
      <w:r w:rsidRPr="00903982">
        <w:rPr>
          <w:rFonts w:asciiTheme="minorHAnsi" w:hAnsiTheme="minorHAnsi"/>
          <w:sz w:val="22"/>
          <w:szCs w:val="22"/>
          <w:lang w:val="es-ES_tradnl"/>
        </w:rPr>
        <w:t>prácticas</w:t>
      </w:r>
      <w:proofErr w:type="spellEnd"/>
      <w:r w:rsidRPr="00903982">
        <w:rPr>
          <w:rFonts w:asciiTheme="minorHAnsi" w:hAnsiTheme="minorHAnsi"/>
          <w:sz w:val="22"/>
          <w:szCs w:val="22"/>
          <w:lang w:val="es-ES_tradnl"/>
        </w:rPr>
        <w:t xml:space="preserve"> para </w:t>
      </w:r>
      <w:proofErr w:type="spellStart"/>
      <w:r w:rsidRPr="00903982">
        <w:rPr>
          <w:rFonts w:asciiTheme="minorHAnsi" w:hAnsiTheme="minorHAnsi"/>
          <w:sz w:val="22"/>
          <w:szCs w:val="22"/>
          <w:lang w:val="es-ES_tradnl"/>
        </w:rPr>
        <w:t>América</w:t>
      </w:r>
      <w:proofErr w:type="spellEnd"/>
      <w:r w:rsidRPr="00903982">
        <w:rPr>
          <w:rFonts w:asciiTheme="minorHAnsi" w:hAnsiTheme="minorHAnsi"/>
          <w:sz w:val="22"/>
          <w:szCs w:val="22"/>
          <w:lang w:val="es-ES_tradnl"/>
        </w:rPr>
        <w:t xml:space="preserve"> Latina y el Caribe”, Estados Unidos, 2016.</w:t>
      </w:r>
    </w:p>
    <w:p w14:paraId="1C71EE32" w14:textId="2CF0D31F" w:rsidR="00C33E31" w:rsidRPr="00B170DE" w:rsidRDefault="005A0BB8" w:rsidP="005A0BB8">
      <w:pPr>
        <w:spacing w:after="100" w:afterAutospacing="1"/>
        <w:jc w:val="both"/>
        <w:rPr>
          <w:rFonts w:asciiTheme="minorHAnsi" w:hAnsiTheme="minorHAnsi"/>
          <w:sz w:val="22"/>
          <w:szCs w:val="22"/>
          <w:lang w:val="en-US"/>
        </w:rPr>
      </w:pPr>
      <w:r w:rsidRPr="00B170DE">
        <w:rPr>
          <w:rFonts w:asciiTheme="minorHAnsi" w:hAnsiTheme="minorHAnsi"/>
          <w:sz w:val="22"/>
          <w:szCs w:val="22"/>
          <w:lang w:val="en-US"/>
        </w:rPr>
        <w:t>UNEP. “Green Energy Choices. The benefits, risks and trade-offs of low-carbon technologies for electricity production”, 2015.</w:t>
      </w:r>
    </w:p>
    <w:p w14:paraId="612F0290" w14:textId="77777777" w:rsidR="00C33E31" w:rsidRPr="00903982" w:rsidRDefault="00C33E31" w:rsidP="00C33E31">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SENER. “Prospectiva del Sector Eléctrico 2016-2030”. México, 2016. Disponible en: http://www.gob.mx/cms/uploads/attachment/file/177626/Prospectiva_del_Sector_El_ctrico_2016-2030.pdf</w:t>
      </w:r>
    </w:p>
    <w:p w14:paraId="6382375C" w14:textId="77777777" w:rsidR="00C33E31" w:rsidRPr="00903982" w:rsidRDefault="00C33E31" w:rsidP="00C33E31">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SENER. “Prospectiva de Gas Natural 2016-2030”. México, 2016. Disponible en: http://www.gob.mx/cms/uploads/attachment/file/177624/Prospectiva_de_Gas_Natural_2016-2030.pdf</w:t>
      </w:r>
    </w:p>
    <w:p w14:paraId="1592B797" w14:textId="77777777" w:rsidR="00C33E31" w:rsidRPr="00903982" w:rsidRDefault="00C33E31" w:rsidP="00C33E31">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SENER. “Programa de Desarrollo del Sistema Energético Nacional (PRODESEN) 2016-2030. México, 2016. Disponible en: http://www.gob.mx/cms/uploads/attachment/file/102166/PRODESEN_2016-2030_1.pdf</w:t>
      </w:r>
    </w:p>
    <w:p w14:paraId="3899D64D" w14:textId="77777777" w:rsidR="00C33E31" w:rsidRPr="00903982" w:rsidRDefault="00C33E31" w:rsidP="00C33E31">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SENER. “Programa de Ampliación y Modernización de las Redes Generales de Distribución (RGD)”. México 2016-2030. Disponible en: http://www.gob.mx/cms/uploads/attachment/file/102165/PRODESEN_2016-2030_2.pdf</w:t>
      </w:r>
    </w:p>
    <w:p w14:paraId="7E6EA115" w14:textId="71FA6ECE" w:rsidR="0062122A" w:rsidRPr="00903982" w:rsidRDefault="0062122A" w:rsidP="00C33E31">
      <w:pPr>
        <w:spacing w:after="100" w:afterAutospacing="1"/>
        <w:jc w:val="both"/>
        <w:rPr>
          <w:rFonts w:asciiTheme="minorHAnsi" w:hAnsiTheme="minorHAnsi"/>
          <w:sz w:val="22"/>
          <w:szCs w:val="22"/>
          <w:lang w:val="es-ES_tradnl"/>
        </w:rPr>
      </w:pPr>
      <w:r w:rsidRPr="00903982">
        <w:rPr>
          <w:rFonts w:asciiTheme="minorHAnsi" w:hAnsiTheme="minorHAnsi"/>
          <w:sz w:val="22"/>
          <w:szCs w:val="22"/>
          <w:lang w:val="es-ES_tradnl"/>
        </w:rPr>
        <w:t xml:space="preserve">SENER. “Programa de Ampliación y Modernización de las Redes Generales de Distribución (RGD)”. México 2017-2031. Disponible en: </w:t>
      </w:r>
      <w:hyperlink r:id="rId25" w:history="1">
        <w:r w:rsidRPr="00903982">
          <w:rPr>
            <w:rFonts w:asciiTheme="minorHAnsi" w:hAnsiTheme="minorHAnsi"/>
            <w:sz w:val="22"/>
            <w:szCs w:val="22"/>
            <w:lang w:val="es-ES_tradnl"/>
          </w:rPr>
          <w:t>http://base.energia.gob.mx/prodesen/PRODESEN_2017-2031.pdf</w:t>
        </w:r>
      </w:hyperlink>
    </w:p>
    <w:p w14:paraId="00BF1587" w14:textId="77777777" w:rsidR="00C33E31" w:rsidRPr="009466D3" w:rsidRDefault="00C33E31" w:rsidP="00C33E31">
      <w:pPr>
        <w:spacing w:after="100" w:afterAutospacing="1"/>
        <w:jc w:val="both"/>
        <w:rPr>
          <w:rFonts w:asciiTheme="minorHAnsi" w:hAnsiTheme="minorHAnsi"/>
          <w:sz w:val="22"/>
          <w:szCs w:val="22"/>
          <w:lang w:val="es-MX"/>
        </w:rPr>
      </w:pPr>
      <w:r w:rsidRPr="00B170DE">
        <w:rPr>
          <w:rFonts w:asciiTheme="minorHAnsi" w:hAnsiTheme="minorHAnsi"/>
          <w:sz w:val="22"/>
          <w:szCs w:val="22"/>
          <w:lang w:val="en-US"/>
        </w:rPr>
        <w:lastRenderedPageBreak/>
        <w:t xml:space="preserve">WNA. “Comparison of Lifecycle Greenhouse Gas Emissions of Various Electricity Generation Sources”. </w:t>
      </w:r>
      <w:r w:rsidRPr="009466D3">
        <w:rPr>
          <w:rFonts w:asciiTheme="minorHAnsi" w:hAnsiTheme="minorHAnsi"/>
          <w:sz w:val="22"/>
          <w:szCs w:val="22"/>
          <w:lang w:val="es-MX"/>
        </w:rPr>
        <w:t>Inglaterra, 2011. Disponible en: http://www.world-nuclear.org/uploadedFiles/org/WNA/Publications/Working_Group_Reports/comparison_of_lifecycle.pdf</w:t>
      </w:r>
    </w:p>
    <w:p w14:paraId="59CBB6B3" w14:textId="3DA98F72" w:rsidR="00C33E31" w:rsidRPr="00903982" w:rsidRDefault="00C33E31" w:rsidP="00C33E31">
      <w:pPr>
        <w:spacing w:after="100" w:afterAutospacing="1"/>
        <w:jc w:val="both"/>
        <w:rPr>
          <w:rFonts w:asciiTheme="minorHAnsi" w:hAnsiTheme="minorHAnsi"/>
          <w:b/>
          <w:sz w:val="22"/>
          <w:szCs w:val="22"/>
          <w:lang w:val="es-ES_tradnl"/>
        </w:rPr>
      </w:pPr>
      <w:r w:rsidRPr="00B170DE">
        <w:rPr>
          <w:rFonts w:asciiTheme="minorHAnsi" w:hAnsiTheme="minorHAnsi"/>
          <w:sz w:val="22"/>
          <w:szCs w:val="22"/>
          <w:lang w:val="en-US"/>
        </w:rPr>
        <w:t xml:space="preserve">EIA. Updated Capital Cost Estimates for Utility Scale Electricity Generating Plants. </w:t>
      </w:r>
      <w:r w:rsidRPr="00903982">
        <w:rPr>
          <w:rFonts w:asciiTheme="minorHAnsi" w:hAnsiTheme="minorHAnsi"/>
          <w:sz w:val="22"/>
          <w:szCs w:val="22"/>
          <w:lang w:val="es-ES_tradnl"/>
        </w:rPr>
        <w:t>Estados Unidos, 2013. Disponible en: https://www.eia.gov/outlooks/capitalcost/pdf/updated_capcost.pdf</w:t>
      </w:r>
    </w:p>
    <w:p w14:paraId="29ACC238" w14:textId="67FCD9D5" w:rsidR="002D5B9C" w:rsidRPr="00903982" w:rsidRDefault="002D5B9C" w:rsidP="008325A2">
      <w:pPr>
        <w:spacing w:after="100" w:afterAutospacing="1"/>
        <w:jc w:val="both"/>
        <w:rPr>
          <w:rFonts w:asciiTheme="minorHAnsi" w:hAnsiTheme="minorHAnsi" w:cs="Arial"/>
          <w:bCs/>
          <w:sz w:val="22"/>
          <w:szCs w:val="22"/>
          <w:lang w:val="es-ES_tradnl" w:eastAsia="en-US"/>
        </w:rPr>
      </w:pPr>
    </w:p>
    <w:sectPr w:rsidR="002D5B9C" w:rsidRPr="00903982" w:rsidSect="00A974AF">
      <w:footerReference w:type="default" r:id="rId26"/>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42C38" w14:textId="77777777" w:rsidR="00F444B2" w:rsidRDefault="00F444B2" w:rsidP="00680EB6">
      <w:r>
        <w:separator/>
      </w:r>
    </w:p>
  </w:endnote>
  <w:endnote w:type="continuationSeparator" w:id="0">
    <w:p w14:paraId="1730EFFD" w14:textId="77777777" w:rsidR="00F444B2" w:rsidRDefault="00F444B2" w:rsidP="00680EB6">
      <w:r>
        <w:continuationSeparator/>
      </w:r>
    </w:p>
  </w:endnote>
  <w:endnote w:type="continuationNotice" w:id="1">
    <w:p w14:paraId="23277361" w14:textId="77777777" w:rsidR="00900FBF" w:rsidRDefault="00900F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2945135"/>
      <w:docPartObj>
        <w:docPartGallery w:val="Page Numbers (Bottom of Page)"/>
        <w:docPartUnique/>
      </w:docPartObj>
    </w:sdtPr>
    <w:sdtEndPr>
      <w:rPr>
        <w:rFonts w:asciiTheme="minorHAnsi" w:hAnsiTheme="minorHAnsi"/>
      </w:rPr>
    </w:sdtEndPr>
    <w:sdtContent>
      <w:p w14:paraId="04364C86" w14:textId="72DC4400" w:rsidR="00F444B2" w:rsidRPr="0063381D" w:rsidRDefault="00F444B2">
        <w:pPr>
          <w:pStyle w:val="Footer"/>
          <w:jc w:val="right"/>
          <w:rPr>
            <w:rFonts w:asciiTheme="minorHAnsi" w:hAnsiTheme="minorHAnsi"/>
          </w:rPr>
        </w:pPr>
        <w:r w:rsidRPr="0063381D">
          <w:rPr>
            <w:rFonts w:asciiTheme="minorHAnsi" w:hAnsiTheme="minorHAnsi"/>
          </w:rPr>
          <w:fldChar w:fldCharType="begin"/>
        </w:r>
        <w:r w:rsidRPr="0063381D">
          <w:rPr>
            <w:rFonts w:asciiTheme="minorHAnsi" w:hAnsiTheme="minorHAnsi"/>
          </w:rPr>
          <w:instrText>PAGE   \* MERGEFORMAT</w:instrText>
        </w:r>
        <w:r w:rsidRPr="0063381D">
          <w:rPr>
            <w:rFonts w:asciiTheme="minorHAnsi" w:hAnsiTheme="minorHAnsi"/>
          </w:rPr>
          <w:fldChar w:fldCharType="separate"/>
        </w:r>
        <w:r w:rsidRPr="00F444B2">
          <w:rPr>
            <w:noProof/>
            <w:lang w:val="es-ES"/>
          </w:rPr>
          <w:t>31</w:t>
        </w:r>
        <w:r w:rsidRPr="0063381D">
          <w:rPr>
            <w:rFonts w:asciiTheme="minorHAnsi" w:hAnsiTheme="minorHAnsi"/>
          </w:rPr>
          <w:fldChar w:fldCharType="end"/>
        </w:r>
      </w:p>
    </w:sdtContent>
  </w:sdt>
  <w:p w14:paraId="32225E03" w14:textId="77777777" w:rsidR="00F444B2" w:rsidRDefault="00F444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9F8EC" w14:textId="77777777" w:rsidR="00F444B2" w:rsidRDefault="00F444B2" w:rsidP="00680EB6">
      <w:r>
        <w:separator/>
      </w:r>
    </w:p>
  </w:footnote>
  <w:footnote w:type="continuationSeparator" w:id="0">
    <w:p w14:paraId="74FB46B2" w14:textId="77777777" w:rsidR="00F444B2" w:rsidRDefault="00F444B2" w:rsidP="00680EB6">
      <w:r>
        <w:continuationSeparator/>
      </w:r>
    </w:p>
  </w:footnote>
  <w:footnote w:type="continuationNotice" w:id="1">
    <w:p w14:paraId="3EAC5BF3" w14:textId="77777777" w:rsidR="00900FBF" w:rsidRDefault="00900FBF"/>
  </w:footnote>
  <w:footnote w:id="2">
    <w:p w14:paraId="7BF4E770" w14:textId="1432FF45" w:rsidR="00F444B2" w:rsidRPr="0041430A" w:rsidRDefault="00F444B2">
      <w:pPr>
        <w:pStyle w:val="FootnoteText"/>
      </w:pPr>
      <w:r>
        <w:rPr>
          <w:rStyle w:val="FootnoteReference"/>
        </w:rPr>
        <w:footnoteRef/>
      </w:r>
      <w:r>
        <w:t xml:space="preserve"> Se entiende como energía limpia cualquier medio de generación que produzca menos de 100 </w:t>
      </w:r>
      <w:proofErr w:type="spellStart"/>
      <w:r>
        <w:t>kgr</w:t>
      </w:r>
      <w:proofErr w:type="spellEnd"/>
      <w:r>
        <w:t xml:space="preserve"> de dióxido de carbono (CO</w:t>
      </w:r>
      <w:r w:rsidRPr="00CD070D">
        <w:rPr>
          <w:vertAlign w:val="subscript"/>
        </w:rPr>
        <w:t>2</w:t>
      </w:r>
      <w:r>
        <w:t>) por MWh generado.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230CF"/>
    <w:multiLevelType w:val="hybridMultilevel"/>
    <w:tmpl w:val="812C19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3296BC4"/>
    <w:multiLevelType w:val="hybridMultilevel"/>
    <w:tmpl w:val="B32ADE70"/>
    <w:lvl w:ilvl="0" w:tplc="350ED57C">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36C7B94"/>
    <w:multiLevelType w:val="hybridMultilevel"/>
    <w:tmpl w:val="5A168DB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39755A6"/>
    <w:multiLevelType w:val="hybridMultilevel"/>
    <w:tmpl w:val="38009F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4B37A62"/>
    <w:multiLevelType w:val="hybridMultilevel"/>
    <w:tmpl w:val="5448A330"/>
    <w:lvl w:ilvl="0" w:tplc="8892B9BC">
      <w:start w:val="1"/>
      <w:numFmt w:val="decimal"/>
      <w:pStyle w:val="Banknumbered"/>
      <w:lvlText w:val="%1."/>
      <w:lvlJc w:val="left"/>
      <w:pPr>
        <w:ind w:left="720" w:hanging="360"/>
      </w:pPr>
    </w:lvl>
    <w:lvl w:ilvl="1" w:tplc="D062F1AC">
      <w:start w:val="1"/>
      <w:numFmt w:val="lowerLetter"/>
      <w:lvlText w:val="%2."/>
      <w:lvlJc w:val="left"/>
      <w:pPr>
        <w:ind w:left="1440" w:hanging="360"/>
      </w:pPr>
    </w:lvl>
    <w:lvl w:ilvl="2" w:tplc="EC7CEA70">
      <w:start w:val="1"/>
      <w:numFmt w:val="lowerRoman"/>
      <w:lvlText w:val="%3."/>
      <w:lvlJc w:val="right"/>
      <w:pPr>
        <w:ind w:left="2160" w:hanging="180"/>
      </w:pPr>
    </w:lvl>
    <w:lvl w:ilvl="3" w:tplc="7DCC7474">
      <w:start w:val="1"/>
      <w:numFmt w:val="decimal"/>
      <w:lvlText w:val="%4."/>
      <w:lvlJc w:val="left"/>
      <w:pPr>
        <w:ind w:left="2880" w:hanging="360"/>
      </w:pPr>
    </w:lvl>
    <w:lvl w:ilvl="4" w:tplc="F1E46218">
      <w:start w:val="1"/>
      <w:numFmt w:val="lowerLetter"/>
      <w:lvlText w:val="%5."/>
      <w:lvlJc w:val="left"/>
      <w:pPr>
        <w:ind w:left="3600" w:hanging="360"/>
      </w:pPr>
    </w:lvl>
    <w:lvl w:ilvl="5" w:tplc="B2D421B2">
      <w:start w:val="1"/>
      <w:numFmt w:val="lowerRoman"/>
      <w:lvlText w:val="%6."/>
      <w:lvlJc w:val="right"/>
      <w:pPr>
        <w:ind w:left="4320" w:hanging="180"/>
      </w:pPr>
    </w:lvl>
    <w:lvl w:ilvl="6" w:tplc="02CE06CE">
      <w:start w:val="1"/>
      <w:numFmt w:val="decimal"/>
      <w:lvlText w:val="%7."/>
      <w:lvlJc w:val="left"/>
      <w:pPr>
        <w:ind w:left="5040" w:hanging="360"/>
      </w:pPr>
    </w:lvl>
    <w:lvl w:ilvl="7" w:tplc="90F69492">
      <w:start w:val="1"/>
      <w:numFmt w:val="lowerLetter"/>
      <w:lvlText w:val="%8."/>
      <w:lvlJc w:val="left"/>
      <w:pPr>
        <w:ind w:left="5760" w:hanging="360"/>
      </w:pPr>
    </w:lvl>
    <w:lvl w:ilvl="8" w:tplc="5120964A">
      <w:start w:val="1"/>
      <w:numFmt w:val="lowerRoman"/>
      <w:lvlText w:val="%9."/>
      <w:lvlJc w:val="right"/>
      <w:pPr>
        <w:ind w:left="6480" w:hanging="180"/>
      </w:pPr>
    </w:lvl>
  </w:abstractNum>
  <w:abstractNum w:abstractNumId="6" w15:restartNumberingAfterBreak="0">
    <w:nsid w:val="0A3254A0"/>
    <w:multiLevelType w:val="hybridMultilevel"/>
    <w:tmpl w:val="1AA22BF0"/>
    <w:lvl w:ilvl="0" w:tplc="E5220954">
      <w:start w:val="1"/>
      <w:numFmt w:val="lowerLetter"/>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7" w15:restartNumberingAfterBreak="0">
    <w:nsid w:val="0CA3768B"/>
    <w:multiLevelType w:val="hybridMultilevel"/>
    <w:tmpl w:val="1076FB32"/>
    <w:lvl w:ilvl="0" w:tplc="340A0001">
      <w:start w:val="1"/>
      <w:numFmt w:val="bullet"/>
      <w:lvlText w:val=""/>
      <w:lvlJc w:val="left"/>
      <w:pPr>
        <w:ind w:left="765" w:hanging="360"/>
      </w:pPr>
      <w:rPr>
        <w:rFonts w:ascii="Symbol" w:hAnsi="Symbol" w:hint="default"/>
      </w:rPr>
    </w:lvl>
    <w:lvl w:ilvl="1" w:tplc="340A0003">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8" w15:restartNumberingAfterBreak="0">
    <w:nsid w:val="10652496"/>
    <w:multiLevelType w:val="hybridMultilevel"/>
    <w:tmpl w:val="897C01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07747EF"/>
    <w:multiLevelType w:val="hybridMultilevel"/>
    <w:tmpl w:val="57A49AA2"/>
    <w:lvl w:ilvl="0" w:tplc="08A4E35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35A1E92"/>
    <w:multiLevelType w:val="hybridMultilevel"/>
    <w:tmpl w:val="2166C040"/>
    <w:lvl w:ilvl="0" w:tplc="16DAF15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481455F"/>
    <w:multiLevelType w:val="hybridMultilevel"/>
    <w:tmpl w:val="08B2F2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62E0C72"/>
    <w:multiLevelType w:val="hybridMultilevel"/>
    <w:tmpl w:val="2F0C26A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6C654F1"/>
    <w:multiLevelType w:val="hybridMultilevel"/>
    <w:tmpl w:val="19D434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17FB2779"/>
    <w:multiLevelType w:val="multilevel"/>
    <w:tmpl w:val="23D4CC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9493FBA"/>
    <w:multiLevelType w:val="hybridMultilevel"/>
    <w:tmpl w:val="2A069486"/>
    <w:lvl w:ilvl="0" w:tplc="340A0001">
      <w:start w:val="1"/>
      <w:numFmt w:val="bullet"/>
      <w:lvlText w:val=""/>
      <w:lvlJc w:val="left"/>
      <w:pPr>
        <w:ind w:left="3600" w:hanging="360"/>
      </w:pPr>
      <w:rPr>
        <w:rFonts w:ascii="Symbol" w:hAnsi="Symbol" w:hint="default"/>
      </w:rPr>
    </w:lvl>
    <w:lvl w:ilvl="1" w:tplc="340A0003" w:tentative="1">
      <w:start w:val="1"/>
      <w:numFmt w:val="bullet"/>
      <w:lvlText w:val="o"/>
      <w:lvlJc w:val="left"/>
      <w:pPr>
        <w:ind w:left="4320" w:hanging="360"/>
      </w:pPr>
      <w:rPr>
        <w:rFonts w:ascii="Courier New" w:hAnsi="Courier New" w:cs="Courier New" w:hint="default"/>
      </w:rPr>
    </w:lvl>
    <w:lvl w:ilvl="2" w:tplc="340A0005" w:tentative="1">
      <w:start w:val="1"/>
      <w:numFmt w:val="bullet"/>
      <w:lvlText w:val=""/>
      <w:lvlJc w:val="left"/>
      <w:pPr>
        <w:ind w:left="5040" w:hanging="360"/>
      </w:pPr>
      <w:rPr>
        <w:rFonts w:ascii="Wingdings" w:hAnsi="Wingdings" w:hint="default"/>
      </w:rPr>
    </w:lvl>
    <w:lvl w:ilvl="3" w:tplc="340A0001" w:tentative="1">
      <w:start w:val="1"/>
      <w:numFmt w:val="bullet"/>
      <w:lvlText w:val=""/>
      <w:lvlJc w:val="left"/>
      <w:pPr>
        <w:ind w:left="5760" w:hanging="360"/>
      </w:pPr>
      <w:rPr>
        <w:rFonts w:ascii="Symbol" w:hAnsi="Symbol" w:hint="default"/>
      </w:rPr>
    </w:lvl>
    <w:lvl w:ilvl="4" w:tplc="340A0003" w:tentative="1">
      <w:start w:val="1"/>
      <w:numFmt w:val="bullet"/>
      <w:lvlText w:val="o"/>
      <w:lvlJc w:val="left"/>
      <w:pPr>
        <w:ind w:left="6480" w:hanging="360"/>
      </w:pPr>
      <w:rPr>
        <w:rFonts w:ascii="Courier New" w:hAnsi="Courier New" w:cs="Courier New" w:hint="default"/>
      </w:rPr>
    </w:lvl>
    <w:lvl w:ilvl="5" w:tplc="340A0005" w:tentative="1">
      <w:start w:val="1"/>
      <w:numFmt w:val="bullet"/>
      <w:lvlText w:val=""/>
      <w:lvlJc w:val="left"/>
      <w:pPr>
        <w:ind w:left="7200" w:hanging="360"/>
      </w:pPr>
      <w:rPr>
        <w:rFonts w:ascii="Wingdings" w:hAnsi="Wingdings" w:hint="default"/>
      </w:rPr>
    </w:lvl>
    <w:lvl w:ilvl="6" w:tplc="340A0001" w:tentative="1">
      <w:start w:val="1"/>
      <w:numFmt w:val="bullet"/>
      <w:lvlText w:val=""/>
      <w:lvlJc w:val="left"/>
      <w:pPr>
        <w:ind w:left="7920" w:hanging="360"/>
      </w:pPr>
      <w:rPr>
        <w:rFonts w:ascii="Symbol" w:hAnsi="Symbol" w:hint="default"/>
      </w:rPr>
    </w:lvl>
    <w:lvl w:ilvl="7" w:tplc="340A0003" w:tentative="1">
      <w:start w:val="1"/>
      <w:numFmt w:val="bullet"/>
      <w:lvlText w:val="o"/>
      <w:lvlJc w:val="left"/>
      <w:pPr>
        <w:ind w:left="8640" w:hanging="360"/>
      </w:pPr>
      <w:rPr>
        <w:rFonts w:ascii="Courier New" w:hAnsi="Courier New" w:cs="Courier New" w:hint="default"/>
      </w:rPr>
    </w:lvl>
    <w:lvl w:ilvl="8" w:tplc="340A0005" w:tentative="1">
      <w:start w:val="1"/>
      <w:numFmt w:val="bullet"/>
      <w:lvlText w:val=""/>
      <w:lvlJc w:val="left"/>
      <w:pPr>
        <w:ind w:left="9360" w:hanging="360"/>
      </w:pPr>
      <w:rPr>
        <w:rFonts w:ascii="Wingdings" w:hAnsi="Wingdings" w:hint="default"/>
      </w:rPr>
    </w:lvl>
  </w:abstractNum>
  <w:abstractNum w:abstractNumId="16" w15:restartNumberingAfterBreak="0">
    <w:nsid w:val="1AC4052E"/>
    <w:multiLevelType w:val="hybridMultilevel"/>
    <w:tmpl w:val="C30409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2C38268A"/>
    <w:multiLevelType w:val="hybridMultilevel"/>
    <w:tmpl w:val="FE604370"/>
    <w:lvl w:ilvl="0" w:tplc="0AEAEEAC">
      <w:numFmt w:val="bullet"/>
      <w:lvlText w:val="-"/>
      <w:lvlJc w:val="left"/>
      <w:pPr>
        <w:ind w:left="1080" w:hanging="360"/>
      </w:pPr>
      <w:rPr>
        <w:rFonts w:ascii="Arial" w:eastAsia="Batang" w:hAnsi="Arial" w:cs="Aria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8" w15:restartNumberingAfterBreak="0">
    <w:nsid w:val="2E2753CC"/>
    <w:multiLevelType w:val="hybridMultilevel"/>
    <w:tmpl w:val="ED8A802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2FB55E3D"/>
    <w:multiLevelType w:val="hybridMultilevel"/>
    <w:tmpl w:val="E56CF87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1067149"/>
    <w:multiLevelType w:val="hybridMultilevel"/>
    <w:tmpl w:val="EC1A559C"/>
    <w:lvl w:ilvl="0" w:tplc="54A4A546">
      <w:start w:val="20"/>
      <w:numFmt w:val="bullet"/>
      <w:lvlText w:val="-"/>
      <w:lvlJc w:val="left"/>
      <w:pPr>
        <w:ind w:left="720" w:hanging="360"/>
      </w:pPr>
      <w:rPr>
        <w:rFonts w:ascii="Calibri" w:eastAsiaTheme="minorHAnsi"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330E4F99"/>
    <w:multiLevelType w:val="hybridMultilevel"/>
    <w:tmpl w:val="AE2A16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369B05BF"/>
    <w:multiLevelType w:val="hybridMultilevel"/>
    <w:tmpl w:val="3D8E05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7CB2C9B"/>
    <w:multiLevelType w:val="hybridMultilevel"/>
    <w:tmpl w:val="7F2077CE"/>
    <w:lvl w:ilvl="0" w:tplc="C3C4A706">
      <w:start w:val="1"/>
      <w:numFmt w:val="bullet"/>
      <w:pStyle w:val="Bullet"/>
      <w:lvlText w:val=""/>
      <w:lvlJc w:val="left"/>
      <w:pPr>
        <w:ind w:left="1080" w:hanging="360"/>
      </w:pPr>
      <w:rPr>
        <w:rFonts w:ascii="Symbol" w:hAnsi="Symbol"/>
      </w:rPr>
    </w:lvl>
    <w:lvl w:ilvl="1" w:tplc="359E5848">
      <w:start w:val="1"/>
      <w:numFmt w:val="bullet"/>
      <w:lvlText w:val="o"/>
      <w:lvlJc w:val="left"/>
      <w:pPr>
        <w:ind w:left="1800" w:hanging="360"/>
      </w:pPr>
      <w:rPr>
        <w:rFonts w:ascii="Courier New" w:hAnsi="Courier New"/>
      </w:rPr>
    </w:lvl>
    <w:lvl w:ilvl="2" w:tplc="1C0437E4">
      <w:start w:val="1"/>
      <w:numFmt w:val="bullet"/>
      <w:lvlText w:val=""/>
      <w:lvlJc w:val="left"/>
      <w:pPr>
        <w:ind w:left="2520" w:hanging="360"/>
      </w:pPr>
      <w:rPr>
        <w:rFonts w:ascii="Wingdings" w:hAnsi="Wingdings"/>
      </w:rPr>
    </w:lvl>
    <w:lvl w:ilvl="3" w:tplc="78B2B2AE">
      <w:start w:val="1"/>
      <w:numFmt w:val="bullet"/>
      <w:lvlText w:val=""/>
      <w:lvlJc w:val="left"/>
      <w:pPr>
        <w:ind w:left="3240" w:hanging="360"/>
      </w:pPr>
      <w:rPr>
        <w:rFonts w:ascii="Symbol" w:hAnsi="Symbol"/>
      </w:rPr>
    </w:lvl>
    <w:lvl w:ilvl="4" w:tplc="3F48FC98">
      <w:start w:val="1"/>
      <w:numFmt w:val="bullet"/>
      <w:lvlText w:val="o"/>
      <w:lvlJc w:val="left"/>
      <w:pPr>
        <w:ind w:left="3960" w:hanging="360"/>
      </w:pPr>
      <w:rPr>
        <w:rFonts w:ascii="Courier New" w:hAnsi="Courier New"/>
      </w:rPr>
    </w:lvl>
    <w:lvl w:ilvl="5" w:tplc="2004B80C">
      <w:start w:val="1"/>
      <w:numFmt w:val="bullet"/>
      <w:lvlText w:val=""/>
      <w:lvlJc w:val="left"/>
      <w:pPr>
        <w:ind w:left="4680" w:hanging="360"/>
      </w:pPr>
      <w:rPr>
        <w:rFonts w:ascii="Wingdings" w:hAnsi="Wingdings"/>
      </w:rPr>
    </w:lvl>
    <w:lvl w:ilvl="6" w:tplc="4E326A10">
      <w:start w:val="1"/>
      <w:numFmt w:val="bullet"/>
      <w:lvlText w:val=""/>
      <w:lvlJc w:val="left"/>
      <w:pPr>
        <w:ind w:left="5400" w:hanging="360"/>
      </w:pPr>
      <w:rPr>
        <w:rFonts w:ascii="Symbol" w:hAnsi="Symbol"/>
      </w:rPr>
    </w:lvl>
    <w:lvl w:ilvl="7" w:tplc="65E22BF2">
      <w:start w:val="1"/>
      <w:numFmt w:val="bullet"/>
      <w:lvlText w:val="o"/>
      <w:lvlJc w:val="left"/>
      <w:pPr>
        <w:ind w:left="6120" w:hanging="360"/>
      </w:pPr>
      <w:rPr>
        <w:rFonts w:ascii="Courier New" w:hAnsi="Courier New"/>
      </w:rPr>
    </w:lvl>
    <w:lvl w:ilvl="8" w:tplc="43CE85B4">
      <w:start w:val="1"/>
      <w:numFmt w:val="bullet"/>
      <w:lvlText w:val=""/>
      <w:lvlJc w:val="left"/>
      <w:pPr>
        <w:ind w:left="6840" w:hanging="360"/>
      </w:pPr>
      <w:rPr>
        <w:rFonts w:ascii="Wingdings" w:hAnsi="Wingdings"/>
      </w:rPr>
    </w:lvl>
  </w:abstractNum>
  <w:abstractNum w:abstractNumId="24" w15:restartNumberingAfterBreak="0">
    <w:nsid w:val="37F86681"/>
    <w:multiLevelType w:val="hybridMultilevel"/>
    <w:tmpl w:val="FEA21790"/>
    <w:lvl w:ilvl="0" w:tplc="39A279E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3E2E2F48"/>
    <w:multiLevelType w:val="hybridMultilevel"/>
    <w:tmpl w:val="7C681796"/>
    <w:lvl w:ilvl="0" w:tplc="A6241B8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42364EF7"/>
    <w:multiLevelType w:val="hybridMultilevel"/>
    <w:tmpl w:val="41666986"/>
    <w:lvl w:ilvl="0" w:tplc="39A279E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4A1E262C"/>
    <w:multiLevelType w:val="hybridMultilevel"/>
    <w:tmpl w:val="B6623C82"/>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8" w15:restartNumberingAfterBreak="0">
    <w:nsid w:val="4E2531CB"/>
    <w:multiLevelType w:val="hybridMultilevel"/>
    <w:tmpl w:val="0B6EED5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15:restartNumberingAfterBreak="0">
    <w:nsid w:val="4EF72575"/>
    <w:multiLevelType w:val="hybridMultilevel"/>
    <w:tmpl w:val="497C86C6"/>
    <w:lvl w:ilvl="0" w:tplc="C1E043AA">
      <w:start w:val="20"/>
      <w:numFmt w:val="bullet"/>
      <w:lvlText w:val="-"/>
      <w:lvlJc w:val="left"/>
      <w:pPr>
        <w:ind w:left="720" w:hanging="360"/>
      </w:pPr>
      <w:rPr>
        <w:rFonts w:ascii="Calibri" w:eastAsiaTheme="minorHAnsi"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4EFF4DC2"/>
    <w:multiLevelType w:val="hybridMultilevel"/>
    <w:tmpl w:val="7DA256B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51183977"/>
    <w:multiLevelType w:val="multilevel"/>
    <w:tmpl w:val="50FC2F7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32" w15:restartNumberingAfterBreak="0">
    <w:nsid w:val="53BC15C4"/>
    <w:multiLevelType w:val="hybridMultilevel"/>
    <w:tmpl w:val="FE9AE7A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E471B6C"/>
    <w:multiLevelType w:val="hybridMultilevel"/>
    <w:tmpl w:val="5956AEA4"/>
    <w:lvl w:ilvl="0" w:tplc="7DDAB932">
      <w:start w:val="1"/>
      <w:numFmt w:val="lowerLetter"/>
      <w:lvlText w:val="%1)"/>
      <w:lvlJc w:val="left"/>
      <w:pPr>
        <w:ind w:left="720" w:hanging="360"/>
      </w:pPr>
      <w:rPr>
        <w:rFonts w:asciiTheme="minorHAnsi" w:hAnsiTheme="minorHAnsi" w:cs="Aria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EA410FC"/>
    <w:multiLevelType w:val="hybridMultilevel"/>
    <w:tmpl w:val="A0BAB1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1B10987"/>
    <w:multiLevelType w:val="hybridMultilevel"/>
    <w:tmpl w:val="670497E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63AB6D73"/>
    <w:multiLevelType w:val="hybridMultilevel"/>
    <w:tmpl w:val="A5121D7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C1F3B96"/>
    <w:multiLevelType w:val="hybridMultilevel"/>
    <w:tmpl w:val="8BA81BFA"/>
    <w:lvl w:ilvl="0" w:tplc="52529D5E">
      <w:numFmt w:val="bullet"/>
      <w:lvlText w:val="-"/>
      <w:lvlJc w:val="left"/>
      <w:pPr>
        <w:ind w:left="720" w:hanging="360"/>
      </w:pPr>
      <w:rPr>
        <w:rFonts w:ascii="Calibri" w:eastAsia="Calibri" w:hAnsi="Calibri"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58E0EF5"/>
    <w:multiLevelType w:val="hybridMultilevel"/>
    <w:tmpl w:val="FED4A2DA"/>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39" w15:restartNumberingAfterBreak="0">
    <w:nsid w:val="76986F5C"/>
    <w:multiLevelType w:val="hybridMultilevel"/>
    <w:tmpl w:val="F418D24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0" w15:restartNumberingAfterBreak="0">
    <w:nsid w:val="7F3E4506"/>
    <w:multiLevelType w:val="multilevel"/>
    <w:tmpl w:val="28441710"/>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decimal"/>
      <w:lvlText w:val="%1.%2.%3."/>
      <w:lvlJc w:val="left"/>
      <w:pPr>
        <w:ind w:left="1212"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17"/>
  </w:num>
  <w:num w:numId="3">
    <w:abstractNumId w:val="25"/>
  </w:num>
  <w:num w:numId="4">
    <w:abstractNumId w:val="40"/>
  </w:num>
  <w:num w:numId="5">
    <w:abstractNumId w:val="36"/>
  </w:num>
  <w:num w:numId="6">
    <w:abstractNumId w:val="21"/>
  </w:num>
  <w:num w:numId="7">
    <w:abstractNumId w:val="5"/>
  </w:num>
  <w:num w:numId="8">
    <w:abstractNumId w:val="23"/>
  </w:num>
  <w:num w:numId="9">
    <w:abstractNumId w:val="6"/>
  </w:num>
  <w:num w:numId="10">
    <w:abstractNumId w:val="35"/>
  </w:num>
  <w:num w:numId="11">
    <w:abstractNumId w:val="15"/>
  </w:num>
  <w:num w:numId="12">
    <w:abstractNumId w:val="19"/>
  </w:num>
  <w:num w:numId="13">
    <w:abstractNumId w:val="13"/>
  </w:num>
  <w:num w:numId="14">
    <w:abstractNumId w:val="32"/>
  </w:num>
  <w:num w:numId="15">
    <w:abstractNumId w:val="16"/>
  </w:num>
  <w:num w:numId="16">
    <w:abstractNumId w:val="3"/>
  </w:num>
  <w:num w:numId="17">
    <w:abstractNumId w:val="7"/>
  </w:num>
  <w:num w:numId="18">
    <w:abstractNumId w:val="38"/>
  </w:num>
  <w:num w:numId="19">
    <w:abstractNumId w:val="18"/>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2"/>
  </w:num>
  <w:num w:numId="23">
    <w:abstractNumId w:val="10"/>
  </w:num>
  <w:num w:numId="24">
    <w:abstractNumId w:val="27"/>
  </w:num>
  <w:num w:numId="25">
    <w:abstractNumId w:val="26"/>
  </w:num>
  <w:num w:numId="26">
    <w:abstractNumId w:val="20"/>
  </w:num>
  <w:num w:numId="27">
    <w:abstractNumId w:val="29"/>
  </w:num>
  <w:num w:numId="28">
    <w:abstractNumId w:val="24"/>
  </w:num>
  <w:num w:numId="29">
    <w:abstractNumId w:val="9"/>
  </w:num>
  <w:num w:numId="30">
    <w:abstractNumId w:val="8"/>
  </w:num>
  <w:num w:numId="31">
    <w:abstractNumId w:val="0"/>
  </w:num>
  <w:num w:numId="32">
    <w:abstractNumId w:val="34"/>
  </w:num>
  <w:num w:numId="33">
    <w:abstractNumId w:val="22"/>
  </w:num>
  <w:num w:numId="34">
    <w:abstractNumId w:val="1"/>
  </w:num>
  <w:num w:numId="35">
    <w:abstractNumId w:val="11"/>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28"/>
  </w:num>
  <w:num w:numId="39">
    <w:abstractNumId w:val="30"/>
  </w:num>
  <w:num w:numId="40">
    <w:abstractNumId w:val="4"/>
  </w:num>
  <w:num w:numId="41">
    <w:abstractNumId w:val="12"/>
  </w:num>
  <w:num w:numId="42">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0"/>
  <w:activeWritingStyle w:appName="MSWord" w:lang="es-CL" w:vendorID="64" w:dllVersion="6" w:nlCheck="1" w:checkStyle="0"/>
  <w:activeWritingStyle w:appName="MSWord" w:lang="es-ES" w:vendorID="64" w:dllVersion="6" w:nlCheck="1" w:checkStyle="0"/>
  <w:activeWritingStyle w:appName="MSWord" w:lang="es-ES_tradnl" w:vendorID="64" w:dllVersion="0" w:nlCheck="1" w:checkStyle="0"/>
  <w:activeWritingStyle w:appName="MSWord" w:lang="en-US" w:vendorID="64" w:dllVersion="0" w:nlCheck="1" w:checkStyle="0"/>
  <w:activeWritingStyle w:appName="MSWord" w:lang="es-CL" w:vendorID="64" w:dllVersion="0" w:nlCheck="1" w:checkStyle="0"/>
  <w:activeWritingStyle w:appName="MSWord" w:lang="es-ES" w:vendorID="64" w:dllVersion="0" w:nlCheck="1" w:checkStyle="0"/>
  <w:activeWritingStyle w:appName="MSWord" w:lang="es-MX" w:vendorID="64" w:dllVersion="0" w:nlCheck="1" w:checkStyle="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1E4"/>
    <w:rsid w:val="0000132A"/>
    <w:rsid w:val="000023FD"/>
    <w:rsid w:val="000027B2"/>
    <w:rsid w:val="000029A8"/>
    <w:rsid w:val="000035B1"/>
    <w:rsid w:val="0000377D"/>
    <w:rsid w:val="00003DE0"/>
    <w:rsid w:val="00010B3B"/>
    <w:rsid w:val="00015206"/>
    <w:rsid w:val="0001569E"/>
    <w:rsid w:val="00016B00"/>
    <w:rsid w:val="00021C43"/>
    <w:rsid w:val="00021C4E"/>
    <w:rsid w:val="00022F2D"/>
    <w:rsid w:val="0002532E"/>
    <w:rsid w:val="000261A1"/>
    <w:rsid w:val="000267CC"/>
    <w:rsid w:val="00030803"/>
    <w:rsid w:val="00031FDD"/>
    <w:rsid w:val="0003333A"/>
    <w:rsid w:val="00034A77"/>
    <w:rsid w:val="00035066"/>
    <w:rsid w:val="00037593"/>
    <w:rsid w:val="00041BB7"/>
    <w:rsid w:val="00046D35"/>
    <w:rsid w:val="00050143"/>
    <w:rsid w:val="000507B4"/>
    <w:rsid w:val="000526DE"/>
    <w:rsid w:val="00056A92"/>
    <w:rsid w:val="00064375"/>
    <w:rsid w:val="00066934"/>
    <w:rsid w:val="000670FE"/>
    <w:rsid w:val="00071AA4"/>
    <w:rsid w:val="00072700"/>
    <w:rsid w:val="00072C43"/>
    <w:rsid w:val="0008065E"/>
    <w:rsid w:val="000835A7"/>
    <w:rsid w:val="00086D42"/>
    <w:rsid w:val="00087872"/>
    <w:rsid w:val="00091CAF"/>
    <w:rsid w:val="0009237E"/>
    <w:rsid w:val="000971E1"/>
    <w:rsid w:val="000A0219"/>
    <w:rsid w:val="000A32E5"/>
    <w:rsid w:val="000A37BB"/>
    <w:rsid w:val="000A56CE"/>
    <w:rsid w:val="000A642E"/>
    <w:rsid w:val="000A6ADC"/>
    <w:rsid w:val="000A7435"/>
    <w:rsid w:val="000B0B60"/>
    <w:rsid w:val="000C26B0"/>
    <w:rsid w:val="000C3D77"/>
    <w:rsid w:val="000D2524"/>
    <w:rsid w:val="000D3C89"/>
    <w:rsid w:val="000E3814"/>
    <w:rsid w:val="000E4F4C"/>
    <w:rsid w:val="000E6A94"/>
    <w:rsid w:val="000E6F45"/>
    <w:rsid w:val="000F030E"/>
    <w:rsid w:val="000F1C64"/>
    <w:rsid w:val="000F51E1"/>
    <w:rsid w:val="001055C6"/>
    <w:rsid w:val="00126294"/>
    <w:rsid w:val="00130FEC"/>
    <w:rsid w:val="00131EBC"/>
    <w:rsid w:val="001356FD"/>
    <w:rsid w:val="00136AB2"/>
    <w:rsid w:val="00137EEF"/>
    <w:rsid w:val="001418F0"/>
    <w:rsid w:val="00142B58"/>
    <w:rsid w:val="00144F29"/>
    <w:rsid w:val="00146909"/>
    <w:rsid w:val="001559DB"/>
    <w:rsid w:val="00157369"/>
    <w:rsid w:val="0016555E"/>
    <w:rsid w:val="001676F6"/>
    <w:rsid w:val="00167C45"/>
    <w:rsid w:val="00167CDF"/>
    <w:rsid w:val="00167D43"/>
    <w:rsid w:val="00173AA3"/>
    <w:rsid w:val="00192159"/>
    <w:rsid w:val="001A48B0"/>
    <w:rsid w:val="001A7734"/>
    <w:rsid w:val="001B5DF1"/>
    <w:rsid w:val="001B6388"/>
    <w:rsid w:val="001B7E00"/>
    <w:rsid w:val="001C018B"/>
    <w:rsid w:val="001C1F83"/>
    <w:rsid w:val="001C385B"/>
    <w:rsid w:val="001C5AF3"/>
    <w:rsid w:val="001D05DB"/>
    <w:rsid w:val="001D0AFD"/>
    <w:rsid w:val="001D0EE1"/>
    <w:rsid w:val="001D1CBE"/>
    <w:rsid w:val="001D557A"/>
    <w:rsid w:val="001D666B"/>
    <w:rsid w:val="001D6F0B"/>
    <w:rsid w:val="001D72B4"/>
    <w:rsid w:val="001E03E9"/>
    <w:rsid w:val="001E076E"/>
    <w:rsid w:val="001E1F68"/>
    <w:rsid w:val="001E3525"/>
    <w:rsid w:val="001E5B51"/>
    <w:rsid w:val="001E5DFA"/>
    <w:rsid w:val="001E7DD6"/>
    <w:rsid w:val="001F36BB"/>
    <w:rsid w:val="00201037"/>
    <w:rsid w:val="00203F9F"/>
    <w:rsid w:val="002149CF"/>
    <w:rsid w:val="002245B0"/>
    <w:rsid w:val="0022648C"/>
    <w:rsid w:val="00227CA9"/>
    <w:rsid w:val="00230901"/>
    <w:rsid w:val="002335DF"/>
    <w:rsid w:val="00235569"/>
    <w:rsid w:val="00243B8E"/>
    <w:rsid w:val="002443E0"/>
    <w:rsid w:val="00250F9D"/>
    <w:rsid w:val="002512C7"/>
    <w:rsid w:val="00253046"/>
    <w:rsid w:val="00260C0E"/>
    <w:rsid w:val="0026600C"/>
    <w:rsid w:val="00266966"/>
    <w:rsid w:val="0026783F"/>
    <w:rsid w:val="002718B7"/>
    <w:rsid w:val="0027203E"/>
    <w:rsid w:val="00275D92"/>
    <w:rsid w:val="00280D79"/>
    <w:rsid w:val="002837B8"/>
    <w:rsid w:val="00290F41"/>
    <w:rsid w:val="0029512E"/>
    <w:rsid w:val="002A03E9"/>
    <w:rsid w:val="002A0CFB"/>
    <w:rsid w:val="002A36C4"/>
    <w:rsid w:val="002A7F00"/>
    <w:rsid w:val="002B17C2"/>
    <w:rsid w:val="002B6BE2"/>
    <w:rsid w:val="002B7C6D"/>
    <w:rsid w:val="002C0A70"/>
    <w:rsid w:val="002C0BCC"/>
    <w:rsid w:val="002C3A79"/>
    <w:rsid w:val="002C7C49"/>
    <w:rsid w:val="002D4857"/>
    <w:rsid w:val="002D581E"/>
    <w:rsid w:val="002D5B9C"/>
    <w:rsid w:val="002E0BD9"/>
    <w:rsid w:val="002E1690"/>
    <w:rsid w:val="002E2560"/>
    <w:rsid w:val="002F0F82"/>
    <w:rsid w:val="002F317C"/>
    <w:rsid w:val="002F4A02"/>
    <w:rsid w:val="002F79EA"/>
    <w:rsid w:val="00300540"/>
    <w:rsid w:val="0030268C"/>
    <w:rsid w:val="003028C3"/>
    <w:rsid w:val="003043D8"/>
    <w:rsid w:val="003054F1"/>
    <w:rsid w:val="00313E46"/>
    <w:rsid w:val="00313F9C"/>
    <w:rsid w:val="00317E9F"/>
    <w:rsid w:val="0032109B"/>
    <w:rsid w:val="003213D2"/>
    <w:rsid w:val="003228DF"/>
    <w:rsid w:val="003257A9"/>
    <w:rsid w:val="00336608"/>
    <w:rsid w:val="0033742A"/>
    <w:rsid w:val="00337F2C"/>
    <w:rsid w:val="00341CC6"/>
    <w:rsid w:val="00342F7F"/>
    <w:rsid w:val="00351712"/>
    <w:rsid w:val="003551E4"/>
    <w:rsid w:val="003558E3"/>
    <w:rsid w:val="00355FB4"/>
    <w:rsid w:val="003568D9"/>
    <w:rsid w:val="00357389"/>
    <w:rsid w:val="00362C08"/>
    <w:rsid w:val="00364E41"/>
    <w:rsid w:val="00366724"/>
    <w:rsid w:val="00370969"/>
    <w:rsid w:val="003711BF"/>
    <w:rsid w:val="0037397B"/>
    <w:rsid w:val="00376924"/>
    <w:rsid w:val="003814BD"/>
    <w:rsid w:val="00385196"/>
    <w:rsid w:val="003859B9"/>
    <w:rsid w:val="00390891"/>
    <w:rsid w:val="00395F59"/>
    <w:rsid w:val="003A1C2B"/>
    <w:rsid w:val="003B6911"/>
    <w:rsid w:val="003C057E"/>
    <w:rsid w:val="003C699B"/>
    <w:rsid w:val="003C6D0F"/>
    <w:rsid w:val="003C748D"/>
    <w:rsid w:val="003D6336"/>
    <w:rsid w:val="003D6476"/>
    <w:rsid w:val="003E3F32"/>
    <w:rsid w:val="003E64EA"/>
    <w:rsid w:val="003F1DB8"/>
    <w:rsid w:val="003F26A0"/>
    <w:rsid w:val="003F6A94"/>
    <w:rsid w:val="003F726F"/>
    <w:rsid w:val="00401601"/>
    <w:rsid w:val="00401B33"/>
    <w:rsid w:val="0040474C"/>
    <w:rsid w:val="00404B75"/>
    <w:rsid w:val="004053D9"/>
    <w:rsid w:val="0040588B"/>
    <w:rsid w:val="00405ABC"/>
    <w:rsid w:val="0041430A"/>
    <w:rsid w:val="00416724"/>
    <w:rsid w:val="0041770D"/>
    <w:rsid w:val="00417D62"/>
    <w:rsid w:val="004222FE"/>
    <w:rsid w:val="00423ECA"/>
    <w:rsid w:val="00425539"/>
    <w:rsid w:val="004263ED"/>
    <w:rsid w:val="00433F28"/>
    <w:rsid w:val="0043586D"/>
    <w:rsid w:val="00436CE4"/>
    <w:rsid w:val="00440B89"/>
    <w:rsid w:val="00440C19"/>
    <w:rsid w:val="00440FDC"/>
    <w:rsid w:val="00454024"/>
    <w:rsid w:val="00456065"/>
    <w:rsid w:val="00460E32"/>
    <w:rsid w:val="00463127"/>
    <w:rsid w:val="0046316E"/>
    <w:rsid w:val="0046646E"/>
    <w:rsid w:val="00473A4C"/>
    <w:rsid w:val="00477019"/>
    <w:rsid w:val="0048453F"/>
    <w:rsid w:val="00487A21"/>
    <w:rsid w:val="004907CA"/>
    <w:rsid w:val="004A49A5"/>
    <w:rsid w:val="004A726D"/>
    <w:rsid w:val="004B50BC"/>
    <w:rsid w:val="004B5F65"/>
    <w:rsid w:val="004C1DDC"/>
    <w:rsid w:val="004C33E9"/>
    <w:rsid w:val="004C51E6"/>
    <w:rsid w:val="004C5E13"/>
    <w:rsid w:val="004C5FD3"/>
    <w:rsid w:val="004C68D9"/>
    <w:rsid w:val="004D2C8C"/>
    <w:rsid w:val="004D6E7B"/>
    <w:rsid w:val="004D7D1F"/>
    <w:rsid w:val="004E4670"/>
    <w:rsid w:val="004E6344"/>
    <w:rsid w:val="004E75DB"/>
    <w:rsid w:val="004F0C61"/>
    <w:rsid w:val="004F17AD"/>
    <w:rsid w:val="004F511C"/>
    <w:rsid w:val="004F6F05"/>
    <w:rsid w:val="00501F81"/>
    <w:rsid w:val="00504D77"/>
    <w:rsid w:val="00506232"/>
    <w:rsid w:val="00507F8B"/>
    <w:rsid w:val="005119AD"/>
    <w:rsid w:val="005161BC"/>
    <w:rsid w:val="005176AF"/>
    <w:rsid w:val="00520742"/>
    <w:rsid w:val="00524C79"/>
    <w:rsid w:val="0052550F"/>
    <w:rsid w:val="00526BD2"/>
    <w:rsid w:val="00530465"/>
    <w:rsid w:val="005332C6"/>
    <w:rsid w:val="00533AB6"/>
    <w:rsid w:val="0053529E"/>
    <w:rsid w:val="00535946"/>
    <w:rsid w:val="00542BA6"/>
    <w:rsid w:val="00543C43"/>
    <w:rsid w:val="00545C98"/>
    <w:rsid w:val="00552353"/>
    <w:rsid w:val="00552C02"/>
    <w:rsid w:val="00555E7F"/>
    <w:rsid w:val="00557B6C"/>
    <w:rsid w:val="00563EC3"/>
    <w:rsid w:val="00565581"/>
    <w:rsid w:val="00565F3F"/>
    <w:rsid w:val="00574C78"/>
    <w:rsid w:val="005752C7"/>
    <w:rsid w:val="0058031D"/>
    <w:rsid w:val="00580C19"/>
    <w:rsid w:val="00580F7E"/>
    <w:rsid w:val="005818FB"/>
    <w:rsid w:val="00581965"/>
    <w:rsid w:val="00585B9B"/>
    <w:rsid w:val="00586AAA"/>
    <w:rsid w:val="005877BA"/>
    <w:rsid w:val="00594BFF"/>
    <w:rsid w:val="005953F3"/>
    <w:rsid w:val="005A0BB8"/>
    <w:rsid w:val="005A4C44"/>
    <w:rsid w:val="005A4DDF"/>
    <w:rsid w:val="005B11D8"/>
    <w:rsid w:val="005B1666"/>
    <w:rsid w:val="005B1DD1"/>
    <w:rsid w:val="005B4789"/>
    <w:rsid w:val="005B4A23"/>
    <w:rsid w:val="005B4C24"/>
    <w:rsid w:val="005C2DA1"/>
    <w:rsid w:val="005C49EB"/>
    <w:rsid w:val="005C7844"/>
    <w:rsid w:val="005D04FF"/>
    <w:rsid w:val="005D1BAF"/>
    <w:rsid w:val="005D4C95"/>
    <w:rsid w:val="005D5A8D"/>
    <w:rsid w:val="005E5487"/>
    <w:rsid w:val="005F10E7"/>
    <w:rsid w:val="005F24E7"/>
    <w:rsid w:val="005F2779"/>
    <w:rsid w:val="005F5C59"/>
    <w:rsid w:val="00603A7F"/>
    <w:rsid w:val="00604EDE"/>
    <w:rsid w:val="00604F29"/>
    <w:rsid w:val="00612784"/>
    <w:rsid w:val="00614810"/>
    <w:rsid w:val="00615B17"/>
    <w:rsid w:val="00615E11"/>
    <w:rsid w:val="0061719F"/>
    <w:rsid w:val="006202D2"/>
    <w:rsid w:val="0062122A"/>
    <w:rsid w:val="00624092"/>
    <w:rsid w:val="00625F98"/>
    <w:rsid w:val="006320CB"/>
    <w:rsid w:val="0063381D"/>
    <w:rsid w:val="00633E0C"/>
    <w:rsid w:val="00633EBC"/>
    <w:rsid w:val="006350FF"/>
    <w:rsid w:val="00640CA4"/>
    <w:rsid w:val="006411AF"/>
    <w:rsid w:val="006419E8"/>
    <w:rsid w:val="00643F12"/>
    <w:rsid w:val="006467A0"/>
    <w:rsid w:val="00647586"/>
    <w:rsid w:val="00651743"/>
    <w:rsid w:val="00655551"/>
    <w:rsid w:val="006555D4"/>
    <w:rsid w:val="0066397A"/>
    <w:rsid w:val="00671968"/>
    <w:rsid w:val="006764BD"/>
    <w:rsid w:val="00676A0B"/>
    <w:rsid w:val="0067743E"/>
    <w:rsid w:val="00680EB6"/>
    <w:rsid w:val="0068471F"/>
    <w:rsid w:val="00684A6A"/>
    <w:rsid w:val="00684CE5"/>
    <w:rsid w:val="00690762"/>
    <w:rsid w:val="00692853"/>
    <w:rsid w:val="00693BFF"/>
    <w:rsid w:val="006A1F09"/>
    <w:rsid w:val="006A7DB9"/>
    <w:rsid w:val="006B1F8F"/>
    <w:rsid w:val="006B3253"/>
    <w:rsid w:val="006B4D6F"/>
    <w:rsid w:val="006B7E09"/>
    <w:rsid w:val="006C0720"/>
    <w:rsid w:val="006C20E2"/>
    <w:rsid w:val="006D2FAE"/>
    <w:rsid w:val="006D50DA"/>
    <w:rsid w:val="006D6A53"/>
    <w:rsid w:val="006E05E8"/>
    <w:rsid w:val="006E1813"/>
    <w:rsid w:val="006E7763"/>
    <w:rsid w:val="006F08C8"/>
    <w:rsid w:val="006F2D08"/>
    <w:rsid w:val="006F4D6E"/>
    <w:rsid w:val="00700F21"/>
    <w:rsid w:val="0070307A"/>
    <w:rsid w:val="00703A35"/>
    <w:rsid w:val="00705496"/>
    <w:rsid w:val="0070724C"/>
    <w:rsid w:val="00711BAB"/>
    <w:rsid w:val="0071257C"/>
    <w:rsid w:val="00713DA8"/>
    <w:rsid w:val="00714A05"/>
    <w:rsid w:val="00714D3F"/>
    <w:rsid w:val="007171EC"/>
    <w:rsid w:val="007220E8"/>
    <w:rsid w:val="007236B8"/>
    <w:rsid w:val="00727928"/>
    <w:rsid w:val="0073150A"/>
    <w:rsid w:val="00736F53"/>
    <w:rsid w:val="00751420"/>
    <w:rsid w:val="00761F86"/>
    <w:rsid w:val="00765F4B"/>
    <w:rsid w:val="00767285"/>
    <w:rsid w:val="00770E35"/>
    <w:rsid w:val="00771517"/>
    <w:rsid w:val="007723FE"/>
    <w:rsid w:val="007755C5"/>
    <w:rsid w:val="00775E17"/>
    <w:rsid w:val="00776B89"/>
    <w:rsid w:val="007824DC"/>
    <w:rsid w:val="007827C0"/>
    <w:rsid w:val="007830A7"/>
    <w:rsid w:val="00783CDE"/>
    <w:rsid w:val="00790D40"/>
    <w:rsid w:val="00792272"/>
    <w:rsid w:val="0079248F"/>
    <w:rsid w:val="0079373A"/>
    <w:rsid w:val="00794F71"/>
    <w:rsid w:val="007950A7"/>
    <w:rsid w:val="007A7C1F"/>
    <w:rsid w:val="007B1061"/>
    <w:rsid w:val="007B3342"/>
    <w:rsid w:val="007B33C0"/>
    <w:rsid w:val="007B3443"/>
    <w:rsid w:val="007B479A"/>
    <w:rsid w:val="007C2C30"/>
    <w:rsid w:val="007C3489"/>
    <w:rsid w:val="007C7FC3"/>
    <w:rsid w:val="007D0267"/>
    <w:rsid w:val="007D05FF"/>
    <w:rsid w:val="007D1581"/>
    <w:rsid w:val="007D42D5"/>
    <w:rsid w:val="007D7427"/>
    <w:rsid w:val="007E18AF"/>
    <w:rsid w:val="007E4EA7"/>
    <w:rsid w:val="007E62EC"/>
    <w:rsid w:val="007E64A0"/>
    <w:rsid w:val="007F3333"/>
    <w:rsid w:val="007F357F"/>
    <w:rsid w:val="008013F4"/>
    <w:rsid w:val="00803CE9"/>
    <w:rsid w:val="00804FAB"/>
    <w:rsid w:val="00810945"/>
    <w:rsid w:val="00811329"/>
    <w:rsid w:val="00814BD5"/>
    <w:rsid w:val="00814D32"/>
    <w:rsid w:val="00817432"/>
    <w:rsid w:val="008225DF"/>
    <w:rsid w:val="00822E8F"/>
    <w:rsid w:val="00824766"/>
    <w:rsid w:val="00824A70"/>
    <w:rsid w:val="008325A2"/>
    <w:rsid w:val="00834173"/>
    <w:rsid w:val="00840BB8"/>
    <w:rsid w:val="0084222A"/>
    <w:rsid w:val="00846055"/>
    <w:rsid w:val="008503F7"/>
    <w:rsid w:val="008519EF"/>
    <w:rsid w:val="00852C8D"/>
    <w:rsid w:val="008537F0"/>
    <w:rsid w:val="008546CF"/>
    <w:rsid w:val="008578D4"/>
    <w:rsid w:val="00865AF1"/>
    <w:rsid w:val="008672BB"/>
    <w:rsid w:val="00867AB6"/>
    <w:rsid w:val="00883431"/>
    <w:rsid w:val="00883824"/>
    <w:rsid w:val="00885A4D"/>
    <w:rsid w:val="00892019"/>
    <w:rsid w:val="008943F8"/>
    <w:rsid w:val="008A1329"/>
    <w:rsid w:val="008A32E9"/>
    <w:rsid w:val="008A3BC9"/>
    <w:rsid w:val="008A43C7"/>
    <w:rsid w:val="008B2841"/>
    <w:rsid w:val="008B339F"/>
    <w:rsid w:val="008B66AC"/>
    <w:rsid w:val="008C047E"/>
    <w:rsid w:val="008D02EC"/>
    <w:rsid w:val="008D03F8"/>
    <w:rsid w:val="008D2C85"/>
    <w:rsid w:val="008E75D7"/>
    <w:rsid w:val="008F17FC"/>
    <w:rsid w:val="008F6000"/>
    <w:rsid w:val="008F691D"/>
    <w:rsid w:val="008F7701"/>
    <w:rsid w:val="008F7EB2"/>
    <w:rsid w:val="00900583"/>
    <w:rsid w:val="00900FBF"/>
    <w:rsid w:val="009037C8"/>
    <w:rsid w:val="00903982"/>
    <w:rsid w:val="009044AF"/>
    <w:rsid w:val="009059F5"/>
    <w:rsid w:val="00906811"/>
    <w:rsid w:val="009068D8"/>
    <w:rsid w:val="00910F46"/>
    <w:rsid w:val="00913793"/>
    <w:rsid w:val="009140CA"/>
    <w:rsid w:val="00915532"/>
    <w:rsid w:val="00917757"/>
    <w:rsid w:val="009200EE"/>
    <w:rsid w:val="00920401"/>
    <w:rsid w:val="00920E26"/>
    <w:rsid w:val="00925850"/>
    <w:rsid w:val="00931F53"/>
    <w:rsid w:val="00946333"/>
    <w:rsid w:val="009466D3"/>
    <w:rsid w:val="00950D2D"/>
    <w:rsid w:val="00951A7F"/>
    <w:rsid w:val="00952B47"/>
    <w:rsid w:val="00956C8D"/>
    <w:rsid w:val="00957A79"/>
    <w:rsid w:val="00957BFF"/>
    <w:rsid w:val="009668D9"/>
    <w:rsid w:val="00966CDA"/>
    <w:rsid w:val="00966F94"/>
    <w:rsid w:val="00970748"/>
    <w:rsid w:val="00970C28"/>
    <w:rsid w:val="00970E5A"/>
    <w:rsid w:val="00974CBF"/>
    <w:rsid w:val="00975514"/>
    <w:rsid w:val="00981055"/>
    <w:rsid w:val="00981DD0"/>
    <w:rsid w:val="00986D60"/>
    <w:rsid w:val="00994036"/>
    <w:rsid w:val="009A1988"/>
    <w:rsid w:val="009A2119"/>
    <w:rsid w:val="009A5993"/>
    <w:rsid w:val="009A6C38"/>
    <w:rsid w:val="009A7A0D"/>
    <w:rsid w:val="009B01CC"/>
    <w:rsid w:val="009B08DA"/>
    <w:rsid w:val="009B341F"/>
    <w:rsid w:val="009B356C"/>
    <w:rsid w:val="009C1212"/>
    <w:rsid w:val="009C136C"/>
    <w:rsid w:val="009C1FAA"/>
    <w:rsid w:val="009C2BF7"/>
    <w:rsid w:val="009C4996"/>
    <w:rsid w:val="009C506D"/>
    <w:rsid w:val="009C5BDB"/>
    <w:rsid w:val="009C70C3"/>
    <w:rsid w:val="009D1AA4"/>
    <w:rsid w:val="009D4A3A"/>
    <w:rsid w:val="009D4B23"/>
    <w:rsid w:val="009D64FE"/>
    <w:rsid w:val="009D75C9"/>
    <w:rsid w:val="009E0D62"/>
    <w:rsid w:val="009E189A"/>
    <w:rsid w:val="009E40DA"/>
    <w:rsid w:val="009E52FE"/>
    <w:rsid w:val="009E5F4E"/>
    <w:rsid w:val="009E7B7E"/>
    <w:rsid w:val="009F1164"/>
    <w:rsid w:val="009F2435"/>
    <w:rsid w:val="009F4CCF"/>
    <w:rsid w:val="00A0130F"/>
    <w:rsid w:val="00A05628"/>
    <w:rsid w:val="00A07C99"/>
    <w:rsid w:val="00A15ECE"/>
    <w:rsid w:val="00A20409"/>
    <w:rsid w:val="00A21348"/>
    <w:rsid w:val="00A21751"/>
    <w:rsid w:val="00A31640"/>
    <w:rsid w:val="00A3223D"/>
    <w:rsid w:val="00A379E1"/>
    <w:rsid w:val="00A4341B"/>
    <w:rsid w:val="00A447E3"/>
    <w:rsid w:val="00A45774"/>
    <w:rsid w:val="00A45CB5"/>
    <w:rsid w:val="00A47326"/>
    <w:rsid w:val="00A50222"/>
    <w:rsid w:val="00A53EBB"/>
    <w:rsid w:val="00A55FCE"/>
    <w:rsid w:val="00A658DA"/>
    <w:rsid w:val="00A659CE"/>
    <w:rsid w:val="00A72956"/>
    <w:rsid w:val="00A72A0C"/>
    <w:rsid w:val="00A83D96"/>
    <w:rsid w:val="00A86629"/>
    <w:rsid w:val="00A93E27"/>
    <w:rsid w:val="00A974AF"/>
    <w:rsid w:val="00A9786B"/>
    <w:rsid w:val="00AC1B50"/>
    <w:rsid w:val="00AC55CB"/>
    <w:rsid w:val="00AC60B8"/>
    <w:rsid w:val="00AC6DDB"/>
    <w:rsid w:val="00AD30FC"/>
    <w:rsid w:val="00AE2F09"/>
    <w:rsid w:val="00AE69B3"/>
    <w:rsid w:val="00AE6D67"/>
    <w:rsid w:val="00AE703D"/>
    <w:rsid w:val="00AF0478"/>
    <w:rsid w:val="00AF3BD5"/>
    <w:rsid w:val="00AF4E12"/>
    <w:rsid w:val="00B00634"/>
    <w:rsid w:val="00B05DC6"/>
    <w:rsid w:val="00B06266"/>
    <w:rsid w:val="00B06D37"/>
    <w:rsid w:val="00B11D09"/>
    <w:rsid w:val="00B170DE"/>
    <w:rsid w:val="00B20415"/>
    <w:rsid w:val="00B20B35"/>
    <w:rsid w:val="00B31089"/>
    <w:rsid w:val="00B442D8"/>
    <w:rsid w:val="00B459F5"/>
    <w:rsid w:val="00B50849"/>
    <w:rsid w:val="00B515D6"/>
    <w:rsid w:val="00B52AB3"/>
    <w:rsid w:val="00B54A49"/>
    <w:rsid w:val="00B54C9F"/>
    <w:rsid w:val="00B568CC"/>
    <w:rsid w:val="00B57396"/>
    <w:rsid w:val="00B575B9"/>
    <w:rsid w:val="00B62876"/>
    <w:rsid w:val="00B6508D"/>
    <w:rsid w:val="00B65F39"/>
    <w:rsid w:val="00B66D36"/>
    <w:rsid w:val="00B74274"/>
    <w:rsid w:val="00B753F5"/>
    <w:rsid w:val="00B8092F"/>
    <w:rsid w:val="00B82D1C"/>
    <w:rsid w:val="00B83C2A"/>
    <w:rsid w:val="00B84217"/>
    <w:rsid w:val="00B85003"/>
    <w:rsid w:val="00B87431"/>
    <w:rsid w:val="00B921C9"/>
    <w:rsid w:val="00B94853"/>
    <w:rsid w:val="00BA0327"/>
    <w:rsid w:val="00BA5769"/>
    <w:rsid w:val="00BB265D"/>
    <w:rsid w:val="00BC04E4"/>
    <w:rsid w:val="00BC65E3"/>
    <w:rsid w:val="00BE2462"/>
    <w:rsid w:val="00BF0966"/>
    <w:rsid w:val="00BF119D"/>
    <w:rsid w:val="00BF2CCE"/>
    <w:rsid w:val="00BF3526"/>
    <w:rsid w:val="00BF3918"/>
    <w:rsid w:val="00C06A3A"/>
    <w:rsid w:val="00C22EC8"/>
    <w:rsid w:val="00C27723"/>
    <w:rsid w:val="00C3059B"/>
    <w:rsid w:val="00C33E31"/>
    <w:rsid w:val="00C367DC"/>
    <w:rsid w:val="00C37763"/>
    <w:rsid w:val="00C41984"/>
    <w:rsid w:val="00C43171"/>
    <w:rsid w:val="00C43370"/>
    <w:rsid w:val="00C501C0"/>
    <w:rsid w:val="00C5074D"/>
    <w:rsid w:val="00C52C53"/>
    <w:rsid w:val="00C53217"/>
    <w:rsid w:val="00C539E4"/>
    <w:rsid w:val="00C54D94"/>
    <w:rsid w:val="00C54DDE"/>
    <w:rsid w:val="00C56294"/>
    <w:rsid w:val="00C60BC4"/>
    <w:rsid w:val="00C6225A"/>
    <w:rsid w:val="00C63B16"/>
    <w:rsid w:val="00C651C5"/>
    <w:rsid w:val="00C7234C"/>
    <w:rsid w:val="00C72BFA"/>
    <w:rsid w:val="00C76515"/>
    <w:rsid w:val="00C8172F"/>
    <w:rsid w:val="00C858AB"/>
    <w:rsid w:val="00C85CF3"/>
    <w:rsid w:val="00C90942"/>
    <w:rsid w:val="00C90BA0"/>
    <w:rsid w:val="00C9432C"/>
    <w:rsid w:val="00C96FF2"/>
    <w:rsid w:val="00C97224"/>
    <w:rsid w:val="00CA0466"/>
    <w:rsid w:val="00CA04AA"/>
    <w:rsid w:val="00CA584D"/>
    <w:rsid w:val="00CA6469"/>
    <w:rsid w:val="00CA7B21"/>
    <w:rsid w:val="00CB282E"/>
    <w:rsid w:val="00CB6FA6"/>
    <w:rsid w:val="00CC31A8"/>
    <w:rsid w:val="00CD070D"/>
    <w:rsid w:val="00CD0ABE"/>
    <w:rsid w:val="00CD6175"/>
    <w:rsid w:val="00CD64BF"/>
    <w:rsid w:val="00CE1CD8"/>
    <w:rsid w:val="00CE1ED6"/>
    <w:rsid w:val="00CE6270"/>
    <w:rsid w:val="00CE6405"/>
    <w:rsid w:val="00CF1F78"/>
    <w:rsid w:val="00CF204D"/>
    <w:rsid w:val="00CF6054"/>
    <w:rsid w:val="00D0294D"/>
    <w:rsid w:val="00D043A6"/>
    <w:rsid w:val="00D11858"/>
    <w:rsid w:val="00D12CD7"/>
    <w:rsid w:val="00D1310A"/>
    <w:rsid w:val="00D13DC0"/>
    <w:rsid w:val="00D1567A"/>
    <w:rsid w:val="00D21B82"/>
    <w:rsid w:val="00D2502C"/>
    <w:rsid w:val="00D277C0"/>
    <w:rsid w:val="00D305EB"/>
    <w:rsid w:val="00D30C7A"/>
    <w:rsid w:val="00D33ADA"/>
    <w:rsid w:val="00D35695"/>
    <w:rsid w:val="00D36399"/>
    <w:rsid w:val="00D36A04"/>
    <w:rsid w:val="00D404B3"/>
    <w:rsid w:val="00D41159"/>
    <w:rsid w:val="00D44EA7"/>
    <w:rsid w:val="00D451E4"/>
    <w:rsid w:val="00D4580B"/>
    <w:rsid w:val="00D50A11"/>
    <w:rsid w:val="00D52A52"/>
    <w:rsid w:val="00D55012"/>
    <w:rsid w:val="00D570C1"/>
    <w:rsid w:val="00D57B8E"/>
    <w:rsid w:val="00D718DE"/>
    <w:rsid w:val="00D71B83"/>
    <w:rsid w:val="00D7318B"/>
    <w:rsid w:val="00D733D2"/>
    <w:rsid w:val="00D742F4"/>
    <w:rsid w:val="00D77F48"/>
    <w:rsid w:val="00D832D0"/>
    <w:rsid w:val="00D906F5"/>
    <w:rsid w:val="00D90C08"/>
    <w:rsid w:val="00D9113E"/>
    <w:rsid w:val="00DA4E68"/>
    <w:rsid w:val="00DA54F7"/>
    <w:rsid w:val="00DB056E"/>
    <w:rsid w:val="00DB206C"/>
    <w:rsid w:val="00DB241E"/>
    <w:rsid w:val="00DB55A1"/>
    <w:rsid w:val="00DC22F8"/>
    <w:rsid w:val="00DD70C5"/>
    <w:rsid w:val="00DD79F4"/>
    <w:rsid w:val="00DE100B"/>
    <w:rsid w:val="00DF1106"/>
    <w:rsid w:val="00DF1D4F"/>
    <w:rsid w:val="00DF2538"/>
    <w:rsid w:val="00DF6361"/>
    <w:rsid w:val="00E001F1"/>
    <w:rsid w:val="00E04019"/>
    <w:rsid w:val="00E13257"/>
    <w:rsid w:val="00E13CF0"/>
    <w:rsid w:val="00E15088"/>
    <w:rsid w:val="00E229ED"/>
    <w:rsid w:val="00E230D8"/>
    <w:rsid w:val="00E23714"/>
    <w:rsid w:val="00E24639"/>
    <w:rsid w:val="00E26C9A"/>
    <w:rsid w:val="00E351F2"/>
    <w:rsid w:val="00E35CAD"/>
    <w:rsid w:val="00E37C63"/>
    <w:rsid w:val="00E41419"/>
    <w:rsid w:val="00E45E27"/>
    <w:rsid w:val="00E46621"/>
    <w:rsid w:val="00E466B2"/>
    <w:rsid w:val="00E51FB1"/>
    <w:rsid w:val="00E5311D"/>
    <w:rsid w:val="00E53200"/>
    <w:rsid w:val="00E5402C"/>
    <w:rsid w:val="00E55A4E"/>
    <w:rsid w:val="00E573B0"/>
    <w:rsid w:val="00E603F0"/>
    <w:rsid w:val="00E6309F"/>
    <w:rsid w:val="00E63C09"/>
    <w:rsid w:val="00E740C5"/>
    <w:rsid w:val="00E745CC"/>
    <w:rsid w:val="00E75D8D"/>
    <w:rsid w:val="00E77E39"/>
    <w:rsid w:val="00E829D8"/>
    <w:rsid w:val="00E86D3B"/>
    <w:rsid w:val="00E92E5E"/>
    <w:rsid w:val="00E9421D"/>
    <w:rsid w:val="00E95C06"/>
    <w:rsid w:val="00E963EA"/>
    <w:rsid w:val="00EA1038"/>
    <w:rsid w:val="00EA302B"/>
    <w:rsid w:val="00EA3B78"/>
    <w:rsid w:val="00EA4983"/>
    <w:rsid w:val="00EA4AD8"/>
    <w:rsid w:val="00EA75FE"/>
    <w:rsid w:val="00EB3233"/>
    <w:rsid w:val="00EB5D08"/>
    <w:rsid w:val="00EB76E4"/>
    <w:rsid w:val="00EC0266"/>
    <w:rsid w:val="00EC1978"/>
    <w:rsid w:val="00ED3072"/>
    <w:rsid w:val="00ED701B"/>
    <w:rsid w:val="00EE1AAE"/>
    <w:rsid w:val="00EE210C"/>
    <w:rsid w:val="00EE3365"/>
    <w:rsid w:val="00EE5575"/>
    <w:rsid w:val="00EE5DCE"/>
    <w:rsid w:val="00EF24F0"/>
    <w:rsid w:val="00EF45BC"/>
    <w:rsid w:val="00EF491C"/>
    <w:rsid w:val="00EF4E7F"/>
    <w:rsid w:val="00EF782A"/>
    <w:rsid w:val="00F02501"/>
    <w:rsid w:val="00F02966"/>
    <w:rsid w:val="00F040F1"/>
    <w:rsid w:val="00F07684"/>
    <w:rsid w:val="00F117BC"/>
    <w:rsid w:val="00F11D69"/>
    <w:rsid w:val="00F130C8"/>
    <w:rsid w:val="00F14E00"/>
    <w:rsid w:val="00F15117"/>
    <w:rsid w:val="00F21B4C"/>
    <w:rsid w:val="00F25D3E"/>
    <w:rsid w:val="00F30FEC"/>
    <w:rsid w:val="00F3399B"/>
    <w:rsid w:val="00F359CF"/>
    <w:rsid w:val="00F413BE"/>
    <w:rsid w:val="00F444B2"/>
    <w:rsid w:val="00F63317"/>
    <w:rsid w:val="00F64DEB"/>
    <w:rsid w:val="00F673B6"/>
    <w:rsid w:val="00F676F5"/>
    <w:rsid w:val="00F77DE2"/>
    <w:rsid w:val="00F91527"/>
    <w:rsid w:val="00FA36C4"/>
    <w:rsid w:val="00FA40FC"/>
    <w:rsid w:val="00FB379E"/>
    <w:rsid w:val="00FB4B2C"/>
    <w:rsid w:val="00FB5168"/>
    <w:rsid w:val="00FC1274"/>
    <w:rsid w:val="00FC7A61"/>
    <w:rsid w:val="00FC7D77"/>
    <w:rsid w:val="00FD01CE"/>
    <w:rsid w:val="00FD0BE4"/>
    <w:rsid w:val="00FD3B59"/>
    <w:rsid w:val="00FD3FC9"/>
    <w:rsid w:val="00FD58B0"/>
    <w:rsid w:val="00FE0F47"/>
    <w:rsid w:val="00FE7C0A"/>
    <w:rsid w:val="00FF0637"/>
    <w:rsid w:val="00FF4DFB"/>
    <w:rsid w:val="00FF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4A865D"/>
  <w15:docId w15:val="{B1EB85C6-AFC2-4751-AC41-940EFED59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EF24F0"/>
    <w:pPr>
      <w:spacing w:after="0" w:line="240" w:lineRule="auto"/>
    </w:pPr>
    <w:rPr>
      <w:rFonts w:ascii="Times New Roman" w:hAnsi="Times New Roman" w:cs="Times New Roman"/>
      <w:sz w:val="24"/>
      <w:szCs w:val="24"/>
      <w:lang w:val="es-CL" w:eastAsia="es-CL"/>
    </w:rPr>
  </w:style>
  <w:style w:type="paragraph" w:styleId="Heading1">
    <w:name w:val="heading 1"/>
    <w:basedOn w:val="Normal"/>
    <w:next w:val="Normal"/>
    <w:link w:val="Heading1Char"/>
    <w:uiPriority w:val="9"/>
    <w:qFormat/>
    <w:rsid w:val="00966F94"/>
    <w:pPr>
      <w:keepNext/>
      <w:keepLines/>
      <w:spacing w:before="240" w:line="360" w:lineRule="auto"/>
      <w:outlineLvl w:val="0"/>
    </w:pPr>
    <w:rPr>
      <w:rFonts w:asciiTheme="majorHAnsi" w:eastAsiaTheme="majorEastAsia" w:hAnsiTheme="majorHAnsi" w:cstheme="majorBidi"/>
      <w:color w:val="A5A5A5" w:themeColor="accent1" w:themeShade="BF"/>
      <w:sz w:val="32"/>
      <w:szCs w:val="32"/>
    </w:rPr>
  </w:style>
  <w:style w:type="paragraph" w:styleId="Heading2">
    <w:name w:val="heading 2"/>
    <w:basedOn w:val="Normal"/>
    <w:next w:val="Normal"/>
    <w:link w:val="Heading2Char"/>
    <w:uiPriority w:val="99"/>
    <w:qFormat/>
    <w:rsid w:val="00A31640"/>
    <w:pPr>
      <w:keepNext/>
      <w:spacing w:before="80"/>
      <w:jc w:val="both"/>
      <w:outlineLvl w:val="1"/>
    </w:pPr>
    <w:rPr>
      <w:rFonts w:ascii="Arial" w:eastAsia="Times New Roman" w:hAnsi="Arial"/>
      <w:b/>
      <w:sz w:val="20"/>
      <w:szCs w:val="20"/>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51E4"/>
    <w:rPr>
      <w:color w:val="0000FF"/>
      <w:u w:val="single"/>
    </w:rPr>
  </w:style>
  <w:style w:type="paragraph" w:styleId="ListParagraph">
    <w:name w:val="List Paragraph"/>
    <w:basedOn w:val="Normal"/>
    <w:uiPriority w:val="34"/>
    <w:qFormat/>
    <w:rsid w:val="00A31640"/>
    <w:pPr>
      <w:spacing w:after="160" w:line="259" w:lineRule="auto"/>
      <w:ind w:left="720"/>
      <w:contextualSpacing/>
    </w:pPr>
    <w:rPr>
      <w:rFonts w:asciiTheme="minorHAnsi" w:hAnsiTheme="minorHAnsi" w:cstheme="minorBidi"/>
      <w:sz w:val="22"/>
      <w:szCs w:val="22"/>
      <w:lang w:eastAsia="en-US"/>
    </w:rPr>
  </w:style>
  <w:style w:type="table" w:styleId="TableGrid">
    <w:name w:val="Table Grid"/>
    <w:basedOn w:val="TableNormal"/>
    <w:uiPriority w:val="39"/>
    <w:rsid w:val="00A31640"/>
    <w:pPr>
      <w:spacing w:after="0" w:line="240" w:lineRule="auto"/>
    </w:pPr>
    <w:rPr>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9"/>
    <w:rsid w:val="00A31640"/>
    <w:rPr>
      <w:rFonts w:ascii="Arial" w:eastAsia="Times New Roman" w:hAnsi="Arial" w:cs="Times New Roman"/>
      <w:b/>
      <w:sz w:val="20"/>
      <w:szCs w:val="20"/>
      <w:lang w:val="es-ES" w:eastAsia="es-ES"/>
    </w:rPr>
  </w:style>
  <w:style w:type="paragraph" w:customStyle="1" w:styleId="Chapter">
    <w:name w:val="Chapter"/>
    <w:basedOn w:val="Normal"/>
    <w:next w:val="Normal"/>
    <w:rsid w:val="00A31640"/>
    <w:pPr>
      <w:numPr>
        <w:numId w:val="1"/>
      </w:numPr>
      <w:tabs>
        <w:tab w:val="left" w:pos="1440"/>
      </w:tabs>
      <w:spacing w:before="240" w:after="240"/>
      <w:jc w:val="center"/>
    </w:pPr>
    <w:rPr>
      <w:rFonts w:eastAsia="Times New Roman"/>
      <w:b/>
      <w:smallCaps/>
      <w:szCs w:val="20"/>
      <w:lang w:val="es-ES_tradnl" w:eastAsia="en-US"/>
    </w:rPr>
  </w:style>
  <w:style w:type="paragraph" w:customStyle="1" w:styleId="Paragraph">
    <w:name w:val="Paragraph"/>
    <w:aliases w:val="paragraph,p,PARAGRAPH,PG,pa,at"/>
    <w:basedOn w:val="BodyTextIndent"/>
    <w:link w:val="ParagraphChar"/>
    <w:qFormat/>
    <w:rsid w:val="00A31640"/>
    <w:pPr>
      <w:numPr>
        <w:ilvl w:val="1"/>
        <w:numId w:val="1"/>
      </w:numPr>
      <w:spacing w:before="120"/>
      <w:jc w:val="both"/>
      <w:outlineLvl w:val="1"/>
    </w:pPr>
    <w:rPr>
      <w:rFonts w:eastAsia="Times New Roman"/>
      <w:szCs w:val="20"/>
      <w:lang w:val="es-ES_tradnl" w:eastAsia="en-US"/>
    </w:rPr>
  </w:style>
  <w:style w:type="paragraph" w:customStyle="1" w:styleId="subpar">
    <w:name w:val="subpar"/>
    <w:basedOn w:val="BodyTextIndent3"/>
    <w:rsid w:val="00A31640"/>
    <w:pPr>
      <w:numPr>
        <w:ilvl w:val="2"/>
        <w:numId w:val="1"/>
      </w:numPr>
      <w:tabs>
        <w:tab w:val="clear" w:pos="1152"/>
      </w:tabs>
      <w:spacing w:before="120"/>
      <w:ind w:left="2160" w:hanging="180"/>
      <w:jc w:val="both"/>
      <w:outlineLvl w:val="2"/>
    </w:pPr>
    <w:rPr>
      <w:rFonts w:eastAsia="Times New Roman"/>
      <w:sz w:val="24"/>
      <w:szCs w:val="20"/>
      <w:lang w:val="es-ES_tradnl" w:eastAsia="en-US"/>
    </w:rPr>
  </w:style>
  <w:style w:type="paragraph" w:customStyle="1" w:styleId="SubSubPar">
    <w:name w:val="SubSubPar"/>
    <w:basedOn w:val="subpar"/>
    <w:rsid w:val="00A31640"/>
    <w:pPr>
      <w:numPr>
        <w:ilvl w:val="3"/>
      </w:numPr>
      <w:tabs>
        <w:tab w:val="clear" w:pos="1584"/>
        <w:tab w:val="left" w:pos="0"/>
      </w:tabs>
      <w:ind w:left="2880" w:hanging="360"/>
    </w:pPr>
  </w:style>
  <w:style w:type="paragraph" w:styleId="BodyText3">
    <w:name w:val="Body Text 3"/>
    <w:basedOn w:val="Normal"/>
    <w:link w:val="BodyText3Char"/>
    <w:uiPriority w:val="99"/>
    <w:rsid w:val="00A31640"/>
    <w:rPr>
      <w:rFonts w:eastAsia="Times New Roman"/>
      <w:szCs w:val="20"/>
      <w:lang w:val="es-ES_tradnl" w:eastAsia="es-ES"/>
    </w:rPr>
  </w:style>
  <w:style w:type="character" w:customStyle="1" w:styleId="BodyText3Char">
    <w:name w:val="Body Text 3 Char"/>
    <w:basedOn w:val="DefaultParagraphFont"/>
    <w:link w:val="BodyText3"/>
    <w:uiPriority w:val="99"/>
    <w:rsid w:val="00A31640"/>
    <w:rPr>
      <w:rFonts w:ascii="Times New Roman" w:eastAsia="Times New Roman" w:hAnsi="Times New Roman" w:cs="Times New Roman"/>
      <w:sz w:val="24"/>
      <w:szCs w:val="20"/>
      <w:lang w:val="es-ES_tradnl" w:eastAsia="es-ES"/>
    </w:rPr>
  </w:style>
  <w:style w:type="character" w:customStyle="1" w:styleId="ParagraphChar">
    <w:name w:val="Paragraph Char"/>
    <w:aliases w:val="paragraph Char,p Char,PARAGRAPH Char,PG Char,pa Char,at Char"/>
    <w:basedOn w:val="DefaultParagraphFont"/>
    <w:link w:val="Paragraph"/>
    <w:locked/>
    <w:rsid w:val="00A31640"/>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A31640"/>
    <w:pPr>
      <w:spacing w:after="120"/>
      <w:ind w:left="283"/>
    </w:pPr>
  </w:style>
  <w:style w:type="character" w:customStyle="1" w:styleId="BodyTextIndentChar">
    <w:name w:val="Body Text Indent Char"/>
    <w:basedOn w:val="DefaultParagraphFont"/>
    <w:link w:val="BodyTextIndent"/>
    <w:uiPriority w:val="99"/>
    <w:semiHidden/>
    <w:rsid w:val="00A31640"/>
    <w:rPr>
      <w:rFonts w:ascii="Times New Roman" w:hAnsi="Times New Roman" w:cs="Times New Roman"/>
      <w:sz w:val="24"/>
      <w:szCs w:val="24"/>
      <w:lang w:val="es-CL" w:eastAsia="es-CL"/>
    </w:rPr>
  </w:style>
  <w:style w:type="paragraph" w:styleId="BodyTextIndent3">
    <w:name w:val="Body Text Indent 3"/>
    <w:basedOn w:val="Normal"/>
    <w:link w:val="BodyTextIndent3Char"/>
    <w:uiPriority w:val="99"/>
    <w:semiHidden/>
    <w:unhideWhenUsed/>
    <w:rsid w:val="00A3164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A31640"/>
    <w:rPr>
      <w:rFonts w:ascii="Times New Roman" w:hAnsi="Times New Roman" w:cs="Times New Roman"/>
      <w:sz w:val="16"/>
      <w:szCs w:val="16"/>
      <w:lang w:val="es-CL" w:eastAsia="es-CL"/>
    </w:rPr>
  </w:style>
  <w:style w:type="paragraph" w:styleId="FootnoteText">
    <w:name w:val="footnote text"/>
    <w:aliases w:val="Char,Texto nota pie Car Car Car Car, Char"/>
    <w:basedOn w:val="Normal"/>
    <w:link w:val="FootnoteTextChar"/>
    <w:uiPriority w:val="99"/>
    <w:unhideWhenUsed/>
    <w:qFormat/>
    <w:rsid w:val="00680EB6"/>
    <w:rPr>
      <w:sz w:val="20"/>
      <w:szCs w:val="20"/>
    </w:rPr>
  </w:style>
  <w:style w:type="character" w:customStyle="1" w:styleId="FootnoteTextChar">
    <w:name w:val="Footnote Text Char"/>
    <w:aliases w:val="Char Char,Texto nota pie Car Car Car Car Char, Char Char"/>
    <w:basedOn w:val="DefaultParagraphFont"/>
    <w:link w:val="FootnoteText"/>
    <w:uiPriority w:val="99"/>
    <w:rsid w:val="00680EB6"/>
    <w:rPr>
      <w:rFonts w:ascii="Times New Roman" w:hAnsi="Times New Roman" w:cs="Times New Roman"/>
      <w:sz w:val="20"/>
      <w:szCs w:val="20"/>
      <w:lang w:val="es-CL" w:eastAsia="es-CL"/>
    </w:rPr>
  </w:style>
  <w:style w:type="character" w:styleId="FootnoteReference">
    <w:name w:val="footnote reference"/>
    <w:aliases w:val="(Ref. de nota al pie),Ref,de nota al pie"/>
    <w:basedOn w:val="DefaultParagraphFont"/>
    <w:uiPriority w:val="99"/>
    <w:unhideWhenUsed/>
    <w:qFormat/>
    <w:rsid w:val="00680EB6"/>
    <w:rPr>
      <w:vertAlign w:val="superscript"/>
    </w:rPr>
  </w:style>
  <w:style w:type="paragraph" w:styleId="Footer">
    <w:name w:val="footer"/>
    <w:basedOn w:val="Normal"/>
    <w:link w:val="FooterChar"/>
    <w:uiPriority w:val="99"/>
    <w:rsid w:val="00680EB6"/>
    <w:pPr>
      <w:tabs>
        <w:tab w:val="center" w:pos="4320"/>
        <w:tab w:val="right" w:pos="8640"/>
      </w:tabs>
    </w:pPr>
    <w:rPr>
      <w:rFonts w:eastAsia="Times New Roman"/>
      <w:lang w:val="es-ES_tradnl" w:eastAsia="en-US"/>
    </w:rPr>
  </w:style>
  <w:style w:type="character" w:customStyle="1" w:styleId="FooterChar">
    <w:name w:val="Footer Char"/>
    <w:basedOn w:val="DefaultParagraphFont"/>
    <w:link w:val="Footer"/>
    <w:uiPriority w:val="99"/>
    <w:rsid w:val="00680EB6"/>
    <w:rPr>
      <w:rFonts w:ascii="Times New Roman" w:eastAsia="Times New Roman" w:hAnsi="Times New Roman" w:cs="Times New Roman"/>
      <w:sz w:val="24"/>
      <w:szCs w:val="24"/>
      <w:lang w:val="es-ES_tradnl"/>
    </w:rPr>
  </w:style>
  <w:style w:type="paragraph" w:styleId="BalloonText">
    <w:name w:val="Balloon Text"/>
    <w:basedOn w:val="Normal"/>
    <w:link w:val="BalloonTextChar"/>
    <w:uiPriority w:val="99"/>
    <w:semiHidden/>
    <w:unhideWhenUsed/>
    <w:rsid w:val="00052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26DE"/>
    <w:rPr>
      <w:rFonts w:ascii="Segoe UI" w:hAnsi="Segoe UI" w:cs="Segoe UI"/>
      <w:sz w:val="18"/>
      <w:szCs w:val="18"/>
      <w:lang w:val="es-CL" w:eastAsia="es-CL"/>
    </w:rPr>
  </w:style>
  <w:style w:type="paragraph" w:customStyle="1" w:styleId="Default">
    <w:name w:val="Default"/>
    <w:rsid w:val="00915532"/>
    <w:pPr>
      <w:autoSpaceDE w:val="0"/>
      <w:autoSpaceDN w:val="0"/>
      <w:adjustRightInd w:val="0"/>
      <w:spacing w:after="0" w:line="240" w:lineRule="auto"/>
    </w:pPr>
    <w:rPr>
      <w:rFonts w:ascii="Cambria" w:hAnsi="Cambria" w:cs="Cambria"/>
      <w:color w:val="000000"/>
      <w:sz w:val="24"/>
      <w:szCs w:val="24"/>
      <w:lang w:val="es-CL"/>
    </w:rPr>
  </w:style>
  <w:style w:type="character" w:customStyle="1" w:styleId="Heading1Char">
    <w:name w:val="Heading 1 Char"/>
    <w:basedOn w:val="DefaultParagraphFont"/>
    <w:link w:val="Heading1"/>
    <w:uiPriority w:val="9"/>
    <w:rsid w:val="00966F94"/>
    <w:rPr>
      <w:rFonts w:asciiTheme="majorHAnsi" w:eastAsiaTheme="majorEastAsia" w:hAnsiTheme="majorHAnsi" w:cstheme="majorBidi"/>
      <w:color w:val="A5A5A5" w:themeColor="accent1" w:themeShade="BF"/>
      <w:sz w:val="32"/>
      <w:szCs w:val="32"/>
      <w:lang w:val="es-CL" w:eastAsia="es-CL"/>
    </w:rPr>
  </w:style>
  <w:style w:type="paragraph" w:styleId="Header">
    <w:name w:val="header"/>
    <w:basedOn w:val="Normal"/>
    <w:link w:val="HeaderChar"/>
    <w:unhideWhenUsed/>
    <w:rsid w:val="00703A35"/>
    <w:pPr>
      <w:tabs>
        <w:tab w:val="center" w:pos="4680"/>
        <w:tab w:val="right" w:pos="9360"/>
      </w:tabs>
    </w:pPr>
    <w:rPr>
      <w:rFonts w:eastAsia="Times New Roman"/>
      <w:lang w:val="en-US" w:eastAsia="en-US"/>
    </w:rPr>
  </w:style>
  <w:style w:type="character" w:customStyle="1" w:styleId="HeaderChar">
    <w:name w:val="Header Char"/>
    <w:basedOn w:val="DefaultParagraphFont"/>
    <w:link w:val="Header"/>
    <w:rsid w:val="00703A35"/>
    <w:rPr>
      <w:rFonts w:ascii="Times New Roman" w:eastAsia="Times New Roman" w:hAnsi="Times New Roman" w:cs="Times New Roman"/>
      <w:sz w:val="24"/>
      <w:szCs w:val="24"/>
    </w:rPr>
  </w:style>
  <w:style w:type="character" w:styleId="PageNumber">
    <w:name w:val="page number"/>
    <w:basedOn w:val="DefaultParagraphFont"/>
    <w:rsid w:val="00703A35"/>
  </w:style>
  <w:style w:type="paragraph" w:customStyle="1" w:styleId="Bullet">
    <w:name w:val="Bullet"/>
    <w:basedOn w:val="ListParagraph"/>
    <w:qFormat/>
    <w:rsid w:val="00703A35"/>
    <w:pPr>
      <w:numPr>
        <w:numId w:val="8"/>
      </w:numPr>
      <w:spacing w:before="120" w:after="0" w:line="240" w:lineRule="auto"/>
      <w:contextualSpacing w:val="0"/>
    </w:pPr>
    <w:rPr>
      <w:rFonts w:ascii="Times New Roman" w:hAnsi="Times New Roman"/>
      <w:sz w:val="24"/>
      <w:lang w:val="en-US"/>
    </w:rPr>
  </w:style>
  <w:style w:type="paragraph" w:customStyle="1" w:styleId="Banknumbered">
    <w:name w:val="Bank numbered"/>
    <w:qFormat/>
    <w:rsid w:val="00703A35"/>
    <w:pPr>
      <w:numPr>
        <w:numId w:val="7"/>
      </w:numPr>
      <w:spacing w:before="120" w:after="0" w:line="240" w:lineRule="auto"/>
      <w:ind w:left="0" w:firstLine="0"/>
    </w:pPr>
    <w:rPr>
      <w:rFonts w:ascii="Times New Roman" w:hAnsi="Times New Roman"/>
      <w:sz w:val="24"/>
      <w:szCs w:val="24"/>
    </w:rPr>
  </w:style>
  <w:style w:type="character" w:styleId="CommentReference">
    <w:name w:val="annotation reference"/>
    <w:basedOn w:val="DefaultParagraphFont"/>
    <w:uiPriority w:val="99"/>
    <w:semiHidden/>
    <w:unhideWhenUsed/>
    <w:rsid w:val="00703A35"/>
    <w:rPr>
      <w:sz w:val="16"/>
      <w:szCs w:val="16"/>
    </w:rPr>
  </w:style>
  <w:style w:type="paragraph" w:styleId="CommentText">
    <w:name w:val="annotation text"/>
    <w:basedOn w:val="Normal"/>
    <w:link w:val="CommentTextChar"/>
    <w:uiPriority w:val="99"/>
    <w:semiHidden/>
    <w:unhideWhenUsed/>
    <w:rsid w:val="00703A35"/>
    <w:rPr>
      <w:rFonts w:eastAsia="Times New Roman"/>
      <w:sz w:val="20"/>
      <w:szCs w:val="20"/>
      <w:lang w:val="en-US" w:eastAsia="en-US"/>
    </w:rPr>
  </w:style>
  <w:style w:type="character" w:customStyle="1" w:styleId="CommentTextChar">
    <w:name w:val="Comment Text Char"/>
    <w:basedOn w:val="DefaultParagraphFont"/>
    <w:link w:val="CommentText"/>
    <w:uiPriority w:val="99"/>
    <w:semiHidden/>
    <w:rsid w:val="00703A3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3A35"/>
    <w:rPr>
      <w:b/>
      <w:bCs/>
    </w:rPr>
  </w:style>
  <w:style w:type="character" w:customStyle="1" w:styleId="CommentSubjectChar">
    <w:name w:val="Comment Subject Char"/>
    <w:basedOn w:val="CommentTextChar"/>
    <w:link w:val="CommentSubject"/>
    <w:uiPriority w:val="99"/>
    <w:semiHidden/>
    <w:rsid w:val="00703A35"/>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703A35"/>
    <w:rPr>
      <w:rFonts w:eastAsia="Times New Roman"/>
      <w:sz w:val="20"/>
      <w:szCs w:val="20"/>
      <w:lang w:val="en-US" w:eastAsia="en-US"/>
    </w:rPr>
  </w:style>
  <w:style w:type="character" w:customStyle="1" w:styleId="EndnoteTextChar">
    <w:name w:val="Endnote Text Char"/>
    <w:basedOn w:val="DefaultParagraphFont"/>
    <w:link w:val="EndnoteText"/>
    <w:uiPriority w:val="99"/>
    <w:semiHidden/>
    <w:rsid w:val="00703A35"/>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03A35"/>
    <w:rPr>
      <w:vertAlign w:val="superscript"/>
    </w:rPr>
  </w:style>
  <w:style w:type="character" w:styleId="FollowedHyperlink">
    <w:name w:val="FollowedHyperlink"/>
    <w:basedOn w:val="DefaultParagraphFont"/>
    <w:uiPriority w:val="99"/>
    <w:semiHidden/>
    <w:unhideWhenUsed/>
    <w:rsid w:val="00703A35"/>
    <w:rPr>
      <w:color w:val="919191" w:themeColor="followedHyperlink"/>
      <w:u w:val="single"/>
    </w:rPr>
  </w:style>
  <w:style w:type="paragraph" w:styleId="Revision">
    <w:name w:val="Revision"/>
    <w:hidden/>
    <w:uiPriority w:val="99"/>
    <w:semiHidden/>
    <w:rsid w:val="00703A35"/>
    <w:pPr>
      <w:spacing w:after="0"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3A35"/>
  </w:style>
  <w:style w:type="character" w:customStyle="1" w:styleId="Estilo1Car">
    <w:name w:val="Estilo1 Car"/>
    <w:basedOn w:val="DefaultParagraphFont"/>
    <w:link w:val="Estilo1"/>
    <w:locked/>
    <w:rsid w:val="00920E26"/>
    <w:rPr>
      <w:rFonts w:ascii="Times New Roman" w:eastAsiaTheme="majorEastAsia" w:hAnsi="Times New Roman" w:cstheme="majorBidi"/>
      <w:sz w:val="24"/>
      <w:szCs w:val="24"/>
      <w:lang w:bidi="en-US"/>
    </w:rPr>
  </w:style>
  <w:style w:type="paragraph" w:customStyle="1" w:styleId="Estilo1">
    <w:name w:val="Estilo1"/>
    <w:basedOn w:val="Normal"/>
    <w:link w:val="Estilo1Car"/>
    <w:qFormat/>
    <w:rsid w:val="00920E26"/>
    <w:pPr>
      <w:spacing w:before="120" w:after="320"/>
      <w:ind w:firstLine="284"/>
      <w:jc w:val="both"/>
    </w:pPr>
    <w:rPr>
      <w:rFonts w:eastAsiaTheme="majorEastAsia" w:cstheme="majorBidi"/>
      <w:lang w:val="en-US" w:eastAsia="en-US" w:bidi="en-US"/>
    </w:rPr>
  </w:style>
  <w:style w:type="paragraph" w:styleId="TOCHeading">
    <w:name w:val="TOC Heading"/>
    <w:basedOn w:val="Heading1"/>
    <w:next w:val="Normal"/>
    <w:uiPriority w:val="39"/>
    <w:unhideWhenUsed/>
    <w:qFormat/>
    <w:rsid w:val="003568D9"/>
    <w:pPr>
      <w:spacing w:line="259" w:lineRule="auto"/>
      <w:outlineLvl w:val="9"/>
    </w:pPr>
  </w:style>
  <w:style w:type="paragraph" w:styleId="TOC1">
    <w:name w:val="toc 1"/>
    <w:basedOn w:val="Normal"/>
    <w:next w:val="Normal"/>
    <w:autoRedefine/>
    <w:uiPriority w:val="39"/>
    <w:unhideWhenUsed/>
    <w:rsid w:val="003568D9"/>
    <w:pPr>
      <w:spacing w:after="100"/>
    </w:pPr>
  </w:style>
  <w:style w:type="paragraph" w:styleId="TOC2">
    <w:name w:val="toc 2"/>
    <w:basedOn w:val="Normal"/>
    <w:next w:val="Normal"/>
    <w:autoRedefine/>
    <w:uiPriority w:val="39"/>
    <w:unhideWhenUsed/>
    <w:rsid w:val="0063381D"/>
    <w:pPr>
      <w:spacing w:after="100"/>
      <w:ind w:left="240"/>
    </w:pPr>
  </w:style>
  <w:style w:type="paragraph" w:styleId="TOC3">
    <w:name w:val="toc 3"/>
    <w:basedOn w:val="Normal"/>
    <w:next w:val="Normal"/>
    <w:autoRedefine/>
    <w:uiPriority w:val="39"/>
    <w:unhideWhenUsed/>
    <w:rsid w:val="0063381D"/>
    <w:pPr>
      <w:spacing w:after="100"/>
      <w:ind w:left="480"/>
    </w:pPr>
  </w:style>
  <w:style w:type="character" w:customStyle="1" w:styleId="a">
    <w:name w:val="a"/>
    <w:basedOn w:val="DefaultParagraphFont"/>
    <w:rsid w:val="00705496"/>
  </w:style>
  <w:style w:type="paragraph" w:customStyle="1" w:styleId="a0">
    <w:basedOn w:val="Normal"/>
    <w:next w:val="Normal"/>
    <w:uiPriority w:val="35"/>
    <w:unhideWhenUsed/>
    <w:qFormat/>
    <w:rsid w:val="00EF24F0"/>
    <w:pPr>
      <w:spacing w:after="200"/>
    </w:pPr>
    <w:rPr>
      <w:rFonts w:ascii="Calibri" w:eastAsia="Times New Roman" w:hAnsi="Calibri"/>
      <w:b/>
      <w:bCs/>
      <w:color w:val="4F81BD"/>
      <w:sz w:val="18"/>
      <w:szCs w:val="18"/>
      <w:lang w:eastAsia="en-US"/>
    </w:rPr>
  </w:style>
  <w:style w:type="paragraph" w:styleId="TOC4">
    <w:name w:val="toc 4"/>
    <w:basedOn w:val="Normal"/>
    <w:next w:val="Normal"/>
    <w:autoRedefine/>
    <w:uiPriority w:val="39"/>
    <w:unhideWhenUsed/>
    <w:rsid w:val="00966F94"/>
    <w:pPr>
      <w:ind w:left="720"/>
    </w:pPr>
  </w:style>
  <w:style w:type="paragraph" w:styleId="TOC5">
    <w:name w:val="toc 5"/>
    <w:basedOn w:val="Normal"/>
    <w:next w:val="Normal"/>
    <w:autoRedefine/>
    <w:uiPriority w:val="39"/>
    <w:unhideWhenUsed/>
    <w:rsid w:val="00966F94"/>
    <w:pPr>
      <w:ind w:left="960"/>
    </w:pPr>
  </w:style>
  <w:style w:type="paragraph" w:styleId="TOC6">
    <w:name w:val="toc 6"/>
    <w:basedOn w:val="Normal"/>
    <w:next w:val="Normal"/>
    <w:autoRedefine/>
    <w:uiPriority w:val="39"/>
    <w:unhideWhenUsed/>
    <w:rsid w:val="00966F94"/>
    <w:pPr>
      <w:ind w:left="1200"/>
    </w:pPr>
  </w:style>
  <w:style w:type="paragraph" w:styleId="TOC7">
    <w:name w:val="toc 7"/>
    <w:basedOn w:val="Normal"/>
    <w:next w:val="Normal"/>
    <w:autoRedefine/>
    <w:uiPriority w:val="39"/>
    <w:unhideWhenUsed/>
    <w:rsid w:val="00966F94"/>
    <w:pPr>
      <w:ind w:left="1440"/>
    </w:pPr>
  </w:style>
  <w:style w:type="paragraph" w:styleId="TOC8">
    <w:name w:val="toc 8"/>
    <w:basedOn w:val="Normal"/>
    <w:next w:val="Normal"/>
    <w:autoRedefine/>
    <w:uiPriority w:val="39"/>
    <w:unhideWhenUsed/>
    <w:rsid w:val="00966F94"/>
    <w:pPr>
      <w:ind w:left="1680"/>
    </w:pPr>
  </w:style>
  <w:style w:type="paragraph" w:styleId="TOC9">
    <w:name w:val="toc 9"/>
    <w:basedOn w:val="Normal"/>
    <w:next w:val="Normal"/>
    <w:autoRedefine/>
    <w:uiPriority w:val="39"/>
    <w:unhideWhenUsed/>
    <w:rsid w:val="00966F94"/>
    <w:pPr>
      <w:ind w:left="1920"/>
    </w:pPr>
  </w:style>
  <w:style w:type="paragraph" w:styleId="NormalWeb">
    <w:name w:val="Normal (Web)"/>
    <w:basedOn w:val="Normal"/>
    <w:uiPriority w:val="99"/>
    <w:semiHidden/>
    <w:unhideWhenUsed/>
    <w:rsid w:val="00FA40FC"/>
    <w:pPr>
      <w:spacing w:before="100" w:beforeAutospacing="1" w:after="100" w:afterAutospacing="1"/>
    </w:pPr>
    <w:rPr>
      <w:rFonts w:ascii="Times" w:eastAsiaTheme="minorEastAsia" w:hAnsi="Times"/>
      <w:sz w:val="20"/>
      <w:szCs w:val="20"/>
      <w:lang w:eastAsia="es-ES"/>
    </w:rPr>
  </w:style>
  <w:style w:type="table" w:styleId="LightShading">
    <w:name w:val="Light Shading"/>
    <w:basedOn w:val="TableNormal"/>
    <w:uiPriority w:val="60"/>
    <w:rsid w:val="006F08C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2">
    <w:name w:val="Light List Accent 2"/>
    <w:basedOn w:val="TableNormal"/>
    <w:uiPriority w:val="61"/>
    <w:rsid w:val="006F08C8"/>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1">
    <w:name w:val="Light List Accent 1"/>
    <w:basedOn w:val="TableNormal"/>
    <w:uiPriority w:val="61"/>
    <w:rsid w:val="00957A79"/>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LightShading-Accent6">
    <w:name w:val="Light Shading Accent 6"/>
    <w:basedOn w:val="TableNormal"/>
    <w:uiPriority w:val="60"/>
    <w:rsid w:val="00957A79"/>
    <w:pPr>
      <w:spacing w:after="0"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paragraph" w:styleId="Caption">
    <w:name w:val="caption"/>
    <w:basedOn w:val="Normal"/>
    <w:next w:val="Normal"/>
    <w:uiPriority w:val="35"/>
    <w:unhideWhenUsed/>
    <w:qFormat/>
    <w:rsid w:val="006202D2"/>
    <w:pPr>
      <w:spacing w:after="200"/>
    </w:pPr>
    <w:rPr>
      <w:b/>
      <w:bCs/>
      <w:color w:val="DDDDDD" w:themeColor="accent1"/>
      <w:sz w:val="18"/>
      <w:szCs w:val="18"/>
    </w:rPr>
  </w:style>
  <w:style w:type="table" w:styleId="MediumShading1-Accent1">
    <w:name w:val="Medium Shading 1 Accent 1"/>
    <w:basedOn w:val="TableNormal"/>
    <w:uiPriority w:val="63"/>
    <w:rsid w:val="0058031D"/>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574C78"/>
    <w:pPr>
      <w:spacing w:after="0" w:line="240" w:lineRule="auto"/>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LightShading-Accent2">
    <w:name w:val="Light Shading Accent 2"/>
    <w:basedOn w:val="TableNormal"/>
    <w:uiPriority w:val="60"/>
    <w:rsid w:val="000023FD"/>
    <w:pPr>
      <w:spacing w:after="0"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rsid w:val="000023FD"/>
    <w:pPr>
      <w:spacing w:after="0"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70841">
      <w:bodyDiv w:val="1"/>
      <w:marLeft w:val="0"/>
      <w:marRight w:val="0"/>
      <w:marTop w:val="0"/>
      <w:marBottom w:val="0"/>
      <w:divBdr>
        <w:top w:val="none" w:sz="0" w:space="0" w:color="auto"/>
        <w:left w:val="none" w:sz="0" w:space="0" w:color="auto"/>
        <w:bottom w:val="none" w:sz="0" w:space="0" w:color="auto"/>
        <w:right w:val="none" w:sz="0" w:space="0" w:color="auto"/>
      </w:divBdr>
    </w:div>
    <w:div w:id="171379959">
      <w:bodyDiv w:val="1"/>
      <w:marLeft w:val="0"/>
      <w:marRight w:val="0"/>
      <w:marTop w:val="0"/>
      <w:marBottom w:val="0"/>
      <w:divBdr>
        <w:top w:val="none" w:sz="0" w:space="0" w:color="auto"/>
        <w:left w:val="none" w:sz="0" w:space="0" w:color="auto"/>
        <w:bottom w:val="none" w:sz="0" w:space="0" w:color="auto"/>
        <w:right w:val="none" w:sz="0" w:space="0" w:color="auto"/>
      </w:divBdr>
    </w:div>
    <w:div w:id="192545503">
      <w:bodyDiv w:val="1"/>
      <w:marLeft w:val="0"/>
      <w:marRight w:val="0"/>
      <w:marTop w:val="0"/>
      <w:marBottom w:val="0"/>
      <w:divBdr>
        <w:top w:val="none" w:sz="0" w:space="0" w:color="auto"/>
        <w:left w:val="none" w:sz="0" w:space="0" w:color="auto"/>
        <w:bottom w:val="none" w:sz="0" w:space="0" w:color="auto"/>
        <w:right w:val="none" w:sz="0" w:space="0" w:color="auto"/>
      </w:divBdr>
    </w:div>
    <w:div w:id="307904904">
      <w:bodyDiv w:val="1"/>
      <w:marLeft w:val="0"/>
      <w:marRight w:val="0"/>
      <w:marTop w:val="0"/>
      <w:marBottom w:val="0"/>
      <w:divBdr>
        <w:top w:val="none" w:sz="0" w:space="0" w:color="auto"/>
        <w:left w:val="none" w:sz="0" w:space="0" w:color="auto"/>
        <w:bottom w:val="none" w:sz="0" w:space="0" w:color="auto"/>
        <w:right w:val="none" w:sz="0" w:space="0" w:color="auto"/>
      </w:divBdr>
    </w:div>
    <w:div w:id="383792375">
      <w:bodyDiv w:val="1"/>
      <w:marLeft w:val="0"/>
      <w:marRight w:val="0"/>
      <w:marTop w:val="0"/>
      <w:marBottom w:val="0"/>
      <w:divBdr>
        <w:top w:val="none" w:sz="0" w:space="0" w:color="auto"/>
        <w:left w:val="none" w:sz="0" w:space="0" w:color="auto"/>
        <w:bottom w:val="none" w:sz="0" w:space="0" w:color="auto"/>
        <w:right w:val="none" w:sz="0" w:space="0" w:color="auto"/>
      </w:divBdr>
    </w:div>
    <w:div w:id="435447679">
      <w:bodyDiv w:val="1"/>
      <w:marLeft w:val="0"/>
      <w:marRight w:val="0"/>
      <w:marTop w:val="0"/>
      <w:marBottom w:val="0"/>
      <w:divBdr>
        <w:top w:val="none" w:sz="0" w:space="0" w:color="auto"/>
        <w:left w:val="none" w:sz="0" w:space="0" w:color="auto"/>
        <w:bottom w:val="none" w:sz="0" w:space="0" w:color="auto"/>
        <w:right w:val="none" w:sz="0" w:space="0" w:color="auto"/>
      </w:divBdr>
    </w:div>
    <w:div w:id="456918523">
      <w:bodyDiv w:val="1"/>
      <w:marLeft w:val="0"/>
      <w:marRight w:val="0"/>
      <w:marTop w:val="0"/>
      <w:marBottom w:val="0"/>
      <w:divBdr>
        <w:top w:val="none" w:sz="0" w:space="0" w:color="auto"/>
        <w:left w:val="none" w:sz="0" w:space="0" w:color="auto"/>
        <w:bottom w:val="none" w:sz="0" w:space="0" w:color="auto"/>
        <w:right w:val="none" w:sz="0" w:space="0" w:color="auto"/>
      </w:divBdr>
    </w:div>
    <w:div w:id="488834813">
      <w:bodyDiv w:val="1"/>
      <w:marLeft w:val="0"/>
      <w:marRight w:val="0"/>
      <w:marTop w:val="0"/>
      <w:marBottom w:val="0"/>
      <w:divBdr>
        <w:top w:val="none" w:sz="0" w:space="0" w:color="auto"/>
        <w:left w:val="none" w:sz="0" w:space="0" w:color="auto"/>
        <w:bottom w:val="none" w:sz="0" w:space="0" w:color="auto"/>
        <w:right w:val="none" w:sz="0" w:space="0" w:color="auto"/>
      </w:divBdr>
    </w:div>
    <w:div w:id="510531156">
      <w:bodyDiv w:val="1"/>
      <w:marLeft w:val="0"/>
      <w:marRight w:val="0"/>
      <w:marTop w:val="0"/>
      <w:marBottom w:val="0"/>
      <w:divBdr>
        <w:top w:val="none" w:sz="0" w:space="0" w:color="auto"/>
        <w:left w:val="none" w:sz="0" w:space="0" w:color="auto"/>
        <w:bottom w:val="none" w:sz="0" w:space="0" w:color="auto"/>
        <w:right w:val="none" w:sz="0" w:space="0" w:color="auto"/>
      </w:divBdr>
    </w:div>
    <w:div w:id="518008635">
      <w:bodyDiv w:val="1"/>
      <w:marLeft w:val="0"/>
      <w:marRight w:val="0"/>
      <w:marTop w:val="0"/>
      <w:marBottom w:val="0"/>
      <w:divBdr>
        <w:top w:val="none" w:sz="0" w:space="0" w:color="auto"/>
        <w:left w:val="none" w:sz="0" w:space="0" w:color="auto"/>
        <w:bottom w:val="none" w:sz="0" w:space="0" w:color="auto"/>
        <w:right w:val="none" w:sz="0" w:space="0" w:color="auto"/>
      </w:divBdr>
    </w:div>
    <w:div w:id="563222195">
      <w:bodyDiv w:val="1"/>
      <w:marLeft w:val="0"/>
      <w:marRight w:val="0"/>
      <w:marTop w:val="0"/>
      <w:marBottom w:val="0"/>
      <w:divBdr>
        <w:top w:val="none" w:sz="0" w:space="0" w:color="auto"/>
        <w:left w:val="none" w:sz="0" w:space="0" w:color="auto"/>
        <w:bottom w:val="none" w:sz="0" w:space="0" w:color="auto"/>
        <w:right w:val="none" w:sz="0" w:space="0" w:color="auto"/>
      </w:divBdr>
    </w:div>
    <w:div w:id="574051003">
      <w:bodyDiv w:val="1"/>
      <w:marLeft w:val="0"/>
      <w:marRight w:val="0"/>
      <w:marTop w:val="0"/>
      <w:marBottom w:val="0"/>
      <w:divBdr>
        <w:top w:val="none" w:sz="0" w:space="0" w:color="auto"/>
        <w:left w:val="none" w:sz="0" w:space="0" w:color="auto"/>
        <w:bottom w:val="none" w:sz="0" w:space="0" w:color="auto"/>
        <w:right w:val="none" w:sz="0" w:space="0" w:color="auto"/>
      </w:divBdr>
    </w:div>
    <w:div w:id="680742320">
      <w:bodyDiv w:val="1"/>
      <w:marLeft w:val="0"/>
      <w:marRight w:val="0"/>
      <w:marTop w:val="0"/>
      <w:marBottom w:val="0"/>
      <w:divBdr>
        <w:top w:val="none" w:sz="0" w:space="0" w:color="auto"/>
        <w:left w:val="none" w:sz="0" w:space="0" w:color="auto"/>
        <w:bottom w:val="none" w:sz="0" w:space="0" w:color="auto"/>
        <w:right w:val="none" w:sz="0" w:space="0" w:color="auto"/>
      </w:divBdr>
    </w:div>
    <w:div w:id="703214506">
      <w:bodyDiv w:val="1"/>
      <w:marLeft w:val="0"/>
      <w:marRight w:val="0"/>
      <w:marTop w:val="0"/>
      <w:marBottom w:val="0"/>
      <w:divBdr>
        <w:top w:val="none" w:sz="0" w:space="0" w:color="auto"/>
        <w:left w:val="none" w:sz="0" w:space="0" w:color="auto"/>
        <w:bottom w:val="none" w:sz="0" w:space="0" w:color="auto"/>
        <w:right w:val="none" w:sz="0" w:space="0" w:color="auto"/>
      </w:divBdr>
    </w:div>
    <w:div w:id="712461352">
      <w:bodyDiv w:val="1"/>
      <w:marLeft w:val="0"/>
      <w:marRight w:val="0"/>
      <w:marTop w:val="0"/>
      <w:marBottom w:val="0"/>
      <w:divBdr>
        <w:top w:val="none" w:sz="0" w:space="0" w:color="auto"/>
        <w:left w:val="none" w:sz="0" w:space="0" w:color="auto"/>
        <w:bottom w:val="none" w:sz="0" w:space="0" w:color="auto"/>
        <w:right w:val="none" w:sz="0" w:space="0" w:color="auto"/>
      </w:divBdr>
    </w:div>
    <w:div w:id="732581826">
      <w:bodyDiv w:val="1"/>
      <w:marLeft w:val="0"/>
      <w:marRight w:val="0"/>
      <w:marTop w:val="0"/>
      <w:marBottom w:val="0"/>
      <w:divBdr>
        <w:top w:val="none" w:sz="0" w:space="0" w:color="auto"/>
        <w:left w:val="none" w:sz="0" w:space="0" w:color="auto"/>
        <w:bottom w:val="none" w:sz="0" w:space="0" w:color="auto"/>
        <w:right w:val="none" w:sz="0" w:space="0" w:color="auto"/>
      </w:divBdr>
    </w:div>
    <w:div w:id="755055807">
      <w:bodyDiv w:val="1"/>
      <w:marLeft w:val="0"/>
      <w:marRight w:val="0"/>
      <w:marTop w:val="0"/>
      <w:marBottom w:val="0"/>
      <w:divBdr>
        <w:top w:val="none" w:sz="0" w:space="0" w:color="auto"/>
        <w:left w:val="none" w:sz="0" w:space="0" w:color="auto"/>
        <w:bottom w:val="none" w:sz="0" w:space="0" w:color="auto"/>
        <w:right w:val="none" w:sz="0" w:space="0" w:color="auto"/>
      </w:divBdr>
    </w:div>
    <w:div w:id="759062648">
      <w:bodyDiv w:val="1"/>
      <w:marLeft w:val="0"/>
      <w:marRight w:val="0"/>
      <w:marTop w:val="0"/>
      <w:marBottom w:val="0"/>
      <w:divBdr>
        <w:top w:val="none" w:sz="0" w:space="0" w:color="auto"/>
        <w:left w:val="none" w:sz="0" w:space="0" w:color="auto"/>
        <w:bottom w:val="none" w:sz="0" w:space="0" w:color="auto"/>
        <w:right w:val="none" w:sz="0" w:space="0" w:color="auto"/>
      </w:divBdr>
    </w:div>
    <w:div w:id="803231359">
      <w:bodyDiv w:val="1"/>
      <w:marLeft w:val="0"/>
      <w:marRight w:val="0"/>
      <w:marTop w:val="0"/>
      <w:marBottom w:val="0"/>
      <w:divBdr>
        <w:top w:val="none" w:sz="0" w:space="0" w:color="auto"/>
        <w:left w:val="none" w:sz="0" w:space="0" w:color="auto"/>
        <w:bottom w:val="none" w:sz="0" w:space="0" w:color="auto"/>
        <w:right w:val="none" w:sz="0" w:space="0" w:color="auto"/>
      </w:divBdr>
    </w:div>
    <w:div w:id="807013683">
      <w:bodyDiv w:val="1"/>
      <w:marLeft w:val="0"/>
      <w:marRight w:val="0"/>
      <w:marTop w:val="0"/>
      <w:marBottom w:val="0"/>
      <w:divBdr>
        <w:top w:val="none" w:sz="0" w:space="0" w:color="auto"/>
        <w:left w:val="none" w:sz="0" w:space="0" w:color="auto"/>
        <w:bottom w:val="none" w:sz="0" w:space="0" w:color="auto"/>
        <w:right w:val="none" w:sz="0" w:space="0" w:color="auto"/>
      </w:divBdr>
      <w:divsChild>
        <w:div w:id="1326208047">
          <w:marLeft w:val="0"/>
          <w:marRight w:val="0"/>
          <w:marTop w:val="0"/>
          <w:marBottom w:val="0"/>
          <w:divBdr>
            <w:top w:val="none" w:sz="0" w:space="0" w:color="auto"/>
            <w:left w:val="none" w:sz="0" w:space="0" w:color="auto"/>
            <w:bottom w:val="none" w:sz="0" w:space="0" w:color="auto"/>
            <w:right w:val="none" w:sz="0" w:space="0" w:color="auto"/>
          </w:divBdr>
          <w:divsChild>
            <w:div w:id="1744914703">
              <w:marLeft w:val="0"/>
              <w:marRight w:val="0"/>
              <w:marTop w:val="0"/>
              <w:marBottom w:val="0"/>
              <w:divBdr>
                <w:top w:val="none" w:sz="0" w:space="0" w:color="auto"/>
                <w:left w:val="none" w:sz="0" w:space="0" w:color="auto"/>
                <w:bottom w:val="none" w:sz="0" w:space="0" w:color="auto"/>
                <w:right w:val="none" w:sz="0" w:space="0" w:color="auto"/>
              </w:divBdr>
              <w:divsChild>
                <w:div w:id="84698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90502">
      <w:bodyDiv w:val="1"/>
      <w:marLeft w:val="0"/>
      <w:marRight w:val="0"/>
      <w:marTop w:val="0"/>
      <w:marBottom w:val="0"/>
      <w:divBdr>
        <w:top w:val="none" w:sz="0" w:space="0" w:color="auto"/>
        <w:left w:val="none" w:sz="0" w:space="0" w:color="auto"/>
        <w:bottom w:val="none" w:sz="0" w:space="0" w:color="auto"/>
        <w:right w:val="none" w:sz="0" w:space="0" w:color="auto"/>
      </w:divBdr>
    </w:div>
    <w:div w:id="937375145">
      <w:bodyDiv w:val="1"/>
      <w:marLeft w:val="0"/>
      <w:marRight w:val="0"/>
      <w:marTop w:val="0"/>
      <w:marBottom w:val="0"/>
      <w:divBdr>
        <w:top w:val="none" w:sz="0" w:space="0" w:color="auto"/>
        <w:left w:val="none" w:sz="0" w:space="0" w:color="auto"/>
        <w:bottom w:val="none" w:sz="0" w:space="0" w:color="auto"/>
        <w:right w:val="none" w:sz="0" w:space="0" w:color="auto"/>
      </w:divBdr>
    </w:div>
    <w:div w:id="984703257">
      <w:bodyDiv w:val="1"/>
      <w:marLeft w:val="0"/>
      <w:marRight w:val="0"/>
      <w:marTop w:val="0"/>
      <w:marBottom w:val="0"/>
      <w:divBdr>
        <w:top w:val="none" w:sz="0" w:space="0" w:color="auto"/>
        <w:left w:val="none" w:sz="0" w:space="0" w:color="auto"/>
        <w:bottom w:val="none" w:sz="0" w:space="0" w:color="auto"/>
        <w:right w:val="none" w:sz="0" w:space="0" w:color="auto"/>
      </w:divBdr>
    </w:div>
    <w:div w:id="1017269001">
      <w:bodyDiv w:val="1"/>
      <w:marLeft w:val="0"/>
      <w:marRight w:val="0"/>
      <w:marTop w:val="0"/>
      <w:marBottom w:val="0"/>
      <w:divBdr>
        <w:top w:val="none" w:sz="0" w:space="0" w:color="auto"/>
        <w:left w:val="none" w:sz="0" w:space="0" w:color="auto"/>
        <w:bottom w:val="none" w:sz="0" w:space="0" w:color="auto"/>
        <w:right w:val="none" w:sz="0" w:space="0" w:color="auto"/>
      </w:divBdr>
    </w:div>
    <w:div w:id="1087581306">
      <w:bodyDiv w:val="1"/>
      <w:marLeft w:val="0"/>
      <w:marRight w:val="0"/>
      <w:marTop w:val="0"/>
      <w:marBottom w:val="0"/>
      <w:divBdr>
        <w:top w:val="none" w:sz="0" w:space="0" w:color="auto"/>
        <w:left w:val="none" w:sz="0" w:space="0" w:color="auto"/>
        <w:bottom w:val="none" w:sz="0" w:space="0" w:color="auto"/>
        <w:right w:val="none" w:sz="0" w:space="0" w:color="auto"/>
      </w:divBdr>
    </w:div>
    <w:div w:id="1092703998">
      <w:bodyDiv w:val="1"/>
      <w:marLeft w:val="0"/>
      <w:marRight w:val="0"/>
      <w:marTop w:val="0"/>
      <w:marBottom w:val="0"/>
      <w:divBdr>
        <w:top w:val="none" w:sz="0" w:space="0" w:color="auto"/>
        <w:left w:val="none" w:sz="0" w:space="0" w:color="auto"/>
        <w:bottom w:val="none" w:sz="0" w:space="0" w:color="auto"/>
        <w:right w:val="none" w:sz="0" w:space="0" w:color="auto"/>
      </w:divBdr>
    </w:div>
    <w:div w:id="1098211091">
      <w:bodyDiv w:val="1"/>
      <w:marLeft w:val="0"/>
      <w:marRight w:val="0"/>
      <w:marTop w:val="0"/>
      <w:marBottom w:val="0"/>
      <w:divBdr>
        <w:top w:val="none" w:sz="0" w:space="0" w:color="auto"/>
        <w:left w:val="none" w:sz="0" w:space="0" w:color="auto"/>
        <w:bottom w:val="none" w:sz="0" w:space="0" w:color="auto"/>
        <w:right w:val="none" w:sz="0" w:space="0" w:color="auto"/>
      </w:divBdr>
    </w:div>
    <w:div w:id="1139302330">
      <w:bodyDiv w:val="1"/>
      <w:marLeft w:val="0"/>
      <w:marRight w:val="0"/>
      <w:marTop w:val="0"/>
      <w:marBottom w:val="0"/>
      <w:divBdr>
        <w:top w:val="none" w:sz="0" w:space="0" w:color="auto"/>
        <w:left w:val="none" w:sz="0" w:space="0" w:color="auto"/>
        <w:bottom w:val="none" w:sz="0" w:space="0" w:color="auto"/>
        <w:right w:val="none" w:sz="0" w:space="0" w:color="auto"/>
      </w:divBdr>
    </w:div>
    <w:div w:id="1139877320">
      <w:bodyDiv w:val="1"/>
      <w:marLeft w:val="0"/>
      <w:marRight w:val="0"/>
      <w:marTop w:val="0"/>
      <w:marBottom w:val="0"/>
      <w:divBdr>
        <w:top w:val="none" w:sz="0" w:space="0" w:color="auto"/>
        <w:left w:val="none" w:sz="0" w:space="0" w:color="auto"/>
        <w:bottom w:val="none" w:sz="0" w:space="0" w:color="auto"/>
        <w:right w:val="none" w:sz="0" w:space="0" w:color="auto"/>
      </w:divBdr>
    </w:div>
    <w:div w:id="1163935129">
      <w:bodyDiv w:val="1"/>
      <w:marLeft w:val="0"/>
      <w:marRight w:val="0"/>
      <w:marTop w:val="0"/>
      <w:marBottom w:val="0"/>
      <w:divBdr>
        <w:top w:val="none" w:sz="0" w:space="0" w:color="auto"/>
        <w:left w:val="none" w:sz="0" w:space="0" w:color="auto"/>
        <w:bottom w:val="none" w:sz="0" w:space="0" w:color="auto"/>
        <w:right w:val="none" w:sz="0" w:space="0" w:color="auto"/>
      </w:divBdr>
    </w:div>
    <w:div w:id="1194883110">
      <w:bodyDiv w:val="1"/>
      <w:marLeft w:val="0"/>
      <w:marRight w:val="0"/>
      <w:marTop w:val="0"/>
      <w:marBottom w:val="0"/>
      <w:divBdr>
        <w:top w:val="none" w:sz="0" w:space="0" w:color="auto"/>
        <w:left w:val="none" w:sz="0" w:space="0" w:color="auto"/>
        <w:bottom w:val="none" w:sz="0" w:space="0" w:color="auto"/>
        <w:right w:val="none" w:sz="0" w:space="0" w:color="auto"/>
      </w:divBdr>
    </w:div>
    <w:div w:id="1223831774">
      <w:bodyDiv w:val="1"/>
      <w:marLeft w:val="0"/>
      <w:marRight w:val="0"/>
      <w:marTop w:val="0"/>
      <w:marBottom w:val="0"/>
      <w:divBdr>
        <w:top w:val="none" w:sz="0" w:space="0" w:color="auto"/>
        <w:left w:val="none" w:sz="0" w:space="0" w:color="auto"/>
        <w:bottom w:val="none" w:sz="0" w:space="0" w:color="auto"/>
        <w:right w:val="none" w:sz="0" w:space="0" w:color="auto"/>
      </w:divBdr>
    </w:div>
    <w:div w:id="1235236653">
      <w:bodyDiv w:val="1"/>
      <w:marLeft w:val="0"/>
      <w:marRight w:val="0"/>
      <w:marTop w:val="0"/>
      <w:marBottom w:val="0"/>
      <w:divBdr>
        <w:top w:val="none" w:sz="0" w:space="0" w:color="auto"/>
        <w:left w:val="none" w:sz="0" w:space="0" w:color="auto"/>
        <w:bottom w:val="none" w:sz="0" w:space="0" w:color="auto"/>
        <w:right w:val="none" w:sz="0" w:space="0" w:color="auto"/>
      </w:divBdr>
    </w:div>
    <w:div w:id="1246959064">
      <w:bodyDiv w:val="1"/>
      <w:marLeft w:val="0"/>
      <w:marRight w:val="0"/>
      <w:marTop w:val="0"/>
      <w:marBottom w:val="0"/>
      <w:divBdr>
        <w:top w:val="none" w:sz="0" w:space="0" w:color="auto"/>
        <w:left w:val="none" w:sz="0" w:space="0" w:color="auto"/>
        <w:bottom w:val="none" w:sz="0" w:space="0" w:color="auto"/>
        <w:right w:val="none" w:sz="0" w:space="0" w:color="auto"/>
      </w:divBdr>
    </w:div>
    <w:div w:id="1299066041">
      <w:bodyDiv w:val="1"/>
      <w:marLeft w:val="0"/>
      <w:marRight w:val="0"/>
      <w:marTop w:val="0"/>
      <w:marBottom w:val="0"/>
      <w:divBdr>
        <w:top w:val="none" w:sz="0" w:space="0" w:color="auto"/>
        <w:left w:val="none" w:sz="0" w:space="0" w:color="auto"/>
        <w:bottom w:val="none" w:sz="0" w:space="0" w:color="auto"/>
        <w:right w:val="none" w:sz="0" w:space="0" w:color="auto"/>
      </w:divBdr>
    </w:div>
    <w:div w:id="1426340419">
      <w:bodyDiv w:val="1"/>
      <w:marLeft w:val="0"/>
      <w:marRight w:val="0"/>
      <w:marTop w:val="0"/>
      <w:marBottom w:val="0"/>
      <w:divBdr>
        <w:top w:val="none" w:sz="0" w:space="0" w:color="auto"/>
        <w:left w:val="none" w:sz="0" w:space="0" w:color="auto"/>
        <w:bottom w:val="none" w:sz="0" w:space="0" w:color="auto"/>
        <w:right w:val="none" w:sz="0" w:space="0" w:color="auto"/>
      </w:divBdr>
    </w:div>
    <w:div w:id="1432705975">
      <w:bodyDiv w:val="1"/>
      <w:marLeft w:val="0"/>
      <w:marRight w:val="0"/>
      <w:marTop w:val="0"/>
      <w:marBottom w:val="0"/>
      <w:divBdr>
        <w:top w:val="none" w:sz="0" w:space="0" w:color="auto"/>
        <w:left w:val="none" w:sz="0" w:space="0" w:color="auto"/>
        <w:bottom w:val="none" w:sz="0" w:space="0" w:color="auto"/>
        <w:right w:val="none" w:sz="0" w:space="0" w:color="auto"/>
      </w:divBdr>
    </w:div>
    <w:div w:id="1501694124">
      <w:bodyDiv w:val="1"/>
      <w:marLeft w:val="0"/>
      <w:marRight w:val="0"/>
      <w:marTop w:val="0"/>
      <w:marBottom w:val="0"/>
      <w:divBdr>
        <w:top w:val="none" w:sz="0" w:space="0" w:color="auto"/>
        <w:left w:val="none" w:sz="0" w:space="0" w:color="auto"/>
        <w:bottom w:val="none" w:sz="0" w:space="0" w:color="auto"/>
        <w:right w:val="none" w:sz="0" w:space="0" w:color="auto"/>
      </w:divBdr>
    </w:div>
    <w:div w:id="1526365326">
      <w:bodyDiv w:val="1"/>
      <w:marLeft w:val="0"/>
      <w:marRight w:val="0"/>
      <w:marTop w:val="0"/>
      <w:marBottom w:val="0"/>
      <w:divBdr>
        <w:top w:val="none" w:sz="0" w:space="0" w:color="auto"/>
        <w:left w:val="none" w:sz="0" w:space="0" w:color="auto"/>
        <w:bottom w:val="none" w:sz="0" w:space="0" w:color="auto"/>
        <w:right w:val="none" w:sz="0" w:space="0" w:color="auto"/>
      </w:divBdr>
    </w:div>
    <w:div w:id="1544126067">
      <w:bodyDiv w:val="1"/>
      <w:marLeft w:val="0"/>
      <w:marRight w:val="0"/>
      <w:marTop w:val="0"/>
      <w:marBottom w:val="0"/>
      <w:divBdr>
        <w:top w:val="none" w:sz="0" w:space="0" w:color="auto"/>
        <w:left w:val="none" w:sz="0" w:space="0" w:color="auto"/>
        <w:bottom w:val="none" w:sz="0" w:space="0" w:color="auto"/>
        <w:right w:val="none" w:sz="0" w:space="0" w:color="auto"/>
      </w:divBdr>
    </w:div>
    <w:div w:id="1654020754">
      <w:bodyDiv w:val="1"/>
      <w:marLeft w:val="0"/>
      <w:marRight w:val="0"/>
      <w:marTop w:val="0"/>
      <w:marBottom w:val="0"/>
      <w:divBdr>
        <w:top w:val="none" w:sz="0" w:space="0" w:color="auto"/>
        <w:left w:val="none" w:sz="0" w:space="0" w:color="auto"/>
        <w:bottom w:val="none" w:sz="0" w:space="0" w:color="auto"/>
        <w:right w:val="none" w:sz="0" w:space="0" w:color="auto"/>
      </w:divBdr>
    </w:div>
    <w:div w:id="1673484444">
      <w:bodyDiv w:val="1"/>
      <w:marLeft w:val="0"/>
      <w:marRight w:val="0"/>
      <w:marTop w:val="0"/>
      <w:marBottom w:val="0"/>
      <w:divBdr>
        <w:top w:val="none" w:sz="0" w:space="0" w:color="auto"/>
        <w:left w:val="none" w:sz="0" w:space="0" w:color="auto"/>
        <w:bottom w:val="none" w:sz="0" w:space="0" w:color="auto"/>
        <w:right w:val="none" w:sz="0" w:space="0" w:color="auto"/>
      </w:divBdr>
    </w:div>
    <w:div w:id="1687444040">
      <w:bodyDiv w:val="1"/>
      <w:marLeft w:val="0"/>
      <w:marRight w:val="0"/>
      <w:marTop w:val="0"/>
      <w:marBottom w:val="0"/>
      <w:divBdr>
        <w:top w:val="none" w:sz="0" w:space="0" w:color="auto"/>
        <w:left w:val="none" w:sz="0" w:space="0" w:color="auto"/>
        <w:bottom w:val="none" w:sz="0" w:space="0" w:color="auto"/>
        <w:right w:val="none" w:sz="0" w:space="0" w:color="auto"/>
      </w:divBdr>
      <w:divsChild>
        <w:div w:id="505561238">
          <w:marLeft w:val="0"/>
          <w:marRight w:val="0"/>
          <w:marTop w:val="0"/>
          <w:marBottom w:val="0"/>
          <w:divBdr>
            <w:top w:val="none" w:sz="0" w:space="0" w:color="auto"/>
            <w:left w:val="none" w:sz="0" w:space="0" w:color="auto"/>
            <w:bottom w:val="none" w:sz="0" w:space="0" w:color="auto"/>
            <w:right w:val="none" w:sz="0" w:space="0" w:color="auto"/>
          </w:divBdr>
          <w:divsChild>
            <w:div w:id="835145871">
              <w:marLeft w:val="0"/>
              <w:marRight w:val="0"/>
              <w:marTop w:val="0"/>
              <w:marBottom w:val="0"/>
              <w:divBdr>
                <w:top w:val="none" w:sz="0" w:space="0" w:color="auto"/>
                <w:left w:val="none" w:sz="0" w:space="0" w:color="auto"/>
                <w:bottom w:val="none" w:sz="0" w:space="0" w:color="auto"/>
                <w:right w:val="none" w:sz="0" w:space="0" w:color="auto"/>
              </w:divBdr>
              <w:divsChild>
                <w:div w:id="99125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80717">
      <w:bodyDiv w:val="1"/>
      <w:marLeft w:val="0"/>
      <w:marRight w:val="0"/>
      <w:marTop w:val="0"/>
      <w:marBottom w:val="0"/>
      <w:divBdr>
        <w:top w:val="none" w:sz="0" w:space="0" w:color="auto"/>
        <w:left w:val="none" w:sz="0" w:space="0" w:color="auto"/>
        <w:bottom w:val="none" w:sz="0" w:space="0" w:color="auto"/>
        <w:right w:val="none" w:sz="0" w:space="0" w:color="auto"/>
      </w:divBdr>
      <w:divsChild>
        <w:div w:id="248585704">
          <w:marLeft w:val="0"/>
          <w:marRight w:val="0"/>
          <w:marTop w:val="0"/>
          <w:marBottom w:val="0"/>
          <w:divBdr>
            <w:top w:val="none" w:sz="0" w:space="0" w:color="auto"/>
            <w:left w:val="none" w:sz="0" w:space="0" w:color="auto"/>
            <w:bottom w:val="none" w:sz="0" w:space="0" w:color="auto"/>
            <w:right w:val="none" w:sz="0" w:space="0" w:color="auto"/>
          </w:divBdr>
          <w:divsChild>
            <w:div w:id="595098666">
              <w:marLeft w:val="0"/>
              <w:marRight w:val="0"/>
              <w:marTop w:val="0"/>
              <w:marBottom w:val="0"/>
              <w:divBdr>
                <w:top w:val="none" w:sz="0" w:space="0" w:color="auto"/>
                <w:left w:val="none" w:sz="0" w:space="0" w:color="auto"/>
                <w:bottom w:val="none" w:sz="0" w:space="0" w:color="auto"/>
                <w:right w:val="none" w:sz="0" w:space="0" w:color="auto"/>
              </w:divBdr>
              <w:divsChild>
                <w:div w:id="121766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886595">
      <w:bodyDiv w:val="1"/>
      <w:marLeft w:val="0"/>
      <w:marRight w:val="0"/>
      <w:marTop w:val="0"/>
      <w:marBottom w:val="0"/>
      <w:divBdr>
        <w:top w:val="none" w:sz="0" w:space="0" w:color="auto"/>
        <w:left w:val="none" w:sz="0" w:space="0" w:color="auto"/>
        <w:bottom w:val="none" w:sz="0" w:space="0" w:color="auto"/>
        <w:right w:val="none" w:sz="0" w:space="0" w:color="auto"/>
      </w:divBdr>
    </w:div>
    <w:div w:id="1747414725">
      <w:bodyDiv w:val="1"/>
      <w:marLeft w:val="0"/>
      <w:marRight w:val="0"/>
      <w:marTop w:val="0"/>
      <w:marBottom w:val="0"/>
      <w:divBdr>
        <w:top w:val="none" w:sz="0" w:space="0" w:color="auto"/>
        <w:left w:val="none" w:sz="0" w:space="0" w:color="auto"/>
        <w:bottom w:val="none" w:sz="0" w:space="0" w:color="auto"/>
        <w:right w:val="none" w:sz="0" w:space="0" w:color="auto"/>
      </w:divBdr>
    </w:div>
    <w:div w:id="1817062699">
      <w:bodyDiv w:val="1"/>
      <w:marLeft w:val="0"/>
      <w:marRight w:val="0"/>
      <w:marTop w:val="0"/>
      <w:marBottom w:val="0"/>
      <w:divBdr>
        <w:top w:val="none" w:sz="0" w:space="0" w:color="auto"/>
        <w:left w:val="none" w:sz="0" w:space="0" w:color="auto"/>
        <w:bottom w:val="none" w:sz="0" w:space="0" w:color="auto"/>
        <w:right w:val="none" w:sz="0" w:space="0" w:color="auto"/>
      </w:divBdr>
    </w:div>
    <w:div w:id="1863668641">
      <w:bodyDiv w:val="1"/>
      <w:marLeft w:val="0"/>
      <w:marRight w:val="0"/>
      <w:marTop w:val="0"/>
      <w:marBottom w:val="0"/>
      <w:divBdr>
        <w:top w:val="none" w:sz="0" w:space="0" w:color="auto"/>
        <w:left w:val="none" w:sz="0" w:space="0" w:color="auto"/>
        <w:bottom w:val="none" w:sz="0" w:space="0" w:color="auto"/>
        <w:right w:val="none" w:sz="0" w:space="0" w:color="auto"/>
      </w:divBdr>
    </w:div>
    <w:div w:id="1963416757">
      <w:bodyDiv w:val="1"/>
      <w:marLeft w:val="0"/>
      <w:marRight w:val="0"/>
      <w:marTop w:val="0"/>
      <w:marBottom w:val="0"/>
      <w:divBdr>
        <w:top w:val="none" w:sz="0" w:space="0" w:color="auto"/>
        <w:left w:val="none" w:sz="0" w:space="0" w:color="auto"/>
        <w:bottom w:val="none" w:sz="0" w:space="0" w:color="auto"/>
        <w:right w:val="none" w:sz="0" w:space="0" w:color="auto"/>
      </w:divBdr>
    </w:div>
    <w:div w:id="1976793742">
      <w:bodyDiv w:val="1"/>
      <w:marLeft w:val="0"/>
      <w:marRight w:val="0"/>
      <w:marTop w:val="0"/>
      <w:marBottom w:val="0"/>
      <w:divBdr>
        <w:top w:val="none" w:sz="0" w:space="0" w:color="auto"/>
        <w:left w:val="none" w:sz="0" w:space="0" w:color="auto"/>
        <w:bottom w:val="none" w:sz="0" w:space="0" w:color="auto"/>
        <w:right w:val="none" w:sz="0" w:space="0" w:color="auto"/>
      </w:divBdr>
    </w:div>
    <w:div w:id="2037076258">
      <w:bodyDiv w:val="1"/>
      <w:marLeft w:val="0"/>
      <w:marRight w:val="0"/>
      <w:marTop w:val="0"/>
      <w:marBottom w:val="0"/>
      <w:divBdr>
        <w:top w:val="none" w:sz="0" w:space="0" w:color="auto"/>
        <w:left w:val="none" w:sz="0" w:space="0" w:color="auto"/>
        <w:bottom w:val="none" w:sz="0" w:space="0" w:color="auto"/>
        <w:right w:val="none" w:sz="0" w:space="0" w:color="auto"/>
      </w:divBdr>
    </w:div>
    <w:div w:id="2089689755">
      <w:bodyDiv w:val="1"/>
      <w:marLeft w:val="0"/>
      <w:marRight w:val="0"/>
      <w:marTop w:val="0"/>
      <w:marBottom w:val="0"/>
      <w:divBdr>
        <w:top w:val="none" w:sz="0" w:space="0" w:color="auto"/>
        <w:left w:val="none" w:sz="0" w:space="0" w:color="auto"/>
        <w:bottom w:val="none" w:sz="0" w:space="0" w:color="auto"/>
        <w:right w:val="none" w:sz="0" w:space="0" w:color="auto"/>
      </w:divBdr>
    </w:div>
    <w:div w:id="212881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hart" Target="charts/chart4.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hart" Target="charts/chart7.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hart" Target="charts/chart3.xml"/><Relationship Id="rId25" Type="http://schemas.openxmlformats.org/officeDocument/2006/relationships/hyperlink" Target="http://base.energia.gob.mx/prodesen/PRODESEN_2017-2031.pdf" TargetMode="External"/><Relationship Id="rId2" Type="http://schemas.openxmlformats.org/officeDocument/2006/relationships/customXml" Target="../customXml/item2.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hart" Target="charts/chart10.xml"/><Relationship Id="rId5" Type="http://schemas.openxmlformats.org/officeDocument/2006/relationships/customXml" Target="../customXml/item5.xml"/><Relationship Id="rId15" Type="http://schemas.openxmlformats.org/officeDocument/2006/relationships/chart" Target="charts/chart1.xml"/><Relationship Id="rId23" Type="http://schemas.openxmlformats.org/officeDocument/2006/relationships/chart" Target="charts/chart9.xml"/><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chart" Target="charts/chart8.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ITO\Downloads\Mexico%20Planilla%20para%20Informe%20Preliminar%20v1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TITO\Desktop\Mexico%20Planilla%20Informe%20Fina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ITO\Downloads\Mexico%20Planilla%20para%20Informe%20Preliminar%20v1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TITO\Downloads\Mexico%20Planilla%20para%20Informe%20Preliminar%20v1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TITO\Downloads\Mexico%20Planilla%20para%20Informe%20Preliminar%20v1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admin:Documents:UAI:Proyectos:Bid:Proyecto%20Apoyo%20Politica%20Energetica%20Mexico:Informes:Mexico%20Planilla%20Informe%20Final%20v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TITO\Downloads\Mexico%20Planilla%20para%20Informe%20Preliminar%20v12.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TITO\Desktop\Mexico%20Planilla%20Informe%20Final.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TITO\Desktop\Mexico%20Planilla%20Informe%20Final.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TITO\Desktop\Mexico%20Planilla%20Informe%20Fina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Figuras!$C$3:$C$9</c:f>
              <c:strCache>
                <c:ptCount val="7"/>
                <c:pt idx="0">
                  <c:v>Ciclo combinado</c:v>
                </c:pt>
                <c:pt idx="1">
                  <c:v>Termoeléctrica convencional</c:v>
                </c:pt>
                <c:pt idx="2">
                  <c:v>Hidroeléctrica</c:v>
                </c:pt>
                <c:pt idx="3">
                  <c:v>Carboeléctrica</c:v>
                </c:pt>
                <c:pt idx="4">
                  <c:v>Turbogás</c:v>
                </c:pt>
                <c:pt idx="5">
                  <c:v>Eólica</c:v>
                </c:pt>
                <c:pt idx="6">
                  <c:v>Otros</c:v>
                </c:pt>
              </c:strCache>
            </c:strRef>
          </c:cat>
          <c:val>
            <c:numRef>
              <c:f>Figuras!$D$3:$D$9</c:f>
              <c:numCache>
                <c:formatCode>_-* #,##0_-;\-* #,##0_-;_-* "-"??_-;_-@_-</c:formatCode>
                <c:ptCount val="7"/>
                <c:pt idx="0">
                  <c:v>27274</c:v>
                </c:pt>
                <c:pt idx="1">
                  <c:v>12594</c:v>
                </c:pt>
                <c:pt idx="2">
                  <c:v>12589</c:v>
                </c:pt>
                <c:pt idx="3">
                  <c:v>5378</c:v>
                </c:pt>
                <c:pt idx="4">
                  <c:v>5052</c:v>
                </c:pt>
                <c:pt idx="5">
                  <c:v>3735</c:v>
                </c:pt>
                <c:pt idx="6">
                  <c:v>6634</c:v>
                </c:pt>
              </c:numCache>
            </c:numRef>
          </c:val>
          <c:extLst>
            <c:ext xmlns:c16="http://schemas.microsoft.com/office/drawing/2014/chart" uri="{C3380CC4-5D6E-409C-BE32-E72D297353CC}">
              <c16:uniqueId val="{00000000-B1D3-4BD3-AA06-14CE06507DC8}"/>
            </c:ext>
          </c:extLst>
        </c:ser>
        <c:dLbls>
          <c:showLegendKey val="0"/>
          <c:showVal val="0"/>
          <c:showCatName val="0"/>
          <c:showSerName val="0"/>
          <c:showPercent val="1"/>
          <c:showBubbleSize val="0"/>
          <c:showLeaderLines val="1"/>
        </c:dLbls>
        <c:firstSliceAng val="0"/>
      </c:pieChart>
    </c:plotArea>
    <c:legend>
      <c:legendPos val="r"/>
      <c:overlay val="0"/>
      <c:txPr>
        <a:bodyPr/>
        <a:lstStyle/>
        <a:p>
          <a:pPr>
            <a:defRPr sz="900"/>
          </a:pPr>
          <a:endParaRPr lang="en-US"/>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manualLayout>
          <c:layoutTarget val="inner"/>
          <c:xMode val="edge"/>
          <c:yMode val="edge"/>
          <c:x val="0.20901494921830399"/>
          <c:y val="3.65853658536585E-2"/>
          <c:w val="0.70475826771653505"/>
          <c:h val="0.75062351962102303"/>
        </c:manualLayout>
      </c:layout>
      <c:scatterChart>
        <c:scatterStyle val="smoothMarker"/>
        <c:varyColors val="0"/>
        <c:ser>
          <c:idx val="0"/>
          <c:order val="0"/>
          <c:tx>
            <c:strRef>
              <c:f>Figuras!$D$155</c:f>
              <c:strCache>
                <c:ptCount val="1"/>
                <c:pt idx="0">
                  <c:v>Utilidad Programa en Millones de US$</c:v>
                </c:pt>
              </c:strCache>
            </c:strRef>
          </c:tx>
          <c:marker>
            <c:symbol val="none"/>
          </c:marker>
          <c:xVal>
            <c:numRef>
              <c:f>Figuras!$C$156:$C$161</c:f>
              <c:numCache>
                <c:formatCode>0%</c:formatCode>
                <c:ptCount val="6"/>
                <c:pt idx="0">
                  <c:v>0</c:v>
                </c:pt>
                <c:pt idx="1">
                  <c:v>0.2</c:v>
                </c:pt>
                <c:pt idx="2">
                  <c:v>0.4</c:v>
                </c:pt>
                <c:pt idx="3">
                  <c:v>0.6</c:v>
                </c:pt>
                <c:pt idx="4">
                  <c:v>0.8</c:v>
                </c:pt>
                <c:pt idx="5">
                  <c:v>1</c:v>
                </c:pt>
              </c:numCache>
            </c:numRef>
          </c:xVal>
          <c:yVal>
            <c:numRef>
              <c:f>Figuras!$D$156:$D$161</c:f>
              <c:numCache>
                <c:formatCode>General</c:formatCode>
                <c:ptCount val="6"/>
                <c:pt idx="0">
                  <c:v>7329</c:v>
                </c:pt>
                <c:pt idx="1">
                  <c:v>7891</c:v>
                </c:pt>
                <c:pt idx="2">
                  <c:v>8453</c:v>
                </c:pt>
                <c:pt idx="3">
                  <c:v>9015</c:v>
                </c:pt>
                <c:pt idx="4">
                  <c:v>9577</c:v>
                </c:pt>
                <c:pt idx="5">
                  <c:v>10140</c:v>
                </c:pt>
              </c:numCache>
            </c:numRef>
          </c:yVal>
          <c:smooth val="1"/>
          <c:extLst>
            <c:ext xmlns:c16="http://schemas.microsoft.com/office/drawing/2014/chart" uri="{C3380CC4-5D6E-409C-BE32-E72D297353CC}">
              <c16:uniqueId val="{00000000-211C-4BD8-A7D0-A0E09C3FF89F}"/>
            </c:ext>
          </c:extLst>
        </c:ser>
        <c:dLbls>
          <c:showLegendKey val="0"/>
          <c:showVal val="0"/>
          <c:showCatName val="0"/>
          <c:showSerName val="0"/>
          <c:showPercent val="0"/>
          <c:showBubbleSize val="0"/>
        </c:dLbls>
        <c:axId val="-2086312376"/>
        <c:axId val="-2080900024"/>
      </c:scatterChart>
      <c:valAx>
        <c:axId val="-2086312376"/>
        <c:scaling>
          <c:orientation val="minMax"/>
          <c:max val="1"/>
          <c:min val="0"/>
        </c:scaling>
        <c:delete val="0"/>
        <c:axPos val="b"/>
        <c:title>
          <c:tx>
            <c:rich>
              <a:bodyPr/>
              <a:lstStyle/>
              <a:p>
                <a:pPr>
                  <a:defRPr/>
                </a:pPr>
                <a:r>
                  <a:rPr lang="es-ES"/>
                  <a:t>Porcentaje</a:t>
                </a:r>
                <a:r>
                  <a:rPr lang="es-ES" baseline="0"/>
                  <a:t> de transición a energías limpias</a:t>
                </a:r>
                <a:endParaRPr lang="es-ES"/>
              </a:p>
            </c:rich>
          </c:tx>
          <c:overlay val="0"/>
        </c:title>
        <c:numFmt formatCode="0%" sourceLinked="1"/>
        <c:majorTickMark val="out"/>
        <c:minorTickMark val="none"/>
        <c:tickLblPos val="nextTo"/>
        <c:crossAx val="-2080900024"/>
        <c:crosses val="autoZero"/>
        <c:crossBetween val="midCat"/>
      </c:valAx>
      <c:valAx>
        <c:axId val="-2080900024"/>
        <c:scaling>
          <c:orientation val="minMax"/>
        </c:scaling>
        <c:delete val="0"/>
        <c:axPos val="l"/>
        <c:majorGridlines/>
        <c:title>
          <c:tx>
            <c:rich>
              <a:bodyPr rot="-5400000" vert="horz"/>
              <a:lstStyle/>
              <a:p>
                <a:pPr>
                  <a:defRPr/>
                </a:pPr>
                <a:r>
                  <a:rPr lang="es-ES"/>
                  <a:t>Utilidad de Programa en Millones de Dólares</a:t>
                </a:r>
              </a:p>
            </c:rich>
          </c:tx>
          <c:overlay val="0"/>
        </c:title>
        <c:numFmt formatCode="General" sourceLinked="1"/>
        <c:majorTickMark val="out"/>
        <c:minorTickMark val="none"/>
        <c:tickLblPos val="nextTo"/>
        <c:crossAx val="-2086312376"/>
        <c:crossesAt val="4.0000000000000001E-3"/>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Linea Base</c:v>
          </c:tx>
          <c:spPr>
            <a:ln w="28575">
              <a:noFill/>
            </a:ln>
          </c:spPr>
          <c:xVal>
            <c:numRef>
              <c:f>Figuras!$Q$3:$AE$3</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Figuras!$Q$4:$AE$4</c:f>
              <c:numCache>
                <c:formatCode>_-* #,##0_-;\-* #,##0_-;_-* "-"??_-;_-@_-</c:formatCode>
                <c:ptCount val="15"/>
                <c:pt idx="0">
                  <c:v>319.28919999999943</c:v>
                </c:pt>
                <c:pt idx="1">
                  <c:v>309.64327863217932</c:v>
                </c:pt>
                <c:pt idx="2">
                  <c:v>324.89825933287892</c:v>
                </c:pt>
                <c:pt idx="3">
                  <c:v>341.24396663406168</c:v>
                </c:pt>
                <c:pt idx="4">
                  <c:v>358.14331326090343</c:v>
                </c:pt>
                <c:pt idx="5">
                  <c:v>376.00994853325881</c:v>
                </c:pt>
                <c:pt idx="6">
                  <c:v>394.9613274576086</c:v>
                </c:pt>
                <c:pt idx="7">
                  <c:v>414.5604121163351</c:v>
                </c:pt>
                <c:pt idx="8">
                  <c:v>435.75295557582268</c:v>
                </c:pt>
                <c:pt idx="9">
                  <c:v>457.21788161670571</c:v>
                </c:pt>
                <c:pt idx="10">
                  <c:v>479.60093947516452</c:v>
                </c:pt>
                <c:pt idx="11">
                  <c:v>502.64309771234502</c:v>
                </c:pt>
                <c:pt idx="12">
                  <c:v>527.34029905281784</c:v>
                </c:pt>
                <c:pt idx="13">
                  <c:v>552.51905758306077</c:v>
                </c:pt>
                <c:pt idx="14">
                  <c:v>578.96012539465949</c:v>
                </c:pt>
              </c:numCache>
            </c:numRef>
          </c:yVal>
          <c:smooth val="0"/>
          <c:extLst>
            <c:ext xmlns:c16="http://schemas.microsoft.com/office/drawing/2014/chart" uri="{C3380CC4-5D6E-409C-BE32-E72D297353CC}">
              <c16:uniqueId val="{00000000-EECF-4A9C-9BF4-F963B2AB056D}"/>
            </c:ext>
          </c:extLst>
        </c:ser>
        <c:ser>
          <c:idx val="1"/>
          <c:order val="1"/>
          <c:tx>
            <c:v>Escenario eficiencia energética</c:v>
          </c:tx>
          <c:spPr>
            <a:ln w="28575">
              <a:noFill/>
            </a:ln>
          </c:spPr>
          <c:xVal>
            <c:numRef>
              <c:f>Figuras!$Q$25:$AE$25</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Figuras!$Q$26:$AE$26</c:f>
              <c:numCache>
                <c:formatCode>_-* #,##0_-;\-* #,##0_-;_-* "-"??_-;_-@_-</c:formatCode>
                <c:ptCount val="15"/>
                <c:pt idx="0">
                  <c:v>319.28919999999943</c:v>
                </c:pt>
                <c:pt idx="1">
                  <c:v>303.40085548297878</c:v>
                </c:pt>
                <c:pt idx="2">
                  <c:v>312.41650492535689</c:v>
                </c:pt>
                <c:pt idx="3">
                  <c:v>322.02619715961163</c:v>
                </c:pt>
                <c:pt idx="4">
                  <c:v>331.67789241955461</c:v>
                </c:pt>
                <c:pt idx="5">
                  <c:v>341.73961721597823</c:v>
                </c:pt>
                <c:pt idx="6">
                  <c:v>352.28237666373701</c:v>
                </c:pt>
                <c:pt idx="7">
                  <c:v>362.87613978554509</c:v>
                </c:pt>
                <c:pt idx="8">
                  <c:v>374.33196500600422</c:v>
                </c:pt>
                <c:pt idx="9">
                  <c:v>385.45276609299702</c:v>
                </c:pt>
                <c:pt idx="10">
                  <c:v>396.78658252455159</c:v>
                </c:pt>
                <c:pt idx="11">
                  <c:v>408.09239693898002</c:v>
                </c:pt>
                <c:pt idx="12">
                  <c:v>420.16526660824098</c:v>
                </c:pt>
                <c:pt idx="13">
                  <c:v>432.01211999641652</c:v>
                </c:pt>
                <c:pt idx="14">
                  <c:v>444.24000083190748</c:v>
                </c:pt>
              </c:numCache>
            </c:numRef>
          </c:yVal>
          <c:smooth val="0"/>
          <c:extLst>
            <c:ext xmlns:c16="http://schemas.microsoft.com/office/drawing/2014/chart" uri="{C3380CC4-5D6E-409C-BE32-E72D297353CC}">
              <c16:uniqueId val="{00000001-EECF-4A9C-9BF4-F963B2AB056D}"/>
            </c:ext>
          </c:extLst>
        </c:ser>
        <c:dLbls>
          <c:showLegendKey val="0"/>
          <c:showVal val="0"/>
          <c:showCatName val="0"/>
          <c:showSerName val="0"/>
          <c:showPercent val="0"/>
          <c:showBubbleSize val="0"/>
        </c:dLbls>
        <c:axId val="2121220824"/>
        <c:axId val="-2118850088"/>
      </c:scatterChart>
      <c:valAx>
        <c:axId val="2121220824"/>
        <c:scaling>
          <c:orientation val="minMax"/>
          <c:max val="2030"/>
        </c:scaling>
        <c:delete val="0"/>
        <c:axPos val="b"/>
        <c:title>
          <c:tx>
            <c:rich>
              <a:bodyPr/>
              <a:lstStyle/>
              <a:p>
                <a:pPr>
                  <a:defRPr/>
                </a:pPr>
                <a:r>
                  <a:rPr lang="es-CL"/>
                  <a:t>Años</a:t>
                </a:r>
              </a:p>
            </c:rich>
          </c:tx>
          <c:overlay val="0"/>
        </c:title>
        <c:numFmt formatCode="General" sourceLinked="1"/>
        <c:majorTickMark val="none"/>
        <c:minorTickMark val="none"/>
        <c:tickLblPos val="nextTo"/>
        <c:crossAx val="-2118850088"/>
        <c:crosses val="autoZero"/>
        <c:crossBetween val="midCat"/>
      </c:valAx>
      <c:valAx>
        <c:axId val="-2118850088"/>
        <c:scaling>
          <c:orientation val="minMax"/>
        </c:scaling>
        <c:delete val="0"/>
        <c:axPos val="l"/>
        <c:majorGridlines/>
        <c:title>
          <c:tx>
            <c:rich>
              <a:bodyPr/>
              <a:lstStyle/>
              <a:p>
                <a:pPr>
                  <a:defRPr/>
                </a:pPr>
                <a:r>
                  <a:rPr lang="es-CL"/>
                  <a:t>Energía generada (TWh)</a:t>
                </a:r>
              </a:p>
            </c:rich>
          </c:tx>
          <c:overlay val="0"/>
        </c:title>
        <c:numFmt formatCode="_-* #,##0_-;\-* #,##0_-;_-* &quot;-&quot;??_-;_-@_-" sourceLinked="1"/>
        <c:majorTickMark val="none"/>
        <c:minorTickMark val="none"/>
        <c:tickLblPos val="nextTo"/>
        <c:crossAx val="2121220824"/>
        <c:crosses val="autoZero"/>
        <c:crossBetween val="midCat"/>
      </c:valAx>
      <c:spPr>
        <a:noFill/>
        <a:ln w="25400">
          <a:noFill/>
        </a:ln>
      </c:spPr>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Linea Base</c:v>
          </c:tx>
          <c:spPr>
            <a:ln w="28575">
              <a:noFill/>
            </a:ln>
          </c:spPr>
          <c:xVal>
            <c:numRef>
              <c:f>Figuras!$Q$3:$AE$3</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Figuras!$Q$6:$AE$6</c:f>
              <c:numCache>
                <c:formatCode>_-* #,##0_-;\-* #,##0_-;_-* "-"??_-;_-@_-</c:formatCode>
                <c:ptCount val="15"/>
                <c:pt idx="0">
                  <c:v>138.00336553333329</c:v>
                </c:pt>
                <c:pt idx="1">
                  <c:v>133.8341997349626</c:v>
                </c:pt>
                <c:pt idx="2">
                  <c:v>140.42771645222919</c:v>
                </c:pt>
                <c:pt idx="3">
                  <c:v>147.49266766130819</c:v>
                </c:pt>
                <c:pt idx="4">
                  <c:v>154.79691318486039</c:v>
                </c:pt>
                <c:pt idx="5">
                  <c:v>162.5192407748371</c:v>
                </c:pt>
                <c:pt idx="6">
                  <c:v>170.7104169031181</c:v>
                </c:pt>
                <c:pt idx="7">
                  <c:v>179.18154478428929</c:v>
                </c:pt>
                <c:pt idx="8">
                  <c:v>188.34139836411819</c:v>
                </c:pt>
                <c:pt idx="9">
                  <c:v>197.6189813032403</c:v>
                </c:pt>
                <c:pt idx="10">
                  <c:v>207.2933997157474</c:v>
                </c:pt>
                <c:pt idx="11">
                  <c:v>217.25269488101611</c:v>
                </c:pt>
                <c:pt idx="12">
                  <c:v>227.9273337483493</c:v>
                </c:pt>
                <c:pt idx="13">
                  <c:v>238.81011154704879</c:v>
                </c:pt>
                <c:pt idx="14">
                  <c:v>250.23848540465451</c:v>
                </c:pt>
              </c:numCache>
            </c:numRef>
          </c:yVal>
          <c:smooth val="0"/>
          <c:extLst>
            <c:ext xmlns:c16="http://schemas.microsoft.com/office/drawing/2014/chart" uri="{C3380CC4-5D6E-409C-BE32-E72D297353CC}">
              <c16:uniqueId val="{00000000-12EF-4F16-B78E-6389B0FD7B97}"/>
            </c:ext>
          </c:extLst>
        </c:ser>
        <c:ser>
          <c:idx val="1"/>
          <c:order val="1"/>
          <c:tx>
            <c:v>Escenario eficiencia energética</c:v>
          </c:tx>
          <c:spPr>
            <a:ln w="28575">
              <a:noFill/>
            </a:ln>
          </c:spPr>
          <c:xVal>
            <c:numRef>
              <c:f>Figuras!$Q$25:$AE$25</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Figuras!$Q$28:$AE$28</c:f>
              <c:numCache>
                <c:formatCode>_-* #,##0_-;\-* #,##0_-;_-* "-"??_-;_-@_-</c:formatCode>
                <c:ptCount val="15"/>
                <c:pt idx="0">
                  <c:v>138.00336553333329</c:v>
                </c:pt>
                <c:pt idx="1">
                  <c:v>131.1360959354204</c:v>
                </c:pt>
                <c:pt idx="2">
                  <c:v>135.03284523203561</c:v>
                </c:pt>
                <c:pt idx="3">
                  <c:v>139.1863520530201</c:v>
                </c:pt>
                <c:pt idx="4">
                  <c:v>143.3580134464348</c:v>
                </c:pt>
                <c:pt idx="5">
                  <c:v>147.70689804690559</c:v>
                </c:pt>
                <c:pt idx="6">
                  <c:v>152.26369572687361</c:v>
                </c:pt>
                <c:pt idx="7">
                  <c:v>156.84253824479379</c:v>
                </c:pt>
                <c:pt idx="8">
                  <c:v>161.79398174925581</c:v>
                </c:pt>
                <c:pt idx="9">
                  <c:v>166.60062092600151</c:v>
                </c:pt>
                <c:pt idx="10">
                  <c:v>171.4993297200713</c:v>
                </c:pt>
                <c:pt idx="11">
                  <c:v>176.38593546585449</c:v>
                </c:pt>
                <c:pt idx="12">
                  <c:v>181.60407828435001</c:v>
                </c:pt>
                <c:pt idx="13">
                  <c:v>186.72453221310241</c:v>
                </c:pt>
                <c:pt idx="14">
                  <c:v>192.00967404889991</c:v>
                </c:pt>
              </c:numCache>
            </c:numRef>
          </c:yVal>
          <c:smooth val="0"/>
          <c:extLst>
            <c:ext xmlns:c16="http://schemas.microsoft.com/office/drawing/2014/chart" uri="{C3380CC4-5D6E-409C-BE32-E72D297353CC}">
              <c16:uniqueId val="{00000001-12EF-4F16-B78E-6389B0FD7B97}"/>
            </c:ext>
          </c:extLst>
        </c:ser>
        <c:dLbls>
          <c:showLegendKey val="0"/>
          <c:showVal val="0"/>
          <c:showCatName val="0"/>
          <c:showSerName val="0"/>
          <c:showPercent val="0"/>
          <c:showBubbleSize val="0"/>
        </c:dLbls>
        <c:axId val="-2086394808"/>
        <c:axId val="-2137850184"/>
      </c:scatterChart>
      <c:valAx>
        <c:axId val="-2086394808"/>
        <c:scaling>
          <c:orientation val="minMax"/>
          <c:max val="2030"/>
        </c:scaling>
        <c:delete val="0"/>
        <c:axPos val="b"/>
        <c:title>
          <c:tx>
            <c:rich>
              <a:bodyPr/>
              <a:lstStyle/>
              <a:p>
                <a:pPr>
                  <a:defRPr/>
                </a:pPr>
                <a:r>
                  <a:rPr lang="es-CL"/>
                  <a:t>Años</a:t>
                </a:r>
              </a:p>
            </c:rich>
          </c:tx>
          <c:overlay val="0"/>
        </c:title>
        <c:numFmt formatCode="General" sourceLinked="1"/>
        <c:majorTickMark val="none"/>
        <c:minorTickMark val="none"/>
        <c:tickLblPos val="nextTo"/>
        <c:crossAx val="-2137850184"/>
        <c:crosses val="autoZero"/>
        <c:crossBetween val="midCat"/>
      </c:valAx>
      <c:valAx>
        <c:axId val="-2137850184"/>
        <c:scaling>
          <c:orientation val="minMax"/>
        </c:scaling>
        <c:delete val="0"/>
        <c:axPos val="l"/>
        <c:majorGridlines/>
        <c:title>
          <c:tx>
            <c:rich>
              <a:bodyPr/>
              <a:lstStyle/>
              <a:p>
                <a:pPr>
                  <a:defRPr/>
                </a:pPr>
                <a:r>
                  <a:rPr lang="es-CL"/>
                  <a:t>Millones de toneladas</a:t>
                </a:r>
                <a:r>
                  <a:rPr lang="es-CL" baseline="0"/>
                  <a:t> de CO2</a:t>
                </a:r>
                <a:endParaRPr lang="es-CL"/>
              </a:p>
            </c:rich>
          </c:tx>
          <c:overlay val="0"/>
        </c:title>
        <c:numFmt formatCode="_-* #,##0_-;\-* #,##0_-;_-* &quot;-&quot;??_-;_-@_-" sourceLinked="1"/>
        <c:majorTickMark val="none"/>
        <c:minorTickMark val="none"/>
        <c:tickLblPos val="nextTo"/>
        <c:crossAx val="-2086394808"/>
        <c:crosses val="autoZero"/>
        <c:crossBetween val="midCat"/>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Linea Base</c:v>
          </c:tx>
          <c:spPr>
            <a:ln w="28575">
              <a:noFill/>
            </a:ln>
          </c:spPr>
          <c:xVal>
            <c:numRef>
              <c:f>Figuras!$Q$3:$AE$3</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Figuras!$Q$6:$AE$6</c:f>
              <c:numCache>
                <c:formatCode>_-* #,##0_-;\-* #,##0_-;_-* "-"??_-;_-@_-</c:formatCode>
                <c:ptCount val="15"/>
                <c:pt idx="0">
                  <c:v>138.00336553333329</c:v>
                </c:pt>
                <c:pt idx="1">
                  <c:v>133.8341997349626</c:v>
                </c:pt>
                <c:pt idx="2">
                  <c:v>140.42771645222919</c:v>
                </c:pt>
                <c:pt idx="3">
                  <c:v>147.49266766130819</c:v>
                </c:pt>
                <c:pt idx="4">
                  <c:v>154.79691318486039</c:v>
                </c:pt>
                <c:pt idx="5">
                  <c:v>162.5192407748371</c:v>
                </c:pt>
                <c:pt idx="6">
                  <c:v>170.7104169031181</c:v>
                </c:pt>
                <c:pt idx="7">
                  <c:v>179.18154478428929</c:v>
                </c:pt>
                <c:pt idx="8">
                  <c:v>188.34139836411819</c:v>
                </c:pt>
                <c:pt idx="9">
                  <c:v>197.6189813032403</c:v>
                </c:pt>
                <c:pt idx="10">
                  <c:v>207.2933997157474</c:v>
                </c:pt>
                <c:pt idx="11">
                  <c:v>217.25269488101611</c:v>
                </c:pt>
                <c:pt idx="12">
                  <c:v>227.9273337483493</c:v>
                </c:pt>
                <c:pt idx="13">
                  <c:v>238.81011154704879</c:v>
                </c:pt>
                <c:pt idx="14">
                  <c:v>250.23848540465451</c:v>
                </c:pt>
              </c:numCache>
            </c:numRef>
          </c:yVal>
          <c:smooth val="0"/>
          <c:extLst>
            <c:ext xmlns:c16="http://schemas.microsoft.com/office/drawing/2014/chart" uri="{C3380CC4-5D6E-409C-BE32-E72D297353CC}">
              <c16:uniqueId val="{00000000-B4E1-453F-A78A-F7B988CE64AA}"/>
            </c:ext>
          </c:extLst>
        </c:ser>
        <c:ser>
          <c:idx val="1"/>
          <c:order val="1"/>
          <c:tx>
            <c:v>Escenario energía limpia</c:v>
          </c:tx>
          <c:spPr>
            <a:ln w="28575">
              <a:noFill/>
            </a:ln>
          </c:spPr>
          <c:xVal>
            <c:numRef>
              <c:f>Figuras!$Q$13:$AE$13</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Figuras!$Q$16:$AE$16</c:f>
              <c:numCache>
                <c:formatCode>#,##0</c:formatCode>
                <c:ptCount val="15"/>
                <c:pt idx="0">
                  <c:v>138.01135218215879</c:v>
                </c:pt>
                <c:pt idx="1">
                  <c:v>126.9342443440275</c:v>
                </c:pt>
                <c:pt idx="2">
                  <c:v>127.490086946483</c:v>
                </c:pt>
                <c:pt idx="3">
                  <c:v>128.03717927900399</c:v>
                </c:pt>
                <c:pt idx="4">
                  <c:v>130.11590720450519</c:v>
                </c:pt>
                <c:pt idx="5">
                  <c:v>132.96723863081539</c:v>
                </c:pt>
                <c:pt idx="6">
                  <c:v>137.27300653514581</c:v>
                </c:pt>
                <c:pt idx="7">
                  <c:v>138.44566596838641</c:v>
                </c:pt>
                <c:pt idx="8">
                  <c:v>139.69440730791769</c:v>
                </c:pt>
                <c:pt idx="9">
                  <c:v>143.62218131236821</c:v>
                </c:pt>
                <c:pt idx="10">
                  <c:v>149.4613285546628</c:v>
                </c:pt>
                <c:pt idx="11">
                  <c:v>155.15824340833811</c:v>
                </c:pt>
                <c:pt idx="12">
                  <c:v>160.50747763586881</c:v>
                </c:pt>
                <c:pt idx="13">
                  <c:v>161.1523774198572</c:v>
                </c:pt>
                <c:pt idx="14">
                  <c:v>164.4415911224738</c:v>
                </c:pt>
              </c:numCache>
            </c:numRef>
          </c:yVal>
          <c:smooth val="0"/>
          <c:extLst>
            <c:ext xmlns:c16="http://schemas.microsoft.com/office/drawing/2014/chart" uri="{C3380CC4-5D6E-409C-BE32-E72D297353CC}">
              <c16:uniqueId val="{00000001-B4E1-453F-A78A-F7B988CE64AA}"/>
            </c:ext>
          </c:extLst>
        </c:ser>
        <c:dLbls>
          <c:showLegendKey val="0"/>
          <c:showVal val="0"/>
          <c:showCatName val="0"/>
          <c:showSerName val="0"/>
          <c:showPercent val="0"/>
          <c:showBubbleSize val="0"/>
        </c:dLbls>
        <c:axId val="2122128248"/>
        <c:axId val="-2088515752"/>
      </c:scatterChart>
      <c:valAx>
        <c:axId val="2122128248"/>
        <c:scaling>
          <c:orientation val="minMax"/>
          <c:max val="2030"/>
        </c:scaling>
        <c:delete val="0"/>
        <c:axPos val="b"/>
        <c:title>
          <c:tx>
            <c:rich>
              <a:bodyPr/>
              <a:lstStyle/>
              <a:p>
                <a:pPr>
                  <a:defRPr/>
                </a:pPr>
                <a:r>
                  <a:rPr lang="es-CL"/>
                  <a:t>Años</a:t>
                </a:r>
              </a:p>
            </c:rich>
          </c:tx>
          <c:overlay val="0"/>
        </c:title>
        <c:numFmt formatCode="General" sourceLinked="1"/>
        <c:majorTickMark val="none"/>
        <c:minorTickMark val="none"/>
        <c:tickLblPos val="nextTo"/>
        <c:crossAx val="-2088515752"/>
        <c:crosses val="autoZero"/>
        <c:crossBetween val="midCat"/>
      </c:valAx>
      <c:valAx>
        <c:axId val="-2088515752"/>
        <c:scaling>
          <c:orientation val="minMax"/>
        </c:scaling>
        <c:delete val="0"/>
        <c:axPos val="l"/>
        <c:majorGridlines/>
        <c:title>
          <c:tx>
            <c:rich>
              <a:bodyPr/>
              <a:lstStyle/>
              <a:p>
                <a:pPr>
                  <a:defRPr/>
                </a:pPr>
                <a:r>
                  <a:rPr lang="es-CL"/>
                  <a:t>Millones de toneladas de CO2</a:t>
                </a:r>
              </a:p>
            </c:rich>
          </c:tx>
          <c:overlay val="0"/>
        </c:title>
        <c:numFmt formatCode="_-* #,##0_-;\-* #,##0_-;_-* &quot;-&quot;??_-;_-@_-" sourceLinked="1"/>
        <c:majorTickMark val="none"/>
        <c:minorTickMark val="none"/>
        <c:tickLblPos val="nextTo"/>
        <c:crossAx val="2122128248"/>
        <c:crosses val="autoZero"/>
        <c:crossBetween val="midCat"/>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915866141732301"/>
          <c:y val="6.4676616915422896E-2"/>
          <c:w val="0.71661515748031501"/>
          <c:h val="0.78434520311826705"/>
        </c:manualLayout>
      </c:layout>
      <c:scatterChart>
        <c:scatterStyle val="lineMarker"/>
        <c:varyColors val="0"/>
        <c:ser>
          <c:idx val="0"/>
          <c:order val="0"/>
          <c:tx>
            <c:v>Linea Base</c:v>
          </c:tx>
          <c:spPr>
            <a:ln w="28575">
              <a:noFill/>
            </a:ln>
          </c:spPr>
          <c:xVal>
            <c:numRef>
              <c:f>Figuras!$Q$3:$AE$3</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Figuras!$Q$10:$AE$10</c:f>
              <c:numCache>
                <c:formatCode>_-* #,##0_-;\-* #,##0_-;_-* "-"??_-;_-@_-</c:formatCode>
                <c:ptCount val="15"/>
                <c:pt idx="0">
                  <c:v>7984.9719999999998</c:v>
                </c:pt>
                <c:pt idx="1">
                  <c:v>0</c:v>
                </c:pt>
                <c:pt idx="2">
                  <c:v>5156.7700131791316</c:v>
                </c:pt>
                <c:pt idx="3">
                  <c:v>5525.4775413167627</c:v>
                </c:pt>
                <c:pt idx="4">
                  <c:v>5712.6289201808104</c:v>
                </c:pt>
                <c:pt idx="5">
                  <c:v>6039.6096734925241</c:v>
                </c:pt>
                <c:pt idx="6">
                  <c:v>6406.2947350044069</c:v>
                </c:pt>
                <c:pt idx="7">
                  <c:v>6625.2441767584169</c:v>
                </c:pt>
                <c:pt idx="8">
                  <c:v>7163.8945180615783</c:v>
                </c:pt>
                <c:pt idx="9">
                  <c:v>7255.9703033681881</c:v>
                </c:pt>
                <c:pt idx="10">
                  <c:v>7566.3341588140074</c:v>
                </c:pt>
                <c:pt idx="11">
                  <c:v>7789.1354284680483</c:v>
                </c:pt>
                <c:pt idx="12">
                  <c:v>8348.6036318721272</c:v>
                </c:pt>
                <c:pt idx="13">
                  <c:v>8511.3884773300251</c:v>
                </c:pt>
                <c:pt idx="14">
                  <c:v>8938.0975487589949</c:v>
                </c:pt>
              </c:numCache>
            </c:numRef>
          </c:yVal>
          <c:smooth val="0"/>
          <c:extLst>
            <c:ext xmlns:c16="http://schemas.microsoft.com/office/drawing/2014/chart" uri="{C3380CC4-5D6E-409C-BE32-E72D297353CC}">
              <c16:uniqueId val="{00000000-E6EF-42BF-8408-34526940264D}"/>
            </c:ext>
          </c:extLst>
        </c:ser>
        <c:ser>
          <c:idx val="1"/>
          <c:order val="1"/>
          <c:tx>
            <c:v>Escenario energía limpia</c:v>
          </c:tx>
          <c:spPr>
            <a:ln w="28575">
              <a:noFill/>
            </a:ln>
          </c:spPr>
          <c:xVal>
            <c:numRef>
              <c:f>Figuras!$Q$13:$AE$13</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Figuras!$Q$20:$AE$20</c:f>
              <c:numCache>
                <c:formatCode>_-* #,##0_-;\-* #,##0_-;_-* "-"??_-;_-@_-</c:formatCode>
                <c:ptCount val="15"/>
                <c:pt idx="0">
                  <c:v>7984.9719999999998</c:v>
                </c:pt>
                <c:pt idx="1">
                  <c:v>3560.2881389614599</c:v>
                </c:pt>
                <c:pt idx="2">
                  <c:v>8249.5483927677942</c:v>
                </c:pt>
                <c:pt idx="3">
                  <c:v>8234.8296665140952</c:v>
                </c:pt>
                <c:pt idx="4">
                  <c:v>7674.9606997283463</c:v>
                </c:pt>
                <c:pt idx="5">
                  <c:v>7799.2160105258199</c:v>
                </c:pt>
                <c:pt idx="6">
                  <c:v>7312.8984010230497</c:v>
                </c:pt>
                <c:pt idx="7">
                  <c:v>10984.235792426771</c:v>
                </c:pt>
                <c:pt idx="8">
                  <c:v>9080.3453561150509</c:v>
                </c:pt>
                <c:pt idx="9">
                  <c:v>7398.7934263315428</c:v>
                </c:pt>
                <c:pt idx="10">
                  <c:v>7198.4726982274433</c:v>
                </c:pt>
                <c:pt idx="11">
                  <c:v>9052.9888573312273</c:v>
                </c:pt>
                <c:pt idx="12">
                  <c:v>9966.576563130151</c:v>
                </c:pt>
                <c:pt idx="13">
                  <c:v>14495.397416064459</c:v>
                </c:pt>
                <c:pt idx="14">
                  <c:v>13074.376988839589</c:v>
                </c:pt>
              </c:numCache>
            </c:numRef>
          </c:yVal>
          <c:smooth val="0"/>
          <c:extLst>
            <c:ext xmlns:c16="http://schemas.microsoft.com/office/drawing/2014/chart" uri="{C3380CC4-5D6E-409C-BE32-E72D297353CC}">
              <c16:uniqueId val="{00000001-E6EF-42BF-8408-34526940264D}"/>
            </c:ext>
          </c:extLst>
        </c:ser>
        <c:dLbls>
          <c:showLegendKey val="0"/>
          <c:showVal val="0"/>
          <c:showCatName val="0"/>
          <c:showSerName val="0"/>
          <c:showPercent val="0"/>
          <c:showBubbleSize val="0"/>
        </c:dLbls>
        <c:axId val="-2041178456"/>
        <c:axId val="2119949912"/>
      </c:scatterChart>
      <c:valAx>
        <c:axId val="-2041178456"/>
        <c:scaling>
          <c:orientation val="minMax"/>
          <c:max val="2030"/>
        </c:scaling>
        <c:delete val="0"/>
        <c:axPos val="b"/>
        <c:title>
          <c:tx>
            <c:rich>
              <a:bodyPr/>
              <a:lstStyle/>
              <a:p>
                <a:pPr>
                  <a:defRPr/>
                </a:pPr>
                <a:r>
                  <a:rPr lang="es-CL"/>
                  <a:t>Años</a:t>
                </a:r>
              </a:p>
            </c:rich>
          </c:tx>
          <c:overlay val="0"/>
        </c:title>
        <c:numFmt formatCode="General" sourceLinked="1"/>
        <c:majorTickMark val="none"/>
        <c:minorTickMark val="none"/>
        <c:tickLblPos val="nextTo"/>
        <c:crossAx val="2119949912"/>
        <c:crosses val="autoZero"/>
        <c:crossBetween val="midCat"/>
      </c:valAx>
      <c:valAx>
        <c:axId val="2119949912"/>
        <c:scaling>
          <c:orientation val="minMax"/>
        </c:scaling>
        <c:delete val="0"/>
        <c:axPos val="l"/>
        <c:majorGridlines/>
        <c:title>
          <c:tx>
            <c:rich>
              <a:bodyPr/>
              <a:lstStyle/>
              <a:p>
                <a:pPr>
                  <a:defRPr/>
                </a:pPr>
                <a:r>
                  <a:rPr lang="es-CL"/>
                  <a:t>Millomes de dólares</a:t>
                </a:r>
              </a:p>
            </c:rich>
          </c:tx>
          <c:overlay val="0"/>
        </c:title>
        <c:numFmt formatCode="_-* #,##0_-;\-* #,##0_-;_-* &quot;-&quot;??_-;_-@_-" sourceLinked="1"/>
        <c:majorTickMark val="none"/>
        <c:minorTickMark val="none"/>
        <c:tickLblPos val="nextTo"/>
        <c:crossAx val="-2041178456"/>
        <c:crosses val="autoZero"/>
        <c:crossBetween val="midCat"/>
      </c:valAx>
    </c:plotArea>
    <c:legend>
      <c:legendPos val="r"/>
      <c:layout>
        <c:manualLayout>
          <c:xMode val="edge"/>
          <c:yMode val="edge"/>
          <c:x val="0.692492519685039"/>
          <c:y val="0.62894072942374701"/>
          <c:w val="0.29500748031496099"/>
          <c:h val="0.19982998393857501"/>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9065179352581"/>
          <c:y val="6.0185185185185203E-2"/>
          <c:w val="0.71568350831146099"/>
          <c:h val="0.71598789734616497"/>
        </c:manualLayout>
      </c:layout>
      <c:scatterChart>
        <c:scatterStyle val="lineMarker"/>
        <c:varyColors val="0"/>
        <c:ser>
          <c:idx val="0"/>
          <c:order val="0"/>
          <c:tx>
            <c:v>Linea Base</c:v>
          </c:tx>
          <c:spPr>
            <a:ln w="28575">
              <a:noFill/>
            </a:ln>
          </c:spPr>
          <c:xVal>
            <c:numRef>
              <c:f>Figuras!$Q$13:$AE$13</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Figuras!$Q$5:$AE$5</c:f>
              <c:numCache>
                <c:formatCode>_-* #,##0_-;\-* #,##0_-;_-* "-"??_-;_-@_-</c:formatCode>
                <c:ptCount val="15"/>
                <c:pt idx="0">
                  <c:v>10229.720576</c:v>
                </c:pt>
                <c:pt idx="1">
                  <c:v>10177.321413433219</c:v>
                </c:pt>
                <c:pt idx="2">
                  <c:v>10958.238629221811</c:v>
                </c:pt>
                <c:pt idx="3">
                  <c:v>11814.285828233969</c:v>
                </c:pt>
                <c:pt idx="4">
                  <c:v>12731.34667255877</c:v>
                </c:pt>
                <c:pt idx="5">
                  <c:v>13728.27496930575</c:v>
                </c:pt>
                <c:pt idx="6">
                  <c:v>14814.6939793977</c:v>
                </c:pt>
                <c:pt idx="7">
                  <c:v>15979.67451129757</c:v>
                </c:pt>
                <c:pt idx="8">
                  <c:v>17265.576546670261</c:v>
                </c:pt>
                <c:pt idx="9">
                  <c:v>18626.93302961018</c:v>
                </c:pt>
                <c:pt idx="10">
                  <c:v>20095.111257890381</c:v>
                </c:pt>
                <c:pt idx="11">
                  <c:v>21665.826305627059</c:v>
                </c:pt>
                <c:pt idx="12">
                  <c:v>23389.58830624192</c:v>
                </c:pt>
                <c:pt idx="13">
                  <c:v>25223.417111887051</c:v>
                </c:pt>
                <c:pt idx="14">
                  <c:v>27210.550274270459</c:v>
                </c:pt>
              </c:numCache>
            </c:numRef>
          </c:yVal>
          <c:smooth val="0"/>
          <c:extLst>
            <c:ext xmlns:c16="http://schemas.microsoft.com/office/drawing/2014/chart" uri="{C3380CC4-5D6E-409C-BE32-E72D297353CC}">
              <c16:uniqueId val="{00000000-F537-4C46-B01C-D86C55D66C2B}"/>
            </c:ext>
          </c:extLst>
        </c:ser>
        <c:ser>
          <c:idx val="1"/>
          <c:order val="1"/>
          <c:tx>
            <c:v>Escenario energía limpia</c:v>
          </c:tx>
          <c:spPr>
            <a:ln w="28575">
              <a:noFill/>
            </a:ln>
          </c:spPr>
          <c:xVal>
            <c:numRef>
              <c:f>Figuras!$Q$13:$AE$13</c:f>
              <c:numCache>
                <c:formatCode>General</c:formatCode>
                <c:ptCount val="15"/>
                <c:pt idx="0">
                  <c:v>2016</c:v>
                </c:pt>
                <c:pt idx="1">
                  <c:v>2017</c:v>
                </c:pt>
                <c:pt idx="2">
                  <c:v>2018</c:v>
                </c:pt>
                <c:pt idx="3">
                  <c:v>2019</c:v>
                </c:pt>
                <c:pt idx="4">
                  <c:v>2020</c:v>
                </c:pt>
                <c:pt idx="5">
                  <c:v>2021</c:v>
                </c:pt>
                <c:pt idx="6">
                  <c:v>2022</c:v>
                </c:pt>
                <c:pt idx="7">
                  <c:v>2023</c:v>
                </c:pt>
                <c:pt idx="8">
                  <c:v>2024</c:v>
                </c:pt>
                <c:pt idx="9">
                  <c:v>2025</c:v>
                </c:pt>
                <c:pt idx="10">
                  <c:v>2026</c:v>
                </c:pt>
                <c:pt idx="11">
                  <c:v>2027</c:v>
                </c:pt>
                <c:pt idx="12">
                  <c:v>2028</c:v>
                </c:pt>
                <c:pt idx="13">
                  <c:v>2029</c:v>
                </c:pt>
                <c:pt idx="14">
                  <c:v>2030</c:v>
                </c:pt>
              </c:numCache>
            </c:numRef>
          </c:xVal>
          <c:yVal>
            <c:numRef>
              <c:f>Figuras!$Q$15:$AE$15</c:f>
              <c:numCache>
                <c:formatCode>#,##0</c:formatCode>
                <c:ptCount val="15"/>
                <c:pt idx="0">
                  <c:v>10230.035406831979</c:v>
                </c:pt>
                <c:pt idx="1">
                  <c:v>9984.308040722055</c:v>
                </c:pt>
                <c:pt idx="2">
                  <c:v>10551.71132644418</c:v>
                </c:pt>
                <c:pt idx="3">
                  <c:v>10990.46261834803</c:v>
                </c:pt>
                <c:pt idx="4">
                  <c:v>11763.9154943135</c:v>
                </c:pt>
                <c:pt idx="5">
                  <c:v>12436.2746419305</c:v>
                </c:pt>
                <c:pt idx="6">
                  <c:v>13237.0774820519</c:v>
                </c:pt>
                <c:pt idx="7">
                  <c:v>14003.15506217636</c:v>
                </c:pt>
                <c:pt idx="8">
                  <c:v>14913.47642008947</c:v>
                </c:pt>
                <c:pt idx="9">
                  <c:v>15946.066492242921</c:v>
                </c:pt>
                <c:pt idx="10">
                  <c:v>17067.286905361001</c:v>
                </c:pt>
                <c:pt idx="11">
                  <c:v>18289.851613424809</c:v>
                </c:pt>
                <c:pt idx="12">
                  <c:v>19614.43904221191</c:v>
                </c:pt>
                <c:pt idx="13">
                  <c:v>20815.96537578123</c:v>
                </c:pt>
                <c:pt idx="14">
                  <c:v>22170.86317942906</c:v>
                </c:pt>
              </c:numCache>
            </c:numRef>
          </c:yVal>
          <c:smooth val="0"/>
          <c:extLst>
            <c:ext xmlns:c16="http://schemas.microsoft.com/office/drawing/2014/chart" uri="{C3380CC4-5D6E-409C-BE32-E72D297353CC}">
              <c16:uniqueId val="{00000001-F537-4C46-B01C-D86C55D66C2B}"/>
            </c:ext>
          </c:extLst>
        </c:ser>
        <c:dLbls>
          <c:showLegendKey val="0"/>
          <c:showVal val="0"/>
          <c:showCatName val="0"/>
          <c:showSerName val="0"/>
          <c:showPercent val="0"/>
          <c:showBubbleSize val="0"/>
        </c:dLbls>
        <c:axId val="-2088616584"/>
        <c:axId val="2121611192"/>
      </c:scatterChart>
      <c:valAx>
        <c:axId val="-2088616584"/>
        <c:scaling>
          <c:orientation val="minMax"/>
          <c:max val="2030"/>
        </c:scaling>
        <c:delete val="0"/>
        <c:axPos val="b"/>
        <c:title>
          <c:tx>
            <c:rich>
              <a:bodyPr/>
              <a:lstStyle/>
              <a:p>
                <a:pPr>
                  <a:defRPr/>
                </a:pPr>
                <a:r>
                  <a:rPr lang="es-CL"/>
                  <a:t>Años</a:t>
                </a:r>
              </a:p>
            </c:rich>
          </c:tx>
          <c:layout>
            <c:manualLayout>
              <c:xMode val="edge"/>
              <c:yMode val="edge"/>
              <c:x val="0.51573250218722699"/>
              <c:y val="0.82407407407407396"/>
            </c:manualLayout>
          </c:layout>
          <c:overlay val="0"/>
        </c:title>
        <c:numFmt formatCode="General" sourceLinked="1"/>
        <c:majorTickMark val="none"/>
        <c:minorTickMark val="none"/>
        <c:tickLblPos val="nextTo"/>
        <c:crossAx val="2121611192"/>
        <c:crosses val="autoZero"/>
        <c:crossBetween val="midCat"/>
      </c:valAx>
      <c:valAx>
        <c:axId val="2121611192"/>
        <c:scaling>
          <c:orientation val="minMax"/>
        </c:scaling>
        <c:delete val="0"/>
        <c:axPos val="l"/>
        <c:majorGridlines/>
        <c:title>
          <c:tx>
            <c:rich>
              <a:bodyPr/>
              <a:lstStyle/>
              <a:p>
                <a:pPr>
                  <a:defRPr/>
                </a:pPr>
                <a:r>
                  <a:rPr lang="es-CL"/>
                  <a:t>Millones de dólares</a:t>
                </a:r>
              </a:p>
            </c:rich>
          </c:tx>
          <c:overlay val="0"/>
        </c:title>
        <c:numFmt formatCode="_-* #,##0_-;\-* #,##0_-;_-* &quot;-&quot;??_-;_-@_-" sourceLinked="1"/>
        <c:majorTickMark val="none"/>
        <c:minorTickMark val="none"/>
        <c:tickLblPos val="nextTo"/>
        <c:crossAx val="-2088616584"/>
        <c:crosses val="autoZero"/>
        <c:crossBetween val="midCat"/>
      </c:valAx>
    </c:plotArea>
    <c:legend>
      <c:legendPos val="r"/>
      <c:layout>
        <c:manualLayout>
          <c:xMode val="edge"/>
          <c:yMode val="edge"/>
          <c:x val="0.58888057742782096"/>
          <c:y val="0.56906058617672794"/>
          <c:w val="0.327786089238845"/>
          <c:h val="0.18595290172061801"/>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smoothMarker"/>
        <c:varyColors val="0"/>
        <c:ser>
          <c:idx val="0"/>
          <c:order val="0"/>
          <c:tx>
            <c:strRef>
              <c:f>Figuras!$D$99</c:f>
              <c:strCache>
                <c:ptCount val="1"/>
                <c:pt idx="0">
                  <c:v>Utilidad Programa en Millones de US$</c:v>
                </c:pt>
              </c:strCache>
            </c:strRef>
          </c:tx>
          <c:marker>
            <c:symbol val="none"/>
          </c:marker>
          <c:xVal>
            <c:numRef>
              <c:f>Figuras!$C$100:$C$106</c:f>
              <c:numCache>
                <c:formatCode>General</c:formatCode>
                <c:ptCount val="7"/>
                <c:pt idx="0">
                  <c:v>0</c:v>
                </c:pt>
                <c:pt idx="1">
                  <c:v>4</c:v>
                </c:pt>
                <c:pt idx="2">
                  <c:v>4.53</c:v>
                </c:pt>
                <c:pt idx="3">
                  <c:v>8</c:v>
                </c:pt>
                <c:pt idx="4">
                  <c:v>12</c:v>
                </c:pt>
                <c:pt idx="5">
                  <c:v>16</c:v>
                </c:pt>
                <c:pt idx="6">
                  <c:v>20</c:v>
                </c:pt>
              </c:numCache>
            </c:numRef>
          </c:xVal>
          <c:yVal>
            <c:numRef>
              <c:f>Figuras!$D$100:$D$106</c:f>
              <c:numCache>
                <c:formatCode>_-* #,##0_-;\-* #,##0_-;_-* "-"??_-;_-@_-</c:formatCode>
                <c:ptCount val="7"/>
                <c:pt idx="0">
                  <c:v>8255.239334491409</c:v>
                </c:pt>
                <c:pt idx="1">
                  <c:v>9919.0763845175225</c:v>
                </c:pt>
                <c:pt idx="2">
                  <c:v>10139.53479364598</c:v>
                </c:pt>
                <c:pt idx="3">
                  <c:v>11583</c:v>
                </c:pt>
                <c:pt idx="4">
                  <c:v>13247</c:v>
                </c:pt>
                <c:pt idx="5">
                  <c:v>14911</c:v>
                </c:pt>
                <c:pt idx="6">
                  <c:v>16574</c:v>
                </c:pt>
              </c:numCache>
            </c:numRef>
          </c:yVal>
          <c:smooth val="1"/>
          <c:extLst>
            <c:ext xmlns:c16="http://schemas.microsoft.com/office/drawing/2014/chart" uri="{C3380CC4-5D6E-409C-BE32-E72D297353CC}">
              <c16:uniqueId val="{00000000-AD37-41BF-A2B2-93E41C59B34C}"/>
            </c:ext>
          </c:extLst>
        </c:ser>
        <c:dLbls>
          <c:showLegendKey val="0"/>
          <c:showVal val="0"/>
          <c:showCatName val="0"/>
          <c:showSerName val="0"/>
          <c:showPercent val="0"/>
          <c:showBubbleSize val="0"/>
        </c:dLbls>
        <c:axId val="-2081547160"/>
        <c:axId val="-2085822632"/>
      </c:scatterChart>
      <c:valAx>
        <c:axId val="-2081547160"/>
        <c:scaling>
          <c:orientation val="minMax"/>
          <c:max val="20"/>
        </c:scaling>
        <c:delete val="0"/>
        <c:axPos val="b"/>
        <c:title>
          <c:tx>
            <c:rich>
              <a:bodyPr/>
              <a:lstStyle/>
              <a:p>
                <a:pPr>
                  <a:defRPr/>
                </a:pPr>
                <a:r>
                  <a:rPr lang="es-ES"/>
                  <a:t>Precio Reducción de</a:t>
                </a:r>
                <a:r>
                  <a:rPr lang="es-ES" baseline="0"/>
                  <a:t> Emisiones en $/tonCO2eq</a:t>
                </a:r>
                <a:endParaRPr lang="es-ES"/>
              </a:p>
            </c:rich>
          </c:tx>
          <c:overlay val="0"/>
        </c:title>
        <c:numFmt formatCode="General" sourceLinked="1"/>
        <c:majorTickMark val="out"/>
        <c:minorTickMark val="none"/>
        <c:tickLblPos val="nextTo"/>
        <c:crossAx val="-2085822632"/>
        <c:crosses val="autoZero"/>
        <c:crossBetween val="midCat"/>
        <c:majorUnit val="4"/>
      </c:valAx>
      <c:valAx>
        <c:axId val="-2085822632"/>
        <c:scaling>
          <c:orientation val="minMax"/>
        </c:scaling>
        <c:delete val="0"/>
        <c:axPos val="l"/>
        <c:majorGridlines/>
        <c:numFmt formatCode="General" sourceLinked="0"/>
        <c:majorTickMark val="out"/>
        <c:minorTickMark val="none"/>
        <c:tickLblPos val="nextTo"/>
        <c:crossAx val="-2081547160"/>
        <c:crosses val="autoZero"/>
        <c:crossBetween val="midCat"/>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smoothMarker"/>
        <c:varyColors val="0"/>
        <c:ser>
          <c:idx val="0"/>
          <c:order val="0"/>
          <c:tx>
            <c:strRef>
              <c:f>Figuras!$D$117</c:f>
              <c:strCache>
                <c:ptCount val="1"/>
                <c:pt idx="0">
                  <c:v>Utilidad Programa en Millones de US$</c:v>
                </c:pt>
              </c:strCache>
            </c:strRef>
          </c:tx>
          <c:marker>
            <c:symbol val="none"/>
          </c:marker>
          <c:xVal>
            <c:numRef>
              <c:f>Figuras!$C$118:$C$123</c:f>
              <c:numCache>
                <c:formatCode>0.0%</c:formatCode>
                <c:ptCount val="6"/>
                <c:pt idx="0">
                  <c:v>1.9E-2</c:v>
                </c:pt>
                <c:pt idx="1">
                  <c:v>2.4E-2</c:v>
                </c:pt>
                <c:pt idx="2">
                  <c:v>2.9000000000000001E-2</c:v>
                </c:pt>
                <c:pt idx="3">
                  <c:v>3.4000000000000002E-2</c:v>
                </c:pt>
                <c:pt idx="4">
                  <c:v>3.9E-2</c:v>
                </c:pt>
                <c:pt idx="5">
                  <c:v>4.3999999999999997E-2</c:v>
                </c:pt>
              </c:numCache>
            </c:numRef>
          </c:xVal>
          <c:yVal>
            <c:numRef>
              <c:f>Figuras!$D$118:$D$123</c:f>
              <c:numCache>
                <c:formatCode>General</c:formatCode>
                <c:ptCount val="6"/>
                <c:pt idx="0">
                  <c:v>9942</c:v>
                </c:pt>
                <c:pt idx="1">
                  <c:v>10041</c:v>
                </c:pt>
                <c:pt idx="2">
                  <c:v>10140</c:v>
                </c:pt>
                <c:pt idx="3">
                  <c:v>10238</c:v>
                </c:pt>
                <c:pt idx="4">
                  <c:v>10337</c:v>
                </c:pt>
                <c:pt idx="5">
                  <c:v>10436</c:v>
                </c:pt>
              </c:numCache>
            </c:numRef>
          </c:yVal>
          <c:smooth val="1"/>
          <c:extLst>
            <c:ext xmlns:c16="http://schemas.microsoft.com/office/drawing/2014/chart" uri="{C3380CC4-5D6E-409C-BE32-E72D297353CC}">
              <c16:uniqueId val="{00000000-04DD-46D5-9752-8CFB1689C7DA}"/>
            </c:ext>
          </c:extLst>
        </c:ser>
        <c:dLbls>
          <c:showLegendKey val="0"/>
          <c:showVal val="0"/>
          <c:showCatName val="0"/>
          <c:showSerName val="0"/>
          <c:showPercent val="0"/>
          <c:showBubbleSize val="0"/>
        </c:dLbls>
        <c:axId val="-2118276504"/>
        <c:axId val="-2138023336"/>
      </c:scatterChart>
      <c:valAx>
        <c:axId val="-2118276504"/>
        <c:scaling>
          <c:orientation val="minMax"/>
          <c:max val="4.3999999999999997E-2"/>
          <c:min val="1.9E-2"/>
        </c:scaling>
        <c:delete val="0"/>
        <c:axPos val="b"/>
        <c:title>
          <c:tx>
            <c:rich>
              <a:bodyPr/>
              <a:lstStyle/>
              <a:p>
                <a:pPr>
                  <a:defRPr/>
                </a:pPr>
                <a:r>
                  <a:rPr lang="es-ES"/>
                  <a:t>Tasa de crecimiento</a:t>
                </a:r>
                <a:r>
                  <a:rPr lang="es-ES" baseline="0"/>
                  <a:t> del PIB</a:t>
                </a:r>
                <a:endParaRPr lang="es-ES"/>
              </a:p>
            </c:rich>
          </c:tx>
          <c:overlay val="0"/>
        </c:title>
        <c:numFmt formatCode="0.0%" sourceLinked="1"/>
        <c:majorTickMark val="out"/>
        <c:minorTickMark val="none"/>
        <c:tickLblPos val="nextTo"/>
        <c:crossAx val="-2138023336"/>
        <c:crosses val="autoZero"/>
        <c:crossBetween val="midCat"/>
        <c:majorUnit val="5.0000000000000001E-3"/>
      </c:valAx>
      <c:valAx>
        <c:axId val="-2138023336"/>
        <c:scaling>
          <c:orientation val="minMax"/>
        </c:scaling>
        <c:delete val="0"/>
        <c:axPos val="l"/>
        <c:majorGridlines/>
        <c:title>
          <c:tx>
            <c:rich>
              <a:bodyPr rot="-5400000" vert="horz"/>
              <a:lstStyle/>
              <a:p>
                <a:pPr>
                  <a:defRPr/>
                </a:pPr>
                <a:r>
                  <a:rPr lang="es-ES"/>
                  <a:t>Utilidad de Programa en Millones de Dólares</a:t>
                </a:r>
              </a:p>
            </c:rich>
          </c:tx>
          <c:layout>
            <c:manualLayout>
              <c:xMode val="edge"/>
              <c:yMode val="edge"/>
              <c:x val="3.3333333333333301E-3"/>
              <c:y val="0"/>
            </c:manualLayout>
          </c:layout>
          <c:overlay val="0"/>
        </c:title>
        <c:numFmt formatCode="General" sourceLinked="1"/>
        <c:majorTickMark val="out"/>
        <c:minorTickMark val="none"/>
        <c:tickLblPos val="nextTo"/>
        <c:crossAx val="-2118276504"/>
        <c:crosses val="autoZero"/>
        <c:crossBetween val="midCat"/>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scatterChart>
        <c:scatterStyle val="smoothMarker"/>
        <c:varyColors val="0"/>
        <c:ser>
          <c:idx val="0"/>
          <c:order val="0"/>
          <c:tx>
            <c:strRef>
              <c:f>Figuras!$D$137</c:f>
              <c:strCache>
                <c:ptCount val="1"/>
                <c:pt idx="0">
                  <c:v>Utilidad Programa en Millones de US$</c:v>
                </c:pt>
              </c:strCache>
            </c:strRef>
          </c:tx>
          <c:marker>
            <c:symbol val="none"/>
          </c:marker>
          <c:xVal>
            <c:numRef>
              <c:f>Figuras!$C$138:$C$143</c:f>
              <c:numCache>
                <c:formatCode>0.00%</c:formatCode>
                <c:ptCount val="6"/>
                <c:pt idx="0">
                  <c:v>4.0000000000000001E-3</c:v>
                </c:pt>
                <c:pt idx="1">
                  <c:v>8.9999999999999993E-3</c:v>
                </c:pt>
                <c:pt idx="2">
                  <c:v>1.4E-2</c:v>
                </c:pt>
                <c:pt idx="3">
                  <c:v>1.9E-2</c:v>
                </c:pt>
                <c:pt idx="4">
                  <c:v>2.4E-2</c:v>
                </c:pt>
                <c:pt idx="5">
                  <c:v>2.9000000000000001E-2</c:v>
                </c:pt>
              </c:numCache>
            </c:numRef>
          </c:xVal>
          <c:yVal>
            <c:numRef>
              <c:f>Figuras!$D$138:$D$143</c:f>
              <c:numCache>
                <c:formatCode>General</c:formatCode>
                <c:ptCount val="6"/>
                <c:pt idx="0">
                  <c:v>-4981</c:v>
                </c:pt>
                <c:pt idx="1">
                  <c:v>-121</c:v>
                </c:pt>
                <c:pt idx="2">
                  <c:v>4909</c:v>
                </c:pt>
                <c:pt idx="3">
                  <c:v>10140</c:v>
                </c:pt>
                <c:pt idx="4">
                  <c:v>15599</c:v>
                </c:pt>
                <c:pt idx="5">
                  <c:v>21298</c:v>
                </c:pt>
              </c:numCache>
            </c:numRef>
          </c:yVal>
          <c:smooth val="1"/>
          <c:extLst>
            <c:ext xmlns:c16="http://schemas.microsoft.com/office/drawing/2014/chart" uri="{C3380CC4-5D6E-409C-BE32-E72D297353CC}">
              <c16:uniqueId val="{00000000-481E-40B7-BFEB-CF90E97A2ED7}"/>
            </c:ext>
          </c:extLst>
        </c:ser>
        <c:dLbls>
          <c:showLegendKey val="0"/>
          <c:showVal val="0"/>
          <c:showCatName val="0"/>
          <c:showSerName val="0"/>
          <c:showPercent val="0"/>
          <c:showBubbleSize val="0"/>
        </c:dLbls>
        <c:axId val="2114044152"/>
        <c:axId val="-2081336712"/>
      </c:scatterChart>
      <c:valAx>
        <c:axId val="2114044152"/>
        <c:scaling>
          <c:orientation val="minMax"/>
          <c:max val="2.9000000000000001E-2"/>
          <c:min val="4.0000000000000001E-3"/>
        </c:scaling>
        <c:delete val="0"/>
        <c:axPos val="b"/>
        <c:title>
          <c:tx>
            <c:rich>
              <a:bodyPr/>
              <a:lstStyle/>
              <a:p>
                <a:pPr>
                  <a:defRPr/>
                </a:pPr>
                <a:r>
                  <a:rPr lang="es-ES"/>
                  <a:t>Tasa de reducción del cambio en intensidad</a:t>
                </a:r>
                <a:r>
                  <a:rPr lang="es-ES" baseline="0"/>
                  <a:t> energética</a:t>
                </a:r>
                <a:endParaRPr lang="es-ES"/>
              </a:p>
            </c:rich>
          </c:tx>
          <c:overlay val="0"/>
        </c:title>
        <c:numFmt formatCode="0.00%" sourceLinked="1"/>
        <c:majorTickMark val="out"/>
        <c:minorTickMark val="none"/>
        <c:tickLblPos val="nextTo"/>
        <c:crossAx val="-2081336712"/>
        <c:crosses val="autoZero"/>
        <c:crossBetween val="midCat"/>
        <c:majorUnit val="5.0000000000000001E-3"/>
      </c:valAx>
      <c:valAx>
        <c:axId val="-2081336712"/>
        <c:scaling>
          <c:orientation val="minMax"/>
        </c:scaling>
        <c:delete val="0"/>
        <c:axPos val="l"/>
        <c:majorGridlines/>
        <c:title>
          <c:tx>
            <c:rich>
              <a:bodyPr rot="-5400000" vert="horz"/>
              <a:lstStyle/>
              <a:p>
                <a:pPr>
                  <a:defRPr/>
                </a:pPr>
                <a:r>
                  <a:rPr lang="es-ES"/>
                  <a:t>Utilidad de Programa en Millones de Dólares</a:t>
                </a:r>
              </a:p>
            </c:rich>
          </c:tx>
          <c:overlay val="0"/>
        </c:title>
        <c:numFmt formatCode="General" sourceLinked="1"/>
        <c:majorTickMark val="out"/>
        <c:minorTickMark val="none"/>
        <c:tickLblPos val="nextTo"/>
        <c:crossAx val="2114044152"/>
        <c:crossesAt val="4.0000000000000001E-3"/>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AFE1C1AA6E314EB95F751642D94F05" ma:contentTypeVersion="33" ma:contentTypeDescription="A content type to manage public (operations) IDB documents" ma:contentTypeScope="" ma:versionID="c9cd6daa088a0e63932582e8f21724c7">
  <xsd:schema xmlns:xsd="http://www.w3.org/2001/XMLSchema" xmlns:xs="http://www.w3.org/2001/XMLSchema" xmlns:p="http://schemas.microsoft.com/office/2006/metadata/properties" xmlns:ns2="cdc7663a-08f0-4737-9e8c-148ce897a09c" targetNamespace="http://schemas.microsoft.com/office/2006/metadata/properties" ma:root="true" ma:fieldsID="aabbb6792aead3024e7e7b1ca72a9ee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ME-L126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4501/OC-ME;</Approval_x0020_Number>
    <Phase xmlns="cdc7663a-08f0-4737-9e8c-148ce897a09c">ACTIVE</Phas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EFFICIENCY AND RENEWABLE ENERGY IN END USE</TermName>
          <TermId xmlns="http://schemas.microsoft.com/office/infopath/2007/PartnerControls">ab88142a-aa14-42df-80f4-969425d6f976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19</Value>
      <Value>65</Value>
      <Value>24</Value>
      <Value>2</Value>
      <Value>64</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ME-L1264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R0000998953</Record_x0020_Number>
    <_dlc_DocId xmlns="cdc7663a-08f0-4737-9e8c-148ce897a09c">EZSHARE-929407820-18</_dlc_DocId>
    <_dlc_DocIdUrl xmlns="cdc7663a-08f0-4737-9e8c-148ce897a09c">
      <Url>https://idbg.sharepoint.com/teams/EZ-ME-LON/ME-L1264/_layouts/15/DocIdRedir.aspx?ID=EZSHARE-929407820-18</Url>
      <Description>EZSHARE-929407820-18</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8CA3D-204C-40D3-8165-59FEA12082E5}">
  <ds:schemaRefs>
    <ds:schemaRef ds:uri="http://schemas.microsoft.com/sharepoint/v3/contenttype/forms"/>
  </ds:schemaRefs>
</ds:datastoreItem>
</file>

<file path=customXml/itemProps2.xml><?xml version="1.0" encoding="utf-8"?>
<ds:datastoreItem xmlns:ds="http://schemas.openxmlformats.org/officeDocument/2006/customXml" ds:itemID="{10E721D8-ADA6-464F-95CF-7AD6C7242135}">
  <ds:schemaRefs>
    <ds:schemaRef ds:uri="http://schemas.microsoft.com/sharepoint/events"/>
  </ds:schemaRefs>
</ds:datastoreItem>
</file>

<file path=customXml/itemProps3.xml><?xml version="1.0" encoding="utf-8"?>
<ds:datastoreItem xmlns:ds="http://schemas.openxmlformats.org/officeDocument/2006/customXml" ds:itemID="{D45F07DD-D6AF-44C8-96A1-D5F1DA86C77D}"/>
</file>

<file path=customXml/itemProps4.xml><?xml version="1.0" encoding="utf-8"?>
<ds:datastoreItem xmlns:ds="http://schemas.openxmlformats.org/officeDocument/2006/customXml" ds:itemID="{DA83A2C3-A6CB-4805-A63C-6FE169783D03}"/>
</file>

<file path=customXml/itemProps5.xml><?xml version="1.0" encoding="utf-8"?>
<ds:datastoreItem xmlns:ds="http://schemas.openxmlformats.org/officeDocument/2006/customXml" ds:itemID="{183DAACE-F3C8-403A-9311-DA20F5B0C02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520BE37A-8421-421F-B471-3FF3E3B7EC5A}"/>
</file>

<file path=customXml/itemProps7.xml><?xml version="1.0" encoding="utf-8"?>
<ds:datastoreItem xmlns:ds="http://schemas.openxmlformats.org/officeDocument/2006/customXml" ds:itemID="{0FEE8153-4CD3-4CCD-96FD-9A6A5A4E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33</Pages>
  <Words>7848</Words>
  <Characters>44734</Characters>
  <Application>Microsoft Office Word</Application>
  <DocSecurity>0</DocSecurity>
  <Lines>372</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Carriquiry</dc:creator>
  <cp:keywords/>
  <cp:lastModifiedBy>Urteaga Dufour, Jose Antonio</cp:lastModifiedBy>
  <cp:revision>10</cp:revision>
  <cp:lastPrinted>2017-05-21T15:19:00Z</cp:lastPrinted>
  <dcterms:created xsi:type="dcterms:W3CDTF">2017-07-20T16:22:00Z</dcterms:created>
  <dcterms:modified xsi:type="dcterms:W3CDTF">2018-02-12T19:11:00Z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65;#ENERGY EFFICIENCY AND RENEWABLE ENERGY IN END USE|ab88142a-aa14-42df-80f4-969425d6f976</vt:lpwstr>
  </property>
  <property fmtid="{D5CDD505-2E9C-101B-9397-08002B2CF9AE}" pid="7" name="Fund IDB">
    <vt:lpwstr>24;#ORC|c028a4b2-ad8b-4cf4-9cac-a2ae6a778e23</vt:lpwstr>
  </property>
  <property fmtid="{D5CDD505-2E9C-101B-9397-08002B2CF9AE}" pid="8" name="Country">
    <vt:lpwstr>19;#Mexico|0eba6470-e7ea-46fd-a959-d4c243acaf26</vt:lpwstr>
  </property>
  <property fmtid="{D5CDD505-2E9C-101B-9397-08002B2CF9AE}" pid="9" name="Sector IDB">
    <vt:lpwstr>64;#ENERGY|4fed196a-cd0b-4970-87de-42da17f9b203</vt:lpwstr>
  </property>
  <property fmtid="{D5CDD505-2E9C-101B-9397-08002B2CF9AE}" pid="10" name="Function Operations IDB">
    <vt:lpwstr>2;#Monitoring and Reporting|df3c2aa1-d63e-41aa-b1f5-bb15dee691ca</vt:lpwstr>
  </property>
  <property fmtid="{D5CDD505-2E9C-101B-9397-08002B2CF9AE}" pid="11" name="_dlc_DocIdItemGuid">
    <vt:lpwstr>620cc9fd-6eff-4280-ab0d-c9d8c3c055bb</vt:lpwstr>
  </property>
  <property fmtid="{D5CDD505-2E9C-101B-9397-08002B2CF9AE}" pid="12" name="RecordPoint_ActiveItemMoved">
    <vt:lpwstr>/teams/EZ-ME-LON/ME-L1264/15 LifeCycle Milestones/Draft Area/Analisis Economico del Proyecto.docx</vt:lpwstr>
  </property>
  <property fmtid="{D5CDD505-2E9C-101B-9397-08002B2CF9AE}" pid="13" name="RecordStorageActiveId">
    <vt:lpwstr>34df5c6a-a787-4b3d-8644-5741e6a586b8</vt:lpwstr>
  </property>
  <property fmtid="{D5CDD505-2E9C-101B-9397-08002B2CF9AE}" pid="14" name="Disclosure Activity">
    <vt:lpwstr>Loan Proposal</vt:lpwstr>
  </property>
  <property fmtid="{D5CDD505-2E9C-101B-9397-08002B2CF9AE}" pid="15" name="ContentTypeId">
    <vt:lpwstr>0x0101001A458A224826124E8B45B1D613300CFC009CAFE1C1AA6E314EB95F751642D94F05</vt:lpwstr>
  </property>
</Properties>
</file>