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5A459" w14:textId="77777777" w:rsidR="007E0583" w:rsidRPr="00993D6B" w:rsidRDefault="007E0583" w:rsidP="00B87D8B">
      <w:pPr>
        <w:jc w:val="center"/>
        <w:rPr>
          <w:rFonts w:ascii="Arial" w:hAnsi="Arial" w:cs="Arial"/>
          <w:b/>
          <w:lang w:val="es-ES_tradnl"/>
        </w:rPr>
      </w:pPr>
    </w:p>
    <w:p w14:paraId="09CED1D0" w14:textId="4316A789" w:rsidR="005749E9" w:rsidRPr="00A404AA" w:rsidRDefault="78C0BD4D" w:rsidP="78C0BD4D">
      <w:pPr>
        <w:jc w:val="center"/>
        <w:rPr>
          <w:rStyle w:val="IntenseReference"/>
          <w:rFonts w:ascii="Arial" w:hAnsi="Arial" w:cs="Arial"/>
          <w:color w:val="auto"/>
        </w:rPr>
      </w:pPr>
      <w:r w:rsidRPr="78C0BD4D">
        <w:rPr>
          <w:rStyle w:val="IntenseReference"/>
          <w:rFonts w:ascii="Arial" w:hAnsi="Arial" w:cs="Arial"/>
          <w:color w:val="auto"/>
        </w:rPr>
        <w:t>Matriz de Resultados</w:t>
      </w:r>
      <w:bookmarkStart w:id="0" w:name="_GoBack"/>
      <w:bookmarkEnd w:id="0"/>
    </w:p>
    <w:p w14:paraId="5E53C61E" w14:textId="77777777" w:rsidR="00895318" w:rsidRPr="00993D6B" w:rsidRDefault="00895318" w:rsidP="00B87D8B">
      <w:pPr>
        <w:jc w:val="center"/>
        <w:rPr>
          <w:rFonts w:ascii="Arial" w:hAnsi="Arial" w:cs="Arial"/>
          <w:b/>
        </w:rPr>
      </w:pPr>
    </w:p>
    <w:tbl>
      <w:tblPr>
        <w:tblW w:w="130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7"/>
        <w:gridCol w:w="10260"/>
      </w:tblGrid>
      <w:tr w:rsidR="0023169F" w:rsidRPr="002D5240" w14:paraId="447372B6" w14:textId="77777777" w:rsidTr="78C0BD4D">
        <w:trPr>
          <w:trHeight w:val="1827"/>
        </w:trPr>
        <w:tc>
          <w:tcPr>
            <w:tcW w:w="2767" w:type="dxa"/>
            <w:vAlign w:val="center"/>
          </w:tcPr>
          <w:p w14:paraId="4EE45785" w14:textId="77777777" w:rsidR="0023169F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Objetivo</w:t>
            </w:r>
          </w:p>
        </w:tc>
        <w:tc>
          <w:tcPr>
            <w:tcW w:w="10260" w:type="dxa"/>
            <w:vAlign w:val="center"/>
          </w:tcPr>
          <w:p w14:paraId="44E947C7" w14:textId="448BC2A5" w:rsidR="00CF09AD" w:rsidRPr="00993D6B" w:rsidRDefault="00935518" w:rsidP="78C0BD4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Reconocer las acciones que c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ontribu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yen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 la seguridad de</w:t>
            </w:r>
            <w:r w:rsidR="002D5240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suministro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de energía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y a la sostenibilidad del sector energético mexicano. Los objetivos específicos son: (i) fortalecer a las instituciones del sector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de energía 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en materia de regulación, generación de información, planeación, operación, y de coordinación; (ii) asegurar el suministro de 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as 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atural (GN)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y la expansión de la red nacional de gasoductos;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iii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) reducir las pérdidas de energía eléctrica en distribución;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i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v) contribuir a la reducción de emisiones de Gases de Efecto Invernadero (GEI), mediante la promoción del uso de tecnologías y combustibles más limpios en la generación de energía eléctrica, y la implementación de medidas de Eficiencia Energética (EE); y (v) cerrar la brecha de acceso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al servicio de energía e</w:t>
            </w:r>
            <w:r w:rsidR="78C0BD4D" w:rsidRPr="78C0BD4D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léctrica en comunidades rurales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 y zonas urbanas marginadas de manera sostenible. </w:t>
            </w:r>
          </w:p>
        </w:tc>
      </w:tr>
    </w:tbl>
    <w:p w14:paraId="1C048CA8" w14:textId="77777777" w:rsidR="000072AB" w:rsidRPr="00A404AA" w:rsidRDefault="000072AB" w:rsidP="00B87D8B">
      <w:pPr>
        <w:jc w:val="center"/>
        <w:rPr>
          <w:rFonts w:ascii="Arial" w:hAnsi="Arial" w:cs="Arial"/>
          <w:lang w:val="es-ES_tradnl"/>
        </w:rPr>
      </w:pPr>
    </w:p>
    <w:p w14:paraId="7594C904" w14:textId="77777777" w:rsidR="00895318" w:rsidRPr="00993D6B" w:rsidRDefault="00895318" w:rsidP="00B87D8B">
      <w:pPr>
        <w:jc w:val="center"/>
        <w:rPr>
          <w:rFonts w:ascii="Arial" w:hAnsi="Arial" w:cs="Arial"/>
          <w:b/>
          <w:lang w:val="es-CO"/>
        </w:rPr>
      </w:pPr>
    </w:p>
    <w:tbl>
      <w:tblPr>
        <w:tblW w:w="130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7"/>
        <w:gridCol w:w="3510"/>
        <w:gridCol w:w="1260"/>
        <w:gridCol w:w="1260"/>
        <w:gridCol w:w="2610"/>
      </w:tblGrid>
      <w:tr w:rsidR="00F62C73" w:rsidRPr="00973190" w14:paraId="7752532A" w14:textId="77777777" w:rsidTr="78C0BD4D">
        <w:trPr>
          <w:trHeight w:val="142"/>
          <w:tblHeader/>
        </w:trPr>
        <w:tc>
          <w:tcPr>
            <w:tcW w:w="4387" w:type="dxa"/>
            <w:vMerge w:val="restart"/>
            <w:shd w:val="clear" w:color="auto" w:fill="auto"/>
            <w:vAlign w:val="center"/>
          </w:tcPr>
          <w:p w14:paraId="1E165157" w14:textId="31A1445E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Impacto</w:t>
            </w:r>
          </w:p>
        </w:tc>
        <w:tc>
          <w:tcPr>
            <w:tcW w:w="3510" w:type="dxa"/>
            <w:vMerge w:val="restart"/>
            <w:shd w:val="clear" w:color="auto" w:fill="auto"/>
            <w:vAlign w:val="center"/>
          </w:tcPr>
          <w:p w14:paraId="593B46C7" w14:textId="4EC5167C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Indicador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5D5D847C" w14:textId="64873F80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Al 2030</w:t>
            </w:r>
          </w:p>
        </w:tc>
        <w:tc>
          <w:tcPr>
            <w:tcW w:w="2610" w:type="dxa"/>
            <w:vMerge w:val="restart"/>
            <w:shd w:val="clear" w:color="auto" w:fill="auto"/>
            <w:vAlign w:val="center"/>
          </w:tcPr>
          <w:p w14:paraId="67B073AB" w14:textId="03F79486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Medios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verificación/Responsable</w:t>
            </w:r>
          </w:p>
        </w:tc>
      </w:tr>
      <w:tr w:rsidR="00F62C73" w:rsidRPr="00973190" w14:paraId="26363D07" w14:textId="77777777" w:rsidTr="78C0BD4D">
        <w:trPr>
          <w:trHeight w:val="142"/>
          <w:tblHeader/>
        </w:trPr>
        <w:tc>
          <w:tcPr>
            <w:tcW w:w="4387" w:type="dxa"/>
            <w:vMerge/>
            <w:shd w:val="pct25" w:color="auto" w:fill="auto"/>
            <w:vAlign w:val="center"/>
          </w:tcPr>
          <w:p w14:paraId="67F0A34D" w14:textId="5B99AD7C" w:rsidR="00F62C73" w:rsidRPr="00993D6B" w:rsidRDefault="00F62C73" w:rsidP="004B1B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0" w:type="dxa"/>
            <w:vMerge/>
            <w:shd w:val="pct25" w:color="auto" w:fill="auto"/>
            <w:vAlign w:val="center"/>
          </w:tcPr>
          <w:p w14:paraId="15B59CC3" w14:textId="76B311F7" w:rsidR="00F62C73" w:rsidRPr="00993D6B" w:rsidRDefault="00F62C73" w:rsidP="004B1B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34BABDE" w14:textId="4E5856F2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Línea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base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DBE702" w14:textId="70A08341" w:rsidR="00F62C73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Meta</w:t>
            </w:r>
          </w:p>
        </w:tc>
        <w:tc>
          <w:tcPr>
            <w:tcW w:w="2610" w:type="dxa"/>
            <w:vMerge/>
            <w:shd w:val="pct25" w:color="auto" w:fill="auto"/>
            <w:vAlign w:val="center"/>
          </w:tcPr>
          <w:p w14:paraId="593A21F9" w14:textId="600D941A" w:rsidR="00F62C73" w:rsidRPr="00993D6B" w:rsidRDefault="00F62C73" w:rsidP="004B1B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1B1C" w:rsidRPr="00973190" w14:paraId="549BD13A" w14:textId="77777777" w:rsidTr="78C0BD4D">
        <w:trPr>
          <w:trHeight w:val="142"/>
        </w:trPr>
        <w:tc>
          <w:tcPr>
            <w:tcW w:w="4387" w:type="dxa"/>
            <w:vAlign w:val="center"/>
          </w:tcPr>
          <w:p w14:paraId="0C43BE58" w14:textId="58D818B1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Reducción de emisiones de CO</w:t>
            </w:r>
            <w:r w:rsidRPr="78C0BD4D">
              <w:rPr>
                <w:rFonts w:ascii="Arial" w:hAnsi="Arial" w:cs="Arial"/>
                <w:sz w:val="18"/>
                <w:szCs w:val="18"/>
                <w:vertAlign w:val="subscript"/>
                <w:lang w:val="es-ES"/>
              </w:rPr>
              <w:t>2.</w:t>
            </w: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 xml:space="preserve">e, del sector eléctrico. </w:t>
            </w:r>
          </w:p>
        </w:tc>
        <w:tc>
          <w:tcPr>
            <w:tcW w:w="3510" w:type="dxa"/>
            <w:vAlign w:val="center"/>
          </w:tcPr>
          <w:p w14:paraId="1DE9EC98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>Emisiones de CO</w:t>
            </w:r>
            <w:r w:rsidRPr="78C0BD4D">
              <w:rPr>
                <w:rFonts w:ascii="Arial" w:hAnsi="Arial" w:cs="Arial"/>
                <w:sz w:val="18"/>
                <w:szCs w:val="18"/>
                <w:vertAlign w:val="subscript"/>
                <w:lang w:val="es-AR"/>
              </w:rPr>
              <w:t>2</w:t>
            </w: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 xml:space="preserve"> anuales (MTon eq. CO</w:t>
            </w:r>
            <w:r w:rsidRPr="78C0BD4D">
              <w:rPr>
                <w:rFonts w:ascii="Arial" w:hAnsi="Arial" w:cs="Arial"/>
                <w:sz w:val="18"/>
                <w:szCs w:val="18"/>
                <w:vertAlign w:val="subscript"/>
                <w:lang w:val="es-AR"/>
              </w:rPr>
              <w:t>2</w:t>
            </w: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>).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2646A8" w14:textId="7B1B8B9F" w:rsidR="004B1B1C" w:rsidRPr="00993D6B" w:rsidRDefault="00F62C73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AR"/>
              </w:rPr>
              <w:t>202</w:t>
            </w:r>
            <w:r w:rsidR="004B1B1C" w:rsidRPr="00993D6B">
              <w:rPr>
                <w:rStyle w:val="FootnoteReference"/>
                <w:rFonts w:ascii="Arial" w:hAnsi="Arial" w:cs="Arial"/>
                <w:sz w:val="18"/>
                <w:szCs w:val="18"/>
                <w:lang w:val="es-AR"/>
              </w:rPr>
              <w:footnoteReference w:id="1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17160CB" w14:textId="09FB423D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139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759B0357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Inventario de Emisiones de Gases de Efecto Invernadero</w:t>
            </w:r>
          </w:p>
          <w:p w14:paraId="56DC1844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Instituto Nacional de Ecología y Cambio Climático (INECC)</w:t>
            </w:r>
          </w:p>
        </w:tc>
      </w:tr>
    </w:tbl>
    <w:p w14:paraId="78B686D1" w14:textId="77777777" w:rsidR="000072AB" w:rsidRPr="00993D6B" w:rsidRDefault="000072AB" w:rsidP="00B87D8B">
      <w:pPr>
        <w:jc w:val="center"/>
        <w:rPr>
          <w:rFonts w:ascii="Arial" w:hAnsi="Arial" w:cs="Arial"/>
          <w:b/>
          <w:lang w:val="es-ES_tradnl"/>
        </w:rPr>
      </w:pPr>
    </w:p>
    <w:tbl>
      <w:tblPr>
        <w:tblW w:w="130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3"/>
        <w:gridCol w:w="3634"/>
        <w:gridCol w:w="1069"/>
        <w:gridCol w:w="1142"/>
        <w:gridCol w:w="2919"/>
      </w:tblGrid>
      <w:tr w:rsidR="00487272" w:rsidRPr="00973190" w14:paraId="770458DD" w14:textId="77777777" w:rsidTr="78C0BD4D">
        <w:trPr>
          <w:trHeight w:val="142"/>
          <w:tblHeader/>
        </w:trPr>
        <w:tc>
          <w:tcPr>
            <w:tcW w:w="4263" w:type="dxa"/>
            <w:shd w:val="clear" w:color="auto" w:fill="auto"/>
            <w:vAlign w:val="center"/>
          </w:tcPr>
          <w:p w14:paraId="0D5EFD95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494009922"/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10330823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Indicador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10CBD360" w14:textId="2E93FD98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Línea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base (2015)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7678C73D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Meta</w:t>
            </w:r>
          </w:p>
          <w:p w14:paraId="1280664D" w14:textId="44448E58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(201</w:t>
            </w:r>
            <w:r w:rsidR="00745F2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62E14441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Medios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r w:rsidRPr="78C0BD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verificación/Responsable</w:t>
            </w:r>
          </w:p>
        </w:tc>
      </w:tr>
      <w:tr w:rsidR="004B1B1C" w:rsidRPr="00973190" w14:paraId="1EB07975" w14:textId="77777777" w:rsidTr="78C0BD4D">
        <w:trPr>
          <w:trHeight w:val="142"/>
        </w:trPr>
        <w:tc>
          <w:tcPr>
            <w:tcW w:w="13027" w:type="dxa"/>
            <w:gridSpan w:val="5"/>
            <w:tcBorders>
              <w:bottom w:val="single" w:sz="4" w:space="0" w:color="auto"/>
            </w:tcBorders>
            <w:vAlign w:val="center"/>
          </w:tcPr>
          <w:p w14:paraId="7CD1FBA9" w14:textId="77777777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I. Marco General de Políticos Macroeconómicas</w:t>
            </w:r>
          </w:p>
        </w:tc>
      </w:tr>
      <w:tr w:rsidR="004B1B1C" w:rsidRPr="002D5240" w14:paraId="7B2BE03D" w14:textId="77777777" w:rsidTr="78C0BD4D">
        <w:trPr>
          <w:trHeight w:val="142"/>
        </w:trPr>
        <w:tc>
          <w:tcPr>
            <w:tcW w:w="4263" w:type="dxa"/>
            <w:shd w:val="clear" w:color="auto" w:fill="auto"/>
            <w:vAlign w:val="center"/>
          </w:tcPr>
          <w:p w14:paraId="7330491B" w14:textId="77777777" w:rsidR="004B1B1C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1E717537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Opinión técnica FMI - Marco macroeconómico estable.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01AA81BF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054029CC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09902D70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Consulta Artículo IV del FMI</w:t>
            </w:r>
          </w:p>
        </w:tc>
      </w:tr>
      <w:tr w:rsidR="004B1B1C" w:rsidRPr="002D5240" w14:paraId="76E15783" w14:textId="77777777" w:rsidTr="78C0BD4D">
        <w:trPr>
          <w:trHeight w:val="324"/>
        </w:trPr>
        <w:tc>
          <w:tcPr>
            <w:tcW w:w="13027" w:type="dxa"/>
            <w:gridSpan w:val="5"/>
            <w:shd w:val="clear" w:color="auto" w:fill="auto"/>
            <w:vAlign w:val="center"/>
          </w:tcPr>
          <w:p w14:paraId="5D468ECE" w14:textId="61B2CD9E" w:rsidR="004B1B1C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II. </w:t>
            </w:r>
            <w:r w:rsidR="002A066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Marco </w:t>
            </w: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Institucional</w:t>
            </w:r>
            <w:r w:rsidR="002A0665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 del Sector</w:t>
            </w:r>
            <w:r w:rsidR="007C26E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 de Energía</w:t>
            </w:r>
          </w:p>
        </w:tc>
      </w:tr>
      <w:tr w:rsidR="004B1B1C" w:rsidRPr="00973190" w14:paraId="2BBEAD26" w14:textId="77777777" w:rsidTr="78C0BD4D">
        <w:trPr>
          <w:trHeight w:val="142"/>
        </w:trPr>
        <w:tc>
          <w:tcPr>
            <w:tcW w:w="4263" w:type="dxa"/>
            <w:shd w:val="clear" w:color="auto" w:fill="auto"/>
            <w:vAlign w:val="center"/>
          </w:tcPr>
          <w:p w14:paraId="3DE74542" w14:textId="7E7479F2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bookmarkStart w:id="2" w:name="_Hlk484522585"/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Municipios apoyados con asistencia técnica en materia de eficiencia</w:t>
            </w:r>
            <w:r w:rsidRPr="78C0BD4D">
              <w:rPr>
                <w:rFonts w:ascii="Arial" w:hAnsi="Arial" w:cs="Arial"/>
                <w:lang w:val="es-ES"/>
              </w:rPr>
              <w:t> 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energética en los servicios públicos de su competencia. </w:t>
            </w:r>
            <w:bookmarkEnd w:id="2"/>
          </w:p>
        </w:tc>
        <w:tc>
          <w:tcPr>
            <w:tcW w:w="3634" w:type="dxa"/>
            <w:shd w:val="clear" w:color="auto" w:fill="auto"/>
            <w:vAlign w:val="center"/>
          </w:tcPr>
          <w:p w14:paraId="6C58DACD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Municipios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7CEE4E8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750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47306AA1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1,500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27776DDE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PRONASE</w:t>
            </w:r>
          </w:p>
        </w:tc>
      </w:tr>
      <w:tr w:rsidR="004B1B1C" w:rsidRPr="00973190" w14:paraId="6157D21B" w14:textId="77777777" w:rsidTr="78C0BD4D">
        <w:trPr>
          <w:trHeight w:val="369"/>
        </w:trPr>
        <w:tc>
          <w:tcPr>
            <w:tcW w:w="13027" w:type="dxa"/>
            <w:gridSpan w:val="5"/>
            <w:shd w:val="clear" w:color="auto" w:fill="auto"/>
            <w:vAlign w:val="center"/>
          </w:tcPr>
          <w:p w14:paraId="4D0559EE" w14:textId="77777777" w:rsidR="004B1B1C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III. Seguridad Energética</w:t>
            </w:r>
          </w:p>
        </w:tc>
      </w:tr>
      <w:tr w:rsidR="004B1B1C" w:rsidRPr="002D5240" w14:paraId="0F440B49" w14:textId="77777777" w:rsidTr="78C0BD4D">
        <w:trPr>
          <w:trHeight w:val="441"/>
        </w:trPr>
        <w:tc>
          <w:tcPr>
            <w:tcW w:w="4263" w:type="dxa"/>
            <w:shd w:val="clear" w:color="auto" w:fill="auto"/>
            <w:vAlign w:val="center"/>
          </w:tcPr>
          <w:p w14:paraId="01243D10" w14:textId="56D5F4D8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bookmarkStart w:id="3" w:name="_Hlk484522626"/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Expansión de la red nacional de gasoductos. </w:t>
            </w:r>
            <w:bookmarkEnd w:id="3"/>
          </w:p>
        </w:tc>
        <w:tc>
          <w:tcPr>
            <w:tcW w:w="3634" w:type="dxa"/>
            <w:shd w:val="clear" w:color="auto" w:fill="auto"/>
            <w:vAlign w:val="center"/>
          </w:tcPr>
          <w:p w14:paraId="66474DD3" w14:textId="77777777" w:rsidR="004B1B1C" w:rsidRPr="00993D6B" w:rsidRDefault="004B1B1C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/>
                <w:sz w:val="18"/>
                <w:szCs w:val="18"/>
                <w:lang w:val="es-ES"/>
              </w:rPr>
              <w:t>Kilómetros de gasoductos.</w:t>
            </w:r>
            <w:r w:rsidR="003B64C9" w:rsidRPr="78C0BD4D">
              <w:rPr>
                <w:rStyle w:val="FootnoteReference"/>
                <w:rFonts w:ascii="Arial" w:hAnsi="Arial" w:cs="Arial"/>
                <w:color w:val="000000"/>
                <w:sz w:val="18"/>
                <w:szCs w:val="18"/>
                <w:lang w:val="es-ES"/>
              </w:rPr>
              <w:footnoteReference w:id="2"/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58818EA3" w14:textId="5D3C0211" w:rsidR="00272978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14.785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0AE27F9D" w14:textId="77777777" w:rsidR="004B1B1C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19.414</w:t>
            </w:r>
          </w:p>
          <w:p w14:paraId="7D49F999" w14:textId="4893659B" w:rsidR="00745F2F" w:rsidRPr="00993D6B" w:rsidRDefault="00745F2F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(2019)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19F9627D" w14:textId="0695FF78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Informe de revisión anual del Plan Quinquenal de Expansión del </w:t>
            </w:r>
            <w:r w:rsidR="005217A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Sistema de 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Trans</w:t>
            </w:r>
            <w:r w:rsidR="005217A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porte y Almacenamiento N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acional 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lastRenderedPageBreak/>
              <w:t xml:space="preserve">Integrado de </w:t>
            </w:r>
            <w:r w:rsidR="005217A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G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as </w:t>
            </w:r>
            <w:r w:rsidR="005217A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N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atural 2015-2019</w:t>
            </w:r>
            <w:r w:rsidR="005217A3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.</w:t>
            </w:r>
          </w:p>
        </w:tc>
      </w:tr>
      <w:tr w:rsidR="004B1B1C" w:rsidRPr="00745F2F" w14:paraId="0EDB9CB8" w14:textId="77777777" w:rsidTr="78C0BD4D">
        <w:trPr>
          <w:trHeight w:val="142"/>
        </w:trPr>
        <w:tc>
          <w:tcPr>
            <w:tcW w:w="4263" w:type="dxa"/>
            <w:shd w:val="clear" w:color="auto" w:fill="auto"/>
            <w:vAlign w:val="center"/>
          </w:tcPr>
          <w:p w14:paraId="4071BA00" w14:textId="34FDCB18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bookmarkStart w:id="4" w:name="_Hlk484522659"/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Reducción de las pérdidas de energía eléctrica en distribución.</w:t>
            </w:r>
            <w:bookmarkEnd w:id="4"/>
          </w:p>
        </w:tc>
        <w:tc>
          <w:tcPr>
            <w:tcW w:w="3634" w:type="dxa"/>
            <w:shd w:val="clear" w:color="auto" w:fill="auto"/>
            <w:vAlign w:val="center"/>
          </w:tcPr>
          <w:p w14:paraId="65F95A9B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Porcentaje de pérdidas de energía eléctrica (%)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06DD0D5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13.1%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2FF1402A" w14:textId="1515AFB2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10</w:t>
            </w:r>
            <w:r w:rsidR="00745F2F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 xml:space="preserve">% 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55375B5B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Programa de Desarrollo del Sector Eléctrico Nacional</w:t>
            </w:r>
          </w:p>
          <w:p w14:paraId="47B89291" w14:textId="356439ED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SENER</w:t>
            </w:r>
            <w:r w:rsidR="00097037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.</w:t>
            </w:r>
          </w:p>
        </w:tc>
      </w:tr>
      <w:tr w:rsidR="004B1B1C" w:rsidRPr="002D5240" w14:paraId="262D8924" w14:textId="77777777" w:rsidTr="78C0BD4D">
        <w:trPr>
          <w:trHeight w:val="486"/>
        </w:trPr>
        <w:tc>
          <w:tcPr>
            <w:tcW w:w="13027" w:type="dxa"/>
            <w:gridSpan w:val="5"/>
            <w:shd w:val="clear" w:color="auto" w:fill="auto"/>
            <w:vAlign w:val="center"/>
          </w:tcPr>
          <w:p w14:paraId="1A1802BB" w14:textId="77777777" w:rsidR="004B1B1C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IV.  Aprovechamiento Sustentable de la Energía</w:t>
            </w:r>
          </w:p>
        </w:tc>
      </w:tr>
      <w:tr w:rsidR="004B1B1C" w:rsidRPr="002D5240" w14:paraId="1D809FFF" w14:textId="77777777" w:rsidTr="78C0BD4D">
        <w:trPr>
          <w:trHeight w:val="481"/>
        </w:trPr>
        <w:tc>
          <w:tcPr>
            <w:tcW w:w="4263" w:type="dxa"/>
            <w:shd w:val="clear" w:color="auto" w:fill="auto"/>
            <w:vAlign w:val="center"/>
          </w:tcPr>
          <w:p w14:paraId="71D3A39B" w14:textId="7C01FE73" w:rsidR="004B1B1C" w:rsidRPr="00993D6B" w:rsidRDefault="00745F2F" w:rsidP="78C0BD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bookmarkStart w:id="5" w:name="_Hlk484522704"/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Disminución </w:t>
            </w:r>
            <w:r w:rsidR="78C0BD4D" w:rsidRPr="78C0BD4D">
              <w:rPr>
                <w:rFonts w:ascii="Arial" w:hAnsi="Arial" w:cs="Arial"/>
                <w:sz w:val="18"/>
                <w:szCs w:val="18"/>
                <w:lang w:val="es-ES"/>
              </w:rPr>
              <w:t>de la intensidad energética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del consumo final</w:t>
            </w:r>
            <w:r w:rsidR="78C0BD4D" w:rsidRPr="78C0BD4D">
              <w:rPr>
                <w:rFonts w:ascii="Arial" w:hAnsi="Arial" w:cs="Arial"/>
                <w:sz w:val="18"/>
                <w:szCs w:val="18"/>
                <w:lang w:val="es-ES"/>
              </w:rPr>
              <w:t xml:space="preserve">. 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5F385F74" w14:textId="35E450EC" w:rsidR="004B1B1C" w:rsidRPr="00993D6B" w:rsidRDefault="00A8594A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AR"/>
              </w:rPr>
              <w:t>Porcentaje</w:t>
            </w:r>
            <w:r w:rsidR="00CF4352">
              <w:rPr>
                <w:rFonts w:ascii="Arial" w:hAnsi="Arial" w:cs="Arial"/>
                <w:sz w:val="18"/>
                <w:szCs w:val="18"/>
                <w:lang w:val="es-AR"/>
              </w:rPr>
              <w:t xml:space="preserve"> de disminución de i</w:t>
            </w:r>
            <w:r w:rsidR="004B1B1C" w:rsidRPr="00993D6B">
              <w:rPr>
                <w:rFonts w:ascii="Arial" w:hAnsi="Arial" w:cs="Arial"/>
                <w:sz w:val="18"/>
                <w:szCs w:val="18"/>
                <w:lang w:val="es-AR"/>
              </w:rPr>
              <w:t>ntensidad energética</w:t>
            </w:r>
            <w:r w:rsidR="00694B88" w:rsidRPr="00993D6B">
              <w:rPr>
                <w:rStyle w:val="FootnoteReference"/>
                <w:rFonts w:ascii="Arial" w:hAnsi="Arial" w:cs="Arial"/>
                <w:sz w:val="18"/>
                <w:szCs w:val="18"/>
                <w:lang w:val="es-AR"/>
              </w:rPr>
              <w:footnoteReference w:id="3"/>
            </w:r>
            <w:r w:rsidR="004B1B1C" w:rsidRPr="00993D6B">
              <w:rPr>
                <w:rFonts w:ascii="Arial" w:hAnsi="Arial" w:cs="Arial"/>
                <w:sz w:val="18"/>
                <w:szCs w:val="18"/>
                <w:lang w:val="es-AR"/>
              </w:rPr>
              <w:t xml:space="preserve"> (</w:t>
            </w:r>
            <w:r w:rsidR="00CF4352">
              <w:rPr>
                <w:rFonts w:ascii="Arial" w:hAnsi="Arial" w:cs="Arial"/>
                <w:sz w:val="18"/>
                <w:szCs w:val="18"/>
                <w:lang w:val="es-AR"/>
              </w:rPr>
              <w:t>%</w:t>
            </w:r>
            <w:r w:rsidR="004B1B1C" w:rsidRPr="00993D6B">
              <w:rPr>
                <w:rFonts w:ascii="Arial" w:hAnsi="Arial" w:cs="Arial"/>
                <w:sz w:val="18"/>
                <w:szCs w:val="18"/>
                <w:lang w:val="es-AR"/>
              </w:rPr>
              <w:t xml:space="preserve"> ).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346C73D2" w14:textId="2F9FEC8E" w:rsidR="004B1B1C" w:rsidRPr="00993D6B" w:rsidRDefault="00A8594A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1.5%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6229021" w14:textId="2542CE84" w:rsidR="004B1B1C" w:rsidRPr="00993D6B" w:rsidRDefault="005F5B0C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1.9%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46FFF191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Balance Nacional de Energía</w:t>
            </w:r>
          </w:p>
          <w:p w14:paraId="63E32EA0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SENER</w:t>
            </w:r>
          </w:p>
        </w:tc>
      </w:tr>
      <w:tr w:rsidR="004B1B1C" w:rsidRPr="002D5240" w14:paraId="4AD8D953" w14:textId="77777777" w:rsidTr="78C0BD4D">
        <w:trPr>
          <w:trHeight w:val="481"/>
        </w:trPr>
        <w:tc>
          <w:tcPr>
            <w:tcW w:w="4263" w:type="dxa"/>
            <w:shd w:val="clear" w:color="auto" w:fill="auto"/>
            <w:vAlign w:val="center"/>
          </w:tcPr>
          <w:p w14:paraId="6A86B461" w14:textId="77777777" w:rsidR="004B1B1C" w:rsidRPr="00993D6B" w:rsidRDefault="78C0BD4D" w:rsidP="78C0BD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Incremento en la participación de energía limpias en la generación de energía eléctrica.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4CC2D6A9" w14:textId="20C7A5F1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 xml:space="preserve">Porcentaje de participación de energías </w:t>
            </w:r>
            <w:r w:rsidR="0022315D">
              <w:rPr>
                <w:rFonts w:ascii="Arial" w:hAnsi="Arial" w:cs="Arial"/>
                <w:sz w:val="18"/>
                <w:szCs w:val="18"/>
                <w:lang w:val="es-ES"/>
              </w:rPr>
              <w:t xml:space="preserve">limpias </w:t>
            </w: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en la generación eléctrica</w:t>
            </w:r>
            <w:r w:rsidR="0022315D">
              <w:rPr>
                <w:rFonts w:ascii="Arial" w:hAnsi="Arial" w:cs="Arial"/>
                <w:sz w:val="18"/>
                <w:szCs w:val="18"/>
                <w:lang w:val="es-ES"/>
              </w:rPr>
              <w:t xml:space="preserve"> (%)</w:t>
            </w: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6CDEA8D5" w14:textId="3A1E1775" w:rsidR="004B1B1C" w:rsidRPr="00993D6B" w:rsidRDefault="004B1B1C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AR"/>
              </w:rPr>
            </w:pPr>
            <w:r w:rsidRPr="00993D6B">
              <w:rPr>
                <w:rFonts w:ascii="Arial" w:hAnsi="Arial" w:cs="Arial"/>
                <w:sz w:val="18"/>
                <w:szCs w:val="18"/>
                <w:lang w:val="es-AR"/>
              </w:rPr>
              <w:t>20</w:t>
            </w:r>
            <w:r w:rsidR="002D419B">
              <w:rPr>
                <w:rFonts w:ascii="Arial" w:hAnsi="Arial" w:cs="Arial"/>
                <w:sz w:val="18"/>
                <w:szCs w:val="18"/>
                <w:lang w:val="es-AR"/>
              </w:rPr>
              <w:t>.</w:t>
            </w:r>
            <w:r w:rsidR="00745F2F">
              <w:rPr>
                <w:rFonts w:ascii="Arial" w:hAnsi="Arial" w:cs="Arial"/>
                <w:sz w:val="18"/>
                <w:szCs w:val="18"/>
                <w:lang w:val="es-AR"/>
              </w:rPr>
              <w:t>0</w:t>
            </w:r>
            <w:r w:rsidR="00487272">
              <w:rPr>
                <w:rFonts w:ascii="Arial" w:hAnsi="Arial" w:cs="Arial"/>
                <w:sz w:val="18"/>
                <w:szCs w:val="18"/>
                <w:lang w:val="es-AR"/>
              </w:rPr>
              <w:t>%</w:t>
            </w:r>
            <w:r w:rsidR="00120600">
              <w:rPr>
                <w:rStyle w:val="FootnoteReference"/>
                <w:rFonts w:ascii="Arial" w:hAnsi="Arial" w:cs="Arial"/>
                <w:sz w:val="18"/>
                <w:szCs w:val="18"/>
                <w:lang w:val="es-AR"/>
              </w:rPr>
              <w:footnoteReference w:id="4"/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4FFE92B" w14:textId="77C0DC5B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>2</w:t>
            </w:r>
            <w:r w:rsidR="00745F2F">
              <w:rPr>
                <w:rFonts w:ascii="Arial" w:hAnsi="Arial" w:cs="Arial"/>
                <w:sz w:val="18"/>
                <w:szCs w:val="18"/>
                <w:lang w:val="es-AR"/>
              </w:rPr>
              <w:t>5</w:t>
            </w: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>% (20</w:t>
            </w:r>
            <w:r w:rsidR="00745F2F">
              <w:rPr>
                <w:rFonts w:ascii="Arial" w:hAnsi="Arial" w:cs="Arial"/>
                <w:sz w:val="18"/>
                <w:szCs w:val="18"/>
                <w:lang w:val="es-AR"/>
              </w:rPr>
              <w:t>18</w:t>
            </w:r>
            <w:r w:rsidRPr="78C0BD4D">
              <w:rPr>
                <w:rFonts w:ascii="Arial" w:hAnsi="Arial" w:cs="Arial"/>
                <w:sz w:val="18"/>
                <w:szCs w:val="18"/>
                <w:lang w:val="es-AR"/>
              </w:rPr>
              <w:t>)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58A0DEC7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Balance Nacional de Energía</w:t>
            </w:r>
          </w:p>
          <w:p w14:paraId="2E8F4F10" w14:textId="77777777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SENER</w:t>
            </w:r>
          </w:p>
        </w:tc>
      </w:tr>
      <w:bookmarkEnd w:id="5"/>
      <w:tr w:rsidR="004B1B1C" w:rsidRPr="002D5240" w14:paraId="79F18DF3" w14:textId="77777777" w:rsidTr="78C0BD4D">
        <w:trPr>
          <w:trHeight w:val="306"/>
        </w:trPr>
        <w:tc>
          <w:tcPr>
            <w:tcW w:w="13027" w:type="dxa"/>
            <w:gridSpan w:val="5"/>
            <w:shd w:val="clear" w:color="auto" w:fill="auto"/>
            <w:vAlign w:val="center"/>
          </w:tcPr>
          <w:p w14:paraId="7C162E0C" w14:textId="77777777" w:rsidR="004B1B1C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V. Acceso a Electricidad mediante energías renovables</w:t>
            </w:r>
          </w:p>
        </w:tc>
      </w:tr>
      <w:tr w:rsidR="004B1B1C" w:rsidRPr="002D5240" w14:paraId="46A6FA10" w14:textId="77777777" w:rsidTr="78C0BD4D">
        <w:trPr>
          <w:trHeight w:val="567"/>
        </w:trPr>
        <w:tc>
          <w:tcPr>
            <w:tcW w:w="4263" w:type="dxa"/>
            <w:shd w:val="clear" w:color="auto" w:fill="auto"/>
            <w:vAlign w:val="center"/>
          </w:tcPr>
          <w:p w14:paraId="42DF8C67" w14:textId="559AFDB8" w:rsidR="004B1B1C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bookmarkStart w:id="6" w:name="_Hlk484522736"/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Incremento en la cobertura de acceso a energía eléctrica a nivel nacional</w:t>
            </w:r>
            <w:r w:rsidR="00F04425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.</w:t>
            </w: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 </w:t>
            </w:r>
            <w:bookmarkEnd w:id="6"/>
          </w:p>
        </w:tc>
        <w:tc>
          <w:tcPr>
            <w:tcW w:w="3634" w:type="dxa"/>
            <w:shd w:val="clear" w:color="auto" w:fill="auto"/>
            <w:vAlign w:val="center"/>
          </w:tcPr>
          <w:p w14:paraId="151A1F44" w14:textId="3E1ED844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Porcentaje de cobertura de acceso de energía eléctrica a nivel nacional</w:t>
            </w:r>
            <w:r w:rsidR="00F04425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 xml:space="preserve"> (%).</w:t>
            </w:r>
          </w:p>
        </w:tc>
        <w:tc>
          <w:tcPr>
            <w:tcW w:w="1069" w:type="dxa"/>
            <w:shd w:val="clear" w:color="auto" w:fill="auto"/>
            <w:vAlign w:val="center"/>
          </w:tcPr>
          <w:p w14:paraId="262E30FF" w14:textId="7B381746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98.5</w:t>
            </w:r>
            <w:r w:rsidR="00F04425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51A7071" w14:textId="0EF96A02" w:rsidR="004B1B1C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  <w:r w:rsidR="00726F16">
              <w:rPr>
                <w:rFonts w:ascii="Arial" w:hAnsi="Arial" w:cs="Arial"/>
                <w:sz w:val="18"/>
                <w:szCs w:val="18"/>
                <w:lang w:val="es-ES"/>
              </w:rPr>
              <w:t>9</w:t>
            </w:r>
            <w:r w:rsidR="00F04425">
              <w:rPr>
                <w:rFonts w:ascii="Arial" w:hAnsi="Arial" w:cs="Arial"/>
                <w:sz w:val="18"/>
                <w:szCs w:val="18"/>
                <w:lang w:val="es-ES"/>
              </w:rPr>
              <w:t>%</w:t>
            </w:r>
          </w:p>
        </w:tc>
        <w:tc>
          <w:tcPr>
            <w:tcW w:w="2919" w:type="dxa"/>
            <w:shd w:val="clear" w:color="auto" w:fill="auto"/>
            <w:vAlign w:val="center"/>
          </w:tcPr>
          <w:p w14:paraId="725875AA" w14:textId="2F06EC55" w:rsidR="004B1B1C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Programa de Desarrollo del Sector Eléctrico Nacional</w:t>
            </w:r>
            <w:r w:rsidR="00F04425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.</w:t>
            </w:r>
          </w:p>
        </w:tc>
      </w:tr>
      <w:bookmarkEnd w:id="1"/>
    </w:tbl>
    <w:p w14:paraId="0A24F1A6" w14:textId="77777777" w:rsidR="00FC7001" w:rsidRPr="00993D6B" w:rsidRDefault="00FC7001" w:rsidP="005F54E1">
      <w:pPr>
        <w:rPr>
          <w:rFonts w:ascii="Arial" w:hAnsi="Arial" w:cs="Arial"/>
          <w:color w:val="000000"/>
          <w:sz w:val="18"/>
          <w:szCs w:val="18"/>
          <w:lang w:val="es-ES_tradnl"/>
        </w:rPr>
      </w:pPr>
    </w:p>
    <w:p w14:paraId="15D99E1E" w14:textId="77777777" w:rsidR="00B954ED" w:rsidRPr="00993D6B" w:rsidRDefault="00B954ED" w:rsidP="00993D6B">
      <w:pPr>
        <w:jc w:val="right"/>
        <w:rPr>
          <w:rFonts w:ascii="Arial" w:hAnsi="Arial" w:cs="Arial"/>
          <w:sz w:val="18"/>
          <w:szCs w:val="18"/>
          <w:lang w:val="es-ES_tradnl"/>
        </w:rPr>
      </w:pPr>
    </w:p>
    <w:tbl>
      <w:tblPr>
        <w:tblpPr w:leftFromText="180" w:rightFromText="180" w:vertAnchor="text" w:tblpY="1"/>
        <w:tblOverlap w:val="never"/>
        <w:tblW w:w="47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7"/>
        <w:gridCol w:w="1091"/>
        <w:gridCol w:w="985"/>
        <w:gridCol w:w="1096"/>
        <w:gridCol w:w="5031"/>
      </w:tblGrid>
      <w:tr w:rsidR="00DE7446" w:rsidRPr="00973190" w14:paraId="5A5AE198" w14:textId="77777777" w:rsidTr="78C0BD4D">
        <w:trPr>
          <w:trHeight w:val="440"/>
          <w:tblHeader/>
        </w:trPr>
        <w:tc>
          <w:tcPr>
            <w:tcW w:w="1835" w:type="pct"/>
            <w:shd w:val="clear" w:color="auto" w:fill="BFBFBF" w:themeFill="background1" w:themeFillShade="BF"/>
            <w:vAlign w:val="center"/>
            <w:hideMark/>
          </w:tcPr>
          <w:p w14:paraId="5893A8A2" w14:textId="51A76D2B" w:rsidR="00DE7446" w:rsidRPr="00993D6B" w:rsidRDefault="00DE7446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MX"/>
              </w:rPr>
            </w:pPr>
            <w:bookmarkStart w:id="7" w:name="_Hlk494885216"/>
            <w:r w:rsidRPr="78C0BD4D">
              <w:rPr>
                <w:rFonts w:ascii="Arial" w:hAnsi="Arial" w:cs="Arial"/>
                <w:sz w:val="18"/>
                <w:szCs w:val="18"/>
                <w:lang w:val="es-ES"/>
              </w:rPr>
              <w:br w:type="page"/>
            </w:r>
            <w:r w:rsidR="78C0BD4D"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Productos</w:t>
            </w:r>
          </w:p>
        </w:tc>
        <w:tc>
          <w:tcPr>
            <w:tcW w:w="421" w:type="pct"/>
            <w:shd w:val="clear" w:color="auto" w:fill="BFBFBF" w:themeFill="background1" w:themeFillShade="BF"/>
            <w:vAlign w:val="center"/>
            <w:hideMark/>
          </w:tcPr>
          <w:p w14:paraId="33B9307C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MX"/>
              </w:rPr>
              <w:t xml:space="preserve">Linea </w:t>
            </w: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base 2015</w:t>
            </w:r>
          </w:p>
        </w:tc>
        <w:tc>
          <w:tcPr>
            <w:tcW w:w="380" w:type="pct"/>
            <w:shd w:val="clear" w:color="auto" w:fill="BFBFBF" w:themeFill="background1" w:themeFillShade="BF"/>
            <w:vAlign w:val="center"/>
            <w:hideMark/>
          </w:tcPr>
          <w:p w14:paraId="6285D285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Meta</w:t>
            </w:r>
          </w:p>
          <w:p w14:paraId="42EA317A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2017</w:t>
            </w:r>
          </w:p>
        </w:tc>
        <w:tc>
          <w:tcPr>
            <w:tcW w:w="423" w:type="pct"/>
            <w:shd w:val="clear" w:color="auto" w:fill="BFBFBF" w:themeFill="background1" w:themeFillShade="BF"/>
            <w:vAlign w:val="center"/>
            <w:hideMark/>
          </w:tcPr>
          <w:p w14:paraId="2D78E425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Meta</w:t>
            </w:r>
          </w:p>
          <w:p w14:paraId="11D53C95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941" w:type="pct"/>
            <w:shd w:val="clear" w:color="auto" w:fill="BFBFBF" w:themeFill="background1" w:themeFillShade="BF"/>
          </w:tcPr>
          <w:p w14:paraId="3C81CB23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Medios de verificación</w:t>
            </w:r>
          </w:p>
        </w:tc>
      </w:tr>
      <w:tr w:rsidR="00DE7446" w:rsidRPr="00973190" w14:paraId="1E565C9F" w14:textId="77777777" w:rsidTr="78C0BD4D">
        <w:trPr>
          <w:trHeight w:val="287"/>
        </w:trPr>
        <w:tc>
          <w:tcPr>
            <w:tcW w:w="3059" w:type="pct"/>
            <w:gridSpan w:val="4"/>
            <w:shd w:val="clear" w:color="auto" w:fill="auto"/>
            <w:vAlign w:val="center"/>
            <w:hideMark/>
          </w:tcPr>
          <w:p w14:paraId="6B8D62ED" w14:textId="77777777" w:rsidR="00DE7446" w:rsidRPr="00993D6B" w:rsidRDefault="78C0BD4D" w:rsidP="78C0BD4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MX"/>
              </w:rPr>
              <w:t>I. Estabilidad Macroeconómica</w:t>
            </w:r>
          </w:p>
        </w:tc>
        <w:tc>
          <w:tcPr>
            <w:tcW w:w="1941" w:type="pct"/>
          </w:tcPr>
          <w:p w14:paraId="2A190EB7" w14:textId="77777777" w:rsidR="00DE7446" w:rsidRPr="00993D6B" w:rsidRDefault="00DE744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DE7446" w:rsidRPr="002D5240" w14:paraId="0B7DFD14" w14:textId="77777777" w:rsidTr="78C0BD4D">
        <w:trPr>
          <w:trHeight w:val="693"/>
        </w:trPr>
        <w:tc>
          <w:tcPr>
            <w:tcW w:w="1835" w:type="pct"/>
            <w:shd w:val="clear" w:color="auto" w:fill="auto"/>
            <w:vAlign w:val="center"/>
          </w:tcPr>
          <w:p w14:paraId="722C06F1" w14:textId="77777777" w:rsidR="00DE7446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Marco macroeconómico consistente con los objetivos del Programa y con los lineamientos establecidos en la carta de política sectorial.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133AD2" w14:textId="08BF596F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2C45A16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1C0E8FE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1</w:t>
            </w:r>
          </w:p>
        </w:tc>
        <w:tc>
          <w:tcPr>
            <w:tcW w:w="1941" w:type="pct"/>
          </w:tcPr>
          <w:p w14:paraId="00B71A70" w14:textId="77777777" w:rsidR="00DE7446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Evaluación Independiente de Condiciones Macroeconómicas (IAMC, por sus siglas en inglés) vigente.</w:t>
            </w:r>
          </w:p>
        </w:tc>
      </w:tr>
      <w:tr w:rsidR="00DE7446" w:rsidRPr="00973190" w14:paraId="485D46F5" w14:textId="77777777" w:rsidTr="78C0BD4D">
        <w:trPr>
          <w:trHeight w:val="428"/>
        </w:trPr>
        <w:tc>
          <w:tcPr>
            <w:tcW w:w="3059" w:type="pct"/>
            <w:gridSpan w:val="4"/>
            <w:shd w:val="clear" w:color="auto" w:fill="auto"/>
            <w:vAlign w:val="center"/>
          </w:tcPr>
          <w:p w14:paraId="7B629931" w14:textId="77777777" w:rsidR="00DE7446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II. Fortalecimiento Institucional</w:t>
            </w:r>
          </w:p>
        </w:tc>
        <w:tc>
          <w:tcPr>
            <w:tcW w:w="1941" w:type="pct"/>
          </w:tcPr>
          <w:p w14:paraId="109BE999" w14:textId="77777777" w:rsidR="00DE7446" w:rsidRPr="00993D6B" w:rsidRDefault="00DE7446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s-ES_tradnl"/>
              </w:rPr>
            </w:pPr>
          </w:p>
        </w:tc>
      </w:tr>
      <w:tr w:rsidR="00DE7446" w:rsidRPr="002D5240" w14:paraId="249F1191" w14:textId="77777777" w:rsidTr="78C0BD4D">
        <w:trPr>
          <w:trHeight w:val="459"/>
        </w:trPr>
        <w:tc>
          <w:tcPr>
            <w:tcW w:w="1835" w:type="pct"/>
            <w:shd w:val="clear" w:color="auto" w:fill="auto"/>
            <w:vAlign w:val="center"/>
          </w:tcPr>
          <w:p w14:paraId="3D77FD92" w14:textId="47073A69" w:rsidR="00DE7446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Creación del Consejo Consultivo para la Transición Energética (CCTE).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F479857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8AC1454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C94A25F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2D25F7C5" w14:textId="6279BB7B" w:rsidR="00DE7446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 de la reunión de instalación del CCTE, publicada en el Portal del Gobierno de México (PGdM). </w:t>
            </w:r>
          </w:p>
        </w:tc>
      </w:tr>
      <w:tr w:rsidR="00DE7446" w:rsidRPr="002D5240" w14:paraId="3DD83DD4" w14:textId="77777777" w:rsidTr="78C0BD4D">
        <w:trPr>
          <w:trHeight w:val="531"/>
        </w:trPr>
        <w:tc>
          <w:tcPr>
            <w:tcW w:w="1835" w:type="pct"/>
            <w:shd w:val="clear" w:color="auto" w:fill="auto"/>
            <w:vAlign w:val="center"/>
          </w:tcPr>
          <w:p w14:paraId="0571A8B8" w14:textId="147BD159" w:rsidR="00DE7446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Aprobación y publicación de las reglas de Operación del CCTE.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462416E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87507B4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CB57037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179EB025" w14:textId="4AB5001D" w:rsidR="00DE7446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Reglas de Operación del CCTE, publicadas en el (PGdM</w:t>
            </w:r>
            <w:r w:rsidR="00FE619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)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.</w:t>
            </w:r>
          </w:p>
        </w:tc>
      </w:tr>
      <w:tr w:rsidR="00DE7446" w:rsidRPr="002D5240" w14:paraId="7EF6641A" w14:textId="77777777" w:rsidTr="78C0BD4D">
        <w:trPr>
          <w:trHeight w:val="720"/>
        </w:trPr>
        <w:tc>
          <w:tcPr>
            <w:tcW w:w="1835" w:type="pct"/>
            <w:shd w:val="clear" w:color="auto" w:fill="auto"/>
            <w:vAlign w:val="center"/>
          </w:tcPr>
          <w:p w14:paraId="14D5F762" w14:textId="58E213CB" w:rsidR="00DE7446" w:rsidRPr="00FE6192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bookmarkStart w:id="8" w:name="Sheet1!C10"/>
            <w:r w:rsidRPr="00FE6192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 xml:space="preserve">Creación del </w:t>
            </w:r>
            <w:r w:rsidRPr="00FE6192">
              <w:rPr>
                <w:rStyle w:val="Hyperlink"/>
                <w:rFonts w:ascii="Arial" w:hAnsi="Arial" w:cs="Arial"/>
                <w:color w:val="000000" w:themeColor="text1"/>
                <w:sz w:val="19"/>
                <w:szCs w:val="19"/>
                <w:u w:val="none"/>
                <w:lang w:val="es-ES"/>
              </w:rPr>
              <w:t>Co</w:t>
            </w:r>
            <w:r w:rsidR="005F5B0C">
              <w:rPr>
                <w:rStyle w:val="Hyperlink"/>
                <w:rFonts w:ascii="Arial" w:hAnsi="Arial" w:cs="Arial"/>
                <w:color w:val="000000" w:themeColor="text1"/>
                <w:sz w:val="19"/>
                <w:szCs w:val="19"/>
                <w:u w:val="none"/>
                <w:lang w:val="es-ES"/>
              </w:rPr>
              <w:t>nsejo</w:t>
            </w:r>
            <w:r w:rsidRPr="00FE6192">
              <w:rPr>
                <w:rStyle w:val="Hyperlink"/>
                <w:rFonts w:ascii="Arial" w:hAnsi="Arial" w:cs="Arial"/>
                <w:color w:val="000000" w:themeColor="text1"/>
                <w:sz w:val="19"/>
                <w:szCs w:val="19"/>
                <w:u w:val="none"/>
                <w:lang w:val="es-ES"/>
              </w:rPr>
              <w:t xml:space="preserve"> de Coordinación del Sector Energético (CCSE)</w:t>
            </w:r>
            <w:r w:rsidR="00FE6192">
              <w:rPr>
                <w:rStyle w:val="Hyperlink"/>
                <w:rFonts w:ascii="Arial" w:hAnsi="Arial" w:cs="Arial"/>
                <w:color w:val="000000" w:themeColor="text1"/>
                <w:sz w:val="19"/>
                <w:szCs w:val="19"/>
                <w:u w:val="none"/>
                <w:lang w:val="es-ES"/>
              </w:rPr>
              <w:t>.</w:t>
            </w:r>
            <w:hyperlink w:anchor="_ftn1" w:history="1"/>
            <w:bookmarkEnd w:id="8"/>
          </w:p>
        </w:tc>
        <w:tc>
          <w:tcPr>
            <w:tcW w:w="421" w:type="pct"/>
            <w:shd w:val="clear" w:color="auto" w:fill="auto"/>
            <w:vAlign w:val="center"/>
          </w:tcPr>
          <w:p w14:paraId="6F802FFC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3BDB808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049CA85" w14:textId="77777777" w:rsidR="00DE7446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69EB3252" w14:textId="598F2EFA" w:rsidR="00DE7446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Acta de la Reunión instala</w:t>
            </w:r>
            <w:r w:rsidR="00BB1CC7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ción del CCSE, publicada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784005" w:rsidRPr="002D5240" w14:paraId="555ADF30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72AC98D7" w14:textId="596409EA" w:rsidR="00784005" w:rsidRDefault="78C0BD4D" w:rsidP="78C0BD4D">
            <w:pPr>
              <w:spacing w:before="6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bookmarkStart w:id="9" w:name="_Hlk493484257"/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Presentación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 xml:space="preserve"> de los obstáculos para el cumplimiento de las metas de E</w:t>
            </w:r>
            <w:r w:rsidR="00FE6192">
              <w:rPr>
                <w:rFonts w:ascii="Arial" w:hAnsi="Arial" w:cs="Arial"/>
                <w:sz w:val="19"/>
                <w:szCs w:val="19"/>
                <w:lang w:val="es-ES"/>
              </w:rPr>
              <w:t>L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 xml:space="preserve"> y EE establecidas en la LTE, 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lastRenderedPageBreak/>
              <w:t>identificados en las consultas con los integrantes del sector eléctrico, usuarios del suministro eléctrico, sector académico y sociedad civil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.</w:t>
            </w:r>
            <w:bookmarkEnd w:id="9"/>
          </w:p>
          <w:p w14:paraId="7EEDEAFE" w14:textId="62706D4F" w:rsidR="00784005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85D1986" w14:textId="0E1E5D9F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lastRenderedPageBreak/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6A8D7E8" w14:textId="3DFA6225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66FE241" w14:textId="499406EC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4D47C4EF" w14:textId="07A94D6A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Actas/minutas/informes de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las consultas publicadas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784005" w:rsidRPr="002D5240" w14:paraId="25A7C582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0FB12686" w14:textId="741E26D0" w:rsidR="00784005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Emisión de criterios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 xml:space="preserve"> actualizados para la identificación de las</w:t>
            </w:r>
            <w:r w:rsidR="00C51E81">
              <w:rPr>
                <w:rFonts w:ascii="Arial" w:hAnsi="Arial" w:cs="Arial"/>
                <w:sz w:val="19"/>
                <w:szCs w:val="19"/>
                <w:lang w:val="es-ES"/>
              </w:rPr>
              <w:t xml:space="preserve"> 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>zonas con potencial renovable para generar energía eléctrica.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A1FAA17" w14:textId="7E416CAF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BCCEBCD" w14:textId="2EF3801E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F7F0133" w14:textId="4E86D331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165DC052" w14:textId="0A516D52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Actas/minutas/informes de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las consultas publicadas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784005" w:rsidRPr="002D5240" w14:paraId="5358023B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35241C09" w14:textId="774A0AC9" w:rsidR="00784005" w:rsidRDefault="00784005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bookmarkStart w:id="10" w:name="_Hlk493483765"/>
            <w:bookmarkStart w:id="11" w:name="_Hlk494885167"/>
            <w:r>
              <w:rPr>
                <w:rFonts w:ascii="Arial" w:hAnsi="Arial" w:cs="Arial"/>
                <w:color w:val="2F2F2F"/>
                <w:sz w:val="19"/>
                <w:szCs w:val="19"/>
                <w:shd w:val="clear" w:color="auto" w:fill="FFFFFF"/>
                <w:lang w:val="es-MX"/>
              </w:rPr>
              <w:t>Presentación de la e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valuación de los avances </w:t>
            </w:r>
            <w:r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en las metas EL y EE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, incluyendo la</w:t>
            </w:r>
            <w:r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s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 barreras </w:t>
            </w:r>
            <w:r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identificadas, 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oportunidades de mejora,</w:t>
            </w:r>
            <w:r w:rsidR="00C51E81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 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y medidas correctivas</w:t>
            </w:r>
            <w:r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,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 en el caso de los indicadores de cumplimiento que no alcancen</w:t>
            </w:r>
            <w:r w:rsidR="00C51E81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 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los</w:t>
            </w:r>
            <w:r w:rsidR="00C51E81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 xml:space="preserve"> </w:t>
            </w:r>
            <w:r w:rsidRPr="000640B9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resultados comprometidos</w:t>
            </w:r>
            <w:bookmarkEnd w:id="10"/>
            <w:r w:rsidR="006110E1">
              <w:rPr>
                <w:rFonts w:ascii="Arial" w:hAnsi="Arial" w:cs="Arial"/>
                <w:color w:val="2F2F2F"/>
                <w:sz w:val="19"/>
                <w:szCs w:val="19"/>
                <w:lang w:val="es-MX"/>
              </w:rPr>
              <w:t>.</w:t>
            </w:r>
            <w:bookmarkEnd w:id="11"/>
          </w:p>
        </w:tc>
        <w:tc>
          <w:tcPr>
            <w:tcW w:w="421" w:type="pct"/>
            <w:shd w:val="clear" w:color="auto" w:fill="auto"/>
            <w:vAlign w:val="center"/>
          </w:tcPr>
          <w:p w14:paraId="45544269" w14:textId="43DAF049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C849860" w14:textId="41410AB1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5D679BD" w14:textId="774410E6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6008F97C" w14:textId="134D1E55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Actas/minutas/informes de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las consultas publicadas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784005" w:rsidRPr="002D5240" w14:paraId="1B2B4A0C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4D6B445D" w14:textId="1D3FDD22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Aprobación y publicación de las reglas de Operación del CCSE, aprobadas.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72A74A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2C94451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E4EAC9F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</w:tcPr>
          <w:p w14:paraId="4B411765" w14:textId="361334E6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Reglas para la operación del CCSE, (PGdM).</w:t>
            </w:r>
          </w:p>
        </w:tc>
      </w:tr>
      <w:tr w:rsidR="000A3E4A" w:rsidRPr="002D5240" w14:paraId="42B0D4CE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2BA317B6" w14:textId="5B4E582E" w:rsidR="000A3E4A" w:rsidRPr="00C62644" w:rsidRDefault="78C0BD4D" w:rsidP="78C0BD4D">
            <w:pPr>
              <w:spacing w:before="60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bookmarkStart w:id="12" w:name="_Hlk493484682"/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Desarrollo y operación de sistemas de información compartida y cooperación institucional de los integrantes del CCSE.</w:t>
            </w:r>
            <w:bookmarkEnd w:id="12"/>
          </w:p>
        </w:tc>
        <w:tc>
          <w:tcPr>
            <w:tcW w:w="421" w:type="pct"/>
            <w:shd w:val="clear" w:color="auto" w:fill="auto"/>
            <w:vAlign w:val="center"/>
          </w:tcPr>
          <w:p w14:paraId="2AD16408" w14:textId="5C46A543" w:rsidR="000A3E4A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DF74240" w14:textId="0D2388ED" w:rsidR="000A3E4A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1B565B2" w14:textId="7CB61110" w:rsidR="000A3E4A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</w:tcPr>
          <w:p w14:paraId="370B2C57" w14:textId="000AE770" w:rsidR="000A3E4A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Actas/minutas/informes de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las consultas publicadas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0A3E4A" w:rsidRPr="002D5240" w14:paraId="6CD578BC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081CB317" w14:textId="011DA503" w:rsidR="000A3E4A" w:rsidRPr="00C62644" w:rsidRDefault="78C0BD4D" w:rsidP="78C0BD4D">
            <w:pPr>
              <w:spacing w:before="60"/>
              <w:jc w:val="both"/>
              <w:rPr>
                <w:rFonts w:ascii="Arial" w:hAnsi="Arial" w:cs="Arial"/>
                <w:lang w:val="es-ES"/>
              </w:rPr>
            </w:pPr>
            <w:bookmarkStart w:id="13" w:name="_Hlk493484707"/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Emisión de recomendaciones de política del sector energético, incluidas en los programas de trabajo de la CRE y la CNH.</w:t>
            </w:r>
            <w:bookmarkEnd w:id="13"/>
          </w:p>
        </w:tc>
        <w:tc>
          <w:tcPr>
            <w:tcW w:w="421" w:type="pct"/>
            <w:shd w:val="clear" w:color="auto" w:fill="auto"/>
            <w:vAlign w:val="center"/>
          </w:tcPr>
          <w:p w14:paraId="500F3F30" w14:textId="7B4C6773" w:rsidR="000A3E4A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3F7F95D" w14:textId="0BF62911" w:rsidR="000A3E4A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B265854" w14:textId="30CE7A71" w:rsidR="000A3E4A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</w:tcPr>
          <w:p w14:paraId="59174596" w14:textId="20E72250" w:rsidR="000A3E4A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Actas/minutas/informes de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las consultas publicadas en el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PGdM.</w:t>
            </w:r>
          </w:p>
        </w:tc>
      </w:tr>
      <w:tr w:rsidR="00784005" w:rsidRPr="002D5240" w14:paraId="2A138BE4" w14:textId="77777777" w:rsidTr="78C0BD4D">
        <w:trPr>
          <w:trHeight w:val="603"/>
        </w:trPr>
        <w:tc>
          <w:tcPr>
            <w:tcW w:w="1835" w:type="pct"/>
            <w:shd w:val="clear" w:color="auto" w:fill="auto"/>
            <w:vAlign w:val="center"/>
          </w:tcPr>
          <w:p w14:paraId="06C5F89C" w14:textId="3E2BB42D" w:rsidR="00784005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Revisión y actualización del Programa para el Aprovechamiento Sustentable de la Energía (PRONASE)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3DF2F38" w14:textId="5AE9B270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4235A2C" w14:textId="6A427D50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B473A4D" w14:textId="444B6A12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</w:tcPr>
          <w:p w14:paraId="0261D74C" w14:textId="77777777" w:rsidR="00784005" w:rsidRDefault="00784005" w:rsidP="00784005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</w:p>
          <w:p w14:paraId="26948087" w14:textId="19894051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PRONASE publicado en el portal de la Comisión Nacional para el Uso Eficiente de la Energía (CONUEE)</w:t>
            </w:r>
          </w:p>
        </w:tc>
      </w:tr>
      <w:tr w:rsidR="00784005" w:rsidRPr="00973190" w14:paraId="7C2BA4BB" w14:textId="77777777" w:rsidTr="78C0BD4D">
        <w:trPr>
          <w:trHeight w:val="542"/>
        </w:trPr>
        <w:tc>
          <w:tcPr>
            <w:tcW w:w="3059" w:type="pct"/>
            <w:gridSpan w:val="4"/>
            <w:shd w:val="clear" w:color="auto" w:fill="auto"/>
            <w:vAlign w:val="center"/>
            <w:hideMark/>
          </w:tcPr>
          <w:p w14:paraId="3B8F1CEE" w14:textId="77777777" w:rsidR="00784005" w:rsidRPr="00993D6B" w:rsidRDefault="78C0BD4D" w:rsidP="78C0BD4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III. Seguridad Energética</w:t>
            </w:r>
          </w:p>
        </w:tc>
        <w:tc>
          <w:tcPr>
            <w:tcW w:w="1941" w:type="pct"/>
          </w:tcPr>
          <w:p w14:paraId="7C55A1C3" w14:textId="77777777" w:rsidR="00784005" w:rsidRPr="00993D6B" w:rsidRDefault="00784005" w:rsidP="0078400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s-ES_tradnl"/>
              </w:rPr>
            </w:pPr>
          </w:p>
        </w:tc>
      </w:tr>
      <w:tr w:rsidR="00784005" w:rsidRPr="002D5240" w14:paraId="1EA212E2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315B938B" w14:textId="6E8CB1A2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Aprobación de la </w:t>
            </w:r>
            <w:r w:rsidR="005F5B0C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olítica </w:t>
            </w:r>
            <w:r w:rsidR="005F5B0C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pública 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para la Implementación del Mercado de Gas Natural (GN).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1380DD8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E77E2D8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8466E54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21038215" w14:textId="138BD6B5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Política Pública para la Implementación del Mercado de Gas Natural, publicado en el </w:t>
            </w:r>
            <w:r w:rsidR="00502432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PGdM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.</w:t>
            </w:r>
          </w:p>
        </w:tc>
      </w:tr>
      <w:tr w:rsidR="00C62644" w:rsidRPr="002D5240" w14:paraId="106FAA22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2B357747" w14:textId="2BBCEEF0" w:rsidR="00C62644" w:rsidRPr="00993D6B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>Actualización del reporte de transacciones comerciales de GN.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D2DAD18" w14:textId="6E14925A" w:rsidR="00C62644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C564471" w14:textId="103F46F9" w:rsidR="00C62644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48C6AE8" w14:textId="221476D1" w:rsidR="00C62644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09EE278B" w14:textId="4A772FBE" w:rsidR="00C62644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Reporte de transacciones comerciales de GN, actualizado en la Plataforma Informática del SNG, publicado en el portal de CENAGAS.</w:t>
            </w:r>
          </w:p>
        </w:tc>
      </w:tr>
      <w:tr w:rsidR="00784005" w:rsidRPr="002D5240" w14:paraId="58F5956B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4ABB24DE" w14:textId="0ECF598E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Aprobación y actualización del Plan Quinquenal de Expansión del Sistema de Transporte y Almacenamiento Nacional Integrado de Gas Natural 2015-2019.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8823E68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7A0C286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D533EA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3D96B048" w14:textId="43AB5C93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Programa Quinquenal de Licitaciones para la Exploración y Extracción de Hidrocarburos 2015-2019, publicado en el PGdM.</w:t>
            </w:r>
          </w:p>
        </w:tc>
      </w:tr>
      <w:tr w:rsidR="00987903" w:rsidRPr="002D5240" w14:paraId="2966E1A3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29BDAFC8" w14:textId="054898E0" w:rsidR="00987903" w:rsidRPr="00844903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Ampliación de la red nacional de gasoductos, de acuerdo con lo establecido en el Plan Quinquenal de Expansión del SISTRANGAS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D0D498B" w14:textId="44A33CFB" w:rsidR="00987903" w:rsidRPr="00F940F5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1CB5B0C" w14:textId="77777777" w:rsidR="00987903" w:rsidRPr="00F940F5" w:rsidRDefault="00987903" w:rsidP="0078400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s-MX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6170B772" w14:textId="77777777" w:rsidR="00987903" w:rsidRPr="00F940F5" w:rsidRDefault="00987903" w:rsidP="00784005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941" w:type="pct"/>
            <w:vAlign w:val="center"/>
          </w:tcPr>
          <w:p w14:paraId="3C3A7352" w14:textId="63CA5794" w:rsidR="00987903" w:rsidRPr="00844903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Extensión de la red nacional de gasoductos, reportada en la Prospectiva de Gas Natural, publicada en el PGdM.</w:t>
            </w:r>
          </w:p>
        </w:tc>
      </w:tr>
      <w:tr w:rsidR="00784005" w:rsidRPr="002D5240" w14:paraId="1E12EF29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60720CDA" w14:textId="1F6FCD68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Implementación operativa de la Plataforma informática del Sistema Nacional de Gasoductos (SNG), operativa.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263DF04" w14:textId="77777777" w:rsidR="00784005" w:rsidRPr="00973190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C6F4B70" w14:textId="77777777" w:rsidR="00784005" w:rsidRPr="00973190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4ADB6E4" w14:textId="77777777" w:rsidR="00784005" w:rsidRPr="00973190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474E334D" w14:textId="77777777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Boletín Electrónico del Sistema Nacional de Gasoductos, publicado en el Portal del Gobierno de México.</w:t>
            </w:r>
          </w:p>
        </w:tc>
      </w:tr>
      <w:tr w:rsidR="00BC0ADE" w:rsidRPr="002D5240" w14:paraId="717B67C6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64C30511" w14:textId="060FB26A" w:rsidR="00BC0ADE" w:rsidRPr="00993D6B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lastRenderedPageBreak/>
              <w:t>Mantenimiento actualizado de la información contenida en la Plataforma del SNG conteniendo información actualizada sobre:  descripción general del SNG; permisos de transporte; tarifas aprobadas por la CRE; capacidad de transporte; reportes de calidad de gas; mantenimientos programados; solicitudes de transporte e interconexiones; y temporada abierta del SNG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8A64122" w14:textId="79981C32" w:rsidR="00BC0ADE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D1D74AB" w14:textId="41C7F243" w:rsidR="00BC0ADE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E118A41" w14:textId="5066EF65" w:rsidR="00BC0ADE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41F1BA0D" w14:textId="17674B66" w:rsidR="00BC0ADE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Comunicación de la SENER presentando un informe de operación de la plataforma del SNG</w:t>
            </w:r>
          </w:p>
        </w:tc>
      </w:tr>
      <w:tr w:rsidR="00784005" w:rsidRPr="002D5240" w14:paraId="1B387F85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576DB7BB" w14:textId="200B51E4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de las acciones de reducción de pérdidas de energía eléctrica en la distribución establecidas en el PRODESEN (2016-2030), aprobadas.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72E77D9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CB87D6C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CB07DE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69DB4023" w14:textId="77777777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PRODESEN 2016-2030, publicado en el Portal del Gobierno de México.</w:t>
            </w:r>
          </w:p>
        </w:tc>
      </w:tr>
      <w:tr w:rsidR="009B0590" w:rsidRPr="002D5240" w14:paraId="3F90BA99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020D1D2C" w14:textId="26E04534" w:rsidR="009B05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Presentación de los avances en la reducción de pérdidas de energía eléctrica en distribución, de acuerdo con las metas establecidas en el PRODESEN (2016-2030).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4C24C33A" w14:textId="46395B30" w:rsidR="009B0590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9626249" w14:textId="11FB21B9" w:rsidR="009B0590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E616FAD" w14:textId="79837AC2" w:rsidR="009B0590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4B05FB91" w14:textId="777C370F" w:rsidR="009B0590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PRODESEN actualizado, publicado en el PdGM.</w:t>
            </w:r>
          </w:p>
        </w:tc>
      </w:tr>
      <w:tr w:rsidR="00784005" w:rsidRPr="002D5240" w14:paraId="48335E6E" w14:textId="6EF83EBB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6180CE02" w14:textId="22C7D9F3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>Aprobación y publicación del Programa de Redes Inteligentes (PREI), aprobado.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56C0183" w14:textId="6CC77BB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B82CFD0" w14:textId="68506828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46B3482" w14:textId="19A2460A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3FCA1FD1" w14:textId="190CFCD0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PREI, publicado en el PGdM.</w:t>
            </w:r>
          </w:p>
        </w:tc>
      </w:tr>
      <w:tr w:rsidR="009B0590" w:rsidRPr="002D5240" w14:paraId="034B95A7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469D3C02" w14:textId="11734AF7" w:rsidR="009B0590" w:rsidRPr="009B05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Presentación de avances en la implementación del PREI.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913F1AB" w14:textId="25D35951" w:rsidR="009B0590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D2AF7E7" w14:textId="353EF928" w:rsidR="009B0590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4751708" w14:textId="0F71067E" w:rsidR="009B0590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7B017DFF" w14:textId="0DCA4304" w:rsidR="009B0590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>Informe de avances del PREI, publicado en el PGdM.</w:t>
            </w:r>
          </w:p>
        </w:tc>
      </w:tr>
      <w:tr w:rsidR="00784005" w:rsidRPr="00973190" w14:paraId="442F21AF" w14:textId="77777777" w:rsidTr="78C0BD4D">
        <w:trPr>
          <w:trHeight w:val="542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7150CF57" w14:textId="77777777" w:rsidR="00784005" w:rsidRPr="00993D6B" w:rsidRDefault="78C0BD4D" w:rsidP="78C0BD4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IV.  Sustentabilidad Energética</w:t>
            </w:r>
          </w:p>
        </w:tc>
      </w:tr>
      <w:tr w:rsidR="00784005" w:rsidRPr="002D5240" w14:paraId="7E71B373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5F2C11C3" w14:textId="494C92DF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Aprobación y publicación del Programa de Desarrollo del Sector Eléctrico Nacional 2016-2030 (PRODESEN), aprobado.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8B241D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995242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998015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37777FE1" w14:textId="6C9B00AA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PRODESEN 2016-2030, publicado en el PGdM.</w:t>
            </w:r>
          </w:p>
        </w:tc>
      </w:tr>
      <w:tr w:rsidR="00AE4A62" w:rsidRPr="002D5240" w14:paraId="66F23D16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718D494B" w14:textId="423F7257" w:rsidR="00AE4A62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>Cumplimiento de los requisitos de CEL como proporción del total de energía consumida durante un año por los participantes obligados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5441B316" w14:textId="3BFB427C" w:rsidR="00AE4A62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780421C" w14:textId="2C509C7A" w:rsidR="00AE4A62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E751453" w14:textId="44271047" w:rsidR="00AE4A62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3C997A36" w14:textId="2E10C22A" w:rsidR="00AE4A62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PRODESEN actualizado, publicado en el PGdM.</w:t>
            </w:r>
          </w:p>
        </w:tc>
      </w:tr>
      <w:tr w:rsidR="00784005" w:rsidRPr="002D5240" w14:paraId="7C3FCFF3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6AFE4560" w14:textId="63280049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Aprobación del reglamento de la Ley de Transición Energética.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7B864C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7FF8F65" w14:textId="77777777" w:rsidR="00784005" w:rsidRPr="00973190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22CF2C0" w14:textId="77777777" w:rsidR="00784005" w:rsidRPr="00973190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7169A084" w14:textId="77777777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Reglamento de la Ley de Transición Energética, publicado en el DOF.</w:t>
            </w:r>
          </w:p>
        </w:tc>
      </w:tr>
      <w:tr w:rsidR="00AE4A62" w:rsidRPr="002D5240" w14:paraId="7D9D2081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5CC49243" w14:textId="2276D5FD" w:rsidR="00AE4A62" w:rsidRPr="00AE4A62" w:rsidRDefault="78C0BD4D" w:rsidP="78C0BD4D">
            <w:pPr>
              <w:rPr>
                <w:rFonts w:ascii="Arial" w:hAnsi="Arial" w:cs="Arial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Elaboración de los escenarios</w:t>
            </w:r>
            <w:r w:rsidRPr="78C0BD4D">
              <w:rPr>
                <w:rFonts w:ascii="Arial" w:hAnsi="Arial" w:cs="Arial"/>
                <w:sz w:val="19"/>
                <w:szCs w:val="19"/>
                <w:lang w:val="es-ES"/>
              </w:rPr>
              <w:t xml:space="preserve"> prospectivos del sector energía, con los elementos provistos por el INEEL, la CRE, el CENACE y la SEMARNAT, para actualizar las metas de EL y ET de  la Estrategia de Transición para Promover el Uso de Tecnologías y Combustibles más Limpios (ETE).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C2BF4C5" w14:textId="46B51A50" w:rsidR="00AE4A62" w:rsidRPr="00F940F5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D5A2101" w14:textId="05565E01" w:rsidR="00AE4A62" w:rsidRPr="00F940F5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5B0EB85" w14:textId="2DDBD572" w:rsidR="00AE4A62" w:rsidRPr="00F940F5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2F482416" w14:textId="36858B95" w:rsidR="00AE4A62" w:rsidRPr="00844903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en el portal de SENER.</w:t>
            </w:r>
          </w:p>
        </w:tc>
      </w:tr>
      <w:tr w:rsidR="00784005" w:rsidRPr="002D5240" w14:paraId="4F786D69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3719A1FA" w14:textId="1DC88A25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Aprobación de la </w:t>
            </w:r>
            <w:r w:rsidR="00B168CC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ETE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D67C1A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07DB2C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13F9D36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707EE732" w14:textId="77777777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Decreto mediante el cual la SENER aprueba y publica la ETE, publicado en el DOF.</w:t>
            </w:r>
          </w:p>
        </w:tc>
      </w:tr>
      <w:tr w:rsidR="003730AF" w:rsidRPr="002D5240" w14:paraId="5D381762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70BD6EF4" w14:textId="650ABE83" w:rsidR="003730AF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sz w:val="19"/>
                <w:szCs w:val="19"/>
                <w:lang w:val="es-MX"/>
              </w:rPr>
              <w:lastRenderedPageBreak/>
              <w:t>Cumplimiento de las metas de disminución de la intensidad energética del consumo final, respecto a 2014.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E568B57" w14:textId="26D3887D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92C5675" w14:textId="4BFC18F7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4FD95C7" w14:textId="06A1CE56" w:rsidR="003730AF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4F67D3E0" w14:textId="06A03CB2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sz w:val="19"/>
                <w:szCs w:val="19"/>
                <w:lang w:val="es-MX"/>
              </w:rPr>
              <w:t>Reporte de cumplimiento de las metas de eficiencia energética, publicado en el portal de SENER.</w:t>
            </w:r>
          </w:p>
        </w:tc>
      </w:tr>
      <w:tr w:rsidR="00784005" w:rsidRPr="002D5240" w14:paraId="28CE7DAD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5A0A45E9" w14:textId="2C70378D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Aprobación y actualización del Programa Especial de Transición Energética, aprobado. 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5728E3A5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6B20F46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800E493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254D7D59" w14:textId="6706A3F5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Acuerdo por el que se emite el Programa Especial de Transición Energética, publicado en el DOF.</w:t>
            </w:r>
          </w:p>
        </w:tc>
      </w:tr>
      <w:tr w:rsidR="003730AF" w:rsidRPr="002D5240" w14:paraId="27899552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58460D90" w14:textId="7E1141EC" w:rsidR="003730AF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Cumplimiento de las metas de participación de energías limpias en la generación de energía eléctrica.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2832D00" w14:textId="1D70A115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D620AC0" w14:textId="7D892E96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54358F7" w14:textId="4E61A7BC" w:rsidR="003730AF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43B8E72E" w14:textId="7B8ECA53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Informe de avance del PETE, publicado en el portal de SENER.</w:t>
            </w:r>
          </w:p>
        </w:tc>
      </w:tr>
      <w:tr w:rsidR="00784005" w:rsidRPr="002D5240" w14:paraId="23D6AEC0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14B80E1F" w14:textId="125B25AB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Aprobación y actualización del Programa Nacional para el Aprovechamiento Sustentable de Energía </w:t>
            </w:r>
            <w:r w:rsidR="007C26E6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(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PRONASE).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74027E8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EBD9F0C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B8B4F45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center"/>
          </w:tcPr>
          <w:p w14:paraId="5A6D07F2" w14:textId="77777777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Acuerdo por el que la SENER aprueba y Publica el PRONASE, publicado en el DOF.</w:t>
            </w:r>
          </w:p>
        </w:tc>
      </w:tr>
      <w:tr w:rsidR="003730AF" w:rsidRPr="002D5240" w14:paraId="73C7198D" w14:textId="77777777" w:rsidTr="78C0BD4D">
        <w:trPr>
          <w:trHeight w:val="855"/>
        </w:trPr>
        <w:tc>
          <w:tcPr>
            <w:tcW w:w="1835" w:type="pct"/>
            <w:shd w:val="clear" w:color="auto" w:fill="auto"/>
            <w:vAlign w:val="center"/>
          </w:tcPr>
          <w:p w14:paraId="1E860D1E" w14:textId="4A799A47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Emisión de las disposiciones administrativas de carácter general en materia de eficiencia energética en los inmuebles, flotas vehiculares e instalaciones industriales de la Administración Pública Federal.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7B207B3" w14:textId="4C0E39F7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3DE22AA" w14:textId="4A5E58B0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BE495EC" w14:textId="10AC7EFC" w:rsidR="003730AF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bottom"/>
          </w:tcPr>
          <w:p w14:paraId="2B58411F" w14:textId="65799902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Disposiciones administrativas de carácter general en materia de eficiencia energética en los inmuebles, flotas vehiculares e instalaciones industriales de la Administración Pública Federal publicadas en el DOF.</w:t>
            </w:r>
          </w:p>
        </w:tc>
      </w:tr>
      <w:tr w:rsidR="00784005" w:rsidRPr="002D5240" w14:paraId="05FA9048" w14:textId="77777777" w:rsidTr="78C0BD4D">
        <w:trPr>
          <w:trHeight w:val="1145"/>
        </w:trPr>
        <w:tc>
          <w:tcPr>
            <w:tcW w:w="1835" w:type="pct"/>
            <w:shd w:val="clear" w:color="auto" w:fill="auto"/>
            <w:vAlign w:val="center"/>
          </w:tcPr>
          <w:p w14:paraId="7DFABB70" w14:textId="5B781A08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de la regulación para la adquisición de Certificados de Energía Limpia (CELs), aprobada.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6F5A0A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8215FA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35FE8A7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  <w:vAlign w:val="bottom"/>
          </w:tcPr>
          <w:p w14:paraId="716D3E15" w14:textId="77777777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Aviso por el que se da a conocer el requisito para la adquisición de CELs en 2018, publicado en el DOF.</w:t>
            </w:r>
          </w:p>
          <w:p w14:paraId="06F3AFA8" w14:textId="77777777" w:rsidR="00784005" w:rsidRPr="00973190" w:rsidRDefault="00784005" w:rsidP="00784005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</w:p>
          <w:p w14:paraId="4DA6759B" w14:textId="77777777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Resolución por la que se expiden los criterios para la imposición de sanciones que deriven del incumplimiento de las obligaciones en materia de energías limpias, publicado en el DOF.</w:t>
            </w:r>
          </w:p>
        </w:tc>
      </w:tr>
      <w:tr w:rsidR="003730AF" w:rsidRPr="002D5240" w14:paraId="390655A0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bottom"/>
          </w:tcPr>
          <w:p w14:paraId="643411D6" w14:textId="1320AC66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Asignación de CEL de acuerdo con la regulación y requisitos establecidos.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3C9D35BB" w14:textId="62BAF89A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6230B7D" w14:textId="7C3F2CB0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97CC255" w14:textId="2FD312E8" w:rsidR="003730AF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</w:tcPr>
          <w:p w14:paraId="0237FD8A" w14:textId="3E7DDA63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Reporte de asignación de CEL emitido por la CRE y publicado en su portal.</w:t>
            </w:r>
          </w:p>
        </w:tc>
      </w:tr>
      <w:tr w:rsidR="00784005" w:rsidRPr="002D5240" w14:paraId="5EF3AEFD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bottom"/>
          </w:tcPr>
          <w:p w14:paraId="787DCCE1" w14:textId="298B95C0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de los resultados de las primeras dos Subastas de Largo Plazo del Mercado Eléctrico Mayorista, realizadas.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D29D2D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889782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CD3ADBC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</w:p>
        </w:tc>
        <w:tc>
          <w:tcPr>
            <w:tcW w:w="1941" w:type="pct"/>
          </w:tcPr>
          <w:p w14:paraId="0FBCF445" w14:textId="6AFCAF5A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Resultados de las dos primeras Subasta de Largo, publicados en el portal de CENACE.</w:t>
            </w:r>
          </w:p>
        </w:tc>
      </w:tr>
      <w:tr w:rsidR="003730AF" w:rsidRPr="002D5240" w14:paraId="5297612C" w14:textId="77777777" w:rsidTr="78C0BD4D">
        <w:trPr>
          <w:trHeight w:val="441"/>
        </w:trPr>
        <w:tc>
          <w:tcPr>
            <w:tcW w:w="1835" w:type="pct"/>
            <w:shd w:val="clear" w:color="auto" w:fill="auto"/>
            <w:vAlign w:val="center"/>
          </w:tcPr>
          <w:p w14:paraId="351A3126" w14:textId="264ED4BE" w:rsidR="003730AF" w:rsidRPr="0087106E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Realización de nuevas Subastas de Largo Plazo del Mercado Mayorista.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48DC4F0D" w14:textId="2F016AE0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6D1942B" w14:textId="0A1A892A" w:rsidR="003730AF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712E056B" w14:textId="4A721544" w:rsidR="003730AF" w:rsidRPr="00993D6B" w:rsidRDefault="78C0BD4D" w:rsidP="78C0BD4D">
            <w:pPr>
              <w:jc w:val="center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0D92C4DF" w14:textId="7C5C494E" w:rsidR="003730AF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Resultados de las nuevas Subasta</w:t>
            </w:r>
            <w:r w:rsidR="007C26E6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s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 xml:space="preserve"> de Largo Plazo, publicados en portal de CENACE.</w:t>
            </w:r>
          </w:p>
        </w:tc>
      </w:tr>
      <w:tr w:rsidR="00784005" w:rsidRPr="00935518" w14:paraId="609BA30E" w14:textId="77777777" w:rsidTr="78C0BD4D">
        <w:trPr>
          <w:trHeight w:val="297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14:paraId="61B46536" w14:textId="2687945B" w:rsidR="00784005" w:rsidRPr="00993D6B" w:rsidRDefault="00B168CC" w:rsidP="78C0BD4D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 xml:space="preserve">V. </w:t>
            </w:r>
            <w:r w:rsidRPr="00B168CC">
              <w:rPr>
                <w:lang w:val="es-ES_tradnl"/>
              </w:rPr>
              <w:t xml:space="preserve"> </w:t>
            </w:r>
            <w:r w:rsidRPr="00B168CC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ES"/>
              </w:rPr>
              <w:t>Incremento de la cobertura eléctrica en comunidades rurales y zonas urbanas marginadas</w:t>
            </w:r>
          </w:p>
        </w:tc>
      </w:tr>
      <w:tr w:rsidR="00784005" w:rsidRPr="002D5240" w14:paraId="6995B642" w14:textId="77777777" w:rsidTr="78C0BD4D">
        <w:trPr>
          <w:trHeight w:val="711"/>
        </w:trPr>
        <w:tc>
          <w:tcPr>
            <w:tcW w:w="1835" w:type="pct"/>
            <w:shd w:val="clear" w:color="auto" w:fill="auto"/>
            <w:vAlign w:val="center"/>
          </w:tcPr>
          <w:p w14:paraId="4DCB3324" w14:textId="15120697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de la regulación del Fondo de Servicio Universal Eléctrico, aprobada.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775CADE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CF45182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3E7BE2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-</w:t>
            </w:r>
          </w:p>
        </w:tc>
        <w:tc>
          <w:tcPr>
            <w:tcW w:w="1941" w:type="pct"/>
            <w:vAlign w:val="center"/>
          </w:tcPr>
          <w:p w14:paraId="7C775E92" w14:textId="6F939D27" w:rsidR="00784005" w:rsidRPr="00973190" w:rsidRDefault="78C0BD4D" w:rsidP="78C0BD4D">
            <w:pPr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Convenio modificatorio contrato de creación del FSUE, publicado en el PGdM.</w:t>
            </w:r>
          </w:p>
          <w:p w14:paraId="0A73F6E9" w14:textId="77777777" w:rsidR="00784005" w:rsidRPr="00973190" w:rsidRDefault="00784005" w:rsidP="00784005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</w:p>
          <w:p w14:paraId="1DD40377" w14:textId="0D00DA41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Reglas de operación del FSUE, en el PGdM.</w:t>
            </w:r>
          </w:p>
        </w:tc>
      </w:tr>
      <w:tr w:rsidR="00784005" w:rsidRPr="002D5240" w14:paraId="79A19F69" w14:textId="77777777" w:rsidTr="78C0BD4D">
        <w:trPr>
          <w:trHeight w:val="504"/>
        </w:trPr>
        <w:tc>
          <w:tcPr>
            <w:tcW w:w="1835" w:type="pct"/>
            <w:shd w:val="clear" w:color="auto" w:fill="auto"/>
            <w:vAlign w:val="center"/>
          </w:tcPr>
          <w:p w14:paraId="2F7DED80" w14:textId="51E2025A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Publicación de la invitación a los distribuidores para presentar proyectos de electrificación en las comunidades rurales y zonas urbano marginadas.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D0D1415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9C80F2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AFABE8A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O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CO"/>
              </w:rPr>
              <w:t>-</w:t>
            </w:r>
          </w:p>
        </w:tc>
        <w:tc>
          <w:tcPr>
            <w:tcW w:w="1941" w:type="pct"/>
            <w:vAlign w:val="center"/>
          </w:tcPr>
          <w:p w14:paraId="206C6669" w14:textId="433F1758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Invitación a los distribuidores para presentar proyectos de electrificación en comunidades rurales y zonas urbanas marginadas, publicada en la plataforma del Fideicomiso para el Ahorro de Energía Eléctrica (FIDE).</w:t>
            </w:r>
          </w:p>
        </w:tc>
      </w:tr>
      <w:tr w:rsidR="00784005" w:rsidRPr="002D5240" w14:paraId="1673D9F4" w14:textId="77777777" w:rsidTr="78C0BD4D">
        <w:trPr>
          <w:trHeight w:val="712"/>
        </w:trPr>
        <w:tc>
          <w:tcPr>
            <w:tcW w:w="1835" w:type="pct"/>
            <w:shd w:val="clear" w:color="auto" w:fill="auto"/>
            <w:vAlign w:val="center"/>
          </w:tcPr>
          <w:p w14:paraId="486D741B" w14:textId="666F59F1" w:rsidR="00784005" w:rsidRPr="00993D6B" w:rsidRDefault="78C0BD4D" w:rsidP="78C0BD4D">
            <w:pPr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MX"/>
              </w:rPr>
              <w:t>Publicación del número de localidades electrificadas</w:t>
            </w: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A0C1E7B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0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DFA1306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ES"/>
              </w:rPr>
              <w:t>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B8ABD0" w14:textId="77777777" w:rsidR="00784005" w:rsidRPr="00993D6B" w:rsidRDefault="78C0BD4D" w:rsidP="78C0BD4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1</w:t>
            </w:r>
          </w:p>
        </w:tc>
        <w:tc>
          <w:tcPr>
            <w:tcW w:w="1941" w:type="pct"/>
            <w:vAlign w:val="center"/>
          </w:tcPr>
          <w:p w14:paraId="60A43436" w14:textId="58DA5D9F" w:rsidR="00784005" w:rsidRPr="00993D6B" w:rsidRDefault="78C0BD4D" w:rsidP="78C0BD4D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78C0BD4D">
              <w:rPr>
                <w:rFonts w:ascii="Arial" w:hAnsi="Arial" w:cs="Arial"/>
                <w:color w:val="000000" w:themeColor="text1"/>
                <w:sz w:val="19"/>
                <w:szCs w:val="19"/>
                <w:lang w:val="es-ES"/>
              </w:rPr>
              <w:t>Reportes de localidades electrificadas, con recursos del FSUE, en el portal de FIDE.</w:t>
            </w:r>
          </w:p>
        </w:tc>
      </w:tr>
    </w:tbl>
    <w:bookmarkEnd w:id="7"/>
    <w:p w14:paraId="757D336A" w14:textId="77777777" w:rsidR="00FC7001" w:rsidRPr="00993D6B" w:rsidRDefault="00B954ED" w:rsidP="00FC7001">
      <w:pPr>
        <w:rPr>
          <w:rFonts w:ascii="Arial" w:hAnsi="Arial" w:cs="Arial"/>
          <w:color w:val="000000"/>
          <w:sz w:val="18"/>
          <w:szCs w:val="18"/>
          <w:lang w:val="es-ES_tradnl"/>
        </w:rPr>
      </w:pPr>
      <w:r w:rsidRPr="00993D6B">
        <w:rPr>
          <w:rFonts w:ascii="Arial" w:hAnsi="Arial" w:cs="Arial"/>
          <w:color w:val="000000"/>
          <w:sz w:val="18"/>
          <w:szCs w:val="18"/>
          <w:lang w:val="es-ES_tradnl"/>
        </w:rPr>
        <w:br w:type="textWrapping" w:clear="all"/>
      </w:r>
    </w:p>
    <w:p w14:paraId="5F2A582D" w14:textId="77777777" w:rsidR="00FC7001" w:rsidRPr="00993D6B" w:rsidRDefault="00FC7001" w:rsidP="00FC7001">
      <w:pPr>
        <w:rPr>
          <w:rFonts w:ascii="Arial" w:hAnsi="Arial" w:cs="Arial"/>
          <w:color w:val="000000"/>
          <w:sz w:val="18"/>
          <w:szCs w:val="18"/>
          <w:lang w:val="es-ES_tradnl"/>
        </w:rPr>
      </w:pPr>
    </w:p>
    <w:p w14:paraId="76859B20" w14:textId="77777777" w:rsidR="00FC7001" w:rsidRPr="00993D6B" w:rsidRDefault="00FC7001" w:rsidP="005F54E1">
      <w:pPr>
        <w:rPr>
          <w:rFonts w:ascii="Arial" w:hAnsi="Arial" w:cs="Arial"/>
          <w:color w:val="000000"/>
          <w:sz w:val="18"/>
          <w:szCs w:val="18"/>
          <w:lang w:val="es-ES_tradnl"/>
        </w:rPr>
      </w:pPr>
    </w:p>
    <w:p w14:paraId="7E9D0039" w14:textId="77777777" w:rsidR="00302B34" w:rsidRPr="00993D6B" w:rsidRDefault="00302B34" w:rsidP="005F54E1">
      <w:pPr>
        <w:rPr>
          <w:rFonts w:ascii="Arial" w:hAnsi="Arial" w:cs="Arial"/>
          <w:color w:val="000000"/>
          <w:sz w:val="18"/>
          <w:szCs w:val="18"/>
          <w:lang w:val="es-ES_tradnl"/>
        </w:rPr>
      </w:pPr>
    </w:p>
    <w:sectPr w:rsidR="00302B34" w:rsidRPr="00993D6B" w:rsidSect="00C83697">
      <w:headerReference w:type="even" r:id="rId14"/>
      <w:headerReference w:type="default" r:id="rId15"/>
      <w:pgSz w:w="15840" w:h="12240" w:orient="landscape"/>
      <w:pgMar w:top="1331" w:right="851" w:bottom="1276" w:left="125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FB5C" w14:textId="77777777" w:rsidR="00C60D9E" w:rsidRDefault="00C60D9E">
      <w:r>
        <w:separator/>
      </w:r>
    </w:p>
  </w:endnote>
  <w:endnote w:type="continuationSeparator" w:id="0">
    <w:p w14:paraId="196EF852" w14:textId="77777777" w:rsidR="00C60D9E" w:rsidRDefault="00C6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D3300" w14:textId="77777777" w:rsidR="00C60D9E" w:rsidRDefault="00C60D9E">
      <w:r>
        <w:separator/>
      </w:r>
    </w:p>
  </w:footnote>
  <w:footnote w:type="continuationSeparator" w:id="0">
    <w:p w14:paraId="64C63A88" w14:textId="77777777" w:rsidR="00C60D9E" w:rsidRDefault="00C60D9E">
      <w:r>
        <w:continuationSeparator/>
      </w:r>
    </w:p>
  </w:footnote>
  <w:footnote w:id="1">
    <w:p w14:paraId="2879F640" w14:textId="6668FFF3" w:rsidR="00AE4A62" w:rsidRPr="00993D6B" w:rsidRDefault="00AE4A62">
      <w:pPr>
        <w:pStyle w:val="FootnoteText"/>
        <w:rPr>
          <w:rFonts w:ascii="Arial" w:hAnsi="Arial" w:cs="Arial"/>
          <w:sz w:val="18"/>
          <w:lang w:val="es-MX"/>
        </w:rPr>
      </w:pPr>
      <w:r w:rsidRPr="00993D6B">
        <w:rPr>
          <w:rStyle w:val="FootnoteReference"/>
          <w:rFonts w:ascii="Arial" w:hAnsi="Arial" w:cs="Arial"/>
          <w:sz w:val="18"/>
        </w:rPr>
        <w:footnoteRef/>
      </w:r>
      <w:r w:rsidRPr="00993D6B">
        <w:rPr>
          <w:rFonts w:ascii="Arial" w:hAnsi="Arial" w:cs="Arial"/>
          <w:sz w:val="18"/>
          <w:lang w:val="es-MX"/>
        </w:rPr>
        <w:t xml:space="preserve"> Estimado de emisiones de CO</w:t>
      </w:r>
      <w:r w:rsidRPr="00993D6B">
        <w:rPr>
          <w:rFonts w:ascii="Arial" w:hAnsi="Arial" w:cs="Arial"/>
          <w:sz w:val="18"/>
          <w:vertAlign w:val="subscript"/>
          <w:lang w:val="es-MX"/>
        </w:rPr>
        <w:t xml:space="preserve">2 </w:t>
      </w:r>
      <w:r w:rsidRPr="00993D6B">
        <w:rPr>
          <w:rFonts w:ascii="Arial" w:hAnsi="Arial" w:cs="Arial"/>
          <w:sz w:val="18"/>
          <w:lang w:val="es-MX"/>
        </w:rPr>
        <w:t>al 2020, de acuerdo con la línea base</w:t>
      </w:r>
      <w:r>
        <w:rPr>
          <w:rFonts w:ascii="Arial" w:hAnsi="Arial" w:cs="Arial"/>
          <w:sz w:val="18"/>
          <w:lang w:val="es-MX"/>
        </w:rPr>
        <w:t>.</w:t>
      </w:r>
    </w:p>
  </w:footnote>
  <w:footnote w:id="2">
    <w:p w14:paraId="69E8CFB0" w14:textId="1C68C6A3" w:rsidR="00AE4A62" w:rsidRPr="00993D6B" w:rsidRDefault="00AE4A62">
      <w:pPr>
        <w:pStyle w:val="FootnoteText"/>
        <w:rPr>
          <w:rFonts w:ascii="Arial" w:hAnsi="Arial" w:cs="Arial"/>
          <w:sz w:val="18"/>
          <w:lang w:val="es-MX"/>
        </w:rPr>
      </w:pPr>
      <w:r w:rsidRPr="00993D6B">
        <w:rPr>
          <w:rStyle w:val="FootnoteReference"/>
          <w:rFonts w:ascii="Arial" w:hAnsi="Arial" w:cs="Arial"/>
          <w:sz w:val="18"/>
        </w:rPr>
        <w:footnoteRef/>
      </w:r>
      <w:r w:rsidRPr="00993D6B">
        <w:rPr>
          <w:rFonts w:ascii="Arial" w:hAnsi="Arial" w:cs="Arial"/>
          <w:sz w:val="18"/>
          <w:lang w:val="es-MX"/>
        </w:rPr>
        <w:t xml:space="preserve"> Fuente: Prospectiva de Gas natural 2016-2030, </w:t>
      </w:r>
      <w:hyperlink r:id="rId1" w:history="1">
        <w:r w:rsidR="00B168CC">
          <w:rPr>
            <w:rStyle w:val="Hyperlink"/>
            <w:rFonts w:ascii="Arial" w:hAnsi="Arial" w:cs="Arial"/>
            <w:sz w:val="18"/>
            <w:lang w:val="es-MX"/>
          </w:rPr>
          <w:t>https://www.gob.mx/cms</w:t>
        </w:r>
      </w:hyperlink>
      <w:r>
        <w:rPr>
          <w:rFonts w:ascii="Arial" w:hAnsi="Arial" w:cs="Arial"/>
          <w:sz w:val="18"/>
          <w:lang w:val="es-MX"/>
        </w:rPr>
        <w:t>.</w:t>
      </w:r>
    </w:p>
    <w:p w14:paraId="237475FF" w14:textId="77777777" w:rsidR="00AE4A62" w:rsidRPr="00993D6B" w:rsidRDefault="00AE4A62">
      <w:pPr>
        <w:pStyle w:val="FootnoteText"/>
        <w:rPr>
          <w:rFonts w:ascii="Arial" w:hAnsi="Arial" w:cs="Arial"/>
          <w:sz w:val="18"/>
          <w:lang w:val="es-MX"/>
        </w:rPr>
      </w:pPr>
    </w:p>
  </w:footnote>
  <w:footnote w:id="3">
    <w:p w14:paraId="45DF700F" w14:textId="7C72468F" w:rsidR="00AE4A62" w:rsidRPr="00993D6B" w:rsidRDefault="00AE4A62">
      <w:pPr>
        <w:pStyle w:val="FootnoteText"/>
        <w:rPr>
          <w:rFonts w:ascii="Arial" w:hAnsi="Arial" w:cs="Arial"/>
          <w:sz w:val="18"/>
          <w:lang w:val="es-MX"/>
        </w:rPr>
      </w:pPr>
      <w:r w:rsidRPr="00993D6B">
        <w:rPr>
          <w:rStyle w:val="FootnoteReference"/>
          <w:rFonts w:ascii="Arial" w:hAnsi="Arial" w:cs="Arial"/>
          <w:sz w:val="18"/>
        </w:rPr>
        <w:footnoteRef/>
      </w:r>
      <w:r w:rsidRPr="00993D6B">
        <w:rPr>
          <w:rFonts w:ascii="Arial" w:hAnsi="Arial" w:cs="Arial"/>
          <w:sz w:val="18"/>
          <w:lang w:val="es-MX"/>
        </w:rPr>
        <w:t xml:space="preserve"> Se refiere al consumo final de energía</w:t>
      </w:r>
      <w:r>
        <w:rPr>
          <w:rFonts w:ascii="Arial" w:hAnsi="Arial" w:cs="Arial"/>
          <w:sz w:val="18"/>
          <w:lang w:val="es-MX"/>
        </w:rPr>
        <w:t>.</w:t>
      </w:r>
    </w:p>
  </w:footnote>
  <w:footnote w:id="4">
    <w:p w14:paraId="1FA2DEAD" w14:textId="4806F046" w:rsidR="00AE4A62" w:rsidRPr="00993D6B" w:rsidRDefault="00AE4A62">
      <w:pPr>
        <w:pStyle w:val="FootnoteText"/>
        <w:rPr>
          <w:rFonts w:ascii="Arial" w:hAnsi="Arial" w:cs="Arial"/>
          <w:sz w:val="18"/>
          <w:lang w:val="es-MX"/>
        </w:rPr>
      </w:pPr>
      <w:r w:rsidRPr="00993D6B">
        <w:rPr>
          <w:rStyle w:val="FootnoteReference"/>
          <w:rFonts w:ascii="Arial" w:hAnsi="Arial" w:cs="Arial"/>
          <w:sz w:val="18"/>
        </w:rPr>
        <w:footnoteRef/>
      </w:r>
      <w:r w:rsidRPr="00993D6B">
        <w:rPr>
          <w:rFonts w:ascii="Arial" w:hAnsi="Arial" w:cs="Arial"/>
          <w:sz w:val="18"/>
          <w:lang w:val="es-MX"/>
        </w:rPr>
        <w:t xml:space="preserve"> SENER, Programa de Desarrollo del Sector Eléctrico Nacional 2017-2031, </w:t>
      </w:r>
      <w:hyperlink r:id="rId2" w:history="1">
        <w:r w:rsidR="00B168CC">
          <w:rPr>
            <w:rStyle w:val="Hyperlink"/>
            <w:rFonts w:ascii="Arial" w:hAnsi="Arial" w:cs="Arial"/>
            <w:sz w:val="18"/>
            <w:lang w:val="es-ES_tradnl"/>
          </w:rPr>
          <w:t>http://base.energia.gob.mx</w:t>
        </w:r>
      </w:hyperlink>
      <w:r>
        <w:rPr>
          <w:rFonts w:ascii="Arial" w:hAnsi="Arial" w:cs="Arial"/>
          <w:sz w:val="18"/>
          <w:lang w:val="es-MX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2AFB" w14:textId="77777777" w:rsidR="00AE4A62" w:rsidRDefault="00AE4A62" w:rsidP="00C8384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B3A672" w14:textId="77777777" w:rsidR="00AE4A62" w:rsidRDefault="00AE4A62" w:rsidP="00C8384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DABB4" w14:textId="0C9B4A1A" w:rsidR="00AE4A62" w:rsidRPr="00993D6B" w:rsidRDefault="78C0BD4D" w:rsidP="78C0BD4D">
    <w:pPr>
      <w:jc w:val="right"/>
      <w:rPr>
        <w:rFonts w:ascii="Arial" w:hAnsi="Arial" w:cs="Arial"/>
        <w:sz w:val="18"/>
        <w:szCs w:val="18"/>
        <w:lang w:val="pt-BR"/>
      </w:rPr>
    </w:pPr>
    <w:r w:rsidRPr="78C0BD4D">
      <w:rPr>
        <w:rFonts w:ascii="Arial" w:hAnsi="Arial" w:cs="Arial"/>
        <w:sz w:val="18"/>
        <w:szCs w:val="18"/>
        <w:lang w:val="pt-BR"/>
      </w:rPr>
      <w:t xml:space="preserve">ME-L1264 </w:t>
    </w:r>
  </w:p>
  <w:p w14:paraId="5D40ED6F" w14:textId="129DCFE9" w:rsidR="00AE4A62" w:rsidRPr="00993D6B" w:rsidRDefault="78C0BD4D" w:rsidP="78C0BD4D">
    <w:pPr>
      <w:jc w:val="right"/>
      <w:rPr>
        <w:rFonts w:ascii="Arial" w:hAnsi="Arial" w:cs="Arial"/>
        <w:sz w:val="18"/>
        <w:szCs w:val="18"/>
        <w:lang w:val="pt-BR"/>
      </w:rPr>
    </w:pPr>
    <w:r w:rsidRPr="78C0BD4D">
      <w:rPr>
        <w:rFonts w:ascii="Arial" w:hAnsi="Arial" w:cs="Arial"/>
        <w:sz w:val="18"/>
        <w:szCs w:val="18"/>
        <w:lang w:val="pt-BR"/>
      </w:rPr>
      <w:t xml:space="preserve">Página </w: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begin"/>
    </w:r>
    <w:r w:rsidR="00AE4A62" w:rsidRPr="78C0BD4D">
      <w:rPr>
        <w:rFonts w:ascii="Arial" w:hAnsi="Arial" w:cs="Arial"/>
        <w:noProof/>
        <w:sz w:val="18"/>
        <w:szCs w:val="18"/>
        <w:lang w:val="pt-BR"/>
      </w:rPr>
      <w:instrText xml:space="preserve"> PAGE   \* MERGEFORMAT </w:instrTex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separate"/>
    </w:r>
    <w:r w:rsidR="002D5240">
      <w:rPr>
        <w:rFonts w:ascii="Arial" w:hAnsi="Arial" w:cs="Arial"/>
        <w:noProof/>
        <w:sz w:val="18"/>
        <w:szCs w:val="18"/>
        <w:lang w:val="pt-BR"/>
      </w:rPr>
      <w:t>1</w: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end"/>
    </w:r>
    <w:r w:rsidRPr="78C0BD4D">
      <w:rPr>
        <w:rFonts w:ascii="Arial" w:hAnsi="Arial" w:cs="Arial"/>
        <w:sz w:val="18"/>
        <w:szCs w:val="18"/>
        <w:lang w:val="pt-BR"/>
      </w:rPr>
      <w:t xml:space="preserve"> de </w: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begin"/>
    </w:r>
    <w:r w:rsidR="00AE4A62" w:rsidRPr="78C0BD4D">
      <w:rPr>
        <w:rFonts w:ascii="Arial" w:hAnsi="Arial" w:cs="Arial"/>
        <w:noProof/>
        <w:sz w:val="18"/>
        <w:szCs w:val="18"/>
        <w:lang w:val="pt-BR"/>
      </w:rPr>
      <w:instrText xml:space="preserve"> NUMPAGES   \* MERGEFORMAT </w:instrTex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separate"/>
    </w:r>
    <w:r w:rsidR="002D5240">
      <w:rPr>
        <w:rFonts w:ascii="Arial" w:hAnsi="Arial" w:cs="Arial"/>
        <w:noProof/>
        <w:sz w:val="18"/>
        <w:szCs w:val="18"/>
        <w:lang w:val="pt-BR"/>
      </w:rPr>
      <w:t>5</w:t>
    </w:r>
    <w:r w:rsidR="00AE4A62" w:rsidRPr="78C0BD4D">
      <w:rPr>
        <w:rFonts w:ascii="Arial" w:hAnsi="Arial" w:cs="Arial"/>
        <w:noProof/>
        <w:sz w:val="18"/>
        <w:szCs w:val="18"/>
        <w:lang w:val="pt-BR"/>
      </w:rPr>
      <w:fldChar w:fldCharType="end"/>
    </w:r>
  </w:p>
  <w:p w14:paraId="1EE19B62" w14:textId="77777777" w:rsidR="00AE4A62" w:rsidRPr="00702778" w:rsidRDefault="00AE4A62" w:rsidP="0017200D">
    <w:pPr>
      <w:pStyle w:val="Header"/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92B77"/>
    <w:multiLevelType w:val="hybridMultilevel"/>
    <w:tmpl w:val="4FBA136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10C1"/>
    <w:multiLevelType w:val="hybridMultilevel"/>
    <w:tmpl w:val="F1FE5E6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E1FE9"/>
    <w:multiLevelType w:val="hybridMultilevel"/>
    <w:tmpl w:val="19E25654"/>
    <w:lvl w:ilvl="0" w:tplc="13366E2C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92183"/>
    <w:multiLevelType w:val="hybridMultilevel"/>
    <w:tmpl w:val="E5A69F68"/>
    <w:lvl w:ilvl="0" w:tplc="BD7A98E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143CA"/>
    <w:multiLevelType w:val="hybridMultilevel"/>
    <w:tmpl w:val="49000742"/>
    <w:lvl w:ilvl="0" w:tplc="A0F43EE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1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CO" w:vendorID="64" w:dllVersion="0" w:nlCheck="1" w:checkStyle="0"/>
  <w:activeWritingStyle w:appName="MSWord" w:lang="es-A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9E9"/>
    <w:rsid w:val="00000872"/>
    <w:rsid w:val="00001178"/>
    <w:rsid w:val="00004482"/>
    <w:rsid w:val="00005B5C"/>
    <w:rsid w:val="000072AB"/>
    <w:rsid w:val="0000799A"/>
    <w:rsid w:val="000116F9"/>
    <w:rsid w:val="000145B7"/>
    <w:rsid w:val="00014763"/>
    <w:rsid w:val="00024415"/>
    <w:rsid w:val="00026C92"/>
    <w:rsid w:val="00031171"/>
    <w:rsid w:val="000341AF"/>
    <w:rsid w:val="0003462E"/>
    <w:rsid w:val="00036D36"/>
    <w:rsid w:val="00044290"/>
    <w:rsid w:val="00046FE2"/>
    <w:rsid w:val="000514DC"/>
    <w:rsid w:val="00061E63"/>
    <w:rsid w:val="00064A3F"/>
    <w:rsid w:val="00064E84"/>
    <w:rsid w:val="0006691E"/>
    <w:rsid w:val="000737B0"/>
    <w:rsid w:val="000801D7"/>
    <w:rsid w:val="00080FCB"/>
    <w:rsid w:val="0008531F"/>
    <w:rsid w:val="000908FE"/>
    <w:rsid w:val="00097037"/>
    <w:rsid w:val="000A3E4A"/>
    <w:rsid w:val="000A67D0"/>
    <w:rsid w:val="000A78B6"/>
    <w:rsid w:val="000A7B5C"/>
    <w:rsid w:val="000B1AC4"/>
    <w:rsid w:val="000C5F9F"/>
    <w:rsid w:val="000C6BD0"/>
    <w:rsid w:val="000D247B"/>
    <w:rsid w:val="000E001A"/>
    <w:rsid w:val="000E11D2"/>
    <w:rsid w:val="000E3F46"/>
    <w:rsid w:val="000E4797"/>
    <w:rsid w:val="000E5F65"/>
    <w:rsid w:val="000E799A"/>
    <w:rsid w:val="000F0DE8"/>
    <w:rsid w:val="00100803"/>
    <w:rsid w:val="001016B6"/>
    <w:rsid w:val="00102AAC"/>
    <w:rsid w:val="00113544"/>
    <w:rsid w:val="00117284"/>
    <w:rsid w:val="00120600"/>
    <w:rsid w:val="001270F6"/>
    <w:rsid w:val="00127DE8"/>
    <w:rsid w:val="00137445"/>
    <w:rsid w:val="001376F3"/>
    <w:rsid w:val="00140C87"/>
    <w:rsid w:val="00144688"/>
    <w:rsid w:val="00151670"/>
    <w:rsid w:val="0015208E"/>
    <w:rsid w:val="0015427D"/>
    <w:rsid w:val="0015638A"/>
    <w:rsid w:val="0016410B"/>
    <w:rsid w:val="00164D32"/>
    <w:rsid w:val="0017200D"/>
    <w:rsid w:val="00174D96"/>
    <w:rsid w:val="00177455"/>
    <w:rsid w:val="00182B6C"/>
    <w:rsid w:val="00183753"/>
    <w:rsid w:val="00183E01"/>
    <w:rsid w:val="001924C6"/>
    <w:rsid w:val="00197595"/>
    <w:rsid w:val="0019795E"/>
    <w:rsid w:val="001A1307"/>
    <w:rsid w:val="001A28D5"/>
    <w:rsid w:val="001A5247"/>
    <w:rsid w:val="001A530C"/>
    <w:rsid w:val="001A5479"/>
    <w:rsid w:val="001B356D"/>
    <w:rsid w:val="001B415B"/>
    <w:rsid w:val="001C0273"/>
    <w:rsid w:val="001C395E"/>
    <w:rsid w:val="001D0625"/>
    <w:rsid w:val="001D0F2D"/>
    <w:rsid w:val="001D13ED"/>
    <w:rsid w:val="001D58C7"/>
    <w:rsid w:val="001D6111"/>
    <w:rsid w:val="001D6B55"/>
    <w:rsid w:val="001E5EAD"/>
    <w:rsid w:val="001F05B2"/>
    <w:rsid w:val="001F50D8"/>
    <w:rsid w:val="001F774C"/>
    <w:rsid w:val="00202895"/>
    <w:rsid w:val="00202944"/>
    <w:rsid w:val="002041D4"/>
    <w:rsid w:val="0021108D"/>
    <w:rsid w:val="002122CB"/>
    <w:rsid w:val="00216D43"/>
    <w:rsid w:val="0022180F"/>
    <w:rsid w:val="0022315D"/>
    <w:rsid w:val="00224477"/>
    <w:rsid w:val="0023169F"/>
    <w:rsid w:val="00231B24"/>
    <w:rsid w:val="00233328"/>
    <w:rsid w:val="00233AB8"/>
    <w:rsid w:val="0023434C"/>
    <w:rsid w:val="002357AA"/>
    <w:rsid w:val="00240E2A"/>
    <w:rsid w:val="00243C9B"/>
    <w:rsid w:val="00253CF2"/>
    <w:rsid w:val="0025562E"/>
    <w:rsid w:val="00267D28"/>
    <w:rsid w:val="00270244"/>
    <w:rsid w:val="0027276E"/>
    <w:rsid w:val="00272978"/>
    <w:rsid w:val="00273080"/>
    <w:rsid w:val="00273DD8"/>
    <w:rsid w:val="0027518D"/>
    <w:rsid w:val="00275207"/>
    <w:rsid w:val="0028055C"/>
    <w:rsid w:val="00285093"/>
    <w:rsid w:val="0029388C"/>
    <w:rsid w:val="002A006E"/>
    <w:rsid w:val="002A029C"/>
    <w:rsid w:val="002A0665"/>
    <w:rsid w:val="002A1C2A"/>
    <w:rsid w:val="002A1CCF"/>
    <w:rsid w:val="002B1ED4"/>
    <w:rsid w:val="002B599E"/>
    <w:rsid w:val="002B6C8A"/>
    <w:rsid w:val="002C0CB3"/>
    <w:rsid w:val="002C22FB"/>
    <w:rsid w:val="002C440B"/>
    <w:rsid w:val="002C5B7F"/>
    <w:rsid w:val="002C703F"/>
    <w:rsid w:val="002C740B"/>
    <w:rsid w:val="002D0C8C"/>
    <w:rsid w:val="002D2B31"/>
    <w:rsid w:val="002D3C3C"/>
    <w:rsid w:val="002D419B"/>
    <w:rsid w:val="002D5240"/>
    <w:rsid w:val="002D5AB2"/>
    <w:rsid w:val="002D6814"/>
    <w:rsid w:val="002E3C0B"/>
    <w:rsid w:val="002E54DE"/>
    <w:rsid w:val="002E5E47"/>
    <w:rsid w:val="002E6410"/>
    <w:rsid w:val="002E6DB8"/>
    <w:rsid w:val="002E7737"/>
    <w:rsid w:val="002F19E3"/>
    <w:rsid w:val="002F63EE"/>
    <w:rsid w:val="002F7376"/>
    <w:rsid w:val="00302B34"/>
    <w:rsid w:val="003064FC"/>
    <w:rsid w:val="003164C2"/>
    <w:rsid w:val="00323A00"/>
    <w:rsid w:val="00326147"/>
    <w:rsid w:val="00326588"/>
    <w:rsid w:val="00331243"/>
    <w:rsid w:val="003321B7"/>
    <w:rsid w:val="00334D82"/>
    <w:rsid w:val="0034218C"/>
    <w:rsid w:val="00344243"/>
    <w:rsid w:val="003624E0"/>
    <w:rsid w:val="003730AF"/>
    <w:rsid w:val="00375039"/>
    <w:rsid w:val="003834D5"/>
    <w:rsid w:val="003929E5"/>
    <w:rsid w:val="003968E6"/>
    <w:rsid w:val="003A0140"/>
    <w:rsid w:val="003A29E0"/>
    <w:rsid w:val="003A2B0A"/>
    <w:rsid w:val="003A5943"/>
    <w:rsid w:val="003B64C9"/>
    <w:rsid w:val="003B788D"/>
    <w:rsid w:val="003C3C7C"/>
    <w:rsid w:val="003C4007"/>
    <w:rsid w:val="003C71D8"/>
    <w:rsid w:val="003D0F36"/>
    <w:rsid w:val="003D18E9"/>
    <w:rsid w:val="003D2C5E"/>
    <w:rsid w:val="003D6BBB"/>
    <w:rsid w:val="003E01E5"/>
    <w:rsid w:val="003E4D28"/>
    <w:rsid w:val="003F3433"/>
    <w:rsid w:val="003F35B4"/>
    <w:rsid w:val="003F64EB"/>
    <w:rsid w:val="004053CA"/>
    <w:rsid w:val="004115F1"/>
    <w:rsid w:val="004122FF"/>
    <w:rsid w:val="00417497"/>
    <w:rsid w:val="004216C4"/>
    <w:rsid w:val="00422C99"/>
    <w:rsid w:val="00436C2D"/>
    <w:rsid w:val="00440ABE"/>
    <w:rsid w:val="0044116B"/>
    <w:rsid w:val="00445751"/>
    <w:rsid w:val="00451297"/>
    <w:rsid w:val="00454544"/>
    <w:rsid w:val="00462C53"/>
    <w:rsid w:val="0046605E"/>
    <w:rsid w:val="00470F11"/>
    <w:rsid w:val="00471841"/>
    <w:rsid w:val="0047405A"/>
    <w:rsid w:val="004777DF"/>
    <w:rsid w:val="00487272"/>
    <w:rsid w:val="004902C6"/>
    <w:rsid w:val="004A6309"/>
    <w:rsid w:val="004B1B1C"/>
    <w:rsid w:val="004B5362"/>
    <w:rsid w:val="004C52F6"/>
    <w:rsid w:val="004D11C4"/>
    <w:rsid w:val="004D1D5F"/>
    <w:rsid w:val="004D2D80"/>
    <w:rsid w:val="004E2DAC"/>
    <w:rsid w:val="004E34AE"/>
    <w:rsid w:val="004E6504"/>
    <w:rsid w:val="004F0AF1"/>
    <w:rsid w:val="004F1FEB"/>
    <w:rsid w:val="004F47DF"/>
    <w:rsid w:val="004F49AC"/>
    <w:rsid w:val="004F5AE0"/>
    <w:rsid w:val="0050195C"/>
    <w:rsid w:val="00502432"/>
    <w:rsid w:val="005047B9"/>
    <w:rsid w:val="00506F5F"/>
    <w:rsid w:val="005211B2"/>
    <w:rsid w:val="005217A3"/>
    <w:rsid w:val="00533D4F"/>
    <w:rsid w:val="005404E2"/>
    <w:rsid w:val="00551324"/>
    <w:rsid w:val="00551CA1"/>
    <w:rsid w:val="00553273"/>
    <w:rsid w:val="0055547E"/>
    <w:rsid w:val="00555EDE"/>
    <w:rsid w:val="00557769"/>
    <w:rsid w:val="00562171"/>
    <w:rsid w:val="005623A1"/>
    <w:rsid w:val="00562809"/>
    <w:rsid w:val="00564794"/>
    <w:rsid w:val="0057125D"/>
    <w:rsid w:val="005718BE"/>
    <w:rsid w:val="005749E9"/>
    <w:rsid w:val="00576EFE"/>
    <w:rsid w:val="0058295F"/>
    <w:rsid w:val="00585733"/>
    <w:rsid w:val="00590DB9"/>
    <w:rsid w:val="00590DDE"/>
    <w:rsid w:val="00593557"/>
    <w:rsid w:val="005A0F06"/>
    <w:rsid w:val="005B15F7"/>
    <w:rsid w:val="005B34E1"/>
    <w:rsid w:val="005B471E"/>
    <w:rsid w:val="005C0963"/>
    <w:rsid w:val="005C7EB5"/>
    <w:rsid w:val="005D482E"/>
    <w:rsid w:val="005E0DF8"/>
    <w:rsid w:val="005E73D5"/>
    <w:rsid w:val="005E7FA7"/>
    <w:rsid w:val="005F4CEF"/>
    <w:rsid w:val="005F54E1"/>
    <w:rsid w:val="005F5B0C"/>
    <w:rsid w:val="006000EC"/>
    <w:rsid w:val="00604164"/>
    <w:rsid w:val="006065DA"/>
    <w:rsid w:val="00606993"/>
    <w:rsid w:val="006110E1"/>
    <w:rsid w:val="006143BD"/>
    <w:rsid w:val="00614771"/>
    <w:rsid w:val="00623468"/>
    <w:rsid w:val="00631B86"/>
    <w:rsid w:val="0063426D"/>
    <w:rsid w:val="00635195"/>
    <w:rsid w:val="00641BBC"/>
    <w:rsid w:val="0064411A"/>
    <w:rsid w:val="00644EC7"/>
    <w:rsid w:val="006455C2"/>
    <w:rsid w:val="0064782F"/>
    <w:rsid w:val="00655D8F"/>
    <w:rsid w:val="00663779"/>
    <w:rsid w:val="0066447D"/>
    <w:rsid w:val="0067137B"/>
    <w:rsid w:val="00671925"/>
    <w:rsid w:val="0067228F"/>
    <w:rsid w:val="006754CE"/>
    <w:rsid w:val="006769D4"/>
    <w:rsid w:val="00690299"/>
    <w:rsid w:val="00694B88"/>
    <w:rsid w:val="00696A47"/>
    <w:rsid w:val="00697994"/>
    <w:rsid w:val="006A0327"/>
    <w:rsid w:val="006A082A"/>
    <w:rsid w:val="006A7AD8"/>
    <w:rsid w:val="006B07AC"/>
    <w:rsid w:val="006B09A7"/>
    <w:rsid w:val="006B3B12"/>
    <w:rsid w:val="006B46A4"/>
    <w:rsid w:val="006B48FF"/>
    <w:rsid w:val="006B677B"/>
    <w:rsid w:val="006B7F0A"/>
    <w:rsid w:val="006C134C"/>
    <w:rsid w:val="006C1F39"/>
    <w:rsid w:val="006C6F8F"/>
    <w:rsid w:val="006D183E"/>
    <w:rsid w:val="006D6192"/>
    <w:rsid w:val="006D6320"/>
    <w:rsid w:val="006D73D7"/>
    <w:rsid w:val="006D761B"/>
    <w:rsid w:val="006E1CB4"/>
    <w:rsid w:val="006E6A45"/>
    <w:rsid w:val="006F0D52"/>
    <w:rsid w:val="006F275C"/>
    <w:rsid w:val="006F2CF7"/>
    <w:rsid w:val="006F55DA"/>
    <w:rsid w:val="00700F9E"/>
    <w:rsid w:val="00702778"/>
    <w:rsid w:val="00706088"/>
    <w:rsid w:val="0071492C"/>
    <w:rsid w:val="00720BC9"/>
    <w:rsid w:val="00725630"/>
    <w:rsid w:val="00726F16"/>
    <w:rsid w:val="007313DA"/>
    <w:rsid w:val="007324A3"/>
    <w:rsid w:val="007349BA"/>
    <w:rsid w:val="0074099D"/>
    <w:rsid w:val="00741017"/>
    <w:rsid w:val="007421FD"/>
    <w:rsid w:val="0074297F"/>
    <w:rsid w:val="00744ED4"/>
    <w:rsid w:val="00745F2F"/>
    <w:rsid w:val="0074604B"/>
    <w:rsid w:val="0075129B"/>
    <w:rsid w:val="00751331"/>
    <w:rsid w:val="007566EF"/>
    <w:rsid w:val="00757DB2"/>
    <w:rsid w:val="00762E92"/>
    <w:rsid w:val="0076360E"/>
    <w:rsid w:val="0076370A"/>
    <w:rsid w:val="00764218"/>
    <w:rsid w:val="007649ED"/>
    <w:rsid w:val="00764F4E"/>
    <w:rsid w:val="00774427"/>
    <w:rsid w:val="00774586"/>
    <w:rsid w:val="00780FD8"/>
    <w:rsid w:val="007836CD"/>
    <w:rsid w:val="0078397F"/>
    <w:rsid w:val="00784005"/>
    <w:rsid w:val="00792306"/>
    <w:rsid w:val="0079492B"/>
    <w:rsid w:val="0079691F"/>
    <w:rsid w:val="007977C1"/>
    <w:rsid w:val="007A2F74"/>
    <w:rsid w:val="007A3020"/>
    <w:rsid w:val="007A3113"/>
    <w:rsid w:val="007B4929"/>
    <w:rsid w:val="007B54AB"/>
    <w:rsid w:val="007B5BAF"/>
    <w:rsid w:val="007C07A4"/>
    <w:rsid w:val="007C0ACB"/>
    <w:rsid w:val="007C1CFA"/>
    <w:rsid w:val="007C26E6"/>
    <w:rsid w:val="007C2D5B"/>
    <w:rsid w:val="007C4405"/>
    <w:rsid w:val="007E0583"/>
    <w:rsid w:val="007E138D"/>
    <w:rsid w:val="007E1B00"/>
    <w:rsid w:val="007E45C7"/>
    <w:rsid w:val="007E5065"/>
    <w:rsid w:val="007F3E1D"/>
    <w:rsid w:val="007F579E"/>
    <w:rsid w:val="00801527"/>
    <w:rsid w:val="00813BB2"/>
    <w:rsid w:val="00817F6A"/>
    <w:rsid w:val="00826484"/>
    <w:rsid w:val="00831303"/>
    <w:rsid w:val="00835796"/>
    <w:rsid w:val="008431CB"/>
    <w:rsid w:val="00844903"/>
    <w:rsid w:val="008548D0"/>
    <w:rsid w:val="0085673D"/>
    <w:rsid w:val="00860EA6"/>
    <w:rsid w:val="00861D39"/>
    <w:rsid w:val="00864A39"/>
    <w:rsid w:val="00866236"/>
    <w:rsid w:val="0087106E"/>
    <w:rsid w:val="00873119"/>
    <w:rsid w:val="00875F7D"/>
    <w:rsid w:val="00881EB6"/>
    <w:rsid w:val="00884312"/>
    <w:rsid w:val="008843A5"/>
    <w:rsid w:val="00886409"/>
    <w:rsid w:val="00893681"/>
    <w:rsid w:val="0089417B"/>
    <w:rsid w:val="00895318"/>
    <w:rsid w:val="008A289E"/>
    <w:rsid w:val="008A61F3"/>
    <w:rsid w:val="008A74A9"/>
    <w:rsid w:val="008B09F2"/>
    <w:rsid w:val="008B1D20"/>
    <w:rsid w:val="008B3B1A"/>
    <w:rsid w:val="008C4CC6"/>
    <w:rsid w:val="008C6F1E"/>
    <w:rsid w:val="008C72FF"/>
    <w:rsid w:val="008D046B"/>
    <w:rsid w:val="008D0BE7"/>
    <w:rsid w:val="008D2F60"/>
    <w:rsid w:val="008D6BD9"/>
    <w:rsid w:val="008E23AE"/>
    <w:rsid w:val="008F5500"/>
    <w:rsid w:val="008F7284"/>
    <w:rsid w:val="008F76FB"/>
    <w:rsid w:val="00910A9E"/>
    <w:rsid w:val="0091520A"/>
    <w:rsid w:val="009158D8"/>
    <w:rsid w:val="00917ED5"/>
    <w:rsid w:val="00920691"/>
    <w:rsid w:val="00920D45"/>
    <w:rsid w:val="00925212"/>
    <w:rsid w:val="009265DA"/>
    <w:rsid w:val="00930646"/>
    <w:rsid w:val="0093173F"/>
    <w:rsid w:val="00931C8A"/>
    <w:rsid w:val="00932A82"/>
    <w:rsid w:val="00933F5D"/>
    <w:rsid w:val="00935518"/>
    <w:rsid w:val="00944BBE"/>
    <w:rsid w:val="00946815"/>
    <w:rsid w:val="009473D5"/>
    <w:rsid w:val="00950755"/>
    <w:rsid w:val="009555A5"/>
    <w:rsid w:val="00956B74"/>
    <w:rsid w:val="009604F5"/>
    <w:rsid w:val="00973190"/>
    <w:rsid w:val="009731D6"/>
    <w:rsid w:val="00975436"/>
    <w:rsid w:val="00975F8B"/>
    <w:rsid w:val="00981945"/>
    <w:rsid w:val="00982C47"/>
    <w:rsid w:val="0098434C"/>
    <w:rsid w:val="00987903"/>
    <w:rsid w:val="00987EC4"/>
    <w:rsid w:val="00990758"/>
    <w:rsid w:val="00990AA3"/>
    <w:rsid w:val="009929C8"/>
    <w:rsid w:val="00993D6B"/>
    <w:rsid w:val="009A17B1"/>
    <w:rsid w:val="009A3419"/>
    <w:rsid w:val="009A42DA"/>
    <w:rsid w:val="009A6B3A"/>
    <w:rsid w:val="009B04D3"/>
    <w:rsid w:val="009B0590"/>
    <w:rsid w:val="009C1D08"/>
    <w:rsid w:val="009C2ACA"/>
    <w:rsid w:val="009C6505"/>
    <w:rsid w:val="009C7DE0"/>
    <w:rsid w:val="009D19E4"/>
    <w:rsid w:val="009D2C16"/>
    <w:rsid w:val="009D4610"/>
    <w:rsid w:val="009D6E56"/>
    <w:rsid w:val="009E12F2"/>
    <w:rsid w:val="009E1FA3"/>
    <w:rsid w:val="009F0771"/>
    <w:rsid w:val="009F222A"/>
    <w:rsid w:val="009F2F9E"/>
    <w:rsid w:val="009F7E60"/>
    <w:rsid w:val="00A055A9"/>
    <w:rsid w:val="00A11D0B"/>
    <w:rsid w:val="00A11F57"/>
    <w:rsid w:val="00A15F7D"/>
    <w:rsid w:val="00A204F6"/>
    <w:rsid w:val="00A235C8"/>
    <w:rsid w:val="00A243F9"/>
    <w:rsid w:val="00A26877"/>
    <w:rsid w:val="00A2794E"/>
    <w:rsid w:val="00A329C5"/>
    <w:rsid w:val="00A32C73"/>
    <w:rsid w:val="00A33E88"/>
    <w:rsid w:val="00A33F04"/>
    <w:rsid w:val="00A37F76"/>
    <w:rsid w:val="00A404AA"/>
    <w:rsid w:val="00A5429F"/>
    <w:rsid w:val="00A54C47"/>
    <w:rsid w:val="00A622A9"/>
    <w:rsid w:val="00A6706E"/>
    <w:rsid w:val="00A726B3"/>
    <w:rsid w:val="00A72C1F"/>
    <w:rsid w:val="00A74988"/>
    <w:rsid w:val="00A77409"/>
    <w:rsid w:val="00A8594A"/>
    <w:rsid w:val="00A85E5F"/>
    <w:rsid w:val="00A86A38"/>
    <w:rsid w:val="00A87D87"/>
    <w:rsid w:val="00A94440"/>
    <w:rsid w:val="00A94C24"/>
    <w:rsid w:val="00A95DA1"/>
    <w:rsid w:val="00A96D4B"/>
    <w:rsid w:val="00AA00BD"/>
    <w:rsid w:val="00AA06CD"/>
    <w:rsid w:val="00AA3192"/>
    <w:rsid w:val="00AB52D5"/>
    <w:rsid w:val="00AB66BD"/>
    <w:rsid w:val="00AB7C30"/>
    <w:rsid w:val="00AC38D7"/>
    <w:rsid w:val="00AC4EEE"/>
    <w:rsid w:val="00AC6137"/>
    <w:rsid w:val="00AC7B8B"/>
    <w:rsid w:val="00AD2192"/>
    <w:rsid w:val="00AD47A7"/>
    <w:rsid w:val="00AE0C34"/>
    <w:rsid w:val="00AE2E9C"/>
    <w:rsid w:val="00AE2F78"/>
    <w:rsid w:val="00AE4A62"/>
    <w:rsid w:val="00AE4AC1"/>
    <w:rsid w:val="00AE67AF"/>
    <w:rsid w:val="00AF10E4"/>
    <w:rsid w:val="00AF3B77"/>
    <w:rsid w:val="00AF7C80"/>
    <w:rsid w:val="00B01DC5"/>
    <w:rsid w:val="00B0231E"/>
    <w:rsid w:val="00B027D5"/>
    <w:rsid w:val="00B04D5D"/>
    <w:rsid w:val="00B101BD"/>
    <w:rsid w:val="00B13796"/>
    <w:rsid w:val="00B13B08"/>
    <w:rsid w:val="00B14D25"/>
    <w:rsid w:val="00B162B8"/>
    <w:rsid w:val="00B168CC"/>
    <w:rsid w:val="00B25FB2"/>
    <w:rsid w:val="00B2690D"/>
    <w:rsid w:val="00B27ED9"/>
    <w:rsid w:val="00B32997"/>
    <w:rsid w:val="00B41A2E"/>
    <w:rsid w:val="00B41E1E"/>
    <w:rsid w:val="00B44832"/>
    <w:rsid w:val="00B506B7"/>
    <w:rsid w:val="00B51EBA"/>
    <w:rsid w:val="00B5350C"/>
    <w:rsid w:val="00B54931"/>
    <w:rsid w:val="00B56004"/>
    <w:rsid w:val="00B57D99"/>
    <w:rsid w:val="00B621C7"/>
    <w:rsid w:val="00B642F2"/>
    <w:rsid w:val="00B643B8"/>
    <w:rsid w:val="00B70828"/>
    <w:rsid w:val="00B725FD"/>
    <w:rsid w:val="00B7380C"/>
    <w:rsid w:val="00B73CA6"/>
    <w:rsid w:val="00B74BEE"/>
    <w:rsid w:val="00B81F8C"/>
    <w:rsid w:val="00B82A41"/>
    <w:rsid w:val="00B82B50"/>
    <w:rsid w:val="00B87D8B"/>
    <w:rsid w:val="00B9314A"/>
    <w:rsid w:val="00B954ED"/>
    <w:rsid w:val="00B95614"/>
    <w:rsid w:val="00B95B53"/>
    <w:rsid w:val="00B95C37"/>
    <w:rsid w:val="00B9735D"/>
    <w:rsid w:val="00B97487"/>
    <w:rsid w:val="00BA111A"/>
    <w:rsid w:val="00BA2D83"/>
    <w:rsid w:val="00BA7AB2"/>
    <w:rsid w:val="00BB1456"/>
    <w:rsid w:val="00BB1CC7"/>
    <w:rsid w:val="00BB2892"/>
    <w:rsid w:val="00BB2EA4"/>
    <w:rsid w:val="00BB481D"/>
    <w:rsid w:val="00BB485A"/>
    <w:rsid w:val="00BB4DEA"/>
    <w:rsid w:val="00BB6E2D"/>
    <w:rsid w:val="00BC0ADE"/>
    <w:rsid w:val="00BC3A70"/>
    <w:rsid w:val="00BC50E9"/>
    <w:rsid w:val="00BD0DE7"/>
    <w:rsid w:val="00BD1CED"/>
    <w:rsid w:val="00BE0792"/>
    <w:rsid w:val="00BE102B"/>
    <w:rsid w:val="00BE5F6F"/>
    <w:rsid w:val="00BE6D17"/>
    <w:rsid w:val="00BF023E"/>
    <w:rsid w:val="00BF0B75"/>
    <w:rsid w:val="00BF182A"/>
    <w:rsid w:val="00BF30A2"/>
    <w:rsid w:val="00C0362C"/>
    <w:rsid w:val="00C120ED"/>
    <w:rsid w:val="00C14864"/>
    <w:rsid w:val="00C15039"/>
    <w:rsid w:val="00C1588B"/>
    <w:rsid w:val="00C21AC0"/>
    <w:rsid w:val="00C2359B"/>
    <w:rsid w:val="00C2560D"/>
    <w:rsid w:val="00C34E76"/>
    <w:rsid w:val="00C35BA0"/>
    <w:rsid w:val="00C41062"/>
    <w:rsid w:val="00C41298"/>
    <w:rsid w:val="00C4386B"/>
    <w:rsid w:val="00C44497"/>
    <w:rsid w:val="00C51039"/>
    <w:rsid w:val="00C51E81"/>
    <w:rsid w:val="00C5497B"/>
    <w:rsid w:val="00C54D53"/>
    <w:rsid w:val="00C55502"/>
    <w:rsid w:val="00C602AA"/>
    <w:rsid w:val="00C60D9E"/>
    <w:rsid w:val="00C61696"/>
    <w:rsid w:val="00C62644"/>
    <w:rsid w:val="00C64EB1"/>
    <w:rsid w:val="00C6774A"/>
    <w:rsid w:val="00C7051D"/>
    <w:rsid w:val="00C725B9"/>
    <w:rsid w:val="00C737A0"/>
    <w:rsid w:val="00C775C0"/>
    <w:rsid w:val="00C8006B"/>
    <w:rsid w:val="00C80BF5"/>
    <w:rsid w:val="00C8230D"/>
    <w:rsid w:val="00C83697"/>
    <w:rsid w:val="00C83843"/>
    <w:rsid w:val="00C83F7A"/>
    <w:rsid w:val="00C87494"/>
    <w:rsid w:val="00C949D9"/>
    <w:rsid w:val="00CB144D"/>
    <w:rsid w:val="00CB16AC"/>
    <w:rsid w:val="00CB44C8"/>
    <w:rsid w:val="00CB451A"/>
    <w:rsid w:val="00CB4A8E"/>
    <w:rsid w:val="00CB7E8C"/>
    <w:rsid w:val="00CC10B9"/>
    <w:rsid w:val="00CC3048"/>
    <w:rsid w:val="00CC42B1"/>
    <w:rsid w:val="00CC4BE4"/>
    <w:rsid w:val="00CC545A"/>
    <w:rsid w:val="00CC6E4A"/>
    <w:rsid w:val="00CC7A11"/>
    <w:rsid w:val="00CD0BE2"/>
    <w:rsid w:val="00CD21A5"/>
    <w:rsid w:val="00CD5B9E"/>
    <w:rsid w:val="00CE5A18"/>
    <w:rsid w:val="00CE5A84"/>
    <w:rsid w:val="00CF087F"/>
    <w:rsid w:val="00CF09AD"/>
    <w:rsid w:val="00CF0C3D"/>
    <w:rsid w:val="00CF19BB"/>
    <w:rsid w:val="00CF2FB2"/>
    <w:rsid w:val="00CF4352"/>
    <w:rsid w:val="00CF4837"/>
    <w:rsid w:val="00CF628D"/>
    <w:rsid w:val="00CF7969"/>
    <w:rsid w:val="00D0178E"/>
    <w:rsid w:val="00D032D0"/>
    <w:rsid w:val="00D03F6B"/>
    <w:rsid w:val="00D044FB"/>
    <w:rsid w:val="00D05134"/>
    <w:rsid w:val="00D102BB"/>
    <w:rsid w:val="00D11532"/>
    <w:rsid w:val="00D12CA2"/>
    <w:rsid w:val="00D207FC"/>
    <w:rsid w:val="00D22FFD"/>
    <w:rsid w:val="00D27905"/>
    <w:rsid w:val="00D30EB9"/>
    <w:rsid w:val="00D31944"/>
    <w:rsid w:val="00D32DA7"/>
    <w:rsid w:val="00D337AA"/>
    <w:rsid w:val="00D338B9"/>
    <w:rsid w:val="00D35D43"/>
    <w:rsid w:val="00D37B61"/>
    <w:rsid w:val="00D41152"/>
    <w:rsid w:val="00D4231D"/>
    <w:rsid w:val="00D43A07"/>
    <w:rsid w:val="00D446EA"/>
    <w:rsid w:val="00D44F3E"/>
    <w:rsid w:val="00D46795"/>
    <w:rsid w:val="00D468BB"/>
    <w:rsid w:val="00D51F51"/>
    <w:rsid w:val="00D54098"/>
    <w:rsid w:val="00D55D30"/>
    <w:rsid w:val="00D55E96"/>
    <w:rsid w:val="00D564DB"/>
    <w:rsid w:val="00D573FA"/>
    <w:rsid w:val="00D576A4"/>
    <w:rsid w:val="00D64025"/>
    <w:rsid w:val="00D70B9A"/>
    <w:rsid w:val="00D7378A"/>
    <w:rsid w:val="00D74720"/>
    <w:rsid w:val="00D74A13"/>
    <w:rsid w:val="00D776A9"/>
    <w:rsid w:val="00D81729"/>
    <w:rsid w:val="00D837E8"/>
    <w:rsid w:val="00D83889"/>
    <w:rsid w:val="00D90456"/>
    <w:rsid w:val="00D938E7"/>
    <w:rsid w:val="00D957FB"/>
    <w:rsid w:val="00DA1F83"/>
    <w:rsid w:val="00DA2D62"/>
    <w:rsid w:val="00DA2F68"/>
    <w:rsid w:val="00DA4C10"/>
    <w:rsid w:val="00DA7901"/>
    <w:rsid w:val="00DB39E5"/>
    <w:rsid w:val="00DC27CD"/>
    <w:rsid w:val="00DC5623"/>
    <w:rsid w:val="00DD1433"/>
    <w:rsid w:val="00DD55D4"/>
    <w:rsid w:val="00DD7C66"/>
    <w:rsid w:val="00DD7F91"/>
    <w:rsid w:val="00DE23E4"/>
    <w:rsid w:val="00DE4769"/>
    <w:rsid w:val="00DE5A12"/>
    <w:rsid w:val="00DE604D"/>
    <w:rsid w:val="00DE7446"/>
    <w:rsid w:val="00DE7D2E"/>
    <w:rsid w:val="00DF3520"/>
    <w:rsid w:val="00DF5707"/>
    <w:rsid w:val="00DF5A11"/>
    <w:rsid w:val="00DF753E"/>
    <w:rsid w:val="00E01F37"/>
    <w:rsid w:val="00E02F66"/>
    <w:rsid w:val="00E2066E"/>
    <w:rsid w:val="00E21A02"/>
    <w:rsid w:val="00E23E10"/>
    <w:rsid w:val="00E25BB0"/>
    <w:rsid w:val="00E4010D"/>
    <w:rsid w:val="00E40255"/>
    <w:rsid w:val="00E43DC5"/>
    <w:rsid w:val="00E510E1"/>
    <w:rsid w:val="00E60886"/>
    <w:rsid w:val="00E6186A"/>
    <w:rsid w:val="00E62D29"/>
    <w:rsid w:val="00E65D41"/>
    <w:rsid w:val="00E6639B"/>
    <w:rsid w:val="00E75671"/>
    <w:rsid w:val="00E75F90"/>
    <w:rsid w:val="00E82474"/>
    <w:rsid w:val="00E84AE4"/>
    <w:rsid w:val="00E85D2F"/>
    <w:rsid w:val="00E907E0"/>
    <w:rsid w:val="00E93691"/>
    <w:rsid w:val="00E9519E"/>
    <w:rsid w:val="00E95DF5"/>
    <w:rsid w:val="00E96C90"/>
    <w:rsid w:val="00EB1ADF"/>
    <w:rsid w:val="00EC16DE"/>
    <w:rsid w:val="00EC51EC"/>
    <w:rsid w:val="00ED20CA"/>
    <w:rsid w:val="00ED385F"/>
    <w:rsid w:val="00ED6628"/>
    <w:rsid w:val="00ED7353"/>
    <w:rsid w:val="00EE15E2"/>
    <w:rsid w:val="00EE21B1"/>
    <w:rsid w:val="00EE7BE2"/>
    <w:rsid w:val="00EF3073"/>
    <w:rsid w:val="00EF3425"/>
    <w:rsid w:val="00F04425"/>
    <w:rsid w:val="00F05979"/>
    <w:rsid w:val="00F07353"/>
    <w:rsid w:val="00F07B3A"/>
    <w:rsid w:val="00F10CC4"/>
    <w:rsid w:val="00F117BE"/>
    <w:rsid w:val="00F2173D"/>
    <w:rsid w:val="00F2206A"/>
    <w:rsid w:val="00F222B7"/>
    <w:rsid w:val="00F226B1"/>
    <w:rsid w:val="00F243CB"/>
    <w:rsid w:val="00F24B99"/>
    <w:rsid w:val="00F25CB7"/>
    <w:rsid w:val="00F26675"/>
    <w:rsid w:val="00F2780C"/>
    <w:rsid w:val="00F30175"/>
    <w:rsid w:val="00F3193B"/>
    <w:rsid w:val="00F3584A"/>
    <w:rsid w:val="00F40F73"/>
    <w:rsid w:val="00F41FC3"/>
    <w:rsid w:val="00F4293D"/>
    <w:rsid w:val="00F42AF0"/>
    <w:rsid w:val="00F45F21"/>
    <w:rsid w:val="00F50F72"/>
    <w:rsid w:val="00F558EE"/>
    <w:rsid w:val="00F6251C"/>
    <w:rsid w:val="00F62C73"/>
    <w:rsid w:val="00F65F12"/>
    <w:rsid w:val="00F660E8"/>
    <w:rsid w:val="00F66972"/>
    <w:rsid w:val="00F710E7"/>
    <w:rsid w:val="00F7332D"/>
    <w:rsid w:val="00F73606"/>
    <w:rsid w:val="00F73E6C"/>
    <w:rsid w:val="00F77B62"/>
    <w:rsid w:val="00F8531A"/>
    <w:rsid w:val="00F90FCF"/>
    <w:rsid w:val="00F9274B"/>
    <w:rsid w:val="00F96D84"/>
    <w:rsid w:val="00FA1845"/>
    <w:rsid w:val="00FA7660"/>
    <w:rsid w:val="00FB6A23"/>
    <w:rsid w:val="00FC38B0"/>
    <w:rsid w:val="00FC4282"/>
    <w:rsid w:val="00FC7001"/>
    <w:rsid w:val="00FC7C32"/>
    <w:rsid w:val="00FD001B"/>
    <w:rsid w:val="00FD372D"/>
    <w:rsid w:val="00FD5E4A"/>
    <w:rsid w:val="00FD7DE1"/>
    <w:rsid w:val="00FE136C"/>
    <w:rsid w:val="00FE170C"/>
    <w:rsid w:val="00FE6192"/>
    <w:rsid w:val="00FE6951"/>
    <w:rsid w:val="00FE7325"/>
    <w:rsid w:val="00FE7710"/>
    <w:rsid w:val="00FF7B56"/>
    <w:rsid w:val="00FF7CDA"/>
    <w:rsid w:val="00FF7E52"/>
    <w:rsid w:val="78C0B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43EBD6E"/>
  <w15:docId w15:val="{3446AF0B-2CB8-4042-9DD7-2EBACB4A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749E9"/>
    <w:rPr>
      <w:sz w:val="24"/>
      <w:szCs w:val="24"/>
    </w:rPr>
  </w:style>
  <w:style w:type="paragraph" w:styleId="Heading5">
    <w:name w:val="heading 5"/>
    <w:basedOn w:val="Normal"/>
    <w:next w:val="Normal"/>
    <w:qFormat/>
    <w:rsid w:val="00D12CA2"/>
    <w:pPr>
      <w:keepNext/>
      <w:autoSpaceDE w:val="0"/>
      <w:autoSpaceDN w:val="0"/>
      <w:adjustRightInd w:val="0"/>
      <w:outlineLvl w:val="4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ing6">
    <w:name w:val="heading 6"/>
    <w:basedOn w:val="Normal"/>
    <w:next w:val="Normal"/>
    <w:qFormat/>
    <w:rsid w:val="00D12CA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4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n,FOOTNOTES,single space,ALTS FOOTNOTE,Footnote Text Char1,Footnote Text Char Char,Note de bas de page Car,footnote text,Fodnotetekst Tegn,Fodnotetekst Tegn Char,footnote text Char Char Char,footnote,ADB,f,ft"/>
    <w:basedOn w:val="Normal"/>
    <w:link w:val="FootnoteTextChar"/>
    <w:uiPriority w:val="99"/>
    <w:rsid w:val="005749E9"/>
    <w:rPr>
      <w:sz w:val="20"/>
      <w:szCs w:val="20"/>
    </w:rPr>
  </w:style>
  <w:style w:type="character" w:styleId="FootnoteReference">
    <w:name w:val="footnote reference"/>
    <w:aliases w:val="ftref,16 Point,Superscript 6 Point"/>
    <w:basedOn w:val="DefaultParagraphFont"/>
    <w:uiPriority w:val="99"/>
    <w:rsid w:val="005749E9"/>
    <w:rPr>
      <w:vertAlign w:val="superscript"/>
    </w:rPr>
  </w:style>
  <w:style w:type="paragraph" w:styleId="BalloonText">
    <w:name w:val="Balloon Text"/>
    <w:basedOn w:val="Normal"/>
    <w:semiHidden/>
    <w:rsid w:val="00D12CA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D12CA2"/>
    <w:pPr>
      <w:autoSpaceDE w:val="0"/>
      <w:autoSpaceDN w:val="0"/>
      <w:adjustRightInd w:val="0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er">
    <w:name w:val="header"/>
    <w:basedOn w:val="Normal"/>
    <w:rsid w:val="00C838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3843"/>
  </w:style>
  <w:style w:type="paragraph" w:styleId="Footer">
    <w:name w:val="footer"/>
    <w:basedOn w:val="Normal"/>
    <w:rsid w:val="00C83843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2C44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4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4CC6"/>
  </w:style>
  <w:style w:type="paragraph" w:styleId="CommentSubject">
    <w:name w:val="annotation subject"/>
    <w:basedOn w:val="CommentText"/>
    <w:next w:val="CommentText"/>
    <w:link w:val="CommentSubjectChar"/>
    <w:rsid w:val="008C4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4CC6"/>
    <w:rPr>
      <w:b/>
      <w:bCs/>
    </w:rPr>
  </w:style>
  <w:style w:type="character" w:customStyle="1" w:styleId="FootnoteTextChar">
    <w:name w:val="Footnote Text Char"/>
    <w:aliases w:val="fn Char,FOOTNOTES Char,single space Char,ALTS FOOTNOTE Char,Footnote Text Char1 Char,Footnote Text Char Char Char,Note de bas de page Car Char,footnote text Char,Fodnotetekst Tegn Char1,Fodnotetekst Tegn Char Char,footnote Char,f Char"/>
    <w:basedOn w:val="DefaultParagraphFont"/>
    <w:link w:val="FootnoteText"/>
    <w:uiPriority w:val="99"/>
    <w:rsid w:val="006D6320"/>
  </w:style>
  <w:style w:type="paragraph" w:styleId="ListParagraph">
    <w:name w:val="List Paragraph"/>
    <w:basedOn w:val="Normal"/>
    <w:uiPriority w:val="34"/>
    <w:qFormat/>
    <w:rsid w:val="00C83697"/>
    <w:pPr>
      <w:ind w:left="720"/>
      <w:contextualSpacing/>
    </w:pPr>
  </w:style>
  <w:style w:type="paragraph" w:styleId="Revision">
    <w:name w:val="Revision"/>
    <w:hidden/>
    <w:uiPriority w:val="99"/>
    <w:semiHidden/>
    <w:rsid w:val="00D51F51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DA4C10"/>
  </w:style>
  <w:style w:type="character" w:styleId="Hyperlink">
    <w:name w:val="Hyperlink"/>
    <w:basedOn w:val="DefaultParagraphFont"/>
    <w:uiPriority w:val="99"/>
    <w:unhideWhenUsed/>
    <w:rsid w:val="000E4797"/>
    <w:rPr>
      <w:color w:val="0563C1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B64C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0600"/>
    <w:rPr>
      <w:color w:val="808080"/>
      <w:shd w:val="clear" w:color="auto" w:fill="E6E6E6"/>
    </w:rPr>
  </w:style>
  <w:style w:type="character" w:styleId="BookTitle">
    <w:name w:val="Book Title"/>
    <w:basedOn w:val="DefaultParagraphFont"/>
    <w:uiPriority w:val="33"/>
    <w:qFormat/>
    <w:rsid w:val="00A404AA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A404AA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ase.energia.gob.mx/prodesen/PRODESEN2017/PRODESEN-2017-2031.pdf" TargetMode="External"/><Relationship Id="rId1" Type="http://schemas.openxmlformats.org/officeDocument/2006/relationships/hyperlink" Target="https://www.gob.mx/cms/uploads/attachment/file/177624/Prospectiva_de_Gas_Natural_2016-203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CAFE1C1AA6E314EB95F751642D94F05" ma:contentTypeVersion="32" ma:contentTypeDescription="A content type to manage public (operations) IDB documents" ma:contentTypeScope="" ma:versionID="6a1e4a7f82a0d7c754fe1a1689f454f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abbb6792aead3024e7e7b1ca72a9ee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4501/OC-ME;</Approval_x0020_Number>
    <Phase xmlns="cdc7663a-08f0-4737-9e8c-148ce897a09c">ACTIVE</Phase>
    <Document_x0020_Author xmlns="cdc7663a-08f0-4737-9e8c-148ce897a09c">Suber, Stephanie Anne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19</Value>
      <Value>65</Value>
      <Value>24</Value>
      <Value>2</Value>
      <Value>64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ME-L1264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R0000999117</Record_x0020_Number>
    <_dlc_DocId xmlns="cdc7663a-08f0-4737-9e8c-148ce897a09c">EZSHARE-929407820-20</_dlc_DocId>
    <_dlc_DocIdUrl xmlns="cdc7663a-08f0-4737-9e8c-148ce897a09c">
      <Url>https://idbg.sharepoint.com/teams/EZ-ME-LON/ME-L1264/_layouts/15/DocIdRedir.aspx?ID=EZSHARE-929407820-20</Url>
      <Description>EZSHARE-929407820-20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79FF-E3D3-47F3-AD8B-AB7C5D2D04D2}"/>
</file>

<file path=customXml/itemProps2.xml><?xml version="1.0" encoding="utf-8"?>
<ds:datastoreItem xmlns:ds="http://schemas.openxmlformats.org/officeDocument/2006/customXml" ds:itemID="{8800D398-0749-4D0A-892F-2CD5E1C243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C30361-2A5D-4D87-8C43-D0E03D2EB3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64644F-93BB-4893-B15C-56BFBDBED4D0}"/>
</file>

<file path=customXml/itemProps5.xml><?xml version="1.0" encoding="utf-8"?>
<ds:datastoreItem xmlns:ds="http://schemas.openxmlformats.org/officeDocument/2006/customXml" ds:itemID="{3C0FB98F-C9D7-448E-8C97-A76D07FD7F2A}"/>
</file>

<file path=customXml/itemProps6.xml><?xml version="1.0" encoding="utf-8"?>
<ds:datastoreItem xmlns:ds="http://schemas.openxmlformats.org/officeDocument/2006/customXml" ds:itemID="{E559CDE3-4270-4F06-8373-2BB058C51C8C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dc7663a-08f0-4737-9e8c-148ce897a09c"/>
    <ds:schemaRef ds:uri="http://purl.org/dc/elements/1.1/"/>
  </ds:schemaRefs>
</ds:datastoreItem>
</file>

<file path=customXml/itemProps7.xml><?xml version="1.0" encoding="utf-8"?>
<ds:datastoreItem xmlns:ds="http://schemas.openxmlformats.org/officeDocument/2006/customXml" ds:itemID="{11376949-F394-4EA7-ADB6-460B80A6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PERU: Programa para el Desarrollo de una Matriz Energética Sostenible PE-L1061</vt:lpstr>
    </vt:vector>
  </TitlesOfParts>
  <Company>Inter-American Development Bank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PERU: Programa para el Desarrollo de una Matriz Energética Sostenible PE-L1061</dc:title>
  <dc:creator>HAYDEMARC</dc:creator>
  <cp:keywords/>
  <cp:lastModifiedBy>Suber, Stephanie Anne</cp:lastModifiedBy>
  <cp:revision>24</cp:revision>
  <cp:lastPrinted>2017-10-16T19:30:00Z</cp:lastPrinted>
  <dcterms:created xsi:type="dcterms:W3CDTF">2017-09-25T20:00:00Z</dcterms:created>
  <dcterms:modified xsi:type="dcterms:W3CDTF">2018-02-20T18:48:00Z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65;#ENERGY EFFICIENCY AND RENEWABLE ENERGY IN END USE|ab88142a-aa14-42df-80f4-969425d6f976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64;#ENERGY|4fed196a-cd0b-4970-87de-42da17f9b203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b71fbadc-7de3-4b77-8611-5d09c6707940</vt:lpwstr>
  </property>
  <property fmtid="{D5CDD505-2E9C-101B-9397-08002B2CF9AE}" pid="12" name="RecordPoint_ActiveItemMoved">
    <vt:lpwstr>/teams/EZ-ME-LON/ME-L1264/15 LifeCycle Milestones/Draft Area/Matriz de Resultados.docx</vt:lpwstr>
  </property>
  <property fmtid="{D5CDD505-2E9C-101B-9397-08002B2CF9AE}" pid="13" name="RecordStorageActiveId">
    <vt:lpwstr>15c59503-b675-44bd-ba10-1f95002dc712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0x0101001A458A224826124E8B45B1D613300CFC009CAFE1C1AA6E314EB95F751642D94F05</vt:lpwstr>
  </property>
</Properties>
</file>