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5BCA21" w14:textId="77777777" w:rsidR="007F5525" w:rsidRDefault="00864B37" w:rsidP="00864B37">
      <w:pPr>
        <w:spacing w:after="120" w:line="240" w:lineRule="auto"/>
        <w:jc w:val="center"/>
        <w:rPr>
          <w:b/>
          <w:sz w:val="24"/>
          <w:lang w:val="es-MX"/>
        </w:rPr>
      </w:pPr>
      <w:r>
        <w:rPr>
          <w:b/>
          <w:sz w:val="24"/>
          <w:lang w:val="es-MX"/>
        </w:rPr>
        <w:t>Matriz de Medios de Verificación</w:t>
      </w:r>
    </w:p>
    <w:p w14:paraId="37661EFE" w14:textId="77777777" w:rsidR="00864B37" w:rsidRDefault="00864B37" w:rsidP="00864B37">
      <w:pPr>
        <w:spacing w:after="120" w:line="240" w:lineRule="auto"/>
        <w:jc w:val="center"/>
        <w:rPr>
          <w:b/>
          <w:sz w:val="24"/>
          <w:lang w:val="es-MX"/>
        </w:rPr>
      </w:pPr>
      <w:r>
        <w:rPr>
          <w:b/>
          <w:sz w:val="24"/>
          <w:lang w:val="es-MX"/>
        </w:rPr>
        <w:t>México</w:t>
      </w:r>
    </w:p>
    <w:p w14:paraId="63BFC94B" w14:textId="77777777" w:rsidR="00864B37" w:rsidRDefault="00864B37" w:rsidP="00864B37">
      <w:pPr>
        <w:spacing w:after="120" w:line="240" w:lineRule="auto"/>
        <w:jc w:val="center"/>
        <w:rPr>
          <w:b/>
          <w:sz w:val="24"/>
          <w:lang w:val="es-MX"/>
        </w:rPr>
      </w:pPr>
      <w:r>
        <w:rPr>
          <w:b/>
          <w:sz w:val="24"/>
          <w:lang w:val="es-MX"/>
        </w:rPr>
        <w:t>Programa de Apoyo a la Implementación y Fortalecimiento de la Reforma Energética</w:t>
      </w:r>
    </w:p>
    <w:p w14:paraId="4F9A25FA" w14:textId="77777777" w:rsidR="00864B37" w:rsidRPr="00864B37" w:rsidRDefault="00864B37" w:rsidP="00864B37">
      <w:pPr>
        <w:spacing w:line="240" w:lineRule="auto"/>
        <w:jc w:val="center"/>
        <w:rPr>
          <w:b/>
          <w:sz w:val="24"/>
          <w:lang w:val="es-MX"/>
        </w:rPr>
      </w:pPr>
      <w:r>
        <w:rPr>
          <w:b/>
          <w:sz w:val="24"/>
          <w:lang w:val="es-MX"/>
        </w:rPr>
        <w:t>ME-L1264</w:t>
      </w:r>
    </w:p>
    <w:tbl>
      <w:tblPr>
        <w:tblStyle w:val="TableGrid"/>
        <w:tblW w:w="5282" w:type="pct"/>
        <w:tblInd w:w="-455" w:type="dxa"/>
        <w:tblLayout w:type="fixed"/>
        <w:tblLook w:val="04A0" w:firstRow="1" w:lastRow="0" w:firstColumn="1" w:lastColumn="0" w:noHBand="0" w:noVBand="1"/>
      </w:tblPr>
      <w:tblGrid>
        <w:gridCol w:w="2650"/>
        <w:gridCol w:w="2389"/>
        <w:gridCol w:w="3962"/>
        <w:gridCol w:w="4679"/>
      </w:tblGrid>
      <w:tr w:rsidR="00CB1D7E" w:rsidRPr="007878EE" w14:paraId="35D28A2C" w14:textId="77777777" w:rsidTr="008C67E0">
        <w:trPr>
          <w:trHeight w:val="638"/>
        </w:trPr>
        <w:tc>
          <w:tcPr>
            <w:tcW w:w="969" w:type="pct"/>
            <w:shd w:val="clear" w:color="auto" w:fill="BFBFBF" w:themeFill="background1" w:themeFillShade="BF"/>
            <w:noWrap/>
            <w:vAlign w:val="center"/>
            <w:hideMark/>
          </w:tcPr>
          <w:p w14:paraId="67AFB897" w14:textId="77777777" w:rsidR="00CB1D7E" w:rsidRPr="007878EE" w:rsidRDefault="00CB1D7E" w:rsidP="001E11FF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proofErr w:type="spellStart"/>
            <w:r w:rsidRPr="007878EE">
              <w:rPr>
                <w:rFonts w:ascii="Arial" w:hAnsi="Arial" w:cs="Arial"/>
                <w:b/>
                <w:bCs/>
                <w:sz w:val="19"/>
                <w:szCs w:val="19"/>
              </w:rPr>
              <w:t>Temas</w:t>
            </w:r>
            <w:proofErr w:type="spellEnd"/>
          </w:p>
        </w:tc>
        <w:tc>
          <w:tcPr>
            <w:tcW w:w="873" w:type="pct"/>
            <w:shd w:val="clear" w:color="auto" w:fill="BFBFBF" w:themeFill="background1" w:themeFillShade="BF"/>
            <w:noWrap/>
            <w:vAlign w:val="center"/>
            <w:hideMark/>
          </w:tcPr>
          <w:p w14:paraId="5B4971B7" w14:textId="77777777" w:rsidR="00CB1D7E" w:rsidRPr="007878EE" w:rsidRDefault="00CB1D7E" w:rsidP="001E11FF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proofErr w:type="spellStart"/>
            <w:r w:rsidRPr="007878EE">
              <w:rPr>
                <w:rFonts w:ascii="Arial" w:hAnsi="Arial" w:cs="Arial"/>
                <w:b/>
                <w:bCs/>
                <w:sz w:val="19"/>
                <w:szCs w:val="19"/>
              </w:rPr>
              <w:t>Objetivos</w:t>
            </w:r>
            <w:proofErr w:type="spellEnd"/>
          </w:p>
        </w:tc>
        <w:tc>
          <w:tcPr>
            <w:tcW w:w="1448" w:type="pct"/>
            <w:shd w:val="clear" w:color="auto" w:fill="BFBFBF" w:themeFill="background1" w:themeFillShade="BF"/>
            <w:vAlign w:val="center"/>
            <w:hideMark/>
          </w:tcPr>
          <w:p w14:paraId="2B9C52CC" w14:textId="77777777" w:rsidR="00CB1D7E" w:rsidRDefault="00CB1D7E" w:rsidP="001E11FF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9"/>
                <w:szCs w:val="19"/>
              </w:rPr>
              <w:t>Condiciones</w:t>
            </w:r>
            <w:proofErr w:type="spellEnd"/>
            <w:r w:rsidRPr="007878EE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de </w:t>
            </w:r>
            <w:proofErr w:type="spellStart"/>
            <w:r w:rsidRPr="007878EE">
              <w:rPr>
                <w:rFonts w:ascii="Arial" w:hAnsi="Arial" w:cs="Arial"/>
                <w:b/>
                <w:bCs/>
                <w:sz w:val="19"/>
                <w:szCs w:val="19"/>
              </w:rPr>
              <w:t>Política</w:t>
            </w:r>
            <w:proofErr w:type="spellEnd"/>
            <w:r w:rsidRPr="007878EE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</w:p>
          <w:p w14:paraId="2721235E" w14:textId="77777777" w:rsidR="00CB1D7E" w:rsidRPr="007878EE" w:rsidRDefault="00CB1D7E" w:rsidP="001E11FF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9"/>
                <w:szCs w:val="19"/>
              </w:rPr>
              <w:t>Programático</w:t>
            </w:r>
            <w:proofErr w:type="spellEnd"/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 w:rsidRPr="007878EE">
              <w:rPr>
                <w:rFonts w:ascii="Arial" w:hAnsi="Arial" w:cs="Arial"/>
                <w:b/>
                <w:bCs/>
                <w:sz w:val="19"/>
                <w:szCs w:val="19"/>
              </w:rPr>
              <w:t>I</w:t>
            </w:r>
          </w:p>
        </w:tc>
        <w:tc>
          <w:tcPr>
            <w:tcW w:w="1710" w:type="pct"/>
            <w:shd w:val="clear" w:color="auto" w:fill="BFBFBF" w:themeFill="background1" w:themeFillShade="BF"/>
            <w:noWrap/>
            <w:vAlign w:val="center"/>
            <w:hideMark/>
          </w:tcPr>
          <w:p w14:paraId="3D569D06" w14:textId="77777777" w:rsidR="00CB1D7E" w:rsidRPr="007878EE" w:rsidRDefault="00CB1D7E" w:rsidP="001E11FF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proofErr w:type="spellStart"/>
            <w:r w:rsidRPr="007878EE">
              <w:rPr>
                <w:rFonts w:ascii="Arial" w:hAnsi="Arial" w:cs="Arial"/>
                <w:b/>
                <w:bCs/>
                <w:sz w:val="19"/>
                <w:szCs w:val="19"/>
              </w:rPr>
              <w:t>Medios</w:t>
            </w:r>
            <w:proofErr w:type="spellEnd"/>
            <w:r w:rsidRPr="007878EE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de </w:t>
            </w:r>
            <w:proofErr w:type="spellStart"/>
            <w:r w:rsidRPr="007878EE">
              <w:rPr>
                <w:rFonts w:ascii="Arial" w:hAnsi="Arial" w:cs="Arial"/>
                <w:b/>
                <w:bCs/>
                <w:sz w:val="19"/>
                <w:szCs w:val="19"/>
              </w:rPr>
              <w:t>Verificación</w:t>
            </w:r>
            <w:proofErr w:type="spellEnd"/>
          </w:p>
        </w:tc>
      </w:tr>
      <w:tr w:rsidR="00CB1D7E" w:rsidRPr="007878EE" w14:paraId="7CA02969" w14:textId="77777777" w:rsidTr="00CB1D7E">
        <w:trPr>
          <w:trHeight w:val="360"/>
        </w:trPr>
        <w:tc>
          <w:tcPr>
            <w:tcW w:w="5000" w:type="pct"/>
            <w:gridSpan w:val="4"/>
            <w:shd w:val="clear" w:color="auto" w:fill="E7E6E6" w:themeFill="background2"/>
            <w:noWrap/>
            <w:vAlign w:val="center"/>
            <w:hideMark/>
          </w:tcPr>
          <w:p w14:paraId="459A8BEA" w14:textId="77777777" w:rsidR="00CB1D7E" w:rsidRPr="007878EE" w:rsidRDefault="00CB1D7E" w:rsidP="001E11FF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proofErr w:type="spellStart"/>
            <w:r w:rsidRPr="007878EE">
              <w:rPr>
                <w:rFonts w:ascii="Arial" w:hAnsi="Arial" w:cs="Arial"/>
                <w:b/>
                <w:bCs/>
                <w:sz w:val="19"/>
                <w:szCs w:val="19"/>
              </w:rPr>
              <w:t>Componente</w:t>
            </w:r>
            <w:proofErr w:type="spellEnd"/>
            <w:r w:rsidRPr="007878EE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I. </w:t>
            </w:r>
            <w:proofErr w:type="spellStart"/>
            <w:r w:rsidRPr="007878EE">
              <w:rPr>
                <w:rFonts w:ascii="Arial" w:hAnsi="Arial" w:cs="Arial"/>
                <w:b/>
                <w:bCs/>
                <w:sz w:val="19"/>
                <w:szCs w:val="19"/>
              </w:rPr>
              <w:t>Estabilidad</w:t>
            </w:r>
            <w:proofErr w:type="spellEnd"/>
            <w:r w:rsidRPr="007878EE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proofErr w:type="spellStart"/>
            <w:r w:rsidRPr="007878EE">
              <w:rPr>
                <w:rFonts w:ascii="Arial" w:hAnsi="Arial" w:cs="Arial"/>
                <w:b/>
                <w:bCs/>
                <w:sz w:val="19"/>
                <w:szCs w:val="19"/>
              </w:rPr>
              <w:t>Macronómica</w:t>
            </w:r>
            <w:proofErr w:type="spellEnd"/>
          </w:p>
        </w:tc>
      </w:tr>
      <w:tr w:rsidR="00CB1D7E" w:rsidRPr="00CA75CE" w14:paraId="66CAC5A5" w14:textId="77777777" w:rsidTr="008C67E0">
        <w:trPr>
          <w:trHeight w:val="801"/>
        </w:trPr>
        <w:tc>
          <w:tcPr>
            <w:tcW w:w="969" w:type="pct"/>
            <w:noWrap/>
            <w:hideMark/>
          </w:tcPr>
          <w:p w14:paraId="276194B0" w14:textId="77777777" w:rsidR="00CB1D7E" w:rsidRPr="007878EE" w:rsidRDefault="00CB1D7E" w:rsidP="001E11FF">
            <w:pPr>
              <w:ind w:right="-225"/>
              <w:rPr>
                <w:rFonts w:ascii="Arial" w:hAnsi="Arial" w:cs="Arial"/>
                <w:sz w:val="19"/>
                <w:szCs w:val="19"/>
              </w:rPr>
            </w:pPr>
            <w:proofErr w:type="spellStart"/>
            <w:r w:rsidRPr="007878EE">
              <w:rPr>
                <w:rFonts w:ascii="Arial" w:hAnsi="Arial" w:cs="Arial"/>
                <w:sz w:val="19"/>
                <w:szCs w:val="19"/>
              </w:rPr>
              <w:t>Políticas</w:t>
            </w:r>
            <w:proofErr w:type="spellEnd"/>
            <w:r w:rsidRPr="007878EE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Pr="007878EE">
              <w:rPr>
                <w:rFonts w:ascii="Arial" w:hAnsi="Arial" w:cs="Arial"/>
                <w:sz w:val="19"/>
                <w:szCs w:val="19"/>
              </w:rPr>
              <w:t>macroeconómicas</w:t>
            </w:r>
            <w:proofErr w:type="spellEnd"/>
          </w:p>
        </w:tc>
        <w:tc>
          <w:tcPr>
            <w:tcW w:w="873" w:type="pct"/>
            <w:hideMark/>
          </w:tcPr>
          <w:p w14:paraId="6591DB02" w14:textId="465F5450" w:rsidR="00CB1D7E" w:rsidRPr="007878EE" w:rsidRDefault="00CB1D7E" w:rsidP="001E11FF">
            <w:pPr>
              <w:rPr>
                <w:rFonts w:ascii="Arial" w:hAnsi="Arial" w:cs="Arial"/>
                <w:sz w:val="19"/>
                <w:szCs w:val="19"/>
              </w:rPr>
            </w:pPr>
            <w:r w:rsidRPr="007878EE">
              <w:rPr>
                <w:rFonts w:ascii="Arial" w:hAnsi="Arial" w:cs="Arial"/>
                <w:sz w:val="19"/>
                <w:szCs w:val="19"/>
              </w:rPr>
              <w:t xml:space="preserve">Marco General de </w:t>
            </w:r>
            <w:proofErr w:type="spellStart"/>
            <w:r w:rsidRPr="007878EE">
              <w:rPr>
                <w:rFonts w:ascii="Arial" w:hAnsi="Arial" w:cs="Arial"/>
                <w:sz w:val="19"/>
                <w:szCs w:val="19"/>
              </w:rPr>
              <w:t>Políticas</w:t>
            </w:r>
            <w:proofErr w:type="spellEnd"/>
            <w:r w:rsidRPr="007878EE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Pr="007878EE">
              <w:rPr>
                <w:rFonts w:ascii="Arial" w:hAnsi="Arial" w:cs="Arial"/>
                <w:sz w:val="19"/>
                <w:szCs w:val="19"/>
              </w:rPr>
              <w:t>Macroeconómicas</w:t>
            </w:r>
            <w:proofErr w:type="spellEnd"/>
            <w:r w:rsidRPr="007878EE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Pr="007878EE">
              <w:rPr>
                <w:rFonts w:ascii="Arial" w:hAnsi="Arial" w:cs="Arial"/>
                <w:sz w:val="19"/>
                <w:szCs w:val="19"/>
              </w:rPr>
              <w:t>est</w:t>
            </w:r>
            <w:r>
              <w:rPr>
                <w:rFonts w:ascii="Arial" w:hAnsi="Arial" w:cs="Arial"/>
                <w:sz w:val="19"/>
                <w:szCs w:val="19"/>
              </w:rPr>
              <w:t>able</w:t>
            </w:r>
            <w:proofErr w:type="spellEnd"/>
          </w:p>
        </w:tc>
        <w:tc>
          <w:tcPr>
            <w:tcW w:w="1448" w:type="pct"/>
            <w:hideMark/>
          </w:tcPr>
          <w:p w14:paraId="278BC8F9" w14:textId="77777777" w:rsidR="00CB1D7E" w:rsidRPr="007878EE" w:rsidRDefault="00CB1D7E" w:rsidP="00C15FAE">
            <w:pPr>
              <w:jc w:val="both"/>
              <w:rPr>
                <w:rFonts w:ascii="Arial" w:hAnsi="Arial" w:cs="Arial"/>
                <w:sz w:val="19"/>
                <w:szCs w:val="19"/>
                <w:lang w:val="es-MX"/>
              </w:rPr>
            </w:pPr>
            <w:r w:rsidRPr="006B36F8">
              <w:rPr>
                <w:rFonts w:ascii="Arial" w:hAnsi="Arial" w:cs="Arial"/>
                <w:sz w:val="19"/>
                <w:szCs w:val="19"/>
                <w:lang w:val="es-MX"/>
              </w:rPr>
              <w:t>Marco macroeconómico estable y congruente con los objetivos del programa según lo establecido en la Matriz de Políticas y en la Carta de Política Sectorial</w:t>
            </w:r>
            <w:r w:rsidRPr="007878EE">
              <w:rPr>
                <w:rFonts w:ascii="Arial" w:hAnsi="Arial" w:cs="Arial"/>
                <w:sz w:val="19"/>
                <w:szCs w:val="19"/>
                <w:lang w:val="es-MX"/>
              </w:rPr>
              <w:t>.</w:t>
            </w:r>
            <w:bookmarkStart w:id="0" w:name="_GoBack"/>
            <w:bookmarkEnd w:id="0"/>
          </w:p>
        </w:tc>
        <w:tc>
          <w:tcPr>
            <w:tcW w:w="1710" w:type="pct"/>
            <w:hideMark/>
          </w:tcPr>
          <w:p w14:paraId="38A9CBDA" w14:textId="77777777" w:rsidR="00CB1D7E" w:rsidRPr="007878EE" w:rsidRDefault="00CB1D7E" w:rsidP="001E11FF">
            <w:pPr>
              <w:rPr>
                <w:rFonts w:ascii="Arial" w:hAnsi="Arial" w:cs="Arial"/>
                <w:sz w:val="19"/>
                <w:szCs w:val="19"/>
                <w:lang w:val="es-MX"/>
              </w:rPr>
            </w:pPr>
            <w:r w:rsidRPr="007878EE">
              <w:rPr>
                <w:rFonts w:ascii="Arial" w:hAnsi="Arial" w:cs="Arial"/>
                <w:sz w:val="19"/>
                <w:szCs w:val="19"/>
                <w:lang w:val="es-MX"/>
              </w:rPr>
              <w:t>Evaluación Independiente de Condiciones Macroeconómicas (IAMC) vigente al momento de solicitar el desembolso.</w:t>
            </w:r>
          </w:p>
        </w:tc>
      </w:tr>
      <w:tr w:rsidR="00CB1D7E" w:rsidRPr="008C67E0" w14:paraId="7250FB68" w14:textId="77777777" w:rsidTr="00CB1D7E">
        <w:trPr>
          <w:trHeight w:val="360"/>
        </w:trPr>
        <w:tc>
          <w:tcPr>
            <w:tcW w:w="5000" w:type="pct"/>
            <w:gridSpan w:val="4"/>
            <w:shd w:val="clear" w:color="auto" w:fill="E7E6E6" w:themeFill="background2"/>
            <w:noWrap/>
            <w:vAlign w:val="center"/>
            <w:hideMark/>
          </w:tcPr>
          <w:p w14:paraId="2942563E" w14:textId="22D54D01" w:rsidR="00CB1D7E" w:rsidRPr="00690D58" w:rsidRDefault="00CB1D7E" w:rsidP="001E11FF">
            <w:pPr>
              <w:rPr>
                <w:rFonts w:ascii="Arial" w:hAnsi="Arial" w:cs="Arial"/>
                <w:b/>
                <w:bCs/>
                <w:sz w:val="19"/>
                <w:szCs w:val="19"/>
                <w:lang w:val="es-MX"/>
              </w:rPr>
            </w:pPr>
            <w:r w:rsidRPr="00690D58">
              <w:rPr>
                <w:rFonts w:ascii="Arial" w:hAnsi="Arial" w:cs="Arial"/>
                <w:b/>
                <w:bCs/>
                <w:sz w:val="19"/>
                <w:szCs w:val="19"/>
                <w:lang w:val="es-MX"/>
              </w:rPr>
              <w:t xml:space="preserve">Componente II. </w:t>
            </w:r>
            <w:r w:rsidR="00D94181" w:rsidRPr="00690D58">
              <w:rPr>
                <w:rFonts w:ascii="Arial" w:hAnsi="Arial" w:cs="Arial"/>
                <w:b/>
                <w:bCs/>
                <w:sz w:val="19"/>
                <w:szCs w:val="19"/>
                <w:lang w:val="es-MX"/>
              </w:rPr>
              <w:t>Marco</w:t>
            </w:r>
            <w:r w:rsidRPr="00690D58">
              <w:rPr>
                <w:rFonts w:ascii="Arial" w:hAnsi="Arial" w:cs="Arial"/>
                <w:b/>
                <w:bCs/>
                <w:sz w:val="19"/>
                <w:szCs w:val="19"/>
                <w:lang w:val="es-MX"/>
              </w:rPr>
              <w:t xml:space="preserve"> Institucional</w:t>
            </w:r>
            <w:r w:rsidR="00D94181" w:rsidRPr="00690D58">
              <w:rPr>
                <w:rFonts w:ascii="Arial" w:hAnsi="Arial" w:cs="Arial"/>
                <w:b/>
                <w:bCs/>
                <w:sz w:val="19"/>
                <w:szCs w:val="19"/>
                <w:lang w:val="es-MX"/>
              </w:rPr>
              <w:t xml:space="preserve"> del Sector</w:t>
            </w:r>
            <w:r w:rsidR="00C843D5" w:rsidRPr="00690D58">
              <w:rPr>
                <w:rFonts w:ascii="Arial" w:hAnsi="Arial" w:cs="Arial"/>
                <w:b/>
                <w:bCs/>
                <w:sz w:val="19"/>
                <w:szCs w:val="19"/>
                <w:lang w:val="es-MX"/>
              </w:rPr>
              <w:t xml:space="preserve"> de En</w:t>
            </w:r>
            <w:r w:rsidR="00C843D5">
              <w:rPr>
                <w:rFonts w:ascii="Arial" w:hAnsi="Arial" w:cs="Arial"/>
                <w:b/>
                <w:bCs/>
                <w:sz w:val="19"/>
                <w:szCs w:val="19"/>
                <w:lang w:val="es-MX"/>
              </w:rPr>
              <w:t>ergía</w:t>
            </w:r>
          </w:p>
        </w:tc>
      </w:tr>
      <w:tr w:rsidR="00CB1D7E" w:rsidRPr="00CA75CE" w14:paraId="403E6DA2" w14:textId="77777777" w:rsidTr="008C67E0">
        <w:trPr>
          <w:trHeight w:val="600"/>
        </w:trPr>
        <w:tc>
          <w:tcPr>
            <w:tcW w:w="969" w:type="pct"/>
            <w:vMerge w:val="restart"/>
            <w:hideMark/>
          </w:tcPr>
          <w:p w14:paraId="27C9C463" w14:textId="77777777" w:rsidR="00CB1D7E" w:rsidRPr="007878EE" w:rsidRDefault="00CB1D7E" w:rsidP="007878EE">
            <w:pPr>
              <w:rPr>
                <w:rFonts w:ascii="Arial" w:hAnsi="Arial" w:cs="Arial"/>
                <w:sz w:val="19"/>
                <w:szCs w:val="19"/>
                <w:lang w:val="es-MX"/>
              </w:rPr>
            </w:pPr>
            <w:r w:rsidRPr="007878EE">
              <w:rPr>
                <w:rFonts w:ascii="Arial" w:hAnsi="Arial" w:cs="Arial"/>
                <w:sz w:val="19"/>
                <w:szCs w:val="19"/>
                <w:lang w:val="es-MX"/>
              </w:rPr>
              <w:t>Marco regulatorio, institucional y operativo para la implementación de la Reforma Energética en materia de sustentabilidad y seguridad.</w:t>
            </w:r>
          </w:p>
        </w:tc>
        <w:tc>
          <w:tcPr>
            <w:tcW w:w="873" w:type="pct"/>
            <w:vMerge w:val="restart"/>
          </w:tcPr>
          <w:p w14:paraId="027FCA55" w14:textId="77777777" w:rsidR="00CB1D7E" w:rsidRPr="007878EE" w:rsidRDefault="00CB1D7E" w:rsidP="007878EE">
            <w:pPr>
              <w:rPr>
                <w:rFonts w:ascii="Arial" w:hAnsi="Arial" w:cs="Arial"/>
                <w:sz w:val="19"/>
                <w:szCs w:val="19"/>
                <w:lang w:val="es-MX"/>
              </w:rPr>
            </w:pPr>
            <w:r w:rsidRPr="007878EE">
              <w:rPr>
                <w:rFonts w:ascii="Arial" w:hAnsi="Arial" w:cs="Arial"/>
                <w:sz w:val="19"/>
                <w:szCs w:val="19"/>
                <w:lang w:val="es-MX"/>
              </w:rPr>
              <w:t>Fortalecer a las instituciones del sector en materia de regulación, generación de información, planeación, operación, y de coordinación</w:t>
            </w:r>
            <w:r w:rsidRPr="007878EE" w:rsidDel="0017529C">
              <w:rPr>
                <w:rFonts w:ascii="Arial" w:hAnsi="Arial" w:cs="Arial"/>
                <w:sz w:val="19"/>
                <w:szCs w:val="19"/>
                <w:lang w:val="es-MX"/>
              </w:rPr>
              <w:t xml:space="preserve"> </w:t>
            </w:r>
          </w:p>
          <w:p w14:paraId="7B81D37A" w14:textId="77777777" w:rsidR="00CB1D7E" w:rsidRPr="007878EE" w:rsidRDefault="00CB1D7E" w:rsidP="007878EE">
            <w:pPr>
              <w:rPr>
                <w:rFonts w:ascii="Arial" w:hAnsi="Arial" w:cs="Arial"/>
                <w:sz w:val="19"/>
                <w:szCs w:val="19"/>
                <w:lang w:val="es-MX"/>
              </w:rPr>
            </w:pP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ADCCB" w14:textId="0983CEA6" w:rsidR="00CB1D7E" w:rsidRPr="007878EE" w:rsidRDefault="00CB1D7E" w:rsidP="007878EE">
            <w:pPr>
              <w:rPr>
                <w:rFonts w:ascii="Arial" w:hAnsi="Arial" w:cs="Arial"/>
                <w:sz w:val="19"/>
                <w:szCs w:val="19"/>
                <w:lang w:val="es-MX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Creación</w:t>
            </w:r>
            <w:r w:rsidR="002E01A2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 xml:space="preserve"> e instalación</w:t>
            </w:r>
            <w:r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 xml:space="preserve"> del </w:t>
            </w:r>
            <w:r w:rsidRPr="007878E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 xml:space="preserve">Consejo Consultivo para </w:t>
            </w:r>
            <w:r w:rsidR="002E01A2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la Transición Energética (CCTE), conforme lo establecido en la Ley de Transición Energética (LTE)</w:t>
            </w:r>
            <w:r w:rsidR="00C843D5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 xml:space="preserve"> como órgano de consulta y participación ciudadana, incluida la participación del sector privado que opina y asesora sobre el cumplimiento de las metas de Energías Limpias (EL) y Eficiencia Energética (EE), cuyas principales funciones son: promover la participación social, opinar sobre zonas con alto potencial de EL, emitir recomendaciones sobre la Estrategia de Transición para Promover el Uso de Tecnologías y Combustibles más Limpios (ETE), el Programa Especial de Transición Energética (PETE) y el Programa Nacional para el Aprovechamiento Sustentable de la Energía (PRONASE). </w:t>
            </w: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530AF" w14:textId="76DBCA01" w:rsidR="00CB1D7E" w:rsidRPr="007878EE" w:rsidRDefault="002E01A2" w:rsidP="007878EE">
            <w:pPr>
              <w:rPr>
                <w:rFonts w:ascii="Arial" w:hAnsi="Arial" w:cs="Arial"/>
                <w:sz w:val="19"/>
                <w:szCs w:val="19"/>
                <w:lang w:val="es-MX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 xml:space="preserve">Publicación de la LTE </w:t>
            </w:r>
            <w:r w:rsidR="005B4324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 xml:space="preserve">en el Diario Oficial de la Federación (DOF), </w:t>
            </w:r>
            <w:r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el 24 de diciembre de 2015, y</w:t>
            </w:r>
            <w:r w:rsidR="000274A6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 xml:space="preserve"> Publicación del Acta</w:t>
            </w:r>
            <w:r w:rsidR="00CB1D7E" w:rsidRPr="007878E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 xml:space="preserve"> de la reunión </w:t>
            </w:r>
            <w:r w:rsidR="00C15FA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 xml:space="preserve">en la que los integrantes </w:t>
            </w:r>
            <w:r w:rsidR="00C15FAE" w:rsidRPr="007878E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del CCTE</w:t>
            </w:r>
            <w:r w:rsidR="00C15FA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 xml:space="preserve"> acuerdan la</w:t>
            </w:r>
            <w:r w:rsidR="00CB1D7E" w:rsidRPr="007878E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 xml:space="preserve"> instalación</w:t>
            </w:r>
            <w:r w:rsidR="00C15FA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 xml:space="preserve"> del Consejo</w:t>
            </w:r>
            <w:r w:rsidR="00CB1D7E" w:rsidRPr="007878E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, publicada en el Portal del Gobierno de México (</w:t>
            </w:r>
            <w:proofErr w:type="spellStart"/>
            <w:r w:rsidR="00CB1D7E" w:rsidRPr="007878E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PGdM</w:t>
            </w:r>
            <w:proofErr w:type="spellEnd"/>
            <w:r w:rsidR="00CB1D7E" w:rsidRPr="007878E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)</w:t>
            </w:r>
            <w:r w:rsidR="000274A6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, el 8 de julio de 2016</w:t>
            </w:r>
            <w:r w:rsidR="00CB1D7E" w:rsidRPr="007878E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 xml:space="preserve">. </w:t>
            </w:r>
          </w:p>
        </w:tc>
      </w:tr>
      <w:tr w:rsidR="00CB1D7E" w:rsidRPr="00CA75CE" w14:paraId="669703CC" w14:textId="77777777" w:rsidTr="008C67E0">
        <w:trPr>
          <w:trHeight w:val="800"/>
        </w:trPr>
        <w:tc>
          <w:tcPr>
            <w:tcW w:w="969" w:type="pct"/>
            <w:vMerge/>
            <w:hideMark/>
          </w:tcPr>
          <w:p w14:paraId="3600BE30" w14:textId="77777777" w:rsidR="00CB1D7E" w:rsidRPr="007878EE" w:rsidRDefault="00CB1D7E" w:rsidP="001E11FF">
            <w:pPr>
              <w:rPr>
                <w:rFonts w:ascii="Arial" w:hAnsi="Arial" w:cs="Arial"/>
                <w:sz w:val="19"/>
                <w:szCs w:val="19"/>
                <w:lang w:val="es-MX"/>
              </w:rPr>
            </w:pPr>
          </w:p>
        </w:tc>
        <w:tc>
          <w:tcPr>
            <w:tcW w:w="873" w:type="pct"/>
            <w:vMerge/>
          </w:tcPr>
          <w:p w14:paraId="558D0536" w14:textId="77777777" w:rsidR="00CB1D7E" w:rsidRPr="007878EE" w:rsidRDefault="00CB1D7E" w:rsidP="001E11FF">
            <w:pPr>
              <w:rPr>
                <w:rFonts w:ascii="Arial" w:hAnsi="Arial" w:cs="Arial"/>
                <w:sz w:val="19"/>
                <w:szCs w:val="19"/>
                <w:lang w:val="es-MX"/>
              </w:rPr>
            </w:pP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DD74A" w14:textId="3038294D" w:rsidR="00CB1D7E" w:rsidRPr="007878EE" w:rsidRDefault="002E01A2" w:rsidP="001E11FF">
            <w:pPr>
              <w:rPr>
                <w:rFonts w:ascii="Arial" w:hAnsi="Arial" w:cs="Arial"/>
                <w:sz w:val="19"/>
                <w:szCs w:val="19"/>
                <w:lang w:val="es-MX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 xml:space="preserve">Aprobación y publicación </w:t>
            </w:r>
            <w:r w:rsidR="00CB1D7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 xml:space="preserve">de las </w:t>
            </w:r>
            <w:r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R</w:t>
            </w:r>
            <w:r w:rsidR="00CB1D7E" w:rsidRPr="007878E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 xml:space="preserve">eglas de </w:t>
            </w:r>
            <w:r w:rsidR="000525CB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O</w:t>
            </w:r>
            <w:r w:rsidR="00CB1D7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peración del C</w:t>
            </w:r>
            <w:r w:rsidR="000525CB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onsejo Consultivo para la Transición Energética (C</w:t>
            </w:r>
            <w:r w:rsidR="00CB1D7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CTE</w:t>
            </w:r>
            <w:r w:rsidR="000525CB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)</w:t>
            </w:r>
            <w:r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, con fundamento en lo establecido en el Título Séptimo de la L</w:t>
            </w:r>
            <w:r w:rsidR="00E14179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ey de Transición Energética.</w:t>
            </w: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8F03A" w14:textId="0BD36FE5" w:rsidR="00CB1D7E" w:rsidRPr="007878EE" w:rsidRDefault="00CB1D7E" w:rsidP="001E11FF">
            <w:pPr>
              <w:rPr>
                <w:rFonts w:ascii="Arial" w:hAnsi="Arial" w:cs="Arial"/>
                <w:sz w:val="19"/>
                <w:szCs w:val="19"/>
                <w:lang w:val="es-MX"/>
              </w:rPr>
            </w:pPr>
            <w:r w:rsidRPr="007878E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 xml:space="preserve">Reglas de Operación del CCTE, publicadas en el </w:t>
            </w:r>
            <w:proofErr w:type="spellStart"/>
            <w:r w:rsidRPr="007878E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PGdM</w:t>
            </w:r>
            <w:proofErr w:type="spellEnd"/>
            <w:r w:rsidR="000274A6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, el 8 de julio de 2016</w:t>
            </w:r>
            <w:r w:rsidR="00C15FA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.</w:t>
            </w:r>
          </w:p>
        </w:tc>
      </w:tr>
      <w:tr w:rsidR="00CB1D7E" w:rsidRPr="00CA75CE" w14:paraId="3F8F57C5" w14:textId="77777777" w:rsidTr="008C67E0">
        <w:trPr>
          <w:trHeight w:val="440"/>
        </w:trPr>
        <w:tc>
          <w:tcPr>
            <w:tcW w:w="969" w:type="pct"/>
            <w:vMerge/>
            <w:hideMark/>
          </w:tcPr>
          <w:p w14:paraId="4A798F50" w14:textId="77777777" w:rsidR="00CB1D7E" w:rsidRPr="007878EE" w:rsidRDefault="00CB1D7E" w:rsidP="001E11FF">
            <w:pPr>
              <w:rPr>
                <w:rFonts w:ascii="Arial" w:hAnsi="Arial" w:cs="Arial"/>
                <w:sz w:val="19"/>
                <w:szCs w:val="19"/>
                <w:lang w:val="es-MX"/>
              </w:rPr>
            </w:pPr>
          </w:p>
        </w:tc>
        <w:tc>
          <w:tcPr>
            <w:tcW w:w="873" w:type="pct"/>
            <w:vMerge/>
          </w:tcPr>
          <w:p w14:paraId="347BC09D" w14:textId="77777777" w:rsidR="00CB1D7E" w:rsidRPr="007878EE" w:rsidRDefault="00CB1D7E" w:rsidP="001E11FF">
            <w:pPr>
              <w:rPr>
                <w:rFonts w:ascii="Arial" w:hAnsi="Arial" w:cs="Arial"/>
                <w:sz w:val="19"/>
                <w:szCs w:val="19"/>
                <w:lang w:val="es-MX"/>
              </w:rPr>
            </w:pP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904A1" w14:textId="75954630" w:rsidR="00CB1D7E" w:rsidRPr="007878EE" w:rsidRDefault="00CB1D7E" w:rsidP="007878EE">
            <w:pPr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 xml:space="preserve">Creación </w:t>
            </w:r>
            <w:r w:rsidR="002E01A2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 xml:space="preserve">e instalación </w:t>
            </w:r>
            <w:r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de</w:t>
            </w:r>
            <w:r w:rsidR="002E01A2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l</w:t>
            </w:r>
            <w:r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 xml:space="preserve"> </w:t>
            </w:r>
            <w:r w:rsidRPr="007878E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Co</w:t>
            </w:r>
            <w:r w:rsidR="002E01A2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nsejo</w:t>
            </w:r>
            <w:r w:rsidRPr="007878E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 xml:space="preserve"> de Coordinaci</w:t>
            </w:r>
            <w:r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ón del Sector Energético (CCSE)</w:t>
            </w:r>
            <w:r w:rsidR="002E01A2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,</w:t>
            </w:r>
            <w:r w:rsidR="00E14179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 xml:space="preserve"> como un mecanismo de coordinación entre la SENER y las instituciones gubernamentales del sector energético, cuyas principales funciones son: informar a sus integrantes de la política energética y emitir recomendaciones sobre la misma; e implementar sistemas de información compartida, conforme a</w:t>
            </w:r>
            <w:r w:rsidR="002E01A2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 xml:space="preserve"> la Ley de los Órganos Reguladores Coordinados en Materia Energética.</w:t>
            </w: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353CE" w14:textId="18A9C55E" w:rsidR="00CB1D7E" w:rsidRPr="007878EE" w:rsidRDefault="002E01A2" w:rsidP="007878EE">
            <w:pPr>
              <w:rPr>
                <w:rFonts w:ascii="Arial" w:hAnsi="Arial" w:cs="Arial"/>
                <w:sz w:val="19"/>
                <w:szCs w:val="19"/>
                <w:lang w:val="es-MX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 xml:space="preserve">Publicación </w:t>
            </w:r>
            <w:r w:rsidR="000274A6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 xml:space="preserve">en el DOF </w:t>
            </w:r>
            <w:r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 xml:space="preserve">de la Ley de los Órganos Reguladores Coordinados en Materia Energética del 11 de agosto de 2014, y </w:t>
            </w:r>
            <w:r w:rsidR="00C15FA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Acta de la r</w:t>
            </w:r>
            <w:r w:rsidR="00CB1D7E" w:rsidRPr="007878E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 xml:space="preserve">eunión </w:t>
            </w:r>
            <w:r w:rsidR="00C15FA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 xml:space="preserve">en la que los integrantes </w:t>
            </w:r>
            <w:r w:rsidR="00CB1D7E" w:rsidRPr="007878E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del CCSE</w:t>
            </w:r>
            <w:r w:rsidR="00C15FA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 xml:space="preserve"> acuerdan la instalación del Comité</w:t>
            </w:r>
            <w:r w:rsidR="00CB1D7E" w:rsidRPr="007878E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 xml:space="preserve">, publicada en el </w:t>
            </w:r>
            <w:proofErr w:type="spellStart"/>
            <w:r w:rsidR="00CB1D7E" w:rsidRPr="007878E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PGdM</w:t>
            </w:r>
            <w:proofErr w:type="spellEnd"/>
            <w:r w:rsidR="000274A6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, el 5 de septiembre de 2016</w:t>
            </w:r>
            <w:r w:rsidR="00CB1D7E" w:rsidRPr="007878E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.</w:t>
            </w:r>
          </w:p>
        </w:tc>
      </w:tr>
      <w:tr w:rsidR="00CB1D7E" w:rsidRPr="00CA75CE" w14:paraId="4FA3C653" w14:textId="77777777" w:rsidTr="008C67E0">
        <w:trPr>
          <w:trHeight w:val="600"/>
        </w:trPr>
        <w:tc>
          <w:tcPr>
            <w:tcW w:w="969" w:type="pct"/>
            <w:vMerge/>
            <w:tcBorders>
              <w:bottom w:val="single" w:sz="4" w:space="0" w:color="auto"/>
            </w:tcBorders>
            <w:hideMark/>
          </w:tcPr>
          <w:p w14:paraId="79270797" w14:textId="77777777" w:rsidR="00CB1D7E" w:rsidRPr="007878EE" w:rsidRDefault="00CB1D7E" w:rsidP="001E11FF">
            <w:pPr>
              <w:rPr>
                <w:rFonts w:ascii="Arial" w:hAnsi="Arial" w:cs="Arial"/>
                <w:sz w:val="19"/>
                <w:szCs w:val="19"/>
                <w:lang w:val="es-MX"/>
              </w:rPr>
            </w:pPr>
          </w:p>
        </w:tc>
        <w:tc>
          <w:tcPr>
            <w:tcW w:w="873" w:type="pct"/>
            <w:vMerge/>
            <w:tcBorders>
              <w:bottom w:val="single" w:sz="4" w:space="0" w:color="auto"/>
            </w:tcBorders>
          </w:tcPr>
          <w:p w14:paraId="695B22B1" w14:textId="77777777" w:rsidR="00CB1D7E" w:rsidRPr="007878EE" w:rsidRDefault="00CB1D7E" w:rsidP="001E11FF">
            <w:pPr>
              <w:rPr>
                <w:rFonts w:ascii="Arial" w:hAnsi="Arial" w:cs="Arial"/>
                <w:sz w:val="19"/>
                <w:szCs w:val="19"/>
                <w:lang w:val="es-MX"/>
              </w:rPr>
            </w:pP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EBD6F" w14:textId="3300B1F0" w:rsidR="00CB1D7E" w:rsidRPr="007878EE" w:rsidRDefault="002E01A2" w:rsidP="007878EE">
            <w:pPr>
              <w:rPr>
                <w:rFonts w:ascii="Arial" w:hAnsi="Arial" w:cs="Arial"/>
                <w:sz w:val="19"/>
                <w:szCs w:val="19"/>
                <w:lang w:val="es-MX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Aprobación y p</w:t>
            </w:r>
            <w:r w:rsidR="00CB1D7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 xml:space="preserve">ublicación de las </w:t>
            </w:r>
            <w:r w:rsidR="00E16CCA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R</w:t>
            </w:r>
            <w:r w:rsidR="00CB1D7E" w:rsidRPr="007878E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 xml:space="preserve">eglas </w:t>
            </w:r>
            <w:r w:rsidR="00E16CCA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para la O</w:t>
            </w:r>
            <w:r w:rsidR="00CB1D7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 xml:space="preserve">peración del </w:t>
            </w:r>
            <w:r w:rsidR="00E16CCA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 xml:space="preserve">Consejo Coordinador del Sector Energético publicadas en el Portal del Gobierno de México. </w:t>
            </w: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64310" w14:textId="66C46C61" w:rsidR="00CB1D7E" w:rsidRPr="007878EE" w:rsidRDefault="00CB1D7E" w:rsidP="007878EE">
            <w:pPr>
              <w:rPr>
                <w:rFonts w:ascii="Arial" w:hAnsi="Arial" w:cs="Arial"/>
                <w:sz w:val="19"/>
                <w:szCs w:val="19"/>
                <w:lang w:val="es-MX"/>
              </w:rPr>
            </w:pPr>
            <w:r w:rsidRPr="007878E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 xml:space="preserve">Reglas para la operación del CCSE, publicadas </w:t>
            </w:r>
            <w:r w:rsidR="002E01A2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 xml:space="preserve">en </w:t>
            </w:r>
            <w:proofErr w:type="spellStart"/>
            <w:r w:rsidR="002E01A2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PGdM</w:t>
            </w:r>
            <w:proofErr w:type="spellEnd"/>
            <w:r w:rsidR="002E01A2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 xml:space="preserve"> del 5 d septiembre de 2016.</w:t>
            </w:r>
          </w:p>
        </w:tc>
      </w:tr>
      <w:tr w:rsidR="00CB1D7E" w:rsidRPr="00CA75CE" w14:paraId="0D637E38" w14:textId="77777777" w:rsidTr="008C67E0">
        <w:trPr>
          <w:trHeight w:val="600"/>
        </w:trPr>
        <w:tc>
          <w:tcPr>
            <w:tcW w:w="969" w:type="pct"/>
            <w:tcBorders>
              <w:bottom w:val="single" w:sz="4" w:space="0" w:color="auto"/>
            </w:tcBorders>
          </w:tcPr>
          <w:p w14:paraId="58FC3837" w14:textId="77777777" w:rsidR="00CB1D7E" w:rsidRPr="007878EE" w:rsidRDefault="00CB1D7E" w:rsidP="001E11FF">
            <w:pPr>
              <w:rPr>
                <w:rFonts w:ascii="Arial" w:hAnsi="Arial" w:cs="Arial"/>
                <w:sz w:val="19"/>
                <w:szCs w:val="19"/>
                <w:lang w:val="es-MX"/>
              </w:rPr>
            </w:pPr>
          </w:p>
        </w:tc>
        <w:tc>
          <w:tcPr>
            <w:tcW w:w="873" w:type="pct"/>
            <w:tcBorders>
              <w:bottom w:val="single" w:sz="4" w:space="0" w:color="auto"/>
            </w:tcBorders>
          </w:tcPr>
          <w:p w14:paraId="5F057C8E" w14:textId="77777777" w:rsidR="00CB1D7E" w:rsidRPr="007878EE" w:rsidRDefault="00CB1D7E" w:rsidP="001E11FF">
            <w:pPr>
              <w:rPr>
                <w:rFonts w:ascii="Arial" w:hAnsi="Arial" w:cs="Arial"/>
                <w:sz w:val="19"/>
                <w:szCs w:val="19"/>
                <w:lang w:val="es-MX"/>
              </w:rPr>
            </w:pP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846F9" w14:textId="48769D95" w:rsidR="00CB1D7E" w:rsidRPr="007878EE" w:rsidRDefault="002E01A2" w:rsidP="007878EE">
            <w:pPr>
              <w:rPr>
                <w:rFonts w:ascii="Arial" w:hAnsi="Arial" w:cs="Arial"/>
                <w:color w:val="000000"/>
                <w:sz w:val="19"/>
                <w:szCs w:val="19"/>
                <w:lang w:val="es-MX"/>
              </w:rPr>
            </w:pPr>
            <w:r>
              <w:rPr>
                <w:rFonts w:ascii="Arial" w:hAnsi="Arial" w:cs="Arial"/>
                <w:sz w:val="19"/>
                <w:szCs w:val="19"/>
                <w:lang w:val="es-MX"/>
              </w:rPr>
              <w:t xml:space="preserve">Aprobación y </w:t>
            </w:r>
            <w:r w:rsidR="00745E74">
              <w:rPr>
                <w:rFonts w:ascii="Arial" w:hAnsi="Arial" w:cs="Arial"/>
                <w:sz w:val="19"/>
                <w:szCs w:val="19"/>
                <w:lang w:val="es-MX"/>
              </w:rPr>
              <w:t>p</w:t>
            </w:r>
            <w:r>
              <w:rPr>
                <w:rFonts w:ascii="Arial" w:hAnsi="Arial" w:cs="Arial"/>
                <w:sz w:val="19"/>
                <w:szCs w:val="19"/>
                <w:lang w:val="es-MX"/>
              </w:rPr>
              <w:t xml:space="preserve">ublicación del Acuerdo por el que la Secretaría de Energía </w:t>
            </w:r>
            <w:r w:rsidR="00745E74">
              <w:rPr>
                <w:rFonts w:ascii="Arial" w:hAnsi="Arial" w:cs="Arial"/>
                <w:sz w:val="19"/>
                <w:szCs w:val="19"/>
                <w:lang w:val="es-MX"/>
              </w:rPr>
              <w:t>a</w:t>
            </w:r>
            <w:r>
              <w:rPr>
                <w:rFonts w:ascii="Arial" w:hAnsi="Arial" w:cs="Arial"/>
                <w:sz w:val="19"/>
                <w:szCs w:val="19"/>
                <w:lang w:val="es-MX"/>
              </w:rPr>
              <w:t xml:space="preserve">prueba y publica la </w:t>
            </w:r>
            <w:r w:rsidR="00745E74">
              <w:rPr>
                <w:rFonts w:ascii="Arial" w:hAnsi="Arial" w:cs="Arial"/>
                <w:sz w:val="19"/>
                <w:szCs w:val="19"/>
                <w:lang w:val="es-MX"/>
              </w:rPr>
              <w:t>r</w:t>
            </w:r>
            <w:r>
              <w:rPr>
                <w:rFonts w:ascii="Arial" w:hAnsi="Arial" w:cs="Arial"/>
                <w:sz w:val="19"/>
                <w:szCs w:val="19"/>
                <w:lang w:val="es-MX"/>
              </w:rPr>
              <w:t>evisión y</w:t>
            </w:r>
            <w:r w:rsidR="00CB1D7E" w:rsidRPr="007878EE">
              <w:rPr>
                <w:rFonts w:ascii="Arial" w:hAnsi="Arial" w:cs="Arial"/>
                <w:sz w:val="19"/>
                <w:szCs w:val="19"/>
                <w:lang w:val="es-MX"/>
              </w:rPr>
              <w:t xml:space="preserve"> </w:t>
            </w:r>
            <w:r w:rsidR="00745E74">
              <w:rPr>
                <w:rFonts w:ascii="Arial" w:hAnsi="Arial" w:cs="Arial"/>
                <w:sz w:val="19"/>
                <w:szCs w:val="19"/>
                <w:lang w:val="es-MX"/>
              </w:rPr>
              <w:t>a</w:t>
            </w:r>
            <w:r w:rsidR="00CB1D7E" w:rsidRPr="007878EE">
              <w:rPr>
                <w:rFonts w:ascii="Arial" w:hAnsi="Arial" w:cs="Arial"/>
                <w:sz w:val="19"/>
                <w:szCs w:val="19"/>
                <w:lang w:val="es-MX"/>
              </w:rPr>
              <w:t>ctualización del Programa Nacional para el Aprovechamiento</w:t>
            </w:r>
            <w:r w:rsidR="00CB1D7E">
              <w:rPr>
                <w:rFonts w:ascii="Arial" w:hAnsi="Arial" w:cs="Arial"/>
                <w:sz w:val="19"/>
                <w:szCs w:val="19"/>
                <w:lang w:val="es-MX"/>
              </w:rPr>
              <w:t xml:space="preserve"> de Energía 2014-2018</w:t>
            </w:r>
            <w:r w:rsidR="00745E74">
              <w:rPr>
                <w:rFonts w:ascii="Arial" w:hAnsi="Arial" w:cs="Arial"/>
                <w:sz w:val="19"/>
                <w:szCs w:val="19"/>
                <w:lang w:val="es-MX"/>
              </w:rPr>
              <w:t>.</w:t>
            </w: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7B42C" w14:textId="203E0F71" w:rsidR="00CB1D7E" w:rsidRPr="007878EE" w:rsidRDefault="00CB1D7E" w:rsidP="007878EE">
            <w:pPr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</w:pPr>
            <w:r w:rsidRPr="007878E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 xml:space="preserve">Acuerdo por el que la SENER aprueba y Publica </w:t>
            </w:r>
            <w:r w:rsidR="002E01A2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el PRONASE, publicado en el DOF el 19 de enero de 2017.</w:t>
            </w:r>
          </w:p>
        </w:tc>
      </w:tr>
      <w:tr w:rsidR="00CB1D7E" w:rsidRPr="007878EE" w14:paraId="0AE82409" w14:textId="77777777" w:rsidTr="00CB1D7E">
        <w:trPr>
          <w:trHeight w:val="360"/>
        </w:trPr>
        <w:tc>
          <w:tcPr>
            <w:tcW w:w="5000" w:type="pct"/>
            <w:gridSpan w:val="4"/>
            <w:shd w:val="clear" w:color="auto" w:fill="E7E6E6" w:themeFill="background2"/>
            <w:vAlign w:val="center"/>
            <w:hideMark/>
          </w:tcPr>
          <w:p w14:paraId="6A772353" w14:textId="77777777" w:rsidR="00CB1D7E" w:rsidRPr="007878EE" w:rsidRDefault="00CB1D7E" w:rsidP="001E11FF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proofErr w:type="spellStart"/>
            <w:r w:rsidRPr="007878EE">
              <w:rPr>
                <w:rFonts w:ascii="Arial" w:hAnsi="Arial" w:cs="Arial"/>
                <w:b/>
                <w:bCs/>
                <w:sz w:val="19"/>
                <w:szCs w:val="19"/>
              </w:rPr>
              <w:t>Componente</w:t>
            </w:r>
            <w:proofErr w:type="spellEnd"/>
            <w:r w:rsidRPr="007878EE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III. </w:t>
            </w:r>
            <w:proofErr w:type="spellStart"/>
            <w:r w:rsidRPr="007878EE">
              <w:rPr>
                <w:rFonts w:ascii="Arial" w:hAnsi="Arial" w:cs="Arial"/>
                <w:b/>
                <w:bCs/>
                <w:sz w:val="19"/>
                <w:szCs w:val="19"/>
              </w:rPr>
              <w:t>Seguridad</w:t>
            </w:r>
            <w:proofErr w:type="spellEnd"/>
            <w:r w:rsidRPr="007878EE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proofErr w:type="spellStart"/>
            <w:r w:rsidRPr="007878EE">
              <w:rPr>
                <w:rFonts w:ascii="Arial" w:hAnsi="Arial" w:cs="Arial"/>
                <w:b/>
                <w:bCs/>
                <w:sz w:val="19"/>
                <w:szCs w:val="19"/>
              </w:rPr>
              <w:t>Energética</w:t>
            </w:r>
            <w:proofErr w:type="spellEnd"/>
          </w:p>
        </w:tc>
      </w:tr>
      <w:tr w:rsidR="00CB1D7E" w:rsidRPr="00CA75CE" w14:paraId="50ABDE31" w14:textId="77777777" w:rsidTr="008C67E0">
        <w:trPr>
          <w:trHeight w:val="600"/>
        </w:trPr>
        <w:tc>
          <w:tcPr>
            <w:tcW w:w="969" w:type="pct"/>
            <w:vMerge w:val="restart"/>
            <w:hideMark/>
          </w:tcPr>
          <w:p w14:paraId="06BB2731" w14:textId="6B241757" w:rsidR="00CB1D7E" w:rsidRPr="007878EE" w:rsidRDefault="00CD3599" w:rsidP="001E11FF">
            <w:pPr>
              <w:rPr>
                <w:rFonts w:ascii="Arial" w:hAnsi="Arial" w:cs="Arial"/>
                <w:sz w:val="19"/>
                <w:szCs w:val="19"/>
                <w:lang w:val="es-MX"/>
              </w:rPr>
            </w:pPr>
            <w:r>
              <w:rPr>
                <w:rFonts w:ascii="Arial" w:hAnsi="Arial" w:cs="Arial"/>
                <w:sz w:val="19"/>
                <w:szCs w:val="19"/>
                <w:lang w:val="es-MX"/>
              </w:rPr>
              <w:t>T</w:t>
            </w:r>
            <w:r w:rsidR="00CB1D7E" w:rsidRPr="007878EE">
              <w:rPr>
                <w:rFonts w:ascii="Arial" w:hAnsi="Arial" w:cs="Arial"/>
                <w:sz w:val="19"/>
                <w:szCs w:val="19"/>
                <w:lang w:val="es-MX"/>
              </w:rPr>
              <w:t>ransporte de Gas Natural</w:t>
            </w:r>
            <w:r w:rsidR="004842BA">
              <w:rPr>
                <w:rFonts w:ascii="Arial" w:hAnsi="Arial" w:cs="Arial"/>
                <w:sz w:val="19"/>
                <w:szCs w:val="19"/>
                <w:lang w:val="es-MX"/>
              </w:rPr>
              <w:t xml:space="preserve"> (GN)</w:t>
            </w:r>
            <w:r w:rsidR="00CB1D7E" w:rsidRPr="007878EE">
              <w:rPr>
                <w:rFonts w:ascii="Arial" w:hAnsi="Arial" w:cs="Arial"/>
                <w:sz w:val="19"/>
                <w:szCs w:val="19"/>
                <w:lang w:val="es-MX"/>
              </w:rPr>
              <w:t>.</w:t>
            </w:r>
          </w:p>
        </w:tc>
        <w:tc>
          <w:tcPr>
            <w:tcW w:w="873" w:type="pct"/>
            <w:vMerge w:val="restart"/>
            <w:hideMark/>
          </w:tcPr>
          <w:p w14:paraId="54DB45F0" w14:textId="77777777" w:rsidR="00CB1D7E" w:rsidRPr="007878EE" w:rsidRDefault="00CB1D7E" w:rsidP="001E11FF">
            <w:pPr>
              <w:rPr>
                <w:rFonts w:ascii="Arial" w:hAnsi="Arial" w:cs="Arial"/>
                <w:sz w:val="19"/>
                <w:szCs w:val="19"/>
                <w:lang w:val="es-MX"/>
              </w:rPr>
            </w:pPr>
            <w:r w:rsidRPr="007878EE">
              <w:rPr>
                <w:rFonts w:ascii="Arial" w:hAnsi="Arial" w:cs="Arial"/>
                <w:sz w:val="19"/>
                <w:szCs w:val="19"/>
                <w:lang w:val="es-MX"/>
              </w:rPr>
              <w:t>Asegurar el suministro de GN y la expansión de la red nacional de gasoductos.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6D86F" w14:textId="4B061FCC" w:rsidR="00CB1D7E" w:rsidRPr="007878EE" w:rsidRDefault="00CF4830" w:rsidP="007878EE">
            <w:pPr>
              <w:rPr>
                <w:rFonts w:ascii="Arial" w:hAnsi="Arial" w:cs="Arial"/>
                <w:sz w:val="19"/>
                <w:szCs w:val="19"/>
                <w:lang w:val="es-MX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P</w:t>
            </w:r>
            <w:r w:rsidR="00CB1D7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 xml:space="preserve">ublicación de la </w:t>
            </w:r>
            <w:r w:rsidR="004842BA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p</w:t>
            </w:r>
            <w:r w:rsidR="00CB1D7E" w:rsidRPr="007878E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 xml:space="preserve">olítica </w:t>
            </w:r>
            <w:r w:rsidR="004842BA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p</w:t>
            </w:r>
            <w:r w:rsidR="002E01A2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 xml:space="preserve">ública </w:t>
            </w:r>
            <w:r w:rsidR="00CB1D7E" w:rsidRPr="007878E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para la Implementación del Merca</w:t>
            </w:r>
            <w:r w:rsidR="00CB1D7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do de GN</w:t>
            </w:r>
            <w:r w:rsidR="004842BA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 xml:space="preserve"> que permita desarrollar el modelo de libre competencia concebido en la Reforma Energética (RE), así como la difusión sistemática de información, el establecimiento de reglas claras y transparentes que brinden certeza a los participantes en este mercado. </w:t>
            </w: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A08C5" w14:textId="7F5BDD5F" w:rsidR="00CB1D7E" w:rsidRPr="007878EE" w:rsidRDefault="00CB1D7E" w:rsidP="007878EE">
            <w:pPr>
              <w:rPr>
                <w:rFonts w:ascii="Arial" w:hAnsi="Arial" w:cs="Arial"/>
                <w:sz w:val="19"/>
                <w:szCs w:val="19"/>
                <w:lang w:val="es-MX"/>
              </w:rPr>
            </w:pPr>
            <w:r w:rsidRPr="007878E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 xml:space="preserve">Política Pública para la Implementación del Mercado de GN, publicada en el </w:t>
            </w:r>
            <w:proofErr w:type="spellStart"/>
            <w:r w:rsidRPr="007878E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PGdM</w:t>
            </w:r>
            <w:proofErr w:type="spellEnd"/>
            <w:r w:rsidR="002E01A2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 xml:space="preserve"> el 25 de julio de 2016</w:t>
            </w:r>
            <w:r w:rsidRPr="007878E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.</w:t>
            </w:r>
          </w:p>
        </w:tc>
      </w:tr>
      <w:tr w:rsidR="00CB1D7E" w:rsidRPr="00CA75CE" w14:paraId="5F466FB8" w14:textId="77777777" w:rsidTr="008C67E0">
        <w:trPr>
          <w:trHeight w:val="600"/>
        </w:trPr>
        <w:tc>
          <w:tcPr>
            <w:tcW w:w="969" w:type="pct"/>
            <w:vMerge/>
            <w:hideMark/>
          </w:tcPr>
          <w:p w14:paraId="6C77ED11" w14:textId="77777777" w:rsidR="00CB1D7E" w:rsidRPr="007878EE" w:rsidRDefault="00CB1D7E" w:rsidP="001E11FF">
            <w:pPr>
              <w:rPr>
                <w:rFonts w:ascii="Arial" w:hAnsi="Arial" w:cs="Arial"/>
                <w:sz w:val="19"/>
                <w:szCs w:val="19"/>
                <w:lang w:val="es-MX"/>
              </w:rPr>
            </w:pPr>
          </w:p>
        </w:tc>
        <w:tc>
          <w:tcPr>
            <w:tcW w:w="873" w:type="pct"/>
            <w:vMerge/>
            <w:hideMark/>
          </w:tcPr>
          <w:p w14:paraId="4FCE9B43" w14:textId="77777777" w:rsidR="00CB1D7E" w:rsidRPr="007878EE" w:rsidRDefault="00CB1D7E" w:rsidP="001E11FF">
            <w:pPr>
              <w:rPr>
                <w:rFonts w:ascii="Arial" w:hAnsi="Arial" w:cs="Arial"/>
                <w:sz w:val="19"/>
                <w:szCs w:val="19"/>
                <w:lang w:val="es-MX"/>
              </w:rPr>
            </w:pP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73D5F" w14:textId="348E718A" w:rsidR="00CB1D7E" w:rsidRPr="007878EE" w:rsidRDefault="00CF4830" w:rsidP="007878EE">
            <w:pPr>
              <w:rPr>
                <w:rFonts w:ascii="Arial" w:hAnsi="Arial" w:cs="Arial"/>
                <w:sz w:val="19"/>
                <w:szCs w:val="19"/>
                <w:lang w:val="es-MX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Publicación</w:t>
            </w:r>
            <w:r w:rsidR="00CB1D7E" w:rsidRPr="007878E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 xml:space="preserve"> del Plan Quinquenal de Expansión del Sistema de Transporte y Almacenamiento Nacional Integrado de Gas Natural</w:t>
            </w:r>
            <w:r w:rsidR="00CB1D7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 xml:space="preserve"> (SISTRANGAS)</w:t>
            </w:r>
            <w:r w:rsidR="00CB1D7E" w:rsidRPr="007878E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 xml:space="preserve"> </w:t>
            </w:r>
            <w:r w:rsidR="00CB1D7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2015-201</w:t>
            </w:r>
            <w:r w:rsidR="002E01A2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9</w:t>
            </w:r>
            <w:r w:rsidR="006259E2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 xml:space="preserve"> </w:t>
            </w:r>
            <w:r w:rsidR="001571F2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que contenga la disponibilidad de demanda de GN</w:t>
            </w:r>
            <w:r w:rsidR="002D479C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 xml:space="preserve"> en el mediano plazo, así como los proyectos estratégicos para garantizar el desarrollo eficiente del SISTRANGAS.</w:t>
            </w: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A2BCC" w14:textId="28C775AA" w:rsidR="00CB1D7E" w:rsidRPr="007878EE" w:rsidRDefault="00CB1D7E" w:rsidP="007878EE">
            <w:pPr>
              <w:rPr>
                <w:rFonts w:ascii="Arial" w:hAnsi="Arial" w:cs="Arial"/>
                <w:sz w:val="19"/>
                <w:szCs w:val="19"/>
                <w:lang w:val="es-MX"/>
              </w:rPr>
            </w:pPr>
            <w:r w:rsidRPr="007878E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 xml:space="preserve">Plan Quinquenal de Expansión del </w:t>
            </w:r>
            <w:r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SISTANGAS</w:t>
            </w:r>
            <w:r w:rsidRPr="007878E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 xml:space="preserve"> </w:t>
            </w:r>
            <w:r w:rsidR="006259E2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 xml:space="preserve">2015-2019 y sus actualizaciones, publicadas en el </w:t>
            </w:r>
            <w:proofErr w:type="spellStart"/>
            <w:r w:rsidR="006259E2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PGdM</w:t>
            </w:r>
            <w:proofErr w:type="spellEnd"/>
            <w:r w:rsidR="006259E2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.</w:t>
            </w:r>
          </w:p>
        </w:tc>
      </w:tr>
      <w:tr w:rsidR="00CB1D7E" w:rsidRPr="00CA75CE" w14:paraId="057DD546" w14:textId="77777777" w:rsidTr="008C67E0">
        <w:trPr>
          <w:trHeight w:val="1205"/>
        </w:trPr>
        <w:tc>
          <w:tcPr>
            <w:tcW w:w="969" w:type="pct"/>
            <w:vMerge/>
            <w:hideMark/>
          </w:tcPr>
          <w:p w14:paraId="2C38D8DC" w14:textId="77777777" w:rsidR="00CB1D7E" w:rsidRPr="007878EE" w:rsidRDefault="00CB1D7E" w:rsidP="001E11FF">
            <w:pPr>
              <w:rPr>
                <w:rFonts w:ascii="Arial" w:hAnsi="Arial" w:cs="Arial"/>
                <w:sz w:val="19"/>
                <w:szCs w:val="19"/>
                <w:lang w:val="es-MX"/>
              </w:rPr>
            </w:pPr>
          </w:p>
        </w:tc>
        <w:tc>
          <w:tcPr>
            <w:tcW w:w="873" w:type="pct"/>
            <w:vMerge/>
            <w:hideMark/>
          </w:tcPr>
          <w:p w14:paraId="1BE442CC" w14:textId="77777777" w:rsidR="00CB1D7E" w:rsidRPr="007878EE" w:rsidRDefault="00CB1D7E" w:rsidP="001E11FF">
            <w:pPr>
              <w:rPr>
                <w:rFonts w:ascii="Arial" w:hAnsi="Arial" w:cs="Arial"/>
                <w:sz w:val="19"/>
                <w:szCs w:val="19"/>
                <w:lang w:val="es-MX"/>
              </w:rPr>
            </w:pP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33B8B" w14:textId="66F1B0AB" w:rsidR="00CB1D7E" w:rsidRPr="007878EE" w:rsidRDefault="00CF4830" w:rsidP="007878EE">
            <w:pPr>
              <w:rPr>
                <w:rFonts w:ascii="Arial" w:hAnsi="Arial" w:cs="Arial"/>
                <w:sz w:val="19"/>
                <w:szCs w:val="19"/>
                <w:lang w:val="es-MX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  <w:lang w:val="es-MX"/>
              </w:rPr>
              <w:t>Activación</w:t>
            </w:r>
            <w:r w:rsidR="00CB1D7E" w:rsidRPr="00923E11">
              <w:rPr>
                <w:rFonts w:ascii="Arial" w:hAnsi="Arial" w:cs="Arial"/>
                <w:color w:val="000000"/>
                <w:sz w:val="19"/>
                <w:szCs w:val="19"/>
                <w:lang w:val="es-MX"/>
              </w:rPr>
              <w:t xml:space="preserve"> </w:t>
            </w:r>
            <w:r w:rsidR="00CB1D7E">
              <w:rPr>
                <w:rFonts w:ascii="Arial" w:hAnsi="Arial" w:cs="Arial"/>
                <w:color w:val="000000"/>
                <w:sz w:val="19"/>
                <w:szCs w:val="19"/>
                <w:lang w:val="es-MX"/>
              </w:rPr>
              <w:t xml:space="preserve">de la </w:t>
            </w:r>
            <w:r w:rsidR="00CB1D7E" w:rsidRPr="00923E11">
              <w:rPr>
                <w:rFonts w:ascii="Arial" w:hAnsi="Arial" w:cs="Arial"/>
                <w:color w:val="000000"/>
                <w:sz w:val="19"/>
                <w:szCs w:val="19"/>
                <w:lang w:val="es-MX"/>
              </w:rPr>
              <w:t xml:space="preserve">Plataforma </w:t>
            </w:r>
            <w:r w:rsidR="00CB1D7E">
              <w:rPr>
                <w:rFonts w:ascii="Arial" w:hAnsi="Arial" w:cs="Arial"/>
                <w:color w:val="000000"/>
                <w:sz w:val="19"/>
                <w:szCs w:val="19"/>
                <w:lang w:val="es-MX"/>
              </w:rPr>
              <w:t>I</w:t>
            </w:r>
            <w:r w:rsidR="00CB1D7E" w:rsidRPr="00923E11">
              <w:rPr>
                <w:rFonts w:ascii="Arial" w:hAnsi="Arial" w:cs="Arial"/>
                <w:color w:val="000000"/>
                <w:sz w:val="19"/>
                <w:szCs w:val="19"/>
                <w:lang w:val="es-MX"/>
              </w:rPr>
              <w:t>nformática del Siste</w:t>
            </w:r>
            <w:r w:rsidR="00CB1D7E">
              <w:rPr>
                <w:rFonts w:ascii="Arial" w:hAnsi="Arial" w:cs="Arial"/>
                <w:color w:val="000000"/>
                <w:sz w:val="19"/>
                <w:szCs w:val="19"/>
                <w:lang w:val="es-MX"/>
              </w:rPr>
              <w:t>ma Nacional de Gasoductos (SNG</w:t>
            </w:r>
            <w:r w:rsidR="00A231FA">
              <w:rPr>
                <w:rFonts w:ascii="Arial" w:hAnsi="Arial" w:cs="Arial"/>
                <w:color w:val="000000"/>
                <w:sz w:val="19"/>
                <w:szCs w:val="19"/>
                <w:lang w:val="es-MX"/>
              </w:rPr>
              <w:t>) en el portal del CENAGAS, en la cual los agentes interesados podrán consultar las versiones vigentes de modelos de contrato, tarifas, capacidad disponible, noticias operativas, mantenimientos programados y temporadas abiertas.</w:t>
            </w: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FF627" w14:textId="77777777" w:rsidR="00CB1D7E" w:rsidRPr="007878EE" w:rsidRDefault="00CB1D7E" w:rsidP="007878EE">
            <w:pPr>
              <w:rPr>
                <w:rFonts w:ascii="Arial" w:hAnsi="Arial" w:cs="Arial"/>
                <w:sz w:val="19"/>
                <w:szCs w:val="19"/>
                <w:lang w:val="es-MX"/>
              </w:rPr>
            </w:pPr>
            <w:r w:rsidRPr="007878E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 xml:space="preserve">Boletín Electrónico del </w:t>
            </w:r>
            <w:r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SNG</w:t>
            </w:r>
            <w:r w:rsidRPr="007878E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 xml:space="preserve">, publicado en el </w:t>
            </w:r>
            <w:proofErr w:type="spellStart"/>
            <w:r w:rsidRPr="007878E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PGdM</w:t>
            </w:r>
            <w:proofErr w:type="spellEnd"/>
            <w:r w:rsidRPr="007878E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.</w:t>
            </w:r>
          </w:p>
        </w:tc>
      </w:tr>
      <w:tr w:rsidR="00CB1D7E" w:rsidRPr="00CA75CE" w14:paraId="7DACBCD3" w14:textId="77777777" w:rsidTr="008C67E0">
        <w:trPr>
          <w:trHeight w:val="1308"/>
        </w:trPr>
        <w:tc>
          <w:tcPr>
            <w:tcW w:w="969" w:type="pct"/>
            <w:vMerge w:val="restart"/>
            <w:hideMark/>
          </w:tcPr>
          <w:p w14:paraId="476B876A" w14:textId="77777777" w:rsidR="00CB1D7E" w:rsidRPr="007878EE" w:rsidRDefault="00CB1D7E" w:rsidP="001E11FF">
            <w:pPr>
              <w:rPr>
                <w:rFonts w:ascii="Arial" w:hAnsi="Arial" w:cs="Arial"/>
                <w:sz w:val="19"/>
                <w:szCs w:val="19"/>
                <w:lang w:val="es-MX"/>
              </w:rPr>
            </w:pPr>
            <w:r w:rsidRPr="007878EE">
              <w:rPr>
                <w:rFonts w:ascii="Arial" w:hAnsi="Arial" w:cs="Arial"/>
                <w:sz w:val="19"/>
                <w:szCs w:val="19"/>
                <w:lang w:val="es-MX"/>
              </w:rPr>
              <w:t>Pérdidas en distribución de energía eléctrica</w:t>
            </w:r>
          </w:p>
        </w:tc>
        <w:tc>
          <w:tcPr>
            <w:tcW w:w="873" w:type="pct"/>
            <w:vMerge w:val="restart"/>
            <w:hideMark/>
          </w:tcPr>
          <w:p w14:paraId="0336D510" w14:textId="77777777" w:rsidR="00CB1D7E" w:rsidRPr="007878EE" w:rsidRDefault="00CB1D7E" w:rsidP="001E11FF">
            <w:pPr>
              <w:rPr>
                <w:rFonts w:ascii="Arial" w:hAnsi="Arial" w:cs="Arial"/>
                <w:sz w:val="19"/>
                <w:szCs w:val="19"/>
                <w:lang w:val="es-MX"/>
              </w:rPr>
            </w:pPr>
            <w:r w:rsidRPr="007878EE">
              <w:rPr>
                <w:rFonts w:ascii="Arial" w:hAnsi="Arial" w:cs="Arial"/>
                <w:sz w:val="19"/>
                <w:szCs w:val="19"/>
                <w:lang w:val="es-MX"/>
              </w:rPr>
              <w:t>Reducir las pérdidas de energía eléctrica en distribución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87B56" w14:textId="27AE6C15" w:rsidR="00CB1D7E" w:rsidRPr="007878EE" w:rsidRDefault="00CF4830" w:rsidP="001E11FF">
            <w:pPr>
              <w:rPr>
                <w:rFonts w:ascii="Arial" w:hAnsi="Arial" w:cs="Arial"/>
                <w:sz w:val="19"/>
                <w:szCs w:val="19"/>
                <w:lang w:val="es-MX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P</w:t>
            </w:r>
            <w:r w:rsidR="00CB1D7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ublicación de las a</w:t>
            </w:r>
            <w:r w:rsidR="00CB1D7E" w:rsidRPr="007878E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 xml:space="preserve">cciones de reducción de pérdidas de energía eléctrica en distribución establecidas en el </w:t>
            </w:r>
            <w:r w:rsidR="00521251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Programa de Desarrollo del Sector Eléctrico Nacional (</w:t>
            </w:r>
            <w:r w:rsidR="00CB1D7E" w:rsidRPr="007878E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PRODESEN</w:t>
            </w:r>
            <w:r w:rsidR="00521251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)</w:t>
            </w:r>
            <w:r w:rsidR="00CB1D7E" w:rsidRPr="007878E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 xml:space="preserve"> 2017-2031.</w:t>
            </w: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078C0" w14:textId="77777777" w:rsidR="00CB1D7E" w:rsidRPr="007878EE" w:rsidRDefault="00CB1D7E" w:rsidP="001E11FF">
            <w:pPr>
              <w:rPr>
                <w:rFonts w:ascii="Arial" w:hAnsi="Arial" w:cs="Arial"/>
                <w:sz w:val="19"/>
                <w:szCs w:val="19"/>
                <w:lang w:val="es-MX"/>
              </w:rPr>
            </w:pPr>
            <w:r w:rsidRPr="007878E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 xml:space="preserve">PRODESEN 2017-2031, publicado en el </w:t>
            </w:r>
            <w:proofErr w:type="spellStart"/>
            <w:r w:rsidRPr="007878E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PGdM</w:t>
            </w:r>
            <w:proofErr w:type="spellEnd"/>
            <w:r w:rsidRPr="007878E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.</w:t>
            </w:r>
          </w:p>
        </w:tc>
      </w:tr>
      <w:tr w:rsidR="00CB1D7E" w:rsidRPr="00CA75CE" w14:paraId="24824328" w14:textId="77777777" w:rsidTr="008C67E0">
        <w:trPr>
          <w:trHeight w:val="764"/>
        </w:trPr>
        <w:tc>
          <w:tcPr>
            <w:tcW w:w="969" w:type="pct"/>
            <w:vMerge/>
            <w:hideMark/>
          </w:tcPr>
          <w:p w14:paraId="66D4DD4A" w14:textId="77777777" w:rsidR="00CB1D7E" w:rsidRPr="007878EE" w:rsidRDefault="00CB1D7E" w:rsidP="001E11FF">
            <w:pPr>
              <w:rPr>
                <w:rFonts w:ascii="Arial" w:hAnsi="Arial" w:cs="Arial"/>
                <w:sz w:val="19"/>
                <w:szCs w:val="19"/>
                <w:lang w:val="es-MX"/>
              </w:rPr>
            </w:pPr>
          </w:p>
        </w:tc>
        <w:tc>
          <w:tcPr>
            <w:tcW w:w="873" w:type="pct"/>
            <w:vMerge/>
            <w:hideMark/>
          </w:tcPr>
          <w:p w14:paraId="0F3A5CCB" w14:textId="77777777" w:rsidR="00CB1D7E" w:rsidRPr="007878EE" w:rsidRDefault="00CB1D7E" w:rsidP="001E11FF">
            <w:pPr>
              <w:rPr>
                <w:rFonts w:ascii="Arial" w:hAnsi="Arial" w:cs="Arial"/>
                <w:sz w:val="19"/>
                <w:szCs w:val="19"/>
                <w:lang w:val="es-MX"/>
              </w:rPr>
            </w:pP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6835B" w14:textId="697526C9" w:rsidR="00CB1D7E" w:rsidRPr="007878EE" w:rsidRDefault="00CF4830" w:rsidP="001E11FF">
            <w:pPr>
              <w:rPr>
                <w:rFonts w:ascii="Arial" w:hAnsi="Arial" w:cs="Arial"/>
                <w:sz w:val="19"/>
                <w:szCs w:val="19"/>
                <w:lang w:val="es-MX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  <w:lang w:val="es-MX"/>
              </w:rPr>
              <w:t>P</w:t>
            </w:r>
            <w:r w:rsidR="00CB1D7E" w:rsidRPr="003A6F28">
              <w:rPr>
                <w:rFonts w:ascii="Arial" w:hAnsi="Arial" w:cs="Arial"/>
                <w:color w:val="000000"/>
                <w:sz w:val="19"/>
                <w:szCs w:val="19"/>
                <w:lang w:val="es-MX"/>
              </w:rPr>
              <w:t>ublicación del Programa de Redes Inteligentes</w:t>
            </w:r>
            <w:r w:rsidR="00CB1D7E">
              <w:rPr>
                <w:rFonts w:ascii="Arial" w:hAnsi="Arial" w:cs="Arial"/>
                <w:color w:val="000000"/>
                <w:sz w:val="19"/>
                <w:szCs w:val="19"/>
                <w:lang w:val="es-MX"/>
              </w:rPr>
              <w:t xml:space="preserve"> (PREI)</w:t>
            </w:r>
            <w:r w:rsidR="00521251">
              <w:rPr>
                <w:rFonts w:ascii="Arial" w:hAnsi="Arial" w:cs="Arial"/>
                <w:color w:val="000000"/>
                <w:sz w:val="19"/>
                <w:szCs w:val="19"/>
                <w:lang w:val="es-MX"/>
              </w:rPr>
              <w:t xml:space="preserve">, cuyo objetivo sea apoyar la modernización de la Red Nacional de Transmisión y las Redes Generales de Distribución. </w:t>
            </w: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A08F6" w14:textId="0028A7E8" w:rsidR="00CB1D7E" w:rsidRPr="007878EE" w:rsidRDefault="00CB1D7E" w:rsidP="001E11FF">
            <w:pPr>
              <w:rPr>
                <w:rFonts w:ascii="Arial" w:hAnsi="Arial" w:cs="Arial"/>
                <w:sz w:val="19"/>
                <w:szCs w:val="19"/>
                <w:lang w:val="es-MX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PREI</w:t>
            </w:r>
            <w:r w:rsidR="00CB2E71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 xml:space="preserve">, publicado en el </w:t>
            </w:r>
            <w:proofErr w:type="spellStart"/>
            <w:r w:rsidR="00CB2E71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PGdM</w:t>
            </w:r>
            <w:proofErr w:type="spellEnd"/>
            <w:r w:rsidR="00CB2E71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 xml:space="preserve"> el 9 de mayo de 2016</w:t>
            </w:r>
            <w:r w:rsidR="00F3110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 xml:space="preserve"> y su posterior actualización del 21 de agosto de 2017.</w:t>
            </w:r>
          </w:p>
        </w:tc>
      </w:tr>
      <w:tr w:rsidR="00CB1D7E" w:rsidRPr="007878EE" w14:paraId="0F064998" w14:textId="77777777" w:rsidTr="008C67E0">
        <w:trPr>
          <w:trHeight w:val="242"/>
        </w:trPr>
        <w:tc>
          <w:tcPr>
            <w:tcW w:w="5000" w:type="pct"/>
            <w:gridSpan w:val="4"/>
            <w:shd w:val="clear" w:color="auto" w:fill="E7E6E6" w:themeFill="background2"/>
            <w:vAlign w:val="center"/>
            <w:hideMark/>
          </w:tcPr>
          <w:p w14:paraId="018A9976" w14:textId="77777777" w:rsidR="00CB1D7E" w:rsidRPr="007878EE" w:rsidRDefault="00CB1D7E" w:rsidP="001E11FF">
            <w:pPr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7878EE">
              <w:rPr>
                <w:rFonts w:ascii="Arial" w:hAnsi="Arial" w:cs="Arial"/>
                <w:b/>
                <w:sz w:val="19"/>
                <w:szCs w:val="19"/>
              </w:rPr>
              <w:t>Componente</w:t>
            </w:r>
            <w:proofErr w:type="spellEnd"/>
            <w:r w:rsidRPr="007878EE">
              <w:rPr>
                <w:rFonts w:ascii="Arial" w:hAnsi="Arial" w:cs="Arial"/>
                <w:b/>
                <w:sz w:val="19"/>
                <w:szCs w:val="19"/>
              </w:rPr>
              <w:t xml:space="preserve"> IV. </w:t>
            </w:r>
            <w:proofErr w:type="spellStart"/>
            <w:r w:rsidRPr="007878EE">
              <w:rPr>
                <w:rFonts w:ascii="Arial" w:hAnsi="Arial" w:cs="Arial"/>
                <w:b/>
                <w:sz w:val="19"/>
                <w:szCs w:val="19"/>
              </w:rPr>
              <w:t>Sustentabilidad</w:t>
            </w:r>
            <w:proofErr w:type="spellEnd"/>
            <w:r w:rsidRPr="007878EE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proofErr w:type="spellStart"/>
            <w:r w:rsidRPr="007878EE">
              <w:rPr>
                <w:rFonts w:ascii="Arial" w:hAnsi="Arial" w:cs="Arial"/>
                <w:b/>
                <w:sz w:val="19"/>
                <w:szCs w:val="19"/>
              </w:rPr>
              <w:t>Energética</w:t>
            </w:r>
            <w:proofErr w:type="spellEnd"/>
          </w:p>
        </w:tc>
      </w:tr>
      <w:tr w:rsidR="00CB1D7E" w:rsidRPr="00CA75CE" w14:paraId="26D00C8F" w14:textId="77777777" w:rsidTr="008C67E0">
        <w:trPr>
          <w:trHeight w:val="528"/>
        </w:trPr>
        <w:tc>
          <w:tcPr>
            <w:tcW w:w="969" w:type="pct"/>
            <w:vMerge w:val="restart"/>
            <w:hideMark/>
          </w:tcPr>
          <w:p w14:paraId="7F41FE91" w14:textId="77777777" w:rsidR="00CB1D7E" w:rsidRPr="007878EE" w:rsidRDefault="00CB1D7E" w:rsidP="001E11FF">
            <w:pPr>
              <w:rPr>
                <w:rFonts w:ascii="Arial" w:hAnsi="Arial" w:cs="Arial"/>
                <w:sz w:val="19"/>
                <w:szCs w:val="19"/>
                <w:lang w:val="es-MX"/>
              </w:rPr>
            </w:pPr>
            <w:r w:rsidRPr="007878EE">
              <w:rPr>
                <w:rFonts w:ascii="Arial" w:hAnsi="Arial" w:cs="Arial"/>
                <w:sz w:val="19"/>
                <w:szCs w:val="19"/>
                <w:lang w:val="es-MX"/>
              </w:rPr>
              <w:t>Sistema Eléctrico Nacional, energías limpias y eficiencia energética</w:t>
            </w:r>
          </w:p>
        </w:tc>
        <w:tc>
          <w:tcPr>
            <w:tcW w:w="873" w:type="pct"/>
            <w:vMerge w:val="restart"/>
          </w:tcPr>
          <w:p w14:paraId="21D00347" w14:textId="77777777" w:rsidR="00CB1D7E" w:rsidRPr="007878EE" w:rsidRDefault="00CB1D7E" w:rsidP="001E11FF">
            <w:pPr>
              <w:rPr>
                <w:rFonts w:ascii="Arial" w:hAnsi="Arial" w:cs="Arial"/>
                <w:sz w:val="19"/>
                <w:szCs w:val="19"/>
                <w:lang w:val="es-MX"/>
              </w:rPr>
            </w:pPr>
            <w:r w:rsidRPr="007878EE">
              <w:rPr>
                <w:rFonts w:ascii="Arial" w:hAnsi="Arial" w:cs="Arial"/>
                <w:sz w:val="19"/>
                <w:szCs w:val="19"/>
                <w:lang w:val="es-MX"/>
              </w:rPr>
              <w:t>Contribuir a la reducción de emisiones de Gases de Efecto Invernadero (GEI), mediante la promoción del uso de tecnologías y combustibles más limpios en la generación de energía eléctrica, y la implementación de medidas de Eficiencia Energética (EE)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A8559" w14:textId="4E5DDFF5" w:rsidR="00CB1D7E" w:rsidRPr="007878EE" w:rsidRDefault="00CF4830" w:rsidP="001E11FF">
            <w:pPr>
              <w:rPr>
                <w:rFonts w:ascii="Arial" w:hAnsi="Arial" w:cs="Arial"/>
                <w:sz w:val="19"/>
                <w:szCs w:val="19"/>
                <w:lang w:val="es-MX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P</w:t>
            </w:r>
            <w:r w:rsidR="00CB1D7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 xml:space="preserve">ublicación del </w:t>
            </w:r>
            <w:r w:rsidR="00CB1D7E" w:rsidRPr="007878E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PRODESEN 2017-2031</w:t>
            </w:r>
            <w:r w:rsidR="00521251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, cuyos objetivos son fomentar: la diversificación de la matriz de generación eléctrica, la seguridad energética, la reducción de pérdidas en distribución, y la electrificación de comunidades rurales y zonas urbanas marginadas</w:t>
            </w:r>
            <w:r w:rsidR="00CB1D7E" w:rsidRPr="007878E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.</w:t>
            </w: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A76E8" w14:textId="77777777" w:rsidR="00CB1D7E" w:rsidRPr="007878EE" w:rsidRDefault="00CB1D7E" w:rsidP="001E11FF">
            <w:pPr>
              <w:rPr>
                <w:rFonts w:ascii="Arial" w:hAnsi="Arial" w:cs="Arial"/>
                <w:sz w:val="19"/>
                <w:szCs w:val="19"/>
                <w:lang w:val="es-MX"/>
              </w:rPr>
            </w:pPr>
            <w:r w:rsidRPr="007878E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 xml:space="preserve">PRODESEN 2017-2031, publicado en el </w:t>
            </w:r>
            <w:proofErr w:type="spellStart"/>
            <w:r w:rsidRPr="007878E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PGdM</w:t>
            </w:r>
            <w:proofErr w:type="spellEnd"/>
            <w:r w:rsidRPr="007878E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.</w:t>
            </w:r>
          </w:p>
        </w:tc>
      </w:tr>
      <w:tr w:rsidR="000A06CF" w:rsidRPr="00CA75CE" w14:paraId="10ADC86D" w14:textId="77777777" w:rsidTr="008C67E0">
        <w:trPr>
          <w:trHeight w:val="917"/>
        </w:trPr>
        <w:tc>
          <w:tcPr>
            <w:tcW w:w="969" w:type="pct"/>
            <w:vMerge/>
          </w:tcPr>
          <w:p w14:paraId="60208581" w14:textId="77777777" w:rsidR="000A06CF" w:rsidRPr="007878EE" w:rsidRDefault="000A06CF" w:rsidP="001E11FF">
            <w:pPr>
              <w:rPr>
                <w:rFonts w:ascii="Arial" w:hAnsi="Arial" w:cs="Arial"/>
                <w:sz w:val="19"/>
                <w:szCs w:val="19"/>
                <w:lang w:val="es-MX"/>
              </w:rPr>
            </w:pPr>
          </w:p>
        </w:tc>
        <w:tc>
          <w:tcPr>
            <w:tcW w:w="873" w:type="pct"/>
            <w:vMerge/>
          </w:tcPr>
          <w:p w14:paraId="5AAE90C9" w14:textId="77777777" w:rsidR="000A06CF" w:rsidRPr="007878EE" w:rsidRDefault="000A06CF" w:rsidP="001E11FF">
            <w:pPr>
              <w:rPr>
                <w:rFonts w:ascii="Arial" w:hAnsi="Arial" w:cs="Arial"/>
                <w:sz w:val="19"/>
                <w:szCs w:val="19"/>
                <w:lang w:val="es-MX"/>
              </w:rPr>
            </w:pPr>
          </w:p>
        </w:tc>
        <w:tc>
          <w:tcPr>
            <w:tcW w:w="14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F55093" w14:textId="0265AC46" w:rsidR="000A06CF" w:rsidRDefault="000A06CF" w:rsidP="001E11FF">
            <w:pPr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Publicación de la r</w:t>
            </w:r>
            <w:r w:rsidRPr="007878E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 xml:space="preserve">egulación para </w:t>
            </w:r>
            <w:r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 xml:space="preserve">la adquisición de Certificados </w:t>
            </w:r>
            <w:r w:rsidRPr="007878E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de Energía</w:t>
            </w:r>
            <w:r w:rsidR="00F3110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s</w:t>
            </w:r>
            <w:r w:rsidRPr="007878E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 xml:space="preserve"> Limpia</w:t>
            </w:r>
            <w:r w:rsidR="00F3110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s</w:t>
            </w:r>
            <w:r w:rsidRPr="007878E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 xml:space="preserve"> (CEL)</w:t>
            </w:r>
            <w:r w:rsidR="00521251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 xml:space="preserve"> que son títulos que acreditan la producción de un volumen determinado de electricidad a partir de EL.</w:t>
            </w: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10446" w14:textId="1462D90C" w:rsidR="000A06CF" w:rsidRPr="007878EE" w:rsidRDefault="000A06CF" w:rsidP="001E11FF">
            <w:pPr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</w:pPr>
            <w:r w:rsidRPr="007878E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Avisos por los que se dan a conocer los requisitos para la adquisición de CEL en los años comprendidos en el periodo de 2</w:t>
            </w:r>
            <w:r w:rsidR="00F3110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018 a 2022 publicados en el DOF el 31 de marzo de 2017.</w:t>
            </w:r>
          </w:p>
        </w:tc>
      </w:tr>
      <w:tr w:rsidR="000A06CF" w:rsidRPr="00CA75CE" w14:paraId="36D4DFB3" w14:textId="77777777" w:rsidTr="008C67E0">
        <w:trPr>
          <w:trHeight w:val="935"/>
        </w:trPr>
        <w:tc>
          <w:tcPr>
            <w:tcW w:w="969" w:type="pct"/>
            <w:vMerge/>
          </w:tcPr>
          <w:p w14:paraId="74AD91AD" w14:textId="77777777" w:rsidR="000A06CF" w:rsidRPr="007878EE" w:rsidRDefault="000A06CF" w:rsidP="001E11FF">
            <w:pPr>
              <w:rPr>
                <w:rFonts w:ascii="Arial" w:hAnsi="Arial" w:cs="Arial"/>
                <w:sz w:val="19"/>
                <w:szCs w:val="19"/>
                <w:lang w:val="es-MX"/>
              </w:rPr>
            </w:pPr>
          </w:p>
        </w:tc>
        <w:tc>
          <w:tcPr>
            <w:tcW w:w="873" w:type="pct"/>
            <w:vMerge/>
          </w:tcPr>
          <w:p w14:paraId="41BA9661" w14:textId="77777777" w:rsidR="000A06CF" w:rsidRPr="007878EE" w:rsidRDefault="000A06CF" w:rsidP="001E11FF">
            <w:pPr>
              <w:rPr>
                <w:rFonts w:ascii="Arial" w:hAnsi="Arial" w:cs="Arial"/>
                <w:sz w:val="19"/>
                <w:szCs w:val="19"/>
                <w:lang w:val="es-MX"/>
              </w:rPr>
            </w:pPr>
          </w:p>
        </w:tc>
        <w:tc>
          <w:tcPr>
            <w:tcW w:w="14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7DCE2" w14:textId="77777777" w:rsidR="000A06CF" w:rsidRDefault="000A06CF" w:rsidP="001E11FF">
            <w:pPr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1952E" w14:textId="0C247EC2" w:rsidR="000A06CF" w:rsidRPr="007878EE" w:rsidRDefault="000A06CF" w:rsidP="001E11FF">
            <w:pPr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</w:pPr>
            <w:r w:rsidRPr="007878E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Resolución por la que se expiden los criterios para la imposición de sanciones que deriven del incumplimiento de las obligaciones en materia de energías limpias, publicado en el DOF</w:t>
            </w:r>
            <w:r w:rsidR="00F3110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 xml:space="preserve"> del 30 de marzo de 2016</w:t>
            </w:r>
            <w:r w:rsidRPr="007878E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.</w:t>
            </w:r>
          </w:p>
        </w:tc>
      </w:tr>
      <w:tr w:rsidR="00CB1D7E" w:rsidRPr="00CA75CE" w14:paraId="490A2A19" w14:textId="77777777" w:rsidTr="008C67E0">
        <w:trPr>
          <w:trHeight w:val="683"/>
        </w:trPr>
        <w:tc>
          <w:tcPr>
            <w:tcW w:w="969" w:type="pct"/>
            <w:vMerge/>
            <w:hideMark/>
          </w:tcPr>
          <w:p w14:paraId="167E9062" w14:textId="77777777" w:rsidR="00CB1D7E" w:rsidRPr="007878EE" w:rsidRDefault="00CB1D7E" w:rsidP="001E11FF">
            <w:pPr>
              <w:rPr>
                <w:rFonts w:ascii="Arial" w:hAnsi="Arial" w:cs="Arial"/>
                <w:sz w:val="19"/>
                <w:szCs w:val="19"/>
                <w:lang w:val="es-MX"/>
              </w:rPr>
            </w:pPr>
          </w:p>
        </w:tc>
        <w:tc>
          <w:tcPr>
            <w:tcW w:w="873" w:type="pct"/>
            <w:vMerge/>
          </w:tcPr>
          <w:p w14:paraId="1075CF8E" w14:textId="77777777" w:rsidR="00CB1D7E" w:rsidRPr="007878EE" w:rsidRDefault="00CB1D7E" w:rsidP="001E11FF">
            <w:pPr>
              <w:rPr>
                <w:rFonts w:ascii="Arial" w:hAnsi="Arial" w:cs="Arial"/>
                <w:sz w:val="19"/>
                <w:szCs w:val="19"/>
                <w:lang w:val="es-MX"/>
              </w:rPr>
            </w:pP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826CC" w14:textId="118EACFC" w:rsidR="00CB1D7E" w:rsidRPr="007878EE" w:rsidRDefault="00CF4830" w:rsidP="001E11FF">
            <w:pPr>
              <w:rPr>
                <w:rFonts w:ascii="Arial" w:hAnsi="Arial" w:cs="Arial"/>
                <w:sz w:val="19"/>
                <w:szCs w:val="19"/>
                <w:lang w:val="es-MX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  <w:lang w:val="es-MX"/>
              </w:rPr>
              <w:t>P</w:t>
            </w:r>
            <w:r w:rsidR="00CB1D7E">
              <w:rPr>
                <w:rFonts w:ascii="Arial" w:hAnsi="Arial" w:cs="Arial"/>
                <w:color w:val="000000"/>
                <w:sz w:val="19"/>
                <w:szCs w:val="19"/>
                <w:lang w:val="es-MX"/>
              </w:rPr>
              <w:t xml:space="preserve">ublicación del </w:t>
            </w:r>
            <w:r w:rsidR="008E7581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R</w:t>
            </w:r>
            <w:r w:rsidR="00CB1D7E" w:rsidRPr="007878E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eglamento de la Ley de Transición Energética</w:t>
            </w:r>
            <w:r w:rsidR="00CB1D7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 xml:space="preserve"> (LTE)</w:t>
            </w:r>
            <w:r w:rsidR="00CB1D7E" w:rsidRPr="007878E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.</w:t>
            </w: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51A07" w14:textId="06AEE08F" w:rsidR="00CB1D7E" w:rsidRPr="007878EE" w:rsidRDefault="00CB1D7E" w:rsidP="001E11FF">
            <w:pPr>
              <w:rPr>
                <w:rFonts w:ascii="Arial" w:hAnsi="Arial" w:cs="Arial"/>
                <w:sz w:val="19"/>
                <w:szCs w:val="19"/>
                <w:lang w:val="es-MX"/>
              </w:rPr>
            </w:pPr>
            <w:r w:rsidRPr="007878E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Reglamento de la Ley de Transición Energética, publicado en el DOF</w:t>
            </w:r>
            <w:r w:rsidR="00F3110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 xml:space="preserve"> el 4 de mayo de 2017</w:t>
            </w:r>
            <w:r w:rsidRPr="007878E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.</w:t>
            </w:r>
          </w:p>
        </w:tc>
      </w:tr>
      <w:tr w:rsidR="00CB1D7E" w:rsidRPr="00CA75CE" w14:paraId="2B242985" w14:textId="77777777" w:rsidTr="008C67E0">
        <w:trPr>
          <w:trHeight w:val="683"/>
        </w:trPr>
        <w:tc>
          <w:tcPr>
            <w:tcW w:w="969" w:type="pct"/>
            <w:vMerge/>
          </w:tcPr>
          <w:p w14:paraId="25FDD886" w14:textId="77777777" w:rsidR="00CB1D7E" w:rsidRPr="007878EE" w:rsidRDefault="00CB1D7E" w:rsidP="001E11FF">
            <w:pPr>
              <w:rPr>
                <w:rFonts w:ascii="Arial" w:hAnsi="Arial" w:cs="Arial"/>
                <w:sz w:val="19"/>
                <w:szCs w:val="19"/>
                <w:lang w:val="es-MX"/>
              </w:rPr>
            </w:pPr>
          </w:p>
        </w:tc>
        <w:tc>
          <w:tcPr>
            <w:tcW w:w="873" w:type="pct"/>
            <w:vMerge/>
          </w:tcPr>
          <w:p w14:paraId="1668658C" w14:textId="77777777" w:rsidR="00CB1D7E" w:rsidRPr="007878EE" w:rsidRDefault="00CB1D7E" w:rsidP="001E11FF">
            <w:pPr>
              <w:rPr>
                <w:rFonts w:ascii="Arial" w:hAnsi="Arial" w:cs="Arial"/>
                <w:sz w:val="19"/>
                <w:szCs w:val="19"/>
                <w:lang w:val="es-MX"/>
              </w:rPr>
            </w:pP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C6FAC" w14:textId="1006D8F2" w:rsidR="00CB1D7E" w:rsidRPr="007878EE" w:rsidDel="007B2FE3" w:rsidRDefault="00CF4830" w:rsidP="001E11FF">
            <w:pPr>
              <w:rPr>
                <w:rFonts w:ascii="Arial" w:hAnsi="Arial" w:cs="Arial"/>
                <w:sz w:val="19"/>
                <w:szCs w:val="19"/>
                <w:lang w:val="es-MX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P</w:t>
            </w:r>
            <w:r w:rsidR="00CB1D7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 xml:space="preserve">ublicación </w:t>
            </w:r>
            <w:r w:rsidR="002B1A88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 xml:space="preserve">del Acuerdo por el que la Secretaría de Energía </w:t>
            </w:r>
            <w:r w:rsidR="00EF3353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a</w:t>
            </w:r>
            <w:r w:rsidR="002B1A88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 xml:space="preserve">prueba y </w:t>
            </w:r>
            <w:r w:rsidR="00EF3353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p</w:t>
            </w:r>
            <w:r w:rsidR="002B1A88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 xml:space="preserve">ublica la </w:t>
            </w:r>
            <w:r w:rsidR="004600BA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a</w:t>
            </w:r>
            <w:r w:rsidR="002B1A88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 xml:space="preserve">ctualización de la </w:t>
            </w:r>
            <w:r w:rsidR="004600BA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p</w:t>
            </w:r>
            <w:r w:rsidR="002B1A88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 xml:space="preserve">rimera </w:t>
            </w:r>
            <w:r w:rsidR="00CB1D7E" w:rsidRPr="007878E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Estrategia de Transición para Promover el Uso de Tecnologías y Combusti</w:t>
            </w:r>
            <w:r w:rsidR="00CB1D7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bles más Limpios (ETE)</w:t>
            </w:r>
            <w:r w:rsidR="002B1A88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, en términos de la Ley de Transición Energética</w:t>
            </w:r>
            <w:r w:rsidR="004600BA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, como instrumento rector de la política para el mediano y largo plazo, que establece las metas de Energías Limpias (EL) y Eficiencia Energética (EE) y fomenta la reducción de emisiones de Gases de Efecto Invernadero (GEI).</w:t>
            </w: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4DBB8" w14:textId="1B16C41B" w:rsidR="00CB1D7E" w:rsidRPr="007878EE" w:rsidDel="007B2FE3" w:rsidRDefault="00CB1D7E" w:rsidP="001E11FF">
            <w:pPr>
              <w:rPr>
                <w:rFonts w:ascii="Arial" w:hAnsi="Arial" w:cs="Arial"/>
                <w:sz w:val="19"/>
                <w:szCs w:val="19"/>
                <w:lang w:val="es-MX"/>
              </w:rPr>
            </w:pPr>
            <w:r w:rsidRPr="007878E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Decreto mediante el cual la SENER aprueba y publica la ETE, publicado en el DOF</w:t>
            </w:r>
            <w:r w:rsidR="002B1A88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 xml:space="preserve"> el 2 de diciembre de 2016</w:t>
            </w:r>
            <w:r w:rsidRPr="007878E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.</w:t>
            </w:r>
          </w:p>
        </w:tc>
      </w:tr>
      <w:tr w:rsidR="00CB1D7E" w:rsidRPr="00CA75CE" w14:paraId="20722B01" w14:textId="77777777" w:rsidTr="008C67E0">
        <w:trPr>
          <w:trHeight w:val="683"/>
        </w:trPr>
        <w:tc>
          <w:tcPr>
            <w:tcW w:w="969" w:type="pct"/>
            <w:vMerge/>
          </w:tcPr>
          <w:p w14:paraId="2559A211" w14:textId="77777777" w:rsidR="00CB1D7E" w:rsidRPr="007878EE" w:rsidRDefault="00CB1D7E" w:rsidP="001E11FF">
            <w:pPr>
              <w:rPr>
                <w:rFonts w:ascii="Arial" w:hAnsi="Arial" w:cs="Arial"/>
                <w:sz w:val="19"/>
                <w:szCs w:val="19"/>
                <w:lang w:val="es-MX"/>
              </w:rPr>
            </w:pPr>
          </w:p>
        </w:tc>
        <w:tc>
          <w:tcPr>
            <w:tcW w:w="873" w:type="pct"/>
            <w:vMerge/>
          </w:tcPr>
          <w:p w14:paraId="7AAB3C57" w14:textId="77777777" w:rsidR="00CB1D7E" w:rsidRPr="007878EE" w:rsidRDefault="00CB1D7E" w:rsidP="001E11FF">
            <w:pPr>
              <w:rPr>
                <w:rFonts w:ascii="Arial" w:hAnsi="Arial" w:cs="Arial"/>
                <w:sz w:val="19"/>
                <w:szCs w:val="19"/>
                <w:lang w:val="es-MX"/>
              </w:rPr>
            </w:pP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6D177" w14:textId="1E1D6B7B" w:rsidR="00CB1D7E" w:rsidRPr="007878EE" w:rsidDel="007B2FE3" w:rsidRDefault="00CF4830" w:rsidP="001E11FF">
            <w:pPr>
              <w:rPr>
                <w:rFonts w:ascii="Arial" w:hAnsi="Arial" w:cs="Arial"/>
                <w:sz w:val="19"/>
                <w:szCs w:val="19"/>
                <w:lang w:val="es-MX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P</w:t>
            </w:r>
            <w:r w:rsidR="00CB1D7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 xml:space="preserve">ublicación del </w:t>
            </w:r>
            <w:r w:rsidR="00EF3353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a</w:t>
            </w:r>
            <w:r w:rsidR="002B1A88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 xml:space="preserve">cuerdo por el que la Secretaría de Energía </w:t>
            </w:r>
            <w:r w:rsidR="00EF3353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e</w:t>
            </w:r>
            <w:r w:rsidR="002B1A88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 xml:space="preserve">mite el </w:t>
            </w:r>
            <w:r w:rsidR="00CB1D7E" w:rsidRPr="007878E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 xml:space="preserve">Programa Especial de </w:t>
            </w:r>
            <w:r w:rsidR="00EF3353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 xml:space="preserve">la </w:t>
            </w:r>
            <w:r w:rsidR="00CB1D7E" w:rsidRPr="007878E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Transición Energética</w:t>
            </w:r>
            <w:r w:rsidR="00CB1D7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 xml:space="preserve"> (PETE)</w:t>
            </w:r>
            <w:r w:rsidR="00EF3353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 xml:space="preserve"> en el que se establezcan las acciones para cumplir las metas de EL. </w:t>
            </w: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E7F72" w14:textId="18939A0D" w:rsidR="00CB1D7E" w:rsidRPr="007878EE" w:rsidDel="007B2FE3" w:rsidRDefault="00CB1D7E" w:rsidP="001E11FF">
            <w:pPr>
              <w:rPr>
                <w:rFonts w:ascii="Arial" w:hAnsi="Arial" w:cs="Arial"/>
                <w:sz w:val="19"/>
                <w:szCs w:val="19"/>
                <w:lang w:val="es-MX"/>
              </w:rPr>
            </w:pPr>
            <w:r w:rsidRPr="007878E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Acuerdo por el que se emite el Programa Especial de Transición Energética, publicado en el DOF</w:t>
            </w:r>
            <w:r w:rsidR="002B1A88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 xml:space="preserve"> el 31 de mayo de 2017</w:t>
            </w:r>
            <w:r w:rsidRPr="007878E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.</w:t>
            </w:r>
          </w:p>
        </w:tc>
      </w:tr>
      <w:tr w:rsidR="00CB1D7E" w:rsidRPr="00CA75CE" w14:paraId="33E009A0" w14:textId="77777777" w:rsidTr="008C67E0">
        <w:trPr>
          <w:trHeight w:val="683"/>
        </w:trPr>
        <w:tc>
          <w:tcPr>
            <w:tcW w:w="969" w:type="pct"/>
            <w:vMerge/>
          </w:tcPr>
          <w:p w14:paraId="56E88041" w14:textId="77777777" w:rsidR="00CB1D7E" w:rsidRPr="007878EE" w:rsidRDefault="00CB1D7E" w:rsidP="001E11FF">
            <w:pPr>
              <w:rPr>
                <w:rFonts w:ascii="Arial" w:hAnsi="Arial" w:cs="Arial"/>
                <w:sz w:val="19"/>
                <w:szCs w:val="19"/>
                <w:lang w:val="es-MX"/>
              </w:rPr>
            </w:pPr>
          </w:p>
        </w:tc>
        <w:tc>
          <w:tcPr>
            <w:tcW w:w="873" w:type="pct"/>
            <w:vMerge/>
          </w:tcPr>
          <w:p w14:paraId="308D34FA" w14:textId="77777777" w:rsidR="00CB1D7E" w:rsidRPr="007878EE" w:rsidRDefault="00CB1D7E" w:rsidP="001E11FF">
            <w:pPr>
              <w:rPr>
                <w:rFonts w:ascii="Arial" w:hAnsi="Arial" w:cs="Arial"/>
                <w:sz w:val="19"/>
                <w:szCs w:val="19"/>
                <w:lang w:val="es-MX"/>
              </w:rPr>
            </w:pP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61BDC" w14:textId="444EDC13" w:rsidR="00CB1D7E" w:rsidRPr="007878EE" w:rsidRDefault="00CF4830" w:rsidP="001E11FF">
            <w:pPr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P</w:t>
            </w:r>
            <w:r w:rsidR="00CB1D7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 xml:space="preserve">ublicación de la </w:t>
            </w:r>
            <w:r w:rsidR="00CB1D7E" w:rsidRPr="007878E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 xml:space="preserve">actualización del </w:t>
            </w:r>
            <w:r w:rsidR="00CB1D7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PRONASE</w:t>
            </w:r>
            <w:r w:rsidR="0004736B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 xml:space="preserve">, en el que se establecen las acciones para alcanzar las metas de EE. </w:t>
            </w: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793E0" w14:textId="20B1FD9C" w:rsidR="00CB1D7E" w:rsidRPr="007878EE" w:rsidRDefault="00CB1D7E" w:rsidP="001E11FF">
            <w:pPr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</w:pPr>
            <w:r w:rsidRPr="007878E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Acuerdo por el que la SENER aprueba y Publica el PRONASE, publicado en el DOF</w:t>
            </w:r>
            <w:r w:rsidR="002B1A88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 xml:space="preserve"> el 19 de enero de 2017</w:t>
            </w:r>
            <w:r w:rsidRPr="007878E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.</w:t>
            </w:r>
          </w:p>
        </w:tc>
      </w:tr>
      <w:tr w:rsidR="00CB1D7E" w:rsidRPr="00CA75CE" w14:paraId="2EC81EA6" w14:textId="77777777" w:rsidTr="008C67E0">
        <w:trPr>
          <w:trHeight w:val="683"/>
        </w:trPr>
        <w:tc>
          <w:tcPr>
            <w:tcW w:w="969" w:type="pct"/>
            <w:vMerge/>
          </w:tcPr>
          <w:p w14:paraId="55F8FA53" w14:textId="77777777" w:rsidR="00CB1D7E" w:rsidRPr="007878EE" w:rsidRDefault="00CB1D7E" w:rsidP="001E11FF">
            <w:pPr>
              <w:rPr>
                <w:rFonts w:ascii="Arial" w:hAnsi="Arial" w:cs="Arial"/>
                <w:sz w:val="19"/>
                <w:szCs w:val="19"/>
                <w:lang w:val="es-MX"/>
              </w:rPr>
            </w:pPr>
          </w:p>
        </w:tc>
        <w:tc>
          <w:tcPr>
            <w:tcW w:w="873" w:type="pct"/>
            <w:vMerge/>
          </w:tcPr>
          <w:p w14:paraId="4BA82DF9" w14:textId="77777777" w:rsidR="00CB1D7E" w:rsidRPr="007878EE" w:rsidRDefault="00CB1D7E" w:rsidP="001E11FF">
            <w:pPr>
              <w:rPr>
                <w:rFonts w:ascii="Arial" w:hAnsi="Arial" w:cs="Arial"/>
                <w:sz w:val="19"/>
                <w:szCs w:val="19"/>
                <w:lang w:val="es-MX"/>
              </w:rPr>
            </w:pP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891E9" w14:textId="0C0F4E73" w:rsidR="00CB1D7E" w:rsidRPr="007878EE" w:rsidDel="007B2FE3" w:rsidRDefault="00CB1D7E" w:rsidP="001E11FF">
            <w:pPr>
              <w:rPr>
                <w:rFonts w:ascii="Arial" w:hAnsi="Arial" w:cs="Arial"/>
                <w:sz w:val="19"/>
                <w:szCs w:val="19"/>
                <w:lang w:val="es-MX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Presentación de los resultados de las p</w:t>
            </w:r>
            <w:r w:rsidRPr="007878E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rimeras dos Subastas de Largo Plazo del Mercado</w:t>
            </w:r>
            <w:r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 xml:space="preserve"> Eléctrico Mayorista</w:t>
            </w:r>
            <w:r w:rsidR="00E308D2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, mediante las cuales los suministradores y usuarios calificados, celebren contratos para sus necesidades de potencia, energía eléctrica y CEL</w:t>
            </w:r>
            <w:r w:rsidRPr="007878E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.</w:t>
            </w: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25311" w14:textId="0C07EB85" w:rsidR="00CB1D7E" w:rsidRPr="007878EE" w:rsidDel="007B2FE3" w:rsidRDefault="00CB1D7E" w:rsidP="001E11FF">
            <w:pPr>
              <w:rPr>
                <w:rFonts w:ascii="Arial" w:hAnsi="Arial" w:cs="Arial"/>
                <w:sz w:val="19"/>
                <w:szCs w:val="19"/>
                <w:lang w:val="es-MX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Resultados de las dos primeras</w:t>
            </w:r>
            <w:r w:rsidRPr="007878E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 xml:space="preserve"> Subasta de </w:t>
            </w:r>
            <w:r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L</w:t>
            </w:r>
            <w:r w:rsidRPr="007878E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argo, publicados en el p</w:t>
            </w:r>
            <w:r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ortal de</w:t>
            </w:r>
            <w:r w:rsidRPr="007878E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 xml:space="preserve"> </w:t>
            </w:r>
            <w:r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C</w:t>
            </w:r>
            <w:r w:rsidRPr="007878E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ENACE</w:t>
            </w:r>
            <w:r w:rsidR="003222E2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 xml:space="preserve"> el 31 de marzo de 2016 y el 28 de septiembre de 2016</w:t>
            </w:r>
            <w:r w:rsidRPr="007878E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.</w:t>
            </w:r>
          </w:p>
        </w:tc>
      </w:tr>
      <w:tr w:rsidR="00CB1D7E" w:rsidRPr="002E01A2" w14:paraId="681F315C" w14:textId="77777777" w:rsidTr="008C67E0">
        <w:trPr>
          <w:trHeight w:val="350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BCE18C7" w14:textId="789C52F8" w:rsidR="00CB1D7E" w:rsidRPr="007878EE" w:rsidRDefault="00CB1D7E" w:rsidP="001E11FF">
            <w:pPr>
              <w:rPr>
                <w:rFonts w:ascii="Arial" w:hAnsi="Arial" w:cs="Arial"/>
                <w:b/>
                <w:bCs/>
                <w:sz w:val="19"/>
                <w:szCs w:val="19"/>
                <w:lang w:val="es-MX"/>
              </w:rPr>
            </w:pPr>
            <w:r w:rsidRPr="007878EE">
              <w:rPr>
                <w:rFonts w:ascii="Arial" w:hAnsi="Arial" w:cs="Arial"/>
                <w:b/>
                <w:bCs/>
                <w:sz w:val="19"/>
                <w:szCs w:val="19"/>
                <w:lang w:val="es-MX"/>
              </w:rPr>
              <w:t xml:space="preserve">Componente V. Incremento de la cobertura eléctrica en </w:t>
            </w:r>
            <w:r w:rsidR="000353A1">
              <w:rPr>
                <w:rFonts w:ascii="Arial" w:hAnsi="Arial" w:cs="Arial"/>
                <w:b/>
                <w:bCs/>
                <w:sz w:val="19"/>
                <w:szCs w:val="19"/>
                <w:lang w:val="es-MX"/>
              </w:rPr>
              <w:t xml:space="preserve">comunidades </w:t>
            </w:r>
            <w:r w:rsidRPr="007878EE">
              <w:rPr>
                <w:rFonts w:ascii="Arial" w:hAnsi="Arial" w:cs="Arial"/>
                <w:b/>
                <w:bCs/>
                <w:sz w:val="19"/>
                <w:szCs w:val="19"/>
                <w:lang w:val="es-MX"/>
              </w:rPr>
              <w:t>rurales</w:t>
            </w:r>
            <w:r w:rsidR="000353A1">
              <w:rPr>
                <w:rFonts w:ascii="Arial" w:hAnsi="Arial" w:cs="Arial"/>
                <w:b/>
                <w:bCs/>
                <w:sz w:val="19"/>
                <w:szCs w:val="19"/>
                <w:lang w:val="es-MX"/>
              </w:rPr>
              <w:t xml:space="preserve"> y zonas urbanas marginadas</w:t>
            </w:r>
          </w:p>
        </w:tc>
      </w:tr>
      <w:tr w:rsidR="000353A1" w:rsidRPr="00CA75CE" w14:paraId="12AF6F29" w14:textId="77777777" w:rsidTr="008C67E0">
        <w:trPr>
          <w:trHeight w:val="845"/>
        </w:trPr>
        <w:tc>
          <w:tcPr>
            <w:tcW w:w="969" w:type="pct"/>
            <w:vMerge w:val="restart"/>
            <w:hideMark/>
          </w:tcPr>
          <w:p w14:paraId="0FB57F1A" w14:textId="77777777" w:rsidR="000353A1" w:rsidRPr="007878EE" w:rsidRDefault="000353A1" w:rsidP="001E11FF">
            <w:pPr>
              <w:rPr>
                <w:rFonts w:ascii="Arial" w:hAnsi="Arial" w:cs="Arial"/>
                <w:sz w:val="19"/>
                <w:szCs w:val="19"/>
                <w:lang w:val="es-MX"/>
              </w:rPr>
            </w:pPr>
            <w:r w:rsidRPr="007878EE">
              <w:rPr>
                <w:rFonts w:ascii="Arial" w:hAnsi="Arial" w:cs="Arial"/>
                <w:sz w:val="19"/>
                <w:szCs w:val="19"/>
                <w:lang w:val="es-MX"/>
              </w:rPr>
              <w:t>Marco regulatorio y mecanismo de financiamiento para electrificación de comunidades rurales</w:t>
            </w:r>
          </w:p>
        </w:tc>
        <w:tc>
          <w:tcPr>
            <w:tcW w:w="873" w:type="pct"/>
            <w:vMerge w:val="restart"/>
            <w:hideMark/>
          </w:tcPr>
          <w:p w14:paraId="40D9B268" w14:textId="205D9C45" w:rsidR="000353A1" w:rsidRPr="007878EE" w:rsidRDefault="000353A1" w:rsidP="001E11FF">
            <w:pPr>
              <w:rPr>
                <w:rFonts w:ascii="Arial" w:hAnsi="Arial" w:cs="Arial"/>
                <w:sz w:val="19"/>
                <w:szCs w:val="19"/>
                <w:lang w:val="es-MX"/>
              </w:rPr>
            </w:pPr>
            <w:r w:rsidRPr="007878EE">
              <w:rPr>
                <w:rFonts w:ascii="Arial" w:hAnsi="Arial" w:cs="Arial"/>
                <w:sz w:val="19"/>
                <w:szCs w:val="19"/>
                <w:lang w:val="es-MX"/>
              </w:rPr>
              <w:t>Cerrar la brecha de acceso a</w:t>
            </w:r>
            <w:r w:rsidR="001144D8">
              <w:rPr>
                <w:rFonts w:ascii="Arial" w:hAnsi="Arial" w:cs="Arial"/>
                <w:sz w:val="19"/>
                <w:szCs w:val="19"/>
                <w:lang w:val="es-MX"/>
              </w:rPr>
              <w:t xml:space="preserve">l servicio de </w:t>
            </w:r>
            <w:r w:rsidRPr="007878EE">
              <w:rPr>
                <w:rFonts w:ascii="Arial" w:hAnsi="Arial" w:cs="Arial"/>
                <w:sz w:val="19"/>
                <w:szCs w:val="19"/>
                <w:lang w:val="es-MX"/>
              </w:rPr>
              <w:t>energía eléctrica en comunidades rurales</w:t>
            </w:r>
            <w:r>
              <w:rPr>
                <w:rFonts w:ascii="Arial" w:hAnsi="Arial" w:cs="Arial"/>
                <w:sz w:val="19"/>
                <w:szCs w:val="19"/>
                <w:lang w:val="es-MX"/>
              </w:rPr>
              <w:t xml:space="preserve"> y zonas urbanas marginadas de manera sostenible</w:t>
            </w:r>
            <w:r w:rsidRPr="007878EE">
              <w:rPr>
                <w:rFonts w:ascii="Arial" w:hAnsi="Arial" w:cs="Arial"/>
                <w:sz w:val="19"/>
                <w:szCs w:val="19"/>
                <w:lang w:val="es-MX"/>
              </w:rPr>
              <w:t>.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E0ED4" w14:textId="4C36CFA9" w:rsidR="000353A1" w:rsidRPr="007878EE" w:rsidRDefault="000353A1" w:rsidP="001E11FF">
            <w:pPr>
              <w:rPr>
                <w:rFonts w:ascii="Arial" w:hAnsi="Arial" w:cs="Arial"/>
                <w:sz w:val="19"/>
                <w:szCs w:val="19"/>
                <w:lang w:val="es-MX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Publicación de las Reglas de Operación</w:t>
            </w:r>
            <w:r w:rsidRPr="007878E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 xml:space="preserve"> del Fondo de Servicio Universal Eléctrico</w:t>
            </w:r>
            <w:r w:rsidR="007149D1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, a través del cual se financia la electrificación de comunidades rurales y zonas urbanas marginadas.</w:t>
            </w: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ABCD0F" w14:textId="3DF2F785" w:rsidR="000353A1" w:rsidRPr="007878EE" w:rsidRDefault="000353A1" w:rsidP="001E11FF">
            <w:pPr>
              <w:rPr>
                <w:rFonts w:ascii="Arial" w:hAnsi="Arial" w:cs="Arial"/>
                <w:sz w:val="19"/>
                <w:szCs w:val="19"/>
                <w:lang w:val="es-MX"/>
              </w:rPr>
            </w:pPr>
            <w:r w:rsidRPr="007878E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 xml:space="preserve">Reglas de operación del FSUE, </w:t>
            </w:r>
            <w:r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 xml:space="preserve">publicadas </w:t>
            </w:r>
            <w:r w:rsidRPr="007878E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 xml:space="preserve">en el </w:t>
            </w:r>
            <w:proofErr w:type="spellStart"/>
            <w:r w:rsidRPr="007878E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PGdM</w:t>
            </w:r>
            <w:proofErr w:type="spellEnd"/>
            <w:r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 xml:space="preserve"> el 17 de noviembre de 2016</w:t>
            </w:r>
            <w:r w:rsidRPr="007878E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.</w:t>
            </w:r>
          </w:p>
        </w:tc>
      </w:tr>
      <w:tr w:rsidR="00CB1D7E" w:rsidRPr="00CA75CE" w14:paraId="3A45CB46" w14:textId="77777777" w:rsidTr="008C67E0">
        <w:trPr>
          <w:trHeight w:val="458"/>
        </w:trPr>
        <w:tc>
          <w:tcPr>
            <w:tcW w:w="969" w:type="pct"/>
            <w:vMerge/>
          </w:tcPr>
          <w:p w14:paraId="02DB5330" w14:textId="77777777" w:rsidR="00CB1D7E" w:rsidRPr="007878EE" w:rsidRDefault="00CB1D7E" w:rsidP="001E11FF">
            <w:pPr>
              <w:rPr>
                <w:rFonts w:ascii="Arial" w:hAnsi="Arial" w:cs="Arial"/>
                <w:sz w:val="19"/>
                <w:szCs w:val="19"/>
                <w:lang w:val="es-MX"/>
              </w:rPr>
            </w:pPr>
          </w:p>
        </w:tc>
        <w:tc>
          <w:tcPr>
            <w:tcW w:w="873" w:type="pct"/>
            <w:vMerge/>
          </w:tcPr>
          <w:p w14:paraId="331311E9" w14:textId="77777777" w:rsidR="00CB1D7E" w:rsidRPr="007878EE" w:rsidRDefault="00CB1D7E" w:rsidP="001E11FF">
            <w:pPr>
              <w:rPr>
                <w:rFonts w:ascii="Arial" w:hAnsi="Arial" w:cs="Arial"/>
                <w:sz w:val="19"/>
                <w:szCs w:val="19"/>
                <w:lang w:val="es-MX"/>
              </w:rPr>
            </w:pP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2D755" w14:textId="20E475EF" w:rsidR="00CB1D7E" w:rsidRPr="007878EE" w:rsidRDefault="00CB1D7E" w:rsidP="001E11FF">
            <w:pPr>
              <w:rPr>
                <w:rFonts w:ascii="Arial" w:hAnsi="Arial" w:cs="Arial"/>
                <w:sz w:val="19"/>
                <w:szCs w:val="19"/>
                <w:lang w:val="es-MX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 xml:space="preserve">Publicación de la invitación </w:t>
            </w:r>
            <w:r w:rsidR="00276F58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 xml:space="preserve">2017 </w:t>
            </w:r>
            <w:r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a los distribuidores para presentar proyectos de electrificación</w:t>
            </w:r>
            <w:r w:rsidRPr="007878E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 xml:space="preserve"> en las comunidades </w:t>
            </w:r>
            <w:r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rurales y zonas urbanas marginadas</w:t>
            </w:r>
            <w:r w:rsidR="008C67E0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 xml:space="preserve"> que se </w:t>
            </w:r>
            <w:proofErr w:type="spellStart"/>
            <w:r w:rsidR="000353A1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jecutarán</w:t>
            </w:r>
            <w:proofErr w:type="spellEnd"/>
            <w:r w:rsidR="000353A1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 xml:space="preserve"> en 2018</w:t>
            </w:r>
            <w:r w:rsidRPr="007878E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.</w:t>
            </w: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BD7DB" w14:textId="77FAC22F" w:rsidR="00CB1D7E" w:rsidRPr="007878EE" w:rsidRDefault="00CB1D7E" w:rsidP="001E11FF">
            <w:pPr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</w:pPr>
            <w:r w:rsidRPr="007878EE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Invitación a los distribuidores para presentar proyectos de electrificación en comunidades rur</w:t>
            </w:r>
            <w:r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ales y zonas urbanas marginadas, publicada en la plataforma del Fideicomiso para el Ahorro de Energía Eléctrica (FIDE)</w:t>
            </w:r>
            <w:r w:rsidR="000353A1"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 xml:space="preserve"> el 29 de diciembre de 2016</w:t>
            </w:r>
            <w:r>
              <w:rPr>
                <w:rFonts w:ascii="Arial" w:hAnsi="Arial" w:cs="Arial"/>
                <w:color w:val="000000"/>
                <w:sz w:val="19"/>
                <w:szCs w:val="19"/>
                <w:lang w:val="es-ES_tradnl"/>
              </w:rPr>
              <w:t>.</w:t>
            </w:r>
          </w:p>
        </w:tc>
      </w:tr>
    </w:tbl>
    <w:p w14:paraId="22940EA1" w14:textId="77777777" w:rsidR="00864B37" w:rsidRPr="00740F42" w:rsidRDefault="00864B37" w:rsidP="008C67E0">
      <w:pPr>
        <w:spacing w:after="120" w:line="240" w:lineRule="auto"/>
        <w:rPr>
          <w:rFonts w:ascii="Arial" w:hAnsi="Arial" w:cs="Arial"/>
          <w:b/>
          <w:sz w:val="20"/>
          <w:szCs w:val="20"/>
          <w:lang w:val="es-ES_tradnl"/>
        </w:rPr>
      </w:pPr>
    </w:p>
    <w:sectPr w:rsidR="00864B37" w:rsidRPr="00740F42" w:rsidSect="00864B37">
      <w:footerReference w:type="default" r:id="rId12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17CE1A" w14:textId="77777777" w:rsidR="007A5F81" w:rsidRDefault="007A5F81" w:rsidP="003B0828">
      <w:pPr>
        <w:spacing w:after="0" w:line="240" w:lineRule="auto"/>
      </w:pPr>
      <w:r>
        <w:separator/>
      </w:r>
    </w:p>
  </w:endnote>
  <w:endnote w:type="continuationSeparator" w:id="0">
    <w:p w14:paraId="5B4AA3D2" w14:textId="77777777" w:rsidR="007A5F81" w:rsidRDefault="007A5F81" w:rsidP="003B08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94012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2CD4987" w14:textId="09253586" w:rsidR="007F5525" w:rsidRDefault="007F552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C67E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88A73BF" w14:textId="77777777" w:rsidR="007F5525" w:rsidRDefault="007F55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87269B" w14:textId="77777777" w:rsidR="007A5F81" w:rsidRDefault="007A5F81" w:rsidP="003B0828">
      <w:pPr>
        <w:spacing w:after="0" w:line="240" w:lineRule="auto"/>
      </w:pPr>
      <w:r>
        <w:separator/>
      </w:r>
    </w:p>
  </w:footnote>
  <w:footnote w:type="continuationSeparator" w:id="0">
    <w:p w14:paraId="65E0C5F9" w14:textId="77777777" w:rsidR="007A5F81" w:rsidRDefault="007A5F81" w:rsidP="003B08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markup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4B37"/>
    <w:rsid w:val="00016614"/>
    <w:rsid w:val="00024577"/>
    <w:rsid w:val="000274A6"/>
    <w:rsid w:val="000353A1"/>
    <w:rsid w:val="0004736B"/>
    <w:rsid w:val="000525CB"/>
    <w:rsid w:val="000A06CF"/>
    <w:rsid w:val="000D2B49"/>
    <w:rsid w:val="001040DC"/>
    <w:rsid w:val="001144D8"/>
    <w:rsid w:val="001571F2"/>
    <w:rsid w:val="0017529C"/>
    <w:rsid w:val="001E11FF"/>
    <w:rsid w:val="00225D7E"/>
    <w:rsid w:val="0024264A"/>
    <w:rsid w:val="00250ADC"/>
    <w:rsid w:val="00276F58"/>
    <w:rsid w:val="002A22C1"/>
    <w:rsid w:val="002B1A88"/>
    <w:rsid w:val="002B39AD"/>
    <w:rsid w:val="002D479C"/>
    <w:rsid w:val="002E01A2"/>
    <w:rsid w:val="00300F3B"/>
    <w:rsid w:val="003106A8"/>
    <w:rsid w:val="003222E2"/>
    <w:rsid w:val="003415A3"/>
    <w:rsid w:val="00360344"/>
    <w:rsid w:val="003611F3"/>
    <w:rsid w:val="00384921"/>
    <w:rsid w:val="003A6F28"/>
    <w:rsid w:val="003B0828"/>
    <w:rsid w:val="003E6B87"/>
    <w:rsid w:val="00427196"/>
    <w:rsid w:val="004600BA"/>
    <w:rsid w:val="004601A3"/>
    <w:rsid w:val="00474D29"/>
    <w:rsid w:val="0048143A"/>
    <w:rsid w:val="004842BA"/>
    <w:rsid w:val="00484C78"/>
    <w:rsid w:val="004D032C"/>
    <w:rsid w:val="004D11E7"/>
    <w:rsid w:val="00521251"/>
    <w:rsid w:val="005678D8"/>
    <w:rsid w:val="00587742"/>
    <w:rsid w:val="005B4324"/>
    <w:rsid w:val="005C0B42"/>
    <w:rsid w:val="006259E2"/>
    <w:rsid w:val="00640F90"/>
    <w:rsid w:val="006519F4"/>
    <w:rsid w:val="00690D58"/>
    <w:rsid w:val="006B36F8"/>
    <w:rsid w:val="006D20DF"/>
    <w:rsid w:val="00711E5A"/>
    <w:rsid w:val="007149D1"/>
    <w:rsid w:val="00740F42"/>
    <w:rsid w:val="00745E74"/>
    <w:rsid w:val="00773B88"/>
    <w:rsid w:val="007878EE"/>
    <w:rsid w:val="00790C5B"/>
    <w:rsid w:val="007A1ED0"/>
    <w:rsid w:val="007A5D02"/>
    <w:rsid w:val="007A5F81"/>
    <w:rsid w:val="007A736F"/>
    <w:rsid w:val="007B2FE3"/>
    <w:rsid w:val="007E3015"/>
    <w:rsid w:val="007E3ADC"/>
    <w:rsid w:val="007E7E19"/>
    <w:rsid w:val="007F5525"/>
    <w:rsid w:val="00804E49"/>
    <w:rsid w:val="0081480E"/>
    <w:rsid w:val="0083599F"/>
    <w:rsid w:val="00860F10"/>
    <w:rsid w:val="00864B37"/>
    <w:rsid w:val="00880081"/>
    <w:rsid w:val="008B471E"/>
    <w:rsid w:val="008C67E0"/>
    <w:rsid w:val="008E0E8D"/>
    <w:rsid w:val="008E7581"/>
    <w:rsid w:val="00907EEE"/>
    <w:rsid w:val="00923E11"/>
    <w:rsid w:val="00982833"/>
    <w:rsid w:val="009C19B4"/>
    <w:rsid w:val="009D51CD"/>
    <w:rsid w:val="00A231FA"/>
    <w:rsid w:val="00AA2827"/>
    <w:rsid w:val="00AA4456"/>
    <w:rsid w:val="00AA6DD4"/>
    <w:rsid w:val="00AE1C77"/>
    <w:rsid w:val="00AF54CD"/>
    <w:rsid w:val="00B639CB"/>
    <w:rsid w:val="00B94C32"/>
    <w:rsid w:val="00BB430E"/>
    <w:rsid w:val="00BC530E"/>
    <w:rsid w:val="00BC7EED"/>
    <w:rsid w:val="00C15FAE"/>
    <w:rsid w:val="00C603A6"/>
    <w:rsid w:val="00C843D5"/>
    <w:rsid w:val="00CA19A6"/>
    <w:rsid w:val="00CA75CE"/>
    <w:rsid w:val="00CB1D7E"/>
    <w:rsid w:val="00CB2E71"/>
    <w:rsid w:val="00CD0B70"/>
    <w:rsid w:val="00CD3599"/>
    <w:rsid w:val="00CF4830"/>
    <w:rsid w:val="00D16F4D"/>
    <w:rsid w:val="00D2525D"/>
    <w:rsid w:val="00D306ED"/>
    <w:rsid w:val="00D32A77"/>
    <w:rsid w:val="00D40822"/>
    <w:rsid w:val="00D94181"/>
    <w:rsid w:val="00D948E8"/>
    <w:rsid w:val="00DB0735"/>
    <w:rsid w:val="00DB6A58"/>
    <w:rsid w:val="00DD00BB"/>
    <w:rsid w:val="00E14179"/>
    <w:rsid w:val="00E16CCA"/>
    <w:rsid w:val="00E308D2"/>
    <w:rsid w:val="00E5114D"/>
    <w:rsid w:val="00E62149"/>
    <w:rsid w:val="00ED235D"/>
    <w:rsid w:val="00EE626F"/>
    <w:rsid w:val="00EF28A8"/>
    <w:rsid w:val="00EF3353"/>
    <w:rsid w:val="00F07F4B"/>
    <w:rsid w:val="00F224DE"/>
    <w:rsid w:val="00F3110E"/>
    <w:rsid w:val="00F82213"/>
    <w:rsid w:val="00F94106"/>
    <w:rsid w:val="00FA277E"/>
    <w:rsid w:val="00FC5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C3C887"/>
  <w15:chartTrackingRefBased/>
  <w15:docId w15:val="{873CBF79-00C3-47CE-8FB7-0D0391CF7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64B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B08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0828"/>
  </w:style>
  <w:style w:type="paragraph" w:styleId="Footer">
    <w:name w:val="footer"/>
    <w:basedOn w:val="Normal"/>
    <w:link w:val="FooterChar"/>
    <w:uiPriority w:val="99"/>
    <w:unhideWhenUsed/>
    <w:rsid w:val="003B08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0828"/>
  </w:style>
  <w:style w:type="paragraph" w:styleId="BalloonText">
    <w:name w:val="Balloon Text"/>
    <w:basedOn w:val="Normal"/>
    <w:link w:val="BalloonTextChar"/>
    <w:uiPriority w:val="99"/>
    <w:semiHidden/>
    <w:unhideWhenUsed/>
    <w:rsid w:val="002A22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2C1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7B2FE3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B2FE3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773B88"/>
    <w:pPr>
      <w:ind w:left="720"/>
      <w:contextualSpacing/>
    </w:pPr>
  </w:style>
  <w:style w:type="paragraph" w:styleId="FootnoteText">
    <w:name w:val="footnote text"/>
    <w:aliases w:val="fn,Texto de rodapé,nota_rodapé,nota de rodapé,Geneva 9,Font: Geneva 9,Boston 10,f,footnote,single space,FOOTNOTES,Footnote Text Char Char,foottextfr,texto de nota al pie,Texto nota pie Car Car Car Car Car Car Car Car,Texto,footnote text"/>
    <w:basedOn w:val="Normal"/>
    <w:link w:val="FootnoteTextChar"/>
    <w:rsid w:val="00F94106"/>
    <w:pPr>
      <w:spacing w:after="120" w:line="264" w:lineRule="auto"/>
    </w:pPr>
    <w:rPr>
      <w:rFonts w:eastAsiaTheme="minorEastAsia"/>
      <w:sz w:val="20"/>
      <w:szCs w:val="20"/>
    </w:rPr>
  </w:style>
  <w:style w:type="character" w:customStyle="1" w:styleId="FootnoteTextChar">
    <w:name w:val="Footnote Text Char"/>
    <w:aliases w:val="fn Char,Texto de rodapé Char,nota_rodapé Char,nota de rodapé Char,Geneva 9 Char,Font: Geneva 9 Char,Boston 10 Char,f Char,footnote Char,single space Char,FOOTNOTES Char,Footnote Text Char Char Char,foottextfr Char,Texto Char"/>
    <w:basedOn w:val="DefaultParagraphFont"/>
    <w:link w:val="FootnoteText"/>
    <w:rsid w:val="00F94106"/>
    <w:rPr>
      <w:rFonts w:eastAsiaTheme="minorEastAsia"/>
      <w:sz w:val="20"/>
      <w:szCs w:val="20"/>
    </w:rPr>
  </w:style>
  <w:style w:type="character" w:styleId="FootnoteReference">
    <w:name w:val="footnote reference"/>
    <w:aliases w:val="FC,16 Point,Superscript 6 Point,Footnote Referencefr,ftref,Style 24,Ref. de nota al pie.,Знак сноски-FN,Ref,de nota al pie,titulo 2,pie pddes,Fußnotenzeichen DISS,BVI fnr,Знак сноски 1,referencia nota al pie,Footnote Referencefra,F1"/>
    <w:basedOn w:val="DefaultParagraphFont"/>
    <w:link w:val="Char2"/>
    <w:qFormat/>
    <w:rsid w:val="00F94106"/>
    <w:rPr>
      <w:vertAlign w:val="superscript"/>
    </w:rPr>
  </w:style>
  <w:style w:type="paragraph" w:customStyle="1" w:styleId="Char2">
    <w:name w:val="Char2"/>
    <w:basedOn w:val="Normal"/>
    <w:link w:val="FootnoteReference"/>
    <w:rsid w:val="00F94106"/>
    <w:pPr>
      <w:spacing w:line="240" w:lineRule="exact"/>
    </w:pPr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466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Record_x0020_Number xmlns="cdc7663a-08f0-4737-9e8c-148ce897a09c">R0000999123</Record_x0020_Number>
    <Key_x0020_Document xmlns="cdc7663a-08f0-4737-9e8c-148ce897a09c">false</Key_x0020_Document>
    <Division_x0020_or_x0020_Unit xmlns="cdc7663a-08f0-4737-9e8c-148ce897a09c">INE/ENE</Division_x0020_or_x0020_Unit>
    <Other_x0020_Author xmlns="cdc7663a-08f0-4737-9e8c-148ce897a09c" xsi:nil="true"/>
    <IDBDocs_x0020_Number xmlns="cdc7663a-08f0-4737-9e8c-148ce897a09c" xsi:nil="true"/>
    <Document_x0020_Author xmlns="cdc7663a-08f0-4737-9e8c-148ce897a09c">Suber, Stephanie Anne</Document_x0020_Author>
    <_dlc_DocId xmlns="cdc7663a-08f0-4737-9e8c-148ce897a09c">EZSHARE-929407820-21</_dlc_DocId>
    <Operation_x0020_Type xmlns="cdc7663a-08f0-4737-9e8c-148ce897a09c">Loan Operation</Operation_x0020_Type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Mexico</TermName>
          <TermId xmlns="http://schemas.microsoft.com/office/infopath/2007/PartnerControls">0eba6470-e7ea-46fd-a959-d4c243acaf26</TermId>
        </TermInfo>
      </Terms>
    </ic46d7e087fd4a108fb86518ca413cc6>
    <TaxCatchAll xmlns="cdc7663a-08f0-4737-9e8c-148ce897a09c">
      <Value>19</Value>
      <Value>65</Value>
      <Value>24</Value>
      <Value>2</Value>
      <Value>64</Value>
    </TaxCatchAll>
    <Fiscal_x0020_Year_x0020_IDB xmlns="cdc7663a-08f0-4737-9e8c-148ce897a09c">2018</Fiscal_x0020_Year_x0020_IDB>
    <b26cdb1da78c4bb4b1c1bac2f6ac5911 xmlns="cdc7663a-08f0-4737-9e8c-148ce897a09c">
      <Terms xmlns="http://schemas.microsoft.com/office/infopath/2007/PartnerControls"/>
    </b26cdb1da78c4bb4b1c1bac2f6ac5911>
    <Project_x0020_Number xmlns="cdc7663a-08f0-4737-9e8c-148ce897a09c">ME-L1264</Project_x0020_Number>
    <Package_x0020_Code xmlns="cdc7663a-08f0-4737-9e8c-148ce897a09c" xsi:nil="true"/>
    <Migration_x0020_Info xmlns="cdc7663a-08f0-4737-9e8c-148ce897a09c" xsi:nil="true"/>
    <Approval_x0020_Number xmlns="cdc7663a-08f0-4737-9e8c-148ce897a09c">4501/OC-ME;</Approval_x0020_Number>
    <Business_x0020_Area xmlns="cdc7663a-08f0-4737-9e8c-148ce897a09c">Life Cycle</Business_x0020_Area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Monitoring and Reporting</TermName>
          <TermId xmlns="http://schemas.microsoft.com/office/infopath/2007/PartnerControls">df3c2aa1-d63e-41aa-b1f5-bb15dee691ca</TermId>
        </TermInfo>
      </Terms>
    </e46fe2894295491da65140ffd2369f49>
    <Access_x0020_to_x0020_Information_x00a0_Policy xmlns="cdc7663a-08f0-4737-9e8c-148ce897a09c">Public - Simultaneous Disclosure</Access_x0020_to_x0020_Information_x00a0_Policy>
    <SISCOR_x0020_Number xmlns="cdc7663a-08f0-4737-9e8c-148ce897a09c" xsi:nil="true"/>
    <Identifier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ORC</TermName>
          <TermId xmlns="http://schemas.microsoft.com/office/infopath/2007/PartnerControls">c028a4b2-ad8b-4cf4-9cac-a2ae6a778e23</TermId>
        </TermInfo>
      </Terms>
    </g511464f9e53401d84b16fa9b379a574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ENERGY</TermName>
          <TermId xmlns="http://schemas.microsoft.com/office/infopath/2007/PartnerControls">4fed196a-cd0b-4970-87de-42da17f9b203</TermId>
        </TermInfo>
      </Terms>
    </nddeef1749674d76abdbe4b239a70bc6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ENERGY EFFICIENCY AND RENEWABLE ENERGY IN END USE</TermName>
          <TermId xmlns="http://schemas.microsoft.com/office/infopath/2007/PartnerControls">ab88142a-aa14-42df-80f4-969425d6f976</TermId>
        </TermInfo>
      </Terms>
    </b2ec7cfb18674cb8803df6b262e8b107>
    <Document_x0020_Language_x0020_IDB xmlns="cdc7663a-08f0-4737-9e8c-148ce897a09c">Spanish</Document_x0020_Language_x0020_IDB>
    <_dlc_DocIdUrl xmlns="cdc7663a-08f0-4737-9e8c-148ce897a09c">
      <Url>https://idbg.sharepoint.com/teams/EZ-ME-LON/ME-L1264/_layouts/15/DocIdRedir.aspx?ID=EZSHARE-929407820-21</Url>
      <Description>EZSHARE-929407820-21</Description>
    </_dlc_DocIdUrl>
    <Phase xmlns="cdc7663a-08f0-4737-9e8c-148ce897a09c">ACTIVE</Phase>
    <Related_x0020_SisCor_x0020_Number xmlns="cdc7663a-08f0-4737-9e8c-148ce897a09c" xsi:nil="true"/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>Climate Change and Renewable Energy;Electricity;Energy;Energy Distribution and Transmission;Energy Management and Regulation;Energy Markets and Studies;</Webtopic>
    <Abstract xmlns="cdc7663a-08f0-4737-9e8c-148ce897a09c" xsi:nil="true"/>
    <Publishing_x0020_House xmlns="cdc7663a-08f0-4737-9e8c-148ce897a09c" xsi:nil="true"/>
  </documentManagement>
</p:properties>
</file>

<file path=customXml/item2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9CAFE1C1AA6E314EB95F751642D94F05" ma:contentTypeVersion="32" ma:contentTypeDescription="A content type to manage public (operations) IDB documents" ma:contentTypeScope="" ma:versionID="6a1e4a7f82a0d7c754fe1a1689f454f5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aabbb6792aead3024e7e7b1ca72a9eef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ME-L1264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721CD9907CE2DB408776DB5B193DFEAF" ma:contentTypeVersion="28" ma:contentTypeDescription="The base project type from which other project content types inherit their information." ma:contentTypeScope="" ma:versionID="a9b50aeb82b4e988bd832bb0da7c891c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96a05dfcc7e8b07b9fd600474fea8f84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default="ME-L1264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3853E7-297B-4053-8DE8-24CD8E865C02}">
  <ds:schemaRefs>
    <ds:schemaRef ds:uri="http://purl.org/dc/terms/"/>
    <ds:schemaRef ds:uri="http://schemas.openxmlformats.org/package/2006/metadata/core-properties"/>
    <ds:schemaRef ds:uri="http://purl.org/dc/dcmitype/"/>
    <ds:schemaRef ds:uri="cdc7663a-08f0-4737-9e8c-148ce897a09c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4819ED9-0C9B-44C0-AAFE-A1BD29F6B121}"/>
</file>

<file path=customXml/itemProps3.xml><?xml version="1.0" encoding="utf-8"?>
<ds:datastoreItem xmlns:ds="http://schemas.openxmlformats.org/officeDocument/2006/customXml" ds:itemID="{83739459-ED5A-4318-BA2E-137652BFE9F0}"/>
</file>

<file path=customXml/itemProps4.xml><?xml version="1.0" encoding="utf-8"?>
<ds:datastoreItem xmlns:ds="http://schemas.openxmlformats.org/officeDocument/2006/customXml" ds:itemID="{5C828D47-DA45-4738-A177-E76AE73ACEE4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924B04A7-206F-4551-B5C4-0F67FB9863FE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D304B63F-882B-469E-9957-99F7D48455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c7663a-08f0-4737-9e8c-148ce897a0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4</Pages>
  <Words>1395</Words>
  <Characters>7958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Urteaga Dufour, Jose Antonio</dc:creator>
  <cp:keywords/>
  <dc:description/>
  <cp:lastModifiedBy>Suber, Stephanie Anne</cp:lastModifiedBy>
  <cp:revision>40</cp:revision>
  <cp:lastPrinted>2017-09-21T20:25:00Z</cp:lastPrinted>
  <dcterms:created xsi:type="dcterms:W3CDTF">2017-09-26T17:06:00Z</dcterms:created>
  <dcterms:modified xsi:type="dcterms:W3CDTF">2018-03-14T15:27:00Z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65;#ENERGY EFFICIENCY AND RENEWABLE ENERGY IN END USE|ab88142a-aa14-42df-80f4-969425d6f976</vt:lpwstr>
  </property>
  <property fmtid="{D5CDD505-2E9C-101B-9397-08002B2CF9AE}" pid="7" name="Country">
    <vt:lpwstr>19;#Mexico|0eba6470-e7ea-46fd-a959-d4c243acaf26</vt:lpwstr>
  </property>
  <property fmtid="{D5CDD505-2E9C-101B-9397-08002B2CF9AE}" pid="8" name="Fund IDB">
    <vt:lpwstr>24;#ORC|c028a4b2-ad8b-4cf4-9cac-a2ae6a778e23</vt:lpwstr>
  </property>
  <property fmtid="{D5CDD505-2E9C-101B-9397-08002B2CF9AE}" pid="9" name="_dlc_DocIdItemGuid">
    <vt:lpwstr>ec8e9920-5c79-4c23-8b29-8ff29a2ab608</vt:lpwstr>
  </property>
  <property fmtid="{D5CDD505-2E9C-101B-9397-08002B2CF9AE}" pid="10" name="Sector IDB">
    <vt:lpwstr>64;#ENERGY|4fed196a-cd0b-4970-87de-42da17f9b203</vt:lpwstr>
  </property>
  <property fmtid="{D5CDD505-2E9C-101B-9397-08002B2CF9AE}" pid="11" name="Function Operations IDB">
    <vt:lpwstr>2;#Monitoring and Reporting|df3c2aa1-d63e-41aa-b1f5-bb15dee691ca</vt:lpwstr>
  </property>
  <property fmtid="{D5CDD505-2E9C-101B-9397-08002B2CF9AE}" pid="12" name="RecordPoint_ActiveItemMoved">
    <vt:lpwstr>/teams/EZ-ME-LON/ME-L1264/15 LifeCycle Milestones/Draft Area/Matriz de Medios de Verificación.docx</vt:lpwstr>
  </property>
  <property fmtid="{D5CDD505-2E9C-101B-9397-08002B2CF9AE}" pid="13" name="RecordStorageActiveId">
    <vt:lpwstr>a2d323e8-7986-4421-80fa-aa3cd24932dc</vt:lpwstr>
  </property>
  <property fmtid="{D5CDD505-2E9C-101B-9397-08002B2CF9AE}" pid="14" name="Disclosure Activity">
    <vt:lpwstr>Loan Proposal</vt:lpwstr>
  </property>
  <property fmtid="{D5CDD505-2E9C-101B-9397-08002B2CF9AE}" pid="15" name="ContentTypeId">
    <vt:lpwstr>0x0101001A458A224826124E8B45B1D613300CFC009CAFE1C1AA6E314EB95F751642D94F05</vt:lpwstr>
  </property>
</Properties>
</file>