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30D" w:rsidRPr="00CB36D5" w:rsidRDefault="00E4530D" w:rsidP="00E4530D">
      <w:pPr>
        <w:tabs>
          <w:tab w:val="left" w:pos="0"/>
        </w:tabs>
        <w:spacing w:before="120" w:after="0" w:line="240" w:lineRule="auto"/>
        <w:jc w:val="center"/>
        <w:outlineLvl w:val="2"/>
        <w:rPr>
          <w:rFonts w:ascii="Times New Roman" w:eastAsia="Times New Roman" w:hAnsi="Times New Roman"/>
          <w:smallCaps/>
          <w:sz w:val="24"/>
          <w:szCs w:val="20"/>
        </w:rPr>
      </w:pPr>
      <w:r w:rsidRPr="00CB36D5">
        <w:rPr>
          <w:rFonts w:ascii="Times New Roman" w:eastAsia="Times New Roman" w:hAnsi="Times New Roman"/>
          <w:smallCaps/>
          <w:sz w:val="24"/>
          <w:szCs w:val="20"/>
        </w:rPr>
        <w:t>Inter-American Development Bank Document</w:t>
      </w:r>
    </w:p>
    <w:p w:rsidR="00E4530D" w:rsidRPr="00CB36D5" w:rsidRDefault="003728B5" w:rsidP="003728B5">
      <w:pPr>
        <w:pStyle w:val="ListParagraph"/>
        <w:tabs>
          <w:tab w:val="left" w:pos="1710"/>
        </w:tabs>
        <w:spacing w:before="120" w:after="0" w:line="360" w:lineRule="auto"/>
        <w:ind w:left="567" w:hanging="567"/>
        <w:rPr>
          <w:rFonts w:ascii="Times New Roman" w:hAnsi="Times New Roman"/>
          <w:b/>
          <w:sz w:val="24"/>
          <w:szCs w:val="24"/>
        </w:rPr>
      </w:pPr>
      <w:r w:rsidRPr="00CB36D5">
        <w:rPr>
          <w:rFonts w:ascii="Times New Roman" w:hAnsi="Times New Roman"/>
          <w:b/>
          <w:sz w:val="24"/>
          <w:szCs w:val="24"/>
        </w:rPr>
        <w:tab/>
      </w:r>
      <w:r w:rsidRPr="00CB36D5">
        <w:rPr>
          <w:rFonts w:ascii="Times New Roman" w:hAnsi="Times New Roman"/>
          <w:b/>
          <w:sz w:val="24"/>
          <w:szCs w:val="24"/>
        </w:rPr>
        <w:tab/>
      </w:r>
    </w:p>
    <w:p w:rsidR="00E4530D" w:rsidRPr="00CB36D5" w:rsidRDefault="00E4530D" w:rsidP="00E4530D">
      <w:pPr>
        <w:tabs>
          <w:tab w:val="left" w:pos="1440"/>
          <w:tab w:val="left" w:pos="3060"/>
        </w:tabs>
        <w:ind w:left="567" w:hanging="567"/>
        <w:jc w:val="center"/>
        <w:rPr>
          <w:rFonts w:ascii="Times New Roman" w:hAnsi="Times New Roman"/>
          <w:b/>
          <w:smallCaps/>
          <w:sz w:val="24"/>
          <w:szCs w:val="24"/>
        </w:rPr>
      </w:pPr>
    </w:p>
    <w:p w:rsidR="00E4530D" w:rsidRPr="00CB36D5" w:rsidRDefault="00E4530D" w:rsidP="00E4530D">
      <w:pPr>
        <w:tabs>
          <w:tab w:val="left" w:pos="1440"/>
          <w:tab w:val="left" w:pos="3060"/>
        </w:tabs>
        <w:ind w:left="567" w:hanging="567"/>
        <w:jc w:val="center"/>
        <w:rPr>
          <w:rFonts w:ascii="Times New Roman" w:hAnsi="Times New Roman"/>
          <w:b/>
          <w:smallCaps/>
          <w:sz w:val="24"/>
          <w:szCs w:val="24"/>
        </w:rPr>
      </w:pPr>
    </w:p>
    <w:p w:rsidR="00E4530D" w:rsidRPr="00CB36D5" w:rsidRDefault="00E4530D" w:rsidP="00E4530D">
      <w:pPr>
        <w:tabs>
          <w:tab w:val="left" w:pos="1440"/>
          <w:tab w:val="left" w:pos="3060"/>
        </w:tabs>
        <w:ind w:left="567" w:hanging="567"/>
        <w:jc w:val="center"/>
        <w:rPr>
          <w:rFonts w:ascii="Times New Roman" w:hAnsi="Times New Roman"/>
          <w:b/>
          <w:smallCaps/>
          <w:sz w:val="36"/>
          <w:szCs w:val="36"/>
          <w:highlight w:val="lightGray"/>
        </w:rPr>
      </w:pPr>
      <w:r w:rsidRPr="00CB36D5">
        <w:rPr>
          <w:rFonts w:ascii="Times New Roman" w:hAnsi="Times New Roman"/>
          <w:b/>
          <w:smallCaps/>
          <w:sz w:val="36"/>
          <w:szCs w:val="36"/>
          <w:highlight w:val="lightGray"/>
        </w:rPr>
        <w:t>Jamaica</w:t>
      </w:r>
    </w:p>
    <w:p w:rsidR="00E4530D" w:rsidRPr="00CB36D5" w:rsidRDefault="00E4530D" w:rsidP="00E4530D">
      <w:pPr>
        <w:tabs>
          <w:tab w:val="left" w:pos="1440"/>
          <w:tab w:val="left" w:pos="3060"/>
        </w:tabs>
        <w:ind w:left="567" w:hanging="567"/>
        <w:jc w:val="center"/>
        <w:rPr>
          <w:rFonts w:ascii="Times New Roman" w:hAnsi="Times New Roman"/>
          <w:b/>
          <w:smallCaps/>
          <w:sz w:val="24"/>
          <w:szCs w:val="24"/>
          <w:highlight w:val="lightGray"/>
        </w:rPr>
      </w:pPr>
    </w:p>
    <w:p w:rsidR="00E4530D" w:rsidRPr="00CB36D5" w:rsidRDefault="00E4530D" w:rsidP="00E4530D">
      <w:pPr>
        <w:tabs>
          <w:tab w:val="left" w:pos="1440"/>
          <w:tab w:val="left" w:pos="3060"/>
        </w:tabs>
        <w:ind w:left="567" w:hanging="567"/>
        <w:jc w:val="center"/>
        <w:rPr>
          <w:rFonts w:ascii="Times New Roman" w:hAnsi="Times New Roman"/>
          <w:b/>
          <w:smallCaps/>
          <w:sz w:val="24"/>
          <w:szCs w:val="24"/>
          <w:highlight w:val="lightGray"/>
        </w:rPr>
      </w:pPr>
    </w:p>
    <w:p w:rsidR="003728B5" w:rsidRPr="00CB36D5" w:rsidRDefault="003728B5" w:rsidP="003728B5">
      <w:pPr>
        <w:tabs>
          <w:tab w:val="left" w:pos="3060"/>
        </w:tabs>
        <w:spacing w:after="0" w:line="240" w:lineRule="auto"/>
        <w:jc w:val="center"/>
        <w:rPr>
          <w:rFonts w:ascii="Times New Roman" w:eastAsia="Times New Roman" w:hAnsi="Times New Roman"/>
          <w:caps/>
          <w:smallCaps/>
          <w:sz w:val="24"/>
          <w:szCs w:val="20"/>
        </w:rPr>
      </w:pPr>
      <w:r w:rsidRPr="00CB36D5">
        <w:rPr>
          <w:rFonts w:ascii="Times New Roman" w:eastAsia="Times New Roman" w:hAnsi="Times New Roman"/>
          <w:b/>
          <w:smallCaps/>
          <w:sz w:val="32"/>
          <w:szCs w:val="20"/>
        </w:rPr>
        <w:t>Public Sector Efficiency</w:t>
      </w:r>
    </w:p>
    <w:p w:rsidR="003728B5" w:rsidRPr="00CB36D5" w:rsidRDefault="003728B5" w:rsidP="003728B5">
      <w:pPr>
        <w:tabs>
          <w:tab w:val="left" w:pos="3060"/>
        </w:tabs>
        <w:spacing w:after="0" w:line="240" w:lineRule="auto"/>
        <w:jc w:val="center"/>
        <w:rPr>
          <w:rFonts w:ascii="Times New Roman" w:eastAsia="Times New Roman" w:hAnsi="Times New Roman"/>
          <w:caps/>
          <w:smallCaps/>
          <w:sz w:val="24"/>
          <w:szCs w:val="20"/>
        </w:rPr>
      </w:pPr>
    </w:p>
    <w:p w:rsidR="003728B5" w:rsidRPr="00CB36D5" w:rsidRDefault="003728B5" w:rsidP="003728B5">
      <w:pPr>
        <w:tabs>
          <w:tab w:val="left" w:pos="1440"/>
          <w:tab w:val="left" w:pos="3060"/>
        </w:tabs>
        <w:spacing w:after="0" w:line="240" w:lineRule="auto"/>
        <w:jc w:val="center"/>
        <w:rPr>
          <w:rFonts w:ascii="Times New Roman" w:eastAsia="Times New Roman" w:hAnsi="Times New Roman"/>
          <w:b/>
          <w:smallCaps/>
          <w:sz w:val="24"/>
          <w:szCs w:val="20"/>
        </w:rPr>
      </w:pPr>
      <w:r w:rsidRPr="00CB36D5">
        <w:rPr>
          <w:rFonts w:ascii="Times New Roman" w:eastAsia="Times New Roman" w:hAnsi="Times New Roman"/>
          <w:b/>
          <w:smallCaps/>
          <w:sz w:val="24"/>
          <w:szCs w:val="20"/>
        </w:rPr>
        <w:t>(JA-L1046)</w:t>
      </w:r>
    </w:p>
    <w:p w:rsidR="003728B5" w:rsidRPr="00CB36D5" w:rsidRDefault="003728B5" w:rsidP="003728B5">
      <w:pPr>
        <w:tabs>
          <w:tab w:val="left" w:pos="1440"/>
          <w:tab w:val="left" w:pos="3060"/>
        </w:tabs>
        <w:spacing w:after="0" w:line="240" w:lineRule="auto"/>
        <w:jc w:val="center"/>
        <w:rPr>
          <w:rFonts w:ascii="Times New Roman" w:eastAsia="Times New Roman" w:hAnsi="Times New Roman"/>
          <w:b/>
          <w:smallCaps/>
          <w:sz w:val="24"/>
          <w:szCs w:val="20"/>
        </w:rPr>
      </w:pPr>
    </w:p>
    <w:p w:rsidR="003728B5" w:rsidRPr="00CB36D5" w:rsidRDefault="003728B5" w:rsidP="003728B5">
      <w:pPr>
        <w:tabs>
          <w:tab w:val="left" w:pos="1440"/>
          <w:tab w:val="left" w:pos="3060"/>
        </w:tabs>
        <w:spacing w:after="0" w:line="240" w:lineRule="auto"/>
        <w:jc w:val="center"/>
        <w:rPr>
          <w:rFonts w:ascii="Times New Roman" w:eastAsia="Times New Roman" w:hAnsi="Times New Roman"/>
          <w:smallCaps/>
          <w:sz w:val="24"/>
          <w:szCs w:val="20"/>
        </w:rPr>
      </w:pPr>
    </w:p>
    <w:p w:rsidR="00E4530D" w:rsidRPr="00CB36D5" w:rsidRDefault="00E4530D" w:rsidP="00E4530D">
      <w:pPr>
        <w:pStyle w:val="Newpage"/>
        <w:ind w:left="567" w:hanging="567"/>
        <w:rPr>
          <w:rFonts w:cs="Times New Roman"/>
          <w:b w:val="0"/>
          <w:caps/>
          <w:smallCaps w:val="0"/>
          <w:szCs w:val="24"/>
        </w:rPr>
      </w:pPr>
    </w:p>
    <w:p w:rsidR="00E4530D" w:rsidRPr="00CB36D5" w:rsidRDefault="00E4530D" w:rsidP="00E4530D">
      <w:pPr>
        <w:tabs>
          <w:tab w:val="left" w:pos="1440"/>
          <w:tab w:val="left" w:pos="3060"/>
        </w:tabs>
        <w:ind w:left="567" w:hanging="567"/>
        <w:jc w:val="center"/>
        <w:rPr>
          <w:rFonts w:ascii="Times New Roman" w:hAnsi="Times New Roman"/>
          <w:smallCaps/>
          <w:sz w:val="24"/>
          <w:szCs w:val="24"/>
        </w:rPr>
      </w:pPr>
    </w:p>
    <w:p w:rsidR="00E4530D" w:rsidRPr="00CB36D5" w:rsidRDefault="003728B5" w:rsidP="00E4530D">
      <w:pPr>
        <w:tabs>
          <w:tab w:val="left" w:pos="1440"/>
          <w:tab w:val="left" w:pos="3060"/>
        </w:tabs>
        <w:ind w:left="567" w:hanging="567"/>
        <w:jc w:val="center"/>
        <w:outlineLvl w:val="0"/>
        <w:rPr>
          <w:rFonts w:ascii="Times New Roman" w:hAnsi="Times New Roman"/>
          <w:b/>
          <w:smallCaps/>
          <w:sz w:val="24"/>
          <w:szCs w:val="24"/>
        </w:rPr>
      </w:pPr>
      <w:r w:rsidRPr="00CB36D5">
        <w:rPr>
          <w:rFonts w:ascii="Times New Roman" w:hAnsi="Times New Roman"/>
          <w:b/>
          <w:smallCaps/>
          <w:sz w:val="24"/>
          <w:szCs w:val="24"/>
        </w:rPr>
        <w:t>Economic Analysis</w:t>
      </w:r>
    </w:p>
    <w:p w:rsidR="00E4530D" w:rsidRPr="00CB36D5" w:rsidRDefault="00E4530D" w:rsidP="00E4530D">
      <w:pPr>
        <w:tabs>
          <w:tab w:val="left" w:pos="1440"/>
          <w:tab w:val="left" w:pos="3060"/>
        </w:tabs>
        <w:ind w:left="567" w:hanging="567"/>
        <w:jc w:val="center"/>
        <w:outlineLvl w:val="0"/>
        <w:rPr>
          <w:rFonts w:ascii="Times New Roman" w:hAnsi="Times New Roman"/>
          <w:b/>
          <w:smallCaps/>
          <w:sz w:val="24"/>
          <w:szCs w:val="24"/>
        </w:rPr>
      </w:pPr>
    </w:p>
    <w:p w:rsidR="00E4530D" w:rsidRPr="00CB36D5" w:rsidRDefault="00E4530D" w:rsidP="00E4530D">
      <w:pPr>
        <w:pStyle w:val="ListParagraph"/>
        <w:spacing w:before="120" w:after="0" w:line="360" w:lineRule="auto"/>
        <w:ind w:left="567" w:hanging="567"/>
        <w:jc w:val="center"/>
        <w:rPr>
          <w:rFonts w:ascii="Times New Roman" w:hAnsi="Times New Roman"/>
          <w:b/>
          <w:sz w:val="24"/>
          <w:szCs w:val="24"/>
        </w:rPr>
      </w:pPr>
    </w:p>
    <w:p w:rsidR="00E4530D" w:rsidRPr="00CB36D5" w:rsidRDefault="00E4530D" w:rsidP="00E4530D">
      <w:pPr>
        <w:pStyle w:val="ListParagraph"/>
        <w:spacing w:before="120" w:after="0" w:line="360" w:lineRule="auto"/>
        <w:ind w:left="567" w:hanging="567"/>
        <w:jc w:val="center"/>
        <w:rPr>
          <w:rFonts w:ascii="Times New Roman" w:hAnsi="Times New Roman"/>
          <w:b/>
          <w:sz w:val="24"/>
          <w:szCs w:val="24"/>
        </w:rPr>
      </w:pPr>
    </w:p>
    <w:p w:rsidR="00E4530D" w:rsidRPr="00CB36D5" w:rsidRDefault="00E4530D" w:rsidP="00E4530D">
      <w:pPr>
        <w:pStyle w:val="ListParagraph"/>
        <w:spacing w:before="120" w:after="0" w:line="360" w:lineRule="auto"/>
        <w:ind w:left="567" w:hanging="567"/>
        <w:jc w:val="center"/>
        <w:rPr>
          <w:rFonts w:ascii="Times New Roman" w:hAnsi="Times New Roman"/>
          <w:b/>
          <w:sz w:val="24"/>
          <w:szCs w:val="24"/>
        </w:rPr>
      </w:pPr>
    </w:p>
    <w:p w:rsidR="00E4530D" w:rsidRPr="00CB36D5" w:rsidRDefault="00E4530D" w:rsidP="00E4530D">
      <w:pPr>
        <w:pStyle w:val="ListParagraph"/>
        <w:spacing w:before="120" w:after="0" w:line="360" w:lineRule="auto"/>
        <w:ind w:left="567" w:hanging="567"/>
        <w:jc w:val="both"/>
        <w:rPr>
          <w:rFonts w:ascii="Times New Roman" w:hAnsi="Times New Roman"/>
          <w:b/>
          <w:sz w:val="24"/>
          <w:szCs w:val="24"/>
        </w:rPr>
      </w:pPr>
    </w:p>
    <w:p w:rsidR="00E4530D" w:rsidRPr="00CB36D5" w:rsidRDefault="00E4530D" w:rsidP="00E4530D">
      <w:pPr>
        <w:pStyle w:val="ListParagraph"/>
        <w:spacing w:before="120" w:after="0" w:line="360" w:lineRule="auto"/>
        <w:ind w:left="567" w:hanging="567"/>
        <w:jc w:val="both"/>
        <w:rPr>
          <w:rFonts w:ascii="Times New Roman" w:hAnsi="Times New Roman"/>
          <w:b/>
          <w:sz w:val="24"/>
          <w:szCs w:val="24"/>
        </w:rPr>
      </w:pPr>
    </w:p>
    <w:p w:rsidR="00E4530D" w:rsidRPr="00CB36D5" w:rsidRDefault="00E4530D" w:rsidP="00E4530D">
      <w:pPr>
        <w:pStyle w:val="ListParagraph"/>
        <w:spacing w:before="120" w:after="0" w:line="360" w:lineRule="auto"/>
        <w:ind w:left="567" w:hanging="567"/>
        <w:jc w:val="both"/>
        <w:rPr>
          <w:rFonts w:ascii="Times New Roman" w:hAnsi="Times New Roman"/>
          <w:b/>
          <w:sz w:val="24"/>
          <w:szCs w:val="24"/>
        </w:rPr>
      </w:pPr>
    </w:p>
    <w:p w:rsidR="00E4530D" w:rsidRPr="00CB36D5" w:rsidRDefault="00E4530D" w:rsidP="00E4530D">
      <w:pPr>
        <w:pStyle w:val="ListParagraph"/>
        <w:spacing w:before="120" w:after="0" w:line="360" w:lineRule="auto"/>
        <w:ind w:left="567" w:hanging="567"/>
        <w:jc w:val="both"/>
        <w:rPr>
          <w:rFonts w:ascii="Times New Roman" w:hAnsi="Times New Roman"/>
          <w:b/>
          <w:sz w:val="24"/>
          <w:szCs w:val="24"/>
        </w:rPr>
      </w:pPr>
    </w:p>
    <w:p w:rsidR="00E4530D" w:rsidRPr="00CB36D5" w:rsidRDefault="00E4530D" w:rsidP="00E4530D">
      <w:pPr>
        <w:pStyle w:val="ListParagraph"/>
        <w:spacing w:before="120" w:after="0" w:line="360" w:lineRule="auto"/>
        <w:ind w:left="567" w:hanging="567"/>
        <w:jc w:val="both"/>
        <w:rPr>
          <w:rFonts w:ascii="Times New Roman" w:hAnsi="Times New Roman"/>
          <w:b/>
          <w:sz w:val="24"/>
          <w:szCs w:val="24"/>
        </w:rPr>
      </w:pPr>
    </w:p>
    <w:p w:rsidR="00E4530D" w:rsidRPr="00CB36D5" w:rsidRDefault="00E4530D" w:rsidP="00E4530D">
      <w:pPr>
        <w:pStyle w:val="ListParagraph"/>
        <w:spacing w:before="120" w:after="0" w:line="360" w:lineRule="auto"/>
        <w:ind w:left="567" w:hanging="567"/>
        <w:jc w:val="both"/>
        <w:rPr>
          <w:rFonts w:ascii="Times New Roman" w:hAnsi="Times New Roman"/>
          <w:b/>
          <w:sz w:val="24"/>
          <w:szCs w:val="24"/>
        </w:rPr>
      </w:pPr>
    </w:p>
    <w:p w:rsidR="00E4530D" w:rsidRPr="00CB36D5" w:rsidRDefault="00E4530D" w:rsidP="00E4530D">
      <w:pPr>
        <w:pStyle w:val="ListParagraph"/>
        <w:spacing w:before="120" w:after="0" w:line="360" w:lineRule="auto"/>
        <w:ind w:left="567" w:hanging="567"/>
        <w:jc w:val="both"/>
        <w:rPr>
          <w:rFonts w:ascii="Times New Roman" w:hAnsi="Times New Roman"/>
          <w:b/>
          <w:sz w:val="24"/>
          <w:szCs w:val="24"/>
        </w:rPr>
      </w:pPr>
    </w:p>
    <w:p w:rsidR="00E4530D" w:rsidRPr="00CB36D5" w:rsidRDefault="00E4530D" w:rsidP="00E4530D">
      <w:pPr>
        <w:tabs>
          <w:tab w:val="left" w:pos="1440"/>
          <w:tab w:val="left" w:pos="3060"/>
        </w:tabs>
        <w:ind w:left="567" w:hanging="567"/>
        <w:jc w:val="both"/>
        <w:rPr>
          <w:rFonts w:ascii="Times New Roman" w:hAnsi="Times New Roman"/>
          <w:sz w:val="24"/>
          <w:szCs w:val="24"/>
        </w:rPr>
      </w:pPr>
    </w:p>
    <w:p w:rsidR="003728B5" w:rsidRPr="00CB36D5" w:rsidRDefault="003728B5" w:rsidP="003728B5">
      <w:pPr>
        <w:tabs>
          <w:tab w:val="left" w:pos="1440"/>
          <w:tab w:val="left" w:pos="3060"/>
        </w:tabs>
        <w:jc w:val="center"/>
        <w:rPr>
          <w:highlight w:val="yellow"/>
        </w:rPr>
      </w:pPr>
    </w:p>
    <w:p w:rsidR="003728B5" w:rsidRPr="00CB36D5" w:rsidRDefault="003728B5" w:rsidP="003728B5">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rPr>
      </w:pPr>
      <w:r w:rsidRPr="00CB36D5">
        <w:rPr>
          <w:sz w:val="22"/>
        </w:rPr>
        <w:t>This document was created by: Martin Rossi (Consultant).</w:t>
      </w:r>
    </w:p>
    <w:p w:rsidR="00E4530D" w:rsidRPr="00CB36D5" w:rsidRDefault="00E4530D" w:rsidP="00E4530D">
      <w:pPr>
        <w:spacing w:line="240" w:lineRule="auto"/>
        <w:ind w:left="567" w:hanging="567"/>
        <w:jc w:val="both"/>
        <w:rPr>
          <w:rFonts w:ascii="Times New Roman" w:hAnsi="Times New Roman"/>
          <w:b/>
          <w:i/>
          <w:sz w:val="24"/>
          <w:szCs w:val="24"/>
        </w:rPr>
      </w:pPr>
      <w:r w:rsidRPr="00CB36D5">
        <w:rPr>
          <w:rFonts w:ascii="Times New Roman" w:hAnsi="Times New Roman"/>
          <w:b/>
          <w:sz w:val="24"/>
          <w:szCs w:val="24"/>
        </w:rPr>
        <w:br w:type="page"/>
      </w:r>
    </w:p>
    <w:p w:rsidR="00E4530D" w:rsidRPr="00CB36D5" w:rsidRDefault="00E675ED" w:rsidP="00E4530D">
      <w:pPr>
        <w:numPr>
          <w:ilvl w:val="0"/>
          <w:numId w:val="1"/>
        </w:numPr>
        <w:spacing w:after="0" w:line="480" w:lineRule="auto"/>
        <w:ind w:left="567" w:hanging="567"/>
        <w:jc w:val="both"/>
        <w:rPr>
          <w:rFonts w:ascii="Times New Roman" w:hAnsi="Times New Roman"/>
          <w:b/>
          <w:sz w:val="24"/>
          <w:szCs w:val="24"/>
        </w:rPr>
      </w:pPr>
      <w:r w:rsidRPr="00CB36D5">
        <w:rPr>
          <w:rFonts w:ascii="Times New Roman" w:hAnsi="Times New Roman"/>
          <w:b/>
          <w:sz w:val="24"/>
          <w:szCs w:val="24"/>
        </w:rPr>
        <w:lastRenderedPageBreak/>
        <w:t>Introduction</w:t>
      </w:r>
    </w:p>
    <w:p w:rsidR="00E4530D" w:rsidRPr="00CB36D5" w:rsidRDefault="00E675ED" w:rsidP="00E4530D">
      <w:pPr>
        <w:pStyle w:val="Paragraph"/>
        <w:numPr>
          <w:ilvl w:val="1"/>
          <w:numId w:val="1"/>
        </w:numPr>
        <w:spacing w:before="0" w:after="0" w:line="480" w:lineRule="auto"/>
        <w:rPr>
          <w:kern w:val="28"/>
          <w:lang w:val="en-GB"/>
        </w:rPr>
      </w:pPr>
      <w:r w:rsidRPr="00CB36D5">
        <w:rPr>
          <w:kern w:val="28"/>
          <w:lang w:val="en-GB"/>
        </w:rPr>
        <w:t>Thi</w:t>
      </w:r>
      <w:r w:rsidR="00897CB2" w:rsidRPr="00CB36D5">
        <w:rPr>
          <w:kern w:val="28"/>
          <w:lang w:val="en-GB"/>
        </w:rPr>
        <w:t>s document presents the</w:t>
      </w:r>
      <w:r w:rsidR="00E4530D" w:rsidRPr="00CB36D5">
        <w:rPr>
          <w:kern w:val="28"/>
          <w:lang w:val="en-GB"/>
        </w:rPr>
        <w:t xml:space="preserve"> ex-ante</w:t>
      </w:r>
      <w:r w:rsidR="00897CB2" w:rsidRPr="00CB36D5">
        <w:rPr>
          <w:kern w:val="28"/>
          <w:lang w:val="en-GB"/>
        </w:rPr>
        <w:t xml:space="preserve"> economic </w:t>
      </w:r>
      <w:r w:rsidR="00612725" w:rsidRPr="00CB36D5">
        <w:rPr>
          <w:kern w:val="28"/>
          <w:lang w:val="en-GB"/>
        </w:rPr>
        <w:t>analysis of the Public Sector Efficiency Program (JA-L1046), whose execution is designed for the</w:t>
      </w:r>
      <w:r w:rsidR="00E4530D" w:rsidRPr="00CB36D5">
        <w:rPr>
          <w:kern w:val="28"/>
          <w:lang w:val="en-GB"/>
        </w:rPr>
        <w:t xml:space="preserve"> 2014-2018</w:t>
      </w:r>
      <w:r w:rsidR="00612725" w:rsidRPr="00CB36D5">
        <w:rPr>
          <w:kern w:val="28"/>
          <w:lang w:val="en-GB"/>
        </w:rPr>
        <w:t xml:space="preserve"> period. The analysis</w:t>
      </w:r>
      <w:r w:rsidR="00897CB2" w:rsidRPr="00CB36D5">
        <w:rPr>
          <w:kern w:val="28"/>
          <w:lang w:val="en-GB"/>
        </w:rPr>
        <w:t xml:space="preserve"> will be realized</w:t>
      </w:r>
      <w:r w:rsidR="00612725" w:rsidRPr="00CB36D5">
        <w:rPr>
          <w:kern w:val="28"/>
          <w:lang w:val="en-GB"/>
        </w:rPr>
        <w:t xml:space="preserve"> under the Cost- Benefit Methodology</w:t>
      </w:r>
      <w:r w:rsidR="00E4530D" w:rsidRPr="00CB36D5">
        <w:rPr>
          <w:kern w:val="28"/>
          <w:lang w:val="en-GB"/>
        </w:rPr>
        <w:t>.</w:t>
      </w:r>
    </w:p>
    <w:p w:rsidR="00E4530D" w:rsidRPr="00CB36D5" w:rsidRDefault="004944FF" w:rsidP="00E4530D">
      <w:pPr>
        <w:pStyle w:val="Paragraph"/>
        <w:numPr>
          <w:ilvl w:val="1"/>
          <w:numId w:val="1"/>
        </w:numPr>
        <w:spacing w:before="0" w:after="0" w:line="480" w:lineRule="auto"/>
        <w:rPr>
          <w:kern w:val="28"/>
          <w:lang w:val="en-GB"/>
        </w:rPr>
      </w:pPr>
      <w:r w:rsidRPr="00CB36D5">
        <w:rPr>
          <w:kern w:val="28"/>
          <w:lang w:val="en-GB"/>
        </w:rPr>
        <w:t>The Public Sector Efficiency Program (“the Program”, onwards</w:t>
      </w:r>
      <w:r w:rsidR="00933B52" w:rsidRPr="00CB36D5">
        <w:rPr>
          <w:kern w:val="28"/>
          <w:lang w:val="en-GB"/>
        </w:rPr>
        <w:t xml:space="preserve">) has as general objective to improve the efficiency </w:t>
      </w:r>
      <w:r w:rsidR="00B50682" w:rsidRPr="00CB36D5">
        <w:rPr>
          <w:kern w:val="28"/>
          <w:lang w:val="en-GB"/>
        </w:rPr>
        <w:t>of the Public Sector of Jamaica</w:t>
      </w:r>
      <w:r w:rsidR="00E4530D" w:rsidRPr="00CB36D5">
        <w:rPr>
          <w:kern w:val="28"/>
          <w:lang w:val="en-GB"/>
        </w:rPr>
        <w:t xml:space="preserve">. </w:t>
      </w:r>
      <w:r w:rsidR="00B50682" w:rsidRPr="00CB36D5">
        <w:rPr>
          <w:kern w:val="28"/>
          <w:lang w:val="en-GB"/>
        </w:rPr>
        <w:t>The Program will be financed</w:t>
      </w:r>
      <w:r w:rsidR="00E4530D" w:rsidRPr="00CB36D5">
        <w:rPr>
          <w:kern w:val="28"/>
          <w:lang w:val="en-GB"/>
        </w:rPr>
        <w:t xml:space="preserve"> </w:t>
      </w:r>
      <w:r w:rsidR="00B50682" w:rsidRPr="00CB36D5">
        <w:rPr>
          <w:kern w:val="28"/>
          <w:lang w:val="en-GB"/>
        </w:rPr>
        <w:t>by the Inter-American Development Bank (IDB).</w:t>
      </w:r>
    </w:p>
    <w:p w:rsidR="001974CB" w:rsidRPr="001974CB" w:rsidRDefault="004D2FB6" w:rsidP="001974CB">
      <w:pPr>
        <w:pStyle w:val="Paragraph"/>
        <w:spacing w:after="0" w:line="480" w:lineRule="auto"/>
        <w:ind w:left="567" w:hanging="567"/>
        <w:rPr>
          <w:b/>
          <w:lang w:val="en-US"/>
        </w:rPr>
      </w:pPr>
      <w:r w:rsidRPr="00CB36D5">
        <w:rPr>
          <w:lang w:val="en-GB"/>
        </w:rPr>
        <w:t xml:space="preserve">The Program will finance the following activities, grouped in three components: </w:t>
      </w:r>
    </w:p>
    <w:p w:rsidR="001974CB" w:rsidRPr="004E59DC" w:rsidRDefault="001974CB" w:rsidP="001974CB">
      <w:pPr>
        <w:pStyle w:val="Paragraph"/>
        <w:spacing w:after="0" w:line="480" w:lineRule="auto"/>
        <w:ind w:left="567" w:hanging="567"/>
        <w:rPr>
          <w:lang w:val="en-US"/>
        </w:rPr>
      </w:pPr>
      <w:r w:rsidRPr="001974CB">
        <w:rPr>
          <w:b/>
          <w:lang w:val="en-US"/>
        </w:rPr>
        <w:t>Component 1: Human Resources Management (HRM). (US$18,5</w:t>
      </w:r>
      <w:r>
        <w:rPr>
          <w:b/>
          <w:lang w:val="en-US"/>
        </w:rPr>
        <w:t>78</w:t>
      </w:r>
      <w:r w:rsidRPr="001974CB">
        <w:rPr>
          <w:b/>
          <w:lang w:val="en-US"/>
        </w:rPr>
        <w:t>,</w:t>
      </w:r>
      <w:r>
        <w:rPr>
          <w:b/>
          <w:lang w:val="en-US"/>
        </w:rPr>
        <w:t>535</w:t>
      </w:r>
      <w:r w:rsidRPr="001974CB">
        <w:rPr>
          <w:b/>
          <w:lang w:val="en-US"/>
        </w:rPr>
        <w:t xml:space="preserve">). </w:t>
      </w:r>
      <w:r w:rsidRPr="004E59DC">
        <w:rPr>
          <w:lang w:val="en-US"/>
        </w:rPr>
        <w:t xml:space="preserve">This component will finance activities aimed at improving efficiency of personnel expenditures and strengthening the government’s capacity for more efficient HRM. These will include: </w:t>
      </w:r>
    </w:p>
    <w:p w:rsidR="001974CB" w:rsidRPr="004E59DC" w:rsidRDefault="001974CB" w:rsidP="001974CB">
      <w:pPr>
        <w:pStyle w:val="Paragraph"/>
        <w:spacing w:line="480" w:lineRule="auto"/>
        <w:ind w:left="567" w:hanging="567"/>
        <w:rPr>
          <w:lang w:val="en-US"/>
        </w:rPr>
      </w:pPr>
      <w:r w:rsidRPr="004E59DC">
        <w:rPr>
          <w:lang w:val="en-US"/>
        </w:rPr>
        <w:t>Implementation of a Human Capital Management Enterprise System (HCMES)</w:t>
      </w:r>
      <w:r w:rsidRPr="004E59DC">
        <w:rPr>
          <w:vertAlign w:val="superscript"/>
          <w:lang w:val="en-JM"/>
        </w:rPr>
        <w:footnoteReference w:id="1"/>
      </w:r>
      <w:r w:rsidRPr="004E59DC">
        <w:rPr>
          <w:lang w:val="en-US"/>
        </w:rPr>
        <w:t xml:space="preserve"> covering the entire public sector</w:t>
      </w:r>
      <w:r w:rsidRPr="004E59DC">
        <w:rPr>
          <w:vertAlign w:val="superscript"/>
          <w:lang w:val="en-US"/>
        </w:rPr>
        <w:footnoteReference w:id="2"/>
      </w:r>
      <w:r w:rsidRPr="004E59DC">
        <w:rPr>
          <w:lang w:val="en-US"/>
        </w:rPr>
        <w:t>. The HCEMS will include a payroll solution allowing that employees’ salary and salary-related data be entered and maintained in the core HCMES. The operation will finance: (a) the procurement of the HCEMS; (b) the implementation and roll out of the system across the public sector; (c) ICT infrastructure; and (d) training for administrators and users.</w:t>
      </w:r>
    </w:p>
    <w:p w:rsidR="001974CB" w:rsidRPr="00053D65" w:rsidRDefault="001974CB" w:rsidP="001974CB">
      <w:pPr>
        <w:pStyle w:val="Paragraph"/>
        <w:spacing w:line="480" w:lineRule="auto"/>
        <w:ind w:left="567" w:hanging="567"/>
        <w:rPr>
          <w:lang w:val="en-US"/>
        </w:rPr>
      </w:pPr>
      <w:r w:rsidRPr="00053D65">
        <w:rPr>
          <w:lang w:val="en-US"/>
        </w:rPr>
        <w:t>Strengthening the capacity of the Strategic Human Resources Management Division (SHRMD) within the MOFP</w:t>
      </w:r>
      <w:r w:rsidRPr="00053D65">
        <w:rPr>
          <w:vertAlign w:val="superscript"/>
          <w:lang w:val="en-US"/>
        </w:rPr>
        <w:footnoteReference w:id="3"/>
      </w:r>
      <w:r w:rsidRPr="00053D65">
        <w:rPr>
          <w:lang w:val="en-US"/>
        </w:rPr>
        <w:t xml:space="preserve"> for: (a</w:t>
      </w:r>
      <w:r w:rsidRPr="00053D65">
        <w:rPr>
          <w:lang w:val="en-JM"/>
        </w:rPr>
        <w:t>) strategic HRM planning; (b) policy formulation and for coordination of its implementation with HRM units in MDAs and public bodies; (c)</w:t>
      </w:r>
      <w:r w:rsidRPr="00053D65">
        <w:rPr>
          <w:i/>
          <w:lang w:val="en-US"/>
        </w:rPr>
        <w:t xml:space="preserve"> </w:t>
      </w:r>
      <w:r w:rsidRPr="00053D65">
        <w:rPr>
          <w:lang w:val="en-US"/>
        </w:rPr>
        <w:t xml:space="preserve">development of key HRM processes for the HCMES in coordination with </w:t>
      </w:r>
      <w:r w:rsidRPr="00053D65">
        <w:rPr>
          <w:lang w:val="en-US"/>
        </w:rPr>
        <w:lastRenderedPageBreak/>
        <w:t>HRM units in MDAs;</w:t>
      </w:r>
      <w:r w:rsidRPr="00053D65">
        <w:rPr>
          <w:lang w:val="en-JM"/>
        </w:rPr>
        <w:t xml:space="preserve"> (d) quantitative and qualitative analysis </w:t>
      </w:r>
      <w:r w:rsidRPr="00053D65">
        <w:rPr>
          <w:lang w:val="en-US"/>
        </w:rPr>
        <w:t xml:space="preserve">of </w:t>
      </w:r>
      <w:r w:rsidRPr="00053D65">
        <w:rPr>
          <w:lang w:val="en-JM"/>
        </w:rPr>
        <w:t>HCMES data, and, (e) the adoption of a communication strategy of wage bill contention efforts as well as change management activities.</w:t>
      </w:r>
    </w:p>
    <w:p w:rsidR="001974CB" w:rsidRPr="00053D65" w:rsidRDefault="001974CB" w:rsidP="001974CB">
      <w:pPr>
        <w:pStyle w:val="Paragraph"/>
        <w:spacing w:line="480" w:lineRule="auto"/>
        <w:ind w:left="567" w:hanging="567"/>
        <w:rPr>
          <w:lang w:val="en-US"/>
        </w:rPr>
      </w:pPr>
      <w:r w:rsidRPr="001974CB">
        <w:rPr>
          <w:b/>
          <w:lang w:val="fr-FR"/>
        </w:rPr>
        <w:t xml:space="preserve">Component 2: Information and communication technologies management (ICTM). </w:t>
      </w:r>
      <w:r w:rsidRPr="001974CB">
        <w:rPr>
          <w:b/>
          <w:lang w:val="en-US"/>
        </w:rPr>
        <w:t xml:space="preserve">(US$4,000,000). </w:t>
      </w:r>
      <w:r w:rsidRPr="00053D65">
        <w:rPr>
          <w:lang w:val="en-US"/>
        </w:rPr>
        <w:t>This component will finance activities aimed at: (i) strengthening the government’s capacity to lead and implement ICT policy, and (ii) improve efficiency in public service delivery by adopting innovative citizen-centered e-government solutions. These will include:</w:t>
      </w:r>
    </w:p>
    <w:p w:rsidR="001974CB" w:rsidRPr="00053D65" w:rsidRDefault="001974CB" w:rsidP="001974CB">
      <w:pPr>
        <w:pStyle w:val="Paragraph"/>
        <w:spacing w:line="480" w:lineRule="auto"/>
        <w:ind w:left="567" w:hanging="567"/>
        <w:rPr>
          <w:lang w:val="en-US"/>
        </w:rPr>
      </w:pPr>
      <w:r w:rsidRPr="00053D65">
        <w:rPr>
          <w:lang w:val="en-JM"/>
        </w:rPr>
        <w:t xml:space="preserve">Institutional strengthening of the new ICT governance framework: </w:t>
      </w:r>
      <w:r w:rsidRPr="00053D65">
        <w:rPr>
          <w:lang w:val="en-US"/>
        </w:rPr>
        <w:t xml:space="preserve">the operation will finance technical assistance for: (a) the establishment and organization of the office of the Chief Information Officer (CIO); (b) the design of an </w:t>
      </w:r>
      <w:r w:rsidRPr="00053D65">
        <w:rPr>
          <w:lang w:val="en-JM"/>
        </w:rPr>
        <w:t>e-Government framework and strategy including role definition of relevant stakeholders; (c)</w:t>
      </w:r>
      <w:r w:rsidRPr="00053D65">
        <w:rPr>
          <w:lang w:val="en-US"/>
        </w:rPr>
        <w:t xml:space="preserve"> </w:t>
      </w:r>
      <w:r w:rsidRPr="00053D65">
        <w:rPr>
          <w:lang w:val="en-JM"/>
        </w:rPr>
        <w:t>the development</w:t>
      </w:r>
      <w:r w:rsidRPr="00053D65">
        <w:rPr>
          <w:lang w:val="en-US"/>
        </w:rPr>
        <w:t xml:space="preserve"> of key ICT norms and standards; and (d) capacity building and training on key ICT policy areas and subjects.</w:t>
      </w:r>
    </w:p>
    <w:p w:rsidR="001974CB" w:rsidRPr="00053D65" w:rsidRDefault="001974CB" w:rsidP="001974CB">
      <w:pPr>
        <w:pStyle w:val="Paragraph"/>
        <w:spacing w:line="480" w:lineRule="auto"/>
        <w:ind w:left="567" w:hanging="567"/>
        <w:rPr>
          <w:lang w:val="en-US"/>
        </w:rPr>
      </w:pPr>
      <w:r w:rsidRPr="00053D65">
        <w:rPr>
          <w:lang w:val="en-US"/>
        </w:rPr>
        <w:t xml:space="preserve">Automation and simplification of the processes of the GEI; through the introduction of </w:t>
      </w:r>
      <w:r w:rsidRPr="00053D65">
        <w:rPr>
          <w:lang w:val="en-JM"/>
        </w:rPr>
        <w:t xml:space="preserve">a digital solution to streamline and reduce the time associated with the application and delivery of electricity permits. The operation will finance: (a) the adoption of the web-based </w:t>
      </w:r>
      <w:r w:rsidRPr="00053D65">
        <w:rPr>
          <w:lang w:val="en-US"/>
        </w:rPr>
        <w:t>Application Management and Data Analysis (AMANDA) system</w:t>
      </w:r>
      <w:r w:rsidRPr="00053D65">
        <w:rPr>
          <w:i/>
          <w:vertAlign w:val="superscript"/>
          <w:lang w:val="en-US"/>
        </w:rPr>
        <w:footnoteReference w:id="4"/>
      </w:r>
      <w:r w:rsidRPr="00053D65">
        <w:rPr>
          <w:lang w:val="en-US"/>
        </w:rPr>
        <w:t>; (b) ICT infrastructure; (c) process reengineering for administrative simplification; (d) initiatives to improve communication among stakeholders, transparency, and accountability.</w:t>
      </w:r>
    </w:p>
    <w:p w:rsidR="001974CB" w:rsidRPr="00053D65" w:rsidRDefault="001974CB" w:rsidP="001974CB">
      <w:pPr>
        <w:pStyle w:val="Paragraph"/>
        <w:spacing w:line="480" w:lineRule="auto"/>
        <w:ind w:left="567" w:hanging="567"/>
        <w:rPr>
          <w:lang w:val="en-US"/>
        </w:rPr>
      </w:pPr>
      <w:r w:rsidRPr="00053D65">
        <w:rPr>
          <w:lang w:val="en-US"/>
        </w:rPr>
        <w:t>Establishment of a one-stop shop for business registration. A</w:t>
      </w:r>
      <w:r w:rsidRPr="00053D65">
        <w:rPr>
          <w:lang w:val="en-JM"/>
        </w:rPr>
        <w:t xml:space="preserve"> digital solution to simplify the process and reduce the time required to register a business. </w:t>
      </w:r>
      <w:r w:rsidRPr="00053D65">
        <w:rPr>
          <w:lang w:val="en-US"/>
        </w:rPr>
        <w:t>The operation will finance: (a)</w:t>
      </w:r>
      <w:r w:rsidRPr="00053D65">
        <w:rPr>
          <w:lang w:val="en-JM"/>
        </w:rPr>
        <w:t xml:space="preserve"> the implementation of </w:t>
      </w:r>
      <w:r w:rsidRPr="00053D65">
        <w:rPr>
          <w:lang w:val="en-US"/>
        </w:rPr>
        <w:t xml:space="preserve">the online processing of a single Business </w:t>
      </w:r>
      <w:r w:rsidRPr="00053D65">
        <w:rPr>
          <w:lang w:val="en-US"/>
        </w:rPr>
        <w:lastRenderedPageBreak/>
        <w:t>Registration Form (BRF); and the electronic approval and data sharing among the government agencies involved in business start-up; (b) ICT infrastructure; (c) training of the Tax Office staff so they can offer support to citizens on using the online filing service; (d) implementation of kiosks equipped with computer workstations and digital signing pads that customers will use at the Tax Office in each parish; (e) a communication strategy to promote the new online services and (f) supporting documentation (manual process, online procedures, etc.)</w:t>
      </w:r>
    </w:p>
    <w:p w:rsidR="001974CB" w:rsidRPr="00053D65" w:rsidRDefault="001974CB" w:rsidP="001974CB">
      <w:pPr>
        <w:pStyle w:val="Paragraph"/>
        <w:spacing w:line="480" w:lineRule="auto"/>
        <w:ind w:left="567" w:hanging="567"/>
        <w:rPr>
          <w:lang w:val="en-US"/>
        </w:rPr>
      </w:pPr>
      <w:r w:rsidRPr="00053D65">
        <w:rPr>
          <w:lang w:val="en-US"/>
        </w:rPr>
        <w:t>Introduction of Shared Corporate Services: seeking to reduce the costs of providing corporate services over time</w:t>
      </w:r>
      <w:r w:rsidRPr="00053D65">
        <w:rPr>
          <w:vertAlign w:val="superscript"/>
          <w:lang w:val="es-ES_tradnl"/>
        </w:rPr>
        <w:footnoteReference w:id="5"/>
      </w:r>
      <w:r w:rsidRPr="00053D65">
        <w:rPr>
          <w:lang w:val="en-US"/>
        </w:rPr>
        <w:t>, this operation will support the GOJ to initiate the implementation of shared services in the public sector by introducing shared services for the HR function. The operation will finance: (a) the design and initial implementation of the Operating Model for the HR Shared Service Centre (HRSSC), including the governance framework and the organizational arrangement</w:t>
      </w:r>
      <w:r w:rsidRPr="00053D65">
        <w:rPr>
          <w:vertAlign w:val="superscript"/>
          <w:lang w:val="es-ES_tradnl"/>
        </w:rPr>
        <w:footnoteReference w:id="6"/>
      </w:r>
      <w:r w:rsidRPr="00053D65">
        <w:rPr>
          <w:lang w:val="en-US"/>
        </w:rPr>
        <w:t xml:space="preserve">; (c) the definition of technical specifications for the facility that will host the HRSSC </w:t>
      </w:r>
      <w:r w:rsidRPr="00053D65">
        <w:rPr>
          <w:vertAlign w:val="superscript"/>
          <w:lang w:val="es-ES_tradnl"/>
        </w:rPr>
        <w:footnoteReference w:id="7"/>
      </w:r>
      <w:r w:rsidRPr="00053D65">
        <w:rPr>
          <w:lang w:val="en-US"/>
        </w:rPr>
        <w:t xml:space="preserve">; (d) the acquisition of workstations for the HRSSC agents; (e) the training of HRSSC agents; (f) the design and acquisition of the ICT infrastructure to operate HRSSC; and, (g) the acquisition and implementation of a case management system.  </w:t>
      </w:r>
    </w:p>
    <w:p w:rsidR="001974CB" w:rsidRPr="00053D65" w:rsidRDefault="001974CB" w:rsidP="001974CB">
      <w:pPr>
        <w:pStyle w:val="Paragraph"/>
        <w:spacing w:line="480" w:lineRule="auto"/>
        <w:ind w:left="567" w:hanging="567"/>
        <w:rPr>
          <w:kern w:val="28"/>
          <w:lang w:val="en-US"/>
        </w:rPr>
      </w:pPr>
      <w:r w:rsidRPr="001974CB">
        <w:rPr>
          <w:b/>
          <w:kern w:val="28"/>
          <w:lang w:val="en-US"/>
        </w:rPr>
        <w:t>Component 3: Control systems and accountability mechanisms (US$6,</w:t>
      </w:r>
      <w:r w:rsidR="004D40AE">
        <w:rPr>
          <w:b/>
          <w:kern w:val="28"/>
          <w:lang w:val="en-US"/>
        </w:rPr>
        <w:t>103,9</w:t>
      </w:r>
      <w:r>
        <w:rPr>
          <w:b/>
          <w:kern w:val="28"/>
          <w:lang w:val="en-US"/>
        </w:rPr>
        <w:t>00</w:t>
      </w:r>
      <w:r w:rsidRPr="001974CB">
        <w:rPr>
          <w:b/>
          <w:kern w:val="28"/>
          <w:lang w:val="en-US"/>
        </w:rPr>
        <w:t>)</w:t>
      </w:r>
      <w:r w:rsidRPr="001974CB">
        <w:rPr>
          <w:b/>
          <w:kern w:val="28"/>
          <w:vertAlign w:val="superscript"/>
          <w:lang w:val="es-ES_tradnl"/>
        </w:rPr>
        <w:footnoteReference w:id="8"/>
      </w:r>
      <w:r w:rsidRPr="001974CB">
        <w:rPr>
          <w:b/>
          <w:kern w:val="28"/>
          <w:lang w:val="en-US"/>
        </w:rPr>
        <w:t xml:space="preserve">. </w:t>
      </w:r>
      <w:r w:rsidRPr="00053D65">
        <w:rPr>
          <w:kern w:val="28"/>
          <w:lang w:val="en-US"/>
        </w:rPr>
        <w:t>This component will contribute to the GOJ´s PFM-RAP</w:t>
      </w:r>
      <w:r w:rsidRPr="00053D65">
        <w:rPr>
          <w:kern w:val="28"/>
          <w:vertAlign w:val="superscript"/>
          <w:lang w:val="es-ES_tradnl"/>
        </w:rPr>
        <w:footnoteReference w:id="9"/>
      </w:r>
      <w:r w:rsidRPr="00053D65">
        <w:rPr>
          <w:kern w:val="28"/>
          <w:lang w:val="en-US"/>
        </w:rPr>
        <w:t xml:space="preserve"> objectives on modernization of procurement process and improvement of the budget control and oversight. The operation will support the following four strands of work (sub-components):</w:t>
      </w:r>
    </w:p>
    <w:p w:rsidR="001974CB" w:rsidRPr="00053D65" w:rsidRDefault="001974CB" w:rsidP="001974CB">
      <w:pPr>
        <w:pStyle w:val="Paragraph"/>
        <w:spacing w:line="480" w:lineRule="auto"/>
        <w:ind w:left="567" w:hanging="567"/>
        <w:rPr>
          <w:kern w:val="28"/>
          <w:lang w:val="en-US"/>
        </w:rPr>
      </w:pPr>
      <w:r w:rsidRPr="00053D65">
        <w:rPr>
          <w:kern w:val="28"/>
          <w:lang w:val="en-US"/>
        </w:rPr>
        <w:lastRenderedPageBreak/>
        <w:t>Strengthening the AGD’s capacity for performance (PA) and information technology (ITA) audits through: (a) external auditors in-country training and overseas attachments on ITA; (b) external auditors, in-country training on PA</w:t>
      </w:r>
      <w:r w:rsidRPr="00053D65">
        <w:rPr>
          <w:kern w:val="28"/>
          <w:vertAlign w:val="superscript"/>
          <w:lang w:val="es-ES_tradnl"/>
        </w:rPr>
        <w:footnoteReference w:id="10"/>
      </w:r>
      <w:r w:rsidRPr="00053D65">
        <w:rPr>
          <w:kern w:val="28"/>
          <w:lang w:val="en-US"/>
        </w:rPr>
        <w:t>; (c) IT equipment (hardware and software) for the use of computer assisted audit techniques (CAAT) software for external audit.</w:t>
      </w:r>
    </w:p>
    <w:p w:rsidR="001974CB" w:rsidRPr="00053D65" w:rsidRDefault="001974CB" w:rsidP="001974CB">
      <w:pPr>
        <w:pStyle w:val="Paragraph"/>
        <w:spacing w:line="480" w:lineRule="auto"/>
        <w:ind w:left="567" w:hanging="567"/>
        <w:rPr>
          <w:kern w:val="28"/>
          <w:lang w:val="en-US"/>
        </w:rPr>
      </w:pPr>
      <w:r w:rsidRPr="00053D65">
        <w:rPr>
          <w:kern w:val="28"/>
          <w:lang w:val="en-US"/>
        </w:rPr>
        <w:t>Strengthening the Internal Audit System’s (IAS)</w:t>
      </w:r>
      <w:r w:rsidRPr="00053D65">
        <w:rPr>
          <w:kern w:val="28"/>
          <w:vertAlign w:val="superscript"/>
          <w:lang w:val="es-ES_tradnl"/>
        </w:rPr>
        <w:footnoteReference w:id="11"/>
      </w:r>
      <w:r w:rsidRPr="00053D65">
        <w:rPr>
          <w:kern w:val="28"/>
          <w:lang w:val="en-US"/>
        </w:rPr>
        <w:t xml:space="preserve"> capacity, especially for payroll and procurement audits, through: (a) internal auditors’ in-country training on PA; (b) enabling the adoption of modern audit techniques for internal auditors, and (c) the automation of the internal audit process with CAAT’s software for internal audit.</w:t>
      </w:r>
    </w:p>
    <w:p w:rsidR="001974CB" w:rsidRPr="00053D65" w:rsidRDefault="001974CB" w:rsidP="001974CB">
      <w:pPr>
        <w:pStyle w:val="Paragraph"/>
        <w:spacing w:line="480" w:lineRule="auto"/>
        <w:ind w:left="567" w:hanging="567"/>
        <w:rPr>
          <w:kern w:val="28"/>
          <w:lang w:val="en-US"/>
        </w:rPr>
      </w:pPr>
      <w:r w:rsidRPr="00053D65">
        <w:rPr>
          <w:kern w:val="28"/>
          <w:lang w:val="en-US"/>
        </w:rPr>
        <w:t>Improving transparency and value for money of public procurement through: (a) training and certification courses for procurement staff; (b) technical assistance to produce a new Procurement Handbook following enactment of the Procurement Law; (c) implementation of e-tendering, including IT equipment; (d) communication and awareness of new Procurement Law, Handbook and e-tendering system among Government and Contractors; and (e) new contractor registration system as a module of the e-tendering system.</w:t>
      </w:r>
    </w:p>
    <w:p w:rsidR="001974CB" w:rsidRPr="00053D65" w:rsidRDefault="001974CB" w:rsidP="001974CB">
      <w:pPr>
        <w:pStyle w:val="Paragraph"/>
        <w:spacing w:line="480" w:lineRule="auto"/>
        <w:ind w:left="567" w:hanging="567"/>
        <w:rPr>
          <w:b/>
          <w:kern w:val="28"/>
          <w:lang w:val="en-US"/>
        </w:rPr>
      </w:pPr>
      <w:r w:rsidRPr="00053D65">
        <w:rPr>
          <w:kern w:val="28"/>
          <w:lang w:val="en-US"/>
        </w:rPr>
        <w:t xml:space="preserve">Enhancing Parliament’s oversight role, through: (a) diagnosis of Public Accounts (PAC) and Public Administration and Appropriations Committees (PAAC) analytical and reporting capacity and the Office of the Clerk capacity to enable the Members of each House to efficiently execute their Parliamentary responsibilities and duties; (b) following the diagnosis, establishment of a joint Technical Secretariat for technical assistance and research with qualified technical staff to be financed by the project on </w:t>
      </w:r>
      <w:r w:rsidRPr="00053D65">
        <w:rPr>
          <w:kern w:val="28"/>
          <w:lang w:val="en-US"/>
        </w:rPr>
        <w:lastRenderedPageBreak/>
        <w:t>rolled-out basis for gradual absorption by the Parliaments´ budget; and (c) training to Technical Secretariat and Members of Parliament.</w:t>
      </w:r>
    </w:p>
    <w:p w:rsidR="00A02B11" w:rsidRPr="00053D65" w:rsidRDefault="00A02B11" w:rsidP="001974CB">
      <w:pPr>
        <w:pStyle w:val="Paragraph"/>
        <w:spacing w:line="480" w:lineRule="auto"/>
        <w:ind w:left="567" w:hanging="567"/>
        <w:rPr>
          <w:b/>
          <w:kern w:val="28"/>
          <w:lang w:val="en-US"/>
        </w:rPr>
      </w:pPr>
      <w:r>
        <w:rPr>
          <w:kern w:val="28"/>
          <w:lang w:val="en-US"/>
        </w:rPr>
        <w:t>Program administration</w:t>
      </w:r>
      <w:r w:rsidR="004D40AE">
        <w:rPr>
          <w:kern w:val="28"/>
          <w:lang w:val="en-US"/>
        </w:rPr>
        <w:t xml:space="preserve"> amounts to US$ 2,967,565.</w:t>
      </w:r>
    </w:p>
    <w:p w:rsidR="00A02B11" w:rsidRPr="00053D65" w:rsidRDefault="00A02B11" w:rsidP="001974CB">
      <w:pPr>
        <w:pStyle w:val="Paragraph"/>
        <w:spacing w:line="480" w:lineRule="auto"/>
        <w:ind w:left="567" w:hanging="567"/>
        <w:rPr>
          <w:kern w:val="28"/>
          <w:lang w:val="en-US"/>
        </w:rPr>
      </w:pPr>
      <w:r w:rsidRPr="00053D65">
        <w:rPr>
          <w:kern w:val="28"/>
          <w:lang w:val="en-US"/>
        </w:rPr>
        <w:t xml:space="preserve">The total estimated </w:t>
      </w:r>
      <w:r>
        <w:rPr>
          <w:kern w:val="28"/>
          <w:lang w:val="en-US"/>
        </w:rPr>
        <w:t>cost</w:t>
      </w:r>
      <w:r w:rsidRPr="00053D65">
        <w:rPr>
          <w:kern w:val="28"/>
          <w:lang w:val="en-US"/>
        </w:rPr>
        <w:t xml:space="preserve"> is </w:t>
      </w:r>
      <w:r w:rsidRPr="0029224E">
        <w:rPr>
          <w:kern w:val="28"/>
          <w:lang w:val="en-US"/>
        </w:rPr>
        <w:t>US$31,650,000</w:t>
      </w:r>
      <w:r w:rsidRPr="00053D65">
        <w:rPr>
          <w:kern w:val="28"/>
          <w:lang w:val="en-US"/>
        </w:rPr>
        <w:t xml:space="preserve">. </w:t>
      </w:r>
      <w:r>
        <w:rPr>
          <w:kern w:val="28"/>
          <w:lang w:val="en-US"/>
        </w:rPr>
        <w:t xml:space="preserve">It is expected that the </w:t>
      </w:r>
      <w:proofErr w:type="spellStart"/>
      <w:r>
        <w:rPr>
          <w:kern w:val="28"/>
          <w:lang w:val="en-US"/>
        </w:rPr>
        <w:t>t</w:t>
      </w:r>
      <w:r w:rsidRPr="00053D65">
        <w:rPr>
          <w:kern w:val="28"/>
          <w:lang w:val="en-US"/>
        </w:rPr>
        <w:t>he</w:t>
      </w:r>
      <w:proofErr w:type="spellEnd"/>
      <w:r w:rsidRPr="00053D65">
        <w:rPr>
          <w:kern w:val="28"/>
          <w:lang w:val="en-US"/>
        </w:rPr>
        <w:t xml:space="preserve"> Bank will finance up to US$14,000,000 from the Ordinary Capital (OC) resources under the Flexible Financing Facility. The China Co-Financing Fund for Latin America and the Caribbean will finance up to US$ 11,000,000.  The EC is expected to contribute 5,000,000 in Euros with a Project-Specific Grant (PSG) which is equivalent to 6,650,000 in U.S. Dollars, based on the exchange rate of 1.33US$/Euro.</w:t>
      </w:r>
    </w:p>
    <w:p w:rsidR="009236BA" w:rsidRPr="00CB36D5" w:rsidRDefault="009236BA" w:rsidP="004D2FB6">
      <w:pPr>
        <w:pStyle w:val="Paragraph"/>
        <w:spacing w:after="0" w:line="480" w:lineRule="auto"/>
        <w:ind w:left="567" w:hanging="567"/>
        <w:rPr>
          <w:kern w:val="28"/>
          <w:lang w:val="en-GB"/>
        </w:rPr>
      </w:pPr>
      <w:r>
        <w:rPr>
          <w:kern w:val="28"/>
          <w:lang w:val="en-GB"/>
        </w:rPr>
        <w:t xml:space="preserve">In order to perform the Cost-Benefit analysis the activities of the program will be grouped in two subcomponents: Human Resources Management and Accountability </w:t>
      </w:r>
      <w:r w:rsidR="00C62062">
        <w:rPr>
          <w:kern w:val="28"/>
          <w:lang w:val="en-GB"/>
        </w:rPr>
        <w:t>Systems</w:t>
      </w:r>
      <w:r>
        <w:rPr>
          <w:kern w:val="28"/>
          <w:lang w:val="en-GB"/>
        </w:rPr>
        <w:t>.</w:t>
      </w:r>
      <w:r w:rsidR="00BB387C">
        <w:rPr>
          <w:kern w:val="28"/>
          <w:lang w:val="en-GB"/>
        </w:rPr>
        <w:t xml:space="preserve"> Quantifiable variables will be identified in each description.</w:t>
      </w:r>
    </w:p>
    <w:p w:rsidR="00E4530D" w:rsidRPr="00CB36D5" w:rsidRDefault="00E4530D" w:rsidP="00E4530D">
      <w:pPr>
        <w:pStyle w:val="Paragraph"/>
        <w:numPr>
          <w:ilvl w:val="0"/>
          <w:numId w:val="0"/>
        </w:numPr>
        <w:spacing w:before="0" w:after="0" w:line="480" w:lineRule="auto"/>
        <w:ind w:left="567" w:hanging="567"/>
        <w:rPr>
          <w:kern w:val="28"/>
          <w:lang w:val="en-GB"/>
        </w:rPr>
      </w:pPr>
    </w:p>
    <w:p w:rsidR="00E4530D" w:rsidRPr="00CB36D5" w:rsidRDefault="00CB36D5" w:rsidP="00E4530D">
      <w:pPr>
        <w:pStyle w:val="ListParagraph"/>
        <w:numPr>
          <w:ilvl w:val="0"/>
          <w:numId w:val="1"/>
        </w:numPr>
        <w:spacing w:after="0" w:line="480" w:lineRule="auto"/>
        <w:ind w:left="567" w:hanging="567"/>
        <w:jc w:val="both"/>
        <w:rPr>
          <w:rFonts w:ascii="Times New Roman" w:hAnsi="Times New Roman"/>
          <w:b/>
          <w:sz w:val="24"/>
          <w:szCs w:val="24"/>
        </w:rPr>
      </w:pPr>
      <w:r>
        <w:rPr>
          <w:rFonts w:ascii="Times New Roman" w:hAnsi="Times New Roman"/>
          <w:b/>
          <w:sz w:val="24"/>
          <w:szCs w:val="24"/>
        </w:rPr>
        <w:t>Methodology</w:t>
      </w:r>
    </w:p>
    <w:p w:rsidR="00E4530D" w:rsidRPr="005653EF" w:rsidRDefault="005653EF" w:rsidP="005653EF">
      <w:pPr>
        <w:pStyle w:val="TitulopostI"/>
        <w:rPr>
          <w:lang w:val="en-GB"/>
        </w:rPr>
      </w:pPr>
      <w:r w:rsidRPr="005653EF">
        <w:rPr>
          <w:lang w:val="en-GB"/>
        </w:rPr>
        <w:t>Description of the intervention</w:t>
      </w:r>
      <w:r>
        <w:rPr>
          <w:lang w:val="en-GB"/>
        </w:rPr>
        <w:t>-</w:t>
      </w:r>
      <w:r w:rsidR="00CB36D5" w:rsidRPr="005653EF">
        <w:rPr>
          <w:lang w:val="en-GB"/>
        </w:rPr>
        <w:t xml:space="preserve">Subcomponent 1: Human </w:t>
      </w:r>
      <w:r w:rsidR="00CB36D5" w:rsidRPr="00CB36D5">
        <w:rPr>
          <w:lang w:val="en-GB"/>
        </w:rPr>
        <w:t>Resources</w:t>
      </w:r>
      <w:r>
        <w:rPr>
          <w:lang w:val="en-GB"/>
        </w:rPr>
        <w:t xml:space="preserve"> </w:t>
      </w:r>
      <w:r w:rsidR="00CB36D5" w:rsidRPr="005653EF">
        <w:rPr>
          <w:lang w:val="en-GB"/>
        </w:rPr>
        <w:t>Management</w:t>
      </w:r>
      <w:r w:rsidR="006F1D5C">
        <w:rPr>
          <w:lang w:val="en-GB"/>
        </w:rPr>
        <w:t xml:space="preserve"> (HRM)</w:t>
      </w:r>
    </w:p>
    <w:p w:rsidR="00E4530D" w:rsidRPr="003B75FC" w:rsidRDefault="003B75FC" w:rsidP="00CB36D5">
      <w:pPr>
        <w:pStyle w:val="Paragraph"/>
        <w:numPr>
          <w:ilvl w:val="0"/>
          <w:numId w:val="0"/>
        </w:numPr>
        <w:spacing w:before="0" w:after="0" w:line="480" w:lineRule="auto"/>
        <w:ind w:left="567"/>
        <w:rPr>
          <w:kern w:val="28"/>
          <w:lang w:val="en-GB"/>
        </w:rPr>
      </w:pPr>
      <w:r>
        <w:rPr>
          <w:kern w:val="28"/>
          <w:lang w:val="en-GB"/>
        </w:rPr>
        <w:t>The Subcomponent of Human Resources Management will finance several activities. The main activity that will generate monetary benefits is the implementation of the Human Capital Management Enterprise System (HCMES).</w:t>
      </w:r>
      <w:r w:rsidR="00EC1B83">
        <w:rPr>
          <w:kern w:val="28"/>
          <w:lang w:val="en-GB"/>
        </w:rPr>
        <w:t xml:space="preserve"> </w:t>
      </w:r>
    </w:p>
    <w:p w:rsidR="00E4530D" w:rsidRPr="00CB36D5" w:rsidRDefault="00EC1B83" w:rsidP="00E4530D">
      <w:pPr>
        <w:pStyle w:val="TitulopostI"/>
        <w:rPr>
          <w:lang w:val="en-GB"/>
        </w:rPr>
      </w:pPr>
      <w:r>
        <w:rPr>
          <w:lang w:val="en-GB"/>
        </w:rPr>
        <w:t>Expected Benefits</w:t>
      </w:r>
    </w:p>
    <w:p w:rsidR="00E4530D" w:rsidRPr="006F1D5C" w:rsidRDefault="006F1D5C" w:rsidP="00EC5CF4">
      <w:pPr>
        <w:pStyle w:val="Paragraph"/>
        <w:numPr>
          <w:ilvl w:val="1"/>
          <w:numId w:val="1"/>
        </w:numPr>
        <w:spacing w:before="0" w:after="0" w:line="480" w:lineRule="auto"/>
        <w:rPr>
          <w:kern w:val="28"/>
          <w:lang w:val="en-GB"/>
        </w:rPr>
      </w:pPr>
      <w:r w:rsidRPr="006F1D5C">
        <w:rPr>
          <w:kern w:val="28"/>
          <w:lang w:val="en-GB"/>
        </w:rPr>
        <w:t xml:space="preserve"> We will </w:t>
      </w:r>
      <w:r w:rsidR="009C2D7C" w:rsidRPr="006F1D5C">
        <w:rPr>
          <w:kern w:val="28"/>
          <w:lang w:val="en-GB"/>
        </w:rPr>
        <w:t>focus</w:t>
      </w:r>
      <w:r w:rsidRPr="006F1D5C">
        <w:rPr>
          <w:kern w:val="28"/>
          <w:lang w:val="en-GB"/>
        </w:rPr>
        <w:t xml:space="preserve"> in two </w:t>
      </w:r>
      <w:r w:rsidR="006E675D">
        <w:rPr>
          <w:kern w:val="28"/>
          <w:lang w:val="en-GB"/>
        </w:rPr>
        <w:t>type</w:t>
      </w:r>
      <w:r w:rsidR="009C2D7C" w:rsidRPr="006F1D5C">
        <w:rPr>
          <w:kern w:val="28"/>
          <w:lang w:val="en-GB"/>
        </w:rPr>
        <w:t>s</w:t>
      </w:r>
      <w:r w:rsidRPr="006F1D5C">
        <w:rPr>
          <w:kern w:val="28"/>
          <w:lang w:val="en-GB"/>
        </w:rPr>
        <w:t xml:space="preserve"> of benefits. The first of them </w:t>
      </w:r>
      <w:r w:rsidR="006E675D">
        <w:rPr>
          <w:kern w:val="28"/>
          <w:lang w:val="en-GB"/>
        </w:rPr>
        <w:t>is</w:t>
      </w:r>
      <w:r w:rsidRPr="006F1D5C">
        <w:rPr>
          <w:kern w:val="28"/>
          <w:lang w:val="en-GB"/>
        </w:rPr>
        <w:t xml:space="preserve"> linked to the savings due to </w:t>
      </w:r>
      <w:r w:rsidR="006E675D">
        <w:rPr>
          <w:kern w:val="28"/>
          <w:lang w:val="en-GB"/>
        </w:rPr>
        <w:t>a</w:t>
      </w:r>
      <w:r w:rsidRPr="006F1D5C">
        <w:rPr>
          <w:kern w:val="28"/>
          <w:lang w:val="en-GB"/>
        </w:rPr>
        <w:t xml:space="preserve"> reduction of workers in the Human Resources Sector. And the second benefit is given by savings in workforce (for </w:t>
      </w:r>
      <w:r w:rsidR="006E675D">
        <w:rPr>
          <w:kern w:val="28"/>
          <w:lang w:val="en-GB"/>
        </w:rPr>
        <w:t>a given</w:t>
      </w:r>
      <w:r w:rsidRPr="006F1D5C">
        <w:rPr>
          <w:kern w:val="28"/>
          <w:lang w:val="en-GB"/>
        </w:rPr>
        <w:t xml:space="preserve"> level of workers), due to improves in efficiency (better access to processed information guaranteed by the system</w:t>
      </w:r>
      <w:r>
        <w:rPr>
          <w:kern w:val="28"/>
          <w:lang w:val="en-GB"/>
        </w:rPr>
        <w:t xml:space="preserve"> and ICT</w:t>
      </w:r>
      <w:r w:rsidRPr="006F1D5C">
        <w:rPr>
          <w:kern w:val="28"/>
          <w:lang w:val="en-GB"/>
        </w:rPr>
        <w:t>).</w:t>
      </w:r>
      <w:r w:rsidR="00EC5CF4">
        <w:rPr>
          <w:kern w:val="28"/>
          <w:lang w:val="en-GB"/>
        </w:rPr>
        <w:t xml:space="preserve"> </w:t>
      </w:r>
      <w:r w:rsidR="00EC5CF4" w:rsidRPr="00EC5CF4">
        <w:rPr>
          <w:kern w:val="28"/>
          <w:lang w:val="en-GB"/>
        </w:rPr>
        <w:lastRenderedPageBreak/>
        <w:t>Recent works in Public Sector Efficiency shows that an improvement in efficiency is obtained by reducing the administrative costs</w:t>
      </w:r>
      <w:r w:rsidR="00EC5CF4">
        <w:rPr>
          <w:rStyle w:val="FootnoteReference"/>
          <w:kern w:val="28"/>
          <w:lang w:val="en-GB"/>
        </w:rPr>
        <w:footnoteReference w:id="12"/>
      </w:r>
      <w:r w:rsidR="00EC5CF4" w:rsidRPr="00EC5CF4">
        <w:rPr>
          <w:kern w:val="28"/>
          <w:lang w:val="en-GB"/>
        </w:rPr>
        <w:t>.</w:t>
      </w:r>
    </w:p>
    <w:p w:rsidR="00E4530D" w:rsidRPr="00CB36D5" w:rsidRDefault="006F1D5C" w:rsidP="00E4530D">
      <w:pPr>
        <w:pStyle w:val="TitulopostI"/>
        <w:rPr>
          <w:lang w:val="en-GB"/>
        </w:rPr>
      </w:pPr>
      <w:r>
        <w:rPr>
          <w:lang w:val="en-GB"/>
        </w:rPr>
        <w:t>Assumptions</w:t>
      </w:r>
    </w:p>
    <w:p w:rsidR="00E4530D" w:rsidRPr="006F1D5C" w:rsidRDefault="006F1D5C" w:rsidP="006F1D5C">
      <w:pPr>
        <w:pStyle w:val="Paragraph"/>
        <w:numPr>
          <w:ilvl w:val="1"/>
          <w:numId w:val="1"/>
        </w:numPr>
        <w:spacing w:before="0" w:after="0" w:line="480" w:lineRule="auto"/>
        <w:rPr>
          <w:kern w:val="28"/>
          <w:lang w:val="en-GB"/>
        </w:rPr>
      </w:pPr>
      <w:r w:rsidRPr="006F1D5C">
        <w:rPr>
          <w:kern w:val="28"/>
          <w:lang w:val="en-GB"/>
        </w:rPr>
        <w:t xml:space="preserve">The benefits </w:t>
      </w:r>
      <w:r w:rsidR="00733074">
        <w:rPr>
          <w:kern w:val="28"/>
          <w:lang w:val="en-GB"/>
        </w:rPr>
        <w:t>estimations</w:t>
      </w:r>
      <w:r w:rsidRPr="006F1D5C">
        <w:rPr>
          <w:kern w:val="28"/>
          <w:lang w:val="en-GB"/>
        </w:rPr>
        <w:t xml:space="preserve"> of the HRM Subcomponent are based on the following design</w:t>
      </w:r>
      <w:r>
        <w:rPr>
          <w:kern w:val="28"/>
          <w:lang w:val="en-GB"/>
        </w:rPr>
        <w:t xml:space="preserve"> and assumptions</w:t>
      </w:r>
      <w:r w:rsidRPr="006F1D5C">
        <w:rPr>
          <w:kern w:val="28"/>
          <w:lang w:val="en-GB"/>
        </w:rPr>
        <w:t xml:space="preserve"> </w:t>
      </w:r>
      <w:r w:rsidR="00E4530D" w:rsidRPr="006F1D5C">
        <w:rPr>
          <w:kern w:val="28"/>
          <w:lang w:val="en-GB"/>
        </w:rPr>
        <w:t>:</w:t>
      </w:r>
    </w:p>
    <w:p w:rsidR="00E4530D" w:rsidRPr="00B661CD" w:rsidRDefault="006F1D5C" w:rsidP="00E4530D">
      <w:pPr>
        <w:pStyle w:val="Vieta"/>
        <w:rPr>
          <w:lang w:val="en-GB"/>
        </w:rPr>
      </w:pPr>
      <w:r w:rsidRPr="00B661CD">
        <w:rPr>
          <w:lang w:val="en-GB"/>
        </w:rPr>
        <w:t xml:space="preserve">The discount rate </w:t>
      </w:r>
      <w:r w:rsidR="00B661CD" w:rsidRPr="00B661CD">
        <w:rPr>
          <w:lang w:val="en-GB"/>
        </w:rPr>
        <w:t>i</w:t>
      </w:r>
      <w:r w:rsidR="00B661CD">
        <w:rPr>
          <w:lang w:val="en-GB"/>
        </w:rPr>
        <w:t>s 12%, according to the standard</w:t>
      </w:r>
      <w:r w:rsidR="00B661CD" w:rsidRPr="00B661CD">
        <w:rPr>
          <w:lang w:val="en-GB"/>
        </w:rPr>
        <w:t xml:space="preserve"> of the IDB</w:t>
      </w:r>
      <w:r w:rsidR="00E4530D" w:rsidRPr="00B661CD">
        <w:rPr>
          <w:lang w:val="en-GB"/>
        </w:rPr>
        <w:t>.</w:t>
      </w:r>
    </w:p>
    <w:p w:rsidR="00E4530D" w:rsidRPr="004F3AE4" w:rsidRDefault="004F3AE4" w:rsidP="00E4530D">
      <w:pPr>
        <w:pStyle w:val="Vieta"/>
        <w:rPr>
          <w:lang w:val="en-US"/>
        </w:rPr>
      </w:pPr>
      <w:r w:rsidRPr="004F3AE4">
        <w:rPr>
          <w:lang w:val="en-US"/>
        </w:rPr>
        <w:t>Conservatively</w:t>
      </w:r>
      <w:r w:rsidR="006E675D">
        <w:rPr>
          <w:lang w:val="en-US"/>
        </w:rPr>
        <w:t>, we</w:t>
      </w:r>
      <w:r w:rsidRPr="004F3AE4">
        <w:rPr>
          <w:lang w:val="en-US"/>
        </w:rPr>
        <w:t xml:space="preserve"> assume </w:t>
      </w:r>
      <w:r w:rsidR="006E675D">
        <w:rPr>
          <w:lang w:val="en-US"/>
        </w:rPr>
        <w:t>a reduction of 10%</w:t>
      </w:r>
      <w:r w:rsidR="00EC5CF4">
        <w:rPr>
          <w:rStyle w:val="FootnoteReference"/>
          <w:lang w:val="en-US"/>
        </w:rPr>
        <w:footnoteReference w:id="13"/>
      </w:r>
      <w:r w:rsidR="006E675D">
        <w:rPr>
          <w:lang w:val="en-US"/>
        </w:rPr>
        <w:t xml:space="preserve"> in the total workforce</w:t>
      </w:r>
      <w:r>
        <w:rPr>
          <w:lang w:val="en-US"/>
        </w:rPr>
        <w:t xml:space="preserve"> in the Human Resources Sector (estimated at 2</w:t>
      </w:r>
      <w:r w:rsidR="008E32CF">
        <w:rPr>
          <w:lang w:val="en-US"/>
        </w:rPr>
        <w:t>.</w:t>
      </w:r>
      <w:r>
        <w:rPr>
          <w:lang w:val="en-US"/>
        </w:rPr>
        <w:t>500).</w:t>
      </w:r>
      <w:r w:rsidR="00E4530D" w:rsidRPr="004F3AE4">
        <w:rPr>
          <w:lang w:val="en-US"/>
        </w:rPr>
        <w:t xml:space="preserve"> </w:t>
      </w:r>
    </w:p>
    <w:p w:rsidR="00E4530D" w:rsidRPr="004F3AE4" w:rsidRDefault="004F3AE4" w:rsidP="00E4530D">
      <w:pPr>
        <w:pStyle w:val="Vieta"/>
        <w:rPr>
          <w:lang w:val="en-US"/>
        </w:rPr>
      </w:pPr>
      <w:r w:rsidRPr="004F3AE4">
        <w:rPr>
          <w:lang w:val="en-US"/>
        </w:rPr>
        <w:t xml:space="preserve">The average annual salary </w:t>
      </w:r>
      <w:r w:rsidR="009C2D7C">
        <w:rPr>
          <w:lang w:val="en-US"/>
        </w:rPr>
        <w:t>for the Human Resour</w:t>
      </w:r>
      <w:r w:rsidRPr="004F3AE4">
        <w:rPr>
          <w:lang w:val="en-US"/>
        </w:rPr>
        <w:t xml:space="preserve">ces Sector is estimated at </w:t>
      </w:r>
      <w:r>
        <w:rPr>
          <w:lang w:val="en-US"/>
        </w:rPr>
        <w:t xml:space="preserve">USD </w:t>
      </w:r>
      <w:r w:rsidRPr="004F3AE4">
        <w:rPr>
          <w:lang w:val="en-US"/>
        </w:rPr>
        <w:t>9</w:t>
      </w:r>
      <w:r w:rsidR="008E32CF">
        <w:rPr>
          <w:lang w:val="en-US"/>
        </w:rPr>
        <w:t>.</w:t>
      </w:r>
      <w:r w:rsidRPr="004F3AE4">
        <w:rPr>
          <w:lang w:val="en-US"/>
        </w:rPr>
        <w:t>000</w:t>
      </w:r>
      <w:r>
        <w:rPr>
          <w:lang w:val="en-US"/>
        </w:rPr>
        <w:t>, according to PayScale.com</w:t>
      </w:r>
      <w:r w:rsidR="00E4530D" w:rsidRPr="004F3AE4">
        <w:rPr>
          <w:lang w:val="en-US"/>
        </w:rPr>
        <w:t xml:space="preserve">.  </w:t>
      </w:r>
    </w:p>
    <w:p w:rsidR="00E4530D" w:rsidRPr="009C2D7C" w:rsidRDefault="009C2D7C" w:rsidP="00E4530D">
      <w:pPr>
        <w:pStyle w:val="Vieta"/>
        <w:rPr>
          <w:lang w:val="en-US"/>
        </w:rPr>
      </w:pPr>
      <w:r w:rsidRPr="004F3AE4">
        <w:rPr>
          <w:lang w:val="en-US"/>
        </w:rPr>
        <w:t xml:space="preserve">Conservatively assumed that the </w:t>
      </w:r>
      <w:r>
        <w:rPr>
          <w:lang w:val="en-US"/>
        </w:rPr>
        <w:t xml:space="preserve">savings </w:t>
      </w:r>
      <w:r w:rsidR="006A7B6E">
        <w:rPr>
          <w:lang w:val="en-US"/>
        </w:rPr>
        <w:t>by improves in efficiency are 0,</w:t>
      </w:r>
      <w:r w:rsidR="00C30523">
        <w:rPr>
          <w:lang w:val="en-US"/>
        </w:rPr>
        <w:t>3</w:t>
      </w:r>
      <w:r>
        <w:rPr>
          <w:lang w:val="en-US"/>
        </w:rPr>
        <w:t>%</w:t>
      </w:r>
      <w:r w:rsidR="0002333F">
        <w:rPr>
          <w:rStyle w:val="FootnoteReference"/>
          <w:lang w:val="en-US"/>
        </w:rPr>
        <w:footnoteReference w:id="14"/>
      </w:r>
      <w:r>
        <w:rPr>
          <w:lang w:val="en-US"/>
        </w:rPr>
        <w:t xml:space="preserve"> of the total workforce in the Public Sector of Jamaica (approximately 120</w:t>
      </w:r>
      <w:r w:rsidR="008E32CF">
        <w:rPr>
          <w:lang w:val="en-US"/>
        </w:rPr>
        <w:t>.</w:t>
      </w:r>
      <w:r>
        <w:rPr>
          <w:lang w:val="en-US"/>
        </w:rPr>
        <w:t>000 employees)</w:t>
      </w:r>
      <w:r w:rsidR="00E4530D" w:rsidRPr="009C2D7C">
        <w:rPr>
          <w:lang w:val="en-US"/>
        </w:rPr>
        <w:t>.</w:t>
      </w:r>
    </w:p>
    <w:p w:rsidR="00E4530D" w:rsidRPr="0084291A" w:rsidRDefault="002A127B" w:rsidP="002A127B">
      <w:pPr>
        <w:pStyle w:val="Vieta"/>
        <w:rPr>
          <w:lang w:val="en-US"/>
        </w:rPr>
      </w:pPr>
      <w:r w:rsidRPr="00F535A5">
        <w:rPr>
          <w:lang w:val="en-US"/>
        </w:rPr>
        <w:t xml:space="preserve">GOJ central government’s wage bill, the main category of expense after debt </w:t>
      </w:r>
      <w:r w:rsidR="006A7B6E">
        <w:rPr>
          <w:lang w:val="en-US"/>
        </w:rPr>
        <w:t>services, accounted for over 10,</w:t>
      </w:r>
      <w:r w:rsidRPr="00F535A5">
        <w:rPr>
          <w:lang w:val="en-US"/>
        </w:rPr>
        <w:t>7% of GDP in FY 2011/2012</w:t>
      </w:r>
      <w:r w:rsidR="00E4530D" w:rsidRPr="00F535A5">
        <w:rPr>
          <w:lang w:val="en-US"/>
        </w:rPr>
        <w:t>.</w:t>
      </w:r>
      <w:r w:rsidRPr="00F535A5">
        <w:rPr>
          <w:lang w:val="en-US"/>
        </w:rPr>
        <w:t xml:space="preserve"> </w:t>
      </w:r>
      <w:r w:rsidRPr="0084291A">
        <w:rPr>
          <w:lang w:val="en-US"/>
        </w:rPr>
        <w:t xml:space="preserve">That allows estimate the </w:t>
      </w:r>
      <w:r w:rsidR="0084291A" w:rsidRPr="0084291A">
        <w:rPr>
          <w:lang w:val="en-US"/>
        </w:rPr>
        <w:t xml:space="preserve">value of the </w:t>
      </w:r>
      <w:r w:rsidRPr="0084291A">
        <w:rPr>
          <w:lang w:val="en-US"/>
        </w:rPr>
        <w:t xml:space="preserve">total workforce in USD </w:t>
      </w:r>
      <w:r w:rsidRPr="002A127B">
        <w:rPr>
          <w:lang w:val="en-US"/>
        </w:rPr>
        <w:t>1</w:t>
      </w:r>
      <w:r>
        <w:rPr>
          <w:lang w:val="en-US"/>
        </w:rPr>
        <w:t>.</w:t>
      </w:r>
      <w:r w:rsidRPr="002A127B">
        <w:rPr>
          <w:lang w:val="en-US"/>
        </w:rPr>
        <w:t>325</w:t>
      </w:r>
      <w:r>
        <w:rPr>
          <w:lang w:val="en-US"/>
        </w:rPr>
        <w:t>.</w:t>
      </w:r>
      <w:r w:rsidRPr="002A127B">
        <w:rPr>
          <w:lang w:val="en-US"/>
        </w:rPr>
        <w:t>000</w:t>
      </w:r>
      <w:r>
        <w:rPr>
          <w:lang w:val="en-US"/>
        </w:rPr>
        <w:t>.</w:t>
      </w:r>
      <w:r w:rsidRPr="002A127B">
        <w:rPr>
          <w:lang w:val="en-US"/>
        </w:rPr>
        <w:t>000</w:t>
      </w:r>
      <w:r>
        <w:rPr>
          <w:lang w:val="en-US"/>
        </w:rPr>
        <w:t>.</w:t>
      </w:r>
    </w:p>
    <w:p w:rsidR="00E4530D" w:rsidRPr="008E5B0C" w:rsidRDefault="008E5B0C" w:rsidP="00E4530D">
      <w:pPr>
        <w:pStyle w:val="Paragraph"/>
        <w:numPr>
          <w:ilvl w:val="1"/>
          <w:numId w:val="1"/>
        </w:numPr>
        <w:spacing w:before="0" w:after="0" w:line="480" w:lineRule="auto"/>
        <w:rPr>
          <w:kern w:val="28"/>
          <w:lang w:val="en-US"/>
        </w:rPr>
      </w:pPr>
      <w:r w:rsidRPr="008E5B0C">
        <w:rPr>
          <w:kern w:val="28"/>
          <w:lang w:val="en-US"/>
        </w:rPr>
        <w:t>The following assumptio</w:t>
      </w:r>
      <w:r>
        <w:rPr>
          <w:kern w:val="28"/>
          <w:lang w:val="en-US"/>
        </w:rPr>
        <w:t xml:space="preserve">ns will be used to </w:t>
      </w:r>
      <w:r w:rsidR="00733074">
        <w:rPr>
          <w:kern w:val="28"/>
          <w:lang w:val="en-US"/>
        </w:rPr>
        <w:t>estimate</w:t>
      </w:r>
      <w:r w:rsidRPr="008E5B0C">
        <w:rPr>
          <w:kern w:val="28"/>
          <w:lang w:val="en-US"/>
        </w:rPr>
        <w:t xml:space="preserve"> costs</w:t>
      </w:r>
      <w:r w:rsidR="00E4530D" w:rsidRPr="008E5B0C">
        <w:rPr>
          <w:kern w:val="28"/>
          <w:lang w:val="en-US"/>
        </w:rPr>
        <w:t>:</w:t>
      </w:r>
    </w:p>
    <w:p w:rsidR="00E4530D" w:rsidRPr="00733074" w:rsidRDefault="00733074" w:rsidP="00E4530D">
      <w:pPr>
        <w:pStyle w:val="Vieta"/>
        <w:rPr>
          <w:lang w:val="en-US"/>
        </w:rPr>
      </w:pPr>
      <w:r w:rsidRPr="00733074">
        <w:rPr>
          <w:lang w:val="en-US"/>
        </w:rPr>
        <w:t>Costs corresponding to Component 1 are taking into account in this section</w:t>
      </w:r>
      <w:r w:rsidR="00E4530D" w:rsidRPr="00733074">
        <w:rPr>
          <w:lang w:val="en-US"/>
        </w:rPr>
        <w:t>.</w:t>
      </w:r>
    </w:p>
    <w:p w:rsidR="00E4530D" w:rsidRPr="00733074" w:rsidRDefault="00733074" w:rsidP="00E4530D">
      <w:pPr>
        <w:pStyle w:val="Vieta"/>
        <w:rPr>
          <w:lang w:val="en-US"/>
        </w:rPr>
      </w:pPr>
      <w:r w:rsidRPr="00733074">
        <w:rPr>
          <w:lang w:val="en-US"/>
        </w:rPr>
        <w:t xml:space="preserve">We </w:t>
      </w:r>
      <w:r w:rsidR="0021511C" w:rsidRPr="00733074">
        <w:rPr>
          <w:lang w:val="en-US"/>
        </w:rPr>
        <w:t>assume</w:t>
      </w:r>
      <w:r w:rsidRPr="00733074">
        <w:rPr>
          <w:lang w:val="en-US"/>
        </w:rPr>
        <w:t xml:space="preserve"> that all costs </w:t>
      </w:r>
      <w:r>
        <w:rPr>
          <w:lang w:val="en-US"/>
        </w:rPr>
        <w:t>will be</w:t>
      </w:r>
      <w:r w:rsidRPr="00733074">
        <w:rPr>
          <w:lang w:val="en-US"/>
        </w:rPr>
        <w:t xml:space="preserve"> executed in the first year</w:t>
      </w:r>
      <w:r w:rsidR="00E4530D" w:rsidRPr="00733074">
        <w:rPr>
          <w:lang w:val="en-US"/>
        </w:rPr>
        <w:t>.</w:t>
      </w:r>
    </w:p>
    <w:p w:rsidR="00E4530D" w:rsidRDefault="00733074" w:rsidP="00733074">
      <w:pPr>
        <w:pStyle w:val="Vieta"/>
        <w:rPr>
          <w:lang w:val="en-US"/>
        </w:rPr>
      </w:pPr>
      <w:r w:rsidRPr="00733074">
        <w:rPr>
          <w:lang w:val="en-US"/>
        </w:rPr>
        <w:t>The horizon from which benefits are calculated is 20 years</w:t>
      </w:r>
      <w:r w:rsidR="00E4530D" w:rsidRPr="00733074">
        <w:rPr>
          <w:lang w:val="en-US"/>
        </w:rPr>
        <w:t>.</w:t>
      </w:r>
    </w:p>
    <w:p w:rsidR="000F72A9" w:rsidRPr="00733074" w:rsidRDefault="000F72A9" w:rsidP="00733074">
      <w:pPr>
        <w:pStyle w:val="Vieta"/>
        <w:rPr>
          <w:lang w:val="en-US"/>
        </w:rPr>
      </w:pPr>
      <w:r>
        <w:rPr>
          <w:lang w:val="en-US"/>
        </w:rPr>
        <w:t>Additionally, the HRM subcomponent has an annual maintenance cost of USD 1.114.200.</w:t>
      </w:r>
    </w:p>
    <w:p w:rsidR="00E4530D" w:rsidRPr="00CB36D5" w:rsidRDefault="0021511C" w:rsidP="00E4530D">
      <w:pPr>
        <w:pStyle w:val="TitulopostI"/>
        <w:rPr>
          <w:lang w:val="en-GB"/>
        </w:rPr>
      </w:pPr>
      <w:r>
        <w:rPr>
          <w:lang w:val="en-GB"/>
        </w:rPr>
        <w:lastRenderedPageBreak/>
        <w:t>Calculations</w:t>
      </w:r>
    </w:p>
    <w:p w:rsidR="00E4530D" w:rsidRPr="00C203C2" w:rsidRDefault="00C203C2" w:rsidP="00E4530D">
      <w:pPr>
        <w:pStyle w:val="Paragraph"/>
        <w:numPr>
          <w:ilvl w:val="1"/>
          <w:numId w:val="1"/>
        </w:numPr>
        <w:spacing w:before="0" w:after="0" w:line="480" w:lineRule="auto"/>
        <w:rPr>
          <w:kern w:val="28"/>
          <w:lang w:val="en-US"/>
        </w:rPr>
      </w:pPr>
      <w:r w:rsidRPr="00C203C2">
        <w:rPr>
          <w:kern w:val="28"/>
          <w:lang w:val="en-US"/>
        </w:rPr>
        <w:t xml:space="preserve">The first step is to obtain the </w:t>
      </w:r>
      <w:r w:rsidR="006E675D">
        <w:rPr>
          <w:kern w:val="28"/>
          <w:lang w:val="en-US"/>
        </w:rPr>
        <w:t xml:space="preserve">formula for the </w:t>
      </w:r>
      <w:r w:rsidRPr="00C203C2">
        <w:rPr>
          <w:kern w:val="28"/>
          <w:lang w:val="en-US"/>
        </w:rPr>
        <w:t>an</w:t>
      </w:r>
      <w:r>
        <w:rPr>
          <w:kern w:val="28"/>
          <w:lang w:val="en-US"/>
        </w:rPr>
        <w:t>n</w:t>
      </w:r>
      <w:r w:rsidRPr="00C203C2">
        <w:rPr>
          <w:kern w:val="28"/>
          <w:lang w:val="en-US"/>
        </w:rPr>
        <w:t>ual profits</w:t>
      </w:r>
      <w:r w:rsidR="00E4530D" w:rsidRPr="00C203C2">
        <w:rPr>
          <w:kern w:val="28"/>
          <w:lang w:val="en-US"/>
        </w:rPr>
        <w:t xml:space="preserve">. </w:t>
      </w:r>
      <w:r w:rsidRPr="00C203C2">
        <w:rPr>
          <w:kern w:val="28"/>
          <w:lang w:val="en-US"/>
        </w:rPr>
        <w:t>Then, this</w:t>
      </w:r>
      <w:r w:rsidR="00E4530D" w:rsidRPr="00C203C2">
        <w:rPr>
          <w:kern w:val="28"/>
          <w:lang w:val="en-US"/>
        </w:rPr>
        <w:t xml:space="preserve"> </w:t>
      </w:r>
      <w:r w:rsidRPr="00C203C2">
        <w:rPr>
          <w:kern w:val="28"/>
          <w:lang w:val="en-US"/>
        </w:rPr>
        <w:t>formula</w:t>
      </w:r>
      <w:r w:rsidR="00E4530D" w:rsidRPr="00C203C2">
        <w:rPr>
          <w:kern w:val="28"/>
          <w:lang w:val="en-US"/>
        </w:rPr>
        <w:t xml:space="preserve"> </w:t>
      </w:r>
      <w:r w:rsidRPr="00C203C2">
        <w:rPr>
          <w:kern w:val="28"/>
          <w:lang w:val="en-US"/>
        </w:rPr>
        <w:t>will be repl</w:t>
      </w:r>
      <w:r w:rsidR="006E675D">
        <w:rPr>
          <w:kern w:val="28"/>
          <w:lang w:val="en-US"/>
        </w:rPr>
        <w:t>y</w:t>
      </w:r>
      <w:r w:rsidRPr="00C203C2">
        <w:rPr>
          <w:kern w:val="28"/>
          <w:lang w:val="en-US"/>
        </w:rPr>
        <w:t xml:space="preserve"> for each year</w:t>
      </w:r>
      <w:r w:rsidR="00E4530D" w:rsidRPr="00C203C2">
        <w:rPr>
          <w:kern w:val="28"/>
          <w:lang w:val="en-US"/>
        </w:rPr>
        <w:t xml:space="preserve"> </w:t>
      </w:r>
      <w:r w:rsidR="006E675D">
        <w:rPr>
          <w:kern w:val="28"/>
          <w:lang w:val="en-US"/>
        </w:rPr>
        <w:t>us</w:t>
      </w:r>
      <w:r w:rsidR="006E675D" w:rsidRPr="00C203C2">
        <w:rPr>
          <w:kern w:val="28"/>
          <w:lang w:val="en-US"/>
        </w:rPr>
        <w:t xml:space="preserve">ing </w:t>
      </w:r>
      <w:r w:rsidRPr="00C203C2">
        <w:rPr>
          <w:kern w:val="28"/>
          <w:lang w:val="en-US"/>
        </w:rPr>
        <w:t xml:space="preserve">the </w:t>
      </w:r>
      <w:r w:rsidR="00E4530D" w:rsidRPr="00C203C2">
        <w:rPr>
          <w:kern w:val="28"/>
          <w:lang w:val="en-US"/>
        </w:rPr>
        <w:t>12%</w:t>
      </w:r>
      <w:r>
        <w:rPr>
          <w:kern w:val="28"/>
          <w:lang w:val="en-US"/>
        </w:rPr>
        <w:t xml:space="preserve"> discount rate</w:t>
      </w:r>
      <w:r w:rsidR="00E4530D" w:rsidRPr="00C203C2">
        <w:rPr>
          <w:kern w:val="28"/>
          <w:lang w:val="en-US"/>
        </w:rPr>
        <w:t>.</w:t>
      </w:r>
    </w:p>
    <w:p w:rsidR="00E4530D" w:rsidRPr="00C203C2" w:rsidRDefault="00C203C2" w:rsidP="00E4530D">
      <w:pPr>
        <w:pStyle w:val="Paragraph"/>
        <w:numPr>
          <w:ilvl w:val="1"/>
          <w:numId w:val="1"/>
        </w:numPr>
        <w:spacing w:before="0" w:after="0" w:line="480" w:lineRule="auto"/>
        <w:rPr>
          <w:kern w:val="28"/>
          <w:lang w:val="en-US"/>
        </w:rPr>
      </w:pPr>
      <w:r w:rsidRPr="00C203C2">
        <w:rPr>
          <w:kern w:val="28"/>
          <w:lang w:val="en-US"/>
        </w:rPr>
        <w:t xml:space="preserve">To estimate the total benefits </w:t>
      </w:r>
      <w:r w:rsidR="006E675D">
        <w:rPr>
          <w:kern w:val="28"/>
          <w:lang w:val="en-US"/>
        </w:rPr>
        <w:t>we consider</w:t>
      </w:r>
      <w:r w:rsidRPr="00C203C2">
        <w:rPr>
          <w:kern w:val="28"/>
          <w:lang w:val="en-US"/>
        </w:rPr>
        <w:t xml:space="preserve"> </w:t>
      </w:r>
      <w:r w:rsidR="006E675D">
        <w:rPr>
          <w:kern w:val="28"/>
          <w:lang w:val="en-US"/>
        </w:rPr>
        <w:t>a</w:t>
      </w:r>
      <w:r w:rsidRPr="00C203C2">
        <w:rPr>
          <w:kern w:val="28"/>
          <w:lang w:val="en-US"/>
        </w:rPr>
        <w:t xml:space="preserve"> 20 years horizon</w:t>
      </w:r>
      <w:r w:rsidR="00E4530D" w:rsidRPr="00C203C2">
        <w:rPr>
          <w:kern w:val="28"/>
          <w:lang w:val="en-US"/>
        </w:rPr>
        <w:t xml:space="preserve">. </w:t>
      </w:r>
      <w:r w:rsidRPr="00C203C2">
        <w:rPr>
          <w:kern w:val="28"/>
          <w:lang w:val="en-US"/>
        </w:rPr>
        <w:t>Then, using the 12% discount rate to obtain present values, the foll</w:t>
      </w:r>
      <w:r w:rsidR="009838F6">
        <w:rPr>
          <w:kern w:val="28"/>
          <w:lang w:val="en-US"/>
        </w:rPr>
        <w:t>ow</w:t>
      </w:r>
      <w:r w:rsidRPr="00C203C2">
        <w:rPr>
          <w:kern w:val="28"/>
          <w:lang w:val="en-US"/>
        </w:rPr>
        <w:t xml:space="preserve">ing formula can be derived </w:t>
      </w:r>
      <w:r w:rsidR="00E4530D" w:rsidRPr="00C203C2">
        <w:rPr>
          <w:kern w:val="28"/>
          <w:lang w:val="en-US"/>
        </w:rPr>
        <w:t>:</w:t>
      </w:r>
    </w:p>
    <w:p w:rsidR="00E4530D" w:rsidRPr="00CB36D5" w:rsidRDefault="00C94081" w:rsidP="00E4530D">
      <w:pPr>
        <w:spacing w:after="0" w:line="480" w:lineRule="auto"/>
        <w:ind w:left="567" w:hanging="567"/>
        <w:jc w:val="both"/>
        <w:rPr>
          <w:rFonts w:ascii="Times New Roman" w:hAnsi="Times New Roman"/>
          <w:szCs w:val="24"/>
        </w:rPr>
      </w:pPr>
      <m:oMathPara>
        <m:oMath>
          <m:sSub>
            <m:sSubPr>
              <m:ctrlPr>
                <w:rPr>
                  <w:rFonts w:ascii="Cambria Math" w:hAnsi="Cambria Math"/>
                  <w:i/>
                  <w:szCs w:val="24"/>
                </w:rPr>
              </m:ctrlPr>
            </m:sSubPr>
            <m:e>
              <m:r>
                <w:rPr>
                  <w:rFonts w:ascii="Cambria Math" w:hAnsi="Cambria Math"/>
                  <w:szCs w:val="24"/>
                </w:rPr>
                <m:t>B</m:t>
              </m:r>
            </m:e>
            <m:sub>
              <m:r>
                <w:rPr>
                  <w:rFonts w:ascii="Cambria Math" w:hAnsi="Cambria Math"/>
                  <w:szCs w:val="24"/>
                </w:rPr>
                <m:t>tHRM</m:t>
              </m:r>
            </m:sub>
          </m:sSub>
          <m:r>
            <w:rPr>
              <w:rFonts w:ascii="Cambria Math" w:hAnsi="Cambria Math"/>
              <w:szCs w:val="24"/>
            </w:rPr>
            <m:t>=</m:t>
          </m:r>
          <m:nary>
            <m:naryPr>
              <m:chr m:val="∑"/>
              <m:limLoc m:val="undOvr"/>
              <m:ctrlPr>
                <w:rPr>
                  <w:rFonts w:ascii="Cambria Math" w:hAnsi="Cambria Math"/>
                  <w:i/>
                  <w:szCs w:val="24"/>
                </w:rPr>
              </m:ctrlPr>
            </m:naryPr>
            <m:sub>
              <m:r>
                <w:rPr>
                  <w:rFonts w:ascii="Cambria Math" w:hAnsi="Cambria Math"/>
                  <w:szCs w:val="24"/>
                </w:rPr>
                <m:t>t=1</m:t>
              </m:r>
            </m:sub>
            <m:sup>
              <m:r>
                <w:rPr>
                  <w:rFonts w:ascii="Cambria Math" w:hAnsi="Cambria Math"/>
                  <w:szCs w:val="24"/>
                </w:rPr>
                <m:t>20</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B</m:t>
                      </m:r>
                    </m:e>
                    <m:sub>
                      <m:r>
                        <w:rPr>
                          <w:rFonts w:ascii="Cambria Math" w:hAnsi="Cambria Math"/>
                          <w:szCs w:val="24"/>
                        </w:rPr>
                        <m:t>t</m:t>
                      </m:r>
                    </m:sub>
                  </m:sSub>
                </m:num>
                <m:den>
                  <m:sSup>
                    <m:sSupPr>
                      <m:ctrlPr>
                        <w:rPr>
                          <w:rFonts w:ascii="Cambria Math" w:hAnsi="Cambria Math"/>
                          <w:i/>
                          <w:szCs w:val="24"/>
                        </w:rPr>
                      </m:ctrlPr>
                    </m:sSupPr>
                    <m:e>
                      <m:r>
                        <w:rPr>
                          <w:rFonts w:ascii="Cambria Math" w:hAnsi="Cambria Math"/>
                          <w:szCs w:val="24"/>
                        </w:rPr>
                        <m:t>1,12</m:t>
                      </m:r>
                    </m:e>
                    <m:sup>
                      <m:r>
                        <w:rPr>
                          <w:rFonts w:ascii="Cambria Math" w:hAnsi="Cambria Math"/>
                          <w:szCs w:val="24"/>
                        </w:rPr>
                        <m:t>t</m:t>
                      </m:r>
                    </m:sup>
                  </m:sSup>
                </m:den>
              </m:f>
            </m:e>
          </m:nary>
          <m:r>
            <w:rPr>
              <w:rFonts w:ascii="Cambria Math" w:hAnsi="Cambria Math"/>
              <w:szCs w:val="24"/>
            </w:rPr>
            <m:t>,</m:t>
          </m:r>
        </m:oMath>
      </m:oMathPara>
    </w:p>
    <w:p w:rsidR="00E4530D" w:rsidRPr="00C203C2" w:rsidRDefault="00E4530D" w:rsidP="00E4530D">
      <w:pPr>
        <w:pStyle w:val="Paragraph"/>
        <w:numPr>
          <w:ilvl w:val="0"/>
          <w:numId w:val="0"/>
        </w:numPr>
        <w:spacing w:before="0" w:after="0" w:line="480" w:lineRule="auto"/>
        <w:ind w:left="567" w:hanging="567"/>
        <w:rPr>
          <w:kern w:val="28"/>
          <w:lang w:val="en-US"/>
        </w:rPr>
      </w:pPr>
      <w:r w:rsidRPr="00CB36D5">
        <w:rPr>
          <w:szCs w:val="24"/>
          <w:lang w:val="en-GB"/>
        </w:rPr>
        <w:tab/>
      </w:r>
      <w:r w:rsidR="00C203C2" w:rsidRPr="00C203C2">
        <w:rPr>
          <w:szCs w:val="24"/>
          <w:lang w:val="en-US"/>
        </w:rPr>
        <w:t>Where</w:t>
      </w:r>
      <w:r w:rsidRPr="00C203C2">
        <w:rPr>
          <w:szCs w:val="24"/>
          <w:lang w:val="en-US"/>
        </w:rPr>
        <w:t xml:space="preserve"> </w:t>
      </w:r>
      <m:oMath>
        <m:r>
          <w:rPr>
            <w:rFonts w:ascii="Cambria Math" w:hAnsi="Cambria Math"/>
            <w:szCs w:val="24"/>
          </w:rPr>
          <m:t>HRM</m:t>
        </m:r>
      </m:oMath>
      <w:r w:rsidRPr="00C203C2">
        <w:rPr>
          <w:i/>
          <w:szCs w:val="24"/>
          <w:lang w:val="en-US"/>
        </w:rPr>
        <w:t xml:space="preserve"> </w:t>
      </w:r>
      <w:r w:rsidR="00C203C2">
        <w:rPr>
          <w:szCs w:val="24"/>
          <w:lang w:val="en-US"/>
        </w:rPr>
        <w:t>refers</w:t>
      </w:r>
      <w:r w:rsidR="00C203C2" w:rsidRPr="00C203C2">
        <w:rPr>
          <w:szCs w:val="24"/>
          <w:lang w:val="en-US"/>
        </w:rPr>
        <w:t xml:space="preserve"> to Human Resources Management Subcomponent</w:t>
      </w:r>
      <w:r w:rsidRPr="00C203C2">
        <w:rPr>
          <w:szCs w:val="24"/>
          <w:lang w:val="en-US"/>
        </w:rPr>
        <w:t xml:space="preserve">, </w:t>
      </w:r>
      <m:oMath>
        <m:r>
          <w:rPr>
            <w:rFonts w:ascii="Cambria Math" w:hAnsi="Cambria Math"/>
            <w:szCs w:val="24"/>
            <w:lang w:val="en-GB"/>
          </w:rPr>
          <m:t>B</m:t>
        </m:r>
      </m:oMath>
      <w:r w:rsidR="00C203C2" w:rsidRPr="00C203C2">
        <w:rPr>
          <w:szCs w:val="24"/>
          <w:lang w:val="en-US"/>
        </w:rPr>
        <w:t xml:space="preserve"> denote</w:t>
      </w:r>
      <w:r w:rsidR="00B439ED">
        <w:rPr>
          <w:szCs w:val="24"/>
          <w:lang w:val="en-US"/>
        </w:rPr>
        <w:t>s</w:t>
      </w:r>
      <w:r w:rsidRPr="00C203C2">
        <w:rPr>
          <w:szCs w:val="24"/>
          <w:lang w:val="en-US"/>
        </w:rPr>
        <w:t xml:space="preserve"> benef</w:t>
      </w:r>
      <w:r w:rsidR="00C203C2" w:rsidRPr="00C203C2">
        <w:rPr>
          <w:szCs w:val="24"/>
          <w:lang w:val="en-US"/>
        </w:rPr>
        <w:t>its</w:t>
      </w:r>
      <w:r w:rsidR="006E675D">
        <w:rPr>
          <w:szCs w:val="24"/>
          <w:lang w:val="en-US"/>
        </w:rPr>
        <w:t>,</w:t>
      </w:r>
      <w:r w:rsidR="00C203C2">
        <w:rPr>
          <w:szCs w:val="24"/>
          <w:lang w:val="en-US"/>
        </w:rPr>
        <w:t xml:space="preserve"> and</w:t>
      </w:r>
      <w:r w:rsidRPr="00C203C2">
        <w:rPr>
          <w:szCs w:val="24"/>
          <w:lang w:val="en-US"/>
        </w:rPr>
        <w:t xml:space="preserve"> </w:t>
      </w:r>
      <m:oMath>
        <m:r>
          <w:rPr>
            <w:rFonts w:ascii="Cambria Math" w:hAnsi="Cambria Math"/>
            <w:szCs w:val="24"/>
            <w:lang w:val="en-GB"/>
          </w:rPr>
          <m:t>t</m:t>
        </m:r>
      </m:oMath>
      <w:r w:rsidRPr="00C203C2">
        <w:rPr>
          <w:szCs w:val="24"/>
          <w:lang w:val="en-US"/>
        </w:rPr>
        <w:t xml:space="preserve"> </w:t>
      </w:r>
      <w:r w:rsidR="00C203C2">
        <w:rPr>
          <w:szCs w:val="24"/>
          <w:lang w:val="en-US"/>
        </w:rPr>
        <w:t>represent</w:t>
      </w:r>
      <w:r w:rsidR="00B439ED">
        <w:rPr>
          <w:szCs w:val="24"/>
          <w:lang w:val="en-US"/>
        </w:rPr>
        <w:t>s</w:t>
      </w:r>
      <w:r w:rsidR="00C203C2">
        <w:rPr>
          <w:szCs w:val="24"/>
          <w:lang w:val="en-US"/>
        </w:rPr>
        <w:t xml:space="preserve"> the current year</w:t>
      </w:r>
      <w:r w:rsidRPr="00C203C2">
        <w:rPr>
          <w:szCs w:val="24"/>
          <w:lang w:val="en-US"/>
        </w:rPr>
        <w:t xml:space="preserve">. </w:t>
      </w:r>
    </w:p>
    <w:p w:rsidR="00E4530D" w:rsidRPr="00CB36D5" w:rsidRDefault="00C203C2" w:rsidP="00E4530D">
      <w:pPr>
        <w:pStyle w:val="Paragraph"/>
        <w:numPr>
          <w:ilvl w:val="1"/>
          <w:numId w:val="8"/>
        </w:numPr>
        <w:spacing w:before="0" w:after="0" w:line="480" w:lineRule="auto"/>
        <w:rPr>
          <w:szCs w:val="24"/>
          <w:lang w:val="en-GB"/>
        </w:rPr>
      </w:pPr>
      <w:r w:rsidRPr="00C203C2">
        <w:rPr>
          <w:szCs w:val="24"/>
          <w:lang w:val="en-US"/>
        </w:rPr>
        <w:t>The program costs are calcula</w:t>
      </w:r>
      <w:r w:rsidR="00B439ED">
        <w:rPr>
          <w:szCs w:val="24"/>
          <w:lang w:val="en-US"/>
        </w:rPr>
        <w:t xml:space="preserve">ted as the present value of all </w:t>
      </w:r>
      <w:r w:rsidRPr="00C203C2">
        <w:rPr>
          <w:szCs w:val="24"/>
          <w:lang w:val="en-US"/>
        </w:rPr>
        <w:t>expenditures of the project</w:t>
      </w:r>
      <w:r w:rsidR="00E4530D" w:rsidRPr="00C203C2">
        <w:rPr>
          <w:szCs w:val="24"/>
          <w:lang w:val="en-US"/>
        </w:rPr>
        <w:t xml:space="preserve">. </w:t>
      </w:r>
      <w:r w:rsidR="00B439ED">
        <w:rPr>
          <w:szCs w:val="24"/>
          <w:lang w:val="en-GB"/>
        </w:rPr>
        <w:t>The used formula is</w:t>
      </w:r>
      <w:r w:rsidR="00E4530D" w:rsidRPr="00CB36D5">
        <w:rPr>
          <w:szCs w:val="24"/>
          <w:lang w:val="en-GB"/>
        </w:rPr>
        <w:t>:</w:t>
      </w:r>
    </w:p>
    <w:p w:rsidR="00E4530D" w:rsidRPr="00CB36D5" w:rsidRDefault="00C94081" w:rsidP="00E4530D">
      <w:pPr>
        <w:spacing w:after="0" w:line="480" w:lineRule="auto"/>
        <w:ind w:left="567" w:hanging="567"/>
        <w:jc w:val="center"/>
        <w:rPr>
          <w:rFonts w:ascii="Times New Roman" w:hAnsi="Times New Roman"/>
          <w:sz w:val="24"/>
          <w:szCs w:val="24"/>
        </w:rPr>
      </w:pPr>
      <m:oMathPara>
        <m:oMath>
          <m:sSub>
            <m:sSubPr>
              <m:ctrlPr>
                <w:rPr>
                  <w:rFonts w:ascii="Cambria Math" w:hAnsi="Cambria Math"/>
                  <w:i/>
                </w:rPr>
              </m:ctrlPr>
            </m:sSubPr>
            <m:e>
              <m:r>
                <w:rPr>
                  <w:rFonts w:ascii="Cambria Math" w:hAnsi="Cambria Math"/>
                </w:rPr>
                <m:t>Co</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t=1</m:t>
              </m:r>
            </m:sub>
            <m:sup>
              <m:r>
                <w:rPr>
                  <w:rFonts w:ascii="Cambria Math" w:hAnsi="Cambria Math"/>
                </w:rPr>
                <m:t>3</m:t>
              </m:r>
            </m:sup>
            <m:e>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t</m:t>
                      </m:r>
                    </m:sub>
                  </m:sSub>
                </m:num>
                <m:den>
                  <m:sSup>
                    <m:sSupPr>
                      <m:ctrlPr>
                        <w:rPr>
                          <w:rFonts w:ascii="Cambria Math" w:hAnsi="Cambria Math"/>
                          <w:i/>
                        </w:rPr>
                      </m:ctrlPr>
                    </m:sSupPr>
                    <m:e>
                      <m:r>
                        <w:rPr>
                          <w:rFonts w:ascii="Cambria Math" w:hAnsi="Cambria Math"/>
                        </w:rPr>
                        <m:t>1,12</m:t>
                      </m:r>
                    </m:e>
                    <m:sup>
                      <m:r>
                        <w:rPr>
                          <w:rFonts w:ascii="Cambria Math" w:hAnsi="Cambria Math"/>
                        </w:rPr>
                        <m:t>t</m:t>
                      </m:r>
                    </m:sup>
                  </m:sSup>
                </m:den>
              </m:f>
            </m:e>
          </m:nary>
          <m:r>
            <w:rPr>
              <w:rFonts w:ascii="Cambria Math" w:hAnsi="Cambria Math"/>
            </w:rPr>
            <m:t>,</m:t>
          </m:r>
        </m:oMath>
      </m:oMathPara>
    </w:p>
    <w:p w:rsidR="00E4530D" w:rsidRPr="00B439ED" w:rsidRDefault="00E4530D" w:rsidP="00E4530D">
      <w:pPr>
        <w:spacing w:after="0" w:line="480" w:lineRule="auto"/>
        <w:ind w:left="567" w:hanging="567"/>
        <w:jc w:val="both"/>
        <w:rPr>
          <w:rFonts w:ascii="Times New Roman" w:hAnsi="Times New Roman"/>
          <w:sz w:val="24"/>
          <w:lang w:val="en-US"/>
        </w:rPr>
      </w:pPr>
      <w:r w:rsidRPr="00CB36D5">
        <w:rPr>
          <w:rFonts w:ascii="Times New Roman" w:hAnsi="Times New Roman"/>
          <w:sz w:val="24"/>
        </w:rPr>
        <w:tab/>
      </w:r>
      <w:r w:rsidR="006E675D">
        <w:rPr>
          <w:rFonts w:ascii="Times New Roman" w:hAnsi="Times New Roman"/>
          <w:sz w:val="24"/>
          <w:lang w:val="en-US"/>
        </w:rPr>
        <w:t>w</w:t>
      </w:r>
      <w:r w:rsidR="00B439ED" w:rsidRPr="00B439ED">
        <w:rPr>
          <w:rFonts w:ascii="Times New Roman" w:hAnsi="Times New Roman"/>
          <w:sz w:val="24"/>
          <w:lang w:val="en-US"/>
        </w:rPr>
        <w:t>here</w:t>
      </w:r>
      <w:r w:rsidRPr="00B439ED">
        <w:rPr>
          <w:rFonts w:ascii="Times New Roman" w:hAnsi="Times New Roman"/>
          <w:sz w:val="24"/>
          <w:lang w:val="en-US"/>
        </w:rPr>
        <w:t xml:space="preserve"> g </w:t>
      </w:r>
      <w:r w:rsidR="00B439ED">
        <w:rPr>
          <w:rFonts w:ascii="Times New Roman" w:hAnsi="Times New Roman"/>
          <w:sz w:val="24"/>
          <w:lang w:val="en-US"/>
        </w:rPr>
        <w:t xml:space="preserve">is </w:t>
      </w:r>
      <w:r w:rsidR="00B439ED" w:rsidRPr="00B439ED">
        <w:rPr>
          <w:rFonts w:ascii="Times New Roman" w:hAnsi="Times New Roman"/>
          <w:sz w:val="24"/>
          <w:lang w:val="en-US"/>
        </w:rPr>
        <w:t>the expenditure for the Human Resources Management Subcomponent</w:t>
      </w:r>
      <w:r w:rsidRPr="00B439ED">
        <w:rPr>
          <w:rFonts w:ascii="Times New Roman" w:hAnsi="Times New Roman"/>
          <w:sz w:val="24"/>
          <w:lang w:val="en-US"/>
        </w:rPr>
        <w:t xml:space="preserve"> (</w:t>
      </w:r>
      <w:r w:rsidR="00B439ED" w:rsidRPr="00B439ED">
        <w:rPr>
          <w:rFonts w:ascii="Times New Roman" w:hAnsi="Times New Roman"/>
          <w:sz w:val="24"/>
          <w:lang w:val="en-US"/>
        </w:rPr>
        <w:t>taking into account ICT)</w:t>
      </w:r>
      <w:r w:rsidR="00B439ED">
        <w:rPr>
          <w:rFonts w:ascii="Times New Roman" w:hAnsi="Times New Roman"/>
          <w:sz w:val="24"/>
          <w:lang w:val="en-US"/>
        </w:rPr>
        <w:t xml:space="preserve"> </w:t>
      </w:r>
      <w:r w:rsidR="00B439ED" w:rsidRPr="00B439ED">
        <w:rPr>
          <w:rFonts w:ascii="Times New Roman" w:hAnsi="Times New Roman"/>
          <w:sz w:val="24"/>
          <w:lang w:val="en-US"/>
        </w:rPr>
        <w:t>and</w:t>
      </w:r>
      <w:r w:rsidR="00B439ED">
        <w:rPr>
          <w:rFonts w:ascii="Times New Roman" w:hAnsi="Times New Roman"/>
          <w:sz w:val="24"/>
          <w:lang w:val="en-US"/>
        </w:rPr>
        <w:t xml:space="preserve"> t denotes</w:t>
      </w:r>
      <w:r w:rsidRPr="00B439ED">
        <w:rPr>
          <w:rFonts w:ascii="Times New Roman" w:hAnsi="Times New Roman"/>
          <w:sz w:val="24"/>
          <w:lang w:val="en-US"/>
        </w:rPr>
        <w:t xml:space="preserve"> </w:t>
      </w:r>
      <w:r w:rsidR="00B439ED">
        <w:rPr>
          <w:rFonts w:ascii="Times New Roman" w:hAnsi="Times New Roman"/>
          <w:sz w:val="24"/>
          <w:lang w:val="en-US"/>
        </w:rPr>
        <w:t>the current year</w:t>
      </w:r>
      <w:r w:rsidRPr="00B439ED">
        <w:rPr>
          <w:rFonts w:ascii="Times New Roman" w:hAnsi="Times New Roman"/>
          <w:sz w:val="24"/>
          <w:lang w:val="en-US"/>
        </w:rPr>
        <w:t xml:space="preserve">. </w:t>
      </w:r>
      <w:r w:rsidR="00B439ED" w:rsidRPr="00B439ED">
        <w:rPr>
          <w:rFonts w:ascii="Times New Roman" w:hAnsi="Times New Roman"/>
          <w:sz w:val="24"/>
          <w:lang w:val="en-US"/>
        </w:rPr>
        <w:t>The annual cost is USD18</w:t>
      </w:r>
      <w:r w:rsidR="008E32CF">
        <w:rPr>
          <w:rFonts w:ascii="Times New Roman" w:hAnsi="Times New Roman"/>
          <w:sz w:val="24"/>
          <w:lang w:val="en-US"/>
        </w:rPr>
        <w:t>.</w:t>
      </w:r>
      <w:r w:rsidR="00B439ED" w:rsidRPr="00B439ED">
        <w:rPr>
          <w:rFonts w:ascii="Times New Roman" w:hAnsi="Times New Roman"/>
          <w:sz w:val="24"/>
          <w:lang w:val="en-US"/>
        </w:rPr>
        <w:t>000</w:t>
      </w:r>
      <w:r w:rsidR="008E32CF">
        <w:rPr>
          <w:rFonts w:ascii="Times New Roman" w:hAnsi="Times New Roman"/>
          <w:sz w:val="24"/>
          <w:lang w:val="en-US"/>
        </w:rPr>
        <w:t>.</w:t>
      </w:r>
      <w:r w:rsidR="00B439ED" w:rsidRPr="00B439ED">
        <w:rPr>
          <w:rFonts w:ascii="Times New Roman" w:hAnsi="Times New Roman"/>
          <w:sz w:val="24"/>
          <w:lang w:val="en-US"/>
        </w:rPr>
        <w:t xml:space="preserve">000 for the first year, and </w:t>
      </w:r>
      <w:r w:rsidR="000F72A9">
        <w:rPr>
          <w:rFonts w:ascii="Times New Roman" w:hAnsi="Times New Roman"/>
          <w:sz w:val="24"/>
          <w:lang w:val="en-US"/>
        </w:rPr>
        <w:t>the maintenance cost in the rest</w:t>
      </w:r>
      <w:r w:rsidR="00B439ED" w:rsidRPr="00B439ED">
        <w:rPr>
          <w:rFonts w:ascii="Times New Roman" w:hAnsi="Times New Roman"/>
          <w:sz w:val="24"/>
          <w:lang w:val="en-US"/>
        </w:rPr>
        <w:t>.</w:t>
      </w:r>
    </w:p>
    <w:tbl>
      <w:tblPr>
        <w:tblW w:w="8505" w:type="dxa"/>
        <w:tblInd w:w="675" w:type="dxa"/>
        <w:tblLayout w:type="fixed"/>
        <w:tblLook w:val="04A0" w:firstRow="1" w:lastRow="0" w:firstColumn="1" w:lastColumn="0" w:noHBand="0" w:noVBand="1"/>
      </w:tblPr>
      <w:tblGrid>
        <w:gridCol w:w="284"/>
        <w:gridCol w:w="4111"/>
        <w:gridCol w:w="1417"/>
        <w:gridCol w:w="2693"/>
      </w:tblGrid>
      <w:tr w:rsidR="00E4530D" w:rsidRPr="00B439ED" w:rsidTr="00E4530D">
        <w:trPr>
          <w:trHeight w:val="280"/>
        </w:trPr>
        <w:tc>
          <w:tcPr>
            <w:tcW w:w="8505" w:type="dxa"/>
            <w:gridSpan w:val="4"/>
            <w:tcBorders>
              <w:top w:val="nil"/>
              <w:left w:val="nil"/>
              <w:bottom w:val="single" w:sz="4" w:space="0" w:color="auto"/>
              <w:right w:val="nil"/>
            </w:tcBorders>
            <w:shd w:val="clear" w:color="auto" w:fill="auto"/>
            <w:noWrap/>
            <w:vAlign w:val="bottom"/>
            <w:hideMark/>
          </w:tcPr>
          <w:p w:rsidR="00E4530D" w:rsidRPr="00B439ED" w:rsidRDefault="000D00D4" w:rsidP="00B439ED">
            <w:pPr>
              <w:pStyle w:val="TituloTabla"/>
              <w:rPr>
                <w:lang w:val="en-US"/>
              </w:rPr>
            </w:pPr>
            <w:r w:rsidRPr="00B540C1">
              <w:rPr>
                <w:lang w:val="en-US"/>
              </w:rPr>
              <w:t>Table</w:t>
            </w:r>
            <w:r w:rsidR="00E4530D" w:rsidRPr="00F535A5">
              <w:rPr>
                <w:lang w:val="en-US"/>
              </w:rPr>
              <w:t xml:space="preserve"> 1. </w:t>
            </w:r>
            <w:r w:rsidR="00B439ED" w:rsidRPr="00B439ED">
              <w:rPr>
                <w:lang w:val="en-US"/>
              </w:rPr>
              <w:t>Calculus of the monetary value in</w:t>
            </w:r>
            <w:r w:rsidR="00E4530D" w:rsidRPr="00B439ED">
              <w:rPr>
                <w:lang w:val="en-US"/>
              </w:rPr>
              <w:t xml:space="preserve"> USD </w:t>
            </w:r>
            <w:r w:rsidR="00B439ED" w:rsidRPr="00B439ED">
              <w:rPr>
                <w:lang w:val="en-US"/>
              </w:rPr>
              <w:t xml:space="preserve">of the annual benefits </w:t>
            </w:r>
            <w:r w:rsidR="00B439ED">
              <w:rPr>
                <w:lang w:val="en-US"/>
              </w:rPr>
              <w:t xml:space="preserve"> derives from the Human Resources Management Subcomponent </w:t>
            </w:r>
          </w:p>
        </w:tc>
      </w:tr>
      <w:tr w:rsidR="00E4530D" w:rsidRPr="004F3AE4" w:rsidTr="008E32CF">
        <w:trPr>
          <w:trHeight w:val="280"/>
        </w:trPr>
        <w:tc>
          <w:tcPr>
            <w:tcW w:w="284" w:type="dxa"/>
            <w:tcBorders>
              <w:top w:val="nil"/>
              <w:left w:val="nil"/>
              <w:bottom w:val="nil"/>
              <w:right w:val="nil"/>
            </w:tcBorders>
            <w:shd w:val="clear" w:color="auto" w:fill="auto"/>
            <w:noWrap/>
            <w:vAlign w:val="center"/>
            <w:hideMark/>
          </w:tcPr>
          <w:p w:rsidR="00E4530D" w:rsidRPr="00CB36D5" w:rsidRDefault="00E4530D" w:rsidP="00E4530D">
            <w:pPr>
              <w:spacing w:after="0" w:line="240" w:lineRule="auto"/>
              <w:ind w:left="567" w:hanging="567"/>
              <w:jc w:val="right"/>
              <w:rPr>
                <w:rFonts w:ascii="Times New Roman" w:eastAsia="Times New Roman" w:hAnsi="Times New Roman"/>
                <w:color w:val="000000"/>
              </w:rPr>
            </w:pPr>
            <w:r w:rsidRPr="00CB36D5">
              <w:rPr>
                <w:rFonts w:ascii="Times New Roman" w:eastAsia="Times New Roman" w:hAnsi="Times New Roman"/>
                <w:color w:val="000000"/>
              </w:rPr>
              <w:t>1</w:t>
            </w:r>
          </w:p>
        </w:tc>
        <w:tc>
          <w:tcPr>
            <w:tcW w:w="4111" w:type="dxa"/>
            <w:tcBorders>
              <w:top w:val="nil"/>
              <w:left w:val="nil"/>
              <w:bottom w:val="nil"/>
              <w:right w:val="single" w:sz="4" w:space="0" w:color="auto"/>
            </w:tcBorders>
            <w:shd w:val="clear" w:color="auto" w:fill="auto"/>
            <w:noWrap/>
            <w:vAlign w:val="center"/>
          </w:tcPr>
          <w:p w:rsidR="00E4530D" w:rsidRPr="000D00D4" w:rsidRDefault="000D00D4" w:rsidP="000D00D4">
            <w:pPr>
              <w:spacing w:after="0" w:line="240" w:lineRule="auto"/>
              <w:ind w:left="567" w:hanging="567"/>
              <w:rPr>
                <w:rFonts w:ascii="Times New Roman" w:eastAsia="Times New Roman" w:hAnsi="Times New Roman"/>
                <w:b/>
                <w:bCs/>
                <w:color w:val="000000"/>
                <w:lang w:val="en-US"/>
              </w:rPr>
            </w:pPr>
            <w:r>
              <w:rPr>
                <w:rFonts w:ascii="Times New Roman" w:eastAsia="Times New Roman" w:hAnsi="Times New Roman"/>
                <w:color w:val="000000"/>
                <w:lang w:val="en-US"/>
              </w:rPr>
              <w:t>A</w:t>
            </w:r>
            <w:r w:rsidRPr="000D00D4">
              <w:rPr>
                <w:rFonts w:ascii="Times New Roman" w:eastAsia="Times New Roman" w:hAnsi="Times New Roman"/>
                <w:color w:val="000000"/>
                <w:lang w:val="en-US"/>
              </w:rPr>
              <w:t xml:space="preserve">verage annual salary for the </w:t>
            </w:r>
            <w:r>
              <w:rPr>
                <w:rFonts w:ascii="Times New Roman" w:eastAsia="Times New Roman" w:hAnsi="Times New Roman"/>
                <w:color w:val="000000"/>
                <w:lang w:val="en-US"/>
              </w:rPr>
              <w:t xml:space="preserve">HR </w:t>
            </w:r>
            <w:r w:rsidRPr="000D00D4">
              <w:rPr>
                <w:rFonts w:ascii="Times New Roman" w:eastAsia="Times New Roman" w:hAnsi="Times New Roman"/>
                <w:color w:val="000000"/>
                <w:lang w:val="en-US"/>
              </w:rPr>
              <w:t>Sector</w:t>
            </w:r>
            <w:r>
              <w:rPr>
                <w:rFonts w:ascii="Times New Roman" w:eastAsia="Times New Roman" w:hAnsi="Times New Roman"/>
                <w:color w:val="000000"/>
                <w:lang w:val="en-US"/>
              </w:rPr>
              <w:t xml:space="preserve"> USD</w:t>
            </w:r>
          </w:p>
        </w:tc>
        <w:tc>
          <w:tcPr>
            <w:tcW w:w="1417" w:type="dxa"/>
            <w:tcBorders>
              <w:top w:val="nil"/>
              <w:left w:val="nil"/>
              <w:bottom w:val="nil"/>
              <w:right w:val="single" w:sz="4" w:space="0" w:color="auto"/>
            </w:tcBorders>
            <w:shd w:val="clear" w:color="auto" w:fill="auto"/>
            <w:noWrap/>
            <w:vAlign w:val="center"/>
            <w:hideMark/>
          </w:tcPr>
          <w:p w:rsidR="00E4530D" w:rsidRPr="00CB36D5" w:rsidRDefault="000D00D4" w:rsidP="00E4530D">
            <w:pPr>
              <w:spacing w:after="0" w:line="240" w:lineRule="auto"/>
              <w:ind w:left="567" w:hanging="567"/>
              <w:jc w:val="right"/>
              <w:rPr>
                <w:rFonts w:ascii="Times New Roman" w:eastAsia="Times New Roman" w:hAnsi="Times New Roman"/>
                <w:color w:val="000000"/>
              </w:rPr>
            </w:pPr>
            <w:r>
              <w:rPr>
                <w:rFonts w:ascii="Times New Roman" w:eastAsia="Times New Roman" w:hAnsi="Times New Roman"/>
                <w:color w:val="000000"/>
              </w:rPr>
              <w:t>9.000</w:t>
            </w:r>
          </w:p>
        </w:tc>
        <w:tc>
          <w:tcPr>
            <w:tcW w:w="2693" w:type="dxa"/>
            <w:tcBorders>
              <w:top w:val="nil"/>
              <w:left w:val="nil"/>
              <w:bottom w:val="nil"/>
              <w:right w:val="nil"/>
            </w:tcBorders>
            <w:shd w:val="clear" w:color="auto" w:fill="auto"/>
            <w:noWrap/>
            <w:vAlign w:val="center"/>
            <w:hideMark/>
          </w:tcPr>
          <w:p w:rsidR="00E4530D" w:rsidRPr="009236BA" w:rsidRDefault="000D00D4" w:rsidP="008E32CF">
            <w:pPr>
              <w:pStyle w:val="Entabla"/>
            </w:pPr>
            <w:r>
              <w:t>PayScale.com</w:t>
            </w:r>
          </w:p>
        </w:tc>
      </w:tr>
      <w:tr w:rsidR="00E4530D" w:rsidRPr="004F3AE4" w:rsidTr="008E32CF">
        <w:trPr>
          <w:trHeight w:val="293"/>
        </w:trPr>
        <w:tc>
          <w:tcPr>
            <w:tcW w:w="284" w:type="dxa"/>
            <w:tcBorders>
              <w:top w:val="nil"/>
              <w:left w:val="nil"/>
              <w:bottom w:val="nil"/>
              <w:right w:val="nil"/>
            </w:tcBorders>
            <w:shd w:val="clear" w:color="auto" w:fill="auto"/>
            <w:noWrap/>
            <w:vAlign w:val="center"/>
            <w:hideMark/>
          </w:tcPr>
          <w:p w:rsidR="00E4530D" w:rsidRPr="00CB36D5" w:rsidRDefault="00E4530D" w:rsidP="00E4530D">
            <w:pPr>
              <w:spacing w:after="0" w:line="240" w:lineRule="auto"/>
              <w:ind w:left="567" w:hanging="567"/>
              <w:jc w:val="right"/>
              <w:rPr>
                <w:rFonts w:ascii="Times New Roman" w:eastAsia="Times New Roman" w:hAnsi="Times New Roman"/>
                <w:color w:val="000000"/>
              </w:rPr>
            </w:pPr>
            <w:r w:rsidRPr="00CB36D5">
              <w:rPr>
                <w:rFonts w:ascii="Times New Roman" w:eastAsia="Times New Roman" w:hAnsi="Times New Roman"/>
                <w:color w:val="000000"/>
              </w:rPr>
              <w:t>2</w:t>
            </w:r>
          </w:p>
        </w:tc>
        <w:tc>
          <w:tcPr>
            <w:tcW w:w="4111" w:type="dxa"/>
            <w:tcBorders>
              <w:top w:val="nil"/>
              <w:left w:val="nil"/>
              <w:bottom w:val="nil"/>
              <w:right w:val="single" w:sz="4" w:space="0" w:color="auto"/>
            </w:tcBorders>
            <w:shd w:val="clear" w:color="auto" w:fill="auto"/>
            <w:noWrap/>
            <w:vAlign w:val="center"/>
            <w:hideMark/>
          </w:tcPr>
          <w:p w:rsidR="00E4530D" w:rsidRPr="00CB36D5" w:rsidRDefault="000D00D4" w:rsidP="00E4530D">
            <w:pPr>
              <w:spacing w:after="0" w:line="240" w:lineRule="auto"/>
              <w:ind w:left="567" w:hanging="567"/>
              <w:rPr>
                <w:rFonts w:ascii="Times New Roman" w:eastAsia="Times New Roman" w:hAnsi="Times New Roman"/>
                <w:b/>
                <w:bCs/>
                <w:color w:val="000000"/>
              </w:rPr>
            </w:pPr>
            <w:r>
              <w:rPr>
                <w:rFonts w:ascii="Times New Roman" w:eastAsia="Times New Roman" w:hAnsi="Times New Roman"/>
                <w:color w:val="000000"/>
              </w:rPr>
              <w:t>HR posts eliminated</w:t>
            </w:r>
            <w:r w:rsidR="00B540C1">
              <w:rPr>
                <w:rFonts w:ascii="Times New Roman" w:eastAsia="Times New Roman" w:hAnsi="Times New Roman"/>
                <w:color w:val="000000"/>
              </w:rPr>
              <w:t xml:space="preserve"> %</w:t>
            </w:r>
          </w:p>
        </w:tc>
        <w:tc>
          <w:tcPr>
            <w:tcW w:w="1417" w:type="dxa"/>
            <w:tcBorders>
              <w:top w:val="nil"/>
              <w:left w:val="nil"/>
              <w:bottom w:val="nil"/>
              <w:right w:val="single" w:sz="4" w:space="0" w:color="auto"/>
            </w:tcBorders>
            <w:shd w:val="clear" w:color="auto" w:fill="auto"/>
            <w:noWrap/>
            <w:vAlign w:val="center"/>
            <w:hideMark/>
          </w:tcPr>
          <w:p w:rsidR="00E4530D" w:rsidRPr="00CB36D5" w:rsidRDefault="000D00D4" w:rsidP="00E4530D">
            <w:pPr>
              <w:spacing w:after="0" w:line="240" w:lineRule="auto"/>
              <w:ind w:left="567" w:hanging="567"/>
              <w:jc w:val="right"/>
              <w:rPr>
                <w:rFonts w:ascii="Times New Roman" w:eastAsia="Times New Roman" w:hAnsi="Times New Roman"/>
                <w:b/>
                <w:bCs/>
                <w:color w:val="000000"/>
              </w:rPr>
            </w:pPr>
            <w:r>
              <w:rPr>
                <w:rFonts w:ascii="Times New Roman" w:eastAsia="Times New Roman" w:hAnsi="Times New Roman"/>
                <w:color w:val="000000"/>
              </w:rPr>
              <w:t>10%</w:t>
            </w:r>
          </w:p>
        </w:tc>
        <w:tc>
          <w:tcPr>
            <w:tcW w:w="2693" w:type="dxa"/>
            <w:tcBorders>
              <w:top w:val="nil"/>
              <w:left w:val="nil"/>
              <w:bottom w:val="nil"/>
              <w:right w:val="nil"/>
            </w:tcBorders>
            <w:shd w:val="clear" w:color="auto" w:fill="auto"/>
            <w:noWrap/>
            <w:vAlign w:val="center"/>
            <w:hideMark/>
          </w:tcPr>
          <w:p w:rsidR="00E4530D" w:rsidRPr="009236BA" w:rsidRDefault="000D00D4" w:rsidP="008E32CF">
            <w:pPr>
              <w:pStyle w:val="Entabla"/>
              <w:rPr>
                <w:b/>
                <w:bCs/>
              </w:rPr>
            </w:pPr>
            <w:r w:rsidRPr="000D00D4">
              <w:rPr>
                <w:lang w:val="en-US"/>
              </w:rPr>
              <w:t>Assumption</w:t>
            </w:r>
          </w:p>
        </w:tc>
      </w:tr>
      <w:tr w:rsidR="00E4530D" w:rsidRPr="00CB36D5" w:rsidTr="00E4530D">
        <w:trPr>
          <w:trHeight w:val="280"/>
        </w:trPr>
        <w:tc>
          <w:tcPr>
            <w:tcW w:w="284" w:type="dxa"/>
            <w:tcBorders>
              <w:top w:val="nil"/>
              <w:left w:val="nil"/>
              <w:bottom w:val="nil"/>
              <w:right w:val="nil"/>
            </w:tcBorders>
            <w:shd w:val="clear" w:color="auto" w:fill="auto"/>
            <w:noWrap/>
            <w:hideMark/>
          </w:tcPr>
          <w:p w:rsidR="00E4530D" w:rsidRPr="00CB36D5" w:rsidRDefault="00E4530D" w:rsidP="00E4530D">
            <w:pPr>
              <w:spacing w:after="0" w:line="240" w:lineRule="auto"/>
              <w:ind w:left="567" w:hanging="567"/>
              <w:jc w:val="right"/>
              <w:rPr>
                <w:rFonts w:ascii="Times New Roman" w:eastAsia="Times New Roman" w:hAnsi="Times New Roman"/>
                <w:color w:val="000000"/>
              </w:rPr>
            </w:pPr>
            <w:r w:rsidRPr="00CB36D5">
              <w:rPr>
                <w:rFonts w:ascii="Times New Roman" w:eastAsia="Times New Roman" w:hAnsi="Times New Roman"/>
                <w:color w:val="000000"/>
              </w:rPr>
              <w:t>3</w:t>
            </w:r>
          </w:p>
        </w:tc>
        <w:tc>
          <w:tcPr>
            <w:tcW w:w="4111" w:type="dxa"/>
            <w:tcBorders>
              <w:top w:val="nil"/>
              <w:left w:val="nil"/>
              <w:bottom w:val="nil"/>
              <w:right w:val="single" w:sz="4" w:space="0" w:color="auto"/>
            </w:tcBorders>
            <w:shd w:val="clear" w:color="auto" w:fill="auto"/>
            <w:noWrap/>
            <w:vAlign w:val="bottom"/>
            <w:hideMark/>
          </w:tcPr>
          <w:p w:rsidR="00E4530D" w:rsidRPr="00CB36D5" w:rsidRDefault="000D00D4" w:rsidP="00E4530D">
            <w:pPr>
              <w:spacing w:after="0" w:line="240" w:lineRule="auto"/>
              <w:ind w:left="567" w:hanging="567"/>
              <w:rPr>
                <w:rFonts w:ascii="Times New Roman" w:eastAsia="Times New Roman" w:hAnsi="Times New Roman"/>
                <w:b/>
                <w:bCs/>
                <w:color w:val="000000"/>
              </w:rPr>
            </w:pPr>
            <w:r>
              <w:rPr>
                <w:rFonts w:ascii="Times New Roman" w:eastAsia="Times New Roman" w:hAnsi="Times New Roman"/>
                <w:color w:val="000000"/>
              </w:rPr>
              <w:t>Total HR posts</w:t>
            </w:r>
          </w:p>
        </w:tc>
        <w:tc>
          <w:tcPr>
            <w:tcW w:w="1417" w:type="dxa"/>
            <w:tcBorders>
              <w:top w:val="nil"/>
              <w:left w:val="nil"/>
              <w:bottom w:val="nil"/>
              <w:right w:val="single" w:sz="4" w:space="0" w:color="auto"/>
            </w:tcBorders>
            <w:shd w:val="clear" w:color="auto" w:fill="auto"/>
            <w:noWrap/>
            <w:vAlign w:val="center"/>
            <w:hideMark/>
          </w:tcPr>
          <w:p w:rsidR="00E4530D" w:rsidRPr="00CB36D5" w:rsidRDefault="000D00D4" w:rsidP="00E4530D">
            <w:pPr>
              <w:spacing w:after="0" w:line="240" w:lineRule="auto"/>
              <w:ind w:left="567" w:hanging="567"/>
              <w:jc w:val="right"/>
              <w:rPr>
                <w:rFonts w:ascii="Times New Roman" w:eastAsia="Times New Roman" w:hAnsi="Times New Roman"/>
                <w:b/>
                <w:bCs/>
                <w:color w:val="000000"/>
              </w:rPr>
            </w:pPr>
            <w:r>
              <w:rPr>
                <w:rFonts w:ascii="Times New Roman" w:eastAsia="Times New Roman" w:hAnsi="Times New Roman"/>
                <w:color w:val="000000"/>
              </w:rPr>
              <w:t>2</w:t>
            </w:r>
            <w:r w:rsidR="008E32CF">
              <w:rPr>
                <w:rFonts w:ascii="Times New Roman" w:eastAsia="Times New Roman" w:hAnsi="Times New Roman"/>
                <w:color w:val="000000"/>
              </w:rPr>
              <w:t>.</w:t>
            </w:r>
            <w:r>
              <w:rPr>
                <w:rFonts w:ascii="Times New Roman" w:eastAsia="Times New Roman" w:hAnsi="Times New Roman"/>
                <w:color w:val="000000"/>
              </w:rPr>
              <w:t>500</w:t>
            </w:r>
            <w:r w:rsidR="00E4530D" w:rsidRPr="00CB36D5">
              <w:rPr>
                <w:rFonts w:ascii="Times New Roman" w:eastAsia="Times New Roman" w:hAnsi="Times New Roman"/>
                <w:color w:val="000000"/>
              </w:rPr>
              <w:t xml:space="preserve"> </w:t>
            </w:r>
          </w:p>
        </w:tc>
        <w:tc>
          <w:tcPr>
            <w:tcW w:w="2693" w:type="dxa"/>
            <w:tcBorders>
              <w:top w:val="nil"/>
              <w:left w:val="nil"/>
              <w:bottom w:val="nil"/>
              <w:right w:val="nil"/>
            </w:tcBorders>
            <w:shd w:val="clear" w:color="auto" w:fill="auto"/>
            <w:noWrap/>
            <w:vAlign w:val="center"/>
            <w:hideMark/>
          </w:tcPr>
          <w:p w:rsidR="00E4530D" w:rsidRPr="00CB36D5" w:rsidRDefault="000D00D4" w:rsidP="00E4530D">
            <w:pPr>
              <w:spacing w:after="0" w:line="240" w:lineRule="auto"/>
              <w:ind w:left="567" w:hanging="567"/>
              <w:rPr>
                <w:rFonts w:ascii="Times New Roman" w:eastAsia="Times New Roman" w:hAnsi="Times New Roman"/>
                <w:b/>
                <w:bCs/>
                <w:color w:val="000000"/>
              </w:rPr>
            </w:pPr>
            <w:r>
              <w:rPr>
                <w:rFonts w:ascii="Times New Roman" w:eastAsia="Times New Roman" w:hAnsi="Times New Roman"/>
                <w:color w:val="000000"/>
              </w:rPr>
              <w:t>Own estimate</w:t>
            </w:r>
          </w:p>
        </w:tc>
      </w:tr>
      <w:tr w:rsidR="00E4530D" w:rsidRPr="00CB36D5" w:rsidTr="008E32CF">
        <w:trPr>
          <w:trHeight w:val="280"/>
        </w:trPr>
        <w:tc>
          <w:tcPr>
            <w:tcW w:w="284" w:type="dxa"/>
            <w:tcBorders>
              <w:top w:val="nil"/>
              <w:left w:val="nil"/>
              <w:bottom w:val="nil"/>
              <w:right w:val="nil"/>
            </w:tcBorders>
            <w:shd w:val="clear" w:color="auto" w:fill="auto"/>
            <w:noWrap/>
            <w:vAlign w:val="center"/>
          </w:tcPr>
          <w:p w:rsidR="00E4530D" w:rsidRPr="00CB36D5" w:rsidRDefault="00E4530D" w:rsidP="008E32CF">
            <w:pPr>
              <w:spacing w:after="0" w:line="240" w:lineRule="auto"/>
              <w:ind w:left="567" w:hanging="567"/>
              <w:rPr>
                <w:rFonts w:ascii="Times New Roman" w:eastAsia="Times New Roman" w:hAnsi="Times New Roman"/>
                <w:color w:val="000000"/>
              </w:rPr>
            </w:pPr>
            <w:r w:rsidRPr="00CB36D5">
              <w:rPr>
                <w:rFonts w:ascii="Times New Roman" w:eastAsia="Times New Roman" w:hAnsi="Times New Roman"/>
                <w:color w:val="000000"/>
              </w:rPr>
              <w:t>4</w:t>
            </w:r>
          </w:p>
        </w:tc>
        <w:tc>
          <w:tcPr>
            <w:tcW w:w="4111" w:type="dxa"/>
            <w:tcBorders>
              <w:top w:val="nil"/>
              <w:left w:val="nil"/>
              <w:bottom w:val="nil"/>
              <w:right w:val="single" w:sz="4" w:space="0" w:color="auto"/>
            </w:tcBorders>
            <w:shd w:val="clear" w:color="auto" w:fill="auto"/>
            <w:noWrap/>
            <w:vAlign w:val="center"/>
          </w:tcPr>
          <w:p w:rsidR="00E4530D" w:rsidRPr="000D00D4" w:rsidRDefault="000D00D4" w:rsidP="008E32CF">
            <w:pPr>
              <w:spacing w:after="0" w:line="240" w:lineRule="auto"/>
              <w:ind w:left="567" w:hanging="567"/>
              <w:rPr>
                <w:rFonts w:ascii="Times New Roman" w:eastAsia="Times New Roman" w:hAnsi="Times New Roman"/>
                <w:b/>
                <w:bCs/>
                <w:color w:val="000000"/>
                <w:lang w:val="en-US"/>
              </w:rPr>
            </w:pPr>
            <w:r>
              <w:rPr>
                <w:rFonts w:ascii="Times New Roman" w:eastAsia="Times New Roman" w:hAnsi="Times New Roman"/>
                <w:color w:val="000000"/>
                <w:lang w:val="en-US"/>
              </w:rPr>
              <w:t>Total Value of W</w:t>
            </w:r>
            <w:r w:rsidRPr="000D00D4">
              <w:rPr>
                <w:rFonts w:ascii="Times New Roman" w:eastAsia="Times New Roman" w:hAnsi="Times New Roman"/>
                <w:color w:val="000000"/>
                <w:lang w:val="en-US"/>
              </w:rPr>
              <w:t>orkforce USD</w:t>
            </w:r>
          </w:p>
        </w:tc>
        <w:tc>
          <w:tcPr>
            <w:tcW w:w="1417" w:type="dxa"/>
            <w:tcBorders>
              <w:top w:val="nil"/>
              <w:left w:val="nil"/>
              <w:bottom w:val="nil"/>
              <w:right w:val="single" w:sz="4" w:space="0" w:color="auto"/>
            </w:tcBorders>
            <w:shd w:val="clear" w:color="auto" w:fill="auto"/>
            <w:noWrap/>
            <w:vAlign w:val="center"/>
          </w:tcPr>
          <w:p w:rsidR="00E4530D" w:rsidRPr="00CB36D5" w:rsidRDefault="000D00D4" w:rsidP="00E4530D">
            <w:pPr>
              <w:spacing w:after="0" w:line="240" w:lineRule="auto"/>
              <w:ind w:left="567" w:hanging="567"/>
              <w:jc w:val="right"/>
              <w:rPr>
                <w:rFonts w:ascii="Times New Roman" w:eastAsia="Times New Roman" w:hAnsi="Times New Roman"/>
                <w:b/>
                <w:bCs/>
                <w:color w:val="000000"/>
              </w:rPr>
            </w:pPr>
            <w:r>
              <w:rPr>
                <w:rFonts w:ascii="Times New Roman" w:eastAsia="Times New Roman" w:hAnsi="Times New Roman"/>
                <w:color w:val="000000"/>
              </w:rPr>
              <w:t>1</w:t>
            </w:r>
            <w:r w:rsidR="008E32CF">
              <w:rPr>
                <w:rFonts w:ascii="Times New Roman" w:eastAsia="Times New Roman" w:hAnsi="Times New Roman"/>
                <w:color w:val="000000"/>
              </w:rPr>
              <w:t>.</w:t>
            </w:r>
            <w:r>
              <w:rPr>
                <w:rFonts w:ascii="Times New Roman" w:eastAsia="Times New Roman" w:hAnsi="Times New Roman"/>
                <w:color w:val="000000"/>
              </w:rPr>
              <w:t>325</w:t>
            </w:r>
            <w:r w:rsidR="008E32CF">
              <w:rPr>
                <w:rFonts w:ascii="Times New Roman" w:eastAsia="Times New Roman" w:hAnsi="Times New Roman"/>
                <w:color w:val="000000"/>
              </w:rPr>
              <w:t>.</w:t>
            </w:r>
            <w:r>
              <w:rPr>
                <w:rFonts w:ascii="Times New Roman" w:eastAsia="Times New Roman" w:hAnsi="Times New Roman"/>
                <w:color w:val="000000"/>
              </w:rPr>
              <w:t>000</w:t>
            </w:r>
            <w:r w:rsidR="008E32CF">
              <w:rPr>
                <w:rFonts w:ascii="Times New Roman" w:eastAsia="Times New Roman" w:hAnsi="Times New Roman"/>
                <w:color w:val="000000"/>
              </w:rPr>
              <w:t>.</w:t>
            </w:r>
            <w:r>
              <w:rPr>
                <w:rFonts w:ascii="Times New Roman" w:eastAsia="Times New Roman" w:hAnsi="Times New Roman"/>
                <w:color w:val="000000"/>
              </w:rPr>
              <w:t>000</w:t>
            </w:r>
          </w:p>
        </w:tc>
        <w:tc>
          <w:tcPr>
            <w:tcW w:w="2693" w:type="dxa"/>
            <w:tcBorders>
              <w:top w:val="nil"/>
              <w:left w:val="nil"/>
              <w:bottom w:val="nil"/>
              <w:right w:val="nil"/>
            </w:tcBorders>
            <w:shd w:val="clear" w:color="auto" w:fill="auto"/>
            <w:noWrap/>
            <w:vAlign w:val="center"/>
          </w:tcPr>
          <w:p w:rsidR="00E4530D" w:rsidRPr="00CB36D5" w:rsidRDefault="000D00D4" w:rsidP="00E4530D">
            <w:pPr>
              <w:spacing w:after="0" w:line="240" w:lineRule="auto"/>
              <w:ind w:left="567" w:hanging="567"/>
              <w:rPr>
                <w:rFonts w:ascii="Times New Roman" w:eastAsia="Times New Roman" w:hAnsi="Times New Roman"/>
                <w:b/>
                <w:bCs/>
                <w:color w:val="000000"/>
              </w:rPr>
            </w:pPr>
            <w:r>
              <w:rPr>
                <w:rFonts w:ascii="Times New Roman" w:eastAsia="Times New Roman" w:hAnsi="Times New Roman"/>
                <w:color w:val="000000"/>
              </w:rPr>
              <w:t>Own estimate</w:t>
            </w:r>
          </w:p>
        </w:tc>
      </w:tr>
      <w:tr w:rsidR="00E4530D" w:rsidRPr="000D00D4" w:rsidTr="00E4530D">
        <w:trPr>
          <w:trHeight w:val="280"/>
        </w:trPr>
        <w:tc>
          <w:tcPr>
            <w:tcW w:w="284" w:type="dxa"/>
            <w:tcBorders>
              <w:top w:val="nil"/>
              <w:left w:val="nil"/>
              <w:bottom w:val="nil"/>
              <w:right w:val="nil"/>
            </w:tcBorders>
            <w:shd w:val="clear" w:color="auto" w:fill="auto"/>
            <w:noWrap/>
            <w:vAlign w:val="bottom"/>
            <w:hideMark/>
          </w:tcPr>
          <w:p w:rsidR="00E4530D" w:rsidRPr="00CB36D5" w:rsidRDefault="00E4530D" w:rsidP="00E4530D">
            <w:pPr>
              <w:spacing w:after="0" w:line="240" w:lineRule="auto"/>
              <w:ind w:left="567" w:hanging="567"/>
              <w:jc w:val="right"/>
              <w:rPr>
                <w:rFonts w:ascii="Times New Roman" w:eastAsia="Times New Roman" w:hAnsi="Times New Roman"/>
                <w:color w:val="000000"/>
              </w:rPr>
            </w:pPr>
            <w:r w:rsidRPr="00CB36D5">
              <w:rPr>
                <w:rFonts w:ascii="Times New Roman" w:eastAsia="Times New Roman" w:hAnsi="Times New Roman"/>
                <w:color w:val="000000"/>
              </w:rPr>
              <w:t>5</w:t>
            </w:r>
          </w:p>
        </w:tc>
        <w:tc>
          <w:tcPr>
            <w:tcW w:w="4111" w:type="dxa"/>
            <w:tcBorders>
              <w:top w:val="nil"/>
              <w:left w:val="nil"/>
              <w:bottom w:val="nil"/>
              <w:right w:val="single" w:sz="4" w:space="0" w:color="auto"/>
            </w:tcBorders>
            <w:shd w:val="clear" w:color="auto" w:fill="auto"/>
            <w:noWrap/>
            <w:vAlign w:val="bottom"/>
            <w:hideMark/>
          </w:tcPr>
          <w:p w:rsidR="00E4530D" w:rsidRPr="009236BA" w:rsidRDefault="00B540C1" w:rsidP="00E4530D">
            <w:pPr>
              <w:spacing w:after="0" w:line="240" w:lineRule="auto"/>
              <w:ind w:left="567" w:hanging="567"/>
              <w:rPr>
                <w:rFonts w:ascii="Times New Roman" w:eastAsia="Times New Roman" w:hAnsi="Times New Roman"/>
                <w:b/>
                <w:bCs/>
                <w:color w:val="000000"/>
                <w:lang w:val="es-ES"/>
              </w:rPr>
            </w:pPr>
            <w:r w:rsidRPr="00B540C1">
              <w:rPr>
                <w:rFonts w:ascii="Times New Roman" w:eastAsia="Times New Roman" w:hAnsi="Times New Roman"/>
                <w:color w:val="000000"/>
                <w:lang w:val="en-US"/>
              </w:rPr>
              <w:t>Savings</w:t>
            </w:r>
            <w:r>
              <w:rPr>
                <w:rFonts w:ascii="Times New Roman" w:eastAsia="Times New Roman" w:hAnsi="Times New Roman"/>
                <w:color w:val="000000"/>
                <w:lang w:val="es-ES"/>
              </w:rPr>
              <w:t xml:space="preserve"> </w:t>
            </w:r>
            <w:r w:rsidRPr="00B540C1">
              <w:rPr>
                <w:rFonts w:ascii="Times New Roman" w:eastAsia="Times New Roman" w:hAnsi="Times New Roman"/>
                <w:color w:val="000000"/>
                <w:lang w:val="en-US"/>
              </w:rPr>
              <w:t>by</w:t>
            </w:r>
            <w:r>
              <w:rPr>
                <w:rFonts w:ascii="Times New Roman" w:eastAsia="Times New Roman" w:hAnsi="Times New Roman"/>
                <w:color w:val="000000"/>
                <w:lang w:val="es-ES"/>
              </w:rPr>
              <w:t xml:space="preserve"> </w:t>
            </w:r>
            <w:r w:rsidRPr="00B540C1">
              <w:rPr>
                <w:rFonts w:ascii="Times New Roman" w:eastAsia="Times New Roman" w:hAnsi="Times New Roman"/>
                <w:color w:val="000000"/>
                <w:lang w:val="en-US"/>
              </w:rPr>
              <w:t>efficiency</w:t>
            </w:r>
            <w:r>
              <w:rPr>
                <w:rFonts w:ascii="Times New Roman" w:eastAsia="Times New Roman" w:hAnsi="Times New Roman"/>
                <w:color w:val="000000"/>
                <w:lang w:val="es-ES"/>
              </w:rPr>
              <w:t xml:space="preserve"> %</w:t>
            </w:r>
          </w:p>
        </w:tc>
        <w:tc>
          <w:tcPr>
            <w:tcW w:w="1417" w:type="dxa"/>
            <w:tcBorders>
              <w:top w:val="nil"/>
              <w:left w:val="nil"/>
              <w:bottom w:val="nil"/>
              <w:right w:val="single" w:sz="4" w:space="0" w:color="auto"/>
            </w:tcBorders>
            <w:shd w:val="clear" w:color="auto" w:fill="auto"/>
            <w:noWrap/>
            <w:vAlign w:val="center"/>
            <w:hideMark/>
          </w:tcPr>
          <w:p w:rsidR="00E4530D" w:rsidRPr="000D00D4" w:rsidRDefault="006A7B6E" w:rsidP="00B540C1">
            <w:pPr>
              <w:spacing w:after="0" w:line="240" w:lineRule="auto"/>
              <w:ind w:left="567" w:hanging="567"/>
              <w:jc w:val="right"/>
              <w:rPr>
                <w:rFonts w:ascii="Times New Roman" w:eastAsia="Times New Roman" w:hAnsi="Times New Roman"/>
                <w:b/>
                <w:bCs/>
                <w:color w:val="000000"/>
                <w:lang w:val="es-ES"/>
              </w:rPr>
            </w:pPr>
            <w:r>
              <w:rPr>
                <w:rFonts w:ascii="Times New Roman" w:eastAsia="Times New Roman" w:hAnsi="Times New Roman"/>
                <w:color w:val="000000"/>
                <w:lang w:val="es-ES"/>
              </w:rPr>
              <w:t>0,</w:t>
            </w:r>
            <w:r w:rsidR="00B540C1">
              <w:rPr>
                <w:rFonts w:ascii="Times New Roman" w:eastAsia="Times New Roman" w:hAnsi="Times New Roman"/>
                <w:color w:val="000000"/>
                <w:lang w:val="es-ES"/>
              </w:rPr>
              <w:t>2</w:t>
            </w:r>
            <w:r w:rsidR="00E4530D" w:rsidRPr="000D00D4">
              <w:rPr>
                <w:rFonts w:ascii="Times New Roman" w:eastAsia="Times New Roman" w:hAnsi="Times New Roman"/>
                <w:color w:val="000000"/>
                <w:lang w:val="es-ES"/>
              </w:rPr>
              <w:t xml:space="preserve">% </w:t>
            </w:r>
          </w:p>
        </w:tc>
        <w:tc>
          <w:tcPr>
            <w:tcW w:w="2693" w:type="dxa"/>
            <w:tcBorders>
              <w:top w:val="nil"/>
              <w:left w:val="nil"/>
              <w:bottom w:val="nil"/>
              <w:right w:val="nil"/>
            </w:tcBorders>
            <w:shd w:val="clear" w:color="auto" w:fill="auto"/>
            <w:noWrap/>
            <w:vAlign w:val="bottom"/>
            <w:hideMark/>
          </w:tcPr>
          <w:p w:rsidR="00E4530D" w:rsidRPr="000D00D4" w:rsidRDefault="000D00D4" w:rsidP="00E4530D">
            <w:pPr>
              <w:pStyle w:val="Entabla"/>
              <w:rPr>
                <w:b/>
                <w:bCs/>
              </w:rPr>
            </w:pPr>
            <w:r w:rsidRPr="000D00D4">
              <w:rPr>
                <w:lang w:val="en-US"/>
              </w:rPr>
              <w:t>Assumption</w:t>
            </w:r>
          </w:p>
        </w:tc>
      </w:tr>
      <w:tr w:rsidR="00E4530D" w:rsidRPr="000D00D4" w:rsidTr="00E4530D">
        <w:trPr>
          <w:trHeight w:val="280"/>
        </w:trPr>
        <w:tc>
          <w:tcPr>
            <w:tcW w:w="284" w:type="dxa"/>
            <w:tcBorders>
              <w:top w:val="nil"/>
              <w:left w:val="nil"/>
              <w:bottom w:val="nil"/>
              <w:right w:val="nil"/>
            </w:tcBorders>
            <w:shd w:val="clear" w:color="auto" w:fill="auto"/>
            <w:noWrap/>
            <w:vAlign w:val="center"/>
            <w:hideMark/>
          </w:tcPr>
          <w:p w:rsidR="00E4530D" w:rsidRPr="000D00D4" w:rsidRDefault="00E4530D" w:rsidP="00E4530D">
            <w:pPr>
              <w:spacing w:after="0" w:line="240" w:lineRule="auto"/>
              <w:ind w:left="567" w:hanging="567"/>
              <w:jc w:val="right"/>
              <w:rPr>
                <w:rFonts w:ascii="Times New Roman" w:eastAsia="Times New Roman" w:hAnsi="Times New Roman"/>
                <w:color w:val="000000"/>
                <w:lang w:val="es-ES"/>
              </w:rPr>
            </w:pPr>
            <w:r w:rsidRPr="000D00D4">
              <w:rPr>
                <w:rFonts w:ascii="Times New Roman" w:eastAsia="Times New Roman" w:hAnsi="Times New Roman"/>
                <w:color w:val="000000"/>
                <w:lang w:val="es-ES"/>
              </w:rPr>
              <w:t>6</w:t>
            </w:r>
          </w:p>
        </w:tc>
        <w:tc>
          <w:tcPr>
            <w:tcW w:w="4111" w:type="dxa"/>
            <w:tcBorders>
              <w:top w:val="nil"/>
              <w:left w:val="nil"/>
              <w:bottom w:val="nil"/>
              <w:right w:val="single" w:sz="4" w:space="0" w:color="auto"/>
            </w:tcBorders>
            <w:shd w:val="clear" w:color="auto" w:fill="auto"/>
            <w:noWrap/>
            <w:vAlign w:val="center"/>
            <w:hideMark/>
          </w:tcPr>
          <w:p w:rsidR="00E4530D" w:rsidRPr="00B540C1" w:rsidRDefault="00B540C1" w:rsidP="00E4530D">
            <w:pPr>
              <w:spacing w:after="0" w:line="240" w:lineRule="auto"/>
              <w:ind w:left="567" w:hanging="567"/>
              <w:jc w:val="center"/>
              <w:rPr>
                <w:rFonts w:ascii="Times New Roman" w:eastAsia="Times New Roman" w:hAnsi="Times New Roman"/>
                <w:b/>
                <w:bCs/>
                <w:color w:val="000000"/>
                <w:lang w:val="en-US"/>
              </w:rPr>
            </w:pPr>
            <w:r w:rsidRPr="00B540C1">
              <w:rPr>
                <w:rFonts w:ascii="Times New Roman" w:eastAsia="Times New Roman" w:hAnsi="Times New Roman"/>
                <w:color w:val="000000"/>
                <w:lang w:val="en-US"/>
              </w:rPr>
              <w:t>Annual benefits</w:t>
            </w:r>
            <w:r>
              <w:rPr>
                <w:rFonts w:ascii="Times New Roman" w:eastAsia="Times New Roman" w:hAnsi="Times New Roman"/>
                <w:color w:val="000000"/>
                <w:lang w:val="en-US"/>
              </w:rPr>
              <w:t xml:space="preserve"> HRM Subcomponent</w:t>
            </w:r>
            <w:r w:rsidRPr="00B540C1">
              <w:rPr>
                <w:rFonts w:ascii="Times New Roman" w:eastAsia="Times New Roman" w:hAnsi="Times New Roman"/>
                <w:color w:val="000000"/>
                <w:lang w:val="en-US"/>
              </w:rPr>
              <w:t xml:space="preserve"> </w:t>
            </w:r>
            <w:r w:rsidR="00E4530D" w:rsidRPr="00B540C1">
              <w:rPr>
                <w:rFonts w:ascii="Times New Roman" w:eastAsia="Times New Roman" w:hAnsi="Times New Roman"/>
                <w:color w:val="000000"/>
                <w:lang w:val="en-US"/>
              </w:rPr>
              <w:t xml:space="preserve"> USD</w:t>
            </w:r>
          </w:p>
        </w:tc>
        <w:tc>
          <w:tcPr>
            <w:tcW w:w="1417" w:type="dxa"/>
            <w:tcBorders>
              <w:top w:val="nil"/>
              <w:left w:val="nil"/>
              <w:bottom w:val="nil"/>
              <w:right w:val="single" w:sz="4" w:space="0" w:color="auto"/>
            </w:tcBorders>
            <w:shd w:val="clear" w:color="auto" w:fill="auto"/>
            <w:noWrap/>
            <w:vAlign w:val="center"/>
            <w:hideMark/>
          </w:tcPr>
          <w:p w:rsidR="00E4530D" w:rsidRPr="000D00D4" w:rsidRDefault="00B540C1" w:rsidP="00E4530D">
            <w:pPr>
              <w:spacing w:after="0" w:line="240" w:lineRule="auto"/>
              <w:ind w:left="567" w:hanging="567"/>
              <w:jc w:val="right"/>
              <w:rPr>
                <w:rFonts w:ascii="Times New Roman" w:eastAsia="Times New Roman" w:hAnsi="Times New Roman"/>
                <w:b/>
                <w:bCs/>
                <w:color w:val="000000"/>
                <w:lang w:val="es-ES"/>
              </w:rPr>
            </w:pPr>
            <w:r>
              <w:rPr>
                <w:rFonts w:ascii="Times New Roman" w:eastAsia="Times New Roman" w:hAnsi="Times New Roman"/>
                <w:color w:val="000000"/>
                <w:lang w:val="es-ES"/>
              </w:rPr>
              <w:t>2</w:t>
            </w:r>
            <w:r w:rsidR="008E32CF">
              <w:rPr>
                <w:rFonts w:ascii="Times New Roman" w:eastAsia="Times New Roman" w:hAnsi="Times New Roman"/>
                <w:color w:val="000000"/>
                <w:lang w:val="es-ES"/>
              </w:rPr>
              <w:t>.</w:t>
            </w:r>
            <w:r>
              <w:rPr>
                <w:rFonts w:ascii="Times New Roman" w:eastAsia="Times New Roman" w:hAnsi="Times New Roman"/>
                <w:color w:val="000000"/>
                <w:lang w:val="es-ES"/>
              </w:rPr>
              <w:t>450</w:t>
            </w:r>
            <w:r w:rsidR="008E32CF">
              <w:rPr>
                <w:rFonts w:ascii="Times New Roman" w:eastAsia="Times New Roman" w:hAnsi="Times New Roman"/>
                <w:color w:val="000000"/>
                <w:lang w:val="es-ES"/>
              </w:rPr>
              <w:t>.</w:t>
            </w:r>
            <w:r>
              <w:rPr>
                <w:rFonts w:ascii="Times New Roman" w:eastAsia="Times New Roman" w:hAnsi="Times New Roman"/>
                <w:color w:val="000000"/>
                <w:lang w:val="es-ES"/>
              </w:rPr>
              <w:t>000</w:t>
            </w:r>
          </w:p>
        </w:tc>
        <w:tc>
          <w:tcPr>
            <w:tcW w:w="2693" w:type="dxa"/>
            <w:tcBorders>
              <w:top w:val="nil"/>
              <w:left w:val="nil"/>
              <w:bottom w:val="nil"/>
              <w:right w:val="nil"/>
            </w:tcBorders>
            <w:shd w:val="clear" w:color="auto" w:fill="auto"/>
            <w:noWrap/>
            <w:vAlign w:val="bottom"/>
            <w:hideMark/>
          </w:tcPr>
          <w:p w:rsidR="00E4530D" w:rsidRPr="000D00D4" w:rsidRDefault="00E4530D" w:rsidP="00B540C1">
            <w:pPr>
              <w:spacing w:after="0" w:line="240" w:lineRule="auto"/>
              <w:ind w:left="567" w:hanging="567"/>
              <w:rPr>
                <w:rFonts w:ascii="Times New Roman" w:eastAsia="Times New Roman" w:hAnsi="Times New Roman"/>
                <w:b/>
                <w:bCs/>
                <w:color w:val="000000"/>
                <w:lang w:val="es-ES"/>
              </w:rPr>
            </w:pPr>
            <w:r w:rsidRPr="000D00D4">
              <w:rPr>
                <w:rFonts w:ascii="Times New Roman" w:eastAsia="Times New Roman" w:hAnsi="Times New Roman"/>
                <w:color w:val="000000"/>
                <w:lang w:val="es-ES"/>
              </w:rPr>
              <w:t>[(1)*(</w:t>
            </w:r>
            <w:r w:rsidR="00B540C1">
              <w:rPr>
                <w:rFonts w:ascii="Times New Roman" w:eastAsia="Times New Roman" w:hAnsi="Times New Roman"/>
                <w:color w:val="000000"/>
                <w:lang w:val="es-ES"/>
              </w:rPr>
              <w:t>2</w:t>
            </w:r>
            <w:r w:rsidRPr="000D00D4">
              <w:rPr>
                <w:rFonts w:ascii="Times New Roman" w:eastAsia="Times New Roman" w:hAnsi="Times New Roman"/>
                <w:color w:val="000000"/>
                <w:lang w:val="es-ES"/>
              </w:rPr>
              <w:t>)*(</w:t>
            </w:r>
            <w:r w:rsidR="00B540C1">
              <w:rPr>
                <w:rFonts w:ascii="Times New Roman" w:eastAsia="Times New Roman" w:hAnsi="Times New Roman"/>
                <w:color w:val="000000"/>
                <w:lang w:val="es-ES"/>
              </w:rPr>
              <w:t>3)+(4</w:t>
            </w:r>
            <w:r w:rsidRPr="000D00D4">
              <w:rPr>
                <w:rFonts w:ascii="Times New Roman" w:eastAsia="Times New Roman" w:hAnsi="Times New Roman"/>
                <w:color w:val="000000"/>
                <w:lang w:val="es-ES"/>
              </w:rPr>
              <w:t>)*(5)*]</w:t>
            </w:r>
          </w:p>
        </w:tc>
      </w:tr>
    </w:tbl>
    <w:p w:rsidR="00E4530D" w:rsidRPr="000D00D4" w:rsidRDefault="00E4530D" w:rsidP="00E4530D">
      <w:pPr>
        <w:spacing w:after="0" w:line="480" w:lineRule="auto"/>
        <w:ind w:left="567" w:hanging="567"/>
        <w:jc w:val="both"/>
        <w:rPr>
          <w:rFonts w:ascii="Times New Roman" w:hAnsi="Times New Roman"/>
          <w:b/>
          <w:sz w:val="24"/>
          <w:szCs w:val="24"/>
          <w:lang w:val="es-ES"/>
        </w:rPr>
      </w:pPr>
    </w:p>
    <w:p w:rsidR="00E4530D" w:rsidRPr="00174622" w:rsidRDefault="00174622" w:rsidP="00E4530D">
      <w:pPr>
        <w:pStyle w:val="TitulopostI"/>
        <w:rPr>
          <w:lang w:val="en-US"/>
        </w:rPr>
      </w:pPr>
      <w:r w:rsidRPr="00174622">
        <w:rPr>
          <w:lang w:val="en-US"/>
        </w:rPr>
        <w:t>Description</w:t>
      </w:r>
      <w:r w:rsidR="00E4530D" w:rsidRPr="00174622">
        <w:rPr>
          <w:lang w:val="en-US"/>
        </w:rPr>
        <w:t xml:space="preserve"> </w:t>
      </w:r>
      <w:r w:rsidRPr="00174622">
        <w:rPr>
          <w:lang w:val="en-US"/>
        </w:rPr>
        <w:t>of the intervention - Subcomponent 2</w:t>
      </w:r>
      <w:r w:rsidR="00E4530D" w:rsidRPr="00174622">
        <w:rPr>
          <w:lang w:val="en-US"/>
        </w:rPr>
        <w:t xml:space="preserve">: </w:t>
      </w:r>
      <w:r w:rsidRPr="00174622">
        <w:rPr>
          <w:lang w:val="en-US"/>
        </w:rPr>
        <w:t xml:space="preserve">Accountability </w:t>
      </w:r>
      <w:r>
        <w:rPr>
          <w:lang w:val="en-US"/>
        </w:rPr>
        <w:t>Systems</w:t>
      </w:r>
    </w:p>
    <w:p w:rsidR="00E4530D" w:rsidRPr="00A85DDD" w:rsidRDefault="00A85DDD" w:rsidP="002A569E">
      <w:pPr>
        <w:pStyle w:val="Paragraph"/>
        <w:numPr>
          <w:ilvl w:val="1"/>
          <w:numId w:val="8"/>
        </w:numPr>
        <w:spacing w:before="0" w:after="0" w:line="480" w:lineRule="auto"/>
        <w:rPr>
          <w:szCs w:val="24"/>
          <w:lang w:val="en-US"/>
        </w:rPr>
      </w:pPr>
      <w:r w:rsidRPr="00A85DDD">
        <w:rPr>
          <w:szCs w:val="24"/>
          <w:lang w:val="en-US"/>
        </w:rPr>
        <w:t xml:space="preserve">The activities of the subcomponent </w:t>
      </w:r>
      <w:r w:rsidR="00E4530D" w:rsidRPr="00A85DDD">
        <w:rPr>
          <w:szCs w:val="24"/>
          <w:lang w:val="en-US"/>
        </w:rPr>
        <w:t xml:space="preserve">2 </w:t>
      </w:r>
      <w:r w:rsidRPr="00A85DDD">
        <w:rPr>
          <w:szCs w:val="24"/>
          <w:lang w:val="en-US"/>
        </w:rPr>
        <w:t>have as main</w:t>
      </w:r>
      <w:r>
        <w:rPr>
          <w:szCs w:val="24"/>
          <w:lang w:val="en-US"/>
        </w:rPr>
        <w:t xml:space="preserve"> objective to improve the Accountability Systems in Jamaica</w:t>
      </w:r>
      <w:r w:rsidR="00E4530D" w:rsidRPr="00A85DDD">
        <w:rPr>
          <w:szCs w:val="24"/>
          <w:lang w:val="en-US"/>
        </w:rPr>
        <w:t xml:space="preserve">. </w:t>
      </w:r>
      <w:r w:rsidR="00F749EF">
        <w:rPr>
          <w:szCs w:val="24"/>
          <w:lang w:val="en-US"/>
        </w:rPr>
        <w:t xml:space="preserve">An increasing in the total number of audits is expected, </w:t>
      </w:r>
      <w:r w:rsidR="00D65843">
        <w:rPr>
          <w:szCs w:val="24"/>
          <w:lang w:val="en-US"/>
        </w:rPr>
        <w:t>as</w:t>
      </w:r>
      <w:r w:rsidR="00F749EF">
        <w:rPr>
          <w:szCs w:val="24"/>
          <w:lang w:val="en-US"/>
        </w:rPr>
        <w:t xml:space="preserve"> well an increase in the total units audited. </w:t>
      </w:r>
      <w:r w:rsidR="00D65843">
        <w:rPr>
          <w:szCs w:val="24"/>
          <w:lang w:val="en-US"/>
        </w:rPr>
        <w:t>These activities</w:t>
      </w:r>
      <w:r w:rsidR="00F749EF">
        <w:rPr>
          <w:szCs w:val="24"/>
          <w:lang w:val="en-US"/>
        </w:rPr>
        <w:t xml:space="preserve"> have several </w:t>
      </w:r>
      <w:r w:rsidR="00F749EF">
        <w:rPr>
          <w:szCs w:val="24"/>
          <w:lang w:val="en-US"/>
        </w:rPr>
        <w:lastRenderedPageBreak/>
        <w:t>benefits in efficiency, due to control mechanisms.</w:t>
      </w:r>
      <w:r w:rsidR="002A569E" w:rsidRPr="002A569E">
        <w:rPr>
          <w:lang w:val="en-US"/>
        </w:rPr>
        <w:t xml:space="preserve"> </w:t>
      </w:r>
      <w:r w:rsidR="002A569E" w:rsidRPr="002A569E">
        <w:rPr>
          <w:szCs w:val="24"/>
          <w:lang w:val="en-US"/>
        </w:rPr>
        <w:t xml:space="preserve">These activities will be supported by those included in the ICT Management component. So, in this section benefits </w:t>
      </w:r>
      <w:r w:rsidR="00862DA2">
        <w:rPr>
          <w:szCs w:val="24"/>
          <w:lang w:val="en-US"/>
        </w:rPr>
        <w:t xml:space="preserve">and costs </w:t>
      </w:r>
      <w:r w:rsidR="002A569E" w:rsidRPr="002A569E">
        <w:rPr>
          <w:szCs w:val="24"/>
          <w:lang w:val="en-US"/>
        </w:rPr>
        <w:t xml:space="preserve">will be considered as if this component were included in the </w:t>
      </w:r>
      <w:r w:rsidR="00862DA2">
        <w:rPr>
          <w:szCs w:val="24"/>
          <w:lang w:val="en-US"/>
        </w:rPr>
        <w:t>Accountability Systems</w:t>
      </w:r>
      <w:r w:rsidR="002A569E" w:rsidRPr="002A569E">
        <w:rPr>
          <w:szCs w:val="24"/>
          <w:lang w:val="en-US"/>
        </w:rPr>
        <w:t xml:space="preserve"> subcomponent.</w:t>
      </w:r>
    </w:p>
    <w:p w:rsidR="00E4530D" w:rsidRPr="00A85DDD" w:rsidRDefault="00D65843" w:rsidP="00E4530D">
      <w:pPr>
        <w:pStyle w:val="TitulopostI"/>
        <w:rPr>
          <w:lang w:val="en-GB"/>
        </w:rPr>
      </w:pPr>
      <w:r>
        <w:rPr>
          <w:lang w:val="en-GB"/>
        </w:rPr>
        <w:t>Expected Benefits</w:t>
      </w:r>
    </w:p>
    <w:p w:rsidR="00E4530D" w:rsidRPr="00A85DDD" w:rsidRDefault="00122A4F" w:rsidP="00E4530D">
      <w:pPr>
        <w:pStyle w:val="Paragraph"/>
        <w:numPr>
          <w:ilvl w:val="1"/>
          <w:numId w:val="8"/>
        </w:numPr>
        <w:spacing w:before="0" w:after="0" w:line="480" w:lineRule="auto"/>
        <w:rPr>
          <w:kern w:val="28"/>
          <w:lang w:val="en-GB"/>
        </w:rPr>
      </w:pPr>
      <w:r>
        <w:rPr>
          <w:kern w:val="28"/>
          <w:lang w:val="en-GB"/>
        </w:rPr>
        <w:t xml:space="preserve">The </w:t>
      </w:r>
      <w:r w:rsidR="000F72A9">
        <w:rPr>
          <w:kern w:val="28"/>
          <w:lang w:val="en-GB"/>
        </w:rPr>
        <w:t xml:space="preserve">first group of </w:t>
      </w:r>
      <w:r>
        <w:rPr>
          <w:kern w:val="28"/>
          <w:lang w:val="en-GB"/>
        </w:rPr>
        <w:t>expected benefits are derived from the increase in units audited per year</w:t>
      </w:r>
      <w:r w:rsidR="00E4530D" w:rsidRPr="00A85DDD">
        <w:rPr>
          <w:kern w:val="28"/>
          <w:lang w:val="en-GB"/>
        </w:rPr>
        <w:t>.</w:t>
      </w:r>
      <w:r>
        <w:rPr>
          <w:kern w:val="28"/>
          <w:lang w:val="en-GB"/>
        </w:rPr>
        <w:t xml:space="preserve"> The different </w:t>
      </w:r>
      <w:r w:rsidR="00F607B5">
        <w:rPr>
          <w:kern w:val="28"/>
          <w:lang w:val="en-GB"/>
        </w:rPr>
        <w:t>types</w:t>
      </w:r>
      <w:r>
        <w:rPr>
          <w:kern w:val="28"/>
          <w:lang w:val="en-GB"/>
        </w:rPr>
        <w:t xml:space="preserve"> of audits contribute to detect and prevent acts of corruption and fraud, and </w:t>
      </w:r>
      <w:r w:rsidR="008E32CF">
        <w:rPr>
          <w:kern w:val="28"/>
          <w:lang w:val="en-GB"/>
        </w:rPr>
        <w:t>this result</w:t>
      </w:r>
      <w:r>
        <w:rPr>
          <w:kern w:val="28"/>
          <w:lang w:val="en-GB"/>
        </w:rPr>
        <w:t xml:space="preserve"> in savings for the Government</w:t>
      </w:r>
      <w:r w:rsidR="00D339B7">
        <w:rPr>
          <w:kern w:val="28"/>
          <w:lang w:val="en-GB"/>
        </w:rPr>
        <w:t>.</w:t>
      </w:r>
      <w:r w:rsidR="000F72A9">
        <w:rPr>
          <w:kern w:val="28"/>
          <w:lang w:val="en-GB"/>
        </w:rPr>
        <w:t xml:space="preserve"> The second group of benefits are associated to the</w:t>
      </w:r>
      <w:r w:rsidR="00165E4D">
        <w:rPr>
          <w:kern w:val="28"/>
          <w:lang w:val="en-GB"/>
        </w:rPr>
        <w:t xml:space="preserve"> introduction of</w:t>
      </w:r>
      <w:r w:rsidR="000F72A9">
        <w:rPr>
          <w:kern w:val="28"/>
          <w:lang w:val="en-GB"/>
        </w:rPr>
        <w:t xml:space="preserve"> e-procurement system. In this case, we expect both a reduction of the administrative costs as a decrease in procurement prices.</w:t>
      </w:r>
    </w:p>
    <w:p w:rsidR="00E4530D" w:rsidRPr="00A85DDD" w:rsidRDefault="00E4530D" w:rsidP="000713C4">
      <w:pPr>
        <w:pStyle w:val="Paragraph"/>
        <w:numPr>
          <w:ilvl w:val="0"/>
          <w:numId w:val="0"/>
        </w:numPr>
        <w:spacing w:before="0" w:after="0" w:line="480" w:lineRule="auto"/>
        <w:ind w:left="567"/>
        <w:rPr>
          <w:kern w:val="28"/>
          <w:lang w:val="en-GB"/>
        </w:rPr>
      </w:pPr>
    </w:p>
    <w:p w:rsidR="00E4530D" w:rsidRPr="00A85DDD" w:rsidRDefault="00122A4F" w:rsidP="00E4530D">
      <w:pPr>
        <w:pStyle w:val="TitulopostI"/>
        <w:rPr>
          <w:lang w:val="en-GB"/>
        </w:rPr>
      </w:pPr>
      <w:r>
        <w:rPr>
          <w:lang w:val="en-GB"/>
        </w:rPr>
        <w:t>Assumptions</w:t>
      </w:r>
    </w:p>
    <w:p w:rsidR="00E4530D" w:rsidRPr="00A85DDD" w:rsidRDefault="00E71A46" w:rsidP="00E71A46">
      <w:pPr>
        <w:pStyle w:val="Paragraph"/>
        <w:numPr>
          <w:ilvl w:val="1"/>
          <w:numId w:val="8"/>
        </w:numPr>
        <w:spacing w:before="0" w:after="0" w:line="480" w:lineRule="auto"/>
        <w:rPr>
          <w:szCs w:val="24"/>
          <w:lang w:val="en-GB"/>
        </w:rPr>
      </w:pPr>
      <w:r w:rsidRPr="00E71A46">
        <w:rPr>
          <w:szCs w:val="24"/>
          <w:lang w:val="en-GB"/>
        </w:rPr>
        <w:t xml:space="preserve">The benefits estimations of the </w:t>
      </w:r>
      <w:r>
        <w:rPr>
          <w:szCs w:val="24"/>
          <w:lang w:val="en-GB"/>
        </w:rPr>
        <w:t>Accountability Systems</w:t>
      </w:r>
      <w:r w:rsidRPr="00E71A46">
        <w:rPr>
          <w:szCs w:val="24"/>
          <w:lang w:val="en-GB"/>
        </w:rPr>
        <w:t xml:space="preserve"> Subcomponent are based on the following design and assumptions</w:t>
      </w:r>
      <w:r w:rsidR="00E4530D" w:rsidRPr="00A85DDD">
        <w:rPr>
          <w:szCs w:val="24"/>
          <w:lang w:val="en-GB"/>
        </w:rPr>
        <w:t>:</w:t>
      </w:r>
    </w:p>
    <w:p w:rsidR="00E4530D" w:rsidRPr="00E71A46" w:rsidRDefault="00E71A46" w:rsidP="00E4530D">
      <w:pPr>
        <w:pStyle w:val="Vieta"/>
        <w:rPr>
          <w:lang w:val="en-US"/>
        </w:rPr>
      </w:pPr>
      <w:r w:rsidRPr="00B661CD">
        <w:rPr>
          <w:lang w:val="en-GB"/>
        </w:rPr>
        <w:t>The discount rate i</w:t>
      </w:r>
      <w:r>
        <w:rPr>
          <w:lang w:val="en-GB"/>
        </w:rPr>
        <w:t>s 12%, according to the standard</w:t>
      </w:r>
      <w:r w:rsidRPr="00B661CD">
        <w:rPr>
          <w:lang w:val="en-GB"/>
        </w:rPr>
        <w:t xml:space="preserve"> of the IDB</w:t>
      </w:r>
      <w:r w:rsidR="00E4530D" w:rsidRPr="00E71A46">
        <w:rPr>
          <w:lang w:val="en-US"/>
        </w:rPr>
        <w:t>.</w:t>
      </w:r>
    </w:p>
    <w:p w:rsidR="00E4530D" w:rsidRPr="00F535A5" w:rsidRDefault="00F535A5" w:rsidP="00E4530D">
      <w:pPr>
        <w:pStyle w:val="Vieta"/>
        <w:rPr>
          <w:lang w:val="en-US"/>
        </w:rPr>
      </w:pPr>
      <w:r w:rsidRPr="00F535A5">
        <w:rPr>
          <w:lang w:val="en-US"/>
        </w:rPr>
        <w:t>111 Ministers, Departments</w:t>
      </w:r>
      <w:r w:rsidR="00F607B5">
        <w:rPr>
          <w:lang w:val="en-US"/>
        </w:rPr>
        <w:t>,</w:t>
      </w:r>
      <w:r w:rsidRPr="00F535A5">
        <w:rPr>
          <w:lang w:val="en-US"/>
        </w:rPr>
        <w:t xml:space="preserve"> and Agencies (MDAs) were audited during 2012</w:t>
      </w:r>
      <w:r w:rsidR="00E4530D" w:rsidRPr="00F535A5">
        <w:rPr>
          <w:lang w:val="en-US"/>
        </w:rPr>
        <w:t>.</w:t>
      </w:r>
      <w:r>
        <w:rPr>
          <w:lang w:val="en-US"/>
        </w:rPr>
        <w:t xml:space="preserve"> Due to the activities of the program, an increasing of 39 MDAs audited per year is expected for 2015, and from there 150 MDAs </w:t>
      </w:r>
      <w:r w:rsidR="008F46BA">
        <w:rPr>
          <w:lang w:val="en-US"/>
        </w:rPr>
        <w:t>will be audited each year</w:t>
      </w:r>
      <w:r>
        <w:rPr>
          <w:lang w:val="en-US"/>
        </w:rPr>
        <w:t>.</w:t>
      </w:r>
    </w:p>
    <w:p w:rsidR="00E4530D" w:rsidRPr="00086CD8" w:rsidRDefault="00086CD8" w:rsidP="00E4530D">
      <w:pPr>
        <w:pStyle w:val="Vieta"/>
        <w:rPr>
          <w:lang w:val="en-US"/>
        </w:rPr>
      </w:pPr>
      <w:r>
        <w:rPr>
          <w:lang w:val="en-US"/>
        </w:rPr>
        <w:t xml:space="preserve">Based on </w:t>
      </w:r>
      <w:r w:rsidR="00CE1D83">
        <w:rPr>
          <w:lang w:val="en-US"/>
        </w:rPr>
        <w:t>Memorandum on the Budget</w:t>
      </w:r>
      <w:r>
        <w:rPr>
          <w:lang w:val="en-US"/>
        </w:rPr>
        <w:t xml:space="preserve"> </w:t>
      </w:r>
      <w:r w:rsidR="00CE1D83">
        <w:rPr>
          <w:lang w:val="en-US"/>
        </w:rPr>
        <w:t>2012/2013 of Jamaica</w:t>
      </w:r>
      <w:r w:rsidR="00F607B5">
        <w:rPr>
          <w:lang w:val="en-US"/>
        </w:rPr>
        <w:t>,</w:t>
      </w:r>
      <w:r>
        <w:rPr>
          <w:lang w:val="en-US"/>
        </w:rPr>
        <w:t xml:space="preserve"> </w:t>
      </w:r>
      <w:r w:rsidR="00F607B5">
        <w:rPr>
          <w:lang w:val="en-US"/>
        </w:rPr>
        <w:t>t</w:t>
      </w:r>
      <w:r>
        <w:rPr>
          <w:lang w:val="en-US"/>
        </w:rPr>
        <w:t xml:space="preserve">he Expenditure </w:t>
      </w:r>
      <w:r w:rsidR="00CE1D83">
        <w:rPr>
          <w:lang w:val="en-US"/>
        </w:rPr>
        <w:t>for the previous fiscal year (2011/2012) was 403.122.200.000 Jamaican dollars. Using an exchange rate of 102,78 Jamaican dollars for USD, and the Expenditure results in USD 3.922.185.250.</w:t>
      </w:r>
    </w:p>
    <w:p w:rsidR="00E4530D" w:rsidRPr="00CE1D83" w:rsidRDefault="00CE1D83" w:rsidP="00E4530D">
      <w:pPr>
        <w:pStyle w:val="Vieta"/>
        <w:rPr>
          <w:lang w:val="en-US"/>
        </w:rPr>
      </w:pPr>
      <w:r w:rsidRPr="00CE1D83">
        <w:rPr>
          <w:lang w:val="en-US"/>
        </w:rPr>
        <w:t>The Average Asset Audit is estimated as the rate expenditure-MDAs</w:t>
      </w:r>
      <w:r w:rsidR="00E4530D" w:rsidRPr="00CE1D83">
        <w:rPr>
          <w:lang w:val="en-US"/>
        </w:rPr>
        <w:t>.</w:t>
      </w:r>
      <w:r>
        <w:rPr>
          <w:lang w:val="en-US"/>
        </w:rPr>
        <w:t xml:space="preserve"> It results </w:t>
      </w:r>
      <w:r w:rsidR="00955144">
        <w:rPr>
          <w:lang w:val="en-US"/>
        </w:rPr>
        <w:t>in USD</w:t>
      </w:r>
      <w:r>
        <w:rPr>
          <w:lang w:val="en-US"/>
        </w:rPr>
        <w:t xml:space="preserve"> 35</w:t>
      </w:r>
      <w:r w:rsidR="00162905">
        <w:rPr>
          <w:lang w:val="en-US"/>
        </w:rPr>
        <w:t>.</w:t>
      </w:r>
      <w:r>
        <w:rPr>
          <w:lang w:val="en-US"/>
        </w:rPr>
        <w:t>335</w:t>
      </w:r>
      <w:r w:rsidR="00162905">
        <w:rPr>
          <w:lang w:val="en-US"/>
        </w:rPr>
        <w:t>.</w:t>
      </w:r>
      <w:r>
        <w:rPr>
          <w:lang w:val="en-US"/>
        </w:rPr>
        <w:t>002,25.</w:t>
      </w:r>
    </w:p>
    <w:p w:rsidR="00E4530D" w:rsidRDefault="00CE1D83" w:rsidP="00E4530D">
      <w:pPr>
        <w:pStyle w:val="Vieta"/>
        <w:rPr>
          <w:lang w:val="en-US"/>
        </w:rPr>
      </w:pPr>
      <w:r w:rsidRPr="00955144">
        <w:rPr>
          <w:lang w:val="en-US"/>
        </w:rPr>
        <w:lastRenderedPageBreak/>
        <w:t xml:space="preserve">A linear projection of the increase in MDAs audited is </w:t>
      </w:r>
      <w:r w:rsidR="00955144" w:rsidRPr="00955144">
        <w:rPr>
          <w:lang w:val="en-US"/>
        </w:rPr>
        <w:t>assumed, until reach</w:t>
      </w:r>
      <w:r w:rsidR="00F607B5">
        <w:rPr>
          <w:lang w:val="en-US"/>
        </w:rPr>
        <w:t>ing</w:t>
      </w:r>
      <w:r w:rsidR="00955144" w:rsidRPr="00955144">
        <w:rPr>
          <w:lang w:val="en-US"/>
        </w:rPr>
        <w:t xml:space="preserve"> the maximum value in 2015. </w:t>
      </w:r>
    </w:p>
    <w:p w:rsidR="00955144" w:rsidRDefault="00955144" w:rsidP="00955144">
      <w:pPr>
        <w:pStyle w:val="Vieta"/>
        <w:rPr>
          <w:lang w:val="en-US"/>
        </w:rPr>
      </w:pPr>
      <w:r w:rsidRPr="00955144">
        <w:rPr>
          <w:lang w:val="en-US"/>
        </w:rPr>
        <w:t>Conserv</w:t>
      </w:r>
      <w:r>
        <w:rPr>
          <w:lang w:val="en-US"/>
        </w:rPr>
        <w:t>atively</w:t>
      </w:r>
      <w:r w:rsidR="00F607B5">
        <w:rPr>
          <w:lang w:val="en-US"/>
        </w:rPr>
        <w:t>, we</w:t>
      </w:r>
      <w:r>
        <w:rPr>
          <w:lang w:val="en-US"/>
        </w:rPr>
        <w:t xml:space="preserve"> assume that the Social Ben</w:t>
      </w:r>
      <w:r w:rsidR="00162905">
        <w:rPr>
          <w:lang w:val="en-US"/>
        </w:rPr>
        <w:t>efit Rate for MDAs audited is 0,</w:t>
      </w:r>
      <w:r>
        <w:rPr>
          <w:lang w:val="en-US"/>
        </w:rPr>
        <w:t>2%</w:t>
      </w:r>
      <w:r w:rsidR="002C053F">
        <w:rPr>
          <w:rStyle w:val="FootnoteReference"/>
          <w:lang w:val="en-US"/>
        </w:rPr>
        <w:footnoteReference w:id="15"/>
      </w:r>
      <w:r>
        <w:rPr>
          <w:lang w:val="en-US"/>
        </w:rPr>
        <w:t>.</w:t>
      </w:r>
    </w:p>
    <w:p w:rsidR="000F72A9" w:rsidRDefault="000F72A9" w:rsidP="00955144">
      <w:pPr>
        <w:pStyle w:val="Vieta"/>
        <w:rPr>
          <w:lang w:val="en-US"/>
        </w:rPr>
      </w:pPr>
      <w:r>
        <w:rPr>
          <w:lang w:val="en-US"/>
        </w:rPr>
        <w:t xml:space="preserve">The procurement budget used in the new system ascends to USD 500.000.000. We </w:t>
      </w:r>
      <w:r w:rsidR="00A363DB">
        <w:rPr>
          <w:lang w:val="en-US"/>
        </w:rPr>
        <w:t>estimate benefits only over the 25% of this amount.</w:t>
      </w:r>
    </w:p>
    <w:p w:rsidR="00A363DB" w:rsidRPr="00955144" w:rsidRDefault="00A363DB" w:rsidP="00955144">
      <w:pPr>
        <w:pStyle w:val="Vieta"/>
        <w:rPr>
          <w:lang w:val="en-US"/>
        </w:rPr>
      </w:pPr>
      <w:r>
        <w:rPr>
          <w:lang w:val="en-US"/>
        </w:rPr>
        <w:t>Conservatively assumes that savings due to the e-procurement system are 1%</w:t>
      </w:r>
      <w:r>
        <w:rPr>
          <w:rStyle w:val="FootnoteReference"/>
          <w:lang w:val="en-US"/>
        </w:rPr>
        <w:footnoteReference w:id="16"/>
      </w:r>
      <w:r>
        <w:rPr>
          <w:lang w:val="en-US"/>
        </w:rPr>
        <w:t>.</w:t>
      </w:r>
    </w:p>
    <w:p w:rsidR="00E4530D" w:rsidRPr="00955144" w:rsidRDefault="00955144" w:rsidP="00955144">
      <w:pPr>
        <w:pStyle w:val="Paragraph"/>
        <w:numPr>
          <w:ilvl w:val="1"/>
          <w:numId w:val="8"/>
        </w:numPr>
        <w:spacing w:before="0" w:after="0" w:line="480" w:lineRule="auto"/>
        <w:rPr>
          <w:szCs w:val="24"/>
          <w:lang w:val="en-US"/>
        </w:rPr>
      </w:pPr>
      <w:r w:rsidRPr="00955144">
        <w:rPr>
          <w:szCs w:val="24"/>
          <w:lang w:val="en-US"/>
        </w:rPr>
        <w:t>The following assumptions will be used to estimate costs</w:t>
      </w:r>
      <w:r w:rsidR="00E4530D" w:rsidRPr="00955144">
        <w:rPr>
          <w:szCs w:val="24"/>
          <w:lang w:val="en-US"/>
        </w:rPr>
        <w:t>:</w:t>
      </w:r>
    </w:p>
    <w:p w:rsidR="00E4530D" w:rsidRPr="00955144" w:rsidRDefault="00955144" w:rsidP="00955144">
      <w:pPr>
        <w:pStyle w:val="Vieta"/>
        <w:rPr>
          <w:lang w:val="en-US"/>
        </w:rPr>
      </w:pPr>
      <w:r w:rsidRPr="00955144">
        <w:rPr>
          <w:lang w:val="en-US"/>
        </w:rPr>
        <w:t>We assume that all costs will be executed in the first year</w:t>
      </w:r>
      <w:r w:rsidR="00E4530D" w:rsidRPr="00955144">
        <w:rPr>
          <w:lang w:val="en-US"/>
        </w:rPr>
        <w:t>.</w:t>
      </w:r>
    </w:p>
    <w:p w:rsidR="00E4530D" w:rsidRDefault="00955144" w:rsidP="00955144">
      <w:pPr>
        <w:pStyle w:val="Vieta"/>
        <w:rPr>
          <w:lang w:val="en-US"/>
        </w:rPr>
      </w:pPr>
      <w:r w:rsidRPr="00955144">
        <w:rPr>
          <w:lang w:val="en-US"/>
        </w:rPr>
        <w:t>The horizon from which benefits are calculated is 20 years</w:t>
      </w:r>
      <w:r w:rsidR="00E4530D" w:rsidRPr="00955144">
        <w:rPr>
          <w:lang w:val="en-US"/>
        </w:rPr>
        <w:t>.</w:t>
      </w:r>
    </w:p>
    <w:p w:rsidR="00053D65" w:rsidRPr="00955144" w:rsidRDefault="00053D65" w:rsidP="00053D65">
      <w:pPr>
        <w:pStyle w:val="Vieta"/>
        <w:rPr>
          <w:lang w:val="en-US"/>
        </w:rPr>
      </w:pPr>
      <w:r w:rsidRPr="00053D65">
        <w:rPr>
          <w:lang w:val="en-US"/>
        </w:rPr>
        <w:t xml:space="preserve">Costs corresponding to Components </w:t>
      </w:r>
      <w:r>
        <w:rPr>
          <w:lang w:val="en-US"/>
        </w:rPr>
        <w:t>2</w:t>
      </w:r>
      <w:r w:rsidR="00195936">
        <w:rPr>
          <w:lang w:val="en-US"/>
        </w:rPr>
        <w:t>,</w:t>
      </w:r>
      <w:r w:rsidRPr="00053D65">
        <w:rPr>
          <w:lang w:val="en-US"/>
        </w:rPr>
        <w:t xml:space="preserve"> </w:t>
      </w:r>
      <w:r>
        <w:rPr>
          <w:lang w:val="en-US"/>
        </w:rPr>
        <w:t>3</w:t>
      </w:r>
      <w:r w:rsidR="00195936">
        <w:rPr>
          <w:lang w:val="en-US"/>
        </w:rPr>
        <w:t xml:space="preserve"> and administration costs</w:t>
      </w:r>
      <w:r w:rsidRPr="00053D65">
        <w:rPr>
          <w:lang w:val="en-US"/>
        </w:rPr>
        <w:t xml:space="preserve"> are taking into account in this section</w:t>
      </w:r>
      <w:r w:rsidR="00195936">
        <w:rPr>
          <w:lang w:val="en-US"/>
        </w:rPr>
        <w:t xml:space="preserve">. </w:t>
      </w:r>
    </w:p>
    <w:p w:rsidR="00E4530D" w:rsidRPr="00A85DDD" w:rsidRDefault="005D5BEC" w:rsidP="00E4530D">
      <w:pPr>
        <w:pStyle w:val="TitulopostI"/>
        <w:rPr>
          <w:lang w:val="en-GB"/>
        </w:rPr>
      </w:pPr>
      <w:r>
        <w:rPr>
          <w:lang w:val="en-GB"/>
        </w:rPr>
        <w:t>Calculations</w:t>
      </w:r>
    </w:p>
    <w:p w:rsidR="00E4530D" w:rsidRPr="00133ADB" w:rsidRDefault="00133ADB" w:rsidP="00E4530D">
      <w:pPr>
        <w:pStyle w:val="Paragraph"/>
        <w:numPr>
          <w:ilvl w:val="1"/>
          <w:numId w:val="8"/>
        </w:numPr>
        <w:spacing w:before="0" w:after="0" w:line="480" w:lineRule="auto"/>
        <w:rPr>
          <w:szCs w:val="24"/>
          <w:lang w:val="en-US"/>
        </w:rPr>
      </w:pPr>
      <w:r w:rsidRPr="00133ADB">
        <w:rPr>
          <w:lang w:val="en-US"/>
        </w:rPr>
        <w:t xml:space="preserve">The calculations </w:t>
      </w:r>
      <w:r>
        <w:rPr>
          <w:lang w:val="en-US"/>
        </w:rPr>
        <w:t xml:space="preserve">of the annual benefits </w:t>
      </w:r>
      <w:r w:rsidRPr="00133ADB">
        <w:rPr>
          <w:lang w:val="en-US"/>
        </w:rPr>
        <w:t>for the Accountabi</w:t>
      </w:r>
      <w:r>
        <w:rPr>
          <w:lang w:val="en-US"/>
        </w:rPr>
        <w:t>lity Systems Subcomponent are detailed  in the next table</w:t>
      </w:r>
      <w:r w:rsidR="00E4530D" w:rsidRPr="00133ADB">
        <w:rPr>
          <w:kern w:val="28"/>
          <w:szCs w:val="22"/>
          <w:lang w:val="en-US"/>
        </w:rPr>
        <w:t>:</w:t>
      </w:r>
    </w:p>
    <w:tbl>
      <w:tblPr>
        <w:tblW w:w="8364" w:type="dxa"/>
        <w:tblInd w:w="675" w:type="dxa"/>
        <w:tblLayout w:type="fixed"/>
        <w:tblLook w:val="04A0" w:firstRow="1" w:lastRow="0" w:firstColumn="1" w:lastColumn="0" w:noHBand="0" w:noVBand="1"/>
      </w:tblPr>
      <w:tblGrid>
        <w:gridCol w:w="477"/>
        <w:gridCol w:w="3510"/>
        <w:gridCol w:w="1542"/>
        <w:gridCol w:w="2835"/>
      </w:tblGrid>
      <w:tr w:rsidR="00E4530D" w:rsidRPr="00D54447" w:rsidTr="00E4530D">
        <w:trPr>
          <w:trHeight w:val="280"/>
        </w:trPr>
        <w:tc>
          <w:tcPr>
            <w:tcW w:w="8364" w:type="dxa"/>
            <w:gridSpan w:val="4"/>
            <w:tcBorders>
              <w:top w:val="nil"/>
              <w:left w:val="nil"/>
              <w:bottom w:val="single" w:sz="4" w:space="0" w:color="auto"/>
              <w:right w:val="nil"/>
            </w:tcBorders>
            <w:shd w:val="clear" w:color="auto" w:fill="auto"/>
            <w:noWrap/>
            <w:vAlign w:val="center"/>
            <w:hideMark/>
          </w:tcPr>
          <w:p w:rsidR="00E4530D" w:rsidRPr="00D54447" w:rsidRDefault="00133ADB" w:rsidP="00D54447">
            <w:pPr>
              <w:pStyle w:val="TituloTabla"/>
              <w:rPr>
                <w:b w:val="0"/>
                <w:bCs w:val="0"/>
                <w:lang w:val="en-US"/>
              </w:rPr>
            </w:pPr>
            <w:r w:rsidRPr="00D54447">
              <w:rPr>
                <w:lang w:val="en-US"/>
              </w:rPr>
              <w:t>Table</w:t>
            </w:r>
            <w:r w:rsidR="00E4530D" w:rsidRPr="00D54447">
              <w:rPr>
                <w:lang w:val="en-US"/>
              </w:rPr>
              <w:t xml:space="preserve"> 2. </w:t>
            </w:r>
            <w:r w:rsidR="00D54447" w:rsidRPr="00D54447">
              <w:rPr>
                <w:lang w:val="en-US"/>
              </w:rPr>
              <w:t xml:space="preserve">Calculus of the monetary value in USD of the annual benefits  derives from the </w:t>
            </w:r>
            <w:r w:rsidR="00D54447">
              <w:rPr>
                <w:lang w:val="en-US"/>
              </w:rPr>
              <w:t>Accountability Systems Subcomponent</w:t>
            </w:r>
          </w:p>
        </w:tc>
      </w:tr>
      <w:tr w:rsidR="00E4530D" w:rsidRPr="00A85DDD" w:rsidTr="006D74F8">
        <w:trPr>
          <w:trHeight w:val="280"/>
        </w:trPr>
        <w:tc>
          <w:tcPr>
            <w:tcW w:w="477" w:type="dxa"/>
            <w:tcBorders>
              <w:top w:val="nil"/>
              <w:left w:val="nil"/>
              <w:bottom w:val="nil"/>
              <w:right w:val="nil"/>
            </w:tcBorders>
            <w:shd w:val="clear" w:color="auto" w:fill="auto"/>
            <w:noWrap/>
            <w:vAlign w:val="center"/>
            <w:hideMark/>
          </w:tcPr>
          <w:p w:rsidR="00E4530D" w:rsidRPr="00A85DDD" w:rsidRDefault="00E4530D" w:rsidP="00E4530D">
            <w:pPr>
              <w:spacing w:after="0" w:line="240" w:lineRule="auto"/>
              <w:ind w:left="567" w:hanging="567"/>
              <w:rPr>
                <w:rFonts w:ascii="Times New Roman" w:eastAsia="Times New Roman" w:hAnsi="Times New Roman"/>
                <w:color w:val="000000"/>
              </w:rPr>
            </w:pPr>
            <w:r w:rsidRPr="00A85DDD">
              <w:rPr>
                <w:rFonts w:ascii="Times New Roman" w:eastAsia="Times New Roman" w:hAnsi="Times New Roman"/>
                <w:color w:val="000000"/>
              </w:rPr>
              <w:t>1</w:t>
            </w:r>
          </w:p>
        </w:tc>
        <w:tc>
          <w:tcPr>
            <w:tcW w:w="3510" w:type="dxa"/>
            <w:tcBorders>
              <w:top w:val="nil"/>
              <w:left w:val="nil"/>
              <w:bottom w:val="nil"/>
              <w:right w:val="single" w:sz="4" w:space="0" w:color="auto"/>
            </w:tcBorders>
            <w:shd w:val="clear" w:color="auto" w:fill="auto"/>
            <w:noWrap/>
            <w:vAlign w:val="center"/>
            <w:hideMark/>
          </w:tcPr>
          <w:p w:rsidR="00E4530D" w:rsidRPr="00A85DDD" w:rsidRDefault="00872842" w:rsidP="00E4530D">
            <w:pPr>
              <w:spacing w:after="0" w:line="240" w:lineRule="auto"/>
              <w:rPr>
                <w:rFonts w:ascii="Times New Roman" w:eastAsia="Times New Roman" w:hAnsi="Times New Roman"/>
                <w:color w:val="000000"/>
              </w:rPr>
            </w:pPr>
            <w:r>
              <w:rPr>
                <w:rFonts w:ascii="Times New Roman" w:eastAsia="Times New Roman" w:hAnsi="Times New Roman"/>
                <w:color w:val="000000"/>
              </w:rPr>
              <w:t>Average Asset Audit</w:t>
            </w:r>
            <w:r w:rsidR="00E4530D" w:rsidRPr="00A85DDD">
              <w:rPr>
                <w:rFonts w:ascii="Times New Roman" w:eastAsia="Times New Roman" w:hAnsi="Times New Roman"/>
                <w:color w:val="000000"/>
              </w:rPr>
              <w:t xml:space="preserve"> USD</w:t>
            </w:r>
          </w:p>
        </w:tc>
        <w:tc>
          <w:tcPr>
            <w:tcW w:w="1542" w:type="dxa"/>
            <w:tcBorders>
              <w:top w:val="nil"/>
              <w:left w:val="nil"/>
              <w:bottom w:val="nil"/>
              <w:right w:val="single" w:sz="4" w:space="0" w:color="auto"/>
            </w:tcBorders>
            <w:shd w:val="clear" w:color="auto" w:fill="auto"/>
            <w:noWrap/>
            <w:vAlign w:val="center"/>
            <w:hideMark/>
          </w:tcPr>
          <w:p w:rsidR="00E4530D" w:rsidRPr="00A85DDD" w:rsidRDefault="00872842" w:rsidP="00E4530D">
            <w:pPr>
              <w:spacing w:after="0" w:line="240" w:lineRule="auto"/>
              <w:ind w:left="567" w:hanging="567"/>
              <w:jc w:val="right"/>
              <w:rPr>
                <w:rFonts w:ascii="Times New Roman" w:eastAsia="Times New Roman" w:hAnsi="Times New Roman"/>
                <w:color w:val="000000"/>
              </w:rPr>
            </w:pPr>
            <w:r>
              <w:rPr>
                <w:rFonts w:ascii="Times New Roman" w:eastAsia="Times New Roman" w:hAnsi="Times New Roman"/>
                <w:color w:val="000000"/>
              </w:rPr>
              <w:t>35.335.002,35</w:t>
            </w:r>
          </w:p>
        </w:tc>
        <w:tc>
          <w:tcPr>
            <w:tcW w:w="2835" w:type="dxa"/>
            <w:tcBorders>
              <w:top w:val="nil"/>
              <w:left w:val="nil"/>
              <w:bottom w:val="nil"/>
              <w:right w:val="nil"/>
            </w:tcBorders>
            <w:shd w:val="clear" w:color="auto" w:fill="auto"/>
            <w:noWrap/>
            <w:vAlign w:val="center"/>
            <w:hideMark/>
          </w:tcPr>
          <w:p w:rsidR="00E4530D" w:rsidRPr="00A85DDD" w:rsidRDefault="00872842" w:rsidP="00E4530D">
            <w:pPr>
              <w:spacing w:after="0" w:line="240" w:lineRule="auto"/>
              <w:ind w:left="567" w:hanging="567"/>
              <w:rPr>
                <w:rFonts w:ascii="Times New Roman" w:eastAsia="Times New Roman" w:hAnsi="Times New Roman"/>
                <w:color w:val="000000"/>
              </w:rPr>
            </w:pPr>
            <w:r>
              <w:rPr>
                <w:rFonts w:ascii="Times New Roman" w:eastAsia="Times New Roman" w:hAnsi="Times New Roman"/>
                <w:color w:val="000000"/>
              </w:rPr>
              <w:t>Own estimate</w:t>
            </w:r>
          </w:p>
        </w:tc>
      </w:tr>
      <w:tr w:rsidR="00E4530D" w:rsidRPr="00A85DDD" w:rsidTr="006D74F8">
        <w:trPr>
          <w:trHeight w:val="280"/>
        </w:trPr>
        <w:tc>
          <w:tcPr>
            <w:tcW w:w="477" w:type="dxa"/>
            <w:tcBorders>
              <w:top w:val="nil"/>
              <w:left w:val="nil"/>
              <w:bottom w:val="nil"/>
              <w:right w:val="nil"/>
            </w:tcBorders>
            <w:shd w:val="clear" w:color="auto" w:fill="auto"/>
            <w:noWrap/>
            <w:vAlign w:val="center"/>
            <w:hideMark/>
          </w:tcPr>
          <w:p w:rsidR="00E4530D" w:rsidRPr="00A85DDD" w:rsidRDefault="00E4530D" w:rsidP="00E4530D">
            <w:pPr>
              <w:spacing w:after="0" w:line="240" w:lineRule="auto"/>
              <w:ind w:left="567" w:hanging="567"/>
              <w:rPr>
                <w:rFonts w:ascii="Times New Roman" w:eastAsia="Times New Roman" w:hAnsi="Times New Roman"/>
                <w:color w:val="000000"/>
              </w:rPr>
            </w:pPr>
            <w:r w:rsidRPr="00A85DDD">
              <w:rPr>
                <w:rFonts w:ascii="Times New Roman" w:eastAsia="Times New Roman" w:hAnsi="Times New Roman"/>
                <w:color w:val="000000"/>
              </w:rPr>
              <w:t>2</w:t>
            </w:r>
          </w:p>
        </w:tc>
        <w:tc>
          <w:tcPr>
            <w:tcW w:w="3510" w:type="dxa"/>
            <w:tcBorders>
              <w:top w:val="nil"/>
              <w:left w:val="nil"/>
              <w:bottom w:val="nil"/>
              <w:right w:val="single" w:sz="4" w:space="0" w:color="auto"/>
            </w:tcBorders>
            <w:shd w:val="clear" w:color="auto" w:fill="auto"/>
            <w:noWrap/>
            <w:vAlign w:val="center"/>
            <w:hideMark/>
          </w:tcPr>
          <w:p w:rsidR="00E4530D" w:rsidRPr="00A85DDD" w:rsidRDefault="00872842" w:rsidP="00E4530D">
            <w:pPr>
              <w:spacing w:after="0" w:line="240" w:lineRule="auto"/>
              <w:rPr>
                <w:rFonts w:ascii="Times New Roman" w:eastAsia="Times New Roman" w:hAnsi="Times New Roman"/>
                <w:color w:val="000000"/>
              </w:rPr>
            </w:pPr>
            <w:r>
              <w:rPr>
                <w:rFonts w:ascii="Times New Roman" w:eastAsia="Times New Roman" w:hAnsi="Times New Roman"/>
                <w:color w:val="000000"/>
              </w:rPr>
              <w:t>Expected increase in MDAs audited</w:t>
            </w:r>
          </w:p>
        </w:tc>
        <w:tc>
          <w:tcPr>
            <w:tcW w:w="1542" w:type="dxa"/>
            <w:tcBorders>
              <w:top w:val="nil"/>
              <w:left w:val="nil"/>
              <w:bottom w:val="nil"/>
              <w:right w:val="single" w:sz="4" w:space="0" w:color="auto"/>
            </w:tcBorders>
            <w:shd w:val="clear" w:color="auto" w:fill="auto"/>
            <w:noWrap/>
            <w:vAlign w:val="center"/>
            <w:hideMark/>
          </w:tcPr>
          <w:p w:rsidR="00E4530D" w:rsidRPr="00A85DDD" w:rsidRDefault="00872842" w:rsidP="00E4530D">
            <w:pPr>
              <w:spacing w:after="0" w:line="240" w:lineRule="auto"/>
              <w:ind w:left="567" w:hanging="567"/>
              <w:jc w:val="right"/>
              <w:rPr>
                <w:rFonts w:ascii="Times New Roman" w:eastAsia="Times New Roman" w:hAnsi="Times New Roman"/>
                <w:b/>
                <w:bCs/>
                <w:color w:val="000000"/>
              </w:rPr>
            </w:pPr>
            <w:r>
              <w:rPr>
                <w:rFonts w:ascii="Times New Roman" w:eastAsia="Times New Roman" w:hAnsi="Times New Roman"/>
                <w:color w:val="000000"/>
              </w:rPr>
              <w:t>13</w:t>
            </w:r>
          </w:p>
        </w:tc>
        <w:tc>
          <w:tcPr>
            <w:tcW w:w="2835" w:type="dxa"/>
            <w:tcBorders>
              <w:top w:val="nil"/>
              <w:left w:val="nil"/>
              <w:bottom w:val="nil"/>
              <w:right w:val="nil"/>
            </w:tcBorders>
            <w:shd w:val="clear" w:color="auto" w:fill="auto"/>
            <w:noWrap/>
            <w:vAlign w:val="center"/>
            <w:hideMark/>
          </w:tcPr>
          <w:p w:rsidR="00E4530D" w:rsidRPr="00A85DDD" w:rsidRDefault="00872842" w:rsidP="00E4530D">
            <w:pPr>
              <w:spacing w:after="0" w:line="240" w:lineRule="auto"/>
              <w:ind w:left="567" w:hanging="567"/>
              <w:rPr>
                <w:rFonts w:ascii="Times New Roman" w:eastAsia="Times New Roman" w:hAnsi="Times New Roman"/>
                <w:b/>
                <w:bCs/>
                <w:color w:val="000000"/>
              </w:rPr>
            </w:pPr>
            <w:r>
              <w:rPr>
                <w:rFonts w:ascii="Times New Roman" w:eastAsia="Times New Roman" w:hAnsi="Times New Roman"/>
                <w:color w:val="000000"/>
              </w:rPr>
              <w:t>Program Data</w:t>
            </w:r>
          </w:p>
        </w:tc>
      </w:tr>
      <w:tr w:rsidR="00E4530D" w:rsidRPr="00A85DDD" w:rsidTr="006D74F8">
        <w:trPr>
          <w:trHeight w:val="280"/>
        </w:trPr>
        <w:tc>
          <w:tcPr>
            <w:tcW w:w="477" w:type="dxa"/>
            <w:tcBorders>
              <w:top w:val="nil"/>
              <w:left w:val="nil"/>
              <w:bottom w:val="nil"/>
              <w:right w:val="nil"/>
            </w:tcBorders>
            <w:shd w:val="clear" w:color="auto" w:fill="auto"/>
            <w:noWrap/>
            <w:vAlign w:val="center"/>
            <w:hideMark/>
          </w:tcPr>
          <w:p w:rsidR="00E4530D" w:rsidRPr="00A85DDD" w:rsidRDefault="00E4530D" w:rsidP="00E4530D">
            <w:pPr>
              <w:spacing w:after="0" w:line="240" w:lineRule="auto"/>
              <w:ind w:left="567" w:hanging="567"/>
              <w:rPr>
                <w:rFonts w:ascii="Times New Roman" w:eastAsia="Times New Roman" w:hAnsi="Times New Roman"/>
                <w:color w:val="000000"/>
              </w:rPr>
            </w:pPr>
            <w:r w:rsidRPr="00A85DDD">
              <w:rPr>
                <w:rFonts w:ascii="Times New Roman" w:eastAsia="Times New Roman" w:hAnsi="Times New Roman"/>
                <w:color w:val="000000"/>
              </w:rPr>
              <w:t>3</w:t>
            </w:r>
          </w:p>
        </w:tc>
        <w:tc>
          <w:tcPr>
            <w:tcW w:w="3510" w:type="dxa"/>
            <w:tcBorders>
              <w:top w:val="nil"/>
              <w:left w:val="nil"/>
              <w:bottom w:val="nil"/>
              <w:right w:val="single" w:sz="4" w:space="0" w:color="auto"/>
            </w:tcBorders>
            <w:shd w:val="clear" w:color="auto" w:fill="auto"/>
            <w:noWrap/>
            <w:vAlign w:val="center"/>
            <w:hideMark/>
          </w:tcPr>
          <w:p w:rsidR="00E4530D" w:rsidRPr="00A85DDD" w:rsidRDefault="00872842" w:rsidP="00E4530D">
            <w:pPr>
              <w:spacing w:after="0" w:line="240" w:lineRule="auto"/>
              <w:rPr>
                <w:rFonts w:ascii="Times New Roman" w:eastAsia="Times New Roman" w:hAnsi="Times New Roman"/>
                <w:color w:val="000000"/>
              </w:rPr>
            </w:pPr>
            <w:r>
              <w:rPr>
                <w:rFonts w:ascii="Times New Roman" w:eastAsia="Times New Roman" w:hAnsi="Times New Roman"/>
                <w:color w:val="000000"/>
              </w:rPr>
              <w:t>Social Benefit Rate</w:t>
            </w:r>
          </w:p>
        </w:tc>
        <w:tc>
          <w:tcPr>
            <w:tcW w:w="1542" w:type="dxa"/>
            <w:tcBorders>
              <w:top w:val="nil"/>
              <w:left w:val="nil"/>
              <w:bottom w:val="nil"/>
              <w:right w:val="single" w:sz="4" w:space="0" w:color="auto"/>
            </w:tcBorders>
            <w:shd w:val="clear" w:color="auto" w:fill="auto"/>
            <w:noWrap/>
            <w:vAlign w:val="center"/>
            <w:hideMark/>
          </w:tcPr>
          <w:p w:rsidR="00E4530D" w:rsidRPr="00A85DDD" w:rsidRDefault="00162905" w:rsidP="00E4530D">
            <w:pPr>
              <w:spacing w:after="0" w:line="240" w:lineRule="auto"/>
              <w:ind w:left="567" w:hanging="567"/>
              <w:jc w:val="right"/>
              <w:rPr>
                <w:rFonts w:ascii="Times New Roman" w:eastAsia="Times New Roman" w:hAnsi="Times New Roman"/>
                <w:b/>
                <w:bCs/>
                <w:color w:val="000000"/>
              </w:rPr>
            </w:pPr>
            <w:r>
              <w:rPr>
                <w:rFonts w:ascii="Times New Roman" w:eastAsia="Times New Roman" w:hAnsi="Times New Roman"/>
                <w:color w:val="000000"/>
              </w:rPr>
              <w:t>0,</w:t>
            </w:r>
            <w:r w:rsidR="00872842">
              <w:rPr>
                <w:rFonts w:ascii="Times New Roman" w:eastAsia="Times New Roman" w:hAnsi="Times New Roman"/>
                <w:color w:val="000000"/>
              </w:rPr>
              <w:t>2%</w:t>
            </w:r>
          </w:p>
        </w:tc>
        <w:tc>
          <w:tcPr>
            <w:tcW w:w="2835" w:type="dxa"/>
            <w:tcBorders>
              <w:top w:val="nil"/>
              <w:left w:val="nil"/>
              <w:bottom w:val="nil"/>
              <w:right w:val="nil"/>
            </w:tcBorders>
            <w:shd w:val="clear" w:color="auto" w:fill="auto"/>
            <w:noWrap/>
            <w:vAlign w:val="center"/>
            <w:hideMark/>
          </w:tcPr>
          <w:p w:rsidR="00E4530D" w:rsidRPr="00A85DDD" w:rsidRDefault="00872842" w:rsidP="00E4530D">
            <w:pPr>
              <w:spacing w:after="0" w:line="240" w:lineRule="auto"/>
              <w:ind w:left="567" w:hanging="567"/>
              <w:rPr>
                <w:rFonts w:ascii="Times New Roman" w:eastAsia="Times New Roman" w:hAnsi="Times New Roman"/>
                <w:b/>
                <w:bCs/>
                <w:color w:val="000000"/>
              </w:rPr>
            </w:pPr>
            <w:r>
              <w:rPr>
                <w:rFonts w:ascii="Times New Roman" w:eastAsia="Times New Roman" w:hAnsi="Times New Roman"/>
                <w:color w:val="000000"/>
              </w:rPr>
              <w:t>Assumption</w:t>
            </w:r>
          </w:p>
        </w:tc>
      </w:tr>
      <w:tr w:rsidR="00E4530D" w:rsidRPr="00A85DDD" w:rsidTr="006D74F8">
        <w:trPr>
          <w:trHeight w:val="280"/>
        </w:trPr>
        <w:tc>
          <w:tcPr>
            <w:tcW w:w="477" w:type="dxa"/>
            <w:tcBorders>
              <w:top w:val="nil"/>
              <w:left w:val="nil"/>
              <w:bottom w:val="nil"/>
              <w:right w:val="nil"/>
            </w:tcBorders>
            <w:shd w:val="clear" w:color="auto" w:fill="auto"/>
            <w:noWrap/>
            <w:vAlign w:val="center"/>
          </w:tcPr>
          <w:p w:rsidR="00E4530D" w:rsidRPr="00A85DDD" w:rsidRDefault="00E4530D" w:rsidP="00E4530D">
            <w:pPr>
              <w:spacing w:after="0" w:line="240" w:lineRule="auto"/>
              <w:ind w:left="567" w:hanging="567"/>
              <w:rPr>
                <w:rFonts w:ascii="Times New Roman" w:eastAsia="Times New Roman" w:hAnsi="Times New Roman"/>
                <w:color w:val="000000"/>
              </w:rPr>
            </w:pPr>
            <w:r w:rsidRPr="00A85DDD">
              <w:rPr>
                <w:rFonts w:ascii="Times New Roman" w:eastAsia="Times New Roman" w:hAnsi="Times New Roman"/>
                <w:color w:val="000000"/>
              </w:rPr>
              <w:t>4</w:t>
            </w:r>
          </w:p>
        </w:tc>
        <w:tc>
          <w:tcPr>
            <w:tcW w:w="3510" w:type="dxa"/>
            <w:tcBorders>
              <w:top w:val="nil"/>
              <w:left w:val="nil"/>
              <w:bottom w:val="nil"/>
              <w:right w:val="single" w:sz="4" w:space="0" w:color="auto"/>
            </w:tcBorders>
            <w:shd w:val="clear" w:color="auto" w:fill="auto"/>
            <w:noWrap/>
            <w:vAlign w:val="center"/>
          </w:tcPr>
          <w:p w:rsidR="00E4530D" w:rsidRPr="00872842" w:rsidRDefault="00872842" w:rsidP="00E4530D">
            <w:pPr>
              <w:spacing w:after="0" w:line="240" w:lineRule="auto"/>
              <w:rPr>
                <w:rFonts w:ascii="Times New Roman" w:eastAsia="Times New Roman" w:hAnsi="Times New Roman"/>
                <w:color w:val="000000"/>
                <w:lang w:val="en-US"/>
              </w:rPr>
            </w:pPr>
            <w:r w:rsidRPr="00872842">
              <w:rPr>
                <w:rFonts w:ascii="Times New Roman" w:eastAsia="Times New Roman" w:hAnsi="Times New Roman"/>
                <w:color w:val="000000"/>
                <w:lang w:val="en-US"/>
              </w:rPr>
              <w:t>Average Margin per Unit USD</w:t>
            </w:r>
          </w:p>
        </w:tc>
        <w:tc>
          <w:tcPr>
            <w:tcW w:w="1542" w:type="dxa"/>
            <w:tcBorders>
              <w:top w:val="nil"/>
              <w:left w:val="nil"/>
              <w:bottom w:val="nil"/>
              <w:right w:val="single" w:sz="4" w:space="0" w:color="auto"/>
            </w:tcBorders>
            <w:shd w:val="clear" w:color="auto" w:fill="auto"/>
            <w:noWrap/>
            <w:vAlign w:val="center"/>
          </w:tcPr>
          <w:p w:rsidR="00E4530D" w:rsidRPr="00A85DDD" w:rsidRDefault="00872842" w:rsidP="00E4530D">
            <w:pPr>
              <w:spacing w:after="0" w:line="240" w:lineRule="auto"/>
              <w:ind w:left="567" w:hanging="567"/>
              <w:jc w:val="right"/>
              <w:rPr>
                <w:rFonts w:ascii="Times New Roman" w:eastAsia="Times New Roman" w:hAnsi="Times New Roman"/>
                <w:b/>
                <w:bCs/>
                <w:color w:val="000000"/>
              </w:rPr>
            </w:pPr>
            <w:r>
              <w:rPr>
                <w:rFonts w:ascii="Times New Roman" w:eastAsia="Times New Roman" w:hAnsi="Times New Roman"/>
                <w:color w:val="000000"/>
              </w:rPr>
              <w:t>39</w:t>
            </w:r>
            <w:r w:rsidR="00601B16">
              <w:rPr>
                <w:rFonts w:ascii="Times New Roman" w:eastAsia="Times New Roman" w:hAnsi="Times New Roman"/>
                <w:color w:val="000000"/>
              </w:rPr>
              <w:t>.</w:t>
            </w:r>
            <w:r>
              <w:rPr>
                <w:rFonts w:ascii="Times New Roman" w:eastAsia="Times New Roman" w:hAnsi="Times New Roman"/>
                <w:color w:val="000000"/>
              </w:rPr>
              <w:t>432,00</w:t>
            </w:r>
          </w:p>
        </w:tc>
        <w:tc>
          <w:tcPr>
            <w:tcW w:w="2835" w:type="dxa"/>
            <w:tcBorders>
              <w:top w:val="nil"/>
              <w:left w:val="nil"/>
              <w:bottom w:val="nil"/>
              <w:right w:val="nil"/>
            </w:tcBorders>
            <w:shd w:val="clear" w:color="auto" w:fill="auto"/>
            <w:noWrap/>
            <w:vAlign w:val="center"/>
          </w:tcPr>
          <w:p w:rsidR="00E4530D" w:rsidRPr="00A85DDD" w:rsidRDefault="006D74F8" w:rsidP="00E4530D">
            <w:pPr>
              <w:spacing w:after="0" w:line="240" w:lineRule="auto"/>
              <w:ind w:left="567" w:hanging="567"/>
              <w:rPr>
                <w:rFonts w:ascii="Times New Roman" w:eastAsia="Times New Roman" w:hAnsi="Times New Roman"/>
                <w:b/>
                <w:bCs/>
                <w:color w:val="000000"/>
              </w:rPr>
            </w:pPr>
            <w:r>
              <w:rPr>
                <w:rFonts w:ascii="Times New Roman" w:eastAsia="Times New Roman" w:hAnsi="Times New Roman"/>
                <w:color w:val="000000"/>
              </w:rPr>
              <w:t>Own estimate</w:t>
            </w:r>
          </w:p>
        </w:tc>
      </w:tr>
      <w:tr w:rsidR="00B07BDA" w:rsidRPr="00A85DDD" w:rsidTr="006D74F8">
        <w:trPr>
          <w:trHeight w:val="280"/>
        </w:trPr>
        <w:tc>
          <w:tcPr>
            <w:tcW w:w="477" w:type="dxa"/>
            <w:tcBorders>
              <w:top w:val="nil"/>
              <w:left w:val="nil"/>
              <w:bottom w:val="nil"/>
              <w:right w:val="nil"/>
            </w:tcBorders>
            <w:shd w:val="clear" w:color="auto" w:fill="auto"/>
            <w:noWrap/>
            <w:vAlign w:val="center"/>
          </w:tcPr>
          <w:p w:rsidR="00B07BDA" w:rsidRPr="00A85DDD" w:rsidRDefault="00B07BDA" w:rsidP="00E4530D">
            <w:pPr>
              <w:spacing w:after="0" w:line="240" w:lineRule="auto"/>
              <w:ind w:left="567" w:hanging="567"/>
              <w:rPr>
                <w:rFonts w:ascii="Times New Roman" w:eastAsia="Times New Roman" w:hAnsi="Times New Roman"/>
                <w:color w:val="000000"/>
              </w:rPr>
            </w:pPr>
            <w:r>
              <w:rPr>
                <w:rFonts w:ascii="Times New Roman" w:eastAsia="Times New Roman" w:hAnsi="Times New Roman"/>
                <w:color w:val="000000"/>
              </w:rPr>
              <w:t>5</w:t>
            </w:r>
          </w:p>
        </w:tc>
        <w:tc>
          <w:tcPr>
            <w:tcW w:w="3510" w:type="dxa"/>
            <w:tcBorders>
              <w:top w:val="nil"/>
              <w:left w:val="nil"/>
              <w:bottom w:val="nil"/>
              <w:right w:val="single" w:sz="4" w:space="0" w:color="auto"/>
            </w:tcBorders>
            <w:shd w:val="clear" w:color="auto" w:fill="auto"/>
            <w:noWrap/>
            <w:vAlign w:val="center"/>
          </w:tcPr>
          <w:p w:rsidR="00B07BDA" w:rsidRPr="00872842" w:rsidRDefault="00B07BDA" w:rsidP="00E4530D">
            <w:pPr>
              <w:spacing w:after="0" w:line="240" w:lineRule="auto"/>
              <w:rPr>
                <w:rFonts w:ascii="Times New Roman" w:eastAsia="Times New Roman" w:hAnsi="Times New Roman"/>
                <w:color w:val="000000"/>
                <w:lang w:val="en-US"/>
              </w:rPr>
            </w:pPr>
            <w:r>
              <w:rPr>
                <w:rFonts w:ascii="Times New Roman" w:eastAsia="Times New Roman" w:hAnsi="Times New Roman"/>
                <w:color w:val="000000"/>
                <w:lang w:val="en-US"/>
              </w:rPr>
              <w:t>Procurement Budget</w:t>
            </w:r>
          </w:p>
        </w:tc>
        <w:tc>
          <w:tcPr>
            <w:tcW w:w="1542" w:type="dxa"/>
            <w:tcBorders>
              <w:top w:val="nil"/>
              <w:left w:val="nil"/>
              <w:bottom w:val="nil"/>
              <w:right w:val="single" w:sz="4" w:space="0" w:color="auto"/>
            </w:tcBorders>
            <w:shd w:val="clear" w:color="auto" w:fill="auto"/>
            <w:noWrap/>
            <w:vAlign w:val="center"/>
          </w:tcPr>
          <w:p w:rsidR="00B07BDA" w:rsidRDefault="00B07BDA" w:rsidP="00E4530D">
            <w:pPr>
              <w:spacing w:after="0" w:line="240" w:lineRule="auto"/>
              <w:ind w:left="567" w:hanging="567"/>
              <w:jc w:val="right"/>
              <w:rPr>
                <w:rFonts w:ascii="Times New Roman" w:eastAsia="Times New Roman" w:hAnsi="Times New Roman"/>
                <w:color w:val="000000"/>
              </w:rPr>
            </w:pPr>
            <w:r>
              <w:rPr>
                <w:rFonts w:ascii="Times New Roman" w:eastAsia="Times New Roman" w:hAnsi="Times New Roman"/>
                <w:color w:val="000000"/>
              </w:rPr>
              <w:t>500.000.000</w:t>
            </w:r>
          </w:p>
        </w:tc>
        <w:tc>
          <w:tcPr>
            <w:tcW w:w="2835" w:type="dxa"/>
            <w:tcBorders>
              <w:top w:val="nil"/>
              <w:left w:val="nil"/>
              <w:bottom w:val="nil"/>
              <w:right w:val="nil"/>
            </w:tcBorders>
            <w:shd w:val="clear" w:color="auto" w:fill="auto"/>
            <w:noWrap/>
            <w:vAlign w:val="center"/>
          </w:tcPr>
          <w:p w:rsidR="00B07BDA" w:rsidRDefault="00B07BDA" w:rsidP="00E4530D">
            <w:pPr>
              <w:spacing w:after="0" w:line="240" w:lineRule="auto"/>
              <w:ind w:left="567" w:hanging="567"/>
              <w:rPr>
                <w:rFonts w:ascii="Times New Roman" w:eastAsia="Times New Roman" w:hAnsi="Times New Roman"/>
                <w:color w:val="000000"/>
              </w:rPr>
            </w:pPr>
            <w:r>
              <w:rPr>
                <w:rFonts w:ascii="Times New Roman" w:eastAsia="Times New Roman" w:hAnsi="Times New Roman"/>
                <w:color w:val="000000"/>
              </w:rPr>
              <w:t>Program Data</w:t>
            </w:r>
          </w:p>
        </w:tc>
      </w:tr>
      <w:tr w:rsidR="00B07BDA" w:rsidRPr="00A85DDD" w:rsidTr="006D74F8">
        <w:trPr>
          <w:trHeight w:val="280"/>
        </w:trPr>
        <w:tc>
          <w:tcPr>
            <w:tcW w:w="477" w:type="dxa"/>
            <w:tcBorders>
              <w:top w:val="nil"/>
              <w:left w:val="nil"/>
              <w:bottom w:val="nil"/>
              <w:right w:val="nil"/>
            </w:tcBorders>
            <w:shd w:val="clear" w:color="auto" w:fill="auto"/>
            <w:noWrap/>
            <w:vAlign w:val="center"/>
          </w:tcPr>
          <w:p w:rsidR="00B07BDA" w:rsidRDefault="00B07BDA" w:rsidP="00E4530D">
            <w:pPr>
              <w:spacing w:after="0" w:line="240" w:lineRule="auto"/>
              <w:ind w:left="567" w:hanging="567"/>
              <w:rPr>
                <w:rFonts w:ascii="Times New Roman" w:eastAsia="Times New Roman" w:hAnsi="Times New Roman"/>
                <w:color w:val="000000"/>
              </w:rPr>
            </w:pPr>
            <w:r>
              <w:rPr>
                <w:rFonts w:ascii="Times New Roman" w:eastAsia="Times New Roman" w:hAnsi="Times New Roman"/>
                <w:color w:val="000000"/>
              </w:rPr>
              <w:t>6</w:t>
            </w:r>
          </w:p>
        </w:tc>
        <w:tc>
          <w:tcPr>
            <w:tcW w:w="3510" w:type="dxa"/>
            <w:tcBorders>
              <w:top w:val="nil"/>
              <w:left w:val="nil"/>
              <w:bottom w:val="nil"/>
              <w:right w:val="single" w:sz="4" w:space="0" w:color="auto"/>
            </w:tcBorders>
            <w:shd w:val="clear" w:color="auto" w:fill="auto"/>
            <w:noWrap/>
            <w:vAlign w:val="center"/>
          </w:tcPr>
          <w:p w:rsidR="00B07BDA" w:rsidRDefault="00B07BDA" w:rsidP="00B07BDA">
            <w:pPr>
              <w:spacing w:after="0" w:line="240" w:lineRule="auto"/>
              <w:rPr>
                <w:rFonts w:ascii="Times New Roman" w:eastAsia="Times New Roman" w:hAnsi="Times New Roman"/>
                <w:color w:val="000000"/>
                <w:lang w:val="en-US"/>
              </w:rPr>
            </w:pPr>
            <w:r>
              <w:rPr>
                <w:rFonts w:ascii="Times New Roman" w:eastAsia="Times New Roman" w:hAnsi="Times New Roman"/>
                <w:color w:val="000000"/>
                <w:lang w:val="en-US"/>
              </w:rPr>
              <w:t>% of affected Budget</w:t>
            </w:r>
          </w:p>
        </w:tc>
        <w:tc>
          <w:tcPr>
            <w:tcW w:w="1542" w:type="dxa"/>
            <w:tcBorders>
              <w:top w:val="nil"/>
              <w:left w:val="nil"/>
              <w:bottom w:val="nil"/>
              <w:right w:val="single" w:sz="4" w:space="0" w:color="auto"/>
            </w:tcBorders>
            <w:shd w:val="clear" w:color="auto" w:fill="auto"/>
            <w:noWrap/>
            <w:vAlign w:val="center"/>
          </w:tcPr>
          <w:p w:rsidR="00B07BDA" w:rsidRDefault="00B07BDA" w:rsidP="00E4530D">
            <w:pPr>
              <w:spacing w:after="0" w:line="240" w:lineRule="auto"/>
              <w:ind w:left="567" w:hanging="567"/>
              <w:jc w:val="right"/>
              <w:rPr>
                <w:rFonts w:ascii="Times New Roman" w:eastAsia="Times New Roman" w:hAnsi="Times New Roman"/>
                <w:color w:val="000000"/>
              </w:rPr>
            </w:pPr>
            <w:r>
              <w:rPr>
                <w:rFonts w:ascii="Times New Roman" w:eastAsia="Times New Roman" w:hAnsi="Times New Roman"/>
                <w:color w:val="000000"/>
              </w:rPr>
              <w:t>25%</w:t>
            </w:r>
          </w:p>
        </w:tc>
        <w:tc>
          <w:tcPr>
            <w:tcW w:w="2835" w:type="dxa"/>
            <w:tcBorders>
              <w:top w:val="nil"/>
              <w:left w:val="nil"/>
              <w:bottom w:val="nil"/>
              <w:right w:val="nil"/>
            </w:tcBorders>
            <w:shd w:val="clear" w:color="auto" w:fill="auto"/>
            <w:noWrap/>
            <w:vAlign w:val="center"/>
          </w:tcPr>
          <w:p w:rsidR="00B07BDA" w:rsidRDefault="00B07BDA" w:rsidP="00E4530D">
            <w:pPr>
              <w:spacing w:after="0" w:line="240" w:lineRule="auto"/>
              <w:ind w:left="567" w:hanging="567"/>
              <w:rPr>
                <w:rFonts w:ascii="Times New Roman" w:eastAsia="Times New Roman" w:hAnsi="Times New Roman"/>
                <w:color w:val="000000"/>
              </w:rPr>
            </w:pPr>
            <w:r>
              <w:rPr>
                <w:rFonts w:ascii="Times New Roman" w:eastAsia="Times New Roman" w:hAnsi="Times New Roman"/>
                <w:color w:val="000000"/>
              </w:rPr>
              <w:t>Assumption</w:t>
            </w:r>
          </w:p>
        </w:tc>
      </w:tr>
      <w:tr w:rsidR="00B07BDA" w:rsidRPr="00A85DDD" w:rsidTr="006D74F8">
        <w:trPr>
          <w:trHeight w:val="280"/>
        </w:trPr>
        <w:tc>
          <w:tcPr>
            <w:tcW w:w="477" w:type="dxa"/>
            <w:tcBorders>
              <w:top w:val="nil"/>
              <w:left w:val="nil"/>
              <w:bottom w:val="nil"/>
              <w:right w:val="nil"/>
            </w:tcBorders>
            <w:shd w:val="clear" w:color="auto" w:fill="auto"/>
            <w:noWrap/>
            <w:vAlign w:val="center"/>
          </w:tcPr>
          <w:p w:rsidR="00B07BDA" w:rsidRDefault="00B07BDA" w:rsidP="00E4530D">
            <w:pPr>
              <w:spacing w:after="0" w:line="240" w:lineRule="auto"/>
              <w:ind w:left="567" w:hanging="567"/>
              <w:rPr>
                <w:rFonts w:ascii="Times New Roman" w:eastAsia="Times New Roman" w:hAnsi="Times New Roman"/>
                <w:color w:val="000000"/>
              </w:rPr>
            </w:pPr>
            <w:r>
              <w:rPr>
                <w:rFonts w:ascii="Times New Roman" w:eastAsia="Times New Roman" w:hAnsi="Times New Roman"/>
                <w:color w:val="000000"/>
              </w:rPr>
              <w:t>7</w:t>
            </w:r>
          </w:p>
        </w:tc>
        <w:tc>
          <w:tcPr>
            <w:tcW w:w="3510" w:type="dxa"/>
            <w:tcBorders>
              <w:top w:val="nil"/>
              <w:left w:val="nil"/>
              <w:bottom w:val="nil"/>
              <w:right w:val="single" w:sz="4" w:space="0" w:color="auto"/>
            </w:tcBorders>
            <w:shd w:val="clear" w:color="auto" w:fill="auto"/>
            <w:noWrap/>
            <w:vAlign w:val="center"/>
          </w:tcPr>
          <w:p w:rsidR="00B07BDA" w:rsidRDefault="00B07BDA" w:rsidP="00B07BDA">
            <w:pPr>
              <w:spacing w:after="0" w:line="240" w:lineRule="auto"/>
              <w:rPr>
                <w:rFonts w:ascii="Times New Roman" w:eastAsia="Times New Roman" w:hAnsi="Times New Roman"/>
                <w:color w:val="000000"/>
                <w:lang w:val="en-US"/>
              </w:rPr>
            </w:pPr>
            <w:r>
              <w:rPr>
                <w:rFonts w:ascii="Times New Roman" w:eastAsia="Times New Roman" w:hAnsi="Times New Roman"/>
                <w:color w:val="000000"/>
                <w:lang w:val="en-US"/>
              </w:rPr>
              <w:t>% of savings by e-procurement system</w:t>
            </w:r>
          </w:p>
        </w:tc>
        <w:tc>
          <w:tcPr>
            <w:tcW w:w="1542" w:type="dxa"/>
            <w:tcBorders>
              <w:top w:val="nil"/>
              <w:left w:val="nil"/>
              <w:bottom w:val="nil"/>
              <w:right w:val="single" w:sz="4" w:space="0" w:color="auto"/>
            </w:tcBorders>
            <w:shd w:val="clear" w:color="auto" w:fill="auto"/>
            <w:noWrap/>
            <w:vAlign w:val="center"/>
          </w:tcPr>
          <w:p w:rsidR="00B07BDA" w:rsidRDefault="00B07BDA" w:rsidP="00E4530D">
            <w:pPr>
              <w:spacing w:after="0" w:line="240" w:lineRule="auto"/>
              <w:ind w:left="567" w:hanging="567"/>
              <w:jc w:val="right"/>
              <w:rPr>
                <w:rFonts w:ascii="Times New Roman" w:eastAsia="Times New Roman" w:hAnsi="Times New Roman"/>
                <w:color w:val="000000"/>
              </w:rPr>
            </w:pPr>
            <w:r>
              <w:rPr>
                <w:rFonts w:ascii="Times New Roman" w:eastAsia="Times New Roman" w:hAnsi="Times New Roman"/>
                <w:color w:val="000000"/>
              </w:rPr>
              <w:t>1%</w:t>
            </w:r>
          </w:p>
        </w:tc>
        <w:tc>
          <w:tcPr>
            <w:tcW w:w="2835" w:type="dxa"/>
            <w:tcBorders>
              <w:top w:val="nil"/>
              <w:left w:val="nil"/>
              <w:bottom w:val="nil"/>
              <w:right w:val="nil"/>
            </w:tcBorders>
            <w:shd w:val="clear" w:color="auto" w:fill="auto"/>
            <w:noWrap/>
            <w:vAlign w:val="center"/>
          </w:tcPr>
          <w:p w:rsidR="00B07BDA" w:rsidRDefault="00B07BDA" w:rsidP="00E4530D">
            <w:pPr>
              <w:spacing w:after="0" w:line="240" w:lineRule="auto"/>
              <w:ind w:left="567" w:hanging="567"/>
              <w:rPr>
                <w:rFonts w:ascii="Times New Roman" w:eastAsia="Times New Roman" w:hAnsi="Times New Roman"/>
                <w:color w:val="000000"/>
              </w:rPr>
            </w:pPr>
            <w:r>
              <w:rPr>
                <w:rFonts w:ascii="Times New Roman" w:eastAsia="Times New Roman" w:hAnsi="Times New Roman"/>
                <w:color w:val="000000"/>
              </w:rPr>
              <w:t>Assumption</w:t>
            </w:r>
          </w:p>
        </w:tc>
      </w:tr>
      <w:tr w:rsidR="00E4530D" w:rsidRPr="00A85DDD" w:rsidTr="006D74F8">
        <w:trPr>
          <w:trHeight w:val="280"/>
        </w:trPr>
        <w:tc>
          <w:tcPr>
            <w:tcW w:w="477" w:type="dxa"/>
            <w:tcBorders>
              <w:top w:val="nil"/>
              <w:left w:val="nil"/>
              <w:bottom w:val="nil"/>
              <w:right w:val="nil"/>
            </w:tcBorders>
            <w:shd w:val="clear" w:color="auto" w:fill="auto"/>
            <w:noWrap/>
            <w:vAlign w:val="center"/>
            <w:hideMark/>
          </w:tcPr>
          <w:p w:rsidR="00E4530D" w:rsidRPr="00A85DDD" w:rsidRDefault="00B07BDA" w:rsidP="00E4530D">
            <w:pPr>
              <w:spacing w:after="0" w:line="240" w:lineRule="auto"/>
              <w:ind w:left="567" w:hanging="567"/>
              <w:rPr>
                <w:rFonts w:ascii="Times New Roman" w:eastAsia="Times New Roman" w:hAnsi="Times New Roman"/>
                <w:color w:val="000000"/>
              </w:rPr>
            </w:pPr>
            <w:r>
              <w:rPr>
                <w:rFonts w:ascii="Times New Roman" w:eastAsia="Times New Roman" w:hAnsi="Times New Roman"/>
                <w:color w:val="000000"/>
              </w:rPr>
              <w:t>8</w:t>
            </w:r>
          </w:p>
        </w:tc>
        <w:tc>
          <w:tcPr>
            <w:tcW w:w="3510" w:type="dxa"/>
            <w:tcBorders>
              <w:top w:val="nil"/>
              <w:left w:val="nil"/>
              <w:bottom w:val="nil"/>
              <w:right w:val="single" w:sz="4" w:space="0" w:color="auto"/>
            </w:tcBorders>
            <w:shd w:val="clear" w:color="auto" w:fill="auto"/>
            <w:noWrap/>
            <w:vAlign w:val="center"/>
            <w:hideMark/>
          </w:tcPr>
          <w:p w:rsidR="00E4530D" w:rsidRPr="00A85DDD" w:rsidRDefault="00872842" w:rsidP="00872842">
            <w:pPr>
              <w:spacing w:after="0" w:line="240" w:lineRule="auto"/>
              <w:rPr>
                <w:rFonts w:ascii="Times New Roman" w:eastAsia="Times New Roman" w:hAnsi="Times New Roman"/>
                <w:color w:val="000000"/>
              </w:rPr>
            </w:pPr>
            <w:r w:rsidRPr="00872842">
              <w:rPr>
                <w:rFonts w:ascii="Times New Roman" w:eastAsia="Times New Roman" w:hAnsi="Times New Roman"/>
                <w:color w:val="000000"/>
              </w:rPr>
              <w:t xml:space="preserve">Annual benefits </w:t>
            </w:r>
            <w:r>
              <w:rPr>
                <w:rFonts w:ascii="Times New Roman" w:eastAsia="Times New Roman" w:hAnsi="Times New Roman"/>
                <w:color w:val="000000"/>
              </w:rPr>
              <w:t>Accountability Systems Subcomponent</w:t>
            </w:r>
            <w:r w:rsidRPr="00872842">
              <w:rPr>
                <w:rFonts w:ascii="Times New Roman" w:eastAsia="Times New Roman" w:hAnsi="Times New Roman"/>
                <w:color w:val="000000"/>
              </w:rPr>
              <w:t xml:space="preserve">  USD</w:t>
            </w:r>
          </w:p>
        </w:tc>
        <w:tc>
          <w:tcPr>
            <w:tcW w:w="1542" w:type="dxa"/>
            <w:tcBorders>
              <w:top w:val="nil"/>
              <w:left w:val="nil"/>
              <w:bottom w:val="nil"/>
              <w:right w:val="single" w:sz="4" w:space="0" w:color="auto"/>
            </w:tcBorders>
            <w:shd w:val="clear" w:color="auto" w:fill="auto"/>
            <w:noWrap/>
            <w:vAlign w:val="center"/>
            <w:hideMark/>
          </w:tcPr>
          <w:p w:rsidR="00E4530D" w:rsidRPr="00A85DDD" w:rsidRDefault="0080626A" w:rsidP="00E4530D">
            <w:pPr>
              <w:spacing w:after="0" w:line="240" w:lineRule="auto"/>
              <w:ind w:left="567" w:hanging="567"/>
              <w:jc w:val="right"/>
              <w:rPr>
                <w:rFonts w:ascii="Times New Roman" w:eastAsia="Times New Roman" w:hAnsi="Times New Roman"/>
                <w:b/>
                <w:bCs/>
                <w:color w:val="000000"/>
              </w:rPr>
            </w:pPr>
            <w:r>
              <w:rPr>
                <w:rFonts w:ascii="Times New Roman" w:eastAsia="Times New Roman" w:hAnsi="Times New Roman"/>
                <w:color w:val="000000"/>
              </w:rPr>
              <w:t>1.992</w:t>
            </w:r>
            <w:r w:rsidR="006D74F8">
              <w:rPr>
                <w:rFonts w:ascii="Times New Roman" w:eastAsia="Times New Roman" w:hAnsi="Times New Roman"/>
                <w:color w:val="000000"/>
              </w:rPr>
              <w:t>.</w:t>
            </w:r>
            <w:r>
              <w:rPr>
                <w:rFonts w:ascii="Times New Roman" w:eastAsia="Times New Roman" w:hAnsi="Times New Roman"/>
                <w:color w:val="000000"/>
              </w:rPr>
              <w:t>293,57</w:t>
            </w:r>
          </w:p>
        </w:tc>
        <w:tc>
          <w:tcPr>
            <w:tcW w:w="2835" w:type="dxa"/>
            <w:tcBorders>
              <w:top w:val="nil"/>
              <w:left w:val="nil"/>
              <w:bottom w:val="nil"/>
              <w:right w:val="nil"/>
            </w:tcBorders>
            <w:shd w:val="clear" w:color="auto" w:fill="auto"/>
            <w:noWrap/>
            <w:vAlign w:val="center"/>
            <w:hideMark/>
          </w:tcPr>
          <w:p w:rsidR="00E4530D" w:rsidRPr="00A85DDD" w:rsidRDefault="00E4530D" w:rsidP="007A5C80">
            <w:pPr>
              <w:spacing w:after="0" w:line="240" w:lineRule="auto"/>
              <w:ind w:left="567" w:hanging="567"/>
              <w:rPr>
                <w:rFonts w:ascii="Times New Roman" w:eastAsia="Times New Roman" w:hAnsi="Times New Roman"/>
                <w:b/>
                <w:bCs/>
                <w:color w:val="000000"/>
              </w:rPr>
            </w:pPr>
            <w:r w:rsidRPr="00A85DDD">
              <w:rPr>
                <w:rFonts w:ascii="Times New Roman" w:eastAsia="Times New Roman" w:hAnsi="Times New Roman"/>
                <w:color w:val="000000"/>
              </w:rPr>
              <w:t>(</w:t>
            </w:r>
            <w:r w:rsidR="006D74F8">
              <w:rPr>
                <w:rFonts w:ascii="Times New Roman" w:eastAsia="Times New Roman" w:hAnsi="Times New Roman"/>
                <w:color w:val="000000"/>
              </w:rPr>
              <w:t>2)*(4)</w:t>
            </w:r>
            <w:r w:rsidR="00B07BDA">
              <w:rPr>
                <w:rFonts w:ascii="Times New Roman" w:eastAsia="Times New Roman" w:hAnsi="Times New Roman"/>
                <w:color w:val="000000"/>
              </w:rPr>
              <w:t>+(</w:t>
            </w:r>
            <w:r w:rsidR="007A5C80">
              <w:rPr>
                <w:rFonts w:ascii="Times New Roman" w:eastAsia="Times New Roman" w:hAnsi="Times New Roman"/>
                <w:color w:val="000000"/>
              </w:rPr>
              <w:t>5</w:t>
            </w:r>
            <w:r w:rsidR="00B07BDA">
              <w:rPr>
                <w:rFonts w:ascii="Times New Roman" w:eastAsia="Times New Roman" w:hAnsi="Times New Roman"/>
                <w:color w:val="000000"/>
              </w:rPr>
              <w:t>)*(</w:t>
            </w:r>
            <w:r w:rsidR="007A5C80">
              <w:rPr>
                <w:rFonts w:ascii="Times New Roman" w:eastAsia="Times New Roman" w:hAnsi="Times New Roman"/>
                <w:color w:val="000000"/>
              </w:rPr>
              <w:t>6</w:t>
            </w:r>
            <w:r w:rsidR="00B07BDA">
              <w:rPr>
                <w:rFonts w:ascii="Times New Roman" w:eastAsia="Times New Roman" w:hAnsi="Times New Roman"/>
                <w:color w:val="000000"/>
              </w:rPr>
              <w:t>)*(</w:t>
            </w:r>
            <w:r w:rsidR="007A5C80">
              <w:rPr>
                <w:rFonts w:ascii="Times New Roman" w:eastAsia="Times New Roman" w:hAnsi="Times New Roman"/>
                <w:color w:val="000000"/>
              </w:rPr>
              <w:t>7</w:t>
            </w:r>
            <w:r w:rsidR="00B07BDA">
              <w:rPr>
                <w:rFonts w:ascii="Times New Roman" w:eastAsia="Times New Roman" w:hAnsi="Times New Roman"/>
                <w:color w:val="000000"/>
              </w:rPr>
              <w:t>)</w:t>
            </w:r>
          </w:p>
        </w:tc>
      </w:tr>
    </w:tbl>
    <w:p w:rsidR="00E4530D" w:rsidRPr="00A85DDD" w:rsidRDefault="00E4530D" w:rsidP="00E4530D">
      <w:pPr>
        <w:spacing w:after="0" w:line="480" w:lineRule="auto"/>
        <w:ind w:left="567" w:hanging="567"/>
        <w:jc w:val="both"/>
        <w:rPr>
          <w:rFonts w:ascii="Times New Roman" w:hAnsi="Times New Roman"/>
          <w:sz w:val="24"/>
          <w:szCs w:val="24"/>
        </w:rPr>
      </w:pPr>
    </w:p>
    <w:p w:rsidR="00E4530D" w:rsidRPr="006D74F8" w:rsidRDefault="006D74F8" w:rsidP="00E4530D">
      <w:pPr>
        <w:pStyle w:val="Paragraph"/>
        <w:numPr>
          <w:ilvl w:val="1"/>
          <w:numId w:val="23"/>
        </w:numPr>
        <w:spacing w:before="0" w:after="0" w:line="480" w:lineRule="auto"/>
        <w:rPr>
          <w:szCs w:val="24"/>
          <w:lang w:val="en-US"/>
        </w:rPr>
      </w:pPr>
      <w:r w:rsidRPr="006D74F8">
        <w:rPr>
          <w:szCs w:val="24"/>
          <w:lang w:val="en-US"/>
        </w:rPr>
        <w:lastRenderedPageBreak/>
        <w:t>For the presen</w:t>
      </w:r>
      <w:r w:rsidR="006430D0">
        <w:rPr>
          <w:szCs w:val="24"/>
          <w:lang w:val="en-US"/>
        </w:rPr>
        <w:t>t value of the costs of this sub</w:t>
      </w:r>
      <w:r w:rsidRPr="006D74F8">
        <w:rPr>
          <w:szCs w:val="24"/>
          <w:lang w:val="en-US"/>
        </w:rPr>
        <w:t>compo</w:t>
      </w:r>
      <w:r>
        <w:rPr>
          <w:szCs w:val="24"/>
          <w:lang w:val="en-US"/>
        </w:rPr>
        <w:t xml:space="preserve">nent, the same formula is used, but the annual cost is </w:t>
      </w:r>
      <w:r w:rsidR="00BA1C6A">
        <w:rPr>
          <w:szCs w:val="24"/>
          <w:lang w:val="en-US"/>
        </w:rPr>
        <w:t>13</w:t>
      </w:r>
      <w:r>
        <w:rPr>
          <w:szCs w:val="24"/>
          <w:lang w:val="en-US"/>
        </w:rPr>
        <w:t>.650.000.</w:t>
      </w:r>
    </w:p>
    <w:p w:rsidR="00E4530D" w:rsidRPr="00F535A5" w:rsidRDefault="006F10FC" w:rsidP="00E4530D">
      <w:pPr>
        <w:pStyle w:val="ListParagraph"/>
        <w:numPr>
          <w:ilvl w:val="0"/>
          <w:numId w:val="9"/>
        </w:numPr>
        <w:spacing w:after="0" w:line="480" w:lineRule="auto"/>
        <w:jc w:val="both"/>
        <w:rPr>
          <w:rFonts w:ascii="Times New Roman" w:hAnsi="Times New Roman"/>
          <w:b/>
          <w:sz w:val="24"/>
          <w:szCs w:val="24"/>
          <w:lang w:val="es-ES"/>
        </w:rPr>
      </w:pPr>
      <w:r w:rsidRPr="006F10FC">
        <w:rPr>
          <w:rFonts w:ascii="Times New Roman" w:hAnsi="Times New Roman"/>
          <w:b/>
          <w:sz w:val="24"/>
          <w:szCs w:val="24"/>
        </w:rPr>
        <w:t>Results</w:t>
      </w:r>
      <w:r>
        <w:rPr>
          <w:rFonts w:ascii="Times New Roman" w:hAnsi="Times New Roman"/>
          <w:b/>
          <w:sz w:val="24"/>
          <w:szCs w:val="24"/>
          <w:lang w:val="es-ES"/>
        </w:rPr>
        <w:t xml:space="preserve">, </w:t>
      </w:r>
      <w:r w:rsidRPr="006F10FC">
        <w:rPr>
          <w:rFonts w:ascii="Times New Roman" w:hAnsi="Times New Roman"/>
          <w:b/>
          <w:sz w:val="24"/>
          <w:szCs w:val="24"/>
        </w:rPr>
        <w:t>sensibility</w:t>
      </w:r>
      <w:r>
        <w:rPr>
          <w:rFonts w:ascii="Times New Roman" w:hAnsi="Times New Roman"/>
          <w:b/>
          <w:sz w:val="24"/>
          <w:szCs w:val="24"/>
          <w:lang w:val="es-ES"/>
        </w:rPr>
        <w:t xml:space="preserve"> and </w:t>
      </w:r>
      <w:r w:rsidRPr="006F10FC">
        <w:rPr>
          <w:rFonts w:ascii="Times New Roman" w:hAnsi="Times New Roman"/>
          <w:b/>
          <w:sz w:val="24"/>
          <w:szCs w:val="24"/>
          <w:lang w:val="en-US"/>
        </w:rPr>
        <w:t>discussion</w:t>
      </w:r>
      <w:r w:rsidR="00E4530D" w:rsidRPr="00F535A5">
        <w:rPr>
          <w:rFonts w:ascii="Times New Roman" w:hAnsi="Times New Roman"/>
          <w:b/>
          <w:sz w:val="24"/>
          <w:szCs w:val="24"/>
          <w:lang w:val="es-ES"/>
        </w:rPr>
        <w:t>.</w:t>
      </w:r>
    </w:p>
    <w:p w:rsidR="00E4530D" w:rsidRPr="003408F5" w:rsidRDefault="003408F5" w:rsidP="00E4530D">
      <w:pPr>
        <w:pStyle w:val="Paragraph"/>
        <w:numPr>
          <w:ilvl w:val="1"/>
          <w:numId w:val="10"/>
        </w:numPr>
        <w:spacing w:before="0" w:after="0" w:line="480" w:lineRule="auto"/>
        <w:ind w:left="567" w:hanging="567"/>
        <w:rPr>
          <w:szCs w:val="24"/>
          <w:lang w:val="en-US"/>
        </w:rPr>
      </w:pPr>
      <w:r w:rsidRPr="003408F5">
        <w:rPr>
          <w:szCs w:val="24"/>
          <w:lang w:val="en-US"/>
        </w:rPr>
        <w:t>Due to the great quan</w:t>
      </w:r>
      <w:r>
        <w:rPr>
          <w:szCs w:val="24"/>
          <w:lang w:val="en-US"/>
        </w:rPr>
        <w:t>tity of assumptions in that analysis is based on, the results and the sensibility analysis are</w:t>
      </w:r>
      <w:r w:rsidR="00462C57">
        <w:rPr>
          <w:szCs w:val="24"/>
          <w:lang w:val="en-US"/>
        </w:rPr>
        <w:t xml:space="preserve"> present</w:t>
      </w:r>
      <w:r w:rsidR="007539FE">
        <w:rPr>
          <w:szCs w:val="24"/>
          <w:lang w:val="en-US"/>
        </w:rPr>
        <w:t>ed</w:t>
      </w:r>
      <w:r>
        <w:rPr>
          <w:szCs w:val="24"/>
          <w:lang w:val="en-US"/>
        </w:rPr>
        <w:t xml:space="preserve"> together in table 3</w:t>
      </w:r>
      <w:r w:rsidR="00E4530D" w:rsidRPr="003408F5">
        <w:rPr>
          <w:szCs w:val="24"/>
          <w:lang w:val="en-US"/>
        </w:rPr>
        <w:t>.</w:t>
      </w:r>
    </w:p>
    <w:tbl>
      <w:tblPr>
        <w:tblW w:w="8647" w:type="dxa"/>
        <w:tblInd w:w="675" w:type="dxa"/>
        <w:tblLayout w:type="fixed"/>
        <w:tblLook w:val="04A0" w:firstRow="1" w:lastRow="0" w:firstColumn="1" w:lastColumn="0" w:noHBand="0" w:noVBand="1"/>
      </w:tblPr>
      <w:tblGrid>
        <w:gridCol w:w="1985"/>
        <w:gridCol w:w="1559"/>
        <w:gridCol w:w="1559"/>
        <w:gridCol w:w="1560"/>
        <w:gridCol w:w="1134"/>
        <w:gridCol w:w="850"/>
      </w:tblGrid>
      <w:tr w:rsidR="00E4530D" w:rsidRPr="003408F5" w:rsidTr="00E4530D">
        <w:trPr>
          <w:trHeight w:val="300"/>
        </w:trPr>
        <w:tc>
          <w:tcPr>
            <w:tcW w:w="7797" w:type="dxa"/>
            <w:gridSpan w:val="5"/>
            <w:tcBorders>
              <w:top w:val="nil"/>
              <w:left w:val="nil"/>
              <w:bottom w:val="single" w:sz="4" w:space="0" w:color="auto"/>
              <w:right w:val="nil"/>
            </w:tcBorders>
            <w:shd w:val="clear" w:color="auto" w:fill="auto"/>
            <w:vAlign w:val="center"/>
            <w:hideMark/>
          </w:tcPr>
          <w:p w:rsidR="00E4530D" w:rsidRPr="003408F5" w:rsidRDefault="003408F5" w:rsidP="003408F5">
            <w:pPr>
              <w:pStyle w:val="TituloTabla"/>
              <w:rPr>
                <w:b w:val="0"/>
                <w:lang w:val="en-US"/>
              </w:rPr>
            </w:pPr>
            <w:r w:rsidRPr="003408F5">
              <w:rPr>
                <w:lang w:val="en-US"/>
              </w:rPr>
              <w:t>Table 3. Cost-benefit</w:t>
            </w:r>
            <w:r w:rsidR="00E4530D" w:rsidRPr="003408F5">
              <w:rPr>
                <w:lang w:val="en-US"/>
              </w:rPr>
              <w:t xml:space="preserve"> </w:t>
            </w:r>
            <w:r w:rsidRPr="003408F5">
              <w:rPr>
                <w:lang w:val="en-US"/>
              </w:rPr>
              <w:t>and scenarios</w:t>
            </w:r>
          </w:p>
        </w:tc>
        <w:tc>
          <w:tcPr>
            <w:tcW w:w="850" w:type="dxa"/>
            <w:tcBorders>
              <w:top w:val="nil"/>
              <w:left w:val="nil"/>
              <w:bottom w:val="single" w:sz="4" w:space="0" w:color="auto"/>
              <w:right w:val="nil"/>
            </w:tcBorders>
            <w:shd w:val="clear" w:color="auto" w:fill="auto"/>
          </w:tcPr>
          <w:p w:rsidR="00E4530D" w:rsidRPr="003408F5" w:rsidRDefault="00E4530D" w:rsidP="00E4530D">
            <w:pPr>
              <w:pStyle w:val="Entabla"/>
              <w:rPr>
                <w:b/>
                <w:lang w:val="en-US"/>
              </w:rPr>
            </w:pPr>
          </w:p>
        </w:tc>
      </w:tr>
      <w:tr w:rsidR="00E4530D" w:rsidRPr="00A85DDD" w:rsidTr="00E4530D">
        <w:trPr>
          <w:trHeight w:val="720"/>
        </w:trPr>
        <w:tc>
          <w:tcPr>
            <w:tcW w:w="1985" w:type="dxa"/>
            <w:tcBorders>
              <w:top w:val="nil"/>
              <w:left w:val="nil"/>
              <w:bottom w:val="single" w:sz="4" w:space="0" w:color="auto"/>
              <w:right w:val="nil"/>
            </w:tcBorders>
            <w:shd w:val="clear" w:color="auto" w:fill="auto"/>
            <w:noWrap/>
            <w:vAlign w:val="center"/>
            <w:hideMark/>
          </w:tcPr>
          <w:p w:rsidR="00E4530D" w:rsidRPr="003408F5" w:rsidRDefault="00E4530D" w:rsidP="00E4530D">
            <w:pPr>
              <w:pStyle w:val="Entabla"/>
              <w:rPr>
                <w:b/>
                <w:lang w:val="en-US"/>
              </w:rPr>
            </w:pPr>
          </w:p>
        </w:tc>
        <w:tc>
          <w:tcPr>
            <w:tcW w:w="1559" w:type="dxa"/>
            <w:tcBorders>
              <w:top w:val="nil"/>
              <w:left w:val="nil"/>
              <w:bottom w:val="single" w:sz="4" w:space="0" w:color="auto"/>
              <w:right w:val="nil"/>
            </w:tcBorders>
            <w:shd w:val="clear" w:color="auto" w:fill="auto"/>
            <w:vAlign w:val="center"/>
            <w:hideMark/>
          </w:tcPr>
          <w:p w:rsidR="00E4530D" w:rsidRPr="00A85DDD" w:rsidRDefault="00390E2B" w:rsidP="00E4530D">
            <w:pPr>
              <w:pStyle w:val="Entabla"/>
              <w:rPr>
                <w:b/>
                <w:lang w:val="en-GB"/>
              </w:rPr>
            </w:pPr>
            <w:r>
              <w:rPr>
                <w:b/>
                <w:lang w:val="en-GB"/>
              </w:rPr>
              <w:t>PV</w:t>
            </w:r>
            <w:r w:rsidR="00E4530D" w:rsidRPr="00A85DDD">
              <w:rPr>
                <w:b/>
                <w:lang w:val="en-GB"/>
              </w:rPr>
              <w:t xml:space="preserve"> </w:t>
            </w:r>
            <w:r>
              <w:rPr>
                <w:b/>
                <w:lang w:val="en-GB"/>
              </w:rPr>
              <w:t>Costs</w:t>
            </w:r>
            <w:r w:rsidR="00E4530D" w:rsidRPr="00A85DDD">
              <w:rPr>
                <w:b/>
                <w:lang w:val="en-GB"/>
              </w:rPr>
              <w:t xml:space="preserve"> (USD)</w:t>
            </w:r>
          </w:p>
        </w:tc>
        <w:tc>
          <w:tcPr>
            <w:tcW w:w="1559" w:type="dxa"/>
            <w:tcBorders>
              <w:top w:val="nil"/>
              <w:left w:val="nil"/>
              <w:bottom w:val="single" w:sz="4" w:space="0" w:color="auto"/>
              <w:right w:val="nil"/>
            </w:tcBorders>
            <w:shd w:val="clear" w:color="auto" w:fill="auto"/>
            <w:vAlign w:val="center"/>
            <w:hideMark/>
          </w:tcPr>
          <w:p w:rsidR="00E4530D" w:rsidRPr="00A85DDD" w:rsidRDefault="00390E2B" w:rsidP="00E4530D">
            <w:pPr>
              <w:pStyle w:val="Entabla"/>
              <w:rPr>
                <w:b/>
                <w:lang w:val="en-GB"/>
              </w:rPr>
            </w:pPr>
            <w:r>
              <w:rPr>
                <w:b/>
                <w:lang w:val="en-GB"/>
              </w:rPr>
              <w:t>PV Benefits</w:t>
            </w:r>
            <w:r w:rsidR="00E4530D" w:rsidRPr="00A85DDD">
              <w:rPr>
                <w:b/>
                <w:lang w:val="en-GB"/>
              </w:rPr>
              <w:t xml:space="preserve"> </w:t>
            </w:r>
          </w:p>
          <w:p w:rsidR="00E4530D" w:rsidRPr="00A85DDD" w:rsidRDefault="00E4530D" w:rsidP="00E4530D">
            <w:pPr>
              <w:pStyle w:val="Entabla"/>
              <w:rPr>
                <w:b/>
                <w:lang w:val="en-GB"/>
              </w:rPr>
            </w:pPr>
            <w:r w:rsidRPr="00A85DDD">
              <w:rPr>
                <w:b/>
                <w:lang w:val="en-GB"/>
              </w:rPr>
              <w:t>(USD)</w:t>
            </w:r>
          </w:p>
        </w:tc>
        <w:tc>
          <w:tcPr>
            <w:tcW w:w="1560" w:type="dxa"/>
            <w:tcBorders>
              <w:top w:val="nil"/>
              <w:left w:val="nil"/>
              <w:bottom w:val="single" w:sz="4" w:space="0" w:color="auto"/>
              <w:right w:val="nil"/>
            </w:tcBorders>
            <w:shd w:val="clear" w:color="auto" w:fill="auto"/>
            <w:vAlign w:val="center"/>
            <w:hideMark/>
          </w:tcPr>
          <w:p w:rsidR="00E4530D" w:rsidRPr="00A85DDD" w:rsidRDefault="000F549B" w:rsidP="00E4530D">
            <w:pPr>
              <w:pStyle w:val="Entabla"/>
              <w:rPr>
                <w:b/>
                <w:lang w:val="en-GB"/>
              </w:rPr>
            </w:pPr>
            <w:r>
              <w:rPr>
                <w:b/>
                <w:lang w:val="en-GB"/>
              </w:rPr>
              <w:t xml:space="preserve">Net Present </w:t>
            </w:r>
            <w:r w:rsidR="00390E2B">
              <w:rPr>
                <w:b/>
                <w:lang w:val="en-GB"/>
              </w:rPr>
              <w:t xml:space="preserve"> Value</w:t>
            </w:r>
            <w:r w:rsidR="00E4530D" w:rsidRPr="00A85DDD">
              <w:rPr>
                <w:b/>
                <w:lang w:val="en-GB"/>
              </w:rPr>
              <w:t xml:space="preserve"> (USD)</w:t>
            </w:r>
          </w:p>
        </w:tc>
        <w:tc>
          <w:tcPr>
            <w:tcW w:w="1134" w:type="dxa"/>
            <w:tcBorders>
              <w:top w:val="nil"/>
              <w:left w:val="nil"/>
              <w:bottom w:val="single" w:sz="4" w:space="0" w:color="auto"/>
              <w:right w:val="nil"/>
            </w:tcBorders>
            <w:shd w:val="clear" w:color="auto" w:fill="auto"/>
            <w:vAlign w:val="center"/>
            <w:hideMark/>
          </w:tcPr>
          <w:p w:rsidR="00E4530D" w:rsidRPr="00A85DDD" w:rsidRDefault="00390E2B" w:rsidP="00E4530D">
            <w:pPr>
              <w:pStyle w:val="Entabla"/>
              <w:rPr>
                <w:b/>
                <w:lang w:val="en-GB"/>
              </w:rPr>
            </w:pPr>
            <w:r>
              <w:rPr>
                <w:b/>
                <w:lang w:val="en-GB"/>
              </w:rPr>
              <w:t>Cost-Benefit Ratio</w:t>
            </w:r>
          </w:p>
        </w:tc>
        <w:tc>
          <w:tcPr>
            <w:tcW w:w="850" w:type="dxa"/>
            <w:tcBorders>
              <w:top w:val="nil"/>
              <w:left w:val="nil"/>
              <w:bottom w:val="single" w:sz="4" w:space="0" w:color="auto"/>
              <w:right w:val="nil"/>
            </w:tcBorders>
            <w:shd w:val="clear" w:color="auto" w:fill="auto"/>
            <w:vAlign w:val="center"/>
          </w:tcPr>
          <w:p w:rsidR="00E4530D" w:rsidRPr="00A85DDD" w:rsidRDefault="00390E2B" w:rsidP="00E4530D">
            <w:pPr>
              <w:pStyle w:val="Entabla"/>
              <w:rPr>
                <w:b/>
                <w:lang w:val="en-GB"/>
              </w:rPr>
            </w:pPr>
            <w:r>
              <w:rPr>
                <w:b/>
                <w:lang w:val="en-GB"/>
              </w:rPr>
              <w:t>Social IRR</w:t>
            </w:r>
          </w:p>
        </w:tc>
      </w:tr>
      <w:tr w:rsidR="00E4530D" w:rsidRPr="00A85DDD" w:rsidTr="00E4530D">
        <w:trPr>
          <w:trHeight w:val="300"/>
        </w:trPr>
        <w:tc>
          <w:tcPr>
            <w:tcW w:w="1985" w:type="dxa"/>
            <w:tcBorders>
              <w:top w:val="nil"/>
              <w:left w:val="nil"/>
              <w:bottom w:val="single" w:sz="4" w:space="0" w:color="auto"/>
              <w:right w:val="nil"/>
            </w:tcBorders>
            <w:shd w:val="clear" w:color="auto" w:fill="auto"/>
            <w:noWrap/>
            <w:vAlign w:val="center"/>
            <w:hideMark/>
          </w:tcPr>
          <w:p w:rsidR="00E4530D" w:rsidRPr="00A85DDD" w:rsidRDefault="00390E2B" w:rsidP="00E4530D">
            <w:pPr>
              <w:pStyle w:val="Entabla"/>
              <w:rPr>
                <w:b/>
                <w:lang w:val="en-GB"/>
              </w:rPr>
            </w:pPr>
            <w:r>
              <w:rPr>
                <w:b/>
                <w:lang w:val="en-GB"/>
              </w:rPr>
              <w:t>S</w:t>
            </w:r>
            <w:r w:rsidR="00E4530D" w:rsidRPr="00A85DDD">
              <w:rPr>
                <w:b/>
                <w:lang w:val="en-GB"/>
              </w:rPr>
              <w:t>cenario 1-Base</w:t>
            </w:r>
            <w:r w:rsidR="00A215CF">
              <w:rPr>
                <w:b/>
                <w:lang w:val="en-GB"/>
              </w:rPr>
              <w:t>line</w:t>
            </w:r>
          </w:p>
        </w:tc>
        <w:tc>
          <w:tcPr>
            <w:tcW w:w="1559" w:type="dxa"/>
            <w:tcBorders>
              <w:top w:val="nil"/>
              <w:left w:val="nil"/>
              <w:bottom w:val="single" w:sz="4" w:space="0" w:color="auto"/>
              <w:right w:val="nil"/>
            </w:tcBorders>
            <w:shd w:val="clear" w:color="auto" w:fill="auto"/>
            <w:noWrap/>
            <w:vAlign w:val="center"/>
            <w:hideMark/>
          </w:tcPr>
          <w:p w:rsidR="00E4530D" w:rsidRPr="00A85DDD" w:rsidRDefault="00E4530D" w:rsidP="00E4530D">
            <w:pPr>
              <w:pStyle w:val="Entabla"/>
              <w:rPr>
                <w:b/>
                <w:lang w:val="en-GB"/>
              </w:rPr>
            </w:pPr>
            <w:r w:rsidRPr="00A85DDD">
              <w:rPr>
                <w:b/>
                <w:lang w:val="en-GB"/>
              </w:rPr>
              <w:t> </w:t>
            </w:r>
          </w:p>
        </w:tc>
        <w:tc>
          <w:tcPr>
            <w:tcW w:w="1559" w:type="dxa"/>
            <w:tcBorders>
              <w:top w:val="nil"/>
              <w:left w:val="nil"/>
              <w:bottom w:val="single" w:sz="4" w:space="0" w:color="auto"/>
              <w:right w:val="nil"/>
            </w:tcBorders>
            <w:shd w:val="clear" w:color="auto" w:fill="auto"/>
            <w:noWrap/>
            <w:vAlign w:val="center"/>
            <w:hideMark/>
          </w:tcPr>
          <w:p w:rsidR="00E4530D" w:rsidRPr="00A85DDD" w:rsidRDefault="00E4530D" w:rsidP="00E4530D">
            <w:pPr>
              <w:pStyle w:val="Entabla"/>
              <w:rPr>
                <w:b/>
                <w:lang w:val="en-GB"/>
              </w:rPr>
            </w:pPr>
            <w:r w:rsidRPr="00A85DDD">
              <w:rPr>
                <w:b/>
                <w:lang w:val="en-GB"/>
              </w:rPr>
              <w:t> </w:t>
            </w:r>
          </w:p>
        </w:tc>
        <w:tc>
          <w:tcPr>
            <w:tcW w:w="1560" w:type="dxa"/>
            <w:tcBorders>
              <w:top w:val="nil"/>
              <w:left w:val="nil"/>
              <w:bottom w:val="single" w:sz="4" w:space="0" w:color="auto"/>
              <w:right w:val="nil"/>
            </w:tcBorders>
            <w:shd w:val="clear" w:color="auto" w:fill="auto"/>
            <w:noWrap/>
            <w:vAlign w:val="center"/>
            <w:hideMark/>
          </w:tcPr>
          <w:p w:rsidR="00E4530D" w:rsidRPr="00A85DDD" w:rsidRDefault="00E4530D" w:rsidP="00E4530D">
            <w:pPr>
              <w:pStyle w:val="Entabla"/>
              <w:rPr>
                <w:b/>
                <w:lang w:val="en-GB"/>
              </w:rPr>
            </w:pPr>
            <w:r w:rsidRPr="00A85DDD">
              <w:rPr>
                <w:b/>
                <w:lang w:val="en-GB"/>
              </w:rPr>
              <w:t> </w:t>
            </w:r>
          </w:p>
        </w:tc>
        <w:tc>
          <w:tcPr>
            <w:tcW w:w="1134" w:type="dxa"/>
            <w:tcBorders>
              <w:top w:val="nil"/>
              <w:left w:val="nil"/>
              <w:bottom w:val="single" w:sz="4" w:space="0" w:color="auto"/>
              <w:right w:val="nil"/>
            </w:tcBorders>
            <w:shd w:val="clear" w:color="auto" w:fill="auto"/>
            <w:noWrap/>
            <w:vAlign w:val="center"/>
            <w:hideMark/>
          </w:tcPr>
          <w:p w:rsidR="00E4530D" w:rsidRPr="00A85DDD" w:rsidRDefault="00E4530D" w:rsidP="00E4530D">
            <w:pPr>
              <w:pStyle w:val="Entabla"/>
              <w:rPr>
                <w:b/>
                <w:lang w:val="en-GB"/>
              </w:rPr>
            </w:pPr>
            <w:r w:rsidRPr="00A85DDD">
              <w:rPr>
                <w:b/>
                <w:lang w:val="en-GB"/>
              </w:rPr>
              <w:t> </w:t>
            </w:r>
          </w:p>
        </w:tc>
        <w:tc>
          <w:tcPr>
            <w:tcW w:w="850" w:type="dxa"/>
            <w:tcBorders>
              <w:top w:val="nil"/>
              <w:left w:val="nil"/>
              <w:bottom w:val="single" w:sz="4" w:space="0" w:color="auto"/>
              <w:right w:val="nil"/>
            </w:tcBorders>
            <w:shd w:val="clear" w:color="auto" w:fill="auto"/>
          </w:tcPr>
          <w:p w:rsidR="00E4530D" w:rsidRPr="00A85DDD" w:rsidRDefault="00E4530D" w:rsidP="00E4530D">
            <w:pPr>
              <w:pStyle w:val="Entabla"/>
              <w:rPr>
                <w:b/>
                <w:lang w:val="en-GB"/>
              </w:rPr>
            </w:pPr>
          </w:p>
        </w:tc>
      </w:tr>
      <w:tr w:rsidR="00E4530D" w:rsidRPr="00A85DDD" w:rsidTr="00E4530D">
        <w:trPr>
          <w:trHeight w:val="300"/>
        </w:trPr>
        <w:tc>
          <w:tcPr>
            <w:tcW w:w="1985" w:type="dxa"/>
            <w:tcBorders>
              <w:top w:val="nil"/>
              <w:left w:val="nil"/>
              <w:bottom w:val="nil"/>
              <w:right w:val="nil"/>
            </w:tcBorders>
            <w:shd w:val="clear" w:color="auto" w:fill="auto"/>
            <w:noWrap/>
            <w:vAlign w:val="center"/>
          </w:tcPr>
          <w:p w:rsidR="00E4530D" w:rsidRPr="00A85DDD" w:rsidRDefault="00E4530D" w:rsidP="00E4530D">
            <w:pPr>
              <w:pStyle w:val="Entabla"/>
              <w:rPr>
                <w:lang w:val="en-GB"/>
              </w:rPr>
            </w:pPr>
          </w:p>
        </w:tc>
        <w:tc>
          <w:tcPr>
            <w:tcW w:w="1559" w:type="dxa"/>
            <w:tcBorders>
              <w:top w:val="nil"/>
              <w:left w:val="nil"/>
              <w:bottom w:val="nil"/>
              <w:right w:val="nil"/>
            </w:tcBorders>
            <w:shd w:val="clear" w:color="auto" w:fill="auto"/>
            <w:noWrap/>
            <w:vAlign w:val="center"/>
          </w:tcPr>
          <w:p w:rsidR="00E4530D" w:rsidRPr="00A85DDD" w:rsidRDefault="00E4530D" w:rsidP="00E4530D">
            <w:pPr>
              <w:pStyle w:val="Entabla"/>
              <w:rPr>
                <w:lang w:val="en-GB"/>
              </w:rPr>
            </w:pPr>
          </w:p>
        </w:tc>
        <w:tc>
          <w:tcPr>
            <w:tcW w:w="1559" w:type="dxa"/>
            <w:tcBorders>
              <w:top w:val="nil"/>
              <w:left w:val="nil"/>
              <w:bottom w:val="nil"/>
              <w:right w:val="nil"/>
            </w:tcBorders>
            <w:shd w:val="clear" w:color="auto" w:fill="auto"/>
            <w:noWrap/>
            <w:vAlign w:val="center"/>
          </w:tcPr>
          <w:p w:rsidR="00E4530D" w:rsidRPr="00A85DDD" w:rsidRDefault="00E4530D" w:rsidP="00E4530D">
            <w:pPr>
              <w:pStyle w:val="Entabla"/>
              <w:rPr>
                <w:lang w:val="en-GB"/>
              </w:rPr>
            </w:pPr>
          </w:p>
        </w:tc>
        <w:tc>
          <w:tcPr>
            <w:tcW w:w="1560" w:type="dxa"/>
            <w:tcBorders>
              <w:top w:val="nil"/>
              <w:left w:val="nil"/>
              <w:bottom w:val="nil"/>
              <w:right w:val="nil"/>
            </w:tcBorders>
            <w:shd w:val="clear" w:color="auto" w:fill="auto"/>
            <w:noWrap/>
            <w:vAlign w:val="center"/>
          </w:tcPr>
          <w:p w:rsidR="00E4530D" w:rsidRPr="00A85DDD" w:rsidRDefault="00E4530D" w:rsidP="00E4530D">
            <w:pPr>
              <w:pStyle w:val="Entabla"/>
              <w:rPr>
                <w:lang w:val="en-GB"/>
              </w:rPr>
            </w:pPr>
          </w:p>
        </w:tc>
        <w:tc>
          <w:tcPr>
            <w:tcW w:w="1134" w:type="dxa"/>
            <w:tcBorders>
              <w:top w:val="nil"/>
              <w:left w:val="nil"/>
              <w:bottom w:val="nil"/>
              <w:right w:val="nil"/>
            </w:tcBorders>
            <w:shd w:val="clear" w:color="auto" w:fill="auto"/>
            <w:noWrap/>
            <w:vAlign w:val="center"/>
          </w:tcPr>
          <w:p w:rsidR="00E4530D" w:rsidRPr="00A85DDD" w:rsidRDefault="00E4530D" w:rsidP="00E4530D">
            <w:pPr>
              <w:pStyle w:val="Entabla"/>
              <w:rPr>
                <w:lang w:val="en-GB"/>
              </w:rPr>
            </w:pPr>
          </w:p>
        </w:tc>
        <w:tc>
          <w:tcPr>
            <w:tcW w:w="850" w:type="dxa"/>
            <w:tcBorders>
              <w:top w:val="nil"/>
              <w:left w:val="nil"/>
              <w:bottom w:val="nil"/>
              <w:right w:val="nil"/>
            </w:tcBorders>
            <w:shd w:val="clear" w:color="auto" w:fill="auto"/>
          </w:tcPr>
          <w:p w:rsidR="00E4530D" w:rsidRPr="00A85DDD" w:rsidRDefault="00E4530D" w:rsidP="00E4530D">
            <w:pPr>
              <w:pStyle w:val="Entabla"/>
              <w:rPr>
                <w:lang w:val="en-GB"/>
              </w:rPr>
            </w:pPr>
          </w:p>
        </w:tc>
      </w:tr>
      <w:tr w:rsidR="00E4530D" w:rsidRPr="00A85DDD" w:rsidTr="00E4530D">
        <w:trPr>
          <w:trHeight w:val="300"/>
        </w:trPr>
        <w:tc>
          <w:tcPr>
            <w:tcW w:w="1985" w:type="dxa"/>
            <w:tcBorders>
              <w:top w:val="nil"/>
              <w:left w:val="nil"/>
              <w:bottom w:val="nil"/>
              <w:right w:val="nil"/>
            </w:tcBorders>
            <w:shd w:val="clear" w:color="auto" w:fill="auto"/>
            <w:noWrap/>
            <w:vAlign w:val="center"/>
            <w:hideMark/>
          </w:tcPr>
          <w:p w:rsidR="00E4530D" w:rsidRPr="00A85DDD" w:rsidRDefault="00390E2B" w:rsidP="00390E2B">
            <w:pPr>
              <w:pStyle w:val="Entabla"/>
              <w:rPr>
                <w:lang w:val="en-GB"/>
              </w:rPr>
            </w:pPr>
            <w:r>
              <w:rPr>
                <w:lang w:val="en-GB"/>
              </w:rPr>
              <w:t>Subcomponent</w:t>
            </w:r>
            <w:r w:rsidR="00E4530D" w:rsidRPr="00A85DDD">
              <w:rPr>
                <w:lang w:val="en-GB"/>
              </w:rPr>
              <w:t xml:space="preserve"> 1-</w:t>
            </w:r>
            <w:r>
              <w:rPr>
                <w:lang w:val="en-GB"/>
              </w:rPr>
              <w:t>HRM</w:t>
            </w:r>
          </w:p>
        </w:tc>
        <w:tc>
          <w:tcPr>
            <w:tcW w:w="1559" w:type="dxa"/>
            <w:tcBorders>
              <w:top w:val="nil"/>
              <w:left w:val="nil"/>
              <w:bottom w:val="nil"/>
              <w:right w:val="nil"/>
            </w:tcBorders>
            <w:shd w:val="clear" w:color="auto" w:fill="auto"/>
            <w:noWrap/>
            <w:vAlign w:val="center"/>
            <w:hideMark/>
          </w:tcPr>
          <w:p w:rsidR="00E4530D" w:rsidRPr="00A85DDD" w:rsidRDefault="00E46433" w:rsidP="00E4530D">
            <w:pPr>
              <w:pStyle w:val="Entabla"/>
              <w:rPr>
                <w:lang w:val="en-GB"/>
              </w:rPr>
            </w:pPr>
            <w:r w:rsidRPr="00E46433">
              <w:rPr>
                <w:lang w:val="en-GB"/>
              </w:rPr>
              <w:t>26</w:t>
            </w:r>
            <w:r>
              <w:rPr>
                <w:lang w:val="en-GB"/>
              </w:rPr>
              <w:t>.</w:t>
            </w:r>
            <w:r w:rsidRPr="00E46433">
              <w:rPr>
                <w:lang w:val="en-GB"/>
              </w:rPr>
              <w:t>205</w:t>
            </w:r>
            <w:r>
              <w:rPr>
                <w:lang w:val="en-GB"/>
              </w:rPr>
              <w:t>.</w:t>
            </w:r>
            <w:r w:rsidRPr="00E46433">
              <w:rPr>
                <w:lang w:val="en-GB"/>
              </w:rPr>
              <w:t>622,74</w:t>
            </w:r>
          </w:p>
        </w:tc>
        <w:tc>
          <w:tcPr>
            <w:tcW w:w="1559" w:type="dxa"/>
            <w:tcBorders>
              <w:top w:val="nil"/>
              <w:left w:val="nil"/>
              <w:bottom w:val="nil"/>
              <w:right w:val="nil"/>
            </w:tcBorders>
            <w:shd w:val="clear" w:color="auto" w:fill="auto"/>
            <w:noWrap/>
            <w:vAlign w:val="center"/>
            <w:hideMark/>
          </w:tcPr>
          <w:p w:rsidR="00E4530D" w:rsidRPr="00A85DDD" w:rsidRDefault="00E46433" w:rsidP="00E4530D">
            <w:pPr>
              <w:pStyle w:val="Entabla"/>
              <w:rPr>
                <w:lang w:val="en-GB"/>
              </w:rPr>
            </w:pPr>
            <w:r w:rsidRPr="00E46433">
              <w:rPr>
                <w:lang w:val="en-GB"/>
              </w:rPr>
              <w:t>45</w:t>
            </w:r>
            <w:r>
              <w:rPr>
                <w:lang w:val="en-GB"/>
              </w:rPr>
              <w:t>.</w:t>
            </w:r>
            <w:r w:rsidRPr="00E46433">
              <w:rPr>
                <w:lang w:val="en-GB"/>
              </w:rPr>
              <w:t>851</w:t>
            </w:r>
            <w:r>
              <w:rPr>
                <w:lang w:val="en-GB"/>
              </w:rPr>
              <w:t>.</w:t>
            </w:r>
            <w:r w:rsidRPr="00E46433">
              <w:rPr>
                <w:lang w:val="en-GB"/>
              </w:rPr>
              <w:t>960,95</w:t>
            </w:r>
          </w:p>
        </w:tc>
        <w:tc>
          <w:tcPr>
            <w:tcW w:w="1560" w:type="dxa"/>
            <w:tcBorders>
              <w:top w:val="nil"/>
              <w:left w:val="nil"/>
              <w:bottom w:val="nil"/>
              <w:right w:val="nil"/>
            </w:tcBorders>
            <w:shd w:val="clear" w:color="auto" w:fill="auto"/>
            <w:noWrap/>
            <w:vAlign w:val="center"/>
            <w:hideMark/>
          </w:tcPr>
          <w:p w:rsidR="00E4530D" w:rsidRPr="00A85DDD" w:rsidRDefault="00E46433" w:rsidP="00E4530D">
            <w:pPr>
              <w:pStyle w:val="Entabla"/>
              <w:rPr>
                <w:lang w:val="en-GB"/>
              </w:rPr>
            </w:pPr>
            <w:r w:rsidRPr="00E46433">
              <w:rPr>
                <w:lang w:val="en-GB"/>
              </w:rPr>
              <w:t>19</w:t>
            </w:r>
            <w:r>
              <w:rPr>
                <w:lang w:val="en-GB"/>
              </w:rPr>
              <w:t>.</w:t>
            </w:r>
            <w:r w:rsidRPr="00E46433">
              <w:rPr>
                <w:lang w:val="en-GB"/>
              </w:rPr>
              <w:t>646</w:t>
            </w:r>
            <w:r>
              <w:rPr>
                <w:lang w:val="en-GB"/>
              </w:rPr>
              <w:t>.</w:t>
            </w:r>
            <w:r w:rsidRPr="00E46433">
              <w:rPr>
                <w:lang w:val="en-GB"/>
              </w:rPr>
              <w:t>338,21</w:t>
            </w:r>
          </w:p>
        </w:tc>
        <w:tc>
          <w:tcPr>
            <w:tcW w:w="1134" w:type="dxa"/>
            <w:tcBorders>
              <w:top w:val="nil"/>
              <w:left w:val="nil"/>
              <w:bottom w:val="nil"/>
              <w:right w:val="nil"/>
            </w:tcBorders>
            <w:shd w:val="clear" w:color="auto" w:fill="auto"/>
            <w:noWrap/>
            <w:vAlign w:val="center"/>
            <w:hideMark/>
          </w:tcPr>
          <w:p w:rsidR="00E4530D" w:rsidRPr="00A85DDD" w:rsidRDefault="00E46433" w:rsidP="00E4530D">
            <w:pPr>
              <w:pStyle w:val="Entabla"/>
              <w:rPr>
                <w:lang w:val="en-GB"/>
              </w:rPr>
            </w:pPr>
            <w:r>
              <w:rPr>
                <w:lang w:val="en-GB"/>
              </w:rPr>
              <w:t>1.75</w:t>
            </w:r>
          </w:p>
        </w:tc>
        <w:tc>
          <w:tcPr>
            <w:tcW w:w="850" w:type="dxa"/>
            <w:tcBorders>
              <w:top w:val="nil"/>
              <w:left w:val="nil"/>
              <w:bottom w:val="nil"/>
              <w:right w:val="nil"/>
            </w:tcBorders>
            <w:shd w:val="clear" w:color="auto" w:fill="auto"/>
            <w:vAlign w:val="center"/>
          </w:tcPr>
          <w:p w:rsidR="00E4530D" w:rsidRPr="00A85DDD" w:rsidRDefault="00E46433" w:rsidP="00E4530D">
            <w:pPr>
              <w:pStyle w:val="Entabla"/>
              <w:rPr>
                <w:lang w:val="en-GB"/>
              </w:rPr>
            </w:pPr>
            <w:r>
              <w:rPr>
                <w:lang w:val="en-GB"/>
              </w:rPr>
              <w:t>28</w:t>
            </w:r>
            <w:r w:rsidR="00E4530D" w:rsidRPr="00A85DDD">
              <w:rPr>
                <w:lang w:val="en-GB"/>
              </w:rPr>
              <w:t>%</w:t>
            </w:r>
          </w:p>
        </w:tc>
      </w:tr>
      <w:tr w:rsidR="00E4530D" w:rsidRPr="00A85DDD" w:rsidTr="00E4530D">
        <w:trPr>
          <w:trHeight w:val="300"/>
        </w:trPr>
        <w:tc>
          <w:tcPr>
            <w:tcW w:w="1985" w:type="dxa"/>
            <w:tcBorders>
              <w:top w:val="nil"/>
              <w:left w:val="nil"/>
              <w:bottom w:val="nil"/>
              <w:right w:val="nil"/>
            </w:tcBorders>
            <w:shd w:val="clear" w:color="auto" w:fill="auto"/>
            <w:noWrap/>
            <w:vAlign w:val="center"/>
            <w:hideMark/>
          </w:tcPr>
          <w:p w:rsidR="00E4530D" w:rsidRPr="00A85DDD" w:rsidRDefault="00390E2B" w:rsidP="00390E2B">
            <w:pPr>
              <w:pStyle w:val="Entabla"/>
              <w:rPr>
                <w:lang w:val="en-GB"/>
              </w:rPr>
            </w:pPr>
            <w:r>
              <w:rPr>
                <w:lang w:val="en-GB"/>
              </w:rPr>
              <w:t>Subcomponent</w:t>
            </w:r>
            <w:r w:rsidR="00E4530D" w:rsidRPr="00A85DDD">
              <w:rPr>
                <w:lang w:val="en-GB"/>
              </w:rPr>
              <w:t xml:space="preserve"> 2-</w:t>
            </w:r>
            <w:r>
              <w:rPr>
                <w:lang w:val="en-GB"/>
              </w:rPr>
              <w:t>Accountability</w:t>
            </w:r>
          </w:p>
        </w:tc>
        <w:tc>
          <w:tcPr>
            <w:tcW w:w="1559" w:type="dxa"/>
            <w:tcBorders>
              <w:top w:val="nil"/>
              <w:left w:val="nil"/>
              <w:bottom w:val="nil"/>
              <w:right w:val="nil"/>
            </w:tcBorders>
            <w:shd w:val="clear" w:color="auto" w:fill="auto"/>
            <w:noWrap/>
            <w:vAlign w:val="center"/>
            <w:hideMark/>
          </w:tcPr>
          <w:p w:rsidR="00E4530D" w:rsidRPr="00A85DDD" w:rsidRDefault="00BA1C6A" w:rsidP="00E4530D">
            <w:pPr>
              <w:pStyle w:val="Entabla"/>
              <w:rPr>
                <w:lang w:val="en-GB"/>
              </w:rPr>
            </w:pPr>
            <w:r>
              <w:rPr>
                <w:lang w:val="en-GB"/>
              </w:rPr>
              <w:t>13</w:t>
            </w:r>
            <w:r w:rsidR="00390E2B">
              <w:rPr>
                <w:lang w:val="en-GB"/>
              </w:rPr>
              <w:t>.650.000</w:t>
            </w:r>
          </w:p>
        </w:tc>
        <w:tc>
          <w:tcPr>
            <w:tcW w:w="1559" w:type="dxa"/>
            <w:tcBorders>
              <w:top w:val="nil"/>
              <w:left w:val="nil"/>
              <w:bottom w:val="nil"/>
              <w:right w:val="nil"/>
            </w:tcBorders>
            <w:shd w:val="clear" w:color="auto" w:fill="auto"/>
            <w:noWrap/>
            <w:vAlign w:val="center"/>
            <w:hideMark/>
          </w:tcPr>
          <w:p w:rsidR="00E4530D" w:rsidRPr="00A85DDD" w:rsidRDefault="00E46433" w:rsidP="00E4530D">
            <w:pPr>
              <w:pStyle w:val="Entabla"/>
              <w:rPr>
                <w:lang w:val="en-GB"/>
              </w:rPr>
            </w:pPr>
            <w:r w:rsidRPr="00E46433">
              <w:rPr>
                <w:lang w:val="en-GB"/>
              </w:rPr>
              <w:t>27</w:t>
            </w:r>
            <w:r>
              <w:rPr>
                <w:lang w:val="en-GB"/>
              </w:rPr>
              <w:t>.</w:t>
            </w:r>
            <w:r w:rsidRPr="00E46433">
              <w:rPr>
                <w:lang w:val="en-GB"/>
              </w:rPr>
              <w:t>299</w:t>
            </w:r>
            <w:r>
              <w:rPr>
                <w:lang w:val="en-GB"/>
              </w:rPr>
              <w:t>.</w:t>
            </w:r>
            <w:r w:rsidRPr="00E46433">
              <w:rPr>
                <w:lang w:val="en-GB"/>
              </w:rPr>
              <w:t>895,98</w:t>
            </w:r>
          </w:p>
        </w:tc>
        <w:tc>
          <w:tcPr>
            <w:tcW w:w="1560" w:type="dxa"/>
            <w:tcBorders>
              <w:top w:val="nil"/>
              <w:left w:val="nil"/>
              <w:bottom w:val="nil"/>
              <w:right w:val="nil"/>
            </w:tcBorders>
            <w:shd w:val="clear" w:color="auto" w:fill="auto"/>
            <w:noWrap/>
            <w:vAlign w:val="center"/>
            <w:hideMark/>
          </w:tcPr>
          <w:p w:rsidR="00E4530D" w:rsidRPr="00A85DDD" w:rsidRDefault="00E46433" w:rsidP="00E4530D">
            <w:pPr>
              <w:pStyle w:val="Entabla"/>
              <w:rPr>
                <w:lang w:val="en-GB"/>
              </w:rPr>
            </w:pPr>
            <w:r w:rsidRPr="00E46433">
              <w:rPr>
                <w:lang w:val="en-GB"/>
              </w:rPr>
              <w:t>13</w:t>
            </w:r>
            <w:r>
              <w:rPr>
                <w:lang w:val="en-GB"/>
              </w:rPr>
              <w:t>.</w:t>
            </w:r>
            <w:r w:rsidRPr="00E46433">
              <w:rPr>
                <w:lang w:val="en-GB"/>
              </w:rPr>
              <w:t>649</w:t>
            </w:r>
            <w:r>
              <w:rPr>
                <w:lang w:val="en-GB"/>
              </w:rPr>
              <w:t>.</w:t>
            </w:r>
            <w:r w:rsidRPr="00E46433">
              <w:rPr>
                <w:lang w:val="en-GB"/>
              </w:rPr>
              <w:t>895,98</w:t>
            </w:r>
          </w:p>
        </w:tc>
        <w:tc>
          <w:tcPr>
            <w:tcW w:w="1134" w:type="dxa"/>
            <w:tcBorders>
              <w:top w:val="nil"/>
              <w:left w:val="nil"/>
              <w:bottom w:val="nil"/>
              <w:right w:val="nil"/>
            </w:tcBorders>
            <w:shd w:val="clear" w:color="auto" w:fill="auto"/>
            <w:noWrap/>
            <w:vAlign w:val="center"/>
            <w:hideMark/>
          </w:tcPr>
          <w:p w:rsidR="00E4530D" w:rsidRPr="00A85DDD" w:rsidRDefault="008E32CF" w:rsidP="00E46433">
            <w:pPr>
              <w:pStyle w:val="Entabla"/>
              <w:rPr>
                <w:lang w:val="en-GB"/>
              </w:rPr>
            </w:pPr>
            <w:r>
              <w:rPr>
                <w:lang w:val="en-GB"/>
              </w:rPr>
              <w:t>2,</w:t>
            </w:r>
            <w:r w:rsidR="00E46433">
              <w:rPr>
                <w:lang w:val="en-GB"/>
              </w:rPr>
              <w:t>00</w:t>
            </w:r>
          </w:p>
        </w:tc>
        <w:tc>
          <w:tcPr>
            <w:tcW w:w="850" w:type="dxa"/>
            <w:tcBorders>
              <w:top w:val="nil"/>
              <w:left w:val="nil"/>
              <w:bottom w:val="nil"/>
              <w:right w:val="nil"/>
            </w:tcBorders>
            <w:shd w:val="clear" w:color="auto" w:fill="auto"/>
            <w:vAlign w:val="center"/>
          </w:tcPr>
          <w:p w:rsidR="00E4530D" w:rsidRPr="00A85DDD" w:rsidRDefault="00E46433" w:rsidP="00E4530D">
            <w:pPr>
              <w:pStyle w:val="Entabla"/>
              <w:rPr>
                <w:lang w:val="en-GB"/>
              </w:rPr>
            </w:pPr>
            <w:r>
              <w:rPr>
                <w:lang w:val="en-GB"/>
              </w:rPr>
              <w:t>28</w:t>
            </w:r>
            <w:r w:rsidR="00E4530D" w:rsidRPr="00A85DDD">
              <w:rPr>
                <w:lang w:val="en-GB"/>
              </w:rPr>
              <w:t>%</w:t>
            </w:r>
          </w:p>
        </w:tc>
      </w:tr>
      <w:tr w:rsidR="00390E2B" w:rsidRPr="00A85DDD" w:rsidTr="005456B2">
        <w:trPr>
          <w:trHeight w:val="300"/>
        </w:trPr>
        <w:tc>
          <w:tcPr>
            <w:tcW w:w="1985"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60"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134"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850" w:type="dxa"/>
            <w:tcBorders>
              <w:top w:val="nil"/>
              <w:left w:val="nil"/>
              <w:bottom w:val="nil"/>
              <w:right w:val="nil"/>
            </w:tcBorders>
            <w:shd w:val="clear" w:color="auto" w:fill="auto"/>
          </w:tcPr>
          <w:p w:rsidR="00390E2B" w:rsidRPr="00A85DDD" w:rsidRDefault="00390E2B" w:rsidP="00E4530D">
            <w:pPr>
              <w:pStyle w:val="Entabla"/>
              <w:rPr>
                <w:lang w:val="en-GB"/>
              </w:rPr>
            </w:pPr>
          </w:p>
        </w:tc>
      </w:tr>
      <w:tr w:rsidR="00390E2B" w:rsidRPr="00A85DDD" w:rsidTr="005456B2">
        <w:trPr>
          <w:trHeight w:val="300"/>
        </w:trPr>
        <w:tc>
          <w:tcPr>
            <w:tcW w:w="1985"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r w:rsidRPr="00A85DDD">
              <w:rPr>
                <w:lang w:val="en-GB"/>
              </w:rPr>
              <w:t>Total</w:t>
            </w:r>
          </w:p>
        </w:tc>
        <w:tc>
          <w:tcPr>
            <w:tcW w:w="1559"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sidRPr="00E46433">
              <w:rPr>
                <w:lang w:val="en-GB"/>
              </w:rPr>
              <w:t>39</w:t>
            </w:r>
            <w:r>
              <w:rPr>
                <w:lang w:val="en-GB"/>
              </w:rPr>
              <w:t>.</w:t>
            </w:r>
            <w:r w:rsidRPr="00E46433">
              <w:rPr>
                <w:lang w:val="en-GB"/>
              </w:rPr>
              <w:t>971</w:t>
            </w:r>
            <w:r>
              <w:rPr>
                <w:lang w:val="en-GB"/>
              </w:rPr>
              <w:t>.</w:t>
            </w:r>
            <w:r w:rsidRPr="00E46433">
              <w:rPr>
                <w:lang w:val="en-GB"/>
              </w:rPr>
              <w:t>109,59</w:t>
            </w:r>
          </w:p>
        </w:tc>
        <w:tc>
          <w:tcPr>
            <w:tcW w:w="1559"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sidRPr="00E46433">
              <w:rPr>
                <w:lang w:val="en-GB"/>
              </w:rPr>
              <w:t>73</w:t>
            </w:r>
            <w:r>
              <w:rPr>
                <w:lang w:val="en-GB"/>
              </w:rPr>
              <w:t>.</w:t>
            </w:r>
            <w:r w:rsidRPr="00E46433">
              <w:rPr>
                <w:lang w:val="en-GB"/>
              </w:rPr>
              <w:t>797</w:t>
            </w:r>
            <w:r>
              <w:rPr>
                <w:lang w:val="en-GB"/>
              </w:rPr>
              <w:t>.</w:t>
            </w:r>
            <w:r w:rsidRPr="00E46433">
              <w:rPr>
                <w:lang w:val="en-GB"/>
              </w:rPr>
              <w:t>182,54</w:t>
            </w:r>
          </w:p>
        </w:tc>
        <w:tc>
          <w:tcPr>
            <w:tcW w:w="1560"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sidRPr="00E46433">
              <w:rPr>
                <w:lang w:val="en-GB"/>
              </w:rPr>
              <w:t>33</w:t>
            </w:r>
            <w:r>
              <w:rPr>
                <w:lang w:val="en-GB"/>
              </w:rPr>
              <w:t>.</w:t>
            </w:r>
            <w:r w:rsidRPr="00E46433">
              <w:rPr>
                <w:lang w:val="en-GB"/>
              </w:rPr>
              <w:t>826</w:t>
            </w:r>
            <w:r>
              <w:rPr>
                <w:lang w:val="en-GB"/>
              </w:rPr>
              <w:t>.</w:t>
            </w:r>
            <w:r w:rsidRPr="00E46433">
              <w:rPr>
                <w:lang w:val="en-GB"/>
              </w:rPr>
              <w:t>072,95</w:t>
            </w:r>
          </w:p>
        </w:tc>
        <w:tc>
          <w:tcPr>
            <w:tcW w:w="1134"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Pr>
                <w:lang w:val="en-GB"/>
              </w:rPr>
              <w:t>1.85</w:t>
            </w:r>
          </w:p>
        </w:tc>
        <w:tc>
          <w:tcPr>
            <w:tcW w:w="850" w:type="dxa"/>
            <w:tcBorders>
              <w:top w:val="nil"/>
              <w:left w:val="nil"/>
              <w:bottom w:val="nil"/>
              <w:right w:val="nil"/>
            </w:tcBorders>
            <w:shd w:val="clear" w:color="auto" w:fill="auto"/>
            <w:vAlign w:val="center"/>
          </w:tcPr>
          <w:p w:rsidR="00390E2B" w:rsidRPr="00A85DDD" w:rsidRDefault="00CC77D8" w:rsidP="00E46433">
            <w:pPr>
              <w:pStyle w:val="Entabla"/>
              <w:rPr>
                <w:lang w:val="en-GB"/>
              </w:rPr>
            </w:pPr>
            <w:r>
              <w:rPr>
                <w:lang w:val="en-GB"/>
              </w:rPr>
              <w:t>2</w:t>
            </w:r>
            <w:r w:rsidR="00E46433">
              <w:rPr>
                <w:lang w:val="en-GB"/>
              </w:rPr>
              <w:t>8</w:t>
            </w:r>
            <w:r w:rsidR="00390E2B" w:rsidRPr="00A85DDD">
              <w:rPr>
                <w:lang w:val="en-GB"/>
              </w:rPr>
              <w:t>%</w:t>
            </w:r>
          </w:p>
        </w:tc>
      </w:tr>
      <w:tr w:rsidR="00390E2B" w:rsidRPr="00A85DDD" w:rsidTr="005456B2">
        <w:trPr>
          <w:trHeight w:val="300"/>
        </w:trPr>
        <w:tc>
          <w:tcPr>
            <w:tcW w:w="1985"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Pr>
                <w:b/>
                <w:lang w:val="en-GB"/>
              </w:rPr>
              <w:t>Scenario 2-Conservative</w:t>
            </w:r>
          </w:p>
        </w:tc>
        <w:tc>
          <w:tcPr>
            <w:tcW w:w="1559"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sidRPr="00A85DDD">
              <w:rPr>
                <w:b/>
                <w:lang w:val="en-GB"/>
              </w:rPr>
              <w:t> </w:t>
            </w:r>
          </w:p>
        </w:tc>
        <w:tc>
          <w:tcPr>
            <w:tcW w:w="1559"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sidRPr="00A85DDD">
              <w:rPr>
                <w:b/>
                <w:lang w:val="en-GB"/>
              </w:rPr>
              <w:t> </w:t>
            </w:r>
          </w:p>
        </w:tc>
        <w:tc>
          <w:tcPr>
            <w:tcW w:w="1560"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sidRPr="00A85DDD">
              <w:rPr>
                <w:b/>
                <w:lang w:val="en-GB"/>
              </w:rPr>
              <w:t> </w:t>
            </w:r>
          </w:p>
        </w:tc>
        <w:tc>
          <w:tcPr>
            <w:tcW w:w="1134"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sidRPr="00A85DDD">
              <w:rPr>
                <w:b/>
                <w:lang w:val="en-GB"/>
              </w:rPr>
              <w:t> </w:t>
            </w:r>
          </w:p>
        </w:tc>
        <w:tc>
          <w:tcPr>
            <w:tcW w:w="850" w:type="dxa"/>
            <w:tcBorders>
              <w:top w:val="single" w:sz="4" w:space="0" w:color="auto"/>
              <w:left w:val="nil"/>
              <w:bottom w:val="single" w:sz="4" w:space="0" w:color="auto"/>
              <w:right w:val="nil"/>
            </w:tcBorders>
            <w:shd w:val="clear" w:color="auto" w:fill="auto"/>
          </w:tcPr>
          <w:p w:rsidR="00390E2B" w:rsidRPr="00A85DDD" w:rsidRDefault="00390E2B" w:rsidP="00E4530D">
            <w:pPr>
              <w:pStyle w:val="Entabla"/>
              <w:rPr>
                <w:lang w:val="en-GB"/>
              </w:rPr>
            </w:pPr>
          </w:p>
        </w:tc>
      </w:tr>
      <w:tr w:rsidR="00390E2B" w:rsidRPr="00A85DDD" w:rsidTr="005456B2">
        <w:trPr>
          <w:trHeight w:val="300"/>
        </w:trPr>
        <w:tc>
          <w:tcPr>
            <w:tcW w:w="1985" w:type="dxa"/>
            <w:tcBorders>
              <w:top w:val="nil"/>
              <w:left w:val="nil"/>
              <w:bottom w:val="nil"/>
              <w:right w:val="nil"/>
            </w:tcBorders>
            <w:shd w:val="clear" w:color="auto" w:fill="auto"/>
            <w:noWrap/>
            <w:vAlign w:val="center"/>
            <w:hideMark/>
          </w:tcPr>
          <w:p w:rsidR="00390E2B" w:rsidRPr="00A85DDD" w:rsidRDefault="00390E2B" w:rsidP="00E4530D">
            <w:pPr>
              <w:pStyle w:val="Entabla"/>
              <w:rPr>
                <w:b/>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b/>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b/>
                <w:lang w:val="en-GB"/>
              </w:rPr>
            </w:pPr>
          </w:p>
        </w:tc>
        <w:tc>
          <w:tcPr>
            <w:tcW w:w="1560" w:type="dxa"/>
            <w:tcBorders>
              <w:top w:val="nil"/>
              <w:left w:val="nil"/>
              <w:bottom w:val="nil"/>
              <w:right w:val="nil"/>
            </w:tcBorders>
            <w:shd w:val="clear" w:color="auto" w:fill="auto"/>
            <w:noWrap/>
            <w:vAlign w:val="center"/>
            <w:hideMark/>
          </w:tcPr>
          <w:p w:rsidR="00390E2B" w:rsidRPr="00A85DDD" w:rsidRDefault="00390E2B" w:rsidP="00E4530D">
            <w:pPr>
              <w:pStyle w:val="Entabla"/>
              <w:rPr>
                <w:b/>
                <w:lang w:val="en-GB"/>
              </w:rPr>
            </w:pPr>
          </w:p>
        </w:tc>
        <w:tc>
          <w:tcPr>
            <w:tcW w:w="1134" w:type="dxa"/>
            <w:tcBorders>
              <w:top w:val="nil"/>
              <w:left w:val="nil"/>
              <w:bottom w:val="nil"/>
              <w:right w:val="nil"/>
            </w:tcBorders>
            <w:shd w:val="clear" w:color="auto" w:fill="auto"/>
            <w:noWrap/>
            <w:vAlign w:val="center"/>
            <w:hideMark/>
          </w:tcPr>
          <w:p w:rsidR="00390E2B" w:rsidRPr="00A85DDD" w:rsidRDefault="00390E2B" w:rsidP="00E4530D">
            <w:pPr>
              <w:pStyle w:val="Entabla"/>
              <w:rPr>
                <w:b/>
                <w:lang w:val="en-GB"/>
              </w:rPr>
            </w:pPr>
          </w:p>
        </w:tc>
        <w:tc>
          <w:tcPr>
            <w:tcW w:w="850" w:type="dxa"/>
            <w:tcBorders>
              <w:top w:val="nil"/>
              <w:left w:val="nil"/>
              <w:bottom w:val="nil"/>
              <w:right w:val="nil"/>
            </w:tcBorders>
            <w:shd w:val="clear" w:color="auto" w:fill="auto"/>
          </w:tcPr>
          <w:p w:rsidR="00390E2B" w:rsidRPr="00A85DDD" w:rsidRDefault="00390E2B" w:rsidP="00E4530D">
            <w:pPr>
              <w:pStyle w:val="Entabla"/>
              <w:rPr>
                <w:b/>
                <w:lang w:val="en-GB"/>
              </w:rPr>
            </w:pPr>
          </w:p>
        </w:tc>
      </w:tr>
      <w:tr w:rsidR="00390E2B" w:rsidRPr="00A85DDD" w:rsidTr="005456B2">
        <w:trPr>
          <w:trHeight w:val="300"/>
        </w:trPr>
        <w:tc>
          <w:tcPr>
            <w:tcW w:w="1985" w:type="dxa"/>
            <w:tcBorders>
              <w:top w:val="nil"/>
              <w:left w:val="nil"/>
              <w:bottom w:val="nil"/>
              <w:right w:val="nil"/>
            </w:tcBorders>
            <w:shd w:val="clear" w:color="auto" w:fill="auto"/>
            <w:noWrap/>
            <w:vAlign w:val="center"/>
          </w:tcPr>
          <w:p w:rsidR="00390E2B" w:rsidRPr="00A85DDD" w:rsidRDefault="00390E2B" w:rsidP="00390E2B">
            <w:pPr>
              <w:pStyle w:val="Entabla"/>
              <w:rPr>
                <w:lang w:val="en-GB"/>
              </w:rPr>
            </w:pPr>
            <w:r>
              <w:rPr>
                <w:lang w:val="en-GB"/>
              </w:rPr>
              <w:t>Subcomponent</w:t>
            </w:r>
            <w:r w:rsidRPr="00A85DDD">
              <w:rPr>
                <w:lang w:val="en-GB"/>
              </w:rPr>
              <w:t xml:space="preserve"> 1-</w:t>
            </w:r>
            <w:r>
              <w:rPr>
                <w:lang w:val="en-GB"/>
              </w:rPr>
              <w:t>HRM</w:t>
            </w:r>
          </w:p>
        </w:tc>
        <w:tc>
          <w:tcPr>
            <w:tcW w:w="1559"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sidRPr="00E46433">
              <w:rPr>
                <w:lang w:val="en-GB"/>
              </w:rPr>
              <w:t>26</w:t>
            </w:r>
            <w:r>
              <w:rPr>
                <w:lang w:val="en-GB"/>
              </w:rPr>
              <w:t>.</w:t>
            </w:r>
            <w:r w:rsidRPr="00E46433">
              <w:rPr>
                <w:lang w:val="en-GB"/>
              </w:rPr>
              <w:t>205</w:t>
            </w:r>
            <w:r>
              <w:rPr>
                <w:lang w:val="en-GB"/>
              </w:rPr>
              <w:t>.</w:t>
            </w:r>
            <w:r w:rsidRPr="00E46433">
              <w:rPr>
                <w:lang w:val="en-GB"/>
              </w:rPr>
              <w:t>622,74</w:t>
            </w:r>
          </w:p>
        </w:tc>
        <w:tc>
          <w:tcPr>
            <w:tcW w:w="1559"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sidRPr="00E46433">
              <w:rPr>
                <w:lang w:val="en-GB"/>
              </w:rPr>
              <w:t>27</w:t>
            </w:r>
            <w:r>
              <w:rPr>
                <w:lang w:val="en-GB"/>
              </w:rPr>
              <w:t>.</w:t>
            </w:r>
            <w:r w:rsidRPr="00E46433">
              <w:rPr>
                <w:lang w:val="en-GB"/>
              </w:rPr>
              <w:t>805</w:t>
            </w:r>
            <w:r>
              <w:rPr>
                <w:lang w:val="en-GB"/>
              </w:rPr>
              <w:t>.</w:t>
            </w:r>
            <w:r w:rsidRPr="00E46433">
              <w:rPr>
                <w:lang w:val="en-GB"/>
              </w:rPr>
              <w:t>807,64</w:t>
            </w:r>
          </w:p>
        </w:tc>
        <w:tc>
          <w:tcPr>
            <w:tcW w:w="1560"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sidRPr="00E46433">
              <w:rPr>
                <w:lang w:val="en-GB"/>
              </w:rPr>
              <w:t>1</w:t>
            </w:r>
            <w:r>
              <w:rPr>
                <w:lang w:val="en-GB"/>
              </w:rPr>
              <w:t>.</w:t>
            </w:r>
            <w:r w:rsidRPr="00E46433">
              <w:rPr>
                <w:lang w:val="en-GB"/>
              </w:rPr>
              <w:t>600</w:t>
            </w:r>
            <w:r>
              <w:rPr>
                <w:lang w:val="en-GB"/>
              </w:rPr>
              <w:t>.</w:t>
            </w:r>
            <w:r w:rsidRPr="00E46433">
              <w:rPr>
                <w:lang w:val="en-GB"/>
              </w:rPr>
              <w:t>184,907</w:t>
            </w:r>
          </w:p>
        </w:tc>
        <w:tc>
          <w:tcPr>
            <w:tcW w:w="1134"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Pr>
                <w:lang w:val="en-GB"/>
              </w:rPr>
              <w:t>1.06</w:t>
            </w:r>
          </w:p>
        </w:tc>
        <w:tc>
          <w:tcPr>
            <w:tcW w:w="850" w:type="dxa"/>
            <w:tcBorders>
              <w:top w:val="nil"/>
              <w:left w:val="nil"/>
              <w:bottom w:val="nil"/>
              <w:right w:val="nil"/>
            </w:tcBorders>
            <w:shd w:val="clear" w:color="auto" w:fill="auto"/>
            <w:vAlign w:val="center"/>
          </w:tcPr>
          <w:p w:rsidR="00390E2B" w:rsidRPr="00A85DDD" w:rsidRDefault="00E46433" w:rsidP="00E4530D">
            <w:pPr>
              <w:pStyle w:val="Entabla"/>
              <w:rPr>
                <w:lang w:val="en-GB"/>
              </w:rPr>
            </w:pPr>
            <w:r>
              <w:rPr>
                <w:lang w:val="en-GB"/>
              </w:rPr>
              <w:t>13</w:t>
            </w:r>
            <w:r w:rsidR="00390E2B" w:rsidRPr="00A85DDD">
              <w:rPr>
                <w:lang w:val="en-GB"/>
              </w:rPr>
              <w:t>%</w:t>
            </w:r>
          </w:p>
        </w:tc>
      </w:tr>
      <w:tr w:rsidR="00390E2B" w:rsidRPr="00A85DDD" w:rsidTr="00E4530D">
        <w:trPr>
          <w:trHeight w:val="300"/>
        </w:trPr>
        <w:tc>
          <w:tcPr>
            <w:tcW w:w="1985" w:type="dxa"/>
            <w:tcBorders>
              <w:top w:val="nil"/>
              <w:left w:val="nil"/>
              <w:bottom w:val="nil"/>
              <w:right w:val="nil"/>
            </w:tcBorders>
            <w:shd w:val="clear" w:color="auto" w:fill="auto"/>
            <w:noWrap/>
            <w:vAlign w:val="center"/>
            <w:hideMark/>
          </w:tcPr>
          <w:p w:rsidR="00390E2B" w:rsidRPr="00A85DDD" w:rsidRDefault="00390E2B" w:rsidP="00390E2B">
            <w:pPr>
              <w:pStyle w:val="Entabla"/>
              <w:rPr>
                <w:lang w:val="en-GB"/>
              </w:rPr>
            </w:pPr>
            <w:r>
              <w:rPr>
                <w:lang w:val="en-GB"/>
              </w:rPr>
              <w:t>Subcomponent</w:t>
            </w:r>
            <w:r w:rsidRPr="00A85DDD">
              <w:rPr>
                <w:lang w:val="en-GB"/>
              </w:rPr>
              <w:t xml:space="preserve"> 2-</w:t>
            </w:r>
            <w:r>
              <w:rPr>
                <w:lang w:val="en-GB"/>
              </w:rPr>
              <w:t>Accountability</w:t>
            </w:r>
          </w:p>
        </w:tc>
        <w:tc>
          <w:tcPr>
            <w:tcW w:w="1559" w:type="dxa"/>
            <w:tcBorders>
              <w:top w:val="nil"/>
              <w:left w:val="nil"/>
              <w:bottom w:val="nil"/>
              <w:right w:val="nil"/>
            </w:tcBorders>
            <w:shd w:val="clear" w:color="auto" w:fill="auto"/>
            <w:noWrap/>
            <w:vAlign w:val="center"/>
            <w:hideMark/>
          </w:tcPr>
          <w:p w:rsidR="00390E2B" w:rsidRPr="00A85DDD" w:rsidRDefault="00BA1C6A" w:rsidP="00E4530D">
            <w:pPr>
              <w:pStyle w:val="Entabla"/>
              <w:rPr>
                <w:lang w:val="en-GB"/>
              </w:rPr>
            </w:pPr>
            <w:r>
              <w:rPr>
                <w:lang w:val="en-GB"/>
              </w:rPr>
              <w:t>13</w:t>
            </w:r>
            <w:r w:rsidR="00390E2B">
              <w:rPr>
                <w:lang w:val="en-GB"/>
              </w:rPr>
              <w:t>.650.000</w:t>
            </w:r>
          </w:p>
        </w:tc>
        <w:tc>
          <w:tcPr>
            <w:tcW w:w="1559" w:type="dxa"/>
            <w:tcBorders>
              <w:top w:val="nil"/>
              <w:left w:val="nil"/>
              <w:bottom w:val="nil"/>
              <w:right w:val="nil"/>
            </w:tcBorders>
            <w:shd w:val="clear" w:color="auto" w:fill="auto"/>
            <w:noWrap/>
            <w:vAlign w:val="center"/>
            <w:hideMark/>
          </w:tcPr>
          <w:p w:rsidR="00390E2B" w:rsidRPr="00A85DDD" w:rsidRDefault="00B21C05" w:rsidP="00E4530D">
            <w:pPr>
              <w:pStyle w:val="Entabla"/>
              <w:rPr>
                <w:lang w:val="en-GB"/>
              </w:rPr>
            </w:pPr>
            <w:r w:rsidRPr="00B21C05">
              <w:rPr>
                <w:lang w:val="en-GB"/>
              </w:rPr>
              <w:t>22</w:t>
            </w:r>
            <w:r>
              <w:rPr>
                <w:lang w:val="en-GB"/>
              </w:rPr>
              <w:t>.</w:t>
            </w:r>
            <w:r w:rsidRPr="00B21C05">
              <w:rPr>
                <w:lang w:val="en-GB"/>
              </w:rPr>
              <w:t>128</w:t>
            </w:r>
            <w:r>
              <w:rPr>
                <w:lang w:val="en-GB"/>
              </w:rPr>
              <w:t>.</w:t>
            </w:r>
            <w:r w:rsidRPr="00B21C05">
              <w:rPr>
                <w:lang w:val="en-GB"/>
              </w:rPr>
              <w:t>597,93</w:t>
            </w:r>
          </w:p>
        </w:tc>
        <w:tc>
          <w:tcPr>
            <w:tcW w:w="1560" w:type="dxa"/>
            <w:tcBorders>
              <w:top w:val="nil"/>
              <w:left w:val="nil"/>
              <w:bottom w:val="nil"/>
              <w:right w:val="nil"/>
            </w:tcBorders>
            <w:shd w:val="clear" w:color="auto" w:fill="auto"/>
            <w:noWrap/>
            <w:vAlign w:val="center"/>
            <w:hideMark/>
          </w:tcPr>
          <w:p w:rsidR="00390E2B" w:rsidRPr="00A85DDD" w:rsidRDefault="00B21C05" w:rsidP="00E4530D">
            <w:pPr>
              <w:pStyle w:val="Entabla"/>
              <w:rPr>
                <w:lang w:val="en-GB"/>
              </w:rPr>
            </w:pPr>
            <w:r w:rsidRPr="00B21C05">
              <w:rPr>
                <w:lang w:val="en-GB"/>
              </w:rPr>
              <w:t>8</w:t>
            </w:r>
            <w:r>
              <w:rPr>
                <w:lang w:val="en-GB"/>
              </w:rPr>
              <w:t>.</w:t>
            </w:r>
            <w:r w:rsidRPr="00B21C05">
              <w:rPr>
                <w:lang w:val="en-GB"/>
              </w:rPr>
              <w:t>478</w:t>
            </w:r>
            <w:r>
              <w:rPr>
                <w:lang w:val="en-GB"/>
              </w:rPr>
              <w:t>.</w:t>
            </w:r>
            <w:r w:rsidRPr="00B21C05">
              <w:rPr>
                <w:lang w:val="en-GB"/>
              </w:rPr>
              <w:t>597,931</w:t>
            </w:r>
          </w:p>
        </w:tc>
        <w:tc>
          <w:tcPr>
            <w:tcW w:w="1134" w:type="dxa"/>
            <w:tcBorders>
              <w:top w:val="nil"/>
              <w:left w:val="nil"/>
              <w:bottom w:val="nil"/>
              <w:right w:val="nil"/>
            </w:tcBorders>
            <w:shd w:val="clear" w:color="auto" w:fill="auto"/>
            <w:noWrap/>
            <w:vAlign w:val="center"/>
            <w:hideMark/>
          </w:tcPr>
          <w:p w:rsidR="00390E2B" w:rsidRPr="00A85DDD" w:rsidRDefault="00B21C05" w:rsidP="00E4530D">
            <w:pPr>
              <w:pStyle w:val="Entabla"/>
              <w:rPr>
                <w:lang w:val="en-GB"/>
              </w:rPr>
            </w:pPr>
            <w:r>
              <w:rPr>
                <w:lang w:val="en-GB"/>
              </w:rPr>
              <w:t>1.62</w:t>
            </w:r>
          </w:p>
        </w:tc>
        <w:tc>
          <w:tcPr>
            <w:tcW w:w="850" w:type="dxa"/>
            <w:tcBorders>
              <w:top w:val="nil"/>
              <w:left w:val="nil"/>
              <w:bottom w:val="nil"/>
              <w:right w:val="nil"/>
            </w:tcBorders>
            <w:shd w:val="clear" w:color="auto" w:fill="auto"/>
            <w:vAlign w:val="center"/>
          </w:tcPr>
          <w:p w:rsidR="00390E2B" w:rsidRPr="00A85DDD" w:rsidRDefault="00B21C05" w:rsidP="00E4530D">
            <w:pPr>
              <w:pStyle w:val="Entabla"/>
              <w:rPr>
                <w:lang w:val="en-GB"/>
              </w:rPr>
            </w:pPr>
            <w:r>
              <w:rPr>
                <w:lang w:val="en-GB"/>
              </w:rPr>
              <w:t>22</w:t>
            </w:r>
            <w:r w:rsidR="00390E2B" w:rsidRPr="00A85DDD">
              <w:rPr>
                <w:lang w:val="en-GB"/>
              </w:rPr>
              <w:t>%</w:t>
            </w:r>
          </w:p>
        </w:tc>
      </w:tr>
      <w:tr w:rsidR="00390E2B" w:rsidRPr="00A85DDD" w:rsidTr="00825183">
        <w:trPr>
          <w:trHeight w:val="300"/>
        </w:trPr>
        <w:tc>
          <w:tcPr>
            <w:tcW w:w="1985"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60"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134"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850" w:type="dxa"/>
            <w:tcBorders>
              <w:top w:val="nil"/>
              <w:left w:val="nil"/>
              <w:bottom w:val="nil"/>
              <w:right w:val="nil"/>
            </w:tcBorders>
            <w:shd w:val="clear" w:color="auto" w:fill="auto"/>
          </w:tcPr>
          <w:p w:rsidR="00390E2B" w:rsidRPr="00A85DDD" w:rsidRDefault="00390E2B" w:rsidP="00E4530D">
            <w:pPr>
              <w:pStyle w:val="Entabla"/>
              <w:rPr>
                <w:lang w:val="en-GB"/>
              </w:rPr>
            </w:pPr>
          </w:p>
        </w:tc>
      </w:tr>
      <w:tr w:rsidR="00390E2B" w:rsidRPr="00A85DDD" w:rsidTr="00825183">
        <w:trPr>
          <w:trHeight w:val="300"/>
        </w:trPr>
        <w:tc>
          <w:tcPr>
            <w:tcW w:w="1985"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r w:rsidRPr="00A85DDD">
              <w:rPr>
                <w:lang w:val="en-GB"/>
              </w:rPr>
              <w:t>Total</w:t>
            </w:r>
          </w:p>
        </w:tc>
        <w:tc>
          <w:tcPr>
            <w:tcW w:w="1559" w:type="dxa"/>
            <w:tcBorders>
              <w:top w:val="nil"/>
              <w:left w:val="nil"/>
              <w:bottom w:val="nil"/>
              <w:right w:val="nil"/>
            </w:tcBorders>
            <w:shd w:val="clear" w:color="auto" w:fill="auto"/>
            <w:noWrap/>
            <w:vAlign w:val="center"/>
            <w:hideMark/>
          </w:tcPr>
          <w:p w:rsidR="00390E2B" w:rsidRPr="00A85DDD" w:rsidRDefault="00E46433" w:rsidP="00E4530D">
            <w:pPr>
              <w:pStyle w:val="Entabla"/>
              <w:rPr>
                <w:lang w:val="en-GB"/>
              </w:rPr>
            </w:pPr>
            <w:r w:rsidRPr="00E46433">
              <w:rPr>
                <w:lang w:val="en-GB"/>
              </w:rPr>
              <w:t>39</w:t>
            </w:r>
            <w:r>
              <w:rPr>
                <w:lang w:val="en-GB"/>
              </w:rPr>
              <w:t>.</w:t>
            </w:r>
            <w:r w:rsidRPr="00E46433">
              <w:rPr>
                <w:lang w:val="en-GB"/>
              </w:rPr>
              <w:t>971</w:t>
            </w:r>
            <w:r>
              <w:rPr>
                <w:lang w:val="en-GB"/>
              </w:rPr>
              <w:t>.</w:t>
            </w:r>
            <w:r w:rsidRPr="00E46433">
              <w:rPr>
                <w:lang w:val="en-GB"/>
              </w:rPr>
              <w:t>109,59</w:t>
            </w:r>
          </w:p>
        </w:tc>
        <w:tc>
          <w:tcPr>
            <w:tcW w:w="1559" w:type="dxa"/>
            <w:tcBorders>
              <w:top w:val="nil"/>
              <w:left w:val="nil"/>
              <w:bottom w:val="nil"/>
              <w:right w:val="nil"/>
            </w:tcBorders>
            <w:shd w:val="clear" w:color="auto" w:fill="auto"/>
            <w:noWrap/>
            <w:vAlign w:val="center"/>
            <w:hideMark/>
          </w:tcPr>
          <w:p w:rsidR="00390E2B" w:rsidRPr="00A85DDD" w:rsidRDefault="00B21C05" w:rsidP="00E4530D">
            <w:pPr>
              <w:pStyle w:val="Entabla"/>
              <w:rPr>
                <w:lang w:val="en-GB"/>
              </w:rPr>
            </w:pPr>
            <w:r w:rsidRPr="00B21C05">
              <w:rPr>
                <w:lang w:val="en-GB"/>
              </w:rPr>
              <w:t>50</w:t>
            </w:r>
            <w:r>
              <w:rPr>
                <w:lang w:val="en-GB"/>
              </w:rPr>
              <w:t>.</w:t>
            </w:r>
            <w:r w:rsidRPr="00B21C05">
              <w:rPr>
                <w:lang w:val="en-GB"/>
              </w:rPr>
              <w:t>325</w:t>
            </w:r>
            <w:r>
              <w:rPr>
                <w:lang w:val="en-GB"/>
              </w:rPr>
              <w:t>.</w:t>
            </w:r>
            <w:r w:rsidRPr="00B21C05">
              <w:rPr>
                <w:lang w:val="en-GB"/>
              </w:rPr>
              <w:t>747,61</w:t>
            </w:r>
          </w:p>
        </w:tc>
        <w:tc>
          <w:tcPr>
            <w:tcW w:w="1560" w:type="dxa"/>
            <w:tcBorders>
              <w:top w:val="nil"/>
              <w:left w:val="nil"/>
              <w:bottom w:val="nil"/>
              <w:right w:val="nil"/>
            </w:tcBorders>
            <w:shd w:val="clear" w:color="auto" w:fill="auto"/>
            <w:noWrap/>
            <w:vAlign w:val="center"/>
            <w:hideMark/>
          </w:tcPr>
          <w:p w:rsidR="00390E2B" w:rsidRPr="00A85DDD" w:rsidRDefault="00B21C05" w:rsidP="00E4530D">
            <w:pPr>
              <w:pStyle w:val="Entabla"/>
              <w:rPr>
                <w:lang w:val="en-GB"/>
              </w:rPr>
            </w:pPr>
            <w:r w:rsidRPr="00B21C05">
              <w:rPr>
                <w:lang w:val="en-GB"/>
              </w:rPr>
              <w:t>10</w:t>
            </w:r>
            <w:r>
              <w:rPr>
                <w:lang w:val="en-GB"/>
              </w:rPr>
              <w:t>.</w:t>
            </w:r>
            <w:r w:rsidRPr="00B21C05">
              <w:rPr>
                <w:lang w:val="en-GB"/>
              </w:rPr>
              <w:t>354</w:t>
            </w:r>
            <w:r>
              <w:rPr>
                <w:lang w:val="en-GB"/>
              </w:rPr>
              <w:t>.</w:t>
            </w:r>
            <w:r w:rsidRPr="00B21C05">
              <w:rPr>
                <w:lang w:val="en-GB"/>
              </w:rPr>
              <w:t>638,03</w:t>
            </w:r>
          </w:p>
        </w:tc>
        <w:tc>
          <w:tcPr>
            <w:tcW w:w="1134" w:type="dxa"/>
            <w:tcBorders>
              <w:top w:val="nil"/>
              <w:left w:val="nil"/>
              <w:bottom w:val="nil"/>
              <w:right w:val="nil"/>
            </w:tcBorders>
            <w:shd w:val="clear" w:color="auto" w:fill="auto"/>
            <w:noWrap/>
            <w:vAlign w:val="center"/>
            <w:hideMark/>
          </w:tcPr>
          <w:p w:rsidR="00390E2B" w:rsidRPr="00A85DDD" w:rsidRDefault="00B21C05" w:rsidP="00E4530D">
            <w:pPr>
              <w:pStyle w:val="Entabla"/>
              <w:rPr>
                <w:lang w:val="en-GB"/>
              </w:rPr>
            </w:pPr>
            <w:r>
              <w:rPr>
                <w:lang w:val="en-GB"/>
              </w:rPr>
              <w:t>1,26</w:t>
            </w:r>
          </w:p>
        </w:tc>
        <w:tc>
          <w:tcPr>
            <w:tcW w:w="850" w:type="dxa"/>
            <w:tcBorders>
              <w:top w:val="nil"/>
              <w:left w:val="nil"/>
              <w:bottom w:val="nil"/>
              <w:right w:val="nil"/>
            </w:tcBorders>
            <w:shd w:val="clear" w:color="auto" w:fill="auto"/>
            <w:vAlign w:val="center"/>
          </w:tcPr>
          <w:p w:rsidR="00390E2B" w:rsidRPr="00A85DDD" w:rsidRDefault="00B21C05" w:rsidP="00E4530D">
            <w:pPr>
              <w:pStyle w:val="Entabla"/>
              <w:rPr>
                <w:lang w:val="en-GB"/>
              </w:rPr>
            </w:pPr>
            <w:r>
              <w:rPr>
                <w:lang w:val="en-GB"/>
              </w:rPr>
              <w:t>17</w:t>
            </w:r>
            <w:r w:rsidR="00390E2B" w:rsidRPr="00A85DDD">
              <w:rPr>
                <w:lang w:val="en-GB"/>
              </w:rPr>
              <w:t>%</w:t>
            </w:r>
          </w:p>
        </w:tc>
      </w:tr>
      <w:tr w:rsidR="00390E2B" w:rsidRPr="00A85DDD" w:rsidTr="00825183">
        <w:trPr>
          <w:trHeight w:val="300"/>
        </w:trPr>
        <w:tc>
          <w:tcPr>
            <w:tcW w:w="1985"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Pr>
                <w:b/>
                <w:lang w:val="en-GB"/>
              </w:rPr>
              <w:t>S</w:t>
            </w:r>
            <w:r w:rsidRPr="00A85DDD">
              <w:rPr>
                <w:b/>
                <w:lang w:val="en-GB"/>
              </w:rPr>
              <w:t>cenario 3-Favorable</w:t>
            </w:r>
          </w:p>
        </w:tc>
        <w:tc>
          <w:tcPr>
            <w:tcW w:w="1559"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sidRPr="00A85DDD">
              <w:rPr>
                <w:b/>
                <w:lang w:val="en-GB"/>
              </w:rPr>
              <w:t> </w:t>
            </w:r>
          </w:p>
        </w:tc>
        <w:tc>
          <w:tcPr>
            <w:tcW w:w="1559"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sidRPr="00A85DDD">
              <w:rPr>
                <w:b/>
                <w:lang w:val="en-GB"/>
              </w:rPr>
              <w:t> </w:t>
            </w:r>
          </w:p>
        </w:tc>
        <w:tc>
          <w:tcPr>
            <w:tcW w:w="1560"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sidRPr="00A85DDD">
              <w:rPr>
                <w:b/>
                <w:lang w:val="en-GB"/>
              </w:rPr>
              <w:t> </w:t>
            </w:r>
          </w:p>
        </w:tc>
        <w:tc>
          <w:tcPr>
            <w:tcW w:w="1134" w:type="dxa"/>
            <w:tcBorders>
              <w:top w:val="single" w:sz="4" w:space="0" w:color="auto"/>
              <w:left w:val="nil"/>
              <w:bottom w:val="single" w:sz="4" w:space="0" w:color="auto"/>
              <w:right w:val="nil"/>
            </w:tcBorders>
            <w:shd w:val="clear" w:color="auto" w:fill="auto"/>
            <w:noWrap/>
            <w:vAlign w:val="center"/>
          </w:tcPr>
          <w:p w:rsidR="00390E2B" w:rsidRPr="00A85DDD" w:rsidRDefault="00390E2B" w:rsidP="00E4530D">
            <w:pPr>
              <w:pStyle w:val="Entabla"/>
              <w:rPr>
                <w:lang w:val="en-GB"/>
              </w:rPr>
            </w:pPr>
            <w:r w:rsidRPr="00A85DDD">
              <w:rPr>
                <w:b/>
                <w:lang w:val="en-GB"/>
              </w:rPr>
              <w:t> </w:t>
            </w:r>
          </w:p>
        </w:tc>
        <w:tc>
          <w:tcPr>
            <w:tcW w:w="850" w:type="dxa"/>
            <w:tcBorders>
              <w:top w:val="single" w:sz="4" w:space="0" w:color="auto"/>
              <w:left w:val="nil"/>
              <w:bottom w:val="single" w:sz="4" w:space="0" w:color="auto"/>
              <w:right w:val="nil"/>
            </w:tcBorders>
            <w:shd w:val="clear" w:color="auto" w:fill="auto"/>
          </w:tcPr>
          <w:p w:rsidR="00390E2B" w:rsidRPr="00A85DDD" w:rsidRDefault="00390E2B" w:rsidP="00E4530D">
            <w:pPr>
              <w:pStyle w:val="Entabla"/>
              <w:rPr>
                <w:lang w:val="en-GB"/>
              </w:rPr>
            </w:pPr>
          </w:p>
        </w:tc>
      </w:tr>
      <w:tr w:rsidR="00390E2B" w:rsidRPr="00A85DDD" w:rsidTr="00825183">
        <w:trPr>
          <w:trHeight w:val="300"/>
        </w:trPr>
        <w:tc>
          <w:tcPr>
            <w:tcW w:w="1985"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560"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134"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850" w:type="dxa"/>
            <w:tcBorders>
              <w:top w:val="nil"/>
              <w:left w:val="nil"/>
              <w:bottom w:val="nil"/>
              <w:right w:val="nil"/>
            </w:tcBorders>
            <w:shd w:val="clear" w:color="auto" w:fill="auto"/>
          </w:tcPr>
          <w:p w:rsidR="00390E2B" w:rsidRPr="00A85DDD" w:rsidRDefault="00390E2B" w:rsidP="00E4530D">
            <w:pPr>
              <w:pStyle w:val="Entabla"/>
              <w:rPr>
                <w:lang w:val="en-GB"/>
              </w:rPr>
            </w:pPr>
          </w:p>
        </w:tc>
      </w:tr>
      <w:tr w:rsidR="00390E2B" w:rsidRPr="00A85DDD" w:rsidTr="00825183">
        <w:trPr>
          <w:trHeight w:val="287"/>
        </w:trPr>
        <w:tc>
          <w:tcPr>
            <w:tcW w:w="1985" w:type="dxa"/>
            <w:tcBorders>
              <w:top w:val="nil"/>
              <w:left w:val="nil"/>
              <w:bottom w:val="nil"/>
              <w:right w:val="nil"/>
            </w:tcBorders>
            <w:shd w:val="clear" w:color="auto" w:fill="auto"/>
            <w:vAlign w:val="center"/>
          </w:tcPr>
          <w:p w:rsidR="00390E2B" w:rsidRPr="00A85DDD" w:rsidRDefault="00390E2B" w:rsidP="00390E2B">
            <w:pPr>
              <w:pStyle w:val="Entabla"/>
              <w:rPr>
                <w:b/>
                <w:lang w:val="en-GB"/>
              </w:rPr>
            </w:pPr>
            <w:r>
              <w:rPr>
                <w:lang w:val="en-GB"/>
              </w:rPr>
              <w:t>Subcomponent</w:t>
            </w:r>
            <w:r w:rsidRPr="00A85DDD">
              <w:rPr>
                <w:lang w:val="en-GB"/>
              </w:rPr>
              <w:t xml:space="preserve"> 1-</w:t>
            </w:r>
            <w:r>
              <w:rPr>
                <w:lang w:val="en-GB"/>
              </w:rPr>
              <w:t>HRM</w:t>
            </w:r>
          </w:p>
        </w:tc>
        <w:tc>
          <w:tcPr>
            <w:tcW w:w="1559" w:type="dxa"/>
            <w:tcBorders>
              <w:top w:val="nil"/>
              <w:left w:val="nil"/>
              <w:bottom w:val="nil"/>
              <w:right w:val="nil"/>
            </w:tcBorders>
            <w:shd w:val="clear" w:color="auto" w:fill="auto"/>
            <w:noWrap/>
            <w:vAlign w:val="center"/>
          </w:tcPr>
          <w:p w:rsidR="00390E2B" w:rsidRPr="00A85DDD" w:rsidRDefault="00E46433" w:rsidP="00E4530D">
            <w:pPr>
              <w:pStyle w:val="Entabla"/>
              <w:rPr>
                <w:b/>
                <w:lang w:val="en-GB"/>
              </w:rPr>
            </w:pPr>
            <w:r w:rsidRPr="00E46433">
              <w:rPr>
                <w:lang w:val="en-GB"/>
              </w:rPr>
              <w:t>26</w:t>
            </w:r>
            <w:r>
              <w:rPr>
                <w:lang w:val="en-GB"/>
              </w:rPr>
              <w:t>.</w:t>
            </w:r>
            <w:r w:rsidRPr="00E46433">
              <w:rPr>
                <w:lang w:val="en-GB"/>
              </w:rPr>
              <w:t>205</w:t>
            </w:r>
            <w:r>
              <w:rPr>
                <w:lang w:val="en-GB"/>
              </w:rPr>
              <w:t>.</w:t>
            </w:r>
            <w:r w:rsidRPr="00E46433">
              <w:rPr>
                <w:lang w:val="en-GB"/>
              </w:rPr>
              <w:t>622,74</w:t>
            </w:r>
          </w:p>
        </w:tc>
        <w:tc>
          <w:tcPr>
            <w:tcW w:w="1559" w:type="dxa"/>
            <w:tcBorders>
              <w:top w:val="nil"/>
              <w:left w:val="nil"/>
              <w:bottom w:val="nil"/>
              <w:right w:val="nil"/>
            </w:tcBorders>
            <w:shd w:val="clear" w:color="auto" w:fill="auto"/>
            <w:noWrap/>
            <w:vAlign w:val="center"/>
          </w:tcPr>
          <w:p w:rsidR="00390E2B" w:rsidRPr="00A85DDD" w:rsidRDefault="00E46433" w:rsidP="00E4530D">
            <w:pPr>
              <w:pStyle w:val="Entabla"/>
              <w:rPr>
                <w:b/>
                <w:lang w:val="en-GB"/>
              </w:rPr>
            </w:pPr>
            <w:r w:rsidRPr="00E46433">
              <w:rPr>
                <w:lang w:val="en-GB"/>
              </w:rPr>
              <w:t>63</w:t>
            </w:r>
            <w:r>
              <w:rPr>
                <w:lang w:val="en-GB"/>
              </w:rPr>
              <w:t>.</w:t>
            </w:r>
            <w:r w:rsidRPr="00E46433">
              <w:rPr>
                <w:lang w:val="en-GB"/>
              </w:rPr>
              <w:t>898</w:t>
            </w:r>
            <w:r>
              <w:rPr>
                <w:lang w:val="en-GB"/>
              </w:rPr>
              <w:t>.</w:t>
            </w:r>
            <w:r w:rsidRPr="00E46433">
              <w:rPr>
                <w:lang w:val="en-GB"/>
              </w:rPr>
              <w:t>114,25</w:t>
            </w:r>
          </w:p>
        </w:tc>
        <w:tc>
          <w:tcPr>
            <w:tcW w:w="1560" w:type="dxa"/>
            <w:tcBorders>
              <w:top w:val="nil"/>
              <w:left w:val="nil"/>
              <w:bottom w:val="nil"/>
              <w:right w:val="nil"/>
            </w:tcBorders>
            <w:shd w:val="clear" w:color="auto" w:fill="auto"/>
            <w:noWrap/>
            <w:vAlign w:val="center"/>
          </w:tcPr>
          <w:p w:rsidR="00390E2B" w:rsidRPr="00A85DDD" w:rsidRDefault="00E46433" w:rsidP="00E4530D">
            <w:pPr>
              <w:pStyle w:val="Entabla"/>
              <w:rPr>
                <w:b/>
                <w:lang w:val="en-GB"/>
              </w:rPr>
            </w:pPr>
            <w:r w:rsidRPr="00E46433">
              <w:rPr>
                <w:lang w:val="en-GB"/>
              </w:rPr>
              <w:t>37</w:t>
            </w:r>
            <w:r>
              <w:rPr>
                <w:lang w:val="en-GB"/>
              </w:rPr>
              <w:t>.</w:t>
            </w:r>
            <w:r w:rsidRPr="00E46433">
              <w:rPr>
                <w:lang w:val="en-GB"/>
              </w:rPr>
              <w:t>692</w:t>
            </w:r>
            <w:r>
              <w:rPr>
                <w:lang w:val="en-GB"/>
              </w:rPr>
              <w:t>.</w:t>
            </w:r>
            <w:r w:rsidRPr="00E46433">
              <w:rPr>
                <w:lang w:val="en-GB"/>
              </w:rPr>
              <w:t>491,52</w:t>
            </w:r>
          </w:p>
        </w:tc>
        <w:tc>
          <w:tcPr>
            <w:tcW w:w="1134" w:type="dxa"/>
            <w:tcBorders>
              <w:top w:val="nil"/>
              <w:left w:val="nil"/>
              <w:bottom w:val="nil"/>
              <w:right w:val="nil"/>
            </w:tcBorders>
            <w:shd w:val="clear" w:color="auto" w:fill="auto"/>
            <w:noWrap/>
            <w:vAlign w:val="center"/>
          </w:tcPr>
          <w:p w:rsidR="00390E2B" w:rsidRPr="00A85DDD" w:rsidRDefault="00E46433" w:rsidP="00E4530D">
            <w:pPr>
              <w:pStyle w:val="Entabla"/>
              <w:rPr>
                <w:b/>
                <w:lang w:val="en-GB"/>
              </w:rPr>
            </w:pPr>
            <w:r>
              <w:rPr>
                <w:lang w:val="en-GB"/>
              </w:rPr>
              <w:t>2.44</w:t>
            </w:r>
          </w:p>
        </w:tc>
        <w:tc>
          <w:tcPr>
            <w:tcW w:w="850" w:type="dxa"/>
            <w:tcBorders>
              <w:top w:val="nil"/>
              <w:left w:val="nil"/>
              <w:bottom w:val="nil"/>
              <w:right w:val="nil"/>
            </w:tcBorders>
            <w:shd w:val="clear" w:color="auto" w:fill="auto"/>
            <w:vAlign w:val="center"/>
          </w:tcPr>
          <w:p w:rsidR="00390E2B" w:rsidRPr="00A85DDD" w:rsidRDefault="00E46433" w:rsidP="00E4530D">
            <w:pPr>
              <w:pStyle w:val="Entabla"/>
              <w:rPr>
                <w:b/>
                <w:lang w:val="en-GB"/>
              </w:rPr>
            </w:pPr>
            <w:r>
              <w:rPr>
                <w:lang w:val="en-GB"/>
              </w:rPr>
              <w:t>42</w:t>
            </w:r>
            <w:r w:rsidR="00390E2B" w:rsidRPr="00A85DDD">
              <w:rPr>
                <w:lang w:val="en-GB"/>
              </w:rPr>
              <w:t>%</w:t>
            </w:r>
          </w:p>
        </w:tc>
      </w:tr>
      <w:tr w:rsidR="00390E2B" w:rsidRPr="00A85DDD" w:rsidTr="005456B2">
        <w:trPr>
          <w:trHeight w:val="300"/>
        </w:trPr>
        <w:tc>
          <w:tcPr>
            <w:tcW w:w="1985" w:type="dxa"/>
            <w:tcBorders>
              <w:top w:val="nil"/>
              <w:left w:val="nil"/>
              <w:bottom w:val="nil"/>
              <w:right w:val="nil"/>
            </w:tcBorders>
            <w:shd w:val="clear" w:color="auto" w:fill="auto"/>
            <w:noWrap/>
            <w:vAlign w:val="center"/>
          </w:tcPr>
          <w:p w:rsidR="00390E2B" w:rsidRPr="00A85DDD" w:rsidRDefault="00390E2B" w:rsidP="00390E2B">
            <w:pPr>
              <w:pStyle w:val="Entabla"/>
              <w:rPr>
                <w:lang w:val="en-GB"/>
              </w:rPr>
            </w:pPr>
            <w:r>
              <w:rPr>
                <w:lang w:val="en-GB"/>
              </w:rPr>
              <w:t>Subcomponent</w:t>
            </w:r>
            <w:r w:rsidRPr="00A85DDD">
              <w:rPr>
                <w:lang w:val="en-GB"/>
              </w:rPr>
              <w:t xml:space="preserve"> 2-</w:t>
            </w:r>
            <w:r>
              <w:rPr>
                <w:lang w:val="en-GB"/>
              </w:rPr>
              <w:t>Accountability</w:t>
            </w:r>
          </w:p>
        </w:tc>
        <w:tc>
          <w:tcPr>
            <w:tcW w:w="1559" w:type="dxa"/>
            <w:tcBorders>
              <w:top w:val="nil"/>
              <w:left w:val="nil"/>
              <w:bottom w:val="nil"/>
              <w:right w:val="nil"/>
            </w:tcBorders>
            <w:shd w:val="clear" w:color="auto" w:fill="auto"/>
            <w:noWrap/>
            <w:vAlign w:val="center"/>
          </w:tcPr>
          <w:p w:rsidR="00390E2B" w:rsidRPr="00A85DDD" w:rsidRDefault="00BA1C6A" w:rsidP="00E4530D">
            <w:pPr>
              <w:pStyle w:val="Entabla"/>
              <w:rPr>
                <w:lang w:val="en-GB"/>
              </w:rPr>
            </w:pPr>
            <w:r>
              <w:rPr>
                <w:lang w:val="en-GB"/>
              </w:rPr>
              <w:t>13</w:t>
            </w:r>
            <w:r w:rsidR="00390E2B">
              <w:rPr>
                <w:lang w:val="en-GB"/>
              </w:rPr>
              <w:t>.650.000</w:t>
            </w:r>
          </w:p>
        </w:tc>
        <w:tc>
          <w:tcPr>
            <w:tcW w:w="1559"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sidRPr="00E46433">
              <w:rPr>
                <w:lang w:val="en-GB"/>
              </w:rPr>
              <w:t>32</w:t>
            </w:r>
            <w:r>
              <w:rPr>
                <w:lang w:val="en-GB"/>
              </w:rPr>
              <w:t>.</w:t>
            </w:r>
            <w:r w:rsidRPr="00E46433">
              <w:rPr>
                <w:lang w:val="en-GB"/>
              </w:rPr>
              <w:t>471</w:t>
            </w:r>
            <w:r>
              <w:rPr>
                <w:lang w:val="en-GB"/>
              </w:rPr>
              <w:t>.</w:t>
            </w:r>
            <w:r w:rsidRPr="00E46433">
              <w:rPr>
                <w:lang w:val="en-GB"/>
              </w:rPr>
              <w:t>194,03</w:t>
            </w:r>
          </w:p>
        </w:tc>
        <w:tc>
          <w:tcPr>
            <w:tcW w:w="1560"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sidRPr="00E46433">
              <w:rPr>
                <w:lang w:val="en-GB"/>
              </w:rPr>
              <w:t>18</w:t>
            </w:r>
            <w:r>
              <w:rPr>
                <w:lang w:val="en-GB"/>
              </w:rPr>
              <w:t>.</w:t>
            </w:r>
            <w:r w:rsidRPr="00E46433">
              <w:rPr>
                <w:lang w:val="en-GB"/>
              </w:rPr>
              <w:t>821</w:t>
            </w:r>
            <w:r>
              <w:rPr>
                <w:lang w:val="en-GB"/>
              </w:rPr>
              <w:t>.</w:t>
            </w:r>
            <w:r w:rsidRPr="00E46433">
              <w:rPr>
                <w:lang w:val="en-GB"/>
              </w:rPr>
              <w:t>194,03</w:t>
            </w:r>
          </w:p>
        </w:tc>
        <w:tc>
          <w:tcPr>
            <w:tcW w:w="1134" w:type="dxa"/>
            <w:tcBorders>
              <w:top w:val="nil"/>
              <w:left w:val="nil"/>
              <w:bottom w:val="nil"/>
              <w:right w:val="nil"/>
            </w:tcBorders>
            <w:shd w:val="clear" w:color="auto" w:fill="auto"/>
            <w:noWrap/>
            <w:vAlign w:val="center"/>
          </w:tcPr>
          <w:p w:rsidR="00390E2B" w:rsidRPr="00A85DDD" w:rsidRDefault="00E46433" w:rsidP="00E4530D">
            <w:pPr>
              <w:pStyle w:val="Entabla"/>
              <w:rPr>
                <w:lang w:val="en-GB"/>
              </w:rPr>
            </w:pPr>
            <w:r>
              <w:rPr>
                <w:lang w:val="en-GB"/>
              </w:rPr>
              <w:t>2.38</w:t>
            </w:r>
          </w:p>
        </w:tc>
        <w:tc>
          <w:tcPr>
            <w:tcW w:w="850" w:type="dxa"/>
            <w:tcBorders>
              <w:top w:val="nil"/>
              <w:left w:val="nil"/>
              <w:bottom w:val="nil"/>
              <w:right w:val="nil"/>
            </w:tcBorders>
            <w:shd w:val="clear" w:color="auto" w:fill="auto"/>
            <w:vAlign w:val="center"/>
          </w:tcPr>
          <w:p w:rsidR="00390E2B" w:rsidRPr="00A85DDD" w:rsidRDefault="00E46433" w:rsidP="00E4530D">
            <w:pPr>
              <w:pStyle w:val="Entabla"/>
              <w:rPr>
                <w:lang w:val="en-GB"/>
              </w:rPr>
            </w:pPr>
            <w:r>
              <w:rPr>
                <w:lang w:val="en-GB"/>
              </w:rPr>
              <w:t>34</w:t>
            </w:r>
            <w:r w:rsidR="00390E2B" w:rsidRPr="00A85DDD">
              <w:rPr>
                <w:lang w:val="en-GB"/>
              </w:rPr>
              <w:t>%</w:t>
            </w:r>
          </w:p>
        </w:tc>
      </w:tr>
      <w:tr w:rsidR="00390E2B" w:rsidRPr="00A85DDD" w:rsidTr="00697B66">
        <w:trPr>
          <w:trHeight w:val="300"/>
        </w:trPr>
        <w:tc>
          <w:tcPr>
            <w:tcW w:w="1985"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60"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134"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850" w:type="dxa"/>
            <w:tcBorders>
              <w:top w:val="nil"/>
              <w:left w:val="nil"/>
              <w:bottom w:val="nil"/>
              <w:right w:val="nil"/>
            </w:tcBorders>
            <w:shd w:val="clear" w:color="auto" w:fill="auto"/>
          </w:tcPr>
          <w:p w:rsidR="00390E2B" w:rsidRPr="00A85DDD" w:rsidRDefault="00390E2B" w:rsidP="00E4530D">
            <w:pPr>
              <w:pStyle w:val="Entabla"/>
              <w:rPr>
                <w:lang w:val="en-GB"/>
              </w:rPr>
            </w:pPr>
          </w:p>
        </w:tc>
      </w:tr>
      <w:tr w:rsidR="00390E2B" w:rsidRPr="00A85DDD" w:rsidTr="00697B66">
        <w:trPr>
          <w:trHeight w:val="300"/>
        </w:trPr>
        <w:tc>
          <w:tcPr>
            <w:tcW w:w="1985"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r w:rsidRPr="00A85DDD">
              <w:rPr>
                <w:lang w:val="en-GB"/>
              </w:rPr>
              <w:t>Total</w:t>
            </w:r>
          </w:p>
        </w:tc>
        <w:tc>
          <w:tcPr>
            <w:tcW w:w="1559" w:type="dxa"/>
            <w:tcBorders>
              <w:top w:val="nil"/>
              <w:left w:val="nil"/>
              <w:bottom w:val="nil"/>
              <w:right w:val="nil"/>
            </w:tcBorders>
            <w:shd w:val="clear" w:color="auto" w:fill="auto"/>
            <w:noWrap/>
            <w:vAlign w:val="center"/>
            <w:hideMark/>
          </w:tcPr>
          <w:p w:rsidR="00390E2B" w:rsidRPr="00A85DDD" w:rsidRDefault="00E46433" w:rsidP="00E4530D">
            <w:pPr>
              <w:pStyle w:val="Entabla"/>
              <w:rPr>
                <w:lang w:val="en-GB"/>
              </w:rPr>
            </w:pPr>
            <w:r w:rsidRPr="00E46433">
              <w:rPr>
                <w:lang w:val="en-GB"/>
              </w:rPr>
              <w:t>39</w:t>
            </w:r>
            <w:r>
              <w:rPr>
                <w:lang w:val="en-GB"/>
              </w:rPr>
              <w:t>.</w:t>
            </w:r>
            <w:r w:rsidRPr="00E46433">
              <w:rPr>
                <w:lang w:val="en-GB"/>
              </w:rPr>
              <w:t>971</w:t>
            </w:r>
            <w:r>
              <w:rPr>
                <w:lang w:val="en-GB"/>
              </w:rPr>
              <w:t>.</w:t>
            </w:r>
            <w:r w:rsidRPr="00E46433">
              <w:rPr>
                <w:lang w:val="en-GB"/>
              </w:rPr>
              <w:t>109,59</w:t>
            </w:r>
          </w:p>
        </w:tc>
        <w:tc>
          <w:tcPr>
            <w:tcW w:w="1559" w:type="dxa"/>
            <w:tcBorders>
              <w:top w:val="nil"/>
              <w:left w:val="nil"/>
              <w:bottom w:val="nil"/>
              <w:right w:val="nil"/>
            </w:tcBorders>
            <w:shd w:val="clear" w:color="auto" w:fill="auto"/>
            <w:noWrap/>
            <w:vAlign w:val="center"/>
            <w:hideMark/>
          </w:tcPr>
          <w:p w:rsidR="00390E2B" w:rsidRPr="00A85DDD" w:rsidRDefault="00E46433" w:rsidP="00E4530D">
            <w:pPr>
              <w:pStyle w:val="Entabla"/>
              <w:rPr>
                <w:lang w:val="en-GB"/>
              </w:rPr>
            </w:pPr>
            <w:r w:rsidRPr="00E46433">
              <w:rPr>
                <w:lang w:val="en-GB"/>
              </w:rPr>
              <w:t>97</w:t>
            </w:r>
            <w:r>
              <w:rPr>
                <w:lang w:val="en-GB"/>
              </w:rPr>
              <w:t>.</w:t>
            </w:r>
            <w:r w:rsidRPr="00E46433">
              <w:rPr>
                <w:lang w:val="en-GB"/>
              </w:rPr>
              <w:t>268</w:t>
            </w:r>
            <w:r>
              <w:rPr>
                <w:lang w:val="en-GB"/>
              </w:rPr>
              <w:t>.</w:t>
            </w:r>
            <w:r w:rsidRPr="00E46433">
              <w:rPr>
                <w:lang w:val="en-GB"/>
              </w:rPr>
              <w:t>617,47</w:t>
            </w:r>
          </w:p>
        </w:tc>
        <w:tc>
          <w:tcPr>
            <w:tcW w:w="1560" w:type="dxa"/>
            <w:tcBorders>
              <w:top w:val="nil"/>
              <w:left w:val="nil"/>
              <w:bottom w:val="nil"/>
              <w:right w:val="nil"/>
            </w:tcBorders>
            <w:shd w:val="clear" w:color="auto" w:fill="auto"/>
            <w:noWrap/>
            <w:vAlign w:val="center"/>
            <w:hideMark/>
          </w:tcPr>
          <w:p w:rsidR="00390E2B" w:rsidRPr="00A85DDD" w:rsidRDefault="00E46433" w:rsidP="00E4530D">
            <w:pPr>
              <w:pStyle w:val="Entabla"/>
              <w:rPr>
                <w:lang w:val="en-GB"/>
              </w:rPr>
            </w:pPr>
            <w:r w:rsidRPr="00E46433">
              <w:rPr>
                <w:lang w:val="en-GB"/>
              </w:rPr>
              <w:t>57</w:t>
            </w:r>
            <w:r>
              <w:rPr>
                <w:lang w:val="en-GB"/>
              </w:rPr>
              <w:t>.</w:t>
            </w:r>
            <w:r w:rsidRPr="00E46433">
              <w:rPr>
                <w:lang w:val="en-GB"/>
              </w:rPr>
              <w:t>297</w:t>
            </w:r>
            <w:r>
              <w:rPr>
                <w:lang w:val="en-GB"/>
              </w:rPr>
              <w:t>.</w:t>
            </w:r>
            <w:r w:rsidRPr="00E46433">
              <w:rPr>
                <w:lang w:val="en-GB"/>
              </w:rPr>
              <w:t>507,88</w:t>
            </w:r>
          </w:p>
        </w:tc>
        <w:tc>
          <w:tcPr>
            <w:tcW w:w="1134" w:type="dxa"/>
            <w:tcBorders>
              <w:top w:val="nil"/>
              <w:left w:val="nil"/>
              <w:bottom w:val="nil"/>
              <w:right w:val="nil"/>
            </w:tcBorders>
            <w:shd w:val="clear" w:color="auto" w:fill="auto"/>
            <w:noWrap/>
            <w:vAlign w:val="center"/>
            <w:hideMark/>
          </w:tcPr>
          <w:p w:rsidR="00390E2B" w:rsidRPr="00A85DDD" w:rsidRDefault="00E46433" w:rsidP="00E4530D">
            <w:pPr>
              <w:pStyle w:val="Entabla"/>
              <w:rPr>
                <w:lang w:val="en-GB"/>
              </w:rPr>
            </w:pPr>
            <w:r>
              <w:rPr>
                <w:lang w:val="en-GB"/>
              </w:rPr>
              <w:t>2.43</w:t>
            </w:r>
          </w:p>
        </w:tc>
        <w:tc>
          <w:tcPr>
            <w:tcW w:w="850" w:type="dxa"/>
            <w:tcBorders>
              <w:top w:val="nil"/>
              <w:left w:val="nil"/>
              <w:bottom w:val="nil"/>
              <w:right w:val="nil"/>
            </w:tcBorders>
            <w:shd w:val="clear" w:color="auto" w:fill="auto"/>
            <w:vAlign w:val="center"/>
          </w:tcPr>
          <w:p w:rsidR="00390E2B" w:rsidRPr="00A85DDD" w:rsidRDefault="00E46433" w:rsidP="00E4530D">
            <w:pPr>
              <w:pStyle w:val="Entabla"/>
              <w:rPr>
                <w:lang w:val="en-GB"/>
              </w:rPr>
            </w:pPr>
            <w:r>
              <w:rPr>
                <w:lang w:val="en-GB"/>
              </w:rPr>
              <w:t>39</w:t>
            </w:r>
            <w:r w:rsidR="00390E2B" w:rsidRPr="00A85DDD">
              <w:rPr>
                <w:lang w:val="en-GB"/>
              </w:rPr>
              <w:t>%</w:t>
            </w:r>
          </w:p>
        </w:tc>
      </w:tr>
      <w:tr w:rsidR="00390E2B" w:rsidRPr="00A85DDD" w:rsidTr="00825183">
        <w:trPr>
          <w:trHeight w:val="300"/>
        </w:trPr>
        <w:tc>
          <w:tcPr>
            <w:tcW w:w="1985"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560"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1134" w:type="dxa"/>
            <w:tcBorders>
              <w:top w:val="nil"/>
              <w:left w:val="nil"/>
              <w:bottom w:val="nil"/>
              <w:right w:val="nil"/>
            </w:tcBorders>
            <w:shd w:val="clear" w:color="auto" w:fill="auto"/>
            <w:noWrap/>
            <w:vAlign w:val="center"/>
            <w:hideMark/>
          </w:tcPr>
          <w:p w:rsidR="00390E2B" w:rsidRPr="00A85DDD" w:rsidRDefault="00390E2B" w:rsidP="00E4530D">
            <w:pPr>
              <w:pStyle w:val="Entabla"/>
              <w:rPr>
                <w:lang w:val="en-GB"/>
              </w:rPr>
            </w:pPr>
          </w:p>
        </w:tc>
        <w:tc>
          <w:tcPr>
            <w:tcW w:w="850" w:type="dxa"/>
            <w:tcBorders>
              <w:top w:val="nil"/>
              <w:left w:val="nil"/>
              <w:bottom w:val="nil"/>
              <w:right w:val="nil"/>
            </w:tcBorders>
            <w:shd w:val="clear" w:color="auto" w:fill="auto"/>
            <w:vAlign w:val="center"/>
          </w:tcPr>
          <w:p w:rsidR="00390E2B" w:rsidRPr="00A85DDD" w:rsidRDefault="00390E2B" w:rsidP="00E4530D">
            <w:pPr>
              <w:pStyle w:val="Entabla"/>
              <w:rPr>
                <w:lang w:val="en-GB"/>
              </w:rPr>
            </w:pPr>
          </w:p>
        </w:tc>
      </w:tr>
      <w:tr w:rsidR="00390E2B" w:rsidRPr="00A85DDD" w:rsidTr="005456B2">
        <w:trPr>
          <w:trHeight w:val="300"/>
        </w:trPr>
        <w:tc>
          <w:tcPr>
            <w:tcW w:w="1985"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560"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134"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850" w:type="dxa"/>
            <w:tcBorders>
              <w:top w:val="nil"/>
              <w:left w:val="nil"/>
              <w:bottom w:val="nil"/>
              <w:right w:val="nil"/>
            </w:tcBorders>
            <w:shd w:val="clear" w:color="auto" w:fill="auto"/>
            <w:vAlign w:val="center"/>
          </w:tcPr>
          <w:p w:rsidR="00390E2B" w:rsidRPr="00A85DDD" w:rsidRDefault="00390E2B" w:rsidP="00E4530D">
            <w:pPr>
              <w:pStyle w:val="Entabla"/>
              <w:rPr>
                <w:lang w:val="en-GB"/>
              </w:rPr>
            </w:pPr>
          </w:p>
        </w:tc>
      </w:tr>
      <w:tr w:rsidR="00390E2B" w:rsidRPr="00A85DDD" w:rsidTr="00E4530D">
        <w:trPr>
          <w:trHeight w:val="300"/>
        </w:trPr>
        <w:tc>
          <w:tcPr>
            <w:tcW w:w="1985"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559"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560"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1134" w:type="dxa"/>
            <w:tcBorders>
              <w:top w:val="nil"/>
              <w:left w:val="nil"/>
              <w:bottom w:val="nil"/>
              <w:right w:val="nil"/>
            </w:tcBorders>
            <w:shd w:val="clear" w:color="auto" w:fill="auto"/>
            <w:noWrap/>
            <w:vAlign w:val="center"/>
          </w:tcPr>
          <w:p w:rsidR="00390E2B" w:rsidRPr="00A85DDD" w:rsidRDefault="00390E2B" w:rsidP="00E4530D">
            <w:pPr>
              <w:pStyle w:val="Entabla"/>
              <w:rPr>
                <w:lang w:val="en-GB"/>
              </w:rPr>
            </w:pPr>
          </w:p>
        </w:tc>
        <w:tc>
          <w:tcPr>
            <w:tcW w:w="850" w:type="dxa"/>
            <w:tcBorders>
              <w:top w:val="nil"/>
              <w:left w:val="nil"/>
              <w:bottom w:val="nil"/>
              <w:right w:val="nil"/>
            </w:tcBorders>
            <w:shd w:val="clear" w:color="auto" w:fill="auto"/>
            <w:vAlign w:val="center"/>
          </w:tcPr>
          <w:p w:rsidR="00390E2B" w:rsidRPr="00A85DDD" w:rsidRDefault="00390E2B" w:rsidP="00E4530D">
            <w:pPr>
              <w:pStyle w:val="Entabla"/>
              <w:rPr>
                <w:lang w:val="en-GB"/>
              </w:rPr>
            </w:pPr>
          </w:p>
        </w:tc>
      </w:tr>
    </w:tbl>
    <w:p w:rsidR="00E4530D" w:rsidRPr="00A85DDD" w:rsidRDefault="00E4530D" w:rsidP="00E4530D">
      <w:pPr>
        <w:pStyle w:val="Paragraph"/>
        <w:numPr>
          <w:ilvl w:val="0"/>
          <w:numId w:val="0"/>
        </w:numPr>
        <w:spacing w:before="0" w:after="0" w:line="480" w:lineRule="auto"/>
        <w:ind w:left="567"/>
        <w:rPr>
          <w:szCs w:val="24"/>
          <w:lang w:val="en-GB"/>
        </w:rPr>
      </w:pPr>
    </w:p>
    <w:p w:rsidR="00E4530D" w:rsidRDefault="00EC0D36" w:rsidP="00E4530D">
      <w:pPr>
        <w:pStyle w:val="Paragraph"/>
        <w:numPr>
          <w:ilvl w:val="1"/>
          <w:numId w:val="10"/>
        </w:numPr>
        <w:spacing w:before="0" w:after="0" w:line="480" w:lineRule="auto"/>
        <w:ind w:left="567" w:hanging="567"/>
        <w:rPr>
          <w:szCs w:val="24"/>
          <w:lang w:val="en-US"/>
        </w:rPr>
      </w:pPr>
      <w:r w:rsidRPr="00EC0D36">
        <w:rPr>
          <w:szCs w:val="24"/>
          <w:lang w:val="en-US"/>
        </w:rPr>
        <w:t>In the base</w:t>
      </w:r>
      <w:r w:rsidR="00A215CF">
        <w:rPr>
          <w:szCs w:val="24"/>
          <w:lang w:val="en-US"/>
        </w:rPr>
        <w:t>line</w:t>
      </w:r>
      <w:r w:rsidRPr="00EC0D36">
        <w:rPr>
          <w:szCs w:val="24"/>
          <w:lang w:val="en-US"/>
        </w:rPr>
        <w:t xml:space="preserve"> scenario,</w:t>
      </w:r>
      <w:r w:rsidR="00E4530D" w:rsidRPr="00EC0D36">
        <w:rPr>
          <w:szCs w:val="24"/>
          <w:lang w:val="en-US"/>
        </w:rPr>
        <w:t xml:space="preserve"> </w:t>
      </w:r>
      <w:r w:rsidRPr="00EC0D36">
        <w:rPr>
          <w:szCs w:val="24"/>
          <w:lang w:val="en-US"/>
        </w:rPr>
        <w:t xml:space="preserve">all the subcomponents have a </w:t>
      </w:r>
      <w:r>
        <w:rPr>
          <w:szCs w:val="24"/>
          <w:lang w:val="en-US"/>
        </w:rPr>
        <w:t xml:space="preserve">positive </w:t>
      </w:r>
      <w:r w:rsidRPr="00EC0D36">
        <w:rPr>
          <w:szCs w:val="24"/>
          <w:lang w:val="en-US"/>
        </w:rPr>
        <w:t>Net Present Value</w:t>
      </w:r>
      <w:r w:rsidR="00E4530D" w:rsidRPr="00EC0D36">
        <w:rPr>
          <w:szCs w:val="24"/>
          <w:lang w:val="en-US"/>
        </w:rPr>
        <w:t xml:space="preserve"> (</w:t>
      </w:r>
      <w:r>
        <w:rPr>
          <w:szCs w:val="24"/>
          <w:lang w:val="en-US"/>
        </w:rPr>
        <w:t>NPV</w:t>
      </w:r>
      <w:r w:rsidR="00E4530D" w:rsidRPr="00EC0D36">
        <w:rPr>
          <w:szCs w:val="24"/>
          <w:lang w:val="en-US"/>
        </w:rPr>
        <w:t xml:space="preserve">). </w:t>
      </w:r>
      <w:r w:rsidRPr="00EC0D36">
        <w:rPr>
          <w:szCs w:val="24"/>
          <w:lang w:val="en-US"/>
        </w:rPr>
        <w:t>However</w:t>
      </w:r>
      <w:r w:rsidR="00E4530D" w:rsidRPr="00EC0D36">
        <w:rPr>
          <w:szCs w:val="24"/>
          <w:lang w:val="en-US"/>
        </w:rPr>
        <w:t xml:space="preserve">, </w:t>
      </w:r>
      <w:r w:rsidRPr="00EC0D36">
        <w:rPr>
          <w:szCs w:val="24"/>
          <w:lang w:val="en-US"/>
        </w:rPr>
        <w:t>the results are sensible to changes in the assumption</w:t>
      </w:r>
      <w:r>
        <w:rPr>
          <w:szCs w:val="24"/>
          <w:lang w:val="en-US"/>
        </w:rPr>
        <w:t>s</w:t>
      </w:r>
      <w:r w:rsidR="00E4530D" w:rsidRPr="00EC0D36">
        <w:rPr>
          <w:szCs w:val="24"/>
          <w:lang w:val="en-US"/>
        </w:rPr>
        <w:t xml:space="preserve">. </w:t>
      </w:r>
      <w:r w:rsidRPr="00EC0D36">
        <w:rPr>
          <w:szCs w:val="24"/>
          <w:lang w:val="en-GB"/>
        </w:rPr>
        <w:t>Specifically</w:t>
      </w:r>
      <w:r w:rsidR="00E4530D" w:rsidRPr="00EC0D36">
        <w:rPr>
          <w:szCs w:val="24"/>
          <w:lang w:val="en-US"/>
        </w:rPr>
        <w:t xml:space="preserve">, </w:t>
      </w:r>
      <w:r w:rsidR="00112834" w:rsidRPr="00EC0D36">
        <w:rPr>
          <w:szCs w:val="24"/>
          <w:lang w:val="en-US"/>
        </w:rPr>
        <w:lastRenderedPageBreak/>
        <w:t>an</w:t>
      </w:r>
      <w:r w:rsidRPr="00EC0D36">
        <w:rPr>
          <w:szCs w:val="24"/>
          <w:lang w:val="en-US"/>
        </w:rPr>
        <w:t xml:space="preserve"> </w:t>
      </w:r>
      <w:r w:rsidRPr="00EC0D36">
        <w:rPr>
          <w:szCs w:val="24"/>
          <w:lang w:val="en-GB"/>
        </w:rPr>
        <w:t>elimination</w:t>
      </w:r>
      <w:r w:rsidRPr="00EC0D36">
        <w:rPr>
          <w:szCs w:val="24"/>
          <w:lang w:val="en-US"/>
        </w:rPr>
        <w:t xml:space="preserve"> of 10% of the HR posts </w:t>
      </w:r>
      <w:r w:rsidR="00112834" w:rsidRPr="00EC0D36">
        <w:rPr>
          <w:szCs w:val="24"/>
          <w:lang w:val="en-US"/>
        </w:rPr>
        <w:t>is</w:t>
      </w:r>
      <w:r w:rsidRPr="00EC0D36">
        <w:rPr>
          <w:szCs w:val="24"/>
          <w:lang w:val="en-US"/>
        </w:rPr>
        <w:t xml:space="preserve"> assumed,</w:t>
      </w:r>
      <w:r w:rsidR="00E4530D" w:rsidRPr="00EC0D36">
        <w:rPr>
          <w:szCs w:val="24"/>
          <w:lang w:val="en-US"/>
        </w:rPr>
        <w:t xml:space="preserve"> </w:t>
      </w:r>
      <w:r>
        <w:rPr>
          <w:szCs w:val="24"/>
          <w:lang w:val="en-US"/>
        </w:rPr>
        <w:t>as well a saving by efficiency imp</w:t>
      </w:r>
      <w:r w:rsidR="00162905">
        <w:rPr>
          <w:szCs w:val="24"/>
          <w:lang w:val="en-US"/>
        </w:rPr>
        <w:t>roves in the Public Sector of 0,</w:t>
      </w:r>
      <w:r w:rsidR="00F734D1">
        <w:rPr>
          <w:szCs w:val="24"/>
          <w:lang w:val="en-US"/>
        </w:rPr>
        <w:t>3</w:t>
      </w:r>
      <w:r>
        <w:rPr>
          <w:szCs w:val="24"/>
          <w:lang w:val="en-US"/>
        </w:rPr>
        <w:t>%</w:t>
      </w:r>
      <w:r w:rsidR="00E4530D" w:rsidRPr="00EC0D36">
        <w:rPr>
          <w:szCs w:val="24"/>
          <w:lang w:val="en-US"/>
        </w:rPr>
        <w:t xml:space="preserve">. </w:t>
      </w:r>
      <w:r w:rsidRPr="00EC0D36">
        <w:rPr>
          <w:szCs w:val="24"/>
          <w:lang w:val="en-US"/>
        </w:rPr>
        <w:t>In the Subcomponent 2 a soc</w:t>
      </w:r>
      <w:r w:rsidR="00162905">
        <w:rPr>
          <w:szCs w:val="24"/>
          <w:lang w:val="en-US"/>
        </w:rPr>
        <w:t>ial benefit rate of audits of 0,</w:t>
      </w:r>
      <w:r w:rsidRPr="00EC0D36">
        <w:rPr>
          <w:szCs w:val="24"/>
          <w:lang w:val="en-US"/>
        </w:rPr>
        <w:t>25% was assumed</w:t>
      </w:r>
      <w:r w:rsidR="00E4530D" w:rsidRPr="00EC0D36">
        <w:rPr>
          <w:szCs w:val="24"/>
          <w:lang w:val="en-US"/>
        </w:rPr>
        <w:t xml:space="preserve">. </w:t>
      </w:r>
      <w:bookmarkStart w:id="0" w:name="_GoBack"/>
      <w:bookmarkEnd w:id="0"/>
    </w:p>
    <w:p w:rsidR="00F23196" w:rsidRPr="00DC0320" w:rsidRDefault="00DC0320" w:rsidP="00DC0320">
      <w:pPr>
        <w:pStyle w:val="Paragraph"/>
        <w:numPr>
          <w:ilvl w:val="1"/>
          <w:numId w:val="10"/>
        </w:numPr>
        <w:spacing w:before="0" w:after="0" w:line="480" w:lineRule="auto"/>
        <w:ind w:left="567" w:hanging="567"/>
        <w:rPr>
          <w:szCs w:val="24"/>
          <w:lang w:val="en-US"/>
        </w:rPr>
      </w:pPr>
      <w:r w:rsidRPr="00DC0320">
        <w:rPr>
          <w:szCs w:val="24"/>
          <w:lang w:val="en-US"/>
        </w:rPr>
        <w:t xml:space="preserve">HR system experts affirm that </w:t>
      </w:r>
      <w:r w:rsidR="00F23196" w:rsidRPr="00DC0320">
        <w:rPr>
          <w:szCs w:val="24"/>
          <w:lang w:val="en-US"/>
        </w:rPr>
        <w:t>Organizations that automate their HCM processes through a self-service enabled HCMES can achieve a 10-20% headcount reduction in HR administration resources. In exceptional cases, this figure could be as high as 35%.</w:t>
      </w:r>
      <w:r w:rsidR="00F23196">
        <w:rPr>
          <w:rStyle w:val="FootnoteReference"/>
          <w:szCs w:val="24"/>
          <w:lang w:val="en-US"/>
        </w:rPr>
        <w:footnoteReference w:id="17"/>
      </w:r>
      <w:r w:rsidRPr="00DC0320">
        <w:rPr>
          <w:szCs w:val="24"/>
          <w:lang w:val="en-US"/>
        </w:rPr>
        <w:t xml:space="preserve">. In addition, </w:t>
      </w:r>
      <w:r>
        <w:rPr>
          <w:szCs w:val="24"/>
          <w:lang w:val="en-US"/>
        </w:rPr>
        <w:t>h</w:t>
      </w:r>
      <w:r w:rsidR="00F23196" w:rsidRPr="00DC0320">
        <w:rPr>
          <w:szCs w:val="24"/>
          <w:lang w:val="en-US"/>
        </w:rPr>
        <w:t>aving an integrated solution allows organizations to detect and identify payroll payment anomalies and to rectify these swiftly. Migrating from a payroll environment like GOJ’s to a</w:t>
      </w:r>
      <w:r w:rsidRPr="00DC0320">
        <w:rPr>
          <w:rFonts w:ascii="Calibri" w:eastAsiaTheme="minorHAnsi" w:hAnsi="Calibri" w:cs="Calibri"/>
          <w:color w:val="000000"/>
          <w:sz w:val="23"/>
          <w:szCs w:val="23"/>
          <w:lang w:val="en-US"/>
        </w:rPr>
        <w:t xml:space="preserve"> </w:t>
      </w:r>
      <w:r w:rsidRPr="00DC0320">
        <w:rPr>
          <w:szCs w:val="24"/>
          <w:lang w:val="en-US"/>
        </w:rPr>
        <w:t>single integrated (with HR) solution can realize between 1% and 3% savings in an organization’s annual pay bill</w:t>
      </w:r>
      <w:r>
        <w:rPr>
          <w:rStyle w:val="FootnoteReference"/>
          <w:szCs w:val="24"/>
          <w:lang w:val="en-US"/>
        </w:rPr>
        <w:footnoteReference w:id="18"/>
      </w:r>
      <w:r w:rsidRPr="00DC0320">
        <w:rPr>
          <w:szCs w:val="24"/>
          <w:lang w:val="en-US"/>
        </w:rPr>
        <w:t>.</w:t>
      </w:r>
    </w:p>
    <w:p w:rsidR="00E4530D" w:rsidRPr="00112834" w:rsidRDefault="00112834" w:rsidP="00E4530D">
      <w:pPr>
        <w:pStyle w:val="Paragraph"/>
        <w:numPr>
          <w:ilvl w:val="1"/>
          <w:numId w:val="10"/>
        </w:numPr>
        <w:spacing w:before="0" w:after="0" w:line="480" w:lineRule="auto"/>
        <w:ind w:left="567" w:hanging="567"/>
        <w:rPr>
          <w:szCs w:val="24"/>
          <w:lang w:val="en-US"/>
        </w:rPr>
      </w:pPr>
      <w:r w:rsidRPr="00112834">
        <w:rPr>
          <w:szCs w:val="24"/>
          <w:lang w:val="en-US"/>
        </w:rPr>
        <w:t>In the base</w:t>
      </w:r>
      <w:r w:rsidR="00A215CF">
        <w:rPr>
          <w:szCs w:val="24"/>
          <w:lang w:val="en-US"/>
        </w:rPr>
        <w:t>line</w:t>
      </w:r>
      <w:r w:rsidRPr="00112834">
        <w:rPr>
          <w:szCs w:val="24"/>
          <w:lang w:val="en-US"/>
        </w:rPr>
        <w:t xml:space="preserve"> scenario,</w:t>
      </w:r>
      <w:r w:rsidR="00E4530D" w:rsidRPr="00112834">
        <w:rPr>
          <w:szCs w:val="24"/>
          <w:lang w:val="en-US"/>
        </w:rPr>
        <w:t xml:space="preserve"> </w:t>
      </w:r>
      <w:r w:rsidRPr="00112834">
        <w:rPr>
          <w:szCs w:val="24"/>
          <w:lang w:val="en-US"/>
        </w:rPr>
        <w:t>the cost benefit ratio for the program results</w:t>
      </w:r>
      <w:r w:rsidR="00E4530D" w:rsidRPr="00112834">
        <w:rPr>
          <w:szCs w:val="24"/>
          <w:lang w:val="en-US"/>
        </w:rPr>
        <w:t xml:space="preserve"> </w:t>
      </w:r>
      <w:r w:rsidR="00F734D1">
        <w:rPr>
          <w:szCs w:val="24"/>
          <w:lang w:val="en-US"/>
        </w:rPr>
        <w:t>1.85</w:t>
      </w:r>
      <w:r w:rsidR="00E4530D" w:rsidRPr="00112834">
        <w:rPr>
          <w:szCs w:val="24"/>
          <w:lang w:val="en-US"/>
        </w:rPr>
        <w:t xml:space="preserve">. </w:t>
      </w:r>
      <w:r w:rsidRPr="00112834">
        <w:rPr>
          <w:szCs w:val="24"/>
          <w:lang w:val="en-US"/>
        </w:rPr>
        <w:t>Th</w:t>
      </w:r>
      <w:r w:rsidR="00F734D1">
        <w:rPr>
          <w:szCs w:val="24"/>
          <w:lang w:val="en-US"/>
        </w:rPr>
        <w:t>is means that a recovery of 1.85</w:t>
      </w:r>
      <w:r w:rsidRPr="00112834">
        <w:rPr>
          <w:szCs w:val="24"/>
          <w:lang w:val="en-US"/>
        </w:rPr>
        <w:t xml:space="preserve"> dollars for each invested dol</w:t>
      </w:r>
      <w:r>
        <w:rPr>
          <w:szCs w:val="24"/>
          <w:lang w:val="en-US"/>
        </w:rPr>
        <w:t>l</w:t>
      </w:r>
      <w:r w:rsidRPr="00112834">
        <w:rPr>
          <w:szCs w:val="24"/>
          <w:lang w:val="en-US"/>
        </w:rPr>
        <w:t>ar is expected</w:t>
      </w:r>
      <w:r>
        <w:rPr>
          <w:szCs w:val="24"/>
          <w:lang w:val="en-US"/>
        </w:rPr>
        <w:t xml:space="preserve">. </w:t>
      </w:r>
      <w:r w:rsidRPr="00112834">
        <w:rPr>
          <w:szCs w:val="24"/>
          <w:lang w:val="en-US"/>
        </w:rPr>
        <w:t>The social IRR</w:t>
      </w:r>
      <w:r w:rsidR="00E4530D" w:rsidRPr="00112834">
        <w:rPr>
          <w:szCs w:val="24"/>
          <w:lang w:val="en-US"/>
        </w:rPr>
        <w:t xml:space="preserve"> </w:t>
      </w:r>
      <w:r w:rsidRPr="00112834">
        <w:rPr>
          <w:szCs w:val="24"/>
          <w:lang w:val="en-GB"/>
        </w:rPr>
        <w:t>results</w:t>
      </w:r>
      <w:r w:rsidR="00E4530D" w:rsidRPr="00112834">
        <w:rPr>
          <w:szCs w:val="24"/>
          <w:lang w:val="en-US"/>
        </w:rPr>
        <w:t xml:space="preserve"> </w:t>
      </w:r>
      <w:r w:rsidR="00F734D1">
        <w:rPr>
          <w:szCs w:val="24"/>
          <w:lang w:val="en-US"/>
        </w:rPr>
        <w:t>28</w:t>
      </w:r>
      <w:r w:rsidR="00E4530D" w:rsidRPr="00112834">
        <w:rPr>
          <w:szCs w:val="24"/>
          <w:lang w:val="en-US"/>
        </w:rPr>
        <w:t xml:space="preserve">%, </w:t>
      </w:r>
      <w:r w:rsidRPr="00112834">
        <w:rPr>
          <w:szCs w:val="24"/>
          <w:lang w:val="en-US"/>
        </w:rPr>
        <w:t xml:space="preserve">a </w:t>
      </w:r>
      <w:r w:rsidRPr="00112834">
        <w:rPr>
          <w:szCs w:val="24"/>
          <w:lang w:val="en-GB"/>
        </w:rPr>
        <w:t>weighted</w:t>
      </w:r>
      <w:r w:rsidRPr="00112834">
        <w:rPr>
          <w:szCs w:val="24"/>
          <w:lang w:val="en-US"/>
        </w:rPr>
        <w:t xml:space="preserve"> mean of the subcomponents</w:t>
      </w:r>
      <w:r>
        <w:rPr>
          <w:szCs w:val="24"/>
          <w:lang w:val="en-US"/>
        </w:rPr>
        <w:t xml:space="preserve"> social IRR</w:t>
      </w:r>
      <w:r w:rsidRPr="00112834">
        <w:rPr>
          <w:szCs w:val="24"/>
          <w:lang w:val="en-US"/>
        </w:rPr>
        <w:t>. The Accountability Systems Subcomponent</w:t>
      </w:r>
      <w:r w:rsidR="00E4530D" w:rsidRPr="00112834">
        <w:rPr>
          <w:szCs w:val="24"/>
          <w:lang w:val="en-US"/>
        </w:rPr>
        <w:t xml:space="preserve"> </w:t>
      </w:r>
      <w:r w:rsidRPr="00112834">
        <w:rPr>
          <w:szCs w:val="24"/>
          <w:lang w:val="en-US"/>
        </w:rPr>
        <w:t>shows the b</w:t>
      </w:r>
      <w:r>
        <w:rPr>
          <w:szCs w:val="24"/>
          <w:lang w:val="en-US"/>
        </w:rPr>
        <w:t xml:space="preserve">est result in the </w:t>
      </w:r>
      <w:r w:rsidR="00165E4D" w:rsidRPr="008E32CF">
        <w:rPr>
          <w:szCs w:val="24"/>
          <w:lang w:val="en-GB"/>
        </w:rPr>
        <w:t>favourable</w:t>
      </w:r>
      <w:r>
        <w:rPr>
          <w:szCs w:val="24"/>
          <w:lang w:val="en-US"/>
        </w:rPr>
        <w:t xml:space="preserve"> scenarios while the HRM Subcomponent performs better in the conservative scenario</w:t>
      </w:r>
      <w:r w:rsidR="00E4530D" w:rsidRPr="00112834">
        <w:rPr>
          <w:szCs w:val="24"/>
          <w:lang w:val="en-US"/>
        </w:rPr>
        <w:t>.</w:t>
      </w:r>
    </w:p>
    <w:p w:rsidR="00E4530D" w:rsidRPr="00112834" w:rsidRDefault="00112834" w:rsidP="00E4530D">
      <w:pPr>
        <w:pStyle w:val="Paragraph"/>
        <w:numPr>
          <w:ilvl w:val="1"/>
          <w:numId w:val="10"/>
        </w:numPr>
        <w:spacing w:before="0" w:after="0" w:line="480" w:lineRule="auto"/>
        <w:ind w:left="567" w:hanging="567"/>
        <w:rPr>
          <w:szCs w:val="24"/>
          <w:lang w:val="en-GB"/>
        </w:rPr>
      </w:pPr>
      <w:r w:rsidRPr="00112834">
        <w:rPr>
          <w:szCs w:val="24"/>
          <w:lang w:val="en-US"/>
        </w:rPr>
        <w:t xml:space="preserve">In the conservative </w:t>
      </w:r>
      <w:r w:rsidR="004D47E6" w:rsidRPr="00112834">
        <w:rPr>
          <w:szCs w:val="24"/>
          <w:lang w:val="en-US"/>
        </w:rPr>
        <w:t>scenario,</w:t>
      </w:r>
      <w:r w:rsidR="00E4530D" w:rsidRPr="00112834">
        <w:rPr>
          <w:szCs w:val="24"/>
          <w:lang w:val="en-US"/>
        </w:rPr>
        <w:t xml:space="preserve"> </w:t>
      </w:r>
      <w:r w:rsidRPr="00112834">
        <w:rPr>
          <w:szCs w:val="24"/>
          <w:lang w:val="en-US"/>
        </w:rPr>
        <w:t>where the eliminated posts in the HR sector are 5%,</w:t>
      </w:r>
      <w:r w:rsidR="00E4530D" w:rsidRPr="00112834">
        <w:rPr>
          <w:szCs w:val="24"/>
          <w:lang w:val="en-US"/>
        </w:rPr>
        <w:t xml:space="preserve"> </w:t>
      </w:r>
      <w:r w:rsidRPr="00112834">
        <w:rPr>
          <w:szCs w:val="24"/>
          <w:lang w:val="en-US"/>
        </w:rPr>
        <w:t xml:space="preserve">savings </w:t>
      </w:r>
      <w:r w:rsidR="00F607B5">
        <w:rPr>
          <w:szCs w:val="24"/>
          <w:lang w:val="en-US"/>
        </w:rPr>
        <w:t>due to</w:t>
      </w:r>
      <w:r w:rsidR="00162905">
        <w:rPr>
          <w:szCs w:val="24"/>
          <w:lang w:val="en-US"/>
        </w:rPr>
        <w:t xml:space="preserve"> efficiency are 0,</w:t>
      </w:r>
      <w:r w:rsidR="00F734D1">
        <w:rPr>
          <w:szCs w:val="24"/>
          <w:lang w:val="en-US"/>
        </w:rPr>
        <w:t>2</w:t>
      </w:r>
      <w:r w:rsidRPr="00112834">
        <w:rPr>
          <w:szCs w:val="24"/>
          <w:lang w:val="en-US"/>
        </w:rPr>
        <w:t>%</w:t>
      </w:r>
      <w:r w:rsidR="00F607B5">
        <w:rPr>
          <w:szCs w:val="24"/>
          <w:lang w:val="en-US"/>
        </w:rPr>
        <w:t>.</w:t>
      </w:r>
      <w:r w:rsidR="008E32CF">
        <w:rPr>
          <w:szCs w:val="24"/>
          <w:lang w:val="en-US"/>
        </w:rPr>
        <w:t xml:space="preserve"> </w:t>
      </w:r>
      <w:r w:rsidR="00F607B5">
        <w:rPr>
          <w:szCs w:val="24"/>
          <w:lang w:val="en-US"/>
        </w:rPr>
        <w:t>T</w:t>
      </w:r>
      <w:r>
        <w:rPr>
          <w:szCs w:val="24"/>
          <w:lang w:val="en-US"/>
        </w:rPr>
        <w:t>he soc</w:t>
      </w:r>
      <w:r w:rsidR="00162905">
        <w:rPr>
          <w:szCs w:val="24"/>
          <w:lang w:val="en-US"/>
        </w:rPr>
        <w:t>ial benefit rate of audits is 0,</w:t>
      </w:r>
      <w:r>
        <w:rPr>
          <w:szCs w:val="24"/>
          <w:lang w:val="en-US"/>
        </w:rPr>
        <w:t xml:space="preserve">2% the program presents a social </w:t>
      </w:r>
      <w:r w:rsidR="0013171C">
        <w:rPr>
          <w:szCs w:val="24"/>
          <w:lang w:val="en-US"/>
        </w:rPr>
        <w:t xml:space="preserve">IRR </w:t>
      </w:r>
      <w:r w:rsidR="004D47E6">
        <w:rPr>
          <w:szCs w:val="24"/>
          <w:lang w:val="en-US"/>
        </w:rPr>
        <w:t>of</w:t>
      </w:r>
      <w:r w:rsidR="00F734D1">
        <w:rPr>
          <w:szCs w:val="24"/>
          <w:lang w:val="en-US"/>
        </w:rPr>
        <w:t xml:space="preserve"> 17</w:t>
      </w:r>
      <w:r w:rsidR="00E4530D" w:rsidRPr="00112834">
        <w:rPr>
          <w:szCs w:val="24"/>
          <w:lang w:val="en-US"/>
        </w:rPr>
        <w:t xml:space="preserve">%. </w:t>
      </w:r>
      <w:r w:rsidR="004D47E6">
        <w:rPr>
          <w:szCs w:val="24"/>
          <w:lang w:val="en-GB"/>
        </w:rPr>
        <w:t xml:space="preserve">This shows that </w:t>
      </w:r>
      <w:r w:rsidR="00F607B5">
        <w:rPr>
          <w:szCs w:val="24"/>
          <w:lang w:val="en-GB"/>
        </w:rPr>
        <w:t>even</w:t>
      </w:r>
      <w:r w:rsidR="00A215CF">
        <w:rPr>
          <w:szCs w:val="24"/>
          <w:lang w:val="en-GB"/>
        </w:rPr>
        <w:t xml:space="preserve"> in </w:t>
      </w:r>
      <w:r w:rsidR="00A215CF" w:rsidRPr="00A215CF">
        <w:rPr>
          <w:szCs w:val="24"/>
          <w:lang w:val="en-US"/>
        </w:rPr>
        <w:t>unfavo</w:t>
      </w:r>
      <w:r w:rsidR="004D47E6" w:rsidRPr="00A215CF">
        <w:rPr>
          <w:szCs w:val="24"/>
          <w:lang w:val="en-US"/>
        </w:rPr>
        <w:t>rable</w:t>
      </w:r>
      <w:r w:rsidR="004D47E6">
        <w:rPr>
          <w:szCs w:val="24"/>
          <w:lang w:val="en-GB"/>
        </w:rPr>
        <w:t xml:space="preserve"> scenarios the program is </w:t>
      </w:r>
      <w:r w:rsidR="001D7D33">
        <w:rPr>
          <w:szCs w:val="24"/>
          <w:lang w:val="en-GB"/>
        </w:rPr>
        <w:t>s</w:t>
      </w:r>
      <w:r w:rsidR="00F607B5">
        <w:rPr>
          <w:szCs w:val="24"/>
          <w:lang w:val="en-GB"/>
        </w:rPr>
        <w:t>till</w:t>
      </w:r>
      <w:r w:rsidR="001D7D33">
        <w:rPr>
          <w:szCs w:val="24"/>
          <w:lang w:val="en-GB"/>
        </w:rPr>
        <w:t xml:space="preserve"> profitable</w:t>
      </w:r>
      <w:r w:rsidR="00E4530D" w:rsidRPr="00112834">
        <w:rPr>
          <w:szCs w:val="24"/>
          <w:lang w:val="en-GB"/>
        </w:rPr>
        <w:t>.</w:t>
      </w:r>
    </w:p>
    <w:p w:rsidR="0013171C" w:rsidRPr="00112834" w:rsidRDefault="0013171C" w:rsidP="0013171C">
      <w:pPr>
        <w:pStyle w:val="Paragraph"/>
        <w:numPr>
          <w:ilvl w:val="1"/>
          <w:numId w:val="10"/>
        </w:numPr>
        <w:spacing w:before="0" w:after="0" w:line="480" w:lineRule="auto"/>
        <w:ind w:left="567" w:hanging="567"/>
        <w:rPr>
          <w:szCs w:val="24"/>
          <w:lang w:val="en-GB"/>
        </w:rPr>
      </w:pPr>
      <w:r w:rsidRPr="00112834">
        <w:rPr>
          <w:szCs w:val="24"/>
          <w:lang w:val="en-US"/>
        </w:rPr>
        <w:t xml:space="preserve">In the </w:t>
      </w:r>
      <w:r w:rsidR="00A215CF" w:rsidRPr="00A215CF">
        <w:rPr>
          <w:szCs w:val="24"/>
          <w:lang w:val="en-US"/>
        </w:rPr>
        <w:t>favo</w:t>
      </w:r>
      <w:r w:rsidRPr="00A215CF">
        <w:rPr>
          <w:szCs w:val="24"/>
          <w:lang w:val="en-US"/>
        </w:rPr>
        <w:t>rable</w:t>
      </w:r>
      <w:r w:rsidRPr="00112834">
        <w:rPr>
          <w:szCs w:val="24"/>
          <w:lang w:val="en-US"/>
        </w:rPr>
        <w:t xml:space="preserve"> scenario, where the eliminated posts in the HR sector are </w:t>
      </w:r>
      <w:r>
        <w:rPr>
          <w:szCs w:val="24"/>
          <w:lang w:val="en-US"/>
        </w:rPr>
        <w:t>1</w:t>
      </w:r>
      <w:r w:rsidRPr="00112834">
        <w:rPr>
          <w:szCs w:val="24"/>
          <w:lang w:val="en-US"/>
        </w:rPr>
        <w:t xml:space="preserve">5%, savings </w:t>
      </w:r>
      <w:r w:rsidR="00162905">
        <w:rPr>
          <w:szCs w:val="24"/>
          <w:lang w:val="en-US"/>
        </w:rPr>
        <w:t>are 0,</w:t>
      </w:r>
      <w:r w:rsidR="00F734D1">
        <w:rPr>
          <w:szCs w:val="24"/>
          <w:lang w:val="en-US"/>
        </w:rPr>
        <w:t>4</w:t>
      </w:r>
      <w:r w:rsidRPr="00112834">
        <w:rPr>
          <w:szCs w:val="24"/>
          <w:lang w:val="en-US"/>
        </w:rPr>
        <w:t xml:space="preserve">% and </w:t>
      </w:r>
      <w:r>
        <w:rPr>
          <w:szCs w:val="24"/>
          <w:lang w:val="en-US"/>
        </w:rPr>
        <w:t>the soc</w:t>
      </w:r>
      <w:r w:rsidR="00162905">
        <w:rPr>
          <w:szCs w:val="24"/>
          <w:lang w:val="en-US"/>
        </w:rPr>
        <w:t>ial benefit rate of audits is 0,</w:t>
      </w:r>
      <w:r w:rsidR="00F60FE3">
        <w:rPr>
          <w:szCs w:val="24"/>
          <w:lang w:val="en-US"/>
        </w:rPr>
        <w:t>3</w:t>
      </w:r>
      <w:r>
        <w:rPr>
          <w:szCs w:val="24"/>
          <w:lang w:val="en-US"/>
        </w:rPr>
        <w:t>%</w:t>
      </w:r>
      <w:r w:rsidR="00F607B5">
        <w:rPr>
          <w:szCs w:val="24"/>
          <w:lang w:val="en-US"/>
        </w:rPr>
        <w:t>.</w:t>
      </w:r>
      <w:r>
        <w:rPr>
          <w:szCs w:val="24"/>
          <w:lang w:val="en-US"/>
        </w:rPr>
        <w:t xml:space="preserve"> </w:t>
      </w:r>
      <w:r w:rsidR="00F607B5">
        <w:rPr>
          <w:szCs w:val="24"/>
          <w:lang w:val="en-US"/>
        </w:rPr>
        <w:t>T</w:t>
      </w:r>
      <w:r>
        <w:rPr>
          <w:szCs w:val="24"/>
          <w:lang w:val="en-US"/>
        </w:rPr>
        <w:t>he program presents a social IRR of</w:t>
      </w:r>
      <w:r w:rsidRPr="00112834">
        <w:rPr>
          <w:szCs w:val="24"/>
          <w:lang w:val="en-US"/>
        </w:rPr>
        <w:t xml:space="preserve"> </w:t>
      </w:r>
      <w:r w:rsidR="00F734D1">
        <w:rPr>
          <w:szCs w:val="24"/>
          <w:lang w:val="en-US"/>
        </w:rPr>
        <w:t>39</w:t>
      </w:r>
      <w:r w:rsidRPr="00112834">
        <w:rPr>
          <w:szCs w:val="24"/>
          <w:lang w:val="en-US"/>
        </w:rPr>
        <w:t xml:space="preserve">%. </w:t>
      </w:r>
      <w:r>
        <w:rPr>
          <w:szCs w:val="24"/>
          <w:lang w:val="en-GB"/>
        </w:rPr>
        <w:t>This suggests that the program has a great potential</w:t>
      </w:r>
      <w:r w:rsidRPr="00112834">
        <w:rPr>
          <w:szCs w:val="24"/>
          <w:lang w:val="en-GB"/>
        </w:rPr>
        <w:t>.</w:t>
      </w:r>
    </w:p>
    <w:p w:rsidR="00E4530D" w:rsidRPr="00E11121" w:rsidRDefault="00E11121" w:rsidP="00E4530D">
      <w:pPr>
        <w:pStyle w:val="Paragraph"/>
        <w:numPr>
          <w:ilvl w:val="1"/>
          <w:numId w:val="10"/>
        </w:numPr>
        <w:spacing w:before="0" w:after="0" w:line="480" w:lineRule="auto"/>
        <w:ind w:left="567" w:hanging="567"/>
        <w:rPr>
          <w:szCs w:val="24"/>
          <w:lang w:val="en-GB"/>
        </w:rPr>
      </w:pPr>
      <w:r w:rsidRPr="00E11121">
        <w:rPr>
          <w:szCs w:val="24"/>
          <w:lang w:val="en-GB"/>
        </w:rPr>
        <w:lastRenderedPageBreak/>
        <w:t>As a final conclusion,</w:t>
      </w:r>
      <w:r w:rsidR="00E4530D" w:rsidRPr="00E11121">
        <w:rPr>
          <w:szCs w:val="24"/>
          <w:lang w:val="en-GB"/>
        </w:rPr>
        <w:t xml:space="preserve"> </w:t>
      </w:r>
      <w:r w:rsidRPr="00E11121">
        <w:rPr>
          <w:szCs w:val="24"/>
          <w:lang w:val="en-GB"/>
        </w:rPr>
        <w:t>can be establishing</w:t>
      </w:r>
      <w:r w:rsidR="002D1CF1">
        <w:rPr>
          <w:szCs w:val="24"/>
          <w:lang w:val="en-GB"/>
        </w:rPr>
        <w:t xml:space="preserve"> that the program has</w:t>
      </w:r>
      <w:r w:rsidRPr="00E11121">
        <w:rPr>
          <w:szCs w:val="24"/>
          <w:lang w:val="en-GB"/>
        </w:rPr>
        <w:t xml:space="preserve"> high social re</w:t>
      </w:r>
      <w:r w:rsidR="002D1CF1">
        <w:rPr>
          <w:szCs w:val="24"/>
          <w:lang w:val="en-GB"/>
        </w:rPr>
        <w:t>turns</w:t>
      </w:r>
      <w:r w:rsidR="00E4530D" w:rsidRPr="00E11121">
        <w:rPr>
          <w:szCs w:val="24"/>
          <w:lang w:val="en-GB"/>
        </w:rPr>
        <w:t xml:space="preserve">. </w:t>
      </w:r>
      <w:r w:rsidR="00F607B5">
        <w:rPr>
          <w:szCs w:val="24"/>
          <w:lang w:val="en-GB"/>
        </w:rPr>
        <w:t>Even</w:t>
      </w:r>
      <w:r w:rsidRPr="00E11121">
        <w:rPr>
          <w:szCs w:val="24"/>
          <w:lang w:val="en-GB"/>
        </w:rPr>
        <w:t xml:space="preserve"> in the most conservative scenarios is highly profitable,</w:t>
      </w:r>
      <w:r w:rsidR="00E4530D" w:rsidRPr="00E11121">
        <w:rPr>
          <w:szCs w:val="24"/>
          <w:lang w:val="en-GB"/>
        </w:rPr>
        <w:t xml:space="preserve"> </w:t>
      </w:r>
      <w:r w:rsidRPr="00E11121">
        <w:rPr>
          <w:szCs w:val="24"/>
          <w:lang w:val="en-GB"/>
        </w:rPr>
        <w:t>showing in the base</w:t>
      </w:r>
      <w:r w:rsidR="00A215CF">
        <w:rPr>
          <w:szCs w:val="24"/>
          <w:lang w:val="en-GB"/>
        </w:rPr>
        <w:t>line</w:t>
      </w:r>
      <w:r w:rsidRPr="00E11121">
        <w:rPr>
          <w:szCs w:val="24"/>
          <w:lang w:val="en-GB"/>
        </w:rPr>
        <w:t xml:space="preserve"> scenario a cost-profit ratio of</w:t>
      </w:r>
      <w:r w:rsidR="00E4530D" w:rsidRPr="00E11121">
        <w:rPr>
          <w:szCs w:val="24"/>
          <w:lang w:val="en-GB"/>
        </w:rPr>
        <w:t xml:space="preserve"> </w:t>
      </w:r>
      <w:r w:rsidR="00F734D1">
        <w:rPr>
          <w:szCs w:val="24"/>
          <w:lang w:val="en-GB"/>
        </w:rPr>
        <w:t>1.85</w:t>
      </w:r>
      <w:r w:rsidR="00E4530D" w:rsidRPr="00E11121">
        <w:rPr>
          <w:szCs w:val="24"/>
          <w:lang w:val="en-GB"/>
        </w:rPr>
        <w:t xml:space="preserve"> </w:t>
      </w:r>
      <w:r>
        <w:rPr>
          <w:szCs w:val="24"/>
          <w:lang w:val="en-GB"/>
        </w:rPr>
        <w:t>dollars for each invested dollar</w:t>
      </w:r>
      <w:r w:rsidR="00E4530D" w:rsidRPr="00E11121">
        <w:rPr>
          <w:szCs w:val="24"/>
          <w:lang w:val="en-GB"/>
        </w:rPr>
        <w:t xml:space="preserve">, </w:t>
      </w:r>
      <w:r>
        <w:rPr>
          <w:szCs w:val="24"/>
          <w:lang w:val="en-GB"/>
        </w:rPr>
        <w:t xml:space="preserve">with </w:t>
      </w:r>
      <w:r w:rsidR="005925CE">
        <w:rPr>
          <w:szCs w:val="24"/>
          <w:lang w:val="en-GB"/>
        </w:rPr>
        <w:t>a</w:t>
      </w:r>
      <w:r>
        <w:rPr>
          <w:szCs w:val="24"/>
          <w:lang w:val="en-GB"/>
        </w:rPr>
        <w:t xml:space="preserve"> </w:t>
      </w:r>
      <w:r w:rsidRPr="00E11121">
        <w:rPr>
          <w:szCs w:val="24"/>
          <w:lang w:val="en-GB"/>
        </w:rPr>
        <w:t>social</w:t>
      </w:r>
      <w:r>
        <w:rPr>
          <w:szCs w:val="24"/>
          <w:lang w:val="en-GB"/>
        </w:rPr>
        <w:t xml:space="preserve"> IRR of</w:t>
      </w:r>
      <w:r w:rsidR="00E4530D" w:rsidRPr="00E11121">
        <w:rPr>
          <w:szCs w:val="24"/>
          <w:lang w:val="en-GB"/>
        </w:rPr>
        <w:t xml:space="preserve"> </w:t>
      </w:r>
      <w:r w:rsidR="00F734D1">
        <w:rPr>
          <w:szCs w:val="24"/>
          <w:lang w:val="en-GB"/>
        </w:rPr>
        <w:t>28</w:t>
      </w:r>
      <w:r w:rsidR="00E4530D" w:rsidRPr="00E11121">
        <w:rPr>
          <w:szCs w:val="24"/>
          <w:lang w:val="en-GB"/>
        </w:rPr>
        <w:t xml:space="preserve">%, </w:t>
      </w:r>
      <w:r>
        <w:rPr>
          <w:szCs w:val="24"/>
          <w:lang w:val="en-GB"/>
        </w:rPr>
        <w:t>greater than the</w:t>
      </w:r>
      <w:r w:rsidR="00E4530D" w:rsidRPr="00E11121">
        <w:rPr>
          <w:szCs w:val="24"/>
          <w:lang w:val="en-GB"/>
        </w:rPr>
        <w:t xml:space="preserve"> 12% </w:t>
      </w:r>
      <w:r>
        <w:rPr>
          <w:szCs w:val="24"/>
          <w:lang w:val="en-GB"/>
        </w:rPr>
        <w:t>established by the Bank</w:t>
      </w:r>
      <w:r w:rsidR="00E4530D" w:rsidRPr="00E11121">
        <w:rPr>
          <w:szCs w:val="24"/>
          <w:lang w:val="en-GB"/>
        </w:rPr>
        <w:t>.</w:t>
      </w:r>
    </w:p>
    <w:p w:rsidR="00E4530D" w:rsidRPr="00E11121" w:rsidRDefault="00E4530D"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C94081" w:rsidRDefault="00CC5801" w:rsidP="00E4530D">
      <w:pPr>
        <w:spacing w:after="0" w:line="240" w:lineRule="auto"/>
        <w:ind w:left="567" w:hanging="567"/>
        <w:rPr>
          <w:rFonts w:ascii="Times New Roman" w:hAnsi="Times New Roman"/>
          <w:b/>
          <w:sz w:val="24"/>
          <w:szCs w:val="24"/>
          <w:u w:val="single"/>
          <w:lang w:val="es-ES"/>
        </w:rPr>
      </w:pPr>
      <w:proofErr w:type="spellStart"/>
      <w:r w:rsidRPr="00C94081">
        <w:rPr>
          <w:rFonts w:ascii="Times New Roman" w:hAnsi="Times New Roman"/>
          <w:b/>
          <w:sz w:val="24"/>
          <w:szCs w:val="24"/>
          <w:u w:val="single"/>
          <w:lang w:val="es-ES"/>
        </w:rPr>
        <w:t>References</w:t>
      </w:r>
      <w:proofErr w:type="spellEnd"/>
    </w:p>
    <w:p w:rsidR="00122A4F" w:rsidRPr="00C94081" w:rsidRDefault="00122A4F" w:rsidP="00E4530D">
      <w:pPr>
        <w:spacing w:after="0" w:line="240" w:lineRule="auto"/>
        <w:ind w:left="567" w:hanging="567"/>
        <w:rPr>
          <w:rFonts w:ascii="Times New Roman" w:hAnsi="Times New Roman"/>
          <w:b/>
          <w:sz w:val="24"/>
          <w:szCs w:val="24"/>
          <w:lang w:val="es-ES"/>
        </w:rPr>
      </w:pPr>
    </w:p>
    <w:p w:rsidR="00122A4F" w:rsidRPr="00C94081" w:rsidRDefault="00122A4F" w:rsidP="00E4530D">
      <w:pPr>
        <w:spacing w:after="0" w:line="240" w:lineRule="auto"/>
        <w:ind w:left="567" w:hanging="567"/>
        <w:rPr>
          <w:rFonts w:ascii="Times New Roman" w:hAnsi="Times New Roman"/>
          <w:b/>
          <w:sz w:val="24"/>
          <w:szCs w:val="24"/>
          <w:lang w:val="es-ES"/>
        </w:rPr>
      </w:pPr>
    </w:p>
    <w:p w:rsidR="00CC5801" w:rsidRPr="00C94081" w:rsidRDefault="00CC5801" w:rsidP="00CC5801">
      <w:pPr>
        <w:spacing w:after="0" w:line="240" w:lineRule="auto"/>
        <w:ind w:left="567" w:hanging="567"/>
        <w:rPr>
          <w:rFonts w:ascii="Times New Roman" w:hAnsi="Times New Roman"/>
          <w:b/>
          <w:sz w:val="24"/>
          <w:szCs w:val="24"/>
          <w:lang w:val="es-ES"/>
        </w:rPr>
      </w:pPr>
      <w:r w:rsidRPr="00CC5801">
        <w:rPr>
          <w:rFonts w:ascii="Times New Roman" w:hAnsi="Times New Roman"/>
          <w:b/>
          <w:sz w:val="24"/>
          <w:szCs w:val="24"/>
          <w:lang w:val="es-ES"/>
        </w:rPr>
        <w:t>Contraloría General de la República, “</w:t>
      </w:r>
      <w:r w:rsidRPr="00C94081">
        <w:rPr>
          <w:rFonts w:ascii="Times New Roman" w:hAnsi="Times New Roman"/>
          <w:b/>
          <w:sz w:val="24"/>
          <w:szCs w:val="24"/>
          <w:lang w:val="es-ES"/>
        </w:rPr>
        <w:t>Mejoramiento del sistema nacional de control para</w:t>
      </w:r>
      <w:r w:rsidRPr="00CC5801">
        <w:rPr>
          <w:rFonts w:ascii="Times New Roman" w:hAnsi="Times New Roman"/>
          <w:b/>
          <w:sz w:val="24"/>
          <w:szCs w:val="24"/>
          <w:lang w:val="es-ES"/>
        </w:rPr>
        <w:t xml:space="preserve"> una gestión eficaz e íntegra” </w:t>
      </w:r>
      <w:r>
        <w:rPr>
          <w:rFonts w:ascii="Times New Roman" w:hAnsi="Times New Roman"/>
          <w:b/>
          <w:sz w:val="24"/>
          <w:szCs w:val="24"/>
          <w:lang w:val="es-ES"/>
        </w:rPr>
        <w:t xml:space="preserve"> </w:t>
      </w:r>
      <w:r w:rsidRPr="00C94081">
        <w:rPr>
          <w:rFonts w:ascii="Times New Roman" w:hAnsi="Times New Roman"/>
          <w:b/>
          <w:sz w:val="24"/>
          <w:szCs w:val="24"/>
          <w:lang w:val="es-ES"/>
        </w:rPr>
        <w:t>(2013).</w:t>
      </w:r>
    </w:p>
    <w:p w:rsidR="00CC5801" w:rsidRPr="00CC5801" w:rsidRDefault="00CC5801" w:rsidP="00CC5801">
      <w:pPr>
        <w:spacing w:after="0" w:line="240" w:lineRule="auto"/>
        <w:ind w:left="567" w:hanging="567"/>
        <w:rPr>
          <w:rFonts w:ascii="Times New Roman" w:hAnsi="Times New Roman"/>
          <w:b/>
          <w:sz w:val="24"/>
          <w:szCs w:val="24"/>
        </w:rPr>
      </w:pPr>
      <w:r w:rsidRPr="00CC5801">
        <w:rPr>
          <w:rFonts w:ascii="Times New Roman" w:hAnsi="Times New Roman"/>
          <w:b/>
          <w:sz w:val="24"/>
          <w:szCs w:val="24"/>
        </w:rPr>
        <w:t>Link: http://idbdocs.iadb.org/wsdocs/getdocument.aspx?docnum=38008070</w:t>
      </w:r>
    </w:p>
    <w:p w:rsidR="00CC5801" w:rsidRPr="00CC5801" w:rsidRDefault="00CC5801" w:rsidP="00CC5801">
      <w:pPr>
        <w:spacing w:after="0" w:line="240" w:lineRule="auto"/>
        <w:ind w:left="567" w:hanging="567"/>
        <w:rPr>
          <w:rFonts w:ascii="Times New Roman" w:hAnsi="Times New Roman"/>
          <w:b/>
          <w:sz w:val="24"/>
          <w:szCs w:val="24"/>
        </w:rPr>
      </w:pPr>
      <w:proofErr w:type="spellStart"/>
      <w:r>
        <w:rPr>
          <w:rFonts w:ascii="Times New Roman" w:hAnsi="Times New Roman"/>
          <w:b/>
          <w:sz w:val="24"/>
          <w:szCs w:val="24"/>
        </w:rPr>
        <w:t>Afonso</w:t>
      </w:r>
      <w:proofErr w:type="spellEnd"/>
      <w:r>
        <w:rPr>
          <w:rFonts w:ascii="Times New Roman" w:hAnsi="Times New Roman"/>
          <w:b/>
          <w:sz w:val="24"/>
          <w:szCs w:val="24"/>
        </w:rPr>
        <w:t xml:space="preserve">, Romero and </w:t>
      </w:r>
      <w:proofErr w:type="spellStart"/>
      <w:r>
        <w:rPr>
          <w:rFonts w:ascii="Times New Roman" w:hAnsi="Times New Roman"/>
          <w:b/>
          <w:sz w:val="24"/>
          <w:szCs w:val="24"/>
        </w:rPr>
        <w:t>Monsalve</w:t>
      </w:r>
      <w:proofErr w:type="spellEnd"/>
      <w:r>
        <w:rPr>
          <w:rFonts w:ascii="Times New Roman" w:hAnsi="Times New Roman"/>
          <w:b/>
          <w:sz w:val="24"/>
          <w:szCs w:val="24"/>
        </w:rPr>
        <w:t>,</w:t>
      </w:r>
      <w:r w:rsidRPr="00CC5801">
        <w:rPr>
          <w:rFonts w:ascii="Times New Roman" w:hAnsi="Times New Roman"/>
          <w:b/>
          <w:sz w:val="24"/>
          <w:szCs w:val="24"/>
        </w:rPr>
        <w:t xml:space="preserve"> “Public Sector Efficiency: Evidence for Latin America</w:t>
      </w:r>
      <w:r>
        <w:rPr>
          <w:rFonts w:ascii="Times New Roman" w:hAnsi="Times New Roman"/>
          <w:b/>
          <w:sz w:val="24"/>
          <w:szCs w:val="24"/>
        </w:rPr>
        <w:t>” (2013)</w:t>
      </w:r>
    </w:p>
    <w:p w:rsidR="00CC5801" w:rsidRPr="00CC5801" w:rsidRDefault="00CC5801" w:rsidP="00CC5801">
      <w:pPr>
        <w:spacing w:after="0" w:line="240" w:lineRule="auto"/>
        <w:ind w:left="567" w:hanging="567"/>
        <w:rPr>
          <w:rFonts w:ascii="Times New Roman" w:hAnsi="Times New Roman"/>
          <w:b/>
          <w:sz w:val="24"/>
          <w:szCs w:val="24"/>
        </w:rPr>
      </w:pPr>
      <w:r w:rsidRPr="00CC5801">
        <w:rPr>
          <w:rFonts w:ascii="Times New Roman" w:hAnsi="Times New Roman"/>
          <w:b/>
          <w:sz w:val="24"/>
          <w:szCs w:val="24"/>
        </w:rPr>
        <w:t>Link: http://www.iadb.org/es/publicaciones/detalle,7101.html?id=68628</w:t>
      </w:r>
    </w:p>
    <w:p w:rsidR="00CC5801" w:rsidRPr="00CC5801" w:rsidRDefault="00CC5801" w:rsidP="00CC5801">
      <w:pPr>
        <w:spacing w:after="0" w:line="240" w:lineRule="auto"/>
        <w:ind w:left="567" w:hanging="567"/>
        <w:rPr>
          <w:rFonts w:ascii="Times New Roman" w:hAnsi="Times New Roman"/>
          <w:b/>
          <w:sz w:val="24"/>
          <w:szCs w:val="24"/>
        </w:rPr>
      </w:pPr>
      <w:r w:rsidRPr="00CC5801">
        <w:rPr>
          <w:rFonts w:ascii="Times New Roman" w:hAnsi="Times New Roman"/>
          <w:b/>
          <w:sz w:val="24"/>
          <w:szCs w:val="24"/>
        </w:rPr>
        <w:t>http://idbdocs.iadb.org/wsdocs/getdocument.aspx?docnum=37717732</w:t>
      </w:r>
    </w:p>
    <w:p w:rsidR="00CC5801" w:rsidRPr="00CC5801" w:rsidRDefault="00CC5801" w:rsidP="00CC5801">
      <w:pPr>
        <w:spacing w:after="0" w:line="240" w:lineRule="auto"/>
        <w:ind w:left="567" w:hanging="567"/>
        <w:rPr>
          <w:rFonts w:ascii="Times New Roman" w:hAnsi="Times New Roman"/>
          <w:b/>
          <w:sz w:val="24"/>
          <w:szCs w:val="24"/>
        </w:rPr>
      </w:pPr>
      <w:r w:rsidRPr="00CC5801">
        <w:rPr>
          <w:rFonts w:ascii="Times New Roman" w:hAnsi="Times New Roman"/>
          <w:b/>
          <w:sz w:val="24"/>
          <w:szCs w:val="24"/>
        </w:rPr>
        <w:t xml:space="preserve">Singer, </w:t>
      </w:r>
      <w:proofErr w:type="spellStart"/>
      <w:r w:rsidRPr="00CC5801">
        <w:rPr>
          <w:rFonts w:ascii="Times New Roman" w:hAnsi="Times New Roman"/>
          <w:b/>
          <w:sz w:val="24"/>
          <w:szCs w:val="24"/>
        </w:rPr>
        <w:t>Konstantinidis</w:t>
      </w:r>
      <w:proofErr w:type="spellEnd"/>
      <w:r w:rsidRPr="00CC5801">
        <w:rPr>
          <w:rFonts w:ascii="Times New Roman" w:hAnsi="Times New Roman"/>
          <w:b/>
          <w:sz w:val="24"/>
          <w:szCs w:val="24"/>
        </w:rPr>
        <w:t xml:space="preserve">, </w:t>
      </w:r>
      <w:proofErr w:type="spellStart"/>
      <w:r w:rsidRPr="00CC5801">
        <w:rPr>
          <w:rFonts w:ascii="Times New Roman" w:hAnsi="Times New Roman"/>
          <w:b/>
          <w:sz w:val="24"/>
          <w:szCs w:val="24"/>
        </w:rPr>
        <w:t>Roubik</w:t>
      </w:r>
      <w:proofErr w:type="spellEnd"/>
      <w:r w:rsidRPr="00CC5801">
        <w:rPr>
          <w:rFonts w:ascii="Times New Roman" w:hAnsi="Times New Roman"/>
          <w:b/>
          <w:sz w:val="24"/>
          <w:szCs w:val="24"/>
        </w:rPr>
        <w:t xml:space="preserve"> and </w:t>
      </w:r>
      <w:proofErr w:type="spellStart"/>
      <w:r w:rsidRPr="00CC5801">
        <w:rPr>
          <w:rFonts w:ascii="Times New Roman" w:hAnsi="Times New Roman"/>
          <w:b/>
          <w:sz w:val="24"/>
          <w:szCs w:val="24"/>
        </w:rPr>
        <w:t>Beffermann</w:t>
      </w:r>
      <w:proofErr w:type="spellEnd"/>
      <w:r w:rsidRPr="00CC5801">
        <w:rPr>
          <w:rFonts w:ascii="Times New Roman" w:hAnsi="Times New Roman"/>
          <w:b/>
          <w:sz w:val="24"/>
          <w:szCs w:val="24"/>
        </w:rPr>
        <w:t>: “Does e-Procurement save the State money?”</w:t>
      </w:r>
      <w:r>
        <w:rPr>
          <w:rFonts w:ascii="Times New Roman" w:hAnsi="Times New Roman"/>
          <w:b/>
          <w:sz w:val="24"/>
          <w:szCs w:val="24"/>
        </w:rPr>
        <w:t xml:space="preserve"> (2006)</w:t>
      </w:r>
    </w:p>
    <w:p w:rsidR="00CC5801" w:rsidRPr="00CC5801" w:rsidRDefault="00CC5801" w:rsidP="00CC5801">
      <w:pPr>
        <w:spacing w:after="0" w:line="240" w:lineRule="auto"/>
        <w:ind w:left="567" w:hanging="567"/>
        <w:rPr>
          <w:rFonts w:ascii="Times New Roman" w:hAnsi="Times New Roman"/>
          <w:b/>
          <w:sz w:val="24"/>
          <w:szCs w:val="24"/>
        </w:rPr>
      </w:pPr>
      <w:r w:rsidRPr="00CC5801">
        <w:rPr>
          <w:rFonts w:ascii="Times New Roman" w:hAnsi="Times New Roman"/>
          <w:b/>
          <w:sz w:val="24"/>
          <w:szCs w:val="24"/>
        </w:rPr>
        <w:t>https://www.google.com.ar/url?sa=t&amp;rct=j&amp;q=&amp;esrc=s&amp;source=web&amp;cd=2&amp;ved=0CDIQFjAB&amp;url=http%3A%2F%2Fwww.chilecompra.cl%2Findex.php%3Foption%3Dcom_phocadownload%26view%3Dcategory%26download%3D847%3Adoes-e-procurement-save-money-las-compras-publicas-electronicas-ahorran-dinero%26id%3D9%3Ainvestigacin-y-estudios%26Itemid%3D606&amp;ei=M65uUoK1PJPRkQehsoHQDA&amp;usg=AFQjCNFX6UQOChs1h602E69M-xU97oqm8Q&amp;sig2=RJ0shV8Aq3AU4N_7uf_eZQ.</w:t>
      </w:r>
    </w:p>
    <w:p w:rsidR="00CC5801" w:rsidRPr="00CC5801" w:rsidRDefault="00CC5801" w:rsidP="00CC5801">
      <w:pPr>
        <w:spacing w:after="0" w:line="240" w:lineRule="auto"/>
        <w:ind w:left="567" w:hanging="567"/>
        <w:rPr>
          <w:rFonts w:ascii="Times New Roman" w:hAnsi="Times New Roman"/>
          <w:b/>
          <w:sz w:val="24"/>
          <w:szCs w:val="24"/>
        </w:rPr>
      </w:pPr>
      <w:r w:rsidRPr="00CC5801">
        <w:rPr>
          <w:rFonts w:ascii="Times New Roman" w:hAnsi="Times New Roman"/>
          <w:b/>
          <w:sz w:val="24"/>
          <w:szCs w:val="24"/>
        </w:rPr>
        <w:t xml:space="preserve">Auriol, “Corruption in Procurement and Public Purchase.” </w:t>
      </w:r>
      <w:r>
        <w:rPr>
          <w:rFonts w:ascii="Times New Roman" w:hAnsi="Times New Roman"/>
          <w:b/>
          <w:sz w:val="24"/>
          <w:szCs w:val="24"/>
        </w:rPr>
        <w:t xml:space="preserve">(2006). </w:t>
      </w:r>
      <w:r w:rsidRPr="00CC5801">
        <w:rPr>
          <w:rFonts w:ascii="Times New Roman" w:hAnsi="Times New Roman"/>
          <w:b/>
          <w:sz w:val="24"/>
          <w:szCs w:val="24"/>
        </w:rPr>
        <w:t>International Journal of Industrial</w:t>
      </w:r>
      <w:r>
        <w:rPr>
          <w:rFonts w:ascii="Times New Roman" w:hAnsi="Times New Roman"/>
          <w:b/>
          <w:sz w:val="24"/>
          <w:szCs w:val="24"/>
        </w:rPr>
        <w:t xml:space="preserve"> </w:t>
      </w:r>
      <w:r w:rsidRPr="00CC5801">
        <w:rPr>
          <w:rFonts w:ascii="Times New Roman" w:hAnsi="Times New Roman"/>
          <w:b/>
          <w:sz w:val="24"/>
          <w:szCs w:val="24"/>
        </w:rPr>
        <w:t>Organization, Vol. 24, No. 5, pp. 867-885</w:t>
      </w:r>
    </w:p>
    <w:p w:rsidR="00CC5801" w:rsidRPr="00CC5801" w:rsidRDefault="00CC5801" w:rsidP="00CC5801">
      <w:pPr>
        <w:spacing w:after="0" w:line="240" w:lineRule="auto"/>
        <w:ind w:left="567" w:hanging="567"/>
        <w:rPr>
          <w:rFonts w:ascii="Times New Roman" w:hAnsi="Times New Roman"/>
          <w:b/>
          <w:sz w:val="24"/>
          <w:szCs w:val="24"/>
        </w:rPr>
      </w:pPr>
      <w:r w:rsidRPr="00CC5801">
        <w:rPr>
          <w:rFonts w:ascii="Times New Roman" w:hAnsi="Times New Roman"/>
          <w:b/>
          <w:sz w:val="24"/>
          <w:szCs w:val="24"/>
        </w:rPr>
        <w:t>Link: http://ideas.repec.org/p/ner/toulou/http--neeo.univ-tlse1.fr-1577-.html</w:t>
      </w:r>
    </w:p>
    <w:p w:rsidR="00CC5801" w:rsidRPr="00CC5801" w:rsidRDefault="00CC5801" w:rsidP="00CC5801">
      <w:pPr>
        <w:spacing w:after="0" w:line="240" w:lineRule="auto"/>
        <w:ind w:left="567" w:hanging="567"/>
        <w:rPr>
          <w:rFonts w:ascii="Times New Roman" w:hAnsi="Times New Roman"/>
          <w:b/>
          <w:sz w:val="24"/>
          <w:szCs w:val="24"/>
        </w:rPr>
      </w:pPr>
      <w:r w:rsidRPr="00CC5801">
        <w:rPr>
          <w:rFonts w:ascii="Times New Roman" w:hAnsi="Times New Roman"/>
          <w:b/>
          <w:sz w:val="24"/>
          <w:szCs w:val="24"/>
        </w:rPr>
        <w:t xml:space="preserve">Lafuente, </w:t>
      </w:r>
      <w:r>
        <w:rPr>
          <w:rFonts w:ascii="Times New Roman" w:hAnsi="Times New Roman"/>
          <w:b/>
          <w:sz w:val="24"/>
          <w:szCs w:val="24"/>
        </w:rPr>
        <w:t>“</w:t>
      </w:r>
      <w:r w:rsidRPr="00CC5801">
        <w:rPr>
          <w:rFonts w:ascii="Times New Roman" w:hAnsi="Times New Roman"/>
          <w:b/>
          <w:sz w:val="24"/>
          <w:szCs w:val="24"/>
        </w:rPr>
        <w:t>Public Employment and pay policy in Belize</w:t>
      </w:r>
      <w:r>
        <w:rPr>
          <w:rFonts w:ascii="Times New Roman" w:hAnsi="Times New Roman"/>
          <w:b/>
          <w:sz w:val="24"/>
          <w:szCs w:val="24"/>
        </w:rPr>
        <w:t>”</w:t>
      </w:r>
      <w:r w:rsidRPr="00CC5801">
        <w:rPr>
          <w:rFonts w:ascii="Times New Roman" w:hAnsi="Times New Roman"/>
          <w:b/>
          <w:sz w:val="24"/>
          <w:szCs w:val="24"/>
        </w:rPr>
        <w:t xml:space="preserve"> (2013)</w:t>
      </w:r>
    </w:p>
    <w:p w:rsidR="00122A4F" w:rsidRPr="00E11121" w:rsidRDefault="00CC5801" w:rsidP="00CC5801">
      <w:pPr>
        <w:spacing w:after="0" w:line="240" w:lineRule="auto"/>
        <w:ind w:left="567" w:hanging="567"/>
        <w:rPr>
          <w:rFonts w:ascii="Times New Roman" w:hAnsi="Times New Roman"/>
          <w:b/>
          <w:sz w:val="24"/>
          <w:szCs w:val="24"/>
        </w:rPr>
      </w:pPr>
      <w:r w:rsidRPr="00CC5801">
        <w:rPr>
          <w:rFonts w:ascii="Times New Roman" w:hAnsi="Times New Roman"/>
          <w:b/>
          <w:sz w:val="24"/>
          <w:szCs w:val="24"/>
        </w:rPr>
        <w:t>Link: http://idbdocs.iadb.org/wsdocs/getdocument.aspx?docnum=38061144</w:t>
      </w: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122A4F" w:rsidRPr="00E11121" w:rsidRDefault="00122A4F" w:rsidP="00E4530D">
      <w:pPr>
        <w:spacing w:after="0" w:line="240" w:lineRule="auto"/>
        <w:ind w:left="567" w:hanging="567"/>
        <w:rPr>
          <w:rFonts w:ascii="Times New Roman" w:hAnsi="Times New Roman"/>
          <w:b/>
          <w:sz w:val="24"/>
          <w:szCs w:val="24"/>
        </w:rPr>
      </w:pPr>
    </w:p>
    <w:p w:rsidR="00F35A4B" w:rsidRPr="00CB36D5" w:rsidRDefault="00F35A4B"/>
    <w:sectPr w:rsidR="00F35A4B" w:rsidRPr="00CB36D5" w:rsidSect="00E4530D">
      <w:pgSz w:w="11907" w:h="16839" w:code="9"/>
      <w:pgMar w:top="1440" w:right="1440" w:bottom="1440" w:left="162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1AD" w:rsidRDefault="00C141AD" w:rsidP="00E4530D">
      <w:pPr>
        <w:spacing w:after="0" w:line="240" w:lineRule="auto"/>
      </w:pPr>
      <w:r>
        <w:separator/>
      </w:r>
    </w:p>
  </w:endnote>
  <w:endnote w:type="continuationSeparator" w:id="0">
    <w:p w:rsidR="00C141AD" w:rsidRDefault="00C141AD" w:rsidP="00E45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1AD" w:rsidRDefault="00C141AD" w:rsidP="00E4530D">
      <w:pPr>
        <w:spacing w:after="0" w:line="240" w:lineRule="auto"/>
      </w:pPr>
      <w:r>
        <w:separator/>
      </w:r>
    </w:p>
  </w:footnote>
  <w:footnote w:type="continuationSeparator" w:id="0">
    <w:p w:rsidR="00C141AD" w:rsidRDefault="00C141AD" w:rsidP="00E4530D">
      <w:pPr>
        <w:spacing w:after="0" w:line="240" w:lineRule="auto"/>
      </w:pPr>
      <w:r>
        <w:continuationSeparator/>
      </w:r>
    </w:p>
  </w:footnote>
  <w:footnote w:id="1">
    <w:p w:rsidR="001974CB" w:rsidRPr="00793D29" w:rsidRDefault="001974CB" w:rsidP="001974CB">
      <w:pPr>
        <w:pStyle w:val="FootnoteText"/>
        <w:rPr>
          <w:sz w:val="16"/>
          <w:szCs w:val="16"/>
        </w:rPr>
      </w:pPr>
      <w:r w:rsidRPr="00337D26">
        <w:rPr>
          <w:sz w:val="16"/>
          <w:szCs w:val="16"/>
          <w:vertAlign w:val="superscript"/>
        </w:rPr>
        <w:footnoteRef/>
      </w:r>
      <w:r w:rsidRPr="00337D26">
        <w:rPr>
          <w:sz w:val="16"/>
          <w:szCs w:val="16"/>
        </w:rPr>
        <w:t xml:space="preserve"> </w:t>
      </w:r>
      <w:r w:rsidRPr="00007448">
        <w:rPr>
          <w:sz w:val="16"/>
          <w:szCs w:val="16"/>
        </w:rPr>
        <w:tab/>
      </w:r>
      <w:r w:rsidRPr="00793D29">
        <w:rPr>
          <w:sz w:val="16"/>
          <w:szCs w:val="16"/>
        </w:rPr>
        <w:t xml:space="preserve">HCEMS refers to an </w:t>
      </w:r>
      <w:r>
        <w:rPr>
          <w:sz w:val="16"/>
          <w:szCs w:val="16"/>
        </w:rPr>
        <w:t>IT</w:t>
      </w:r>
      <w:r w:rsidRPr="00793D29">
        <w:rPr>
          <w:sz w:val="16"/>
          <w:szCs w:val="16"/>
        </w:rPr>
        <w:t xml:space="preserve"> solution that can scale up and automate and integrate processes like payroll, performance reviews, and employee information such as professional experience, academic background, as well as demographic features in a single database for the entire public sector</w:t>
      </w:r>
      <w:r>
        <w:rPr>
          <w:sz w:val="16"/>
          <w:szCs w:val="16"/>
        </w:rPr>
        <w:t>.</w:t>
      </w:r>
    </w:p>
  </w:footnote>
  <w:footnote w:id="2">
    <w:p w:rsidR="001974CB" w:rsidRPr="00317BD8" w:rsidRDefault="001974CB" w:rsidP="001974CB">
      <w:pPr>
        <w:pStyle w:val="FootnoteText"/>
        <w:rPr>
          <w:sz w:val="16"/>
          <w:szCs w:val="16"/>
        </w:rPr>
      </w:pPr>
      <w:r w:rsidRPr="00337D26">
        <w:rPr>
          <w:sz w:val="16"/>
          <w:szCs w:val="16"/>
          <w:vertAlign w:val="superscript"/>
        </w:rPr>
        <w:footnoteRef/>
      </w:r>
      <w:r w:rsidRPr="00337D26">
        <w:rPr>
          <w:sz w:val="16"/>
          <w:szCs w:val="16"/>
        </w:rPr>
        <w:t xml:space="preserve"> </w:t>
      </w:r>
      <w:r w:rsidRPr="00317BD8">
        <w:rPr>
          <w:sz w:val="16"/>
          <w:szCs w:val="16"/>
        </w:rPr>
        <w:tab/>
        <w:t>For FY2012/2013, there is a total a work force established of 117,125 personnel. 2013 Repeat PEFA.</w:t>
      </w:r>
    </w:p>
  </w:footnote>
  <w:footnote w:id="3">
    <w:p w:rsidR="001974CB" w:rsidRPr="00317BD8" w:rsidRDefault="001974CB" w:rsidP="001974CB">
      <w:pPr>
        <w:pStyle w:val="FootnoteText"/>
        <w:rPr>
          <w:sz w:val="16"/>
          <w:szCs w:val="16"/>
        </w:rPr>
      </w:pPr>
      <w:r w:rsidRPr="00337D26">
        <w:rPr>
          <w:sz w:val="16"/>
          <w:szCs w:val="16"/>
          <w:vertAlign w:val="superscript"/>
        </w:rPr>
        <w:footnoteRef/>
      </w:r>
      <w:r w:rsidRPr="00337D26">
        <w:rPr>
          <w:sz w:val="16"/>
          <w:szCs w:val="16"/>
          <w:vertAlign w:val="superscript"/>
        </w:rPr>
        <w:t xml:space="preserve"> </w:t>
      </w:r>
      <w:r w:rsidRPr="00317BD8">
        <w:rPr>
          <w:sz w:val="16"/>
          <w:szCs w:val="16"/>
        </w:rPr>
        <w:tab/>
        <w:t>SHRMD, located within the Ministry of Finance and Planning, consolidates HR functions previously</w:t>
      </w:r>
      <w:r>
        <w:rPr>
          <w:sz w:val="16"/>
          <w:szCs w:val="16"/>
        </w:rPr>
        <w:t xml:space="preserve"> assigned to different entities</w:t>
      </w:r>
      <w:r w:rsidRPr="00317BD8">
        <w:rPr>
          <w:sz w:val="16"/>
          <w:szCs w:val="16"/>
        </w:rPr>
        <w:t>.</w:t>
      </w:r>
    </w:p>
  </w:footnote>
  <w:footnote w:id="4">
    <w:p w:rsidR="001974CB" w:rsidRPr="006E2623" w:rsidRDefault="001974CB" w:rsidP="001974CB">
      <w:pPr>
        <w:pStyle w:val="FootnoteText"/>
        <w:rPr>
          <w:sz w:val="16"/>
          <w:szCs w:val="16"/>
        </w:rPr>
      </w:pPr>
      <w:r w:rsidRPr="006E2623">
        <w:rPr>
          <w:rStyle w:val="FootnoteReference"/>
          <w:sz w:val="16"/>
          <w:szCs w:val="16"/>
        </w:rPr>
        <w:footnoteRef/>
      </w:r>
      <w:r w:rsidRPr="006E2623">
        <w:rPr>
          <w:rStyle w:val="FootnoteReference"/>
          <w:sz w:val="16"/>
          <w:szCs w:val="16"/>
        </w:rPr>
        <w:t xml:space="preserve"> </w:t>
      </w:r>
      <w:r>
        <w:tab/>
      </w:r>
      <w:r w:rsidRPr="006E2623">
        <w:rPr>
          <w:sz w:val="16"/>
          <w:szCs w:val="16"/>
        </w:rPr>
        <w:t>An instance of the AMANDA application is currently hosted by the National Environment and Planning Agency (NEPA).</w:t>
      </w:r>
    </w:p>
  </w:footnote>
  <w:footnote w:id="5">
    <w:p w:rsidR="001974CB" w:rsidRPr="00317BD8" w:rsidRDefault="001974CB" w:rsidP="001974CB">
      <w:pPr>
        <w:pStyle w:val="FootnoteText"/>
        <w:rPr>
          <w:sz w:val="16"/>
          <w:szCs w:val="16"/>
        </w:rPr>
      </w:pPr>
      <w:r w:rsidRPr="00317BD8">
        <w:rPr>
          <w:rStyle w:val="FootnoteReference"/>
          <w:sz w:val="16"/>
          <w:szCs w:val="16"/>
        </w:rPr>
        <w:footnoteRef/>
      </w:r>
      <w:r w:rsidRPr="00317BD8">
        <w:rPr>
          <w:sz w:val="16"/>
          <w:szCs w:val="16"/>
        </w:rPr>
        <w:tab/>
        <w:t>This cost reduction is expected to be achieved by realizing economies of scale through the aggregation, standardization and centralization of common ‘back office’ corporate functions such as finance, human resources, payroll, IT, and procurement.</w:t>
      </w:r>
    </w:p>
  </w:footnote>
  <w:footnote w:id="6">
    <w:p w:rsidR="001974CB" w:rsidRPr="00526447" w:rsidRDefault="001974CB" w:rsidP="001974CB">
      <w:pPr>
        <w:pStyle w:val="FootnoteText"/>
        <w:rPr>
          <w:sz w:val="16"/>
          <w:szCs w:val="16"/>
        </w:rPr>
      </w:pPr>
      <w:r w:rsidRPr="006E2623">
        <w:rPr>
          <w:sz w:val="16"/>
          <w:szCs w:val="16"/>
        </w:rPr>
        <w:footnoteRef/>
      </w:r>
      <w:r w:rsidRPr="00526447">
        <w:rPr>
          <w:sz w:val="16"/>
          <w:szCs w:val="16"/>
        </w:rPr>
        <w:tab/>
        <w:t>The Operating Model for the HRSSC</w:t>
      </w:r>
      <w:r>
        <w:rPr>
          <w:sz w:val="16"/>
          <w:szCs w:val="16"/>
        </w:rPr>
        <w:t xml:space="preserve"> will comprise a definition of policy and strategy, scope of services, processes, systems, volumes, operating hours, accountabilities and responsibilities, facilities and locations, structures and organizations, service performance standards and levels, funding, pricing and charging mechanisms.</w:t>
      </w:r>
    </w:p>
  </w:footnote>
  <w:footnote w:id="7">
    <w:p w:rsidR="001974CB" w:rsidRPr="009D3284" w:rsidRDefault="001974CB" w:rsidP="001974CB">
      <w:pPr>
        <w:pStyle w:val="FootnoteText"/>
        <w:rPr>
          <w:sz w:val="16"/>
          <w:szCs w:val="16"/>
        </w:rPr>
      </w:pPr>
      <w:r w:rsidRPr="006E2623">
        <w:rPr>
          <w:sz w:val="16"/>
          <w:szCs w:val="16"/>
        </w:rPr>
        <w:footnoteRef/>
      </w:r>
      <w:r w:rsidRPr="006E2623">
        <w:rPr>
          <w:sz w:val="16"/>
          <w:szCs w:val="16"/>
        </w:rPr>
        <w:tab/>
        <w:t>As part of the GOJ space rationalization programme the government has identified a group of facilities that could be used to accommodate the HRSSC once they have been suitably refurbished</w:t>
      </w:r>
      <w:r>
        <w:rPr>
          <w:sz w:val="16"/>
          <w:szCs w:val="16"/>
        </w:rPr>
        <w:t>.</w:t>
      </w:r>
    </w:p>
  </w:footnote>
  <w:footnote w:id="8">
    <w:p w:rsidR="001974CB" w:rsidRPr="003E67AD" w:rsidRDefault="001974CB" w:rsidP="001974CB">
      <w:pPr>
        <w:pStyle w:val="FootnoteText"/>
        <w:rPr>
          <w:sz w:val="16"/>
          <w:szCs w:val="16"/>
        </w:rPr>
      </w:pPr>
      <w:r w:rsidRPr="00793D29">
        <w:rPr>
          <w:rStyle w:val="FootnoteReference"/>
          <w:sz w:val="16"/>
        </w:rPr>
        <w:footnoteRef/>
      </w:r>
      <w:r>
        <w:t xml:space="preserve"> </w:t>
      </w:r>
      <w:r w:rsidRPr="003E67AD">
        <w:rPr>
          <w:sz w:val="16"/>
          <w:szCs w:val="16"/>
        </w:rPr>
        <w:tab/>
        <w:t>To be financed with resources to be receiv</w:t>
      </w:r>
      <w:r>
        <w:rPr>
          <w:sz w:val="16"/>
          <w:szCs w:val="16"/>
        </w:rPr>
        <w:t xml:space="preserve">ed from the European Commission. </w:t>
      </w:r>
      <w:r w:rsidRPr="003E67AD">
        <w:rPr>
          <w:sz w:val="16"/>
          <w:szCs w:val="16"/>
        </w:rPr>
        <w:t>See footnote 1</w:t>
      </w:r>
      <w:r>
        <w:rPr>
          <w:sz w:val="16"/>
          <w:szCs w:val="16"/>
        </w:rPr>
        <w:t>.</w:t>
      </w:r>
    </w:p>
  </w:footnote>
  <w:footnote w:id="9">
    <w:p w:rsidR="001974CB" w:rsidRPr="003E67AD" w:rsidRDefault="001974CB" w:rsidP="001974CB">
      <w:pPr>
        <w:pStyle w:val="FootnoteText"/>
        <w:rPr>
          <w:sz w:val="16"/>
          <w:szCs w:val="16"/>
        </w:rPr>
      </w:pPr>
      <w:r w:rsidRPr="00D316D0">
        <w:rPr>
          <w:sz w:val="16"/>
          <w:szCs w:val="16"/>
          <w:vertAlign w:val="superscript"/>
        </w:rPr>
        <w:footnoteRef/>
      </w:r>
      <w:r w:rsidRPr="003E67AD">
        <w:rPr>
          <w:sz w:val="16"/>
          <w:szCs w:val="16"/>
        </w:rPr>
        <w:t xml:space="preserve"> </w:t>
      </w:r>
      <w:r w:rsidRPr="00317BD8">
        <w:rPr>
          <w:sz w:val="16"/>
          <w:szCs w:val="16"/>
        </w:rPr>
        <w:tab/>
      </w:r>
      <w:r>
        <w:rPr>
          <w:sz w:val="16"/>
          <w:szCs w:val="16"/>
        </w:rPr>
        <w:t>See</w:t>
      </w:r>
      <w:r w:rsidRPr="00317BD8">
        <w:rPr>
          <w:sz w:val="16"/>
          <w:szCs w:val="16"/>
        </w:rPr>
        <w:t xml:space="preserve"> GOJ’s new PFM</w:t>
      </w:r>
      <w:r>
        <w:rPr>
          <w:sz w:val="16"/>
          <w:szCs w:val="16"/>
        </w:rPr>
        <w:t>-RAP</w:t>
      </w:r>
      <w:r w:rsidRPr="00317BD8">
        <w:rPr>
          <w:sz w:val="16"/>
          <w:szCs w:val="16"/>
        </w:rPr>
        <w:t>, prepared with the support of the IMF Regional Technical Assistance Centre CARTAC.</w:t>
      </w:r>
    </w:p>
  </w:footnote>
  <w:footnote w:id="10">
    <w:p w:rsidR="001974CB" w:rsidRPr="00B138F6" w:rsidRDefault="001974CB" w:rsidP="001974CB">
      <w:pPr>
        <w:pStyle w:val="FootnoteText"/>
      </w:pPr>
      <w:r w:rsidRPr="006E2623">
        <w:rPr>
          <w:sz w:val="16"/>
          <w:szCs w:val="16"/>
          <w:vertAlign w:val="superscript"/>
        </w:rPr>
        <w:footnoteRef/>
      </w:r>
      <w:r>
        <w:t xml:space="preserve"> </w:t>
      </w:r>
      <w:r>
        <w:tab/>
      </w:r>
      <w:r w:rsidRPr="006E2623">
        <w:rPr>
          <w:sz w:val="16"/>
          <w:szCs w:val="16"/>
        </w:rPr>
        <w:t>This will be provided jointly for external and internal auditors, as well as Parliament´s technical staff.</w:t>
      </w:r>
    </w:p>
  </w:footnote>
  <w:footnote w:id="11">
    <w:p w:rsidR="001974CB" w:rsidRPr="006E2623" w:rsidRDefault="001974CB" w:rsidP="001974CB">
      <w:pPr>
        <w:pStyle w:val="FootnoteText"/>
        <w:rPr>
          <w:sz w:val="16"/>
          <w:szCs w:val="16"/>
        </w:rPr>
      </w:pPr>
      <w:r w:rsidRPr="006E2623">
        <w:rPr>
          <w:rStyle w:val="FootnoteReference"/>
          <w:sz w:val="16"/>
        </w:rPr>
        <w:footnoteRef/>
      </w:r>
      <w:r>
        <w:t xml:space="preserve"> </w:t>
      </w:r>
      <w:r>
        <w:tab/>
      </w:r>
      <w:r w:rsidRPr="006E2623">
        <w:rPr>
          <w:sz w:val="16"/>
          <w:szCs w:val="16"/>
        </w:rPr>
        <w:t>It includes the Internal Audit Directorate at the Ministry of Finance and the Internal Audit Units of Ministries and Departments.</w:t>
      </w:r>
    </w:p>
  </w:footnote>
  <w:footnote w:id="12">
    <w:p w:rsidR="00EC5CF4" w:rsidRPr="00C94081" w:rsidRDefault="00EC5CF4">
      <w:pPr>
        <w:pStyle w:val="FootnoteText"/>
        <w:rPr>
          <w:rFonts w:ascii="Times New Roman" w:hAnsi="Times New Roman"/>
          <w:sz w:val="20"/>
          <w:szCs w:val="20"/>
        </w:rPr>
      </w:pPr>
      <w:r>
        <w:rPr>
          <w:rStyle w:val="FootnoteReference"/>
        </w:rPr>
        <w:footnoteRef/>
      </w:r>
      <w:r>
        <w:t xml:space="preserve"> </w:t>
      </w:r>
      <w:r>
        <w:rPr>
          <w:rFonts w:ascii="Times New Roman" w:hAnsi="Times New Roman"/>
          <w:sz w:val="20"/>
          <w:szCs w:val="20"/>
        </w:rPr>
        <w:t xml:space="preserve">See </w:t>
      </w:r>
      <w:proofErr w:type="spellStart"/>
      <w:r>
        <w:rPr>
          <w:rFonts w:ascii="Times New Roman" w:hAnsi="Times New Roman"/>
          <w:sz w:val="20"/>
          <w:szCs w:val="20"/>
        </w:rPr>
        <w:t>Afonso</w:t>
      </w:r>
      <w:proofErr w:type="spellEnd"/>
      <w:r>
        <w:rPr>
          <w:rFonts w:ascii="Times New Roman" w:hAnsi="Times New Roman"/>
          <w:sz w:val="20"/>
          <w:szCs w:val="20"/>
        </w:rPr>
        <w:t xml:space="preserve">, Romero and </w:t>
      </w:r>
      <w:proofErr w:type="spellStart"/>
      <w:r>
        <w:rPr>
          <w:rFonts w:ascii="Times New Roman" w:hAnsi="Times New Roman"/>
          <w:sz w:val="20"/>
          <w:szCs w:val="20"/>
        </w:rPr>
        <w:t>Monsalve</w:t>
      </w:r>
      <w:proofErr w:type="spellEnd"/>
      <w:r>
        <w:rPr>
          <w:rFonts w:ascii="Times New Roman" w:hAnsi="Times New Roman"/>
          <w:sz w:val="20"/>
          <w:szCs w:val="20"/>
        </w:rPr>
        <w:t xml:space="preserve"> (2013)</w:t>
      </w:r>
      <w:r w:rsidR="00C55BD6">
        <w:rPr>
          <w:rFonts w:ascii="Times New Roman" w:hAnsi="Times New Roman"/>
          <w:sz w:val="20"/>
          <w:szCs w:val="20"/>
        </w:rPr>
        <w:t>.</w:t>
      </w:r>
    </w:p>
  </w:footnote>
  <w:footnote w:id="13">
    <w:p w:rsidR="00EC5CF4" w:rsidRPr="00EC5CF4" w:rsidRDefault="00EC5CF4">
      <w:pPr>
        <w:pStyle w:val="FootnoteText"/>
      </w:pPr>
      <w:r>
        <w:rPr>
          <w:rStyle w:val="FootnoteReference"/>
        </w:rPr>
        <w:footnoteRef/>
      </w:r>
      <w:r>
        <w:t xml:space="preserve"> </w:t>
      </w:r>
      <w:r w:rsidRPr="00C94081">
        <w:rPr>
          <w:rFonts w:ascii="Times New Roman" w:hAnsi="Times New Roman"/>
          <w:sz w:val="20"/>
          <w:szCs w:val="20"/>
        </w:rPr>
        <w:t xml:space="preserve">Lafuente, </w:t>
      </w:r>
      <w:r>
        <w:rPr>
          <w:rFonts w:ascii="Times New Roman" w:hAnsi="Times New Roman"/>
          <w:sz w:val="20"/>
          <w:szCs w:val="20"/>
        </w:rPr>
        <w:t>(</w:t>
      </w:r>
      <w:r w:rsidRPr="00C94081">
        <w:rPr>
          <w:rFonts w:ascii="Times New Roman" w:hAnsi="Times New Roman"/>
          <w:sz w:val="20"/>
          <w:szCs w:val="20"/>
        </w:rPr>
        <w:t>2013</w:t>
      </w:r>
      <w:r>
        <w:rPr>
          <w:rFonts w:ascii="Times New Roman" w:hAnsi="Times New Roman"/>
          <w:sz w:val="20"/>
          <w:szCs w:val="20"/>
        </w:rPr>
        <w:t>), finds that Belize reduced the workforce in 9%</w:t>
      </w:r>
      <w:r w:rsidR="00C55BD6">
        <w:rPr>
          <w:rFonts w:ascii="Times New Roman" w:hAnsi="Times New Roman"/>
          <w:sz w:val="20"/>
          <w:szCs w:val="20"/>
        </w:rPr>
        <w:t xml:space="preserve"> </w:t>
      </w:r>
      <w:r w:rsidR="00AF57D0">
        <w:rPr>
          <w:rFonts w:ascii="Times New Roman" w:hAnsi="Times New Roman"/>
          <w:sz w:val="20"/>
          <w:szCs w:val="20"/>
        </w:rPr>
        <w:t xml:space="preserve">in </w:t>
      </w:r>
      <w:r w:rsidR="00C55BD6">
        <w:rPr>
          <w:rFonts w:ascii="Times New Roman" w:hAnsi="Times New Roman"/>
          <w:sz w:val="20"/>
          <w:szCs w:val="20"/>
        </w:rPr>
        <w:t>the decade of the 90.</w:t>
      </w:r>
    </w:p>
  </w:footnote>
  <w:footnote w:id="14">
    <w:p w:rsidR="0002333F" w:rsidRPr="0002333F" w:rsidRDefault="0002333F">
      <w:pPr>
        <w:pStyle w:val="FootnoteText"/>
        <w:rPr>
          <w:lang w:val="en-US"/>
        </w:rPr>
      </w:pPr>
      <w:r>
        <w:rPr>
          <w:rStyle w:val="FootnoteReference"/>
        </w:rPr>
        <w:footnoteRef/>
      </w:r>
      <w:r w:rsidRPr="0002333F">
        <w:rPr>
          <w:lang w:val="en-US"/>
        </w:rPr>
        <w:t xml:space="preserve"> </w:t>
      </w:r>
      <w:r w:rsidRPr="0002333F">
        <w:rPr>
          <w:rFonts w:ascii="Times New Roman" w:hAnsi="Times New Roman"/>
          <w:sz w:val="20"/>
          <w:szCs w:val="20"/>
          <w:lang w:val="en-US"/>
        </w:rPr>
        <w:t xml:space="preserve">Based on sensibility analysis the social IRR </w:t>
      </w:r>
      <w:r w:rsidR="00862306">
        <w:rPr>
          <w:rFonts w:ascii="Times New Roman" w:hAnsi="Times New Roman"/>
          <w:sz w:val="20"/>
          <w:szCs w:val="20"/>
          <w:lang w:val="en-US"/>
        </w:rPr>
        <w:t xml:space="preserve">is </w:t>
      </w:r>
      <w:r w:rsidR="00C30523">
        <w:rPr>
          <w:rFonts w:ascii="Times New Roman" w:hAnsi="Times New Roman"/>
          <w:sz w:val="20"/>
          <w:szCs w:val="20"/>
          <w:lang w:val="en-US"/>
        </w:rPr>
        <w:t>28</w:t>
      </w:r>
      <w:r>
        <w:rPr>
          <w:rFonts w:ascii="Times New Roman" w:hAnsi="Times New Roman"/>
          <w:sz w:val="20"/>
          <w:szCs w:val="20"/>
          <w:lang w:val="en-US"/>
        </w:rPr>
        <w:t>% for the HRM subcomponent</w:t>
      </w:r>
      <w:r w:rsidR="00862306">
        <w:rPr>
          <w:rFonts w:ascii="Times New Roman" w:hAnsi="Times New Roman"/>
          <w:sz w:val="20"/>
          <w:szCs w:val="20"/>
          <w:lang w:val="en-US"/>
        </w:rPr>
        <w:t xml:space="preserve"> under this assumption</w:t>
      </w:r>
      <w:r>
        <w:rPr>
          <w:rFonts w:ascii="Times New Roman" w:hAnsi="Times New Roman"/>
          <w:sz w:val="20"/>
          <w:szCs w:val="20"/>
          <w:lang w:val="en-US"/>
        </w:rPr>
        <w:t xml:space="preserve">. The IRR decreases to </w:t>
      </w:r>
      <w:r w:rsidR="00C30523">
        <w:rPr>
          <w:rFonts w:ascii="Times New Roman" w:hAnsi="Times New Roman"/>
          <w:sz w:val="20"/>
          <w:szCs w:val="20"/>
          <w:lang w:val="en-US"/>
        </w:rPr>
        <w:t>20</w:t>
      </w:r>
      <w:r w:rsidR="00862306">
        <w:rPr>
          <w:rFonts w:ascii="Times New Roman" w:hAnsi="Times New Roman"/>
          <w:sz w:val="20"/>
          <w:szCs w:val="20"/>
          <w:lang w:val="en-US"/>
        </w:rPr>
        <w:t>% if we</w:t>
      </w:r>
      <w:r w:rsidR="00C30523">
        <w:rPr>
          <w:rFonts w:ascii="Times New Roman" w:hAnsi="Times New Roman"/>
          <w:sz w:val="20"/>
          <w:szCs w:val="20"/>
          <w:lang w:val="en-US"/>
        </w:rPr>
        <w:t xml:space="preserve"> assumed a rate of saving of 0,2% (where 0,1</w:t>
      </w:r>
      <w:r w:rsidR="00862306">
        <w:rPr>
          <w:rFonts w:ascii="Times New Roman" w:hAnsi="Times New Roman"/>
          <w:sz w:val="20"/>
          <w:szCs w:val="20"/>
          <w:lang w:val="en-US"/>
        </w:rPr>
        <w:t>% is the minimum level at</w:t>
      </w:r>
      <w:r w:rsidR="0060002F">
        <w:rPr>
          <w:rFonts w:ascii="Times New Roman" w:hAnsi="Times New Roman"/>
          <w:sz w:val="20"/>
          <w:szCs w:val="20"/>
          <w:lang w:val="en-US"/>
        </w:rPr>
        <w:t xml:space="preserve"> which</w:t>
      </w:r>
      <w:r w:rsidR="00862306">
        <w:rPr>
          <w:rFonts w:ascii="Times New Roman" w:hAnsi="Times New Roman"/>
          <w:sz w:val="20"/>
          <w:szCs w:val="20"/>
          <w:lang w:val="en-US"/>
        </w:rPr>
        <w:t xml:space="preserve"> the subcomponent is profitable).</w:t>
      </w:r>
    </w:p>
  </w:footnote>
  <w:footnote w:id="15">
    <w:p w:rsidR="002C053F" w:rsidRPr="002C053F" w:rsidRDefault="002C053F">
      <w:pPr>
        <w:pStyle w:val="FootnoteText"/>
        <w:rPr>
          <w:lang w:val="es-ES"/>
        </w:rPr>
      </w:pPr>
      <w:r>
        <w:rPr>
          <w:rStyle w:val="FootnoteReference"/>
        </w:rPr>
        <w:footnoteRef/>
      </w:r>
      <w:r w:rsidRPr="002C053F">
        <w:rPr>
          <w:lang w:val="es-ES"/>
        </w:rPr>
        <w:t xml:space="preserve"> </w:t>
      </w:r>
      <w:proofErr w:type="spellStart"/>
      <w:r w:rsidRPr="002C053F">
        <w:rPr>
          <w:rFonts w:ascii="Times New Roman" w:hAnsi="Times New Roman"/>
          <w:sz w:val="20"/>
          <w:szCs w:val="20"/>
          <w:lang w:val="es-ES"/>
        </w:rPr>
        <w:t>See</w:t>
      </w:r>
      <w:proofErr w:type="spellEnd"/>
      <w:r>
        <w:rPr>
          <w:rFonts w:ascii="Times New Roman" w:hAnsi="Times New Roman"/>
          <w:sz w:val="20"/>
          <w:szCs w:val="20"/>
          <w:lang w:val="es-ES"/>
        </w:rPr>
        <w:t xml:space="preserve"> “Mejoramiento del sistema nacional de control para una gestión eficaz e íntegra” </w:t>
      </w:r>
      <w:r w:rsidR="00500C20">
        <w:rPr>
          <w:rFonts w:ascii="Times New Roman" w:hAnsi="Times New Roman"/>
          <w:sz w:val="20"/>
          <w:szCs w:val="20"/>
          <w:lang w:val="es-ES"/>
        </w:rPr>
        <w:t>-</w:t>
      </w:r>
      <w:r w:rsidR="002A4253">
        <w:rPr>
          <w:rFonts w:ascii="Times New Roman" w:hAnsi="Times New Roman"/>
          <w:sz w:val="20"/>
          <w:szCs w:val="20"/>
          <w:lang w:val="es-ES"/>
        </w:rPr>
        <w:t>C</w:t>
      </w:r>
      <w:r>
        <w:rPr>
          <w:rFonts w:ascii="Times New Roman" w:hAnsi="Times New Roman"/>
          <w:sz w:val="20"/>
          <w:szCs w:val="20"/>
          <w:lang w:val="es-ES"/>
        </w:rPr>
        <w:t>ontraloría General de la República (2013)</w:t>
      </w:r>
      <w:r w:rsidR="00A363DB">
        <w:rPr>
          <w:rFonts w:ascii="Times New Roman" w:hAnsi="Times New Roman"/>
          <w:sz w:val="20"/>
          <w:szCs w:val="20"/>
          <w:lang w:val="es-ES"/>
        </w:rPr>
        <w:t>.</w:t>
      </w:r>
    </w:p>
  </w:footnote>
  <w:footnote w:id="16">
    <w:p w:rsidR="00A363DB" w:rsidRPr="00165E4D" w:rsidRDefault="00A363DB">
      <w:pPr>
        <w:pStyle w:val="FootnoteText"/>
        <w:rPr>
          <w:lang w:val="en-US"/>
        </w:rPr>
      </w:pPr>
      <w:r>
        <w:rPr>
          <w:rStyle w:val="FootnoteReference"/>
        </w:rPr>
        <w:footnoteRef/>
      </w:r>
      <w:r>
        <w:t xml:space="preserve"> </w:t>
      </w:r>
      <w:r w:rsidRPr="00165E4D">
        <w:rPr>
          <w:rFonts w:ascii="Times New Roman" w:hAnsi="Times New Roman"/>
          <w:sz w:val="20"/>
          <w:szCs w:val="20"/>
          <w:lang w:val="en-US"/>
        </w:rPr>
        <w:t>See Singer et al. (</w:t>
      </w:r>
      <w:r w:rsidR="005F3A56" w:rsidRPr="00165E4D">
        <w:rPr>
          <w:rFonts w:ascii="Times New Roman" w:hAnsi="Times New Roman"/>
          <w:sz w:val="20"/>
          <w:szCs w:val="20"/>
          <w:lang w:val="en-US"/>
        </w:rPr>
        <w:t>2009)</w:t>
      </w:r>
      <w:r w:rsidR="005F3A56">
        <w:rPr>
          <w:rFonts w:ascii="Times New Roman" w:hAnsi="Times New Roman"/>
          <w:sz w:val="20"/>
          <w:szCs w:val="20"/>
          <w:lang w:val="en-US"/>
        </w:rPr>
        <w:t xml:space="preserve"> and Auriol (2006)</w:t>
      </w:r>
      <w:r w:rsidRPr="00165E4D">
        <w:rPr>
          <w:rFonts w:ascii="Times New Roman" w:hAnsi="Times New Roman"/>
          <w:sz w:val="20"/>
          <w:szCs w:val="20"/>
          <w:lang w:val="en-US"/>
        </w:rPr>
        <w:t xml:space="preserve"> for less </w:t>
      </w:r>
      <w:r w:rsidRPr="00A363DB">
        <w:rPr>
          <w:rFonts w:ascii="Times New Roman" w:hAnsi="Times New Roman"/>
          <w:sz w:val="20"/>
          <w:szCs w:val="20"/>
          <w:lang w:val="en-US"/>
        </w:rPr>
        <w:t>conservative</w:t>
      </w:r>
      <w:r w:rsidRPr="00165E4D">
        <w:rPr>
          <w:rFonts w:ascii="Times New Roman" w:hAnsi="Times New Roman"/>
          <w:sz w:val="20"/>
          <w:szCs w:val="20"/>
          <w:lang w:val="en-US"/>
        </w:rPr>
        <w:t xml:space="preserve"> results.</w:t>
      </w:r>
    </w:p>
  </w:footnote>
  <w:footnote w:id="17">
    <w:p w:rsidR="00DC0320" w:rsidRPr="00C94081" w:rsidRDefault="00F23196" w:rsidP="00DC0320">
      <w:pPr>
        <w:pStyle w:val="FootnoteText"/>
        <w:rPr>
          <w:rFonts w:ascii="Times New Roman" w:hAnsi="Times New Roman"/>
          <w:lang w:val="en-US"/>
        </w:rPr>
      </w:pPr>
      <w:r w:rsidRPr="00C94081">
        <w:rPr>
          <w:rStyle w:val="FootnoteReference"/>
          <w:rFonts w:ascii="Times New Roman" w:hAnsi="Times New Roman"/>
        </w:rPr>
        <w:footnoteRef/>
      </w:r>
      <w:r w:rsidRPr="00C94081">
        <w:rPr>
          <w:rFonts w:ascii="Times New Roman" w:hAnsi="Times New Roman"/>
        </w:rPr>
        <w:t xml:space="preserve"> </w:t>
      </w:r>
      <w:r w:rsidRPr="00C94081">
        <w:rPr>
          <w:rFonts w:ascii="Times New Roman" w:hAnsi="Times New Roman"/>
          <w:lang w:val="en-US"/>
        </w:rPr>
        <w:t xml:space="preserve">Steven </w:t>
      </w:r>
      <w:proofErr w:type="spellStart"/>
      <w:r w:rsidRPr="00C94081">
        <w:rPr>
          <w:rFonts w:ascii="Times New Roman" w:hAnsi="Times New Roman"/>
          <w:lang w:val="en-US"/>
        </w:rPr>
        <w:t>Lungley</w:t>
      </w:r>
      <w:proofErr w:type="spellEnd"/>
      <w:r w:rsidRPr="00C94081">
        <w:rPr>
          <w:rFonts w:ascii="Times New Roman" w:hAnsi="Times New Roman"/>
          <w:lang w:val="en-US"/>
        </w:rPr>
        <w:t xml:space="preserve"> (2013).</w:t>
      </w:r>
      <w:r w:rsidR="00DC0320" w:rsidRPr="00C94081">
        <w:rPr>
          <w:rFonts w:ascii="Times New Roman" w:eastAsiaTheme="minorHAnsi" w:hAnsi="Times New Roman"/>
          <w:color w:val="000000"/>
          <w:lang w:val="en-US"/>
        </w:rPr>
        <w:t xml:space="preserve"> </w:t>
      </w:r>
      <w:r w:rsidR="00DC0320" w:rsidRPr="00C94081">
        <w:rPr>
          <w:rFonts w:ascii="Times New Roman" w:hAnsi="Times New Roman"/>
          <w:lang w:val="en-US"/>
        </w:rPr>
        <w:t xml:space="preserve"> </w:t>
      </w:r>
      <w:r w:rsidR="00DC0320" w:rsidRPr="00C94081">
        <w:rPr>
          <w:rFonts w:ascii="Times New Roman" w:hAnsi="Times New Roman"/>
          <w:b/>
          <w:bCs/>
          <w:lang w:val="en-US"/>
        </w:rPr>
        <w:t xml:space="preserve">Review of the Government of Jamaica’s plans to procure and install a </w:t>
      </w:r>
    </w:p>
    <w:p w:rsidR="00F23196" w:rsidRPr="00C94081" w:rsidRDefault="00DC0320" w:rsidP="00DC0320">
      <w:pPr>
        <w:pStyle w:val="FootnoteText"/>
        <w:rPr>
          <w:rFonts w:ascii="Times New Roman" w:hAnsi="Times New Roman"/>
          <w:lang w:val="en-US"/>
        </w:rPr>
      </w:pPr>
      <w:r w:rsidRPr="00C94081">
        <w:rPr>
          <w:rFonts w:ascii="Times New Roman" w:hAnsi="Times New Roman"/>
          <w:b/>
          <w:bCs/>
          <w:lang w:val="en-US"/>
        </w:rPr>
        <w:t>Human Capital Management Enterprise Solution</w:t>
      </w:r>
    </w:p>
  </w:footnote>
  <w:footnote w:id="18">
    <w:p w:rsidR="00DC0320" w:rsidRPr="00C94081" w:rsidRDefault="00DC0320" w:rsidP="00DC0320">
      <w:pPr>
        <w:pStyle w:val="FootnoteText"/>
        <w:rPr>
          <w:lang w:val="en-US"/>
        </w:rPr>
      </w:pPr>
      <w:r w:rsidRPr="00C94081">
        <w:rPr>
          <w:rStyle w:val="FootnoteReference"/>
          <w:rFonts w:ascii="Times New Roman" w:hAnsi="Times New Roman"/>
        </w:rPr>
        <w:footnoteRef/>
      </w:r>
      <w:r w:rsidRPr="00C94081">
        <w:rPr>
          <w:rFonts w:ascii="Times New Roman" w:hAnsi="Times New Roman"/>
        </w:rPr>
        <w:t xml:space="preserve"> </w:t>
      </w:r>
      <w:r w:rsidRPr="00C94081">
        <w:rPr>
          <w:rFonts w:ascii="Times New Roman" w:hAnsi="Times New Roman"/>
          <w:lang w:val="en-US"/>
        </w:rPr>
        <w:t xml:space="preserve">Steven </w:t>
      </w:r>
      <w:proofErr w:type="spellStart"/>
      <w:r w:rsidRPr="00C94081">
        <w:rPr>
          <w:rFonts w:ascii="Times New Roman" w:hAnsi="Times New Roman"/>
          <w:lang w:val="en-US"/>
        </w:rPr>
        <w:t>Lungley</w:t>
      </w:r>
      <w:proofErr w:type="spellEnd"/>
      <w:r w:rsidRPr="00C94081">
        <w:rPr>
          <w:rFonts w:ascii="Times New Roman" w:hAnsi="Times New Roman"/>
          <w:lang w:val="en-US"/>
        </w:rPr>
        <w:t xml:space="preserve"> (2013).</w:t>
      </w:r>
      <w:r w:rsidRPr="00C94081">
        <w:rPr>
          <w:rFonts w:ascii="Times New Roman" w:hAnsi="Times New Roman"/>
          <w:b/>
          <w:bCs/>
          <w:lang w:val="en-US"/>
        </w:rPr>
        <w:t xml:space="preserve"> Review of the Government of Jamaica’s plans to procure and install a Human Capital Management Enterpris</w:t>
      </w:r>
      <w:r w:rsidRPr="00DC0320">
        <w:rPr>
          <w:b/>
          <w:bCs/>
          <w:lang w:val="en-US"/>
        </w:rPr>
        <w:t>e Solution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58B"/>
    <w:multiLevelType w:val="multilevel"/>
    <w:tmpl w:val="05003B36"/>
    <w:lvl w:ilvl="0">
      <w:start w:val="2"/>
      <w:numFmt w:val="upperRoman"/>
      <w:lvlText w:val="%1."/>
      <w:lvlJc w:val="left"/>
      <w:pPr>
        <w:ind w:left="360" w:hanging="360"/>
      </w:pPr>
      <w:rPr>
        <w:rFonts w:hint="default"/>
      </w:rPr>
    </w:lvl>
    <w:lvl w:ilvl="1">
      <w:start w:val="29"/>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nsid w:val="06410C7C"/>
    <w:multiLevelType w:val="multilevel"/>
    <w:tmpl w:val="963CF36C"/>
    <w:lvl w:ilvl="0">
      <w:start w:val="2"/>
      <w:numFmt w:val="upperRoman"/>
      <w:lvlText w:val="%1."/>
      <w:lvlJc w:val="left"/>
      <w:pPr>
        <w:ind w:left="360" w:hanging="360"/>
      </w:pPr>
      <w:rPr>
        <w:rFonts w:hint="default"/>
      </w:rPr>
    </w:lvl>
    <w:lvl w:ilvl="1">
      <w:start w:val="30"/>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092D46FD"/>
    <w:multiLevelType w:val="hybridMultilevel"/>
    <w:tmpl w:val="139A7F22"/>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nsid w:val="0DAB7FC9"/>
    <w:multiLevelType w:val="multilevel"/>
    <w:tmpl w:val="FBE4DBC4"/>
    <w:lvl w:ilvl="0">
      <w:start w:val="1"/>
      <w:numFmt w:val="upperRoman"/>
      <w:pStyle w:val="Chapter"/>
      <w:lvlText w:val="%1."/>
      <w:lvlJc w:val="center"/>
      <w:pPr>
        <w:tabs>
          <w:tab w:val="num" w:pos="648"/>
        </w:tabs>
        <w:ind w:left="0" w:firstLine="288"/>
      </w:pPr>
      <w:rPr>
        <w:rFonts w:hint="default"/>
        <w:b/>
        <w:i w:val="0"/>
      </w:rPr>
    </w:lvl>
    <w:lvl w:ilvl="1">
      <w:start w:val="3"/>
      <w:numFmt w:val="decimal"/>
      <w:pStyle w:val="Paragraph"/>
      <w:isLgl/>
      <w:lvlText w:val="%1.%2"/>
      <w:lvlJc w:val="left"/>
      <w:pPr>
        <w:tabs>
          <w:tab w:val="num" w:pos="720"/>
        </w:tabs>
        <w:ind w:left="720" w:hanging="720"/>
      </w:pPr>
      <w:rPr>
        <w:rFonts w:hint="default"/>
        <w:b w:val="0"/>
        <w:color w:val="auto"/>
        <w:lang w:val="en-GB"/>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233B3D47"/>
    <w:multiLevelType w:val="multilevel"/>
    <w:tmpl w:val="DFB238FC"/>
    <w:lvl w:ilvl="0">
      <w:start w:val="3"/>
      <w:numFmt w:val="upperRoman"/>
      <w:lvlText w:val="%1."/>
      <w:lvlJc w:val="left"/>
      <w:pPr>
        <w:ind w:left="360" w:hanging="360"/>
      </w:pPr>
      <w:rPr>
        <w:rFonts w:hint="default"/>
      </w:rPr>
    </w:lvl>
    <w:lvl w:ilvl="1">
      <w:start w:val="2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nsid w:val="251A134E"/>
    <w:multiLevelType w:val="hybridMultilevel"/>
    <w:tmpl w:val="DB70D110"/>
    <w:lvl w:ilvl="0" w:tplc="3A4A7FE4">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nsid w:val="2CB73693"/>
    <w:multiLevelType w:val="hybridMultilevel"/>
    <w:tmpl w:val="FC28273E"/>
    <w:lvl w:ilvl="0" w:tplc="9FBC6B9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E6527F"/>
    <w:multiLevelType w:val="hybridMultilevel"/>
    <w:tmpl w:val="2DAC9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F30217"/>
    <w:multiLevelType w:val="hybridMultilevel"/>
    <w:tmpl w:val="AA2A9F56"/>
    <w:lvl w:ilvl="0" w:tplc="0C0A0001">
      <w:start w:val="1"/>
      <w:numFmt w:val="bullet"/>
      <w:lvlText w:val=""/>
      <w:lvlJc w:val="left"/>
      <w:pPr>
        <w:ind w:left="785" w:hanging="360"/>
      </w:pPr>
      <w:rPr>
        <w:rFonts w:ascii="Symbol" w:hAnsi="Symbol"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11">
    <w:nsid w:val="32523458"/>
    <w:multiLevelType w:val="multilevel"/>
    <w:tmpl w:val="5AE8D1D0"/>
    <w:lvl w:ilvl="0">
      <w:start w:val="2"/>
      <w:numFmt w:val="upperRoman"/>
      <w:lvlText w:val="%1."/>
      <w:lvlJc w:val="left"/>
      <w:pPr>
        <w:ind w:left="360" w:hanging="360"/>
      </w:pPr>
      <w:rPr>
        <w:rFonts w:hint="default"/>
      </w:rPr>
    </w:lvl>
    <w:lvl w:ilvl="1">
      <w:start w:val="1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nsid w:val="399B3534"/>
    <w:multiLevelType w:val="hybridMultilevel"/>
    <w:tmpl w:val="88BC2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855344"/>
    <w:multiLevelType w:val="hybridMultilevel"/>
    <w:tmpl w:val="4790C17C"/>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4">
    <w:nsid w:val="3FAA1FF4"/>
    <w:multiLevelType w:val="hybridMultilevel"/>
    <w:tmpl w:val="05CCD4A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4077347"/>
    <w:multiLevelType w:val="multilevel"/>
    <w:tmpl w:val="59F8F138"/>
    <w:lvl w:ilvl="0">
      <w:start w:val="1"/>
      <w:numFmt w:val="upperRoman"/>
      <w:lvlText w:val="%1."/>
      <w:lvlJc w:val="left"/>
      <w:pPr>
        <w:ind w:left="360" w:hanging="360"/>
      </w:pPr>
      <w:rPr>
        <w:rFonts w:hint="default"/>
      </w:rPr>
    </w:lvl>
    <w:lvl w:ilvl="1">
      <w:start w:val="39"/>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8">
    <w:nsid w:val="4E892846"/>
    <w:multiLevelType w:val="hybridMultilevel"/>
    <w:tmpl w:val="F9CED9EA"/>
    <w:lvl w:ilvl="0" w:tplc="81062F44">
      <w:start w:val="1"/>
      <w:numFmt w:val="upperRoman"/>
      <w:lvlText w:val="%1."/>
      <w:lvlJc w:val="left"/>
      <w:pPr>
        <w:ind w:left="1429" w:hanging="720"/>
      </w:pPr>
      <w:rPr>
        <w:rFonts w:hint="default"/>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19">
    <w:nsid w:val="515915DF"/>
    <w:multiLevelType w:val="multilevel"/>
    <w:tmpl w:val="C082E52A"/>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nsid w:val="53164ADB"/>
    <w:multiLevelType w:val="hybridMultilevel"/>
    <w:tmpl w:val="8AE8743C"/>
    <w:lvl w:ilvl="0" w:tplc="B426A0DC">
      <w:start w:val="1"/>
      <w:numFmt w:val="upperRoman"/>
      <w:lvlText w:val="%1-"/>
      <w:lvlJc w:val="left"/>
      <w:pPr>
        <w:ind w:left="1222" w:hanging="720"/>
      </w:pPr>
      <w:rPr>
        <w:rFonts w:hint="default"/>
      </w:rPr>
    </w:lvl>
    <w:lvl w:ilvl="1" w:tplc="2C0A0019" w:tentative="1">
      <w:start w:val="1"/>
      <w:numFmt w:val="lowerLetter"/>
      <w:lvlText w:val="%2."/>
      <w:lvlJc w:val="left"/>
      <w:pPr>
        <w:ind w:left="1582" w:hanging="360"/>
      </w:pPr>
    </w:lvl>
    <w:lvl w:ilvl="2" w:tplc="2C0A001B" w:tentative="1">
      <w:start w:val="1"/>
      <w:numFmt w:val="lowerRoman"/>
      <w:lvlText w:val="%3."/>
      <w:lvlJc w:val="right"/>
      <w:pPr>
        <w:ind w:left="2302" w:hanging="180"/>
      </w:pPr>
    </w:lvl>
    <w:lvl w:ilvl="3" w:tplc="2C0A000F" w:tentative="1">
      <w:start w:val="1"/>
      <w:numFmt w:val="decimal"/>
      <w:lvlText w:val="%4."/>
      <w:lvlJc w:val="left"/>
      <w:pPr>
        <w:ind w:left="3022" w:hanging="360"/>
      </w:pPr>
    </w:lvl>
    <w:lvl w:ilvl="4" w:tplc="2C0A0019" w:tentative="1">
      <w:start w:val="1"/>
      <w:numFmt w:val="lowerLetter"/>
      <w:lvlText w:val="%5."/>
      <w:lvlJc w:val="left"/>
      <w:pPr>
        <w:ind w:left="3742" w:hanging="360"/>
      </w:pPr>
    </w:lvl>
    <w:lvl w:ilvl="5" w:tplc="2C0A001B" w:tentative="1">
      <w:start w:val="1"/>
      <w:numFmt w:val="lowerRoman"/>
      <w:lvlText w:val="%6."/>
      <w:lvlJc w:val="right"/>
      <w:pPr>
        <w:ind w:left="4462" w:hanging="180"/>
      </w:pPr>
    </w:lvl>
    <w:lvl w:ilvl="6" w:tplc="2C0A000F" w:tentative="1">
      <w:start w:val="1"/>
      <w:numFmt w:val="decimal"/>
      <w:lvlText w:val="%7."/>
      <w:lvlJc w:val="left"/>
      <w:pPr>
        <w:ind w:left="5182" w:hanging="360"/>
      </w:pPr>
    </w:lvl>
    <w:lvl w:ilvl="7" w:tplc="2C0A0019" w:tentative="1">
      <w:start w:val="1"/>
      <w:numFmt w:val="lowerLetter"/>
      <w:lvlText w:val="%8."/>
      <w:lvlJc w:val="left"/>
      <w:pPr>
        <w:ind w:left="5902" w:hanging="360"/>
      </w:pPr>
    </w:lvl>
    <w:lvl w:ilvl="8" w:tplc="2C0A001B" w:tentative="1">
      <w:start w:val="1"/>
      <w:numFmt w:val="lowerRoman"/>
      <w:lvlText w:val="%9."/>
      <w:lvlJc w:val="right"/>
      <w:pPr>
        <w:ind w:left="6622" w:hanging="180"/>
      </w:pPr>
    </w:lvl>
  </w:abstractNum>
  <w:abstractNum w:abstractNumId="21">
    <w:nsid w:val="5B644567"/>
    <w:multiLevelType w:val="multilevel"/>
    <w:tmpl w:val="F68CE6CE"/>
    <w:lvl w:ilvl="0">
      <w:start w:val="2"/>
      <w:numFmt w:val="upperRoman"/>
      <w:lvlText w:val="%1."/>
      <w:lvlJc w:val="left"/>
      <w:pPr>
        <w:ind w:left="360" w:hanging="360"/>
      </w:pPr>
      <w:rPr>
        <w:rFonts w:hint="default"/>
      </w:rPr>
    </w:lvl>
    <w:lvl w:ilvl="1">
      <w:start w:val="10"/>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nsid w:val="6316066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nsid w:val="66B32351"/>
    <w:multiLevelType w:val="hybridMultilevel"/>
    <w:tmpl w:val="C178AF70"/>
    <w:lvl w:ilvl="0" w:tplc="C83C1D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73B0594"/>
    <w:multiLevelType w:val="hybridMultilevel"/>
    <w:tmpl w:val="673E1B1A"/>
    <w:lvl w:ilvl="0" w:tplc="52F0428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7E34CED"/>
    <w:multiLevelType w:val="hybridMultilevel"/>
    <w:tmpl w:val="E1E8079C"/>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26">
    <w:nsid w:val="6F031FC0"/>
    <w:multiLevelType w:val="multilevel"/>
    <w:tmpl w:val="97D2EBFA"/>
    <w:lvl w:ilvl="0">
      <w:start w:val="2"/>
      <w:numFmt w:val="upperRoman"/>
      <w:lvlText w:val="%1."/>
      <w:lvlJc w:val="left"/>
      <w:pPr>
        <w:ind w:left="360" w:hanging="360"/>
      </w:pPr>
      <w:rPr>
        <w:rFonts w:hint="default"/>
      </w:rPr>
    </w:lvl>
    <w:lvl w:ilvl="1">
      <w:start w:val="39"/>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19"/>
  </w:num>
  <w:num w:numId="2">
    <w:abstractNumId w:val="12"/>
  </w:num>
  <w:num w:numId="3">
    <w:abstractNumId w:val="9"/>
  </w:num>
  <w:num w:numId="4">
    <w:abstractNumId w:val="3"/>
  </w:num>
  <w:num w:numId="5">
    <w:abstractNumId w:val="7"/>
  </w:num>
  <w:num w:numId="6">
    <w:abstractNumId w:val="11"/>
  </w:num>
  <w:num w:numId="7">
    <w:abstractNumId w:val="2"/>
  </w:num>
  <w:num w:numId="8">
    <w:abstractNumId w:val="21"/>
  </w:num>
  <w:num w:numId="9">
    <w:abstractNumId w:val="5"/>
  </w:num>
  <w:num w:numId="10">
    <w:abstractNumId w:val="4"/>
  </w:num>
  <w:num w:numId="11">
    <w:abstractNumId w:val="10"/>
  </w:num>
  <w:num w:numId="12">
    <w:abstractNumId w:val="22"/>
  </w:num>
  <w:num w:numId="13">
    <w:abstractNumId w:val="16"/>
  </w:num>
  <w:num w:numId="14">
    <w:abstractNumId w:val="13"/>
  </w:num>
  <w:num w:numId="15">
    <w:abstractNumId w:val="20"/>
  </w:num>
  <w:num w:numId="16">
    <w:abstractNumId w:val="14"/>
  </w:num>
  <w:num w:numId="17">
    <w:abstractNumId w:val="6"/>
  </w:num>
  <w:num w:numId="18">
    <w:abstractNumId w:val="18"/>
  </w:num>
  <w:num w:numId="19">
    <w:abstractNumId w:val="17"/>
  </w:num>
  <w:num w:numId="20">
    <w:abstractNumId w:val="25"/>
  </w:num>
  <w:num w:numId="21">
    <w:abstractNumId w:val="26"/>
  </w:num>
  <w:num w:numId="22">
    <w:abstractNumId w:val="0"/>
  </w:num>
  <w:num w:numId="23">
    <w:abstractNumId w:val="1"/>
  </w:num>
  <w:num w:numId="24">
    <w:abstractNumId w:val="15"/>
  </w:num>
  <w:num w:numId="2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pt-BR"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JM" w:vendorID="64" w:dllVersion="131078" w:nlCheck="1" w:checkStyle="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A4B"/>
    <w:rsid w:val="0002333F"/>
    <w:rsid w:val="00037895"/>
    <w:rsid w:val="00053D65"/>
    <w:rsid w:val="000713C4"/>
    <w:rsid w:val="000858AC"/>
    <w:rsid w:val="00086CD8"/>
    <w:rsid w:val="000D00D4"/>
    <w:rsid w:val="000F549B"/>
    <w:rsid w:val="000F72A9"/>
    <w:rsid w:val="00112834"/>
    <w:rsid w:val="00122A4F"/>
    <w:rsid w:val="0013171C"/>
    <w:rsid w:val="00133ADB"/>
    <w:rsid w:val="001549F4"/>
    <w:rsid w:val="00162905"/>
    <w:rsid w:val="00165E4D"/>
    <w:rsid w:val="00174622"/>
    <w:rsid w:val="00195936"/>
    <w:rsid w:val="001974CB"/>
    <w:rsid w:val="001D7D33"/>
    <w:rsid w:val="0021511C"/>
    <w:rsid w:val="002348A0"/>
    <w:rsid w:val="0029224E"/>
    <w:rsid w:val="002A127B"/>
    <w:rsid w:val="002A4253"/>
    <w:rsid w:val="002A569E"/>
    <w:rsid w:val="002C053F"/>
    <w:rsid w:val="002D1CF1"/>
    <w:rsid w:val="002F7E66"/>
    <w:rsid w:val="003408F5"/>
    <w:rsid w:val="003728B5"/>
    <w:rsid w:val="00390E2B"/>
    <w:rsid w:val="003B391A"/>
    <w:rsid w:val="003B75FC"/>
    <w:rsid w:val="00462C57"/>
    <w:rsid w:val="004944FF"/>
    <w:rsid w:val="004D2FB6"/>
    <w:rsid w:val="004D40AE"/>
    <w:rsid w:val="004D47E6"/>
    <w:rsid w:val="004E59DC"/>
    <w:rsid w:val="004F3AE4"/>
    <w:rsid w:val="004F75AD"/>
    <w:rsid w:val="00500C20"/>
    <w:rsid w:val="0050773D"/>
    <w:rsid w:val="005627B9"/>
    <w:rsid w:val="005653EF"/>
    <w:rsid w:val="005925CE"/>
    <w:rsid w:val="005B0114"/>
    <w:rsid w:val="005B2D42"/>
    <w:rsid w:val="005D5BEC"/>
    <w:rsid w:val="005F3A56"/>
    <w:rsid w:val="0060002F"/>
    <w:rsid w:val="00601B16"/>
    <w:rsid w:val="00607004"/>
    <w:rsid w:val="00612725"/>
    <w:rsid w:val="006430D0"/>
    <w:rsid w:val="006463E7"/>
    <w:rsid w:val="006502A5"/>
    <w:rsid w:val="006A7B6E"/>
    <w:rsid w:val="006D74F8"/>
    <w:rsid w:val="006E675D"/>
    <w:rsid w:val="006F10FC"/>
    <w:rsid w:val="006F1D5C"/>
    <w:rsid w:val="00733074"/>
    <w:rsid w:val="007539FE"/>
    <w:rsid w:val="007A5C80"/>
    <w:rsid w:val="007F0E4F"/>
    <w:rsid w:val="0080626A"/>
    <w:rsid w:val="008366EB"/>
    <w:rsid w:val="0084291A"/>
    <w:rsid w:val="00862306"/>
    <w:rsid w:val="00862DA2"/>
    <w:rsid w:val="00872842"/>
    <w:rsid w:val="0088252D"/>
    <w:rsid w:val="00897CB2"/>
    <w:rsid w:val="008A3778"/>
    <w:rsid w:val="008E32CF"/>
    <w:rsid w:val="008E5B0C"/>
    <w:rsid w:val="008F46BA"/>
    <w:rsid w:val="009236BA"/>
    <w:rsid w:val="00933B52"/>
    <w:rsid w:val="00955144"/>
    <w:rsid w:val="00960DF2"/>
    <w:rsid w:val="00962E8B"/>
    <w:rsid w:val="009838F6"/>
    <w:rsid w:val="009B4E04"/>
    <w:rsid w:val="009C2D7C"/>
    <w:rsid w:val="00A02B11"/>
    <w:rsid w:val="00A215CF"/>
    <w:rsid w:val="00A363DB"/>
    <w:rsid w:val="00A65D95"/>
    <w:rsid w:val="00A74288"/>
    <w:rsid w:val="00A85DDD"/>
    <w:rsid w:val="00AB7051"/>
    <w:rsid w:val="00AF57D0"/>
    <w:rsid w:val="00B07BDA"/>
    <w:rsid w:val="00B21C05"/>
    <w:rsid w:val="00B36A46"/>
    <w:rsid w:val="00B439ED"/>
    <w:rsid w:val="00B50682"/>
    <w:rsid w:val="00B540C1"/>
    <w:rsid w:val="00B661CD"/>
    <w:rsid w:val="00B7376B"/>
    <w:rsid w:val="00B751F2"/>
    <w:rsid w:val="00BA1C6A"/>
    <w:rsid w:val="00BB387C"/>
    <w:rsid w:val="00BD044F"/>
    <w:rsid w:val="00BD5046"/>
    <w:rsid w:val="00C141AD"/>
    <w:rsid w:val="00C203C2"/>
    <w:rsid w:val="00C30523"/>
    <w:rsid w:val="00C55BD6"/>
    <w:rsid w:val="00C62062"/>
    <w:rsid w:val="00C73C43"/>
    <w:rsid w:val="00C84224"/>
    <w:rsid w:val="00C84EC3"/>
    <w:rsid w:val="00C94081"/>
    <w:rsid w:val="00CA40D3"/>
    <w:rsid w:val="00CB36D5"/>
    <w:rsid w:val="00CC5801"/>
    <w:rsid w:val="00CC77D8"/>
    <w:rsid w:val="00CE1D83"/>
    <w:rsid w:val="00D12A7A"/>
    <w:rsid w:val="00D339B7"/>
    <w:rsid w:val="00D51BB8"/>
    <w:rsid w:val="00D54447"/>
    <w:rsid w:val="00D57DE6"/>
    <w:rsid w:val="00D65843"/>
    <w:rsid w:val="00D84DD6"/>
    <w:rsid w:val="00D94610"/>
    <w:rsid w:val="00DA5330"/>
    <w:rsid w:val="00DC0320"/>
    <w:rsid w:val="00DC620F"/>
    <w:rsid w:val="00DE3345"/>
    <w:rsid w:val="00E11121"/>
    <w:rsid w:val="00E4530D"/>
    <w:rsid w:val="00E46433"/>
    <w:rsid w:val="00E675ED"/>
    <w:rsid w:val="00E71A46"/>
    <w:rsid w:val="00E77DDF"/>
    <w:rsid w:val="00EC0D36"/>
    <w:rsid w:val="00EC1B83"/>
    <w:rsid w:val="00EC5CF4"/>
    <w:rsid w:val="00ED1DAA"/>
    <w:rsid w:val="00ED6CFA"/>
    <w:rsid w:val="00EF60EF"/>
    <w:rsid w:val="00F23196"/>
    <w:rsid w:val="00F265A8"/>
    <w:rsid w:val="00F35A4B"/>
    <w:rsid w:val="00F47E8E"/>
    <w:rsid w:val="00F535A5"/>
    <w:rsid w:val="00F607B5"/>
    <w:rsid w:val="00F60FE3"/>
    <w:rsid w:val="00F734D1"/>
    <w:rsid w:val="00F749EF"/>
    <w:rsid w:val="00F7538C"/>
    <w:rsid w:val="00FA18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30D"/>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E4530D"/>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E453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30D"/>
    <w:rPr>
      <w:rFonts w:ascii="Times New Roman" w:eastAsia="Times New Roman" w:hAnsi="Times New Roman" w:cs="Times New Roman"/>
      <w:b/>
      <w:bCs/>
      <w:sz w:val="28"/>
      <w:szCs w:val="28"/>
      <w:lang w:val="es-ES"/>
    </w:rPr>
  </w:style>
  <w:style w:type="character" w:customStyle="1" w:styleId="Heading2Char">
    <w:name w:val="Heading 2 Char"/>
    <w:basedOn w:val="DefaultParagraphFont"/>
    <w:link w:val="Heading2"/>
    <w:uiPriority w:val="9"/>
    <w:semiHidden/>
    <w:rsid w:val="00E4530D"/>
    <w:rPr>
      <w:rFonts w:asciiTheme="majorHAnsi" w:eastAsiaTheme="majorEastAsia" w:hAnsiTheme="majorHAnsi" w:cstheme="majorBidi"/>
      <w:b/>
      <w:bCs/>
      <w:color w:val="5B9BD5" w:themeColor="accent1"/>
      <w:sz w:val="26"/>
      <w:szCs w:val="26"/>
      <w:lang w:val="en-US"/>
    </w:rPr>
  </w:style>
  <w:style w:type="paragraph" w:styleId="ListParagraph">
    <w:name w:val="List Paragraph"/>
    <w:basedOn w:val="Normal"/>
    <w:uiPriority w:val="34"/>
    <w:qFormat/>
    <w:rsid w:val="00E4530D"/>
    <w:pPr>
      <w:ind w:left="720"/>
      <w:contextualSpacing/>
    </w:pPr>
  </w:style>
  <w:style w:type="table" w:styleId="TableGrid">
    <w:name w:val="Table Grid"/>
    <w:basedOn w:val="TableNormal"/>
    <w:uiPriority w:val="59"/>
    <w:rsid w:val="00E4530D"/>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4530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E4530D"/>
    <w:rPr>
      <w:rFonts w:ascii="Tahoma" w:eastAsia="Times New Roman" w:hAnsi="Tahoma" w:cs="Tahoma"/>
      <w:sz w:val="16"/>
      <w:szCs w:val="16"/>
      <w:lang w:val="en-US"/>
    </w:rPr>
  </w:style>
  <w:style w:type="paragraph" w:styleId="FootnoteText">
    <w:name w:val="footnote text"/>
    <w:aliases w:val="fn"/>
    <w:basedOn w:val="Normal"/>
    <w:link w:val="FootnoteTextChar"/>
    <w:uiPriority w:val="99"/>
    <w:unhideWhenUsed/>
    <w:rsid w:val="00E4530D"/>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E4530D"/>
    <w:rPr>
      <w:rFonts w:ascii="Calibri" w:eastAsia="Calibri" w:hAnsi="Calibri" w:cs="Times New Roman"/>
      <w:sz w:val="24"/>
      <w:szCs w:val="24"/>
      <w:lang w:val="en-US"/>
    </w:rPr>
  </w:style>
  <w:style w:type="character" w:styleId="FootnoteReference">
    <w:name w:val="footnote reference"/>
    <w:basedOn w:val="DefaultParagraphFont"/>
    <w:uiPriority w:val="99"/>
    <w:unhideWhenUsed/>
    <w:rsid w:val="00E4530D"/>
    <w:rPr>
      <w:vertAlign w:val="superscript"/>
    </w:rPr>
  </w:style>
  <w:style w:type="paragraph" w:styleId="Header">
    <w:name w:val="header"/>
    <w:basedOn w:val="Normal"/>
    <w:link w:val="HeaderChar"/>
    <w:uiPriority w:val="99"/>
    <w:unhideWhenUsed/>
    <w:rsid w:val="00E4530D"/>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530D"/>
    <w:rPr>
      <w:rFonts w:ascii="Calibri" w:eastAsia="Calibri" w:hAnsi="Calibri" w:cs="Times New Roman"/>
      <w:lang w:val="en-US"/>
    </w:rPr>
  </w:style>
  <w:style w:type="paragraph" w:styleId="Footer">
    <w:name w:val="footer"/>
    <w:basedOn w:val="Normal"/>
    <w:link w:val="FooterChar"/>
    <w:uiPriority w:val="99"/>
    <w:unhideWhenUsed/>
    <w:rsid w:val="00E4530D"/>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530D"/>
    <w:rPr>
      <w:rFonts w:ascii="Calibri" w:eastAsia="Calibri" w:hAnsi="Calibri" w:cs="Times New Roman"/>
      <w:lang w:val="en-US"/>
    </w:rPr>
  </w:style>
  <w:style w:type="paragraph" w:styleId="Title">
    <w:name w:val="Title"/>
    <w:basedOn w:val="Normal"/>
    <w:link w:val="TitleChar"/>
    <w:qFormat/>
    <w:rsid w:val="00E4530D"/>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E4530D"/>
    <w:rPr>
      <w:rFonts w:ascii="Times New Roman" w:eastAsia="Times New Roman" w:hAnsi="Times New Roman" w:cs="Times New Roman"/>
      <w:sz w:val="24"/>
      <w:szCs w:val="20"/>
      <w:lang w:val="en-US"/>
    </w:rPr>
  </w:style>
  <w:style w:type="paragraph" w:customStyle="1" w:styleId="Newpage">
    <w:name w:val="Newpage"/>
    <w:basedOn w:val="Normal"/>
    <w:rsid w:val="00E4530D"/>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E4530D"/>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E4530D"/>
    <w:rPr>
      <w:rFonts w:ascii="Times New Roman" w:eastAsia="Times New Roman" w:hAnsi="Times New Roman" w:cs="Times New Roman"/>
      <w:sz w:val="24"/>
      <w:szCs w:val="20"/>
      <w:lang w:val="en-US"/>
    </w:rPr>
  </w:style>
  <w:style w:type="character" w:customStyle="1" w:styleId="gt-icon-text1">
    <w:name w:val="gt-icon-text1"/>
    <w:basedOn w:val="DefaultParagraphFont"/>
    <w:rsid w:val="00E4530D"/>
  </w:style>
  <w:style w:type="paragraph" w:styleId="z-TopofForm">
    <w:name w:val="HTML Top of Form"/>
    <w:basedOn w:val="Normal"/>
    <w:next w:val="Normal"/>
    <w:link w:val="z-TopofFormChar"/>
    <w:hidden/>
    <w:uiPriority w:val="99"/>
    <w:unhideWhenUsed/>
    <w:rsid w:val="00E4530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E4530D"/>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E4530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4530D"/>
    <w:rPr>
      <w:rFonts w:ascii="Arial" w:eastAsia="Times New Roman" w:hAnsi="Arial" w:cs="Arial"/>
      <w:vanish/>
      <w:sz w:val="16"/>
      <w:szCs w:val="16"/>
      <w:lang w:val="en-US"/>
    </w:rPr>
  </w:style>
  <w:style w:type="character" w:styleId="CommentReference">
    <w:name w:val="annotation reference"/>
    <w:basedOn w:val="DefaultParagraphFont"/>
    <w:rsid w:val="00E4530D"/>
    <w:rPr>
      <w:sz w:val="16"/>
      <w:szCs w:val="16"/>
    </w:rPr>
  </w:style>
  <w:style w:type="paragraph" w:styleId="CommentText">
    <w:name w:val="annotation text"/>
    <w:basedOn w:val="Normal"/>
    <w:link w:val="CommentTextChar"/>
    <w:rsid w:val="00E4530D"/>
    <w:rPr>
      <w:sz w:val="20"/>
      <w:szCs w:val="20"/>
    </w:rPr>
  </w:style>
  <w:style w:type="character" w:customStyle="1" w:styleId="CommentTextChar">
    <w:name w:val="Comment Text Char"/>
    <w:basedOn w:val="DefaultParagraphFont"/>
    <w:link w:val="CommentText"/>
    <w:rsid w:val="00E4530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rsid w:val="00E4530D"/>
    <w:rPr>
      <w:b/>
      <w:bCs/>
    </w:rPr>
  </w:style>
  <w:style w:type="character" w:customStyle="1" w:styleId="CommentSubjectChar">
    <w:name w:val="Comment Subject Char"/>
    <w:basedOn w:val="CommentTextChar"/>
    <w:link w:val="CommentSubject"/>
    <w:rsid w:val="00E4530D"/>
    <w:rPr>
      <w:rFonts w:ascii="Calibri" w:eastAsia="Calibri" w:hAnsi="Calibri" w:cs="Times New Roman"/>
      <w:b/>
      <w:bCs/>
      <w:sz w:val="20"/>
      <w:szCs w:val="20"/>
      <w:lang w:val="en-US"/>
    </w:rPr>
  </w:style>
  <w:style w:type="table" w:customStyle="1" w:styleId="NoteLevel31">
    <w:name w:val="Note Level 31"/>
    <w:basedOn w:val="TableNormal"/>
    <w:uiPriority w:val="60"/>
    <w:rsid w:val="00E4530D"/>
    <w:pPr>
      <w:spacing w:after="0" w:line="240" w:lineRule="auto"/>
    </w:pPr>
    <w:rPr>
      <w:rFonts w:ascii="Calibri" w:eastAsia="Calibri" w:hAnsi="Calibri"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E4530D"/>
    <w:pPr>
      <w:spacing w:after="0" w:line="240" w:lineRule="auto"/>
    </w:pPr>
    <w:rPr>
      <w:rFonts w:ascii="Calibri" w:eastAsia="Calibri" w:hAnsi="Calibri"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E4530D"/>
    <w:pPr>
      <w:spacing w:after="0" w:line="240" w:lineRule="auto"/>
    </w:pPr>
    <w:rPr>
      <w:rFonts w:ascii="Calibri" w:eastAsia="Calibri" w:hAnsi="Calibri" w:cs="Times New Roman"/>
      <w:color w:val="943634"/>
      <w:sz w:val="20"/>
      <w:szCs w:val="2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4530D"/>
    <w:pPr>
      <w:spacing w:after="0" w:line="240" w:lineRule="auto"/>
    </w:pPr>
    <w:rPr>
      <w:rFonts w:ascii="Calibri" w:eastAsia="Calibri" w:hAnsi="Calibri" w:cs="Times New Roman"/>
      <w:color w:val="76923C"/>
      <w:sz w:val="20"/>
      <w:szCs w:val="20"/>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E4530D"/>
    <w:pPr>
      <w:spacing w:after="0" w:line="240" w:lineRule="auto"/>
    </w:pPr>
    <w:rPr>
      <w:rFonts w:ascii="Calibri" w:eastAsia="Calibri" w:hAnsi="Calibri" w:cs="Times New Roman"/>
      <w:color w:val="5F497A"/>
      <w:sz w:val="20"/>
      <w:szCs w:val="20"/>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4530D"/>
    <w:pPr>
      <w:spacing w:after="0" w:line="240" w:lineRule="auto"/>
    </w:pPr>
    <w:rPr>
      <w:rFonts w:ascii="Calibri" w:eastAsia="Calibri" w:hAnsi="Calibri" w:cs="Times New Roman"/>
      <w:color w:val="31849B"/>
      <w:sz w:val="20"/>
      <w:szCs w:val="2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E4530D"/>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E4530D"/>
    <w:rPr>
      <w:color w:val="808080"/>
    </w:rPr>
  </w:style>
  <w:style w:type="paragraph" w:customStyle="1" w:styleId="Chapter">
    <w:name w:val="Chapter"/>
    <w:basedOn w:val="Normal"/>
    <w:next w:val="Normal"/>
    <w:rsid w:val="00E4530D"/>
    <w:pPr>
      <w:numPr>
        <w:numId w:val="4"/>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basedOn w:val="BodyTextIndent"/>
    <w:link w:val="ParagraphChar"/>
    <w:rsid w:val="00E4530D"/>
    <w:pPr>
      <w:numPr>
        <w:ilvl w:val="1"/>
        <w:numId w:val="4"/>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4530D"/>
    <w:pPr>
      <w:numPr>
        <w:ilvl w:val="2"/>
        <w:numId w:val="4"/>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4530D"/>
    <w:pPr>
      <w:numPr>
        <w:ilvl w:val="3"/>
      </w:numPr>
      <w:tabs>
        <w:tab w:val="clear" w:pos="1584"/>
        <w:tab w:val="left" w:pos="0"/>
      </w:tabs>
    </w:pPr>
  </w:style>
  <w:style w:type="character" w:customStyle="1" w:styleId="ParagraphChar">
    <w:name w:val="Paragraph Char"/>
    <w:link w:val="Paragraph"/>
    <w:rsid w:val="00E4530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4530D"/>
    <w:pPr>
      <w:spacing w:after="120"/>
      <w:ind w:left="360"/>
    </w:pPr>
  </w:style>
  <w:style w:type="character" w:customStyle="1" w:styleId="BodyTextIndentChar">
    <w:name w:val="Body Text Indent Char"/>
    <w:basedOn w:val="DefaultParagraphFont"/>
    <w:link w:val="BodyTextIndent"/>
    <w:uiPriority w:val="99"/>
    <w:semiHidden/>
    <w:rsid w:val="00E4530D"/>
    <w:rPr>
      <w:rFonts w:ascii="Calibri" w:eastAsia="Calibri" w:hAnsi="Calibri" w:cs="Times New Roman"/>
      <w:lang w:val="en-US"/>
    </w:rPr>
  </w:style>
  <w:style w:type="paragraph" w:styleId="BodyTextIndent3">
    <w:name w:val="Body Text Indent 3"/>
    <w:basedOn w:val="Normal"/>
    <w:link w:val="BodyTextIndent3Char"/>
    <w:uiPriority w:val="99"/>
    <w:semiHidden/>
    <w:unhideWhenUsed/>
    <w:rsid w:val="00E4530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4530D"/>
    <w:rPr>
      <w:rFonts w:ascii="Calibri" w:eastAsia="Calibri" w:hAnsi="Calibri" w:cs="Times New Roman"/>
      <w:sz w:val="16"/>
      <w:szCs w:val="16"/>
      <w:lang w:val="en-US"/>
    </w:rPr>
  </w:style>
  <w:style w:type="paragraph" w:customStyle="1" w:styleId="RegheadTab">
    <w:name w:val="RegheadTab"/>
    <w:basedOn w:val="Normal"/>
    <w:rsid w:val="00E4530D"/>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E4530D"/>
    <w:pPr>
      <w:spacing w:after="120" w:line="480" w:lineRule="auto"/>
    </w:pPr>
  </w:style>
  <w:style w:type="character" w:customStyle="1" w:styleId="BodyText2Char">
    <w:name w:val="Body Text 2 Char"/>
    <w:basedOn w:val="DefaultParagraphFont"/>
    <w:link w:val="BodyText2"/>
    <w:uiPriority w:val="99"/>
    <w:semiHidden/>
    <w:rsid w:val="00E4530D"/>
    <w:rPr>
      <w:rFonts w:ascii="Calibri" w:eastAsia="Calibri" w:hAnsi="Calibri" w:cs="Times New Roman"/>
      <w:lang w:val="en-US"/>
    </w:rPr>
  </w:style>
  <w:style w:type="paragraph" w:customStyle="1" w:styleId="Seccion">
    <w:name w:val="Seccion"/>
    <w:basedOn w:val="Heading2"/>
    <w:link w:val="SeccionCar"/>
    <w:qFormat/>
    <w:rsid w:val="00E4530D"/>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E4530D"/>
    <w:rPr>
      <w:rFonts w:ascii="Times New Roman" w:eastAsia="Times New Roman" w:hAnsi="Times New Roman" w:cs="Times New Roman"/>
      <w:b/>
      <w:bCs/>
      <w:sz w:val="24"/>
      <w:szCs w:val="24"/>
      <w:lang w:val="es-ES"/>
    </w:rPr>
  </w:style>
  <w:style w:type="paragraph" w:customStyle="1" w:styleId="Titulo">
    <w:name w:val="Titulo"/>
    <w:basedOn w:val="Normal"/>
    <w:link w:val="TituloCar"/>
    <w:qFormat/>
    <w:rsid w:val="00E4530D"/>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E4530D"/>
    <w:rPr>
      <w:rFonts w:ascii="Times New Roman" w:eastAsia="Times New Roman" w:hAnsi="Times New Roman" w:cs="Times New Roman"/>
      <w:b/>
      <w:kern w:val="2"/>
      <w:sz w:val="24"/>
      <w:szCs w:val="24"/>
      <w:shd w:val="clear" w:color="auto" w:fill="FFFFFF"/>
      <w:lang w:val="es-ES" w:eastAsia="ko-KR"/>
    </w:rPr>
  </w:style>
  <w:style w:type="table" w:customStyle="1" w:styleId="Tablaconcuadrcula1">
    <w:name w:val="Tabla con cuadrícula1"/>
    <w:basedOn w:val="TableNormal"/>
    <w:next w:val="TableGrid"/>
    <w:uiPriority w:val="59"/>
    <w:rsid w:val="00E4530D"/>
    <w:pPr>
      <w:spacing w:after="0" w:line="240" w:lineRule="auto"/>
    </w:pPr>
    <w:rPr>
      <w:rFonts w:ascii="Calibri" w:eastAsia="Calibri" w:hAnsi="Calibri" w:cs="Times New Roman"/>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E4530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4530D"/>
    <w:rPr>
      <w:rFonts w:ascii="Tahoma" w:eastAsia="Calibri" w:hAnsi="Tahoma" w:cs="Tahoma"/>
      <w:sz w:val="16"/>
      <w:szCs w:val="16"/>
      <w:lang w:val="en-US"/>
    </w:rPr>
  </w:style>
  <w:style w:type="table" w:customStyle="1" w:styleId="Sombreadoclaro-nfasis12">
    <w:name w:val="Sombreado claro - Énfasis 12"/>
    <w:basedOn w:val="TableNormal"/>
    <w:uiPriority w:val="60"/>
    <w:rsid w:val="00E4530D"/>
    <w:pPr>
      <w:spacing w:after="0" w:line="240" w:lineRule="auto"/>
    </w:pPr>
    <w:rPr>
      <w:rFonts w:ascii="Calibri" w:eastAsia="Calibri" w:hAnsi="Calibri"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E4530D"/>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E4530D"/>
    <w:pPr>
      <w:spacing w:after="0" w:line="240" w:lineRule="auto"/>
    </w:pPr>
    <w:rPr>
      <w:rFonts w:ascii="Calibri" w:eastAsia="Calibri" w:hAnsi="Calibri" w:cs="Times New Roman"/>
      <w:lang w:val="en-US"/>
    </w:rPr>
  </w:style>
  <w:style w:type="paragraph" w:customStyle="1" w:styleId="TitulopostI">
    <w:name w:val="Titulo post I"/>
    <w:basedOn w:val="Normal"/>
    <w:link w:val="TitulopostICar"/>
    <w:qFormat/>
    <w:rsid w:val="00E4530D"/>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E4530D"/>
    <w:pPr>
      <w:numPr>
        <w:numId w:val="5"/>
      </w:numPr>
      <w:spacing w:before="0" w:after="0" w:line="480" w:lineRule="auto"/>
      <w:ind w:left="993" w:hanging="426"/>
    </w:pPr>
    <w:rPr>
      <w:kern w:val="28"/>
    </w:rPr>
  </w:style>
  <w:style w:type="character" w:customStyle="1" w:styleId="TitulopostICar">
    <w:name w:val="Titulo post I Car"/>
    <w:basedOn w:val="DefaultParagraphFont"/>
    <w:link w:val="TitulopostI"/>
    <w:rsid w:val="00E4530D"/>
    <w:rPr>
      <w:rFonts w:ascii="Times New Roman" w:eastAsia="Calibri" w:hAnsi="Times New Roman" w:cs="Times New Roman"/>
      <w:b/>
      <w:sz w:val="24"/>
      <w:szCs w:val="24"/>
      <w:lang w:val="es-ES"/>
    </w:rPr>
  </w:style>
  <w:style w:type="paragraph" w:customStyle="1" w:styleId="Estilo1">
    <w:name w:val="Estilo1"/>
    <w:basedOn w:val="Paragraph"/>
    <w:link w:val="Estilo1Car"/>
    <w:qFormat/>
    <w:rsid w:val="00E4530D"/>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E4530D"/>
    <w:rPr>
      <w:rFonts w:ascii="Times New Roman" w:eastAsia="Times New Roman" w:hAnsi="Times New Roman" w:cs="Times New Roman"/>
      <w:kern w:val="28"/>
      <w:sz w:val="24"/>
      <w:szCs w:val="20"/>
      <w:lang w:val="es-ES"/>
    </w:rPr>
  </w:style>
  <w:style w:type="paragraph" w:customStyle="1" w:styleId="Entabla">
    <w:name w:val="Entabla"/>
    <w:basedOn w:val="Normal"/>
    <w:link w:val="EntablaCar"/>
    <w:qFormat/>
    <w:rsid w:val="00E4530D"/>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E4530D"/>
    <w:rPr>
      <w:rFonts w:ascii="Times New Roman" w:eastAsia="Times New Roman" w:hAnsi="Times New Roman" w:cs="Times New Roman"/>
      <w:sz w:val="24"/>
      <w:szCs w:val="24"/>
      <w:lang w:val="es-ES"/>
    </w:rPr>
  </w:style>
  <w:style w:type="paragraph" w:customStyle="1" w:styleId="TituloTabla">
    <w:name w:val="Titulo Tabla"/>
    <w:basedOn w:val="Normal"/>
    <w:link w:val="TituloTablaCar"/>
    <w:qFormat/>
    <w:rsid w:val="00E4530D"/>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E4530D"/>
    <w:rPr>
      <w:rFonts w:ascii="Times New Roman" w:eastAsia="Times New Roman" w:hAnsi="Times New Roman" w:cs="Times New Roman"/>
      <w:color w:val="000000"/>
      <w:lang w:val="es-ES"/>
    </w:rPr>
  </w:style>
  <w:style w:type="paragraph" w:customStyle="1" w:styleId="Anexo">
    <w:name w:val="Anexo"/>
    <w:basedOn w:val="Paragraph"/>
    <w:link w:val="AnexoCar"/>
    <w:qFormat/>
    <w:rsid w:val="00E4530D"/>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E4530D"/>
    <w:rPr>
      <w:rFonts w:ascii="Times New Roman" w:eastAsia="Times New Roman" w:hAnsi="Times New Roman" w:cs="Times New Roman"/>
      <w:b/>
      <w:bCs/>
      <w:color w:val="000000"/>
      <w:lang w:val="es-ES"/>
    </w:rPr>
  </w:style>
  <w:style w:type="paragraph" w:customStyle="1" w:styleId="Vietasanexo">
    <w:name w:val="Viñetas anexo"/>
    <w:basedOn w:val="Normal"/>
    <w:link w:val="VietasanexoCar"/>
    <w:qFormat/>
    <w:rsid w:val="00E4530D"/>
    <w:pPr>
      <w:numPr>
        <w:ilvl w:val="1"/>
        <w:numId w:val="13"/>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E4530D"/>
    <w:rPr>
      <w:rFonts w:ascii="Times New Roman" w:eastAsia="Times New Roman" w:hAnsi="Times New Roman" w:cs="Times New Roman"/>
      <w:sz w:val="24"/>
      <w:szCs w:val="24"/>
      <w:lang w:val="es-ES"/>
    </w:rPr>
  </w:style>
  <w:style w:type="paragraph" w:customStyle="1" w:styleId="TItuloAnexo">
    <w:name w:val="TItulo Anexo"/>
    <w:basedOn w:val="Seccion"/>
    <w:link w:val="TItuloAnexoCar"/>
    <w:qFormat/>
    <w:rsid w:val="00E4530D"/>
    <w:pPr>
      <w:numPr>
        <w:numId w:val="19"/>
      </w:numPr>
    </w:pPr>
  </w:style>
  <w:style w:type="character" w:customStyle="1" w:styleId="VietasanexoCar">
    <w:name w:val="Viñetas anexo Car"/>
    <w:basedOn w:val="DefaultParagraphFont"/>
    <w:link w:val="Vietasanexo"/>
    <w:rsid w:val="00E4530D"/>
    <w:rPr>
      <w:rFonts w:ascii="Times New Roman" w:eastAsia="Calibri" w:hAnsi="Times New Roman" w:cs="Times New Roman"/>
      <w:sz w:val="24"/>
      <w:szCs w:val="24"/>
      <w:lang w:val="es-AR"/>
    </w:rPr>
  </w:style>
  <w:style w:type="character" w:customStyle="1" w:styleId="TItuloAnexoCar">
    <w:name w:val="TItulo Anexo Car"/>
    <w:basedOn w:val="SeccionCar"/>
    <w:link w:val="TItuloAnexo"/>
    <w:rsid w:val="00E4530D"/>
    <w:rPr>
      <w:rFonts w:ascii="Times New Roman" w:eastAsia="Times New Roman" w:hAnsi="Times New Roman" w:cs="Times New Roman"/>
      <w:b/>
      <w:bCs/>
      <w:sz w:val="24"/>
      <w:szCs w:val="24"/>
      <w:lang w:val="es-ES"/>
    </w:rPr>
  </w:style>
  <w:style w:type="paragraph" w:customStyle="1" w:styleId="Titulobisanexo">
    <w:name w:val="Titulo bis anexo"/>
    <w:basedOn w:val="TItuloAnexo"/>
    <w:link w:val="TitulobisanexoCar"/>
    <w:qFormat/>
    <w:rsid w:val="00E4530D"/>
    <w:pPr>
      <w:numPr>
        <w:numId w:val="0"/>
      </w:numPr>
      <w:spacing w:before="0"/>
      <w:ind w:left="709"/>
    </w:pPr>
  </w:style>
  <w:style w:type="character" w:customStyle="1" w:styleId="TitulobisanexoCar">
    <w:name w:val="Titulo bis anexo Car"/>
    <w:basedOn w:val="TItuloAnexoCar"/>
    <w:link w:val="Titulobisanexo"/>
    <w:rsid w:val="00E4530D"/>
    <w:rPr>
      <w:rFonts w:ascii="Times New Roman" w:eastAsia="Times New Roman" w:hAnsi="Times New Roman" w:cs="Times New Roman"/>
      <w:b/>
      <w:bCs/>
      <w:sz w:val="24"/>
      <w:szCs w:val="24"/>
      <w:lang w:val="es-ES"/>
    </w:rPr>
  </w:style>
  <w:style w:type="character" w:styleId="PageNumber">
    <w:name w:val="page number"/>
    <w:basedOn w:val="DefaultParagraphFont"/>
    <w:rsid w:val="003728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30D"/>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E4530D"/>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E453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30D"/>
    <w:rPr>
      <w:rFonts w:ascii="Times New Roman" w:eastAsia="Times New Roman" w:hAnsi="Times New Roman" w:cs="Times New Roman"/>
      <w:b/>
      <w:bCs/>
      <w:sz w:val="28"/>
      <w:szCs w:val="28"/>
      <w:lang w:val="es-ES"/>
    </w:rPr>
  </w:style>
  <w:style w:type="character" w:customStyle="1" w:styleId="Heading2Char">
    <w:name w:val="Heading 2 Char"/>
    <w:basedOn w:val="DefaultParagraphFont"/>
    <w:link w:val="Heading2"/>
    <w:uiPriority w:val="9"/>
    <w:semiHidden/>
    <w:rsid w:val="00E4530D"/>
    <w:rPr>
      <w:rFonts w:asciiTheme="majorHAnsi" w:eastAsiaTheme="majorEastAsia" w:hAnsiTheme="majorHAnsi" w:cstheme="majorBidi"/>
      <w:b/>
      <w:bCs/>
      <w:color w:val="5B9BD5" w:themeColor="accent1"/>
      <w:sz w:val="26"/>
      <w:szCs w:val="26"/>
      <w:lang w:val="en-US"/>
    </w:rPr>
  </w:style>
  <w:style w:type="paragraph" w:styleId="ListParagraph">
    <w:name w:val="List Paragraph"/>
    <w:basedOn w:val="Normal"/>
    <w:uiPriority w:val="34"/>
    <w:qFormat/>
    <w:rsid w:val="00E4530D"/>
    <w:pPr>
      <w:ind w:left="720"/>
      <w:contextualSpacing/>
    </w:pPr>
  </w:style>
  <w:style w:type="table" w:styleId="TableGrid">
    <w:name w:val="Table Grid"/>
    <w:basedOn w:val="TableNormal"/>
    <w:uiPriority w:val="59"/>
    <w:rsid w:val="00E4530D"/>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4530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E4530D"/>
    <w:rPr>
      <w:rFonts w:ascii="Tahoma" w:eastAsia="Times New Roman" w:hAnsi="Tahoma" w:cs="Tahoma"/>
      <w:sz w:val="16"/>
      <w:szCs w:val="16"/>
      <w:lang w:val="en-US"/>
    </w:rPr>
  </w:style>
  <w:style w:type="paragraph" w:styleId="FootnoteText">
    <w:name w:val="footnote text"/>
    <w:aliases w:val="fn"/>
    <w:basedOn w:val="Normal"/>
    <w:link w:val="FootnoteTextChar"/>
    <w:uiPriority w:val="99"/>
    <w:unhideWhenUsed/>
    <w:rsid w:val="00E4530D"/>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E4530D"/>
    <w:rPr>
      <w:rFonts w:ascii="Calibri" w:eastAsia="Calibri" w:hAnsi="Calibri" w:cs="Times New Roman"/>
      <w:sz w:val="24"/>
      <w:szCs w:val="24"/>
      <w:lang w:val="en-US"/>
    </w:rPr>
  </w:style>
  <w:style w:type="character" w:styleId="FootnoteReference">
    <w:name w:val="footnote reference"/>
    <w:basedOn w:val="DefaultParagraphFont"/>
    <w:uiPriority w:val="99"/>
    <w:unhideWhenUsed/>
    <w:rsid w:val="00E4530D"/>
    <w:rPr>
      <w:vertAlign w:val="superscript"/>
    </w:rPr>
  </w:style>
  <w:style w:type="paragraph" w:styleId="Header">
    <w:name w:val="header"/>
    <w:basedOn w:val="Normal"/>
    <w:link w:val="HeaderChar"/>
    <w:uiPriority w:val="99"/>
    <w:unhideWhenUsed/>
    <w:rsid w:val="00E4530D"/>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530D"/>
    <w:rPr>
      <w:rFonts w:ascii="Calibri" w:eastAsia="Calibri" w:hAnsi="Calibri" w:cs="Times New Roman"/>
      <w:lang w:val="en-US"/>
    </w:rPr>
  </w:style>
  <w:style w:type="paragraph" w:styleId="Footer">
    <w:name w:val="footer"/>
    <w:basedOn w:val="Normal"/>
    <w:link w:val="FooterChar"/>
    <w:uiPriority w:val="99"/>
    <w:unhideWhenUsed/>
    <w:rsid w:val="00E4530D"/>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530D"/>
    <w:rPr>
      <w:rFonts w:ascii="Calibri" w:eastAsia="Calibri" w:hAnsi="Calibri" w:cs="Times New Roman"/>
      <w:lang w:val="en-US"/>
    </w:rPr>
  </w:style>
  <w:style w:type="paragraph" w:styleId="Title">
    <w:name w:val="Title"/>
    <w:basedOn w:val="Normal"/>
    <w:link w:val="TitleChar"/>
    <w:qFormat/>
    <w:rsid w:val="00E4530D"/>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E4530D"/>
    <w:rPr>
      <w:rFonts w:ascii="Times New Roman" w:eastAsia="Times New Roman" w:hAnsi="Times New Roman" w:cs="Times New Roman"/>
      <w:sz w:val="24"/>
      <w:szCs w:val="20"/>
      <w:lang w:val="en-US"/>
    </w:rPr>
  </w:style>
  <w:style w:type="paragraph" w:customStyle="1" w:styleId="Newpage">
    <w:name w:val="Newpage"/>
    <w:basedOn w:val="Normal"/>
    <w:rsid w:val="00E4530D"/>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E4530D"/>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E4530D"/>
    <w:rPr>
      <w:rFonts w:ascii="Times New Roman" w:eastAsia="Times New Roman" w:hAnsi="Times New Roman" w:cs="Times New Roman"/>
      <w:sz w:val="24"/>
      <w:szCs w:val="20"/>
      <w:lang w:val="en-US"/>
    </w:rPr>
  </w:style>
  <w:style w:type="character" w:customStyle="1" w:styleId="gt-icon-text1">
    <w:name w:val="gt-icon-text1"/>
    <w:basedOn w:val="DefaultParagraphFont"/>
    <w:rsid w:val="00E4530D"/>
  </w:style>
  <w:style w:type="paragraph" w:styleId="z-TopofForm">
    <w:name w:val="HTML Top of Form"/>
    <w:basedOn w:val="Normal"/>
    <w:next w:val="Normal"/>
    <w:link w:val="z-TopofFormChar"/>
    <w:hidden/>
    <w:uiPriority w:val="99"/>
    <w:unhideWhenUsed/>
    <w:rsid w:val="00E4530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E4530D"/>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E4530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4530D"/>
    <w:rPr>
      <w:rFonts w:ascii="Arial" w:eastAsia="Times New Roman" w:hAnsi="Arial" w:cs="Arial"/>
      <w:vanish/>
      <w:sz w:val="16"/>
      <w:szCs w:val="16"/>
      <w:lang w:val="en-US"/>
    </w:rPr>
  </w:style>
  <w:style w:type="character" w:styleId="CommentReference">
    <w:name w:val="annotation reference"/>
    <w:basedOn w:val="DefaultParagraphFont"/>
    <w:rsid w:val="00E4530D"/>
    <w:rPr>
      <w:sz w:val="16"/>
      <w:szCs w:val="16"/>
    </w:rPr>
  </w:style>
  <w:style w:type="paragraph" w:styleId="CommentText">
    <w:name w:val="annotation text"/>
    <w:basedOn w:val="Normal"/>
    <w:link w:val="CommentTextChar"/>
    <w:rsid w:val="00E4530D"/>
    <w:rPr>
      <w:sz w:val="20"/>
      <w:szCs w:val="20"/>
    </w:rPr>
  </w:style>
  <w:style w:type="character" w:customStyle="1" w:styleId="CommentTextChar">
    <w:name w:val="Comment Text Char"/>
    <w:basedOn w:val="DefaultParagraphFont"/>
    <w:link w:val="CommentText"/>
    <w:rsid w:val="00E4530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rsid w:val="00E4530D"/>
    <w:rPr>
      <w:b/>
      <w:bCs/>
    </w:rPr>
  </w:style>
  <w:style w:type="character" w:customStyle="1" w:styleId="CommentSubjectChar">
    <w:name w:val="Comment Subject Char"/>
    <w:basedOn w:val="CommentTextChar"/>
    <w:link w:val="CommentSubject"/>
    <w:rsid w:val="00E4530D"/>
    <w:rPr>
      <w:rFonts w:ascii="Calibri" w:eastAsia="Calibri" w:hAnsi="Calibri" w:cs="Times New Roman"/>
      <w:b/>
      <w:bCs/>
      <w:sz w:val="20"/>
      <w:szCs w:val="20"/>
      <w:lang w:val="en-US"/>
    </w:rPr>
  </w:style>
  <w:style w:type="table" w:customStyle="1" w:styleId="NoteLevel31">
    <w:name w:val="Note Level 31"/>
    <w:basedOn w:val="TableNormal"/>
    <w:uiPriority w:val="60"/>
    <w:rsid w:val="00E4530D"/>
    <w:pPr>
      <w:spacing w:after="0" w:line="240" w:lineRule="auto"/>
    </w:pPr>
    <w:rPr>
      <w:rFonts w:ascii="Calibri" w:eastAsia="Calibri" w:hAnsi="Calibri"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E4530D"/>
    <w:pPr>
      <w:spacing w:after="0" w:line="240" w:lineRule="auto"/>
    </w:pPr>
    <w:rPr>
      <w:rFonts w:ascii="Calibri" w:eastAsia="Calibri" w:hAnsi="Calibri"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E4530D"/>
    <w:pPr>
      <w:spacing w:after="0" w:line="240" w:lineRule="auto"/>
    </w:pPr>
    <w:rPr>
      <w:rFonts w:ascii="Calibri" w:eastAsia="Calibri" w:hAnsi="Calibri" w:cs="Times New Roman"/>
      <w:color w:val="943634"/>
      <w:sz w:val="20"/>
      <w:szCs w:val="2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4530D"/>
    <w:pPr>
      <w:spacing w:after="0" w:line="240" w:lineRule="auto"/>
    </w:pPr>
    <w:rPr>
      <w:rFonts w:ascii="Calibri" w:eastAsia="Calibri" w:hAnsi="Calibri" w:cs="Times New Roman"/>
      <w:color w:val="76923C"/>
      <w:sz w:val="20"/>
      <w:szCs w:val="20"/>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E4530D"/>
    <w:pPr>
      <w:spacing w:after="0" w:line="240" w:lineRule="auto"/>
    </w:pPr>
    <w:rPr>
      <w:rFonts w:ascii="Calibri" w:eastAsia="Calibri" w:hAnsi="Calibri" w:cs="Times New Roman"/>
      <w:color w:val="5F497A"/>
      <w:sz w:val="20"/>
      <w:szCs w:val="20"/>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4530D"/>
    <w:pPr>
      <w:spacing w:after="0" w:line="240" w:lineRule="auto"/>
    </w:pPr>
    <w:rPr>
      <w:rFonts w:ascii="Calibri" w:eastAsia="Calibri" w:hAnsi="Calibri" w:cs="Times New Roman"/>
      <w:color w:val="31849B"/>
      <w:sz w:val="20"/>
      <w:szCs w:val="2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E4530D"/>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E4530D"/>
    <w:rPr>
      <w:color w:val="808080"/>
    </w:rPr>
  </w:style>
  <w:style w:type="paragraph" w:customStyle="1" w:styleId="Chapter">
    <w:name w:val="Chapter"/>
    <w:basedOn w:val="Normal"/>
    <w:next w:val="Normal"/>
    <w:rsid w:val="00E4530D"/>
    <w:pPr>
      <w:numPr>
        <w:numId w:val="4"/>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basedOn w:val="BodyTextIndent"/>
    <w:link w:val="ParagraphChar"/>
    <w:rsid w:val="00E4530D"/>
    <w:pPr>
      <w:numPr>
        <w:ilvl w:val="1"/>
        <w:numId w:val="4"/>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4530D"/>
    <w:pPr>
      <w:numPr>
        <w:ilvl w:val="2"/>
        <w:numId w:val="4"/>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4530D"/>
    <w:pPr>
      <w:numPr>
        <w:ilvl w:val="3"/>
      </w:numPr>
      <w:tabs>
        <w:tab w:val="clear" w:pos="1584"/>
        <w:tab w:val="left" w:pos="0"/>
      </w:tabs>
    </w:pPr>
  </w:style>
  <w:style w:type="character" w:customStyle="1" w:styleId="ParagraphChar">
    <w:name w:val="Paragraph Char"/>
    <w:link w:val="Paragraph"/>
    <w:rsid w:val="00E4530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4530D"/>
    <w:pPr>
      <w:spacing w:after="120"/>
      <w:ind w:left="360"/>
    </w:pPr>
  </w:style>
  <w:style w:type="character" w:customStyle="1" w:styleId="BodyTextIndentChar">
    <w:name w:val="Body Text Indent Char"/>
    <w:basedOn w:val="DefaultParagraphFont"/>
    <w:link w:val="BodyTextIndent"/>
    <w:uiPriority w:val="99"/>
    <w:semiHidden/>
    <w:rsid w:val="00E4530D"/>
    <w:rPr>
      <w:rFonts w:ascii="Calibri" w:eastAsia="Calibri" w:hAnsi="Calibri" w:cs="Times New Roman"/>
      <w:lang w:val="en-US"/>
    </w:rPr>
  </w:style>
  <w:style w:type="paragraph" w:styleId="BodyTextIndent3">
    <w:name w:val="Body Text Indent 3"/>
    <w:basedOn w:val="Normal"/>
    <w:link w:val="BodyTextIndent3Char"/>
    <w:uiPriority w:val="99"/>
    <w:semiHidden/>
    <w:unhideWhenUsed/>
    <w:rsid w:val="00E4530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4530D"/>
    <w:rPr>
      <w:rFonts w:ascii="Calibri" w:eastAsia="Calibri" w:hAnsi="Calibri" w:cs="Times New Roman"/>
      <w:sz w:val="16"/>
      <w:szCs w:val="16"/>
      <w:lang w:val="en-US"/>
    </w:rPr>
  </w:style>
  <w:style w:type="paragraph" w:customStyle="1" w:styleId="RegheadTab">
    <w:name w:val="RegheadTab"/>
    <w:basedOn w:val="Normal"/>
    <w:rsid w:val="00E4530D"/>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E4530D"/>
    <w:pPr>
      <w:spacing w:after="120" w:line="480" w:lineRule="auto"/>
    </w:pPr>
  </w:style>
  <w:style w:type="character" w:customStyle="1" w:styleId="BodyText2Char">
    <w:name w:val="Body Text 2 Char"/>
    <w:basedOn w:val="DefaultParagraphFont"/>
    <w:link w:val="BodyText2"/>
    <w:uiPriority w:val="99"/>
    <w:semiHidden/>
    <w:rsid w:val="00E4530D"/>
    <w:rPr>
      <w:rFonts w:ascii="Calibri" w:eastAsia="Calibri" w:hAnsi="Calibri" w:cs="Times New Roman"/>
      <w:lang w:val="en-US"/>
    </w:rPr>
  </w:style>
  <w:style w:type="paragraph" w:customStyle="1" w:styleId="Seccion">
    <w:name w:val="Seccion"/>
    <w:basedOn w:val="Heading2"/>
    <w:link w:val="SeccionCar"/>
    <w:qFormat/>
    <w:rsid w:val="00E4530D"/>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E4530D"/>
    <w:rPr>
      <w:rFonts w:ascii="Times New Roman" w:eastAsia="Times New Roman" w:hAnsi="Times New Roman" w:cs="Times New Roman"/>
      <w:b/>
      <w:bCs/>
      <w:sz w:val="24"/>
      <w:szCs w:val="24"/>
      <w:lang w:val="es-ES"/>
    </w:rPr>
  </w:style>
  <w:style w:type="paragraph" w:customStyle="1" w:styleId="Titulo">
    <w:name w:val="Titulo"/>
    <w:basedOn w:val="Normal"/>
    <w:link w:val="TituloCar"/>
    <w:qFormat/>
    <w:rsid w:val="00E4530D"/>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E4530D"/>
    <w:rPr>
      <w:rFonts w:ascii="Times New Roman" w:eastAsia="Times New Roman" w:hAnsi="Times New Roman" w:cs="Times New Roman"/>
      <w:b/>
      <w:kern w:val="2"/>
      <w:sz w:val="24"/>
      <w:szCs w:val="24"/>
      <w:shd w:val="clear" w:color="auto" w:fill="FFFFFF"/>
      <w:lang w:val="es-ES" w:eastAsia="ko-KR"/>
    </w:rPr>
  </w:style>
  <w:style w:type="table" w:customStyle="1" w:styleId="Tablaconcuadrcula1">
    <w:name w:val="Tabla con cuadrícula1"/>
    <w:basedOn w:val="TableNormal"/>
    <w:next w:val="TableGrid"/>
    <w:uiPriority w:val="59"/>
    <w:rsid w:val="00E4530D"/>
    <w:pPr>
      <w:spacing w:after="0" w:line="240" w:lineRule="auto"/>
    </w:pPr>
    <w:rPr>
      <w:rFonts w:ascii="Calibri" w:eastAsia="Calibri" w:hAnsi="Calibri" w:cs="Times New Roman"/>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E4530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4530D"/>
    <w:rPr>
      <w:rFonts w:ascii="Tahoma" w:eastAsia="Calibri" w:hAnsi="Tahoma" w:cs="Tahoma"/>
      <w:sz w:val="16"/>
      <w:szCs w:val="16"/>
      <w:lang w:val="en-US"/>
    </w:rPr>
  </w:style>
  <w:style w:type="table" w:customStyle="1" w:styleId="Sombreadoclaro-nfasis12">
    <w:name w:val="Sombreado claro - Énfasis 12"/>
    <w:basedOn w:val="TableNormal"/>
    <w:uiPriority w:val="60"/>
    <w:rsid w:val="00E4530D"/>
    <w:pPr>
      <w:spacing w:after="0" w:line="240" w:lineRule="auto"/>
    </w:pPr>
    <w:rPr>
      <w:rFonts w:ascii="Calibri" w:eastAsia="Calibri" w:hAnsi="Calibri"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E4530D"/>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E4530D"/>
    <w:pPr>
      <w:spacing w:after="0" w:line="240" w:lineRule="auto"/>
    </w:pPr>
    <w:rPr>
      <w:rFonts w:ascii="Calibri" w:eastAsia="Calibri" w:hAnsi="Calibri" w:cs="Times New Roman"/>
      <w:lang w:val="en-US"/>
    </w:rPr>
  </w:style>
  <w:style w:type="paragraph" w:customStyle="1" w:styleId="TitulopostI">
    <w:name w:val="Titulo post I"/>
    <w:basedOn w:val="Normal"/>
    <w:link w:val="TitulopostICar"/>
    <w:qFormat/>
    <w:rsid w:val="00E4530D"/>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E4530D"/>
    <w:pPr>
      <w:numPr>
        <w:numId w:val="5"/>
      </w:numPr>
      <w:spacing w:before="0" w:after="0" w:line="480" w:lineRule="auto"/>
      <w:ind w:left="993" w:hanging="426"/>
    </w:pPr>
    <w:rPr>
      <w:kern w:val="28"/>
    </w:rPr>
  </w:style>
  <w:style w:type="character" w:customStyle="1" w:styleId="TitulopostICar">
    <w:name w:val="Titulo post I Car"/>
    <w:basedOn w:val="DefaultParagraphFont"/>
    <w:link w:val="TitulopostI"/>
    <w:rsid w:val="00E4530D"/>
    <w:rPr>
      <w:rFonts w:ascii="Times New Roman" w:eastAsia="Calibri" w:hAnsi="Times New Roman" w:cs="Times New Roman"/>
      <w:b/>
      <w:sz w:val="24"/>
      <w:szCs w:val="24"/>
      <w:lang w:val="es-ES"/>
    </w:rPr>
  </w:style>
  <w:style w:type="paragraph" w:customStyle="1" w:styleId="Estilo1">
    <w:name w:val="Estilo1"/>
    <w:basedOn w:val="Paragraph"/>
    <w:link w:val="Estilo1Car"/>
    <w:qFormat/>
    <w:rsid w:val="00E4530D"/>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E4530D"/>
    <w:rPr>
      <w:rFonts w:ascii="Times New Roman" w:eastAsia="Times New Roman" w:hAnsi="Times New Roman" w:cs="Times New Roman"/>
      <w:kern w:val="28"/>
      <w:sz w:val="24"/>
      <w:szCs w:val="20"/>
      <w:lang w:val="es-ES"/>
    </w:rPr>
  </w:style>
  <w:style w:type="paragraph" w:customStyle="1" w:styleId="Entabla">
    <w:name w:val="Entabla"/>
    <w:basedOn w:val="Normal"/>
    <w:link w:val="EntablaCar"/>
    <w:qFormat/>
    <w:rsid w:val="00E4530D"/>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E4530D"/>
    <w:rPr>
      <w:rFonts w:ascii="Times New Roman" w:eastAsia="Times New Roman" w:hAnsi="Times New Roman" w:cs="Times New Roman"/>
      <w:sz w:val="24"/>
      <w:szCs w:val="24"/>
      <w:lang w:val="es-ES"/>
    </w:rPr>
  </w:style>
  <w:style w:type="paragraph" w:customStyle="1" w:styleId="TituloTabla">
    <w:name w:val="Titulo Tabla"/>
    <w:basedOn w:val="Normal"/>
    <w:link w:val="TituloTablaCar"/>
    <w:qFormat/>
    <w:rsid w:val="00E4530D"/>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E4530D"/>
    <w:rPr>
      <w:rFonts w:ascii="Times New Roman" w:eastAsia="Times New Roman" w:hAnsi="Times New Roman" w:cs="Times New Roman"/>
      <w:color w:val="000000"/>
      <w:lang w:val="es-ES"/>
    </w:rPr>
  </w:style>
  <w:style w:type="paragraph" w:customStyle="1" w:styleId="Anexo">
    <w:name w:val="Anexo"/>
    <w:basedOn w:val="Paragraph"/>
    <w:link w:val="AnexoCar"/>
    <w:qFormat/>
    <w:rsid w:val="00E4530D"/>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E4530D"/>
    <w:rPr>
      <w:rFonts w:ascii="Times New Roman" w:eastAsia="Times New Roman" w:hAnsi="Times New Roman" w:cs="Times New Roman"/>
      <w:b/>
      <w:bCs/>
      <w:color w:val="000000"/>
      <w:lang w:val="es-ES"/>
    </w:rPr>
  </w:style>
  <w:style w:type="paragraph" w:customStyle="1" w:styleId="Vietasanexo">
    <w:name w:val="Viñetas anexo"/>
    <w:basedOn w:val="Normal"/>
    <w:link w:val="VietasanexoCar"/>
    <w:qFormat/>
    <w:rsid w:val="00E4530D"/>
    <w:pPr>
      <w:numPr>
        <w:ilvl w:val="1"/>
        <w:numId w:val="13"/>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E4530D"/>
    <w:rPr>
      <w:rFonts w:ascii="Times New Roman" w:eastAsia="Times New Roman" w:hAnsi="Times New Roman" w:cs="Times New Roman"/>
      <w:sz w:val="24"/>
      <w:szCs w:val="24"/>
      <w:lang w:val="es-ES"/>
    </w:rPr>
  </w:style>
  <w:style w:type="paragraph" w:customStyle="1" w:styleId="TItuloAnexo">
    <w:name w:val="TItulo Anexo"/>
    <w:basedOn w:val="Seccion"/>
    <w:link w:val="TItuloAnexoCar"/>
    <w:qFormat/>
    <w:rsid w:val="00E4530D"/>
    <w:pPr>
      <w:numPr>
        <w:numId w:val="19"/>
      </w:numPr>
    </w:pPr>
  </w:style>
  <w:style w:type="character" w:customStyle="1" w:styleId="VietasanexoCar">
    <w:name w:val="Viñetas anexo Car"/>
    <w:basedOn w:val="DefaultParagraphFont"/>
    <w:link w:val="Vietasanexo"/>
    <w:rsid w:val="00E4530D"/>
    <w:rPr>
      <w:rFonts w:ascii="Times New Roman" w:eastAsia="Calibri" w:hAnsi="Times New Roman" w:cs="Times New Roman"/>
      <w:sz w:val="24"/>
      <w:szCs w:val="24"/>
      <w:lang w:val="es-AR"/>
    </w:rPr>
  </w:style>
  <w:style w:type="character" w:customStyle="1" w:styleId="TItuloAnexoCar">
    <w:name w:val="TItulo Anexo Car"/>
    <w:basedOn w:val="SeccionCar"/>
    <w:link w:val="TItuloAnexo"/>
    <w:rsid w:val="00E4530D"/>
    <w:rPr>
      <w:rFonts w:ascii="Times New Roman" w:eastAsia="Times New Roman" w:hAnsi="Times New Roman" w:cs="Times New Roman"/>
      <w:b/>
      <w:bCs/>
      <w:sz w:val="24"/>
      <w:szCs w:val="24"/>
      <w:lang w:val="es-ES"/>
    </w:rPr>
  </w:style>
  <w:style w:type="paragraph" w:customStyle="1" w:styleId="Titulobisanexo">
    <w:name w:val="Titulo bis anexo"/>
    <w:basedOn w:val="TItuloAnexo"/>
    <w:link w:val="TitulobisanexoCar"/>
    <w:qFormat/>
    <w:rsid w:val="00E4530D"/>
    <w:pPr>
      <w:numPr>
        <w:numId w:val="0"/>
      </w:numPr>
      <w:spacing w:before="0"/>
      <w:ind w:left="709"/>
    </w:pPr>
  </w:style>
  <w:style w:type="character" w:customStyle="1" w:styleId="TitulobisanexoCar">
    <w:name w:val="Titulo bis anexo Car"/>
    <w:basedOn w:val="TItuloAnexoCar"/>
    <w:link w:val="Titulobisanexo"/>
    <w:rsid w:val="00E4530D"/>
    <w:rPr>
      <w:rFonts w:ascii="Times New Roman" w:eastAsia="Times New Roman" w:hAnsi="Times New Roman" w:cs="Times New Roman"/>
      <w:b/>
      <w:bCs/>
      <w:sz w:val="24"/>
      <w:szCs w:val="24"/>
      <w:lang w:val="es-ES"/>
    </w:rPr>
  </w:style>
  <w:style w:type="character" w:styleId="PageNumber">
    <w:name w:val="page number"/>
    <w:basedOn w:val="DefaultParagraphFont"/>
    <w:rsid w:val="00372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1AFE9C39CC06E4CA5D9C3984560DA88" ma:contentTypeVersion="0" ma:contentTypeDescription="A content type to manage public (operations) IDB documents" ma:contentTypeScope="" ma:versionID="408395219fad92843872dc692cab1202">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38176023</IDBDocs_x0020_Number>
    <Document_x0020_Author xmlns="9c571b2f-e523-4ab2-ba2e-09e151a03ef4">von Horoch, Jorge Luis</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JA-L1046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Optional Links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18A84DB-35A8-4FD2-A0FB-FD56E0E9FE94}"/>
</file>

<file path=customXml/itemProps2.xml><?xml version="1.0" encoding="utf-8"?>
<ds:datastoreItem xmlns:ds="http://schemas.openxmlformats.org/officeDocument/2006/customXml" ds:itemID="{FC826A26-FDEB-47A5-A98E-1CDA4F7B8212}"/>
</file>

<file path=customXml/itemProps3.xml><?xml version="1.0" encoding="utf-8"?>
<ds:datastoreItem xmlns:ds="http://schemas.openxmlformats.org/officeDocument/2006/customXml" ds:itemID="{3872FC3F-07D4-4486-B2E8-B66024F27128}"/>
</file>

<file path=customXml/itemProps4.xml><?xml version="1.0" encoding="utf-8"?>
<ds:datastoreItem xmlns:ds="http://schemas.openxmlformats.org/officeDocument/2006/customXml" ds:itemID="{2A5D653E-A89C-4403-8F7E-E32737D959EA}"/>
</file>

<file path=customXml/itemProps5.xml><?xml version="1.0" encoding="utf-8"?>
<ds:datastoreItem xmlns:ds="http://schemas.openxmlformats.org/officeDocument/2006/customXml" ds:itemID="{70081C83-211F-4CCB-8E37-67591A6E5099}"/>
</file>

<file path=customXml/itemProps6.xml><?xml version="1.0" encoding="utf-8"?>
<ds:datastoreItem xmlns:ds="http://schemas.openxmlformats.org/officeDocument/2006/customXml" ds:itemID="{E480FB82-20F8-4E1D-891D-C58CC64992AB}"/>
</file>

<file path=docProps/app.xml><?xml version="1.0" encoding="utf-8"?>
<Properties xmlns="http://schemas.openxmlformats.org/officeDocument/2006/extended-properties" xmlns:vt="http://schemas.openxmlformats.org/officeDocument/2006/docPropsVTypes">
  <Template>Normal.dotm</Template>
  <TotalTime>1</TotalTime>
  <Pages>13</Pages>
  <Words>2823</Words>
  <Characters>16095</Characters>
  <Application>Microsoft Office Word</Application>
  <DocSecurity>0</DocSecurity>
  <Lines>134</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Analysis</dc:title>
  <dc:subject/>
  <dc:creator>Administrator</dc:creator>
  <cp:keywords/>
  <dc:description/>
  <cp:lastModifiedBy>Melissa</cp:lastModifiedBy>
  <cp:revision>3</cp:revision>
  <dcterms:created xsi:type="dcterms:W3CDTF">2013-10-30T17:16:00Z</dcterms:created>
  <dcterms:modified xsi:type="dcterms:W3CDTF">2013-11-07T15:29:00Z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0x01010046CF21643EE8D14686A648AA6DAD08920021AFE9C39CC06E4CA5D9C3984560DA88</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