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547" w:rsidRPr="00BA02D4" w:rsidRDefault="00F66547" w:rsidP="00F66547">
      <w:pPr>
        <w:spacing w:after="0" w:line="240" w:lineRule="auto"/>
        <w:ind w:left="-187"/>
        <w:jc w:val="center"/>
        <w:rPr>
          <w:b/>
        </w:rPr>
      </w:pPr>
      <w:r w:rsidRPr="00BA02D4">
        <w:rPr>
          <w:b/>
        </w:rPr>
        <w:t>Annex 1. Potential MOOCs</w:t>
      </w:r>
      <w:r>
        <w:rPr>
          <w:b/>
        </w:rPr>
        <w:t xml:space="preserve"> Description</w:t>
      </w:r>
    </w:p>
    <w:p w:rsidR="00F66547" w:rsidRPr="00BA02D4" w:rsidRDefault="00F66547" w:rsidP="00F66547">
      <w:pPr>
        <w:spacing w:after="0" w:line="240" w:lineRule="auto"/>
        <w:ind w:left="-187"/>
        <w:jc w:val="center"/>
        <w:rPr>
          <w:b/>
        </w:rPr>
      </w:pPr>
      <w:r w:rsidRPr="00BA02D4">
        <w:rPr>
          <w:b/>
        </w:rPr>
        <w:t xml:space="preserve">TC </w:t>
      </w:r>
      <w:r w:rsidR="00121A4F" w:rsidRPr="00121A4F">
        <w:rPr>
          <w:b/>
        </w:rPr>
        <w:t>Massive online educational technologies to leverage institutional capacities in LAC</w:t>
      </w:r>
      <w:bookmarkStart w:id="0" w:name="_GoBack"/>
      <w:bookmarkEnd w:id="0"/>
    </w:p>
    <w:tbl>
      <w:tblPr>
        <w:tblStyle w:val="TableGrid"/>
        <w:tblW w:w="5000" w:type="pct"/>
        <w:tblLook w:val="04A0" w:firstRow="1" w:lastRow="0" w:firstColumn="1" w:lastColumn="0" w:noHBand="0" w:noVBand="1"/>
      </w:tblPr>
      <w:tblGrid>
        <w:gridCol w:w="1637"/>
        <w:gridCol w:w="5401"/>
        <w:gridCol w:w="1279"/>
        <w:gridCol w:w="1979"/>
      </w:tblGrid>
      <w:tr w:rsidR="00F66547" w:rsidRPr="00BA02D4" w:rsidTr="001A3057">
        <w:trPr>
          <w:cantSplit/>
          <w:trHeight w:val="621"/>
          <w:tblHeader/>
        </w:trPr>
        <w:tc>
          <w:tcPr>
            <w:tcW w:w="795" w:type="pct"/>
            <w:vAlign w:val="center"/>
          </w:tcPr>
          <w:p w:rsidR="00F66547" w:rsidRPr="00BA02D4" w:rsidRDefault="00F66547" w:rsidP="001A3057">
            <w:pPr>
              <w:spacing w:before="120" w:after="120"/>
              <w:ind w:left="72"/>
              <w:rPr>
                <w:b/>
                <w:sz w:val="20"/>
                <w:szCs w:val="20"/>
              </w:rPr>
            </w:pPr>
            <w:r w:rsidRPr="00BA02D4">
              <w:rPr>
                <w:b/>
                <w:sz w:val="20"/>
                <w:szCs w:val="20"/>
              </w:rPr>
              <w:t>Topic</w:t>
            </w:r>
          </w:p>
        </w:tc>
        <w:tc>
          <w:tcPr>
            <w:tcW w:w="2623" w:type="pct"/>
          </w:tcPr>
          <w:p w:rsidR="00F66547" w:rsidRPr="00BA02D4" w:rsidRDefault="00F66547" w:rsidP="001A3057">
            <w:pPr>
              <w:spacing w:before="120" w:after="120"/>
              <w:ind w:left="49"/>
              <w:jc w:val="center"/>
              <w:rPr>
                <w:b/>
                <w:sz w:val="20"/>
                <w:szCs w:val="20"/>
              </w:rPr>
            </w:pPr>
            <w:r w:rsidRPr="00BA02D4">
              <w:rPr>
                <w:b/>
                <w:sz w:val="20"/>
                <w:szCs w:val="20"/>
              </w:rPr>
              <w:t>Description</w:t>
            </w:r>
          </w:p>
        </w:tc>
        <w:tc>
          <w:tcPr>
            <w:tcW w:w="621" w:type="pct"/>
          </w:tcPr>
          <w:p w:rsidR="00F66547" w:rsidRPr="00BA02D4" w:rsidRDefault="00F66547" w:rsidP="001A3057">
            <w:pPr>
              <w:spacing w:before="120" w:after="120"/>
              <w:ind w:left="49"/>
              <w:jc w:val="center"/>
              <w:rPr>
                <w:b/>
                <w:sz w:val="20"/>
                <w:szCs w:val="20"/>
              </w:rPr>
            </w:pPr>
            <w:r w:rsidRPr="00BA02D4">
              <w:rPr>
                <w:b/>
                <w:sz w:val="20"/>
                <w:szCs w:val="20"/>
              </w:rPr>
              <w:t>IDB Department</w:t>
            </w:r>
          </w:p>
        </w:tc>
        <w:tc>
          <w:tcPr>
            <w:tcW w:w="961" w:type="pct"/>
          </w:tcPr>
          <w:p w:rsidR="00F66547" w:rsidRPr="00BA02D4" w:rsidRDefault="00F66547" w:rsidP="001A3057">
            <w:pPr>
              <w:spacing w:before="120" w:after="120"/>
              <w:ind w:left="49"/>
              <w:jc w:val="center"/>
              <w:rPr>
                <w:b/>
                <w:sz w:val="20"/>
                <w:szCs w:val="20"/>
              </w:rPr>
            </w:pPr>
            <w:r w:rsidRPr="00BA02D4">
              <w:rPr>
                <w:b/>
                <w:sz w:val="20"/>
                <w:szCs w:val="20"/>
              </w:rPr>
              <w:t>Main Audience</w:t>
            </w:r>
          </w:p>
        </w:tc>
      </w:tr>
      <w:tr w:rsidR="00F66547" w:rsidRPr="00BA02D4" w:rsidTr="001A3057">
        <w:trPr>
          <w:cantSplit/>
          <w:trHeight w:val="1067"/>
        </w:trPr>
        <w:tc>
          <w:tcPr>
            <w:tcW w:w="795" w:type="pct"/>
            <w:vAlign w:val="center"/>
          </w:tcPr>
          <w:p w:rsidR="00F66547" w:rsidRPr="00BA02D4" w:rsidRDefault="00F66547" w:rsidP="001A3057">
            <w:pPr>
              <w:spacing w:before="120" w:after="120"/>
              <w:ind w:left="72"/>
              <w:rPr>
                <w:sz w:val="20"/>
                <w:szCs w:val="20"/>
              </w:rPr>
            </w:pPr>
            <w:r w:rsidRPr="00BA02D4">
              <w:rPr>
                <w:sz w:val="20"/>
                <w:szCs w:val="20"/>
              </w:rPr>
              <w:t>Management for Development Results phase 2 (2 courses)</w:t>
            </w:r>
          </w:p>
        </w:tc>
        <w:tc>
          <w:tcPr>
            <w:tcW w:w="2623" w:type="pct"/>
          </w:tcPr>
          <w:p w:rsidR="00F66547" w:rsidRPr="00BA02D4" w:rsidRDefault="00F66547" w:rsidP="001A3057">
            <w:pPr>
              <w:spacing w:before="120" w:after="120"/>
              <w:ind w:left="49"/>
              <w:rPr>
                <w:sz w:val="20"/>
                <w:szCs w:val="20"/>
              </w:rPr>
            </w:pPr>
            <w:r w:rsidRPr="00BA02D4">
              <w:rPr>
                <w:sz w:val="20"/>
                <w:szCs w:val="20"/>
              </w:rPr>
              <w:t>Managing for development results and its managerial focus contributes to addressing these challenges through a comprehensive effort involving different stages of the public management cycle, the use of information for decision-making, and the use of multiple instruments and methodologies.</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IFD</w:t>
            </w:r>
          </w:p>
        </w:tc>
        <w:tc>
          <w:tcPr>
            <w:tcW w:w="961" w:type="pct"/>
          </w:tcPr>
          <w:p w:rsidR="00F66547" w:rsidRPr="00BA02D4" w:rsidRDefault="00F66547" w:rsidP="001A3057">
            <w:pPr>
              <w:spacing w:before="120" w:after="120"/>
              <w:ind w:left="49"/>
              <w:jc w:val="center"/>
              <w:rPr>
                <w:sz w:val="20"/>
                <w:szCs w:val="20"/>
              </w:rPr>
            </w:pPr>
            <w:r w:rsidRPr="00BA02D4">
              <w:rPr>
                <w:sz w:val="20"/>
                <w:szCs w:val="20"/>
              </w:rPr>
              <w:t xml:space="preserve">Officials of national, regional or local governments </w:t>
            </w:r>
          </w:p>
        </w:tc>
      </w:tr>
      <w:tr w:rsidR="00F66547" w:rsidRPr="00BA02D4" w:rsidTr="001A3057">
        <w:trPr>
          <w:cantSplit/>
          <w:trHeight w:val="106"/>
        </w:trPr>
        <w:tc>
          <w:tcPr>
            <w:tcW w:w="795" w:type="pct"/>
            <w:vAlign w:val="center"/>
          </w:tcPr>
          <w:p w:rsidR="00F66547" w:rsidRPr="00BA02D4" w:rsidRDefault="00F66547" w:rsidP="001A3057">
            <w:pPr>
              <w:spacing w:before="120" w:after="120"/>
              <w:ind w:left="72"/>
              <w:rPr>
                <w:sz w:val="20"/>
                <w:szCs w:val="20"/>
              </w:rPr>
            </w:pPr>
            <w:r w:rsidRPr="00BA02D4">
              <w:rPr>
                <w:sz w:val="20"/>
                <w:szCs w:val="20"/>
              </w:rPr>
              <w:t>Urban Development and Housing in LAC</w:t>
            </w:r>
          </w:p>
        </w:tc>
        <w:tc>
          <w:tcPr>
            <w:tcW w:w="2623" w:type="pct"/>
          </w:tcPr>
          <w:p w:rsidR="00F66547" w:rsidRPr="00BA02D4" w:rsidRDefault="00F66547" w:rsidP="001A3057">
            <w:pPr>
              <w:spacing w:before="120" w:after="120"/>
              <w:ind w:left="49"/>
              <w:rPr>
                <w:sz w:val="20"/>
                <w:szCs w:val="20"/>
              </w:rPr>
            </w:pPr>
            <w:r w:rsidRPr="00BA02D4">
              <w:rPr>
                <w:sz w:val="20"/>
                <w:szCs w:val="20"/>
              </w:rPr>
              <w:t xml:space="preserve">Strengthening urban governance through planning policies including rental potential role in solving the major housing problems in the region. </w:t>
            </w:r>
            <w:r w:rsidRPr="00BA02D4">
              <w:t xml:space="preserve"> </w:t>
            </w:r>
            <w:r w:rsidRPr="00BA02D4">
              <w:rPr>
                <w:sz w:val="20"/>
                <w:szCs w:val="20"/>
              </w:rPr>
              <w:t xml:space="preserve">Based in the dialogue with national and municipal authorities, good practices and innovation, and high </w:t>
            </w:r>
            <w:proofErr w:type="spellStart"/>
            <w:r w:rsidRPr="00BA02D4">
              <w:rPr>
                <w:sz w:val="20"/>
                <w:szCs w:val="20"/>
              </w:rPr>
              <w:t>multisectorial</w:t>
            </w:r>
            <w:proofErr w:type="spellEnd"/>
            <w:r w:rsidRPr="00BA02D4">
              <w:rPr>
                <w:sz w:val="20"/>
                <w:szCs w:val="20"/>
              </w:rPr>
              <w:t xml:space="preserve"> technical approach.</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IFD</w:t>
            </w:r>
          </w:p>
        </w:tc>
        <w:tc>
          <w:tcPr>
            <w:tcW w:w="961" w:type="pct"/>
          </w:tcPr>
          <w:p w:rsidR="00F66547" w:rsidRPr="00BA02D4" w:rsidRDefault="00F66547" w:rsidP="001A3057">
            <w:pPr>
              <w:spacing w:before="120" w:after="120"/>
              <w:ind w:left="49"/>
              <w:jc w:val="center"/>
              <w:rPr>
                <w:sz w:val="20"/>
                <w:szCs w:val="20"/>
              </w:rPr>
            </w:pPr>
            <w:r w:rsidRPr="00BA02D4">
              <w:rPr>
                <w:sz w:val="20"/>
                <w:szCs w:val="20"/>
              </w:rPr>
              <w:t>Urban Planners, Private Sector,  Officials of local governments, Civil Society</w:t>
            </w:r>
          </w:p>
        </w:tc>
      </w:tr>
      <w:tr w:rsidR="00F66547" w:rsidRPr="00BA02D4" w:rsidTr="001A3057">
        <w:trPr>
          <w:cantSplit/>
          <w:trHeight w:val="91"/>
        </w:trPr>
        <w:tc>
          <w:tcPr>
            <w:tcW w:w="795" w:type="pct"/>
            <w:vAlign w:val="center"/>
          </w:tcPr>
          <w:p w:rsidR="00F66547" w:rsidRPr="00BA02D4" w:rsidRDefault="00F66547" w:rsidP="001A3057">
            <w:pPr>
              <w:spacing w:before="120" w:after="120"/>
              <w:ind w:left="72"/>
              <w:rPr>
                <w:sz w:val="20"/>
                <w:szCs w:val="20"/>
              </w:rPr>
            </w:pPr>
            <w:r w:rsidRPr="00BA02D4">
              <w:rPr>
                <w:sz w:val="20"/>
                <w:szCs w:val="20"/>
              </w:rPr>
              <w:t>Project Management for Results</w:t>
            </w:r>
          </w:p>
        </w:tc>
        <w:tc>
          <w:tcPr>
            <w:tcW w:w="2623" w:type="pct"/>
          </w:tcPr>
          <w:p w:rsidR="00F66547" w:rsidRPr="00BA02D4" w:rsidRDefault="00F66547" w:rsidP="001A3057">
            <w:pPr>
              <w:spacing w:before="120" w:after="120"/>
              <w:ind w:left="49"/>
              <w:rPr>
                <w:sz w:val="20"/>
                <w:szCs w:val="20"/>
              </w:rPr>
            </w:pPr>
            <w:r w:rsidRPr="00BA02D4">
              <w:rPr>
                <w:sz w:val="20"/>
                <w:szCs w:val="20"/>
              </w:rPr>
              <w:t>Strengthen the participant's project management knowledge, skills, attitudes, and practices, to enhance their individual and collective management skills, enabling them to spear ahead reforms aimed at improving the efficiency and effectiveness of public institutions and their ability to execute development projects.</w:t>
            </w:r>
          </w:p>
        </w:tc>
        <w:tc>
          <w:tcPr>
            <w:tcW w:w="621" w:type="pct"/>
          </w:tcPr>
          <w:p w:rsidR="00F66547" w:rsidRPr="00BA02D4" w:rsidRDefault="00F66547" w:rsidP="001A3057">
            <w:pPr>
              <w:spacing w:before="120" w:after="120"/>
              <w:ind w:left="49"/>
              <w:jc w:val="center"/>
              <w:rPr>
                <w:sz w:val="20"/>
                <w:szCs w:val="20"/>
              </w:rPr>
            </w:pPr>
            <w:r w:rsidRPr="00BA02D4">
              <w:rPr>
                <w:sz w:val="20"/>
                <w:szCs w:val="20"/>
              </w:rPr>
              <w:t>KNL</w:t>
            </w:r>
          </w:p>
        </w:tc>
        <w:tc>
          <w:tcPr>
            <w:tcW w:w="961" w:type="pct"/>
          </w:tcPr>
          <w:p w:rsidR="00F66547" w:rsidRPr="00BA02D4" w:rsidRDefault="00F66547" w:rsidP="001A3057">
            <w:pPr>
              <w:spacing w:before="120" w:after="120"/>
              <w:ind w:left="49"/>
              <w:jc w:val="center"/>
              <w:rPr>
                <w:sz w:val="20"/>
                <w:szCs w:val="20"/>
              </w:rPr>
            </w:pPr>
            <w:r w:rsidRPr="00BA02D4">
              <w:rPr>
                <w:sz w:val="20"/>
                <w:szCs w:val="20"/>
              </w:rPr>
              <w:t>Public institutions, government officials, civil society and NGOs who are managing development projects or programs</w:t>
            </w:r>
          </w:p>
        </w:tc>
      </w:tr>
      <w:tr w:rsidR="00F66547" w:rsidRPr="00BA02D4" w:rsidTr="001A3057">
        <w:trPr>
          <w:cantSplit/>
          <w:trHeight w:val="135"/>
        </w:trPr>
        <w:tc>
          <w:tcPr>
            <w:tcW w:w="795" w:type="pct"/>
            <w:vAlign w:val="center"/>
          </w:tcPr>
          <w:p w:rsidR="00F66547" w:rsidRPr="00BA02D4" w:rsidRDefault="00F66547" w:rsidP="001A3057">
            <w:pPr>
              <w:spacing w:before="120" w:after="120"/>
              <w:ind w:left="72"/>
              <w:rPr>
                <w:sz w:val="20"/>
                <w:szCs w:val="20"/>
              </w:rPr>
            </w:pPr>
            <w:r w:rsidRPr="00BA02D4">
              <w:rPr>
                <w:sz w:val="20"/>
                <w:szCs w:val="20"/>
              </w:rPr>
              <w:t>Public–Private Partnership phase 2</w:t>
            </w:r>
          </w:p>
          <w:p w:rsidR="00F66547" w:rsidRPr="00BA02D4" w:rsidRDefault="00F66547" w:rsidP="001A3057">
            <w:pPr>
              <w:spacing w:before="120" w:after="120"/>
              <w:ind w:left="72"/>
              <w:rPr>
                <w:sz w:val="20"/>
                <w:szCs w:val="20"/>
              </w:rPr>
            </w:pPr>
            <w:r w:rsidRPr="00BA02D4">
              <w:rPr>
                <w:sz w:val="20"/>
                <w:szCs w:val="20"/>
              </w:rPr>
              <w:t>(2 courses)</w:t>
            </w:r>
          </w:p>
        </w:tc>
        <w:tc>
          <w:tcPr>
            <w:tcW w:w="2623" w:type="pct"/>
          </w:tcPr>
          <w:p w:rsidR="00F66547" w:rsidRPr="00BA02D4" w:rsidRDefault="00F66547" w:rsidP="001A3057">
            <w:pPr>
              <w:spacing w:before="120" w:after="120"/>
              <w:ind w:left="49"/>
              <w:rPr>
                <w:sz w:val="20"/>
                <w:szCs w:val="20"/>
              </w:rPr>
            </w:pPr>
            <w:r w:rsidRPr="00BA02D4">
              <w:rPr>
                <w:sz w:val="20"/>
                <w:szCs w:val="20"/>
              </w:rPr>
              <w:t>LAC PPPs have become an indispensable tool to leverage growth. In the development and implementation of PPPs has been observed restrictions in the technical capabilities, particularly in managers in the public sector. The MOOCs seeks to close this knowledge gap. The phase 2 is going to develop PPPs in the social sector and PPPs in infrastructure</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IFD, INE, SCL</w:t>
            </w:r>
          </w:p>
        </w:tc>
        <w:tc>
          <w:tcPr>
            <w:tcW w:w="961" w:type="pct"/>
          </w:tcPr>
          <w:p w:rsidR="00F66547" w:rsidRPr="00BA02D4" w:rsidRDefault="00F66547" w:rsidP="001A3057">
            <w:pPr>
              <w:spacing w:before="120" w:after="120"/>
              <w:ind w:left="49"/>
              <w:jc w:val="center"/>
              <w:rPr>
                <w:sz w:val="20"/>
                <w:szCs w:val="20"/>
              </w:rPr>
            </w:pPr>
            <w:r w:rsidRPr="00BA02D4">
              <w:rPr>
                <w:sz w:val="20"/>
                <w:szCs w:val="20"/>
              </w:rPr>
              <w:t>National and subnational government officials, private sector, civil society</w:t>
            </w:r>
          </w:p>
        </w:tc>
      </w:tr>
      <w:tr w:rsidR="00F66547" w:rsidRPr="00BA02D4" w:rsidTr="001A3057">
        <w:trPr>
          <w:cantSplit/>
          <w:trHeight w:val="121"/>
        </w:trPr>
        <w:tc>
          <w:tcPr>
            <w:tcW w:w="795" w:type="pct"/>
            <w:vAlign w:val="center"/>
          </w:tcPr>
          <w:p w:rsidR="00F66547" w:rsidRPr="00BA02D4" w:rsidRDefault="00F66547" w:rsidP="001A3057">
            <w:pPr>
              <w:spacing w:before="120" w:after="120"/>
              <w:ind w:left="72"/>
              <w:rPr>
                <w:sz w:val="20"/>
                <w:szCs w:val="20"/>
              </w:rPr>
            </w:pPr>
            <w:r w:rsidRPr="00BA02D4">
              <w:rPr>
                <w:sz w:val="20"/>
                <w:szCs w:val="20"/>
              </w:rPr>
              <w:t>Water Resources Management</w:t>
            </w:r>
          </w:p>
        </w:tc>
        <w:tc>
          <w:tcPr>
            <w:tcW w:w="2623" w:type="pct"/>
          </w:tcPr>
          <w:p w:rsidR="00F66547" w:rsidRPr="00BA02D4" w:rsidRDefault="00F66547" w:rsidP="001A3057">
            <w:pPr>
              <w:spacing w:before="120" w:after="120"/>
              <w:ind w:left="49"/>
              <w:rPr>
                <w:sz w:val="20"/>
                <w:szCs w:val="20"/>
              </w:rPr>
            </w:pPr>
            <w:r w:rsidRPr="00BA02D4">
              <w:rPr>
                <w:sz w:val="20"/>
                <w:szCs w:val="20"/>
              </w:rPr>
              <w:t>Increase understanding of the use of water, its importance in society, their potential and resource allocation methods; understand the causes of the problems of fair and efficient allocation of water resources and the types of institutional solutions relating to water governance</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INE</w:t>
            </w:r>
          </w:p>
        </w:tc>
        <w:tc>
          <w:tcPr>
            <w:tcW w:w="961" w:type="pct"/>
          </w:tcPr>
          <w:p w:rsidR="00F66547" w:rsidRPr="00BA02D4" w:rsidRDefault="00F66547" w:rsidP="001A3057">
            <w:pPr>
              <w:spacing w:before="120" w:after="120"/>
              <w:ind w:left="49"/>
              <w:jc w:val="center"/>
              <w:rPr>
                <w:sz w:val="20"/>
                <w:szCs w:val="20"/>
              </w:rPr>
            </w:pPr>
            <w:r w:rsidRPr="00BA02D4">
              <w:rPr>
                <w:sz w:val="20"/>
                <w:szCs w:val="20"/>
              </w:rPr>
              <w:t>Public institutions, government officials, civil society and NGOs</w:t>
            </w:r>
          </w:p>
        </w:tc>
      </w:tr>
      <w:tr w:rsidR="00F66547" w:rsidRPr="00BA02D4" w:rsidTr="001A3057">
        <w:trPr>
          <w:cantSplit/>
          <w:trHeight w:val="121"/>
        </w:trPr>
        <w:tc>
          <w:tcPr>
            <w:tcW w:w="795" w:type="pct"/>
            <w:vAlign w:val="center"/>
          </w:tcPr>
          <w:p w:rsidR="00F66547" w:rsidRPr="00BA02D4" w:rsidRDefault="00F66547" w:rsidP="001A3057">
            <w:pPr>
              <w:spacing w:before="120" w:after="120"/>
              <w:ind w:left="72"/>
              <w:rPr>
                <w:sz w:val="20"/>
                <w:szCs w:val="20"/>
              </w:rPr>
            </w:pPr>
            <w:r w:rsidRPr="00BA02D4">
              <w:rPr>
                <w:sz w:val="20"/>
                <w:szCs w:val="20"/>
              </w:rPr>
              <w:t>Climate Change</w:t>
            </w:r>
          </w:p>
        </w:tc>
        <w:tc>
          <w:tcPr>
            <w:tcW w:w="2623" w:type="pct"/>
          </w:tcPr>
          <w:p w:rsidR="00F66547" w:rsidRPr="00BA02D4" w:rsidRDefault="00F66547" w:rsidP="001A3057">
            <w:pPr>
              <w:spacing w:before="120" w:after="120"/>
              <w:ind w:left="49"/>
              <w:rPr>
                <w:sz w:val="20"/>
                <w:szCs w:val="20"/>
              </w:rPr>
            </w:pPr>
            <w:r w:rsidRPr="00BA02D4">
              <w:rPr>
                <w:sz w:val="20"/>
                <w:szCs w:val="20"/>
              </w:rPr>
              <w:t>TBD</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INE</w:t>
            </w:r>
          </w:p>
        </w:tc>
        <w:tc>
          <w:tcPr>
            <w:tcW w:w="961" w:type="pct"/>
          </w:tcPr>
          <w:p w:rsidR="00F66547" w:rsidRPr="00BA02D4" w:rsidRDefault="00F66547" w:rsidP="001A3057">
            <w:pPr>
              <w:spacing w:before="120" w:after="120"/>
              <w:ind w:left="49"/>
              <w:jc w:val="center"/>
              <w:rPr>
                <w:sz w:val="20"/>
                <w:szCs w:val="20"/>
              </w:rPr>
            </w:pPr>
            <w:r w:rsidRPr="00BA02D4">
              <w:rPr>
                <w:sz w:val="20"/>
                <w:szCs w:val="20"/>
              </w:rPr>
              <w:t>TBD</w:t>
            </w:r>
          </w:p>
        </w:tc>
      </w:tr>
      <w:tr w:rsidR="00F66547" w:rsidRPr="00BA02D4" w:rsidTr="001A3057">
        <w:trPr>
          <w:cantSplit/>
          <w:trHeight w:val="121"/>
        </w:trPr>
        <w:tc>
          <w:tcPr>
            <w:tcW w:w="795" w:type="pct"/>
            <w:vAlign w:val="center"/>
          </w:tcPr>
          <w:p w:rsidR="00F66547" w:rsidRPr="00BA02D4" w:rsidRDefault="00F66547" w:rsidP="001A3057">
            <w:pPr>
              <w:spacing w:before="120" w:after="120"/>
              <w:ind w:left="72"/>
              <w:rPr>
                <w:sz w:val="20"/>
                <w:szCs w:val="20"/>
              </w:rPr>
            </w:pPr>
            <w:proofErr w:type="spellStart"/>
            <w:r w:rsidRPr="00BA02D4">
              <w:rPr>
                <w:sz w:val="20"/>
                <w:szCs w:val="20"/>
              </w:rPr>
              <w:t>Aquarating</w:t>
            </w:r>
            <w:proofErr w:type="spellEnd"/>
          </w:p>
        </w:tc>
        <w:tc>
          <w:tcPr>
            <w:tcW w:w="2623" w:type="pct"/>
          </w:tcPr>
          <w:p w:rsidR="00F66547" w:rsidRPr="00BA02D4" w:rsidRDefault="00F66547" w:rsidP="001A3057">
            <w:pPr>
              <w:spacing w:before="120" w:after="120"/>
              <w:ind w:left="49"/>
              <w:rPr>
                <w:sz w:val="20"/>
                <w:szCs w:val="20"/>
              </w:rPr>
            </w:pPr>
            <w:r w:rsidRPr="00BA02D4">
              <w:rPr>
                <w:sz w:val="20"/>
                <w:szCs w:val="20"/>
              </w:rPr>
              <w:t>Obtain better services in terms of quality, efficiency, sustainability and transparency through the assessment of the performance of water and sanitation service providers and the use of practices tools to an efficient management of a water and sanitation public or private company. The courses include two certificates, one for auditors and another for managers</w:t>
            </w:r>
          </w:p>
        </w:tc>
        <w:tc>
          <w:tcPr>
            <w:tcW w:w="621" w:type="pct"/>
          </w:tcPr>
          <w:p w:rsidR="00F66547" w:rsidRPr="00BA02D4" w:rsidRDefault="00F66547" w:rsidP="001A3057">
            <w:pPr>
              <w:spacing w:before="120" w:after="120"/>
              <w:ind w:left="49"/>
              <w:jc w:val="center"/>
              <w:rPr>
                <w:sz w:val="20"/>
                <w:szCs w:val="20"/>
              </w:rPr>
            </w:pPr>
            <w:r w:rsidRPr="00BA02D4">
              <w:rPr>
                <w:sz w:val="20"/>
                <w:szCs w:val="20"/>
              </w:rPr>
              <w:t>INE</w:t>
            </w:r>
          </w:p>
        </w:tc>
        <w:tc>
          <w:tcPr>
            <w:tcW w:w="961" w:type="pct"/>
          </w:tcPr>
          <w:p w:rsidR="00F66547" w:rsidRPr="00BA02D4" w:rsidRDefault="00F66547" w:rsidP="001A3057">
            <w:pPr>
              <w:spacing w:before="120" w:after="120"/>
              <w:ind w:left="49"/>
              <w:jc w:val="center"/>
              <w:rPr>
                <w:sz w:val="20"/>
                <w:szCs w:val="20"/>
              </w:rPr>
            </w:pPr>
            <w:r w:rsidRPr="00BA02D4">
              <w:rPr>
                <w:sz w:val="20"/>
                <w:szCs w:val="20"/>
              </w:rPr>
              <w:t>Public of private service providers, auditors, regulators, development agencies</w:t>
            </w:r>
          </w:p>
        </w:tc>
      </w:tr>
      <w:tr w:rsidR="00F66547" w:rsidRPr="00BA02D4" w:rsidTr="001A3057">
        <w:trPr>
          <w:cantSplit/>
          <w:trHeight w:val="70"/>
        </w:trPr>
        <w:tc>
          <w:tcPr>
            <w:tcW w:w="795" w:type="pct"/>
            <w:vAlign w:val="center"/>
          </w:tcPr>
          <w:p w:rsidR="00F66547" w:rsidRPr="00BA02D4" w:rsidRDefault="00F66547" w:rsidP="001A3057">
            <w:pPr>
              <w:spacing w:before="120" w:after="120"/>
              <w:ind w:left="72"/>
              <w:rPr>
                <w:sz w:val="20"/>
                <w:szCs w:val="20"/>
              </w:rPr>
            </w:pPr>
            <w:r w:rsidRPr="00BA02D4">
              <w:rPr>
                <w:sz w:val="20"/>
                <w:szCs w:val="20"/>
              </w:rPr>
              <w:lastRenderedPageBreak/>
              <w:t>Better Pensions, Better Jobs</w:t>
            </w:r>
          </w:p>
        </w:tc>
        <w:tc>
          <w:tcPr>
            <w:tcW w:w="2623" w:type="pct"/>
          </w:tcPr>
          <w:p w:rsidR="00F66547" w:rsidRPr="00BA02D4" w:rsidRDefault="00F66547" w:rsidP="001A3057">
            <w:pPr>
              <w:spacing w:before="120" w:after="120"/>
              <w:ind w:left="49"/>
              <w:rPr>
                <w:sz w:val="20"/>
                <w:szCs w:val="20"/>
              </w:rPr>
            </w:pPr>
            <w:r w:rsidRPr="00BA02D4">
              <w:rPr>
                <w:sz w:val="20"/>
                <w:szCs w:val="20"/>
              </w:rPr>
              <w:t>Comprehension of the complexities faced by the labor market in LAC, and as a result, in its pension system. Policies that may be formulated in different contexts of the Region which can lead to more efficient labor market systems, and therefore, offer “better pensions” to all senior citizens, and not just a few.</w:t>
            </w:r>
          </w:p>
        </w:tc>
        <w:tc>
          <w:tcPr>
            <w:tcW w:w="621" w:type="pct"/>
          </w:tcPr>
          <w:p w:rsidR="00F66547" w:rsidRPr="00BA02D4" w:rsidRDefault="00F66547" w:rsidP="001A3057">
            <w:pPr>
              <w:spacing w:before="120" w:after="120"/>
              <w:ind w:left="49"/>
              <w:jc w:val="center"/>
              <w:rPr>
                <w:sz w:val="20"/>
                <w:szCs w:val="20"/>
              </w:rPr>
            </w:pPr>
            <w:r w:rsidRPr="00BA02D4">
              <w:rPr>
                <w:sz w:val="20"/>
                <w:szCs w:val="20"/>
              </w:rPr>
              <w:t>SCL</w:t>
            </w:r>
          </w:p>
        </w:tc>
        <w:tc>
          <w:tcPr>
            <w:tcW w:w="961" w:type="pct"/>
          </w:tcPr>
          <w:p w:rsidR="00F66547" w:rsidRPr="00BA02D4" w:rsidRDefault="00F66547" w:rsidP="001A3057">
            <w:pPr>
              <w:spacing w:before="120" w:after="120"/>
              <w:ind w:left="49"/>
              <w:jc w:val="center"/>
              <w:rPr>
                <w:sz w:val="20"/>
                <w:szCs w:val="20"/>
              </w:rPr>
            </w:pPr>
            <w:r w:rsidRPr="00BA02D4">
              <w:rPr>
                <w:sz w:val="20"/>
                <w:szCs w:val="20"/>
              </w:rPr>
              <w:t>Government officials from national and subnational level, Civil Society</w:t>
            </w:r>
          </w:p>
        </w:tc>
      </w:tr>
      <w:tr w:rsidR="00F66547" w:rsidRPr="00BA02D4" w:rsidTr="001A3057">
        <w:trPr>
          <w:cantSplit/>
          <w:trHeight w:val="121"/>
        </w:trPr>
        <w:tc>
          <w:tcPr>
            <w:tcW w:w="795" w:type="pct"/>
            <w:vAlign w:val="center"/>
          </w:tcPr>
          <w:p w:rsidR="00F66547" w:rsidRPr="00BA02D4" w:rsidRDefault="00F66547" w:rsidP="001A3057">
            <w:pPr>
              <w:spacing w:before="120" w:after="120"/>
              <w:ind w:left="72"/>
              <w:rPr>
                <w:sz w:val="20"/>
                <w:szCs w:val="20"/>
              </w:rPr>
            </w:pPr>
            <w:r w:rsidRPr="00BA02D4">
              <w:rPr>
                <w:sz w:val="20"/>
                <w:szCs w:val="20"/>
              </w:rPr>
              <w:t xml:space="preserve">Social, Fiscal, and Macroeconomic Issues in LAC </w:t>
            </w:r>
          </w:p>
          <w:p w:rsidR="00F66547" w:rsidRPr="00BA02D4" w:rsidRDefault="00F66547" w:rsidP="001A3057">
            <w:pPr>
              <w:spacing w:before="120" w:after="120"/>
              <w:ind w:left="72"/>
              <w:rPr>
                <w:sz w:val="20"/>
                <w:szCs w:val="20"/>
              </w:rPr>
            </w:pPr>
            <w:r w:rsidRPr="00BA02D4">
              <w:rPr>
                <w:sz w:val="20"/>
                <w:szCs w:val="20"/>
              </w:rPr>
              <w:t>(3 courses)</w:t>
            </w:r>
          </w:p>
        </w:tc>
        <w:tc>
          <w:tcPr>
            <w:tcW w:w="2623" w:type="pct"/>
          </w:tcPr>
          <w:p w:rsidR="00F66547" w:rsidRPr="00BA02D4" w:rsidRDefault="00F66547" w:rsidP="001A3057">
            <w:pPr>
              <w:spacing w:before="120" w:after="120"/>
              <w:ind w:left="49"/>
              <w:rPr>
                <w:sz w:val="20"/>
                <w:szCs w:val="20"/>
              </w:rPr>
            </w:pPr>
            <w:r w:rsidRPr="00BA02D4">
              <w:rPr>
                <w:sz w:val="20"/>
                <w:szCs w:val="20"/>
              </w:rPr>
              <w:t>Trilogy of courses on Latin American reality: main problems and social development policies (social reality); problems commonly faced by managers of fiscal policies and methods for its attenuation (fiscal reality); problems and policies of growth and economic stability in Latin America (macroeconomic reality)</w:t>
            </w:r>
          </w:p>
        </w:tc>
        <w:tc>
          <w:tcPr>
            <w:tcW w:w="621" w:type="pct"/>
          </w:tcPr>
          <w:p w:rsidR="00F66547" w:rsidRPr="00BA02D4" w:rsidRDefault="00F66547" w:rsidP="001A3057">
            <w:pPr>
              <w:spacing w:before="120" w:after="120"/>
              <w:ind w:left="49"/>
              <w:jc w:val="center"/>
              <w:rPr>
                <w:sz w:val="20"/>
                <w:szCs w:val="20"/>
              </w:rPr>
            </w:pPr>
            <w:r w:rsidRPr="00BA02D4">
              <w:rPr>
                <w:sz w:val="20"/>
                <w:szCs w:val="20"/>
              </w:rPr>
              <w:t>RES</w:t>
            </w:r>
          </w:p>
        </w:tc>
        <w:tc>
          <w:tcPr>
            <w:tcW w:w="961" w:type="pct"/>
          </w:tcPr>
          <w:p w:rsidR="00F66547" w:rsidRPr="00BA02D4" w:rsidRDefault="00F66547" w:rsidP="001A3057">
            <w:pPr>
              <w:spacing w:before="120" w:after="120"/>
              <w:ind w:left="49"/>
              <w:jc w:val="center"/>
              <w:rPr>
                <w:sz w:val="20"/>
                <w:szCs w:val="20"/>
              </w:rPr>
            </w:pPr>
            <w:r w:rsidRPr="00BA02D4">
              <w:rPr>
                <w:sz w:val="20"/>
                <w:szCs w:val="20"/>
              </w:rPr>
              <w:t xml:space="preserve">Government officials from national and subnational level </w:t>
            </w:r>
          </w:p>
        </w:tc>
      </w:tr>
    </w:tbl>
    <w:p w:rsidR="00F66547" w:rsidRPr="00BA02D4" w:rsidRDefault="00F66547" w:rsidP="00F66547">
      <w:pPr>
        <w:spacing w:before="120" w:after="120"/>
        <w:ind w:left="-180"/>
        <w:jc w:val="both"/>
      </w:pPr>
    </w:p>
    <w:p w:rsidR="007B7736" w:rsidRDefault="007B7736"/>
    <w:sectPr w:rsidR="007B7736" w:rsidSect="00386BF5">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21A4F">
      <w:pPr>
        <w:spacing w:after="0" w:line="240" w:lineRule="auto"/>
      </w:pPr>
      <w:r>
        <w:separator/>
      </w:r>
    </w:p>
  </w:endnote>
  <w:endnote w:type="continuationSeparator" w:id="0">
    <w:p w:rsidR="00000000" w:rsidRDefault="00121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400406"/>
      <w:docPartObj>
        <w:docPartGallery w:val="Page Numbers (Bottom of Page)"/>
        <w:docPartUnique/>
      </w:docPartObj>
    </w:sdtPr>
    <w:sdtEndPr/>
    <w:sdtContent>
      <w:p w:rsidR="0095711B" w:rsidRDefault="005B4DAA">
        <w:pPr>
          <w:pStyle w:val="Footer"/>
          <w:jc w:val="center"/>
        </w:pPr>
        <w:r>
          <w:fldChar w:fldCharType="begin"/>
        </w:r>
        <w:r>
          <w:instrText xml:space="preserve"> PAGE   \* MERGEFORMAT </w:instrText>
        </w:r>
        <w:r>
          <w:fldChar w:fldCharType="separate"/>
        </w:r>
        <w:r w:rsidR="00121A4F">
          <w:rPr>
            <w:noProof/>
          </w:rPr>
          <w:t>1</w:t>
        </w:r>
        <w:r>
          <w:rPr>
            <w:noProof/>
          </w:rPr>
          <w:fldChar w:fldCharType="end"/>
        </w:r>
      </w:p>
    </w:sdtContent>
  </w:sdt>
  <w:p w:rsidR="0095711B" w:rsidRDefault="00121A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21A4F">
      <w:pPr>
        <w:spacing w:after="0" w:line="240" w:lineRule="auto"/>
      </w:pPr>
      <w:r>
        <w:separator/>
      </w:r>
    </w:p>
  </w:footnote>
  <w:footnote w:type="continuationSeparator" w:id="0">
    <w:p w:rsidR="00000000" w:rsidRDefault="00121A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547"/>
    <w:rsid w:val="00121A4F"/>
    <w:rsid w:val="005B4DAA"/>
    <w:rsid w:val="007B7736"/>
    <w:rsid w:val="00F6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4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66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547"/>
    <w:rPr>
      <w:rFonts w:eastAsiaTheme="minorEastAsia"/>
    </w:rPr>
  </w:style>
  <w:style w:type="table" w:styleId="TableGrid">
    <w:name w:val="Table Grid"/>
    <w:basedOn w:val="TableNormal"/>
    <w:uiPriority w:val="59"/>
    <w:rsid w:val="00F6654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4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66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547"/>
    <w:rPr>
      <w:rFonts w:eastAsiaTheme="minorEastAsia"/>
    </w:rPr>
  </w:style>
  <w:style w:type="table" w:styleId="TableGrid">
    <w:name w:val="Table Grid"/>
    <w:basedOn w:val="TableNormal"/>
    <w:uiPriority w:val="59"/>
    <w:rsid w:val="00F6654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C2E69023E423F43AE9C4FCB2A45E2E7" ma:contentTypeVersion="0" ma:contentTypeDescription="A content type to manage public (operations) IDB documents" ma:contentTypeScope="" ma:versionID="aa62f64fa41b9a6be63e371055b0cabd">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TC Annex for OS operations</Disclosure_x0020_Activity>
    <Key_x0020_Document xmlns="9c571b2f-e523-4ab2-ba2e-09e151a03ef4">false</Key_x0020_Document>
    <Division_x0020_or_x0020_Unit xmlns="9c571b2f-e523-4ab2-ba2e-09e151a03ef4">KNL/SDI</Division_x0020_or_x0020_Unit>
    <Other_x0020_Author xmlns="9c571b2f-e523-4ab2-ba2e-09e151a03ef4" xsi:nil="true"/>
    <Region xmlns="9c571b2f-e523-4ab2-ba2e-09e151a03ef4" xsi:nil="true"/>
    <IDBDocs_x0020_Number xmlns="9c571b2f-e523-4ab2-ba2e-09e151a03ef4">38845175</IDBDocs_x0020_Number>
    <Document_x0020_Author xmlns="9c571b2f-e523-4ab2-ba2e-09e151a03ef4">Coton Gutierrez, Xenia Libertad</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RG-T2510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WORD&lt;/APPLICATION&gt;&lt;USER_STAGE&gt;TC Annex for OS operations&lt;/USER_STAGE&gt;&lt;PD_OBJ_TYPE&gt;0&lt;/PD_OBJ_TYPE&gt;&lt;MAKERECORD&gt;N&lt;/MAKERECORD&gt;&lt;/Data&gt;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GE-PUB</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7B9EFA9-147C-4722-83B5-CF5AD553C315}"/>
</file>

<file path=customXml/itemProps2.xml><?xml version="1.0" encoding="utf-8"?>
<ds:datastoreItem xmlns:ds="http://schemas.openxmlformats.org/officeDocument/2006/customXml" ds:itemID="{B3420B38-30FD-4835-91C0-76648A8A7046}"/>
</file>

<file path=customXml/itemProps3.xml><?xml version="1.0" encoding="utf-8"?>
<ds:datastoreItem xmlns:ds="http://schemas.openxmlformats.org/officeDocument/2006/customXml" ds:itemID="{2822BD23-A365-4FA7-931F-CC64F54A31E2}"/>
</file>

<file path=customXml/itemProps4.xml><?xml version="1.0" encoding="utf-8"?>
<ds:datastoreItem xmlns:ds="http://schemas.openxmlformats.org/officeDocument/2006/customXml" ds:itemID="{8BF56CA8-0B53-4E0F-AE48-71B1666DF47E}"/>
</file>

<file path=customXml/itemProps5.xml><?xml version="1.0" encoding="utf-8"?>
<ds:datastoreItem xmlns:ds="http://schemas.openxmlformats.org/officeDocument/2006/customXml" ds:itemID="{F15C354A-36F2-476B-8D0F-31E9EA165D8D}"/>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3112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1_ TC_Abstract_Massive online educational technologies to leverage institutional capacities in LAC</dc:title>
  <dc:subject/>
  <dc:creator>XENIA</dc:creator>
  <cp:keywords/>
  <dc:description/>
  <cp:lastModifiedBy>XENIA</cp:lastModifiedBy>
  <cp:revision>2</cp:revision>
  <dcterms:created xsi:type="dcterms:W3CDTF">2014-06-06T21:46:00Z</dcterms:created>
  <dcterms:modified xsi:type="dcterms:W3CDTF">2014-06-06T21:46:00Z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0x01010046CF21643EE8D14686A648AA6DAD089200FC2E69023E423F43AE9C4FCB2A45E2E7</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