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167DE8" w14:textId="77777777" w:rsidR="009E5BCE" w:rsidRDefault="00480967">
      <w:pPr>
        <w:spacing w:before="200" w:after="200"/>
        <w:jc w:val="center"/>
      </w:pPr>
      <w:r>
        <w:rPr>
          <w:rFonts w:ascii="Arial" w:hAnsi="Arial" w:cs="Arial"/>
          <w:b/>
        </w:rPr>
        <w:t>TC ABSTRACT</w:t>
      </w:r>
    </w:p>
    <w:p w14:paraId="71E90146" w14:textId="77777777" w:rsidR="009E5BCE" w:rsidRDefault="00480967">
      <w:pPr>
        <w:spacing w:before="120" w:after="120"/>
        <w:ind w:left="579" w:hanging="579"/>
      </w:pPr>
      <w:r>
        <w:rPr>
          <w:rFonts w:ascii="Arial" w:hAnsi="Arial" w:cs="Arial"/>
          <w:b/>
        </w:rPr>
        <w:t>I.</w:t>
      </w:r>
      <w:r>
        <w:rPr>
          <w:rFonts w:ascii="Arial" w:hAnsi="Arial" w:cs="Arial"/>
          <w:b/>
        </w:rPr>
        <w:tab/>
        <w:t>Basic Project Data</w:t>
      </w:r>
    </w:p>
    <w:tbl>
      <w:tblPr>
        <w:tblStyle w:val="TableGrid"/>
        <w:tblW w:w="8424" w:type="dxa"/>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3834"/>
        <w:gridCol w:w="4590"/>
      </w:tblGrid>
      <w:tr w:rsidR="009E5BCE" w14:paraId="6E972763" w14:textId="77777777" w:rsidTr="00480967">
        <w:trPr>
          <w:jc w:val="center"/>
        </w:trPr>
        <w:tc>
          <w:tcPr>
            <w:tcW w:w="3834" w:type="dxa"/>
          </w:tcPr>
          <w:p w14:paraId="12E2CC06" w14:textId="77777777" w:rsidR="009E5BCE" w:rsidRDefault="00480967">
            <w:pPr>
              <w:spacing w:before="40" w:after="40"/>
              <w:ind w:left="115" w:hanging="115"/>
            </w:pPr>
            <w:r>
              <w:rPr>
                <w:rFonts w:ascii="Arial" w:hAnsi="Arial" w:cs="Arial"/>
                <w:sz w:val="18"/>
                <w:szCs w:val="18"/>
              </w:rPr>
              <w:t>▪</w:t>
            </w:r>
            <w:r>
              <w:rPr>
                <w:rFonts w:ascii="Arial" w:hAnsi="Arial" w:cs="Arial"/>
                <w:sz w:val="18"/>
                <w:szCs w:val="18"/>
              </w:rPr>
              <w:t xml:space="preserve"> Country/Region:</w:t>
            </w:r>
          </w:p>
        </w:tc>
        <w:tc>
          <w:tcPr>
            <w:tcW w:w="4590" w:type="dxa"/>
          </w:tcPr>
          <w:p w14:paraId="21B9C3BE" w14:textId="77777777" w:rsidR="009E5BCE" w:rsidRDefault="00480967">
            <w:pPr>
              <w:spacing w:before="40" w:after="40"/>
            </w:pPr>
            <w:r>
              <w:rPr>
                <w:rFonts w:ascii="Arial" w:hAnsi="Arial" w:cs="Arial"/>
                <w:sz w:val="18"/>
                <w:szCs w:val="18"/>
              </w:rPr>
              <w:t>REGIONAL/IDB</w:t>
            </w:r>
          </w:p>
        </w:tc>
      </w:tr>
      <w:tr w:rsidR="009E5BCE" w14:paraId="08293E1A" w14:textId="77777777" w:rsidTr="00480967">
        <w:trPr>
          <w:jc w:val="center"/>
        </w:trPr>
        <w:tc>
          <w:tcPr>
            <w:tcW w:w="3834" w:type="dxa"/>
          </w:tcPr>
          <w:p w14:paraId="37CEF93A" w14:textId="77777777" w:rsidR="009E5BCE" w:rsidRDefault="00480967">
            <w:pPr>
              <w:spacing w:before="40" w:after="40"/>
              <w:ind w:left="115" w:hanging="115"/>
            </w:pPr>
            <w:r>
              <w:rPr>
                <w:rFonts w:ascii="Arial" w:hAnsi="Arial" w:cs="Arial"/>
                <w:sz w:val="18"/>
                <w:szCs w:val="18"/>
              </w:rPr>
              <w:t>▪</w:t>
            </w:r>
            <w:r>
              <w:rPr>
                <w:rFonts w:ascii="Arial" w:hAnsi="Arial" w:cs="Arial"/>
                <w:sz w:val="18"/>
                <w:szCs w:val="18"/>
              </w:rPr>
              <w:t xml:space="preserve"> TC Name:</w:t>
            </w:r>
          </w:p>
        </w:tc>
        <w:tc>
          <w:tcPr>
            <w:tcW w:w="4590" w:type="dxa"/>
          </w:tcPr>
          <w:p w14:paraId="1A3BEE14" w14:textId="77777777" w:rsidR="009E5BCE" w:rsidRDefault="00480967">
            <w:pPr>
              <w:spacing w:before="40" w:after="40"/>
            </w:pPr>
            <w:r>
              <w:rPr>
                <w:rFonts w:ascii="Arial" w:hAnsi="Arial" w:cs="Arial"/>
                <w:sz w:val="18"/>
                <w:szCs w:val="18"/>
              </w:rPr>
              <w:t>Digital Platform for Municipal Citizen Security Plans</w:t>
            </w:r>
          </w:p>
        </w:tc>
      </w:tr>
      <w:tr w:rsidR="009E5BCE" w14:paraId="4F5EC119" w14:textId="77777777" w:rsidTr="00480967">
        <w:trPr>
          <w:jc w:val="center"/>
        </w:trPr>
        <w:tc>
          <w:tcPr>
            <w:tcW w:w="3834" w:type="dxa"/>
          </w:tcPr>
          <w:p w14:paraId="31400DD7" w14:textId="77777777" w:rsidR="009E5BCE" w:rsidRDefault="00480967">
            <w:pPr>
              <w:spacing w:before="40" w:after="40"/>
              <w:ind w:left="115" w:hanging="115"/>
            </w:pPr>
            <w:r>
              <w:rPr>
                <w:rFonts w:ascii="Arial" w:hAnsi="Arial" w:cs="Arial"/>
                <w:sz w:val="18"/>
                <w:szCs w:val="18"/>
              </w:rPr>
              <w:t>▪</w:t>
            </w:r>
            <w:r>
              <w:rPr>
                <w:rFonts w:ascii="Arial" w:hAnsi="Arial" w:cs="Arial"/>
                <w:sz w:val="18"/>
                <w:szCs w:val="18"/>
              </w:rPr>
              <w:t xml:space="preserve"> TC Number:</w:t>
            </w:r>
          </w:p>
        </w:tc>
        <w:tc>
          <w:tcPr>
            <w:tcW w:w="4590" w:type="dxa"/>
          </w:tcPr>
          <w:p w14:paraId="015FB2E6" w14:textId="77777777" w:rsidR="009E5BCE" w:rsidRDefault="00480967">
            <w:pPr>
              <w:spacing w:before="40" w:after="40"/>
            </w:pPr>
            <w:r>
              <w:rPr>
                <w:rFonts w:ascii="Arial" w:hAnsi="Arial" w:cs="Arial"/>
                <w:sz w:val="18"/>
                <w:szCs w:val="18"/>
              </w:rPr>
              <w:t>RG-T4208</w:t>
            </w:r>
          </w:p>
        </w:tc>
      </w:tr>
      <w:tr w:rsidR="009E5BCE" w:rsidRPr="00480967" w14:paraId="037A1B0A" w14:textId="77777777" w:rsidTr="00480967">
        <w:trPr>
          <w:jc w:val="center"/>
        </w:trPr>
        <w:tc>
          <w:tcPr>
            <w:tcW w:w="3834" w:type="dxa"/>
          </w:tcPr>
          <w:p w14:paraId="0122C7FC" w14:textId="77777777" w:rsidR="009E5BCE" w:rsidRDefault="00480967">
            <w:pPr>
              <w:spacing w:before="40" w:after="40"/>
              <w:ind w:left="115" w:hanging="115"/>
            </w:pPr>
            <w:r>
              <w:rPr>
                <w:rFonts w:ascii="Arial" w:hAnsi="Arial" w:cs="Arial"/>
                <w:sz w:val="18"/>
                <w:szCs w:val="18"/>
              </w:rPr>
              <w:t>▪</w:t>
            </w:r>
            <w:r>
              <w:rPr>
                <w:rFonts w:ascii="Arial" w:hAnsi="Arial" w:cs="Arial"/>
                <w:sz w:val="18"/>
                <w:szCs w:val="18"/>
              </w:rPr>
              <w:t xml:space="preserve"> Team Leader/Members:</w:t>
            </w:r>
          </w:p>
        </w:tc>
        <w:tc>
          <w:tcPr>
            <w:tcW w:w="4590" w:type="dxa"/>
          </w:tcPr>
          <w:p w14:paraId="2E5EBCB4" w14:textId="209FBE2B" w:rsidR="009E5BCE" w:rsidRPr="00480967" w:rsidRDefault="00480967" w:rsidP="00480967">
            <w:pPr>
              <w:spacing w:before="40" w:after="40"/>
              <w:jc w:val="both"/>
              <w:rPr>
                <w:lang w:val="es-419"/>
              </w:rPr>
            </w:pPr>
            <w:r w:rsidRPr="00732C27">
              <w:rPr>
                <w:rFonts w:ascii="Arial" w:hAnsi="Arial" w:cs="Arial"/>
                <w:sz w:val="18"/>
                <w:szCs w:val="18"/>
                <w:lang w:val="es-419"/>
              </w:rPr>
              <w:t xml:space="preserve">Serrano Berthet, Rodrigo (IFD/ICS) Líder del Equipo; </w:t>
            </w:r>
            <w:proofErr w:type="spellStart"/>
            <w:r w:rsidRPr="00732C27">
              <w:rPr>
                <w:rFonts w:ascii="Arial" w:hAnsi="Arial" w:cs="Arial"/>
                <w:sz w:val="18"/>
                <w:szCs w:val="18"/>
                <w:lang w:val="es-419"/>
              </w:rPr>
              <w:t>Sposito</w:t>
            </w:r>
            <w:proofErr w:type="spellEnd"/>
            <w:r w:rsidRPr="00732C27">
              <w:rPr>
                <w:rFonts w:ascii="Arial" w:hAnsi="Arial" w:cs="Arial"/>
                <w:sz w:val="18"/>
                <w:szCs w:val="18"/>
                <w:lang w:val="es-419"/>
              </w:rPr>
              <w:t xml:space="preserve"> Gutierrez, Ana Laura (KIC/ISU) Jefe Alterno del Equipo de Proyecto; Alvarado, Nathalie Tatiana (IFD/ICS); JULIA DIAS (KIC/ICD); </w:t>
            </w:r>
            <w:proofErr w:type="spellStart"/>
            <w:r w:rsidRPr="00732C27">
              <w:rPr>
                <w:rFonts w:ascii="Arial" w:hAnsi="Arial" w:cs="Arial"/>
                <w:sz w:val="18"/>
                <w:szCs w:val="18"/>
                <w:lang w:val="es-419"/>
              </w:rPr>
              <w:t>Seabra</w:t>
            </w:r>
            <w:proofErr w:type="spellEnd"/>
            <w:r w:rsidRPr="00732C27">
              <w:rPr>
                <w:rFonts w:ascii="Arial" w:hAnsi="Arial" w:cs="Arial"/>
                <w:sz w:val="18"/>
                <w:szCs w:val="18"/>
                <w:lang w:val="es-419"/>
              </w:rPr>
              <w:t>, Juliano (KIC/ICD); Doris Henriquez (</w:t>
            </w:r>
            <w:proofErr w:type="spellStart"/>
            <w:r w:rsidRPr="00732C27">
              <w:rPr>
                <w:rFonts w:ascii="Arial" w:hAnsi="Arial" w:cs="Arial"/>
                <w:sz w:val="18"/>
                <w:szCs w:val="18"/>
                <w:lang w:val="es-419"/>
              </w:rPr>
              <w:t>Ifd</w:t>
            </w:r>
            <w:proofErr w:type="spellEnd"/>
            <w:r w:rsidRPr="00732C27">
              <w:rPr>
                <w:rFonts w:ascii="Arial" w:hAnsi="Arial" w:cs="Arial"/>
                <w:sz w:val="18"/>
                <w:szCs w:val="18"/>
                <w:lang w:val="es-419"/>
              </w:rPr>
              <w:t>/</w:t>
            </w:r>
            <w:proofErr w:type="spellStart"/>
            <w:r w:rsidRPr="00732C27">
              <w:rPr>
                <w:rFonts w:ascii="Arial" w:hAnsi="Arial" w:cs="Arial"/>
                <w:sz w:val="18"/>
                <w:szCs w:val="18"/>
                <w:lang w:val="es-419"/>
              </w:rPr>
              <w:t>Ics</w:t>
            </w:r>
            <w:proofErr w:type="spellEnd"/>
            <w:r w:rsidRPr="00732C27">
              <w:rPr>
                <w:rFonts w:ascii="Arial" w:hAnsi="Arial" w:cs="Arial"/>
                <w:sz w:val="18"/>
                <w:szCs w:val="18"/>
                <w:lang w:val="es-419"/>
              </w:rPr>
              <w:t>); Rojas Gonzalez, Sonia Amalia (</w:t>
            </w:r>
            <w:proofErr w:type="spellStart"/>
            <w:r w:rsidRPr="00732C27">
              <w:rPr>
                <w:rFonts w:ascii="Arial" w:hAnsi="Arial" w:cs="Arial"/>
                <w:sz w:val="18"/>
                <w:szCs w:val="18"/>
                <w:lang w:val="es-419"/>
              </w:rPr>
              <w:t>Ifd</w:t>
            </w:r>
            <w:proofErr w:type="spellEnd"/>
            <w:r w:rsidRPr="00732C27">
              <w:rPr>
                <w:rFonts w:ascii="Arial" w:hAnsi="Arial" w:cs="Arial"/>
                <w:sz w:val="18"/>
                <w:szCs w:val="18"/>
                <w:lang w:val="es-419"/>
              </w:rPr>
              <w:t>/</w:t>
            </w:r>
            <w:proofErr w:type="spellStart"/>
            <w:r w:rsidRPr="00732C27">
              <w:rPr>
                <w:rFonts w:ascii="Arial" w:hAnsi="Arial" w:cs="Arial"/>
                <w:sz w:val="18"/>
                <w:szCs w:val="18"/>
                <w:lang w:val="es-419"/>
              </w:rPr>
              <w:t>Ics</w:t>
            </w:r>
            <w:proofErr w:type="spellEnd"/>
            <w:r w:rsidRPr="00732C27">
              <w:rPr>
                <w:rFonts w:ascii="Arial" w:hAnsi="Arial" w:cs="Arial"/>
                <w:sz w:val="18"/>
                <w:szCs w:val="18"/>
                <w:lang w:val="es-419"/>
              </w:rPr>
              <w:t>); Sara Vila Saintetienne (LEG/SGO); Mariana Catano Jorgenson (IFD/ICS); Hugo Angel (ITE/IPS)</w:t>
            </w:r>
            <w:r>
              <w:rPr>
                <w:rFonts w:ascii="Arial" w:hAnsi="Arial" w:cs="Arial"/>
                <w:sz w:val="18"/>
                <w:szCs w:val="18"/>
                <w:lang w:val="es-419"/>
              </w:rPr>
              <w:t>.</w:t>
            </w:r>
          </w:p>
        </w:tc>
      </w:tr>
      <w:tr w:rsidR="009E5BCE" w14:paraId="381DE2BA" w14:textId="77777777" w:rsidTr="00480967">
        <w:trPr>
          <w:jc w:val="center"/>
        </w:trPr>
        <w:tc>
          <w:tcPr>
            <w:tcW w:w="3834" w:type="dxa"/>
          </w:tcPr>
          <w:p w14:paraId="7E6BFED8" w14:textId="77777777" w:rsidR="009E5BCE" w:rsidRDefault="00480967">
            <w:pPr>
              <w:spacing w:before="40" w:after="40"/>
              <w:ind w:left="115" w:hanging="115"/>
            </w:pPr>
            <w:r>
              <w:rPr>
                <w:rFonts w:ascii="Arial" w:hAnsi="Arial" w:cs="Arial"/>
                <w:sz w:val="18"/>
                <w:szCs w:val="18"/>
              </w:rPr>
              <w:t>▪</w:t>
            </w:r>
            <w:r>
              <w:rPr>
                <w:rFonts w:ascii="Arial" w:hAnsi="Arial" w:cs="Arial"/>
                <w:sz w:val="18"/>
                <w:szCs w:val="18"/>
              </w:rPr>
              <w:t xml:space="preserve"> Taxonomy:</w:t>
            </w:r>
          </w:p>
        </w:tc>
        <w:tc>
          <w:tcPr>
            <w:tcW w:w="4590" w:type="dxa"/>
          </w:tcPr>
          <w:p w14:paraId="101CB379" w14:textId="77777777" w:rsidR="009E5BCE" w:rsidRDefault="00480967">
            <w:pPr>
              <w:spacing w:before="40" w:after="40"/>
            </w:pPr>
            <w:r>
              <w:rPr>
                <w:rFonts w:ascii="Arial" w:hAnsi="Arial" w:cs="Arial"/>
                <w:sz w:val="18"/>
                <w:szCs w:val="18"/>
              </w:rPr>
              <w:t>Client Support</w:t>
            </w:r>
          </w:p>
        </w:tc>
      </w:tr>
      <w:tr w:rsidR="009E5BCE" w14:paraId="3B8092E0" w14:textId="77777777" w:rsidTr="00480967">
        <w:trPr>
          <w:jc w:val="center"/>
        </w:trPr>
        <w:tc>
          <w:tcPr>
            <w:tcW w:w="3834" w:type="dxa"/>
          </w:tcPr>
          <w:p w14:paraId="6D8FD521" w14:textId="77777777" w:rsidR="009E5BCE" w:rsidRDefault="00480967">
            <w:pPr>
              <w:spacing w:before="40" w:after="40"/>
              <w:ind w:left="115" w:hanging="115"/>
            </w:pPr>
            <w:r>
              <w:rPr>
                <w:rFonts w:ascii="Arial" w:hAnsi="Arial" w:cs="Arial"/>
                <w:sz w:val="18"/>
                <w:szCs w:val="18"/>
              </w:rPr>
              <w:t>▪</w:t>
            </w:r>
            <w:r>
              <w:rPr>
                <w:rFonts w:ascii="Arial" w:hAnsi="Arial" w:cs="Arial"/>
                <w:sz w:val="18"/>
                <w:szCs w:val="18"/>
              </w:rPr>
              <w:t xml:space="preserve"> Number and name of operation supported by the TC:</w:t>
            </w:r>
          </w:p>
        </w:tc>
        <w:tc>
          <w:tcPr>
            <w:tcW w:w="4590" w:type="dxa"/>
          </w:tcPr>
          <w:p w14:paraId="41F051D8" w14:textId="77777777" w:rsidR="009E5BCE" w:rsidRDefault="00480967">
            <w:pPr>
              <w:spacing w:before="40" w:after="40"/>
            </w:pPr>
            <w:r>
              <w:rPr>
                <w:rFonts w:ascii="Arial" w:hAnsi="Arial" w:cs="Arial"/>
                <w:sz w:val="18"/>
                <w:szCs w:val="18"/>
              </w:rPr>
              <w:t>N/A</w:t>
            </w:r>
          </w:p>
        </w:tc>
      </w:tr>
      <w:tr w:rsidR="009E5BCE" w14:paraId="499E1C43" w14:textId="77777777" w:rsidTr="00480967">
        <w:trPr>
          <w:jc w:val="center"/>
        </w:trPr>
        <w:tc>
          <w:tcPr>
            <w:tcW w:w="3834" w:type="dxa"/>
          </w:tcPr>
          <w:p w14:paraId="4E8F792F" w14:textId="77777777" w:rsidR="009E5BCE" w:rsidRDefault="00480967">
            <w:pPr>
              <w:spacing w:before="40" w:after="40"/>
              <w:ind w:left="115" w:hanging="115"/>
            </w:pPr>
            <w:r>
              <w:rPr>
                <w:rFonts w:ascii="Arial" w:hAnsi="Arial" w:cs="Arial"/>
                <w:sz w:val="18"/>
                <w:szCs w:val="18"/>
              </w:rPr>
              <w:t>▪</w:t>
            </w:r>
            <w:r>
              <w:rPr>
                <w:rFonts w:ascii="Arial" w:hAnsi="Arial" w:cs="Arial"/>
                <w:sz w:val="18"/>
                <w:szCs w:val="18"/>
              </w:rPr>
              <w:t xml:space="preserve"> Date of TC Abstract:</w:t>
            </w:r>
          </w:p>
        </w:tc>
        <w:tc>
          <w:tcPr>
            <w:tcW w:w="4590" w:type="dxa"/>
          </w:tcPr>
          <w:p w14:paraId="7128E9CC" w14:textId="77777777" w:rsidR="009E5BCE" w:rsidRDefault="00480967">
            <w:pPr>
              <w:spacing w:before="40" w:after="40"/>
            </w:pPr>
            <w:r>
              <w:rPr>
                <w:rFonts w:ascii="Arial" w:hAnsi="Arial" w:cs="Arial"/>
                <w:sz w:val="18"/>
                <w:szCs w:val="18"/>
              </w:rPr>
              <w:t>14 Oct 2022</w:t>
            </w:r>
          </w:p>
        </w:tc>
      </w:tr>
      <w:tr w:rsidR="009E5BCE" w14:paraId="6E5A8ABE" w14:textId="77777777" w:rsidTr="00480967">
        <w:trPr>
          <w:jc w:val="center"/>
        </w:trPr>
        <w:tc>
          <w:tcPr>
            <w:tcW w:w="3834" w:type="dxa"/>
          </w:tcPr>
          <w:p w14:paraId="51AF1892" w14:textId="77777777" w:rsidR="009E5BCE" w:rsidRDefault="00480967">
            <w:pPr>
              <w:spacing w:before="40" w:after="40"/>
              <w:ind w:left="115" w:hanging="115"/>
            </w:pPr>
            <w:r>
              <w:rPr>
                <w:rFonts w:ascii="Arial" w:hAnsi="Arial" w:cs="Arial"/>
                <w:sz w:val="18"/>
                <w:szCs w:val="18"/>
              </w:rPr>
              <w:t>▪</w:t>
            </w:r>
            <w:r>
              <w:rPr>
                <w:rFonts w:ascii="Arial" w:hAnsi="Arial" w:cs="Arial"/>
                <w:sz w:val="18"/>
                <w:szCs w:val="18"/>
              </w:rPr>
              <w:t xml:space="preserve"> Beneficiary:</w:t>
            </w:r>
          </w:p>
        </w:tc>
        <w:tc>
          <w:tcPr>
            <w:tcW w:w="4590" w:type="dxa"/>
          </w:tcPr>
          <w:p w14:paraId="454E77E6" w14:textId="77777777" w:rsidR="009E5BCE" w:rsidRDefault="00480967">
            <w:pPr>
              <w:spacing w:before="40" w:after="40"/>
            </w:pPr>
            <w:r>
              <w:rPr>
                <w:rFonts w:ascii="Arial" w:hAnsi="Arial" w:cs="Arial"/>
                <w:sz w:val="18"/>
                <w:szCs w:val="18"/>
              </w:rPr>
              <w:t>Government of Brazil and Mexico</w:t>
            </w:r>
          </w:p>
        </w:tc>
      </w:tr>
      <w:tr w:rsidR="009E5BCE" w14:paraId="6650FD1C" w14:textId="77777777" w:rsidTr="00480967">
        <w:trPr>
          <w:jc w:val="center"/>
        </w:trPr>
        <w:tc>
          <w:tcPr>
            <w:tcW w:w="3834" w:type="dxa"/>
          </w:tcPr>
          <w:p w14:paraId="22899336" w14:textId="77777777" w:rsidR="009E5BCE" w:rsidRDefault="00480967">
            <w:pPr>
              <w:spacing w:before="40" w:after="40"/>
              <w:ind w:left="115" w:hanging="115"/>
            </w:pPr>
            <w:r>
              <w:rPr>
                <w:rFonts w:ascii="Arial" w:hAnsi="Arial" w:cs="Arial"/>
                <w:sz w:val="18"/>
                <w:szCs w:val="18"/>
              </w:rPr>
              <w:t>▪</w:t>
            </w:r>
            <w:r>
              <w:rPr>
                <w:rFonts w:ascii="Arial" w:hAnsi="Arial" w:cs="Arial"/>
                <w:sz w:val="18"/>
                <w:szCs w:val="18"/>
              </w:rPr>
              <w:t xml:space="preserve"> Executing Agency:</w:t>
            </w:r>
          </w:p>
        </w:tc>
        <w:tc>
          <w:tcPr>
            <w:tcW w:w="4590" w:type="dxa"/>
          </w:tcPr>
          <w:p w14:paraId="12E13F95" w14:textId="77777777" w:rsidR="009E5BCE" w:rsidRDefault="00480967">
            <w:pPr>
              <w:spacing w:before="40" w:after="40"/>
            </w:pPr>
            <w:r>
              <w:rPr>
                <w:rFonts w:ascii="Arial" w:hAnsi="Arial" w:cs="Arial"/>
                <w:sz w:val="18"/>
                <w:szCs w:val="18"/>
              </w:rPr>
              <w:t>INTER-AMERICAN DEVELOPMENT BANK</w:t>
            </w:r>
          </w:p>
        </w:tc>
      </w:tr>
      <w:tr w:rsidR="009E5BCE" w14:paraId="5D6D4AB6" w14:textId="77777777" w:rsidTr="00480967">
        <w:trPr>
          <w:jc w:val="center"/>
        </w:trPr>
        <w:tc>
          <w:tcPr>
            <w:tcW w:w="3834" w:type="dxa"/>
          </w:tcPr>
          <w:p w14:paraId="4C0B0E09" w14:textId="77777777" w:rsidR="009E5BCE" w:rsidRDefault="00480967">
            <w:pPr>
              <w:spacing w:before="40" w:after="40"/>
              <w:ind w:left="115" w:hanging="115"/>
            </w:pPr>
            <w:r>
              <w:rPr>
                <w:rFonts w:ascii="Arial" w:hAnsi="Arial" w:cs="Arial"/>
                <w:sz w:val="18"/>
                <w:szCs w:val="18"/>
              </w:rPr>
              <w:t>▪</w:t>
            </w:r>
            <w:r>
              <w:rPr>
                <w:rFonts w:ascii="Arial" w:hAnsi="Arial" w:cs="Arial"/>
                <w:sz w:val="18"/>
                <w:szCs w:val="18"/>
              </w:rPr>
              <w:t xml:space="preserve"> </w:t>
            </w:r>
            <w:r>
              <w:rPr>
                <w:rFonts w:ascii="Arial" w:hAnsi="Arial" w:cs="Arial"/>
                <w:sz w:val="18"/>
                <w:szCs w:val="18"/>
              </w:rPr>
              <w:t>IDB funding requested:</w:t>
            </w:r>
          </w:p>
        </w:tc>
        <w:tc>
          <w:tcPr>
            <w:tcW w:w="4590" w:type="dxa"/>
          </w:tcPr>
          <w:p w14:paraId="5F265A91" w14:textId="77777777" w:rsidR="009E5BCE" w:rsidRDefault="00480967">
            <w:pPr>
              <w:bidi/>
              <w:spacing w:before="40" w:after="40"/>
            </w:pPr>
            <w:r>
              <w:rPr>
                <w:rFonts w:ascii="Arial" w:hAnsi="Arial" w:cs="Arial"/>
                <w:sz w:val="18"/>
                <w:szCs w:val="18"/>
              </w:rPr>
              <w:t>US$500,000.00</w:t>
            </w:r>
          </w:p>
        </w:tc>
      </w:tr>
      <w:tr w:rsidR="009E5BCE" w14:paraId="0FE44789" w14:textId="77777777" w:rsidTr="00480967">
        <w:trPr>
          <w:jc w:val="center"/>
        </w:trPr>
        <w:tc>
          <w:tcPr>
            <w:tcW w:w="3834" w:type="dxa"/>
          </w:tcPr>
          <w:p w14:paraId="44D80062" w14:textId="77777777" w:rsidR="009E5BCE" w:rsidRDefault="00480967">
            <w:pPr>
              <w:spacing w:before="40" w:after="40"/>
              <w:ind w:left="115" w:hanging="115"/>
            </w:pPr>
            <w:r>
              <w:rPr>
                <w:rFonts w:ascii="Arial" w:hAnsi="Arial" w:cs="Arial"/>
                <w:sz w:val="18"/>
                <w:szCs w:val="18"/>
              </w:rPr>
              <w:t>▪</w:t>
            </w:r>
            <w:r>
              <w:rPr>
                <w:rFonts w:ascii="Arial" w:hAnsi="Arial" w:cs="Arial"/>
                <w:sz w:val="18"/>
                <w:szCs w:val="18"/>
              </w:rPr>
              <w:t xml:space="preserve"> Local counterpart funding:</w:t>
            </w:r>
          </w:p>
        </w:tc>
        <w:tc>
          <w:tcPr>
            <w:tcW w:w="4590" w:type="dxa"/>
          </w:tcPr>
          <w:p w14:paraId="2D938865" w14:textId="77777777" w:rsidR="009E5BCE" w:rsidRDefault="00480967">
            <w:pPr>
              <w:bidi/>
              <w:spacing w:before="40" w:after="40"/>
            </w:pPr>
            <w:r>
              <w:rPr>
                <w:rFonts w:ascii="Arial" w:hAnsi="Arial" w:cs="Arial"/>
                <w:sz w:val="18"/>
                <w:szCs w:val="18"/>
              </w:rPr>
              <w:t>US$0.00</w:t>
            </w:r>
          </w:p>
        </w:tc>
      </w:tr>
      <w:tr w:rsidR="009E5BCE" w14:paraId="53E833C9" w14:textId="77777777" w:rsidTr="00480967">
        <w:trPr>
          <w:jc w:val="center"/>
        </w:trPr>
        <w:tc>
          <w:tcPr>
            <w:tcW w:w="3834" w:type="dxa"/>
          </w:tcPr>
          <w:p w14:paraId="43991921" w14:textId="77777777" w:rsidR="009E5BCE" w:rsidRDefault="00480967">
            <w:pPr>
              <w:spacing w:before="40" w:after="40"/>
              <w:ind w:left="115" w:hanging="115"/>
            </w:pPr>
            <w:r>
              <w:rPr>
                <w:rFonts w:ascii="Arial" w:hAnsi="Arial" w:cs="Arial"/>
                <w:sz w:val="18"/>
                <w:szCs w:val="18"/>
              </w:rPr>
              <w:t>▪</w:t>
            </w:r>
            <w:r>
              <w:rPr>
                <w:rFonts w:ascii="Arial" w:hAnsi="Arial" w:cs="Arial"/>
                <w:sz w:val="18"/>
                <w:szCs w:val="18"/>
              </w:rPr>
              <w:t xml:space="preserve"> Disbursement period:</w:t>
            </w:r>
          </w:p>
        </w:tc>
        <w:tc>
          <w:tcPr>
            <w:tcW w:w="4590" w:type="dxa"/>
          </w:tcPr>
          <w:p w14:paraId="6365CFF7" w14:textId="77777777" w:rsidR="009E5BCE" w:rsidRDefault="00480967">
            <w:pPr>
              <w:bidi/>
              <w:spacing w:before="40" w:after="40"/>
            </w:pPr>
            <w:r>
              <w:rPr>
                <w:rFonts w:ascii="Arial" w:hAnsi="Arial" w:cs="Arial"/>
                <w:sz w:val="18"/>
                <w:szCs w:val="18"/>
              </w:rPr>
              <w:t>24 months</w:t>
            </w:r>
          </w:p>
        </w:tc>
      </w:tr>
      <w:tr w:rsidR="009E5BCE" w14:paraId="5518DDC0" w14:textId="77777777" w:rsidTr="00480967">
        <w:trPr>
          <w:jc w:val="center"/>
        </w:trPr>
        <w:tc>
          <w:tcPr>
            <w:tcW w:w="3834" w:type="dxa"/>
          </w:tcPr>
          <w:p w14:paraId="0E1785EE" w14:textId="77777777" w:rsidR="009E5BCE" w:rsidRDefault="00480967">
            <w:pPr>
              <w:spacing w:before="40" w:after="40"/>
              <w:ind w:left="115" w:hanging="115"/>
            </w:pPr>
            <w:r>
              <w:rPr>
                <w:rFonts w:ascii="Arial" w:hAnsi="Arial" w:cs="Arial"/>
                <w:sz w:val="18"/>
                <w:szCs w:val="18"/>
              </w:rPr>
              <w:t>▪</w:t>
            </w:r>
            <w:r>
              <w:rPr>
                <w:rFonts w:ascii="Arial" w:hAnsi="Arial" w:cs="Arial"/>
                <w:sz w:val="18"/>
                <w:szCs w:val="18"/>
              </w:rPr>
              <w:t xml:space="preserve"> Types of consultants:</w:t>
            </w:r>
          </w:p>
        </w:tc>
        <w:tc>
          <w:tcPr>
            <w:tcW w:w="4590" w:type="dxa"/>
          </w:tcPr>
          <w:p w14:paraId="3779C21F" w14:textId="77777777" w:rsidR="009E5BCE" w:rsidRDefault="00480967">
            <w:pPr>
              <w:spacing w:before="40" w:after="40"/>
            </w:pPr>
            <w:r>
              <w:rPr>
                <w:rFonts w:ascii="Arial" w:hAnsi="Arial" w:cs="Arial"/>
                <w:sz w:val="18"/>
                <w:szCs w:val="18"/>
              </w:rPr>
              <w:t>Individuals; Firms</w:t>
            </w:r>
          </w:p>
        </w:tc>
      </w:tr>
      <w:tr w:rsidR="009E5BCE" w14:paraId="56E60F19" w14:textId="77777777" w:rsidTr="00480967">
        <w:trPr>
          <w:jc w:val="center"/>
        </w:trPr>
        <w:tc>
          <w:tcPr>
            <w:tcW w:w="3834" w:type="dxa"/>
          </w:tcPr>
          <w:p w14:paraId="35FFFB52" w14:textId="77777777" w:rsidR="009E5BCE" w:rsidRDefault="00480967">
            <w:pPr>
              <w:spacing w:before="40" w:after="40"/>
              <w:ind w:left="115" w:hanging="115"/>
            </w:pPr>
            <w:r>
              <w:rPr>
                <w:rFonts w:ascii="Arial" w:hAnsi="Arial" w:cs="Arial"/>
                <w:sz w:val="18"/>
                <w:szCs w:val="18"/>
              </w:rPr>
              <w:t>▪</w:t>
            </w:r>
            <w:r>
              <w:rPr>
                <w:rFonts w:ascii="Arial" w:hAnsi="Arial" w:cs="Arial"/>
                <w:sz w:val="18"/>
                <w:szCs w:val="18"/>
              </w:rPr>
              <w:t xml:space="preserve"> Prepared by Unit:</w:t>
            </w:r>
          </w:p>
        </w:tc>
        <w:tc>
          <w:tcPr>
            <w:tcW w:w="4590" w:type="dxa"/>
          </w:tcPr>
          <w:p w14:paraId="38595A32" w14:textId="77777777" w:rsidR="009E5BCE" w:rsidRDefault="00480967">
            <w:pPr>
              <w:spacing w:before="40" w:after="40"/>
            </w:pPr>
            <w:r>
              <w:rPr>
                <w:rFonts w:ascii="Arial" w:hAnsi="Arial" w:cs="Arial"/>
                <w:sz w:val="18"/>
                <w:szCs w:val="18"/>
              </w:rPr>
              <w:t>IFD/ICS - Innovation in Citizen Services Division</w:t>
            </w:r>
          </w:p>
        </w:tc>
      </w:tr>
      <w:tr w:rsidR="009E5BCE" w14:paraId="6B948368" w14:textId="77777777" w:rsidTr="00480967">
        <w:trPr>
          <w:jc w:val="center"/>
        </w:trPr>
        <w:tc>
          <w:tcPr>
            <w:tcW w:w="3834" w:type="dxa"/>
          </w:tcPr>
          <w:p w14:paraId="52DE113D" w14:textId="77777777" w:rsidR="009E5BCE" w:rsidRDefault="00480967">
            <w:pPr>
              <w:spacing w:before="40" w:after="40"/>
              <w:ind w:left="115" w:hanging="115"/>
            </w:pPr>
            <w:r>
              <w:rPr>
                <w:rFonts w:ascii="Arial" w:hAnsi="Arial" w:cs="Arial"/>
                <w:sz w:val="18"/>
                <w:szCs w:val="18"/>
              </w:rPr>
              <w:t>▪</w:t>
            </w:r>
            <w:r>
              <w:rPr>
                <w:rFonts w:ascii="Arial" w:hAnsi="Arial" w:cs="Arial"/>
                <w:sz w:val="18"/>
                <w:szCs w:val="18"/>
              </w:rPr>
              <w:t xml:space="preserve"> Unit of </w:t>
            </w:r>
            <w:r>
              <w:rPr>
                <w:rFonts w:ascii="Arial" w:hAnsi="Arial" w:cs="Arial"/>
                <w:sz w:val="18"/>
                <w:szCs w:val="18"/>
              </w:rPr>
              <w:t>Disbursement Responsibility:</w:t>
            </w:r>
          </w:p>
        </w:tc>
        <w:tc>
          <w:tcPr>
            <w:tcW w:w="4590" w:type="dxa"/>
          </w:tcPr>
          <w:p w14:paraId="2C48453A" w14:textId="77777777" w:rsidR="009E5BCE" w:rsidRDefault="00480967">
            <w:pPr>
              <w:spacing w:before="40" w:after="40"/>
            </w:pPr>
            <w:r>
              <w:rPr>
                <w:rFonts w:ascii="Arial" w:hAnsi="Arial" w:cs="Arial"/>
                <w:sz w:val="18"/>
                <w:szCs w:val="18"/>
              </w:rPr>
              <w:t>IFD/ICS - Innovation in Citizen Services Division</w:t>
            </w:r>
          </w:p>
        </w:tc>
      </w:tr>
      <w:tr w:rsidR="009E5BCE" w14:paraId="4075BCB8" w14:textId="77777777" w:rsidTr="00480967">
        <w:trPr>
          <w:jc w:val="center"/>
        </w:trPr>
        <w:tc>
          <w:tcPr>
            <w:tcW w:w="3834" w:type="dxa"/>
          </w:tcPr>
          <w:p w14:paraId="3B82159B" w14:textId="77777777" w:rsidR="009E5BCE" w:rsidRDefault="00480967">
            <w:pPr>
              <w:spacing w:before="40" w:after="40"/>
            </w:pPr>
            <w:r>
              <w:rPr>
                <w:rFonts w:ascii="Arial" w:hAnsi="Arial" w:cs="Arial"/>
                <w:sz w:val="18"/>
                <w:szCs w:val="18"/>
              </w:rPr>
              <w:t>▪</w:t>
            </w:r>
            <w:r>
              <w:rPr>
                <w:rFonts w:ascii="Arial" w:hAnsi="Arial" w:cs="Arial"/>
                <w:sz w:val="18"/>
                <w:szCs w:val="18"/>
              </w:rPr>
              <w:t xml:space="preserve"> TC included in Country Strategy (y/n):</w:t>
            </w:r>
            <w:r>
              <w:rPr>
                <w:rFonts w:ascii="Arial" w:hAnsi="Arial" w:cs="Arial"/>
                <w:sz w:val="18"/>
                <w:szCs w:val="18"/>
              </w:rPr>
              <w:br/>
            </w:r>
            <w:r>
              <w:rPr>
                <w:rFonts w:ascii="Arial" w:hAnsi="Arial" w:cs="Arial"/>
                <w:sz w:val="18"/>
                <w:szCs w:val="18"/>
              </w:rPr>
              <w:br/>
              <w:t>▪ TC included in CPD (y/n):</w:t>
            </w:r>
          </w:p>
        </w:tc>
        <w:tc>
          <w:tcPr>
            <w:tcW w:w="4590" w:type="dxa"/>
          </w:tcPr>
          <w:p w14:paraId="0883B9A6" w14:textId="77777777" w:rsidR="009E5BCE" w:rsidRDefault="00480967">
            <w:pPr>
              <w:spacing w:before="40" w:after="40"/>
            </w:pPr>
            <w:r>
              <w:rPr>
                <w:rFonts w:ascii="Arial" w:hAnsi="Arial" w:cs="Arial"/>
                <w:sz w:val="18"/>
                <w:szCs w:val="18"/>
              </w:rPr>
              <w:t>No</w:t>
            </w:r>
            <w:r>
              <w:rPr>
                <w:rFonts w:ascii="Arial" w:hAnsi="Arial" w:cs="Arial"/>
                <w:sz w:val="18"/>
                <w:szCs w:val="18"/>
              </w:rPr>
              <w:br/>
            </w:r>
            <w:r>
              <w:rPr>
                <w:rFonts w:ascii="Arial" w:hAnsi="Arial" w:cs="Arial"/>
                <w:sz w:val="18"/>
                <w:szCs w:val="18"/>
              </w:rPr>
              <w:br/>
            </w:r>
            <w:proofErr w:type="spellStart"/>
            <w:r>
              <w:rPr>
                <w:rFonts w:ascii="Arial" w:hAnsi="Arial" w:cs="Arial"/>
                <w:sz w:val="18"/>
                <w:szCs w:val="18"/>
              </w:rPr>
              <w:t>No</w:t>
            </w:r>
            <w:proofErr w:type="spellEnd"/>
          </w:p>
        </w:tc>
      </w:tr>
      <w:tr w:rsidR="009E5BCE" w14:paraId="672FF6DC" w14:textId="77777777" w:rsidTr="00480967">
        <w:trPr>
          <w:jc w:val="center"/>
        </w:trPr>
        <w:tc>
          <w:tcPr>
            <w:tcW w:w="3834" w:type="dxa"/>
          </w:tcPr>
          <w:p w14:paraId="7FD5A725" w14:textId="77777777" w:rsidR="009E5BCE" w:rsidRDefault="00480967">
            <w:pPr>
              <w:spacing w:before="40" w:after="40"/>
              <w:ind w:left="115" w:hanging="115"/>
            </w:pPr>
            <w:r>
              <w:rPr>
                <w:rFonts w:ascii="Arial" w:hAnsi="Arial" w:cs="Arial"/>
                <w:sz w:val="18"/>
                <w:szCs w:val="18"/>
              </w:rPr>
              <w:t>▪</w:t>
            </w:r>
            <w:r>
              <w:rPr>
                <w:rFonts w:ascii="Arial" w:hAnsi="Arial" w:cs="Arial"/>
                <w:sz w:val="18"/>
                <w:szCs w:val="18"/>
              </w:rPr>
              <w:t xml:space="preserve"> Alignment to the Update to the Institutional Strategy 2010-2020:</w:t>
            </w:r>
          </w:p>
        </w:tc>
        <w:tc>
          <w:tcPr>
            <w:tcW w:w="4590" w:type="dxa"/>
          </w:tcPr>
          <w:p w14:paraId="427A4182" w14:textId="77777777" w:rsidR="009E5BCE" w:rsidRDefault="00480967">
            <w:pPr>
              <w:spacing w:before="40" w:after="40"/>
            </w:pPr>
            <w:r>
              <w:rPr>
                <w:rFonts w:ascii="Arial" w:hAnsi="Arial" w:cs="Arial"/>
                <w:sz w:val="18"/>
                <w:szCs w:val="18"/>
              </w:rPr>
              <w:t xml:space="preserve">Productivity and </w:t>
            </w:r>
            <w:proofErr w:type="gramStart"/>
            <w:r>
              <w:rPr>
                <w:rFonts w:ascii="Arial" w:hAnsi="Arial" w:cs="Arial"/>
                <w:sz w:val="18"/>
                <w:szCs w:val="18"/>
              </w:rPr>
              <w:t>innovation ;</w:t>
            </w:r>
            <w:proofErr w:type="gramEnd"/>
            <w:r>
              <w:rPr>
                <w:rFonts w:ascii="Arial" w:hAnsi="Arial" w:cs="Arial"/>
                <w:sz w:val="18"/>
                <w:szCs w:val="18"/>
              </w:rPr>
              <w:t xml:space="preserve"> Institutional capacity and rule of law</w:t>
            </w:r>
          </w:p>
        </w:tc>
      </w:tr>
      <w:tr w:rsidR="009E5BCE" w14:paraId="72514AE8" w14:textId="77777777" w:rsidTr="00480967">
        <w:trPr>
          <w:jc w:val="center"/>
        </w:trPr>
        <w:tc>
          <w:tcPr>
            <w:tcW w:w="3834" w:type="dxa"/>
          </w:tcPr>
          <w:p w14:paraId="361E3F92" w14:textId="77777777" w:rsidR="009E5BCE" w:rsidRDefault="009E5BCE"/>
        </w:tc>
        <w:tc>
          <w:tcPr>
            <w:tcW w:w="4590" w:type="dxa"/>
          </w:tcPr>
          <w:p w14:paraId="4179A239" w14:textId="77777777" w:rsidR="009E5BCE" w:rsidRDefault="009E5BCE"/>
        </w:tc>
      </w:tr>
    </w:tbl>
    <w:p w14:paraId="33B39D32" w14:textId="77777777" w:rsidR="009E5BCE" w:rsidRDefault="00480967">
      <w:pPr>
        <w:spacing w:before="120" w:after="120"/>
        <w:ind w:left="579" w:hanging="579"/>
      </w:pPr>
      <w:r>
        <w:rPr>
          <w:rFonts w:ascii="Arial" w:hAnsi="Arial" w:cs="Arial"/>
          <w:b/>
        </w:rPr>
        <w:t>II.</w:t>
      </w:r>
      <w:r>
        <w:rPr>
          <w:rFonts w:ascii="Arial" w:hAnsi="Arial" w:cs="Arial"/>
          <w:b/>
        </w:rPr>
        <w:tab/>
        <w:t>Objective and Justification</w:t>
      </w:r>
    </w:p>
    <w:p w14:paraId="0CA244D5" w14:textId="77777777" w:rsidR="009E5BCE" w:rsidRDefault="00480967">
      <w:pPr>
        <w:spacing w:before="120" w:after="120"/>
        <w:ind w:left="579" w:hanging="579"/>
        <w:jc w:val="both"/>
      </w:pPr>
      <w:r>
        <w:rPr>
          <w:rFonts w:ascii="Arial" w:hAnsi="Arial" w:cs="Arial"/>
        </w:rPr>
        <w:t>2.1</w:t>
      </w:r>
      <w:r>
        <w:rPr>
          <w:rFonts w:ascii="Arial" w:hAnsi="Arial" w:cs="Arial"/>
        </w:rPr>
        <w:tab/>
        <w:t xml:space="preserve">The objective of this TC is to develop a digital platform that helps local governments design and implement data-driven, evidence-based integrated citizen </w:t>
      </w:r>
      <w:r>
        <w:rPr>
          <w:rFonts w:ascii="Arial" w:hAnsi="Arial" w:cs="Arial"/>
        </w:rPr>
        <w:t>security municipal plans, thus improving the transparency, effectiveness, and efficiency of municipal spending.</w:t>
      </w:r>
    </w:p>
    <w:p w14:paraId="1504777C" w14:textId="77777777" w:rsidR="00480967" w:rsidRDefault="00480967" w:rsidP="00480967">
      <w:pPr>
        <w:spacing w:before="120" w:after="120"/>
        <w:ind w:left="579" w:hanging="579"/>
        <w:jc w:val="both"/>
        <w:rPr>
          <w:rFonts w:ascii="Arial" w:hAnsi="Arial" w:cs="Arial"/>
        </w:rPr>
      </w:pPr>
      <w:r>
        <w:rPr>
          <w:rFonts w:ascii="Arial" w:hAnsi="Arial" w:cs="Arial"/>
        </w:rPr>
        <w:t>2.2</w:t>
      </w:r>
      <w:r>
        <w:rPr>
          <w:rFonts w:ascii="Arial" w:hAnsi="Arial" w:cs="Arial"/>
        </w:rPr>
        <w:tab/>
        <w:t>Crime and violence (C&amp;V) are one of the main development challenges in Latin America and the Caribbean, costing the region about 3.5% of its</w:t>
      </w:r>
      <w:r>
        <w:rPr>
          <w:rFonts w:ascii="Arial" w:hAnsi="Arial" w:cs="Arial"/>
        </w:rPr>
        <w:t xml:space="preserve"> GDP (</w:t>
      </w:r>
      <w:proofErr w:type="spellStart"/>
      <w:r>
        <w:rPr>
          <w:rFonts w:ascii="Arial" w:hAnsi="Arial" w:cs="Arial"/>
        </w:rPr>
        <w:t>Jaitman</w:t>
      </w:r>
      <w:proofErr w:type="spellEnd"/>
      <w:r>
        <w:rPr>
          <w:rFonts w:ascii="Arial" w:hAnsi="Arial" w:cs="Arial"/>
        </w:rPr>
        <w:t xml:space="preserve"> 2019). Sustainable reduction in C&amp;V levels requires an integrated approach that combines both prevention- and control-oriented strategies. This means that solutions should include not just policing, but also social assistance, education, heal</w:t>
      </w:r>
      <w:r>
        <w:rPr>
          <w:rFonts w:ascii="Arial" w:hAnsi="Arial" w:cs="Arial"/>
        </w:rPr>
        <w:t>th, and urban interventions that address the risk and protective factors associated with C&amp;V. An integrated approach also needs to take place at the local level since C&amp;V is highly concentrated in a few places, people, and behaviors within every city in th</w:t>
      </w:r>
      <w:r>
        <w:rPr>
          <w:rFonts w:ascii="Arial" w:hAnsi="Arial" w:cs="Arial"/>
        </w:rPr>
        <w:t>e world (</w:t>
      </w:r>
      <w:proofErr w:type="spellStart"/>
      <w:r>
        <w:rPr>
          <w:rFonts w:ascii="Arial" w:hAnsi="Arial" w:cs="Arial"/>
        </w:rPr>
        <w:t>Chainey</w:t>
      </w:r>
      <w:proofErr w:type="spellEnd"/>
      <w:r>
        <w:rPr>
          <w:rFonts w:ascii="Arial" w:hAnsi="Arial" w:cs="Arial"/>
        </w:rPr>
        <w:t xml:space="preserve"> et al, 2019).</w:t>
      </w:r>
      <w:r w:rsidRPr="00480967">
        <w:rPr>
          <w:rFonts w:ascii="Arial" w:hAnsi="Arial" w:cs="Arial"/>
        </w:rPr>
        <w:t xml:space="preserve"> </w:t>
      </w:r>
    </w:p>
    <w:p w14:paraId="676F6A25" w14:textId="2E318CDF" w:rsidR="00480967" w:rsidRDefault="00480967" w:rsidP="00480967">
      <w:pPr>
        <w:spacing w:before="120" w:after="120"/>
        <w:ind w:left="579" w:hanging="579"/>
        <w:jc w:val="both"/>
        <w:rPr>
          <w:rFonts w:ascii="Arial" w:hAnsi="Arial" w:cs="Arial"/>
        </w:rPr>
      </w:pPr>
      <w:r>
        <w:rPr>
          <w:rFonts w:ascii="Arial" w:hAnsi="Arial" w:cs="Arial"/>
        </w:rPr>
        <w:t>2</w:t>
      </w:r>
      <w:r>
        <w:rPr>
          <w:rFonts w:ascii="Arial" w:hAnsi="Arial" w:cs="Arial"/>
        </w:rPr>
        <w:t>.3</w:t>
      </w:r>
      <w:r>
        <w:rPr>
          <w:rFonts w:ascii="Arial" w:hAnsi="Arial" w:cs="Arial"/>
        </w:rPr>
        <w:tab/>
        <w:t xml:space="preserve">Local governments are best placed to design and implement this integrated local approach since they have the multi-sectoral and local mandate and knowledge required to make it work. Most local governments lack the capacity and tools to lead this process. In Brazil, for instance, despite a recent law requiring local governments to have municipal citizen security plans, only 5% of them had managed to produce them, </w:t>
      </w:r>
      <w:r>
        <w:rPr>
          <w:rFonts w:ascii="Arial" w:hAnsi="Arial" w:cs="Arial"/>
        </w:rPr>
        <w:lastRenderedPageBreak/>
        <w:t xml:space="preserve">and their quality was highly uneven (MUNIC 2019). </w:t>
      </w:r>
      <w:r>
        <w:rPr>
          <w:rFonts w:ascii="Arial" w:hAnsi="Arial" w:cs="Arial"/>
        </w:rPr>
        <w:br/>
      </w:r>
    </w:p>
    <w:p w14:paraId="3847E88E" w14:textId="61980216" w:rsidR="00480967" w:rsidRDefault="00480967" w:rsidP="00480967">
      <w:pPr>
        <w:spacing w:before="120" w:after="120"/>
        <w:ind w:left="579" w:hanging="579"/>
        <w:jc w:val="both"/>
        <w:rPr>
          <w:rFonts w:ascii="Arial" w:hAnsi="Arial" w:cs="Arial"/>
        </w:rPr>
      </w:pPr>
      <w:r>
        <w:rPr>
          <w:rFonts w:ascii="Arial" w:hAnsi="Arial" w:cs="Arial"/>
        </w:rPr>
        <w:t>2.4</w:t>
      </w:r>
      <w:r>
        <w:rPr>
          <w:rFonts w:ascii="Arial" w:hAnsi="Arial" w:cs="Arial"/>
        </w:rPr>
        <w:tab/>
        <w:t xml:space="preserve">A partnership between KIC and ICS has allowed the team to develop a prototype (“in paper) of what this digital solution could be, and to start creating (programming) a Minimum Viable Product (MVP) through a partnership with the city of Florianopolis in Brazil. </w:t>
      </w:r>
    </w:p>
    <w:p w14:paraId="39B164A1" w14:textId="77777777" w:rsidR="00480967" w:rsidRDefault="00480967" w:rsidP="00480967">
      <w:pPr>
        <w:spacing w:before="120" w:after="120"/>
        <w:ind w:left="579" w:hanging="579"/>
        <w:jc w:val="both"/>
        <w:rPr>
          <w:rFonts w:ascii="Arial" w:hAnsi="Arial" w:cs="Arial"/>
        </w:rPr>
      </w:pPr>
      <w:r>
        <w:rPr>
          <w:rFonts w:ascii="Arial" w:hAnsi="Arial" w:cs="Arial"/>
        </w:rPr>
        <w:t>2.5</w:t>
      </w:r>
      <w:r>
        <w:rPr>
          <w:rFonts w:ascii="Arial" w:hAnsi="Arial" w:cs="Arial"/>
        </w:rPr>
        <w:tab/>
        <w:t>So far, the team has been able to make some progress in the first three functionalities, investing more than US$300,000. This progress was critical to (</w:t>
      </w:r>
      <w:proofErr w:type="spellStart"/>
      <w:r>
        <w:rPr>
          <w:rFonts w:ascii="Arial" w:hAnsi="Arial" w:cs="Arial"/>
        </w:rPr>
        <w:t>i</w:t>
      </w:r>
      <w:proofErr w:type="spellEnd"/>
      <w:r>
        <w:rPr>
          <w:rFonts w:ascii="Arial" w:hAnsi="Arial" w:cs="Arial"/>
        </w:rPr>
        <w:t xml:space="preserve">) show the transformational potential that the solution presents, and (ii) the high level of effort that it takes to develop and test each functionality.  This TC is critical to help the team finalize and consolidate the product in </w:t>
      </w:r>
      <w:proofErr w:type="spellStart"/>
      <w:r>
        <w:rPr>
          <w:rFonts w:ascii="Arial" w:hAnsi="Arial" w:cs="Arial"/>
        </w:rPr>
        <w:t>Florianópolis</w:t>
      </w:r>
      <w:proofErr w:type="spellEnd"/>
      <w:r>
        <w:rPr>
          <w:rFonts w:ascii="Arial" w:hAnsi="Arial" w:cs="Arial"/>
        </w:rPr>
        <w:t xml:space="preserve"> as well as test and adapt it in a second city in Mexico.</w:t>
      </w:r>
    </w:p>
    <w:p w14:paraId="2A3D96EA" w14:textId="77777777" w:rsidR="00480967" w:rsidRDefault="00480967" w:rsidP="00480967">
      <w:pPr>
        <w:spacing w:before="120" w:after="120"/>
        <w:ind w:left="579" w:hanging="579"/>
        <w:jc w:val="both"/>
        <w:rPr>
          <w:rFonts w:ascii="Arial" w:hAnsi="Arial" w:cs="Arial"/>
        </w:rPr>
      </w:pPr>
      <w:r>
        <w:rPr>
          <w:rFonts w:ascii="Arial" w:hAnsi="Arial" w:cs="Arial"/>
        </w:rPr>
        <w:t>2.6</w:t>
      </w:r>
      <w:r>
        <w:rPr>
          <w:rFonts w:ascii="Arial" w:hAnsi="Arial" w:cs="Arial"/>
        </w:rPr>
        <w:tab/>
        <w:t>The support of Korea, which is well known for its cutting-edge innovation and technology efforts as well as its positive citizen security indicators, will be essential to guarantee the platform’s success, both in terms of the quality of the platform programming itself, as well as of the evidence-based solutions it suggests.</w:t>
      </w:r>
    </w:p>
    <w:p w14:paraId="656E548B" w14:textId="7D953ED2" w:rsidR="00480967" w:rsidRDefault="00480967" w:rsidP="00480967">
      <w:pPr>
        <w:spacing w:before="120" w:after="120"/>
        <w:ind w:left="579" w:hanging="579"/>
        <w:jc w:val="both"/>
      </w:pPr>
      <w:r>
        <w:rPr>
          <w:rFonts w:ascii="Arial" w:hAnsi="Arial" w:cs="Arial"/>
        </w:rPr>
        <w:t>2.7</w:t>
      </w:r>
      <w:r>
        <w:rPr>
          <w:rFonts w:ascii="Arial" w:hAnsi="Arial" w:cs="Arial"/>
        </w:rPr>
        <w:tab/>
      </w:r>
      <w:r>
        <w:rPr>
          <w:rFonts w:ascii="Arial" w:hAnsi="Arial" w:cs="Arial"/>
        </w:rPr>
        <w:t>The IDB will seek to collaborate and establish partnerships with well-established and reputable Korean institutions such as the Korean Institute of Criminology and Justice (KIJC) to facilitate the identification of evidence-based practices and programs that have been successfully implemented by Korean authorities, as attested by KIJC</w:t>
      </w:r>
      <w:r>
        <w:rPr>
          <w:rFonts w:ascii="Arial" w:hAnsi="Arial" w:cs="Arial"/>
        </w:rPr>
        <w:noBreakHyphen/>
        <w:t>supported impact evaluation studies.</w:t>
      </w:r>
    </w:p>
    <w:p w14:paraId="425094C6" w14:textId="54AE5374" w:rsidR="009E5BCE" w:rsidRDefault="00480967" w:rsidP="00480967">
      <w:pPr>
        <w:spacing w:before="120" w:after="120"/>
        <w:ind w:left="579" w:hanging="579"/>
        <w:jc w:val="both"/>
      </w:pPr>
      <w:r>
        <w:rPr>
          <w:rFonts w:ascii="Arial" w:hAnsi="Arial" w:cs="Arial"/>
        </w:rPr>
        <w:t>3.2</w:t>
      </w:r>
      <w:r>
        <w:rPr>
          <w:rFonts w:ascii="Arial" w:hAnsi="Arial" w:cs="Arial"/>
        </w:rPr>
        <w:tab/>
      </w:r>
      <w:r>
        <w:rPr>
          <w:rFonts w:ascii="Arial" w:hAnsi="Arial" w:cs="Arial"/>
          <w:b/>
        </w:rPr>
        <w:t>Component II: Product implemen</w:t>
      </w:r>
      <w:r>
        <w:rPr>
          <w:rFonts w:ascii="Arial" w:hAnsi="Arial" w:cs="Arial"/>
          <w:b/>
        </w:rPr>
        <w:t xml:space="preserve">tation and consolidation in a second city. </w:t>
      </w:r>
      <w:r>
        <w:rPr>
          <w:rFonts w:ascii="Arial" w:hAnsi="Arial" w:cs="Arial"/>
        </w:rPr>
        <w:t>(</w:t>
      </w:r>
      <w:proofErr w:type="spellStart"/>
      <w:r>
        <w:rPr>
          <w:rFonts w:ascii="Arial" w:hAnsi="Arial" w:cs="Arial"/>
        </w:rPr>
        <w:t>i</w:t>
      </w:r>
      <w:proofErr w:type="spellEnd"/>
      <w:r>
        <w:rPr>
          <w:rFonts w:ascii="Arial" w:hAnsi="Arial" w:cs="Arial"/>
        </w:rPr>
        <w:t xml:space="preserve">) the adaptation of the platform to a second city’s context and data; (ii) the platform’s full implementation in that city; (iii) an evaluation of the effectiveness, usability, and bottlenecks of the </w:t>
      </w:r>
      <w:r>
        <w:rPr>
          <w:rFonts w:ascii="Arial" w:hAnsi="Arial" w:cs="Arial"/>
        </w:rPr>
        <w:t>platform and all its components; (iv) the consolidation of a product and business model that is scalable to medium size cities throughout Latin America and the Caribbean through IDB’s loans, technical cooperation, and fee for services.</w:t>
      </w:r>
    </w:p>
    <w:p w14:paraId="28683A1C" w14:textId="77777777" w:rsidR="009E5BCE" w:rsidRDefault="00480967">
      <w:pPr>
        <w:spacing w:before="120" w:after="120"/>
        <w:ind w:left="579" w:hanging="579"/>
        <w:jc w:val="both"/>
      </w:pPr>
      <w:r>
        <w:rPr>
          <w:rFonts w:ascii="Arial" w:hAnsi="Arial" w:cs="Arial"/>
        </w:rPr>
        <w:t>3</w:t>
      </w:r>
      <w:r>
        <w:rPr>
          <w:rFonts w:ascii="Arial" w:hAnsi="Arial" w:cs="Arial"/>
        </w:rPr>
        <w:t>.3</w:t>
      </w:r>
      <w:r>
        <w:rPr>
          <w:rFonts w:ascii="Arial" w:hAnsi="Arial" w:cs="Arial"/>
        </w:rPr>
        <w:tab/>
      </w:r>
      <w:r>
        <w:rPr>
          <w:rFonts w:ascii="Arial" w:hAnsi="Arial" w:cs="Arial"/>
          <w:b/>
        </w:rPr>
        <w:t>Component III: C</w:t>
      </w:r>
      <w:r>
        <w:rPr>
          <w:rFonts w:ascii="Arial" w:hAnsi="Arial" w:cs="Arial"/>
          <w:b/>
        </w:rPr>
        <w:t xml:space="preserve">onsultants. </w:t>
      </w:r>
      <w:r>
        <w:rPr>
          <w:rFonts w:ascii="Arial" w:hAnsi="Arial" w:cs="Arial"/>
        </w:rPr>
        <w:t xml:space="preserve">For both components, a critical input will be the hiring of a South Korean consultant for up to two years based in ICD/KIC (one year with a possibility for extending it to one more year). Besides strengthening the ongoing collaboration between </w:t>
      </w:r>
      <w:r>
        <w:rPr>
          <w:rFonts w:ascii="Arial" w:hAnsi="Arial" w:cs="Arial"/>
        </w:rPr>
        <w:t>Korea and IDB through knowledge sharing, communication, and administrative support, this consultant will support the development and implementation of Safe Cities in the data analysis pillar of the platform</w:t>
      </w:r>
    </w:p>
    <w:p w14:paraId="418A1745" w14:textId="77777777" w:rsidR="009E5BCE" w:rsidRDefault="00480967">
      <w:pPr>
        <w:spacing w:before="120" w:after="120"/>
        <w:ind w:left="579" w:hanging="579"/>
      </w:pPr>
      <w:r>
        <w:rPr>
          <w:rFonts w:ascii="Arial" w:hAnsi="Arial" w:cs="Arial"/>
          <w:b/>
        </w:rPr>
        <w:t>IV.</w:t>
      </w:r>
      <w:r>
        <w:rPr>
          <w:rFonts w:ascii="Arial" w:hAnsi="Arial" w:cs="Arial"/>
          <w:b/>
        </w:rPr>
        <w:tab/>
        <w:t>Budget</w:t>
      </w:r>
    </w:p>
    <w:p w14:paraId="69AB7666" w14:textId="77777777" w:rsidR="009E5BCE" w:rsidRDefault="00480967">
      <w:pPr>
        <w:spacing w:before="240" w:after="120"/>
        <w:jc w:val="center"/>
      </w:pPr>
      <w:r>
        <w:rPr>
          <w:rFonts w:ascii="Arial" w:hAnsi="Arial" w:cs="Arial"/>
          <w:b/>
          <w:sz w:val="18"/>
          <w:szCs w:val="18"/>
        </w:rPr>
        <w:t>Indicative Budget</w:t>
      </w:r>
    </w:p>
    <w:tbl>
      <w:tblPr>
        <w:tblStyle w:val="TableGrid"/>
        <w:tblW w:w="5000" w:type="auto"/>
        <w:tblLook w:val="04A0" w:firstRow="1" w:lastRow="0" w:firstColumn="1" w:lastColumn="0" w:noHBand="0" w:noVBand="1"/>
      </w:tblPr>
      <w:tblGrid>
        <w:gridCol w:w="2282"/>
        <w:gridCol w:w="2250"/>
        <w:gridCol w:w="2234"/>
        <w:gridCol w:w="2250"/>
      </w:tblGrid>
      <w:tr w:rsidR="009E5BCE" w14:paraId="5D82AC6B" w14:textId="77777777" w:rsidTr="00480967">
        <w:tc>
          <w:tcPr>
            <w:tcW w:w="2310" w:type="dxa"/>
            <w:shd w:val="clear" w:color="auto" w:fill="D9E2F3" w:themeFill="accent1" w:themeFillTint="33"/>
            <w:vAlign w:val="center"/>
          </w:tcPr>
          <w:p w14:paraId="71EA1A11" w14:textId="77777777" w:rsidR="009E5BCE" w:rsidRDefault="00480967">
            <w:pPr>
              <w:spacing w:before="40" w:after="40"/>
              <w:jc w:val="center"/>
            </w:pPr>
            <w:r>
              <w:rPr>
                <w:rFonts w:ascii="Arial" w:hAnsi="Arial" w:cs="Arial"/>
                <w:b/>
                <w:sz w:val="18"/>
                <w:szCs w:val="18"/>
              </w:rPr>
              <w:t>Activity/Component</w:t>
            </w:r>
          </w:p>
        </w:tc>
        <w:tc>
          <w:tcPr>
            <w:tcW w:w="2310" w:type="dxa"/>
            <w:shd w:val="clear" w:color="auto" w:fill="D9E2F3" w:themeFill="accent1" w:themeFillTint="33"/>
          </w:tcPr>
          <w:p w14:paraId="3CF6F769" w14:textId="77777777" w:rsidR="009E5BCE" w:rsidRDefault="00480967">
            <w:pPr>
              <w:spacing w:before="40" w:after="40"/>
              <w:jc w:val="center"/>
            </w:pPr>
            <w:r>
              <w:rPr>
                <w:rFonts w:ascii="Arial" w:hAnsi="Arial" w:cs="Arial"/>
                <w:b/>
                <w:sz w:val="18"/>
                <w:szCs w:val="18"/>
              </w:rPr>
              <w:t>I</w:t>
            </w:r>
            <w:r>
              <w:rPr>
                <w:rFonts w:ascii="Arial" w:hAnsi="Arial" w:cs="Arial"/>
                <w:b/>
                <w:sz w:val="18"/>
                <w:szCs w:val="18"/>
              </w:rPr>
              <w:t>DB/Fund Funding</w:t>
            </w:r>
          </w:p>
        </w:tc>
        <w:tc>
          <w:tcPr>
            <w:tcW w:w="2310" w:type="dxa"/>
            <w:shd w:val="clear" w:color="auto" w:fill="D9E2F3" w:themeFill="accent1" w:themeFillTint="33"/>
          </w:tcPr>
          <w:p w14:paraId="697E4D16" w14:textId="77777777" w:rsidR="009E5BCE" w:rsidRDefault="00480967">
            <w:pPr>
              <w:spacing w:before="40" w:after="40"/>
              <w:jc w:val="center"/>
            </w:pPr>
            <w:r>
              <w:rPr>
                <w:rFonts w:ascii="Arial" w:hAnsi="Arial" w:cs="Arial"/>
                <w:b/>
                <w:sz w:val="18"/>
                <w:szCs w:val="18"/>
              </w:rPr>
              <w:t>Counterpart Funding</w:t>
            </w:r>
          </w:p>
        </w:tc>
        <w:tc>
          <w:tcPr>
            <w:tcW w:w="2310" w:type="dxa"/>
            <w:shd w:val="clear" w:color="auto" w:fill="D9E2F3" w:themeFill="accent1" w:themeFillTint="33"/>
          </w:tcPr>
          <w:p w14:paraId="2D602BF2" w14:textId="77777777" w:rsidR="009E5BCE" w:rsidRDefault="00480967">
            <w:pPr>
              <w:spacing w:before="40" w:after="40"/>
              <w:jc w:val="center"/>
            </w:pPr>
            <w:r>
              <w:rPr>
                <w:rFonts w:ascii="Arial" w:hAnsi="Arial" w:cs="Arial"/>
                <w:b/>
                <w:sz w:val="18"/>
                <w:szCs w:val="18"/>
              </w:rPr>
              <w:t>Total Funding</w:t>
            </w:r>
          </w:p>
        </w:tc>
      </w:tr>
      <w:tr w:rsidR="009E5BCE" w14:paraId="0564BFD7" w14:textId="77777777">
        <w:tc>
          <w:tcPr>
            <w:tcW w:w="2310" w:type="dxa"/>
            <w:vAlign w:val="center"/>
          </w:tcPr>
          <w:p w14:paraId="791D65FA" w14:textId="77777777" w:rsidR="009E5BCE" w:rsidRDefault="00480967">
            <w:pPr>
              <w:spacing w:before="40" w:after="40"/>
            </w:pPr>
            <w:r>
              <w:rPr>
                <w:rFonts w:ascii="Arial" w:hAnsi="Arial" w:cs="Arial"/>
                <w:sz w:val="18"/>
                <w:szCs w:val="18"/>
              </w:rPr>
              <w:t xml:space="preserve">Product development and consolidation in </w:t>
            </w:r>
            <w:proofErr w:type="spellStart"/>
            <w:r>
              <w:rPr>
                <w:rFonts w:ascii="Arial" w:hAnsi="Arial" w:cs="Arial"/>
                <w:sz w:val="18"/>
                <w:szCs w:val="18"/>
              </w:rPr>
              <w:t>Florianópolis</w:t>
            </w:r>
            <w:proofErr w:type="spellEnd"/>
          </w:p>
        </w:tc>
        <w:tc>
          <w:tcPr>
            <w:tcW w:w="2310" w:type="dxa"/>
            <w:vAlign w:val="center"/>
          </w:tcPr>
          <w:p w14:paraId="77DE113E" w14:textId="77777777" w:rsidR="009E5BCE" w:rsidRDefault="00480967">
            <w:pPr>
              <w:spacing w:before="40" w:after="40"/>
              <w:jc w:val="right"/>
            </w:pPr>
            <w:r>
              <w:rPr>
                <w:rFonts w:ascii="Arial" w:hAnsi="Arial" w:cs="Arial"/>
                <w:sz w:val="18"/>
                <w:szCs w:val="18"/>
              </w:rPr>
              <w:t>US$175,000.00</w:t>
            </w:r>
          </w:p>
        </w:tc>
        <w:tc>
          <w:tcPr>
            <w:tcW w:w="2310" w:type="dxa"/>
            <w:vAlign w:val="center"/>
          </w:tcPr>
          <w:p w14:paraId="1D48673E" w14:textId="77777777" w:rsidR="009E5BCE" w:rsidRDefault="00480967">
            <w:pPr>
              <w:spacing w:before="40" w:after="40"/>
              <w:jc w:val="right"/>
            </w:pPr>
            <w:r>
              <w:rPr>
                <w:rFonts w:ascii="Arial" w:hAnsi="Arial" w:cs="Arial"/>
                <w:sz w:val="18"/>
                <w:szCs w:val="18"/>
              </w:rPr>
              <w:t>US$0.00</w:t>
            </w:r>
          </w:p>
        </w:tc>
        <w:tc>
          <w:tcPr>
            <w:tcW w:w="2310" w:type="dxa"/>
            <w:vAlign w:val="center"/>
          </w:tcPr>
          <w:p w14:paraId="7DAD88C4" w14:textId="77777777" w:rsidR="009E5BCE" w:rsidRDefault="00480967">
            <w:pPr>
              <w:spacing w:before="40" w:after="40"/>
              <w:jc w:val="right"/>
            </w:pPr>
            <w:r>
              <w:rPr>
                <w:rFonts w:ascii="Arial" w:hAnsi="Arial" w:cs="Arial"/>
                <w:sz w:val="18"/>
                <w:szCs w:val="18"/>
              </w:rPr>
              <w:t>US$175,000.00</w:t>
            </w:r>
          </w:p>
        </w:tc>
      </w:tr>
      <w:tr w:rsidR="009E5BCE" w14:paraId="4BB23979" w14:textId="77777777">
        <w:tc>
          <w:tcPr>
            <w:tcW w:w="2310" w:type="dxa"/>
            <w:vAlign w:val="center"/>
          </w:tcPr>
          <w:p w14:paraId="05205FAB" w14:textId="77777777" w:rsidR="009E5BCE" w:rsidRDefault="00480967">
            <w:pPr>
              <w:spacing w:before="40" w:after="40"/>
            </w:pPr>
            <w:r>
              <w:rPr>
                <w:rFonts w:ascii="Arial" w:hAnsi="Arial" w:cs="Arial"/>
                <w:sz w:val="18"/>
                <w:szCs w:val="18"/>
              </w:rPr>
              <w:t>Product implementation and consolidation in a second city</w:t>
            </w:r>
          </w:p>
        </w:tc>
        <w:tc>
          <w:tcPr>
            <w:tcW w:w="2310" w:type="dxa"/>
            <w:vAlign w:val="center"/>
          </w:tcPr>
          <w:p w14:paraId="4602DE50" w14:textId="77777777" w:rsidR="009E5BCE" w:rsidRDefault="00480967">
            <w:pPr>
              <w:spacing w:before="40" w:after="40"/>
              <w:jc w:val="right"/>
            </w:pPr>
            <w:r>
              <w:rPr>
                <w:rFonts w:ascii="Arial" w:hAnsi="Arial" w:cs="Arial"/>
                <w:sz w:val="18"/>
                <w:szCs w:val="18"/>
              </w:rPr>
              <w:t>US$175,000.00</w:t>
            </w:r>
          </w:p>
        </w:tc>
        <w:tc>
          <w:tcPr>
            <w:tcW w:w="2310" w:type="dxa"/>
            <w:vAlign w:val="center"/>
          </w:tcPr>
          <w:p w14:paraId="77178FEE" w14:textId="77777777" w:rsidR="009E5BCE" w:rsidRDefault="00480967">
            <w:pPr>
              <w:spacing w:before="40" w:after="40"/>
              <w:jc w:val="right"/>
            </w:pPr>
            <w:r>
              <w:rPr>
                <w:rFonts w:ascii="Arial" w:hAnsi="Arial" w:cs="Arial"/>
                <w:sz w:val="18"/>
                <w:szCs w:val="18"/>
              </w:rPr>
              <w:t>US$0.00</w:t>
            </w:r>
          </w:p>
        </w:tc>
        <w:tc>
          <w:tcPr>
            <w:tcW w:w="2310" w:type="dxa"/>
            <w:vAlign w:val="center"/>
          </w:tcPr>
          <w:p w14:paraId="5DF99ABD" w14:textId="77777777" w:rsidR="009E5BCE" w:rsidRDefault="00480967">
            <w:pPr>
              <w:spacing w:before="40" w:after="40"/>
              <w:jc w:val="right"/>
            </w:pPr>
            <w:r>
              <w:rPr>
                <w:rFonts w:ascii="Arial" w:hAnsi="Arial" w:cs="Arial"/>
                <w:sz w:val="18"/>
                <w:szCs w:val="18"/>
              </w:rPr>
              <w:t>US$175,000.00</w:t>
            </w:r>
          </w:p>
        </w:tc>
      </w:tr>
      <w:tr w:rsidR="009E5BCE" w14:paraId="4A7647D3" w14:textId="77777777">
        <w:tc>
          <w:tcPr>
            <w:tcW w:w="2310" w:type="dxa"/>
            <w:vAlign w:val="center"/>
          </w:tcPr>
          <w:p w14:paraId="0F53B79E" w14:textId="77777777" w:rsidR="009E5BCE" w:rsidRDefault="00480967">
            <w:pPr>
              <w:spacing w:before="40" w:after="40"/>
            </w:pPr>
            <w:r>
              <w:rPr>
                <w:rFonts w:ascii="Arial" w:hAnsi="Arial" w:cs="Arial"/>
                <w:sz w:val="18"/>
                <w:szCs w:val="18"/>
              </w:rPr>
              <w:t>Consultants</w:t>
            </w:r>
          </w:p>
        </w:tc>
        <w:tc>
          <w:tcPr>
            <w:tcW w:w="2310" w:type="dxa"/>
            <w:vAlign w:val="center"/>
          </w:tcPr>
          <w:p w14:paraId="19B7E804" w14:textId="77777777" w:rsidR="009E5BCE" w:rsidRDefault="00480967">
            <w:pPr>
              <w:spacing w:before="40" w:after="40"/>
              <w:jc w:val="right"/>
            </w:pPr>
            <w:r>
              <w:rPr>
                <w:rFonts w:ascii="Arial" w:hAnsi="Arial" w:cs="Arial"/>
                <w:sz w:val="18"/>
                <w:szCs w:val="18"/>
              </w:rPr>
              <w:t>US$150,000.00</w:t>
            </w:r>
          </w:p>
        </w:tc>
        <w:tc>
          <w:tcPr>
            <w:tcW w:w="2310" w:type="dxa"/>
            <w:vAlign w:val="center"/>
          </w:tcPr>
          <w:p w14:paraId="3F4C9D19" w14:textId="77777777" w:rsidR="009E5BCE" w:rsidRDefault="00480967">
            <w:pPr>
              <w:spacing w:before="40" w:after="40"/>
              <w:jc w:val="right"/>
            </w:pPr>
            <w:r>
              <w:rPr>
                <w:rFonts w:ascii="Arial" w:hAnsi="Arial" w:cs="Arial"/>
                <w:sz w:val="18"/>
                <w:szCs w:val="18"/>
              </w:rPr>
              <w:t>US$0.00</w:t>
            </w:r>
          </w:p>
        </w:tc>
        <w:tc>
          <w:tcPr>
            <w:tcW w:w="2310" w:type="dxa"/>
            <w:vAlign w:val="center"/>
          </w:tcPr>
          <w:p w14:paraId="79339208" w14:textId="77777777" w:rsidR="009E5BCE" w:rsidRDefault="00480967">
            <w:pPr>
              <w:spacing w:before="40" w:after="40"/>
              <w:jc w:val="right"/>
            </w:pPr>
            <w:r>
              <w:rPr>
                <w:rFonts w:ascii="Arial" w:hAnsi="Arial" w:cs="Arial"/>
                <w:sz w:val="18"/>
                <w:szCs w:val="18"/>
              </w:rPr>
              <w:t>US$150,000.00</w:t>
            </w:r>
          </w:p>
        </w:tc>
      </w:tr>
      <w:tr w:rsidR="009E5BCE" w14:paraId="451C2649" w14:textId="77777777">
        <w:tc>
          <w:tcPr>
            <w:tcW w:w="2310" w:type="dxa"/>
            <w:vAlign w:val="center"/>
          </w:tcPr>
          <w:p w14:paraId="36AE3A80" w14:textId="77777777" w:rsidR="009E5BCE" w:rsidRDefault="00480967">
            <w:pPr>
              <w:spacing w:before="40" w:after="40"/>
            </w:pPr>
            <w:r>
              <w:rPr>
                <w:rFonts w:ascii="Arial" w:hAnsi="Arial" w:cs="Arial"/>
                <w:b/>
                <w:sz w:val="18"/>
                <w:szCs w:val="18"/>
              </w:rPr>
              <w:t>Total</w:t>
            </w:r>
          </w:p>
        </w:tc>
        <w:tc>
          <w:tcPr>
            <w:tcW w:w="2310" w:type="dxa"/>
            <w:vAlign w:val="center"/>
          </w:tcPr>
          <w:p w14:paraId="550719F7" w14:textId="77777777" w:rsidR="009E5BCE" w:rsidRDefault="00480967">
            <w:pPr>
              <w:spacing w:before="40" w:after="40"/>
              <w:jc w:val="right"/>
            </w:pPr>
            <w:r>
              <w:rPr>
                <w:rFonts w:ascii="Arial" w:hAnsi="Arial" w:cs="Arial"/>
                <w:b/>
                <w:sz w:val="18"/>
                <w:szCs w:val="18"/>
              </w:rPr>
              <w:t>US$500,000.00</w:t>
            </w:r>
          </w:p>
        </w:tc>
        <w:tc>
          <w:tcPr>
            <w:tcW w:w="2310" w:type="dxa"/>
            <w:vAlign w:val="center"/>
          </w:tcPr>
          <w:p w14:paraId="0C7BEDED" w14:textId="77777777" w:rsidR="009E5BCE" w:rsidRDefault="00480967">
            <w:pPr>
              <w:spacing w:before="40" w:after="40"/>
              <w:jc w:val="right"/>
            </w:pPr>
            <w:r>
              <w:rPr>
                <w:rFonts w:ascii="Arial" w:hAnsi="Arial" w:cs="Arial"/>
                <w:b/>
                <w:sz w:val="18"/>
                <w:szCs w:val="18"/>
              </w:rPr>
              <w:t>US$0.00</w:t>
            </w:r>
          </w:p>
        </w:tc>
        <w:tc>
          <w:tcPr>
            <w:tcW w:w="2310" w:type="dxa"/>
            <w:vAlign w:val="center"/>
          </w:tcPr>
          <w:p w14:paraId="096364BC" w14:textId="77777777" w:rsidR="009E5BCE" w:rsidRDefault="00480967">
            <w:pPr>
              <w:spacing w:before="40" w:after="40"/>
              <w:jc w:val="right"/>
            </w:pPr>
            <w:r>
              <w:rPr>
                <w:rFonts w:ascii="Arial" w:hAnsi="Arial" w:cs="Arial"/>
                <w:b/>
                <w:sz w:val="18"/>
                <w:szCs w:val="18"/>
              </w:rPr>
              <w:t>US$500,000.00</w:t>
            </w:r>
          </w:p>
        </w:tc>
      </w:tr>
    </w:tbl>
    <w:p w14:paraId="63F59BE1" w14:textId="77777777" w:rsidR="009E5BCE" w:rsidRDefault="00480967">
      <w:pPr>
        <w:spacing w:before="120" w:after="120"/>
        <w:ind w:left="579" w:hanging="579"/>
      </w:pPr>
      <w:r>
        <w:rPr>
          <w:rFonts w:ascii="Arial" w:hAnsi="Arial" w:cs="Arial"/>
          <w:b/>
        </w:rPr>
        <w:t>V.</w:t>
      </w:r>
      <w:r>
        <w:rPr>
          <w:rFonts w:ascii="Arial" w:hAnsi="Arial" w:cs="Arial"/>
          <w:b/>
        </w:rPr>
        <w:tab/>
        <w:t>Executing Agency and Execution Structure</w:t>
      </w:r>
    </w:p>
    <w:p w14:paraId="6069ED04" w14:textId="77777777" w:rsidR="009E5BCE" w:rsidRDefault="00480967">
      <w:pPr>
        <w:spacing w:before="200" w:after="200"/>
        <w:ind w:left="579" w:hanging="579"/>
        <w:jc w:val="both"/>
      </w:pPr>
      <w:r>
        <w:rPr>
          <w:rFonts w:ascii="Arial" w:hAnsi="Arial" w:cs="Arial"/>
        </w:rPr>
        <w:t>5.1</w:t>
      </w:r>
      <w:r>
        <w:rPr>
          <w:rFonts w:ascii="Arial" w:hAnsi="Arial" w:cs="Arial"/>
        </w:rPr>
        <w:tab/>
        <w:t xml:space="preserve">Given the nature of the project, and the requests from the local governments involved, the TC will be </w:t>
      </w:r>
      <w:r>
        <w:rPr>
          <w:rFonts w:ascii="Arial" w:hAnsi="Arial" w:cs="Arial"/>
        </w:rPr>
        <w:t xml:space="preserve">executed by the IDB through the Innovation for Citizen Services Division (IFD/ICS). The technical counterpart will be subnational secretaries of citizen security. They will commit to support the provision of required information for the development </w:t>
      </w:r>
      <w:r>
        <w:rPr>
          <w:rFonts w:ascii="Arial" w:hAnsi="Arial" w:cs="Arial"/>
        </w:rPr>
        <w:lastRenderedPageBreak/>
        <w:t xml:space="preserve">of the </w:t>
      </w:r>
      <w:r>
        <w:rPr>
          <w:rFonts w:ascii="Arial" w:hAnsi="Arial" w:cs="Arial"/>
        </w:rPr>
        <w:t>products and to facilitate the Bank's and/or hired parties access to the required databases. The IDB should receive written confirmation of those commitments, in form and content that satisfies the requirements of the Bank before the start of operations in</w:t>
      </w:r>
      <w:r>
        <w:rPr>
          <w:rFonts w:ascii="Arial" w:hAnsi="Arial" w:cs="Arial"/>
        </w:rPr>
        <w:t xml:space="preserve"> each jurisdiction.</w:t>
      </w:r>
    </w:p>
    <w:p w14:paraId="5AB689F8" w14:textId="77777777" w:rsidR="009E5BCE" w:rsidRDefault="00480967">
      <w:pPr>
        <w:spacing w:before="200" w:after="200"/>
        <w:ind w:left="579" w:hanging="579"/>
        <w:jc w:val="both"/>
      </w:pPr>
      <w:r>
        <w:rPr>
          <w:rFonts w:ascii="Arial" w:hAnsi="Arial" w:cs="Arial"/>
        </w:rPr>
        <w:t>5.2</w:t>
      </w:r>
      <w:r>
        <w:rPr>
          <w:rFonts w:ascii="Arial" w:hAnsi="Arial" w:cs="Arial"/>
        </w:rPr>
        <w:tab/>
        <w:t>The execution by the IDB is justified mainly by: (</w:t>
      </w:r>
      <w:proofErr w:type="spellStart"/>
      <w:r>
        <w:rPr>
          <w:rFonts w:ascii="Arial" w:hAnsi="Arial" w:cs="Arial"/>
        </w:rPr>
        <w:t>i</w:t>
      </w:r>
      <w:proofErr w:type="spellEnd"/>
      <w:r>
        <w:rPr>
          <w:rFonts w:ascii="Arial" w:hAnsi="Arial" w:cs="Arial"/>
        </w:rPr>
        <w:t>) ICS´ intention to strengthen its business model using the transformational power offered by digital solutions; (ii) ICS's successful experience with the design, implementation and</w:t>
      </w:r>
      <w:r>
        <w:rPr>
          <w:rFonts w:ascii="Arial" w:hAnsi="Arial" w:cs="Arial"/>
        </w:rPr>
        <w:t xml:space="preserve"> supervision of citizen security plans and with the development of similar platforms (ex.: "PROSEG </w:t>
      </w:r>
      <w:proofErr w:type="spellStart"/>
      <w:r>
        <w:rPr>
          <w:rFonts w:ascii="Arial" w:hAnsi="Arial" w:cs="Arial"/>
        </w:rPr>
        <w:t>Federativo</w:t>
      </w:r>
      <w:proofErr w:type="spellEnd"/>
      <w:r>
        <w:rPr>
          <w:rFonts w:ascii="Arial" w:hAnsi="Arial" w:cs="Arial"/>
        </w:rPr>
        <w:t>"), which will provide lessons relevant to this project; and (iii) the broad network of specialists that the IDB have and that will be mobilized to</w:t>
      </w:r>
      <w:r>
        <w:rPr>
          <w:rFonts w:ascii="Arial" w:hAnsi="Arial" w:cs="Arial"/>
        </w:rPr>
        <w:t xml:space="preserve"> ensure that the models and functionalities developed for the platform are in line with the state of the art in digital solutions, and the scientific evidence-base on citizen security.</w:t>
      </w:r>
    </w:p>
    <w:p w14:paraId="27D7CEEE" w14:textId="77777777" w:rsidR="009E5BCE" w:rsidRDefault="00480967">
      <w:pPr>
        <w:spacing w:before="120" w:after="120"/>
        <w:ind w:left="579" w:hanging="579"/>
      </w:pPr>
      <w:r>
        <w:rPr>
          <w:rFonts w:ascii="Arial" w:hAnsi="Arial" w:cs="Arial"/>
          <w:b/>
        </w:rPr>
        <w:t>VI.</w:t>
      </w:r>
      <w:r>
        <w:rPr>
          <w:rFonts w:ascii="Arial" w:hAnsi="Arial" w:cs="Arial"/>
          <w:b/>
        </w:rPr>
        <w:tab/>
        <w:t>Project Risks and Issues</w:t>
      </w:r>
    </w:p>
    <w:p w14:paraId="1D2A4027" w14:textId="77777777" w:rsidR="009E5BCE" w:rsidRDefault="00480967">
      <w:pPr>
        <w:spacing w:before="200" w:after="200"/>
        <w:ind w:left="579" w:hanging="579"/>
        <w:jc w:val="both"/>
      </w:pPr>
      <w:r>
        <w:rPr>
          <w:rFonts w:ascii="Arial" w:hAnsi="Arial" w:cs="Arial"/>
        </w:rPr>
        <w:t>6.1</w:t>
      </w:r>
      <w:r>
        <w:rPr>
          <w:rFonts w:ascii="Arial" w:hAnsi="Arial" w:cs="Arial"/>
        </w:rPr>
        <w:tab/>
        <w:t>To mitigate risk related to data acces</w:t>
      </w:r>
      <w:r>
        <w:rPr>
          <w:rFonts w:ascii="Arial" w:hAnsi="Arial" w:cs="Arial"/>
        </w:rPr>
        <w:t xml:space="preserve">s, security, and privacy, the platform's first prototype is being developed with the municipality of </w:t>
      </w:r>
      <w:proofErr w:type="spellStart"/>
      <w:r>
        <w:rPr>
          <w:rFonts w:ascii="Arial" w:hAnsi="Arial" w:cs="Arial"/>
        </w:rPr>
        <w:t>Florianópolis</w:t>
      </w:r>
      <w:proofErr w:type="spellEnd"/>
      <w:r>
        <w:rPr>
          <w:rFonts w:ascii="Arial" w:hAnsi="Arial" w:cs="Arial"/>
        </w:rPr>
        <w:t xml:space="preserve"> through an already signed agreement with the city for data access, which includes data privacy protocols, across implicated secretaries. The </w:t>
      </w:r>
      <w:r>
        <w:rPr>
          <w:rFonts w:ascii="Arial" w:hAnsi="Arial" w:cs="Arial"/>
        </w:rPr>
        <w:t>same practice will be applied in the second city.</w:t>
      </w:r>
      <w:r>
        <w:rPr>
          <w:rFonts w:ascii="Arial" w:hAnsi="Arial" w:cs="Arial"/>
        </w:rPr>
        <w:br/>
        <w:t>Possible resistance by public agencies to use the platform: To mitigate this risk, IDB's team is already building a network of "sponsors" / "champions" with whom constant interaction will be maintained thro</w:t>
      </w:r>
      <w:r>
        <w:rPr>
          <w:rFonts w:ascii="Arial" w:hAnsi="Arial" w:cs="Arial"/>
        </w:rPr>
        <w:t>ughout the project.</w:t>
      </w:r>
    </w:p>
    <w:p w14:paraId="78EBDAC7" w14:textId="77777777" w:rsidR="009E5BCE" w:rsidRDefault="00480967">
      <w:pPr>
        <w:spacing w:before="120" w:after="120"/>
        <w:ind w:left="579" w:hanging="579"/>
      </w:pPr>
      <w:r>
        <w:rPr>
          <w:rFonts w:ascii="Arial" w:hAnsi="Arial" w:cs="Arial"/>
          <w:b/>
        </w:rPr>
        <w:t>VII.</w:t>
      </w:r>
      <w:r>
        <w:rPr>
          <w:rFonts w:ascii="Arial" w:hAnsi="Arial" w:cs="Arial"/>
          <w:b/>
        </w:rPr>
        <w:tab/>
        <w:t>Environmental and Social Classification</w:t>
      </w:r>
    </w:p>
    <w:p w14:paraId="0B34F07E" w14:textId="77777777" w:rsidR="009E5BCE" w:rsidRDefault="00480967">
      <w:pPr>
        <w:spacing w:before="240" w:after="120"/>
        <w:ind w:left="579" w:hanging="579"/>
        <w:jc w:val="both"/>
      </w:pPr>
      <w:r>
        <w:rPr>
          <w:rFonts w:ascii="Arial" w:hAnsi="Arial" w:cs="Arial"/>
        </w:rPr>
        <w:t>7.1</w:t>
      </w:r>
      <w:r>
        <w:rPr>
          <w:rFonts w:ascii="Arial" w:hAnsi="Arial" w:cs="Arial"/>
        </w:rPr>
        <w:tab/>
        <w:t>The ESG classification for this operation is "undefined".</w:t>
      </w:r>
    </w:p>
    <w:sectPr w:rsidR="009E5BCE" w:rsidSect="00FC3028">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689A8E" w14:textId="77777777" w:rsidR="00000000" w:rsidRDefault="00480967">
      <w:r>
        <w:separator/>
      </w:r>
    </w:p>
  </w:endnote>
  <w:endnote w:type="continuationSeparator" w:id="0">
    <w:p w14:paraId="6ED36281" w14:textId="77777777" w:rsidR="00000000" w:rsidRDefault="004809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0969C" w14:textId="77777777" w:rsidR="009E5BCE" w:rsidRDefault="00480967">
    <w:pPr>
      <w:pStyle w:val="FooterStyle"/>
      <w:jc w:val="center"/>
    </w:pPr>
    <w:r>
      <w:t xml:space="preserve"> - </w:t>
    </w:r>
    <w:r>
      <w:fldChar w:fldCharType="begin"/>
    </w:r>
    <w:r>
      <w:instrText xml:space="preserve"> PAGE </w:instrText>
    </w:r>
    <w:r>
      <w:fldChar w:fldCharType="separate"/>
    </w:r>
    <w:r>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FAD058" w14:textId="77777777" w:rsidR="00000000" w:rsidRDefault="00480967">
      <w:r>
        <w:separator/>
      </w:r>
    </w:p>
  </w:footnote>
  <w:footnote w:type="continuationSeparator" w:id="0">
    <w:p w14:paraId="31CEE3F1" w14:textId="77777777" w:rsidR="00000000" w:rsidRDefault="004809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1915A3"/>
    <w:rsid w:val="00217F62"/>
    <w:rsid w:val="00480967"/>
    <w:rsid w:val="009E5BCE"/>
    <w:rsid w:val="00A906D8"/>
    <w:rsid w:val="00AB5A74"/>
    <w:rsid w:val="00F07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E4882B"/>
  <w15:docId w15:val="{3350AA6A-9115-4FD4-814D-EA4374485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erStyle">
    <w:name w:val="FooterStyle"/>
    <w:rPr>
      <w:rFonts w:ascii="Arial" w:eastAsia="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57F7D6DDE31E094A9A17065883D085F8" ma:contentTypeVersion="0" ma:contentTypeDescription="The base project type from which other project content types inherit their information." ma:contentTypeScope="" ma:versionID="3316fcfbbe9f53d1ed036aa31ccf56c7">
  <xsd:schema xmlns:xsd="http://www.w3.org/2001/XMLSchema" xmlns:xs="http://www.w3.org/2001/XMLSchema" xmlns:p="http://schemas.microsoft.com/office/2006/metadata/properties" xmlns:ns2="cdc7663a-08f0-4737-9e8c-148ce897a09c" targetNamespace="http://schemas.microsoft.com/office/2006/metadata/properties" ma:root="true" ma:fieldsID="69ba69ea47660d1fb4bf02e512a4e71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ACF722E9F6B0B149B0CD8BE2560A6672" PreviousValue="false" LastSyncTimeStamp="2021-11-30T20:17:31.517Z"/>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NewComponentId>&lt;FormUrls xmlns="http://schemas.microsoft.com/sharepoint/v3/contenttype/forms/url"&gt;&lt;Display&gt;_catalogs/masterpage/ECMForms/OperationsCT/View.aspx&lt;/Display&gt;&lt;Edit&gt;_catalogs/masterpage/ECMForms/OperationsCT/Edit.aspx&lt;/Edit&gt;&lt;/FormUrls&gt;</NewComponentId>
  <DisplayFormTarget>NewWindow</DisplayFormTarget>
  <EditFormTarget>NewWindow</EditFormTarget>
  <NewFormTarget>NewWindow</NewFormTarge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IFD/ICS</Division_x0020_or_x0020_Unit>
    <From_x003a_ xmlns="cdc7663a-08f0-4737-9e8c-148ce897a09c" xsi:nil="true"/>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PHASE_PREPARATION</Phase>
    <Document_x0020_Author xmlns="cdc7663a-08f0-4737-9e8c-148ce897a09c">Catano Guzman Mariana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SUBNATIONAL AND LOCAL GOVERNMENTS</TermName>
          <TermId xmlns="http://schemas.microsoft.com/office/infopath/2007/PartnerControls">168e0cfe-6c5d-4da2-91c6-320001071f30</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KPK</TermName>
          <TermId xmlns="http://schemas.microsoft.com/office/infopath/2007/PartnerControls">5e9b0b4b-552d-41e7-8443-d0767d768acd</TermId>
        </TermInfo>
      </Terms>
    </g511464f9e53401d84b16fa9b379a574>
    <Related_x0020_SisCor_x0020_Number xmlns="cdc7663a-08f0-4737-9e8c-148ce897a09c" xsi:nil="true"/>
    <Transaction_x0020_Type xmlns="cdc7663a-08f0-4737-9e8c-148ce897a09c" xsi:nil="true"/>
    <TaxCatchAll xmlns="cdc7663a-08f0-4737-9e8c-148ce897a09c">
      <Value>62</Value>
      <Value>44</Value>
      <Value>226</Value>
      <Value>1</Value>
      <Value>56</Value>
    </TaxCatchAll>
    <Operation_x0020_Type xmlns="cdc7663a-08f0-4737-9e8c-148ce897a09c">TCP</Operation_x0020_Type>
    <Package_x0020_Code xmlns="cdc7663a-08f0-4737-9e8c-148ce897a09c" xsi:nil="true"/>
    <To_x003a_ xmlns="cdc7663a-08f0-4737-9e8c-148ce897a09c" xsi:nil="true"/>
    <Identifier xmlns="cdc7663a-08f0-4737-9e8c-148ce897a09c" xsi:nil="true"/>
    <Project_x0020_Number xmlns="cdc7663a-08f0-4737-9e8c-148ce897a09c">RG-T4208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 xsi:nil="true"/>
    <Transaction_x0020_Number xmlns="cdc7663a-08f0-4737-9e8c-148ce897a09c" xsi:nil="true"/>
    <Extracted_x0020_Keywords xmlns="cdc7663a-08f0-4737-9e8c-148ce897a09c" xsi:nil="true"/>
    <Approval_x0020_date xmlns="cdc7663a-08f0-4737-9e8c-148ce897a09c" xsi:nil="true"/>
    <_dlc_DocId xmlns="cdc7663a-08f0-4737-9e8c-148ce897a09c">EZSHARE-955924425-10</_dlc_DocId>
    <_dlc_DocIdUrl xmlns="cdc7663a-08f0-4737-9e8c-148ce897a09c">
      <Url>https://idbg.sharepoint.com/teams/EZ-RG-TCP/RG-T4208/_layouts/15/DocIdRedir.aspx?ID=EZSHARE-955924425-10</Url>
      <Description>EZSHARE-955924425-10</Description>
    </_dlc_DocIdUrl>
  </documentManagement>
</p:properties>
</file>

<file path=customXml/itemProps1.xml><?xml version="1.0" encoding="utf-8"?>
<ds:datastoreItem xmlns:ds="http://schemas.openxmlformats.org/officeDocument/2006/customXml" ds:itemID="{1E029DA5-AA88-4869-B36C-7036E7C6104F}"/>
</file>

<file path=customXml/itemProps2.xml><?xml version="1.0" encoding="utf-8"?>
<ds:datastoreItem xmlns:ds="http://schemas.openxmlformats.org/officeDocument/2006/customXml" ds:itemID="{66846277-EE0C-4618-9165-BF993CA34FC4}"/>
</file>

<file path=customXml/itemProps3.xml><?xml version="1.0" encoding="utf-8"?>
<ds:datastoreItem xmlns:ds="http://schemas.openxmlformats.org/officeDocument/2006/customXml" ds:itemID="{D85597D2-37F3-4599-95E4-74144F8337CC}"/>
</file>

<file path=customXml/itemProps4.xml><?xml version="1.0" encoding="utf-8"?>
<ds:datastoreItem xmlns:ds="http://schemas.openxmlformats.org/officeDocument/2006/customXml" ds:itemID="{410F0DD3-AB12-4828-BA40-167DDF7D6981}"/>
</file>

<file path=customXml/itemProps5.xml><?xml version="1.0" encoding="utf-8"?>
<ds:datastoreItem xmlns:ds="http://schemas.openxmlformats.org/officeDocument/2006/customXml" ds:itemID="{027A5B8A-2EB3-4DED-8338-DCE19FA87247}"/>
</file>

<file path=customXml/itemProps6.xml><?xml version="1.0" encoding="utf-8"?>
<ds:datastoreItem xmlns:ds="http://schemas.openxmlformats.org/officeDocument/2006/customXml" ds:itemID="{2C1E2F4B-C879-48E5-A06D-36A1C5D63DE8}"/>
</file>

<file path=docProps/app.xml><?xml version="1.0" encoding="utf-8"?>
<Properties xmlns="http://schemas.openxmlformats.org/officeDocument/2006/extended-properties" xmlns:vt="http://schemas.openxmlformats.org/officeDocument/2006/docPropsVTypes">
  <Template>Normal</Template>
  <TotalTime>2</TotalTime>
  <Pages>3</Pages>
  <Words>1177</Words>
  <Characters>6476</Characters>
  <Application>Microsoft Office Word</Application>
  <DocSecurity>0</DocSecurity>
  <Lines>53</Lines>
  <Paragraphs>15</Paragraphs>
  <ScaleCrop>false</ScaleCrop>
  <Company/>
  <LinksUpToDate>false</LinksUpToDate>
  <CharactersWithSpaces>7638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Mariana Catano Jorgenson</dc:creator>
  <cp:keywords/>
  <cp:lastModifiedBy>Mariana Catano Jorgenson</cp:lastModifiedBy>
  <cp:revision>2</cp:revision>
  <dcterms:created xsi:type="dcterms:W3CDTF">2022-12-01T22:58:00Z</dcterms:created>
  <dcterms:modified xsi:type="dcterms:W3CDTF">2022-12-01T22:58:00Z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0x010100ACF722E9F6B0B149B0CD8BE2560A66720057F7D6DDE31E094A9A17065883D085F8</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44;#Regional|2537a5b7-6d8e-482c-94dc-32c3cc44ff65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1;#Project Preparation Planning and Design|29ca0c72-1fc4-435f-a09c-28585cb5eac9</vt:lpwstr>
  </property>
  <property fmtid="{D5CDD505-2E9C-101B-9397-08002B2CF9AE}" pid="10" name="Sector_x0020_IDB">
    <vt:lpwstr/>
  </property>
  <property fmtid="{D5CDD505-2E9C-101B-9397-08002B2CF9AE}" pid="11" name="Sub-Sector">
    <vt:lpwstr>226;#SUBNATIONAL AND LOCAL GOVERNMENTS|168e0cfe-6c5d-4da2-91c6-320001071f30</vt:lpwstr>
  </property>
  <property fmtid="{D5CDD505-2E9C-101B-9397-08002B2CF9AE}" pid="13" name="Fund IDB">
    <vt:lpwstr>62;#KPK|5e9b0b4b-552d-41e7-8443-d0767d768acd</vt:lpwstr>
  </property>
  <property fmtid="{D5CDD505-2E9C-101B-9397-08002B2CF9AE}" pid="14" name="Sector IDB">
    <vt:lpwstr>56;#REFORM / MODERNIZATION OF THE STATE|c8fda4a7-691a-4c65-b227-9825197b5cd2</vt:lpwstr>
  </property>
  <property fmtid="{D5CDD505-2E9C-101B-9397-08002B2CF9AE}" pid="15" name="_dlc_DocIdItemGuid">
    <vt:lpwstr>4f2287a5-11ae-4d13-81de-25b7fc63e1c3</vt:lpwstr>
  </property>
  <property fmtid="{D5CDD505-2E9C-101B-9397-08002B2CF9AE}" pid="16" name="Disclosure Activity">
    <vt:lpwstr>TC Abstract</vt:lpwstr>
  </property>
  <property fmtid="{D5CDD505-2E9C-101B-9397-08002B2CF9AE}" pid="17" name="Webtopic">
    <vt:lpwstr/>
  </property>
  <property fmtid="{D5CDD505-2E9C-101B-9397-08002B2CF9AE}" pid="18" name="Series Operations IDB">
    <vt:lpwstr/>
  </property>
</Properties>
</file>