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6E47CF15" w:rsidR="00D761FB" w:rsidRPr="00183A2A"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PA"/>
        </w:rPr>
      </w:pPr>
      <w:r w:rsidRPr="00183A2A">
        <w:rPr>
          <w:rFonts w:asciiTheme="minorHAnsi" w:hAnsiTheme="minorHAnsi"/>
          <w:lang w:val="es-PA"/>
        </w:rPr>
        <w:t xml:space="preserve">                </w:t>
      </w:r>
    </w:p>
    <w:p w14:paraId="7BC714B6" w14:textId="01E25A34" w:rsidR="00D761FB" w:rsidRPr="00105DE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PA"/>
        </w:rPr>
      </w:pPr>
      <w:r w:rsidRPr="00105DEB">
        <w:rPr>
          <w:rFonts w:asciiTheme="minorHAnsi" w:eastAsiaTheme="minorEastAsia" w:hAnsiTheme="minorHAnsi" w:cstheme="minorBidi"/>
          <w:smallCaps w:val="0"/>
          <w:sz w:val="28"/>
          <w:szCs w:val="28"/>
          <w:u w:val="single"/>
          <w:lang w:val="es-PA"/>
        </w:rPr>
        <w:t xml:space="preserve">SOLICITUD DE </w:t>
      </w:r>
      <w:r w:rsidR="00E82ED1" w:rsidRPr="00105DEB">
        <w:rPr>
          <w:rFonts w:asciiTheme="minorHAnsi" w:eastAsiaTheme="minorEastAsia" w:hAnsiTheme="minorHAnsi" w:cstheme="minorBidi"/>
          <w:smallCaps w:val="0"/>
          <w:sz w:val="28"/>
          <w:szCs w:val="28"/>
          <w:u w:val="single"/>
          <w:lang w:val="es-PA"/>
        </w:rPr>
        <w:t xml:space="preserve">EXPRESIONES </w:t>
      </w:r>
      <w:r w:rsidRPr="00105DEB">
        <w:rPr>
          <w:rFonts w:asciiTheme="minorHAnsi" w:eastAsiaTheme="minorEastAsia" w:hAnsiTheme="minorHAnsi" w:cstheme="minorBidi"/>
          <w:smallCaps w:val="0"/>
          <w:sz w:val="28"/>
          <w:szCs w:val="28"/>
          <w:u w:val="single"/>
          <w:lang w:val="es-PA"/>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Pr="00262135" w:rsidRDefault="00D761FB">
      <w:pPr>
        <w:jc w:val="both"/>
        <w:rPr>
          <w:rFonts w:asciiTheme="minorHAnsi" w:hAnsiTheme="minorHAnsi" w:cs="Times New Roman"/>
          <w:color w:val="auto"/>
        </w:rPr>
      </w:pPr>
    </w:p>
    <w:p w14:paraId="628BF229" w14:textId="5F5DAFE3" w:rsidR="00D761FB" w:rsidRPr="00262135" w:rsidRDefault="08202347" w:rsidP="00262135">
      <w:pPr>
        <w:suppressAutoHyphens/>
        <w:jc w:val="both"/>
        <w:rPr>
          <w:rFonts w:asciiTheme="minorHAnsi" w:hAnsiTheme="minorHAnsi" w:cstheme="minorBidi"/>
          <w:color w:val="auto"/>
        </w:rPr>
      </w:pPr>
      <w:r w:rsidRPr="00262135">
        <w:rPr>
          <w:rFonts w:asciiTheme="minorHAnsi" w:hAnsiTheme="minorHAnsi" w:cstheme="minorBidi"/>
          <w:color w:val="auto"/>
        </w:rPr>
        <w:t xml:space="preserve">Selección #: </w:t>
      </w:r>
      <w:r w:rsidR="009F6DC9" w:rsidRPr="00262135">
        <w:rPr>
          <w:rFonts w:asciiTheme="minorHAnsi" w:hAnsiTheme="minorHAnsi" w:cstheme="minorBidi"/>
          <w:color w:val="auto"/>
        </w:rPr>
        <w:t>PN-T1311-P001</w:t>
      </w:r>
    </w:p>
    <w:p w14:paraId="2FE659F0" w14:textId="13460A94" w:rsidR="00D761FB" w:rsidRPr="00262135" w:rsidRDefault="08202347" w:rsidP="00262135">
      <w:pPr>
        <w:jc w:val="both"/>
        <w:rPr>
          <w:color w:val="auto"/>
        </w:rPr>
      </w:pPr>
      <w:r w:rsidRPr="00262135">
        <w:rPr>
          <w:rFonts w:asciiTheme="minorHAnsi" w:hAnsiTheme="minorHAnsi" w:cstheme="minorBidi"/>
          <w:color w:val="auto"/>
        </w:rPr>
        <w:t>Método de selección:</w:t>
      </w:r>
      <w:r w:rsidR="00D53C66" w:rsidRPr="00262135">
        <w:rPr>
          <w:rFonts w:asciiTheme="minorHAnsi" w:hAnsiTheme="minorHAnsi" w:cstheme="minorBidi"/>
          <w:color w:val="auto"/>
        </w:rPr>
        <w:t xml:space="preserve"> </w:t>
      </w:r>
      <w:r w:rsidR="002913AF" w:rsidRPr="00262135">
        <w:rPr>
          <w:rFonts w:asciiTheme="minorHAnsi" w:hAnsiTheme="minorHAnsi" w:cstheme="minorBidi"/>
          <w:color w:val="auto"/>
        </w:rPr>
        <w:t>Selección competitiva simplificada</w:t>
      </w:r>
    </w:p>
    <w:p w14:paraId="4356DB27" w14:textId="558B7FE7" w:rsidR="00D761FB" w:rsidRPr="00262135" w:rsidRDefault="08202347" w:rsidP="00262135">
      <w:pPr>
        <w:suppressAutoHyphens/>
        <w:jc w:val="both"/>
        <w:rPr>
          <w:rFonts w:asciiTheme="minorHAnsi" w:hAnsiTheme="minorHAnsi" w:cstheme="minorBidi"/>
          <w:color w:val="auto"/>
        </w:rPr>
      </w:pPr>
      <w:r w:rsidRPr="00262135">
        <w:rPr>
          <w:rFonts w:asciiTheme="minorHAnsi" w:hAnsiTheme="minorHAnsi" w:cstheme="minorBidi"/>
          <w:color w:val="auto"/>
        </w:rPr>
        <w:t>País:</w:t>
      </w:r>
      <w:r w:rsidR="002913AF" w:rsidRPr="00262135">
        <w:rPr>
          <w:rFonts w:asciiTheme="minorHAnsi" w:hAnsiTheme="minorHAnsi" w:cstheme="minorBidi"/>
          <w:color w:val="auto"/>
        </w:rPr>
        <w:t xml:space="preserve"> Panamá</w:t>
      </w:r>
    </w:p>
    <w:p w14:paraId="4C834057" w14:textId="0A250D15" w:rsidR="00D761FB" w:rsidRPr="00262135" w:rsidRDefault="08202347" w:rsidP="00262135">
      <w:pPr>
        <w:suppressAutoHyphens/>
        <w:jc w:val="both"/>
        <w:rPr>
          <w:rFonts w:asciiTheme="minorHAnsi" w:hAnsiTheme="minorHAnsi" w:cstheme="minorBidi"/>
          <w:color w:val="auto"/>
        </w:rPr>
      </w:pPr>
      <w:r w:rsidRPr="00262135">
        <w:rPr>
          <w:rFonts w:asciiTheme="minorHAnsi" w:hAnsiTheme="minorHAnsi" w:cstheme="minorBidi"/>
          <w:color w:val="auto"/>
        </w:rPr>
        <w:t>Sector:</w:t>
      </w:r>
      <w:r w:rsidR="00CB4A3D" w:rsidRPr="00262135">
        <w:rPr>
          <w:rFonts w:asciiTheme="minorHAnsi" w:hAnsiTheme="minorHAnsi" w:cstheme="minorBidi"/>
          <w:color w:val="auto"/>
        </w:rPr>
        <w:t xml:space="preserve"> Energía (INE/ENE)</w:t>
      </w:r>
    </w:p>
    <w:p w14:paraId="420580C3" w14:textId="36FED38C" w:rsidR="00D761FB" w:rsidRPr="00262135" w:rsidRDefault="08202347" w:rsidP="00262135">
      <w:pPr>
        <w:suppressAutoHyphens/>
        <w:jc w:val="both"/>
        <w:rPr>
          <w:rFonts w:asciiTheme="minorHAnsi" w:hAnsiTheme="minorHAnsi" w:cstheme="minorBidi"/>
          <w:color w:val="auto"/>
        </w:rPr>
      </w:pPr>
      <w:r w:rsidRPr="00262135">
        <w:rPr>
          <w:rFonts w:asciiTheme="minorHAnsi" w:hAnsiTheme="minorHAnsi" w:cstheme="minorBidi"/>
          <w:color w:val="auto"/>
        </w:rPr>
        <w:t>Financiación - TC #:</w:t>
      </w:r>
      <w:r w:rsidR="007C7274" w:rsidRPr="00262135">
        <w:rPr>
          <w:rFonts w:asciiTheme="minorHAnsi" w:hAnsiTheme="minorHAnsi" w:cstheme="minorBidi"/>
          <w:color w:val="auto"/>
        </w:rPr>
        <w:t xml:space="preserve"> </w:t>
      </w:r>
      <w:r w:rsidR="009A3F33" w:rsidRPr="00262135">
        <w:rPr>
          <w:rFonts w:asciiTheme="minorHAnsi" w:hAnsiTheme="minorHAnsi" w:cstheme="minorBidi"/>
          <w:color w:val="auto"/>
        </w:rPr>
        <w:t>ATN/TV-19320-PN</w:t>
      </w:r>
      <w:r w:rsidRPr="00262135">
        <w:rPr>
          <w:rFonts w:asciiTheme="minorHAnsi" w:hAnsiTheme="minorHAnsi" w:cstheme="minorBidi"/>
          <w:color w:val="auto"/>
        </w:rPr>
        <w:t xml:space="preserve">                       </w:t>
      </w:r>
    </w:p>
    <w:p w14:paraId="6B175998" w14:textId="550B6FD1" w:rsidR="00D761FB" w:rsidRPr="00262135" w:rsidRDefault="08202347" w:rsidP="00262135">
      <w:pPr>
        <w:pStyle w:val="BodyText"/>
        <w:jc w:val="both"/>
      </w:pPr>
      <w:r w:rsidRPr="00262135">
        <w:rPr>
          <w:rFonts w:asciiTheme="minorHAnsi" w:eastAsiaTheme="minorEastAsia" w:hAnsiTheme="minorHAnsi" w:cstheme="minorBidi"/>
        </w:rPr>
        <w:t>Proyecto #:</w:t>
      </w:r>
      <w:r w:rsidR="009A3F33" w:rsidRPr="00262135">
        <w:rPr>
          <w:rFonts w:asciiTheme="minorHAnsi" w:eastAsiaTheme="minorEastAsia" w:hAnsiTheme="minorHAnsi" w:cstheme="minorBidi"/>
        </w:rPr>
        <w:t xml:space="preserve"> PN-T1311</w:t>
      </w:r>
    </w:p>
    <w:p w14:paraId="08959238" w14:textId="036DEE5E" w:rsidR="00D761FB" w:rsidRPr="00262135" w:rsidRDefault="08202347" w:rsidP="00262135">
      <w:pPr>
        <w:pStyle w:val="BodyText"/>
        <w:jc w:val="both"/>
      </w:pPr>
      <w:r w:rsidRPr="00262135">
        <w:rPr>
          <w:rFonts w:asciiTheme="minorHAnsi" w:eastAsiaTheme="minorEastAsia" w:hAnsiTheme="minorHAnsi" w:cstheme="minorBidi"/>
        </w:rPr>
        <w:t>Nombre del TC:</w:t>
      </w:r>
      <w:r w:rsidR="009A3F33" w:rsidRPr="00262135">
        <w:rPr>
          <w:rFonts w:asciiTheme="minorHAnsi" w:eastAsiaTheme="minorEastAsia" w:hAnsiTheme="minorHAnsi" w:cstheme="minorBidi"/>
        </w:rPr>
        <w:t xml:space="preserve"> Apoyo a la transformación técnica para impulsar la transición energética en Panamá</w:t>
      </w:r>
    </w:p>
    <w:p w14:paraId="19F1721F" w14:textId="65073A78" w:rsidR="00D761FB" w:rsidRPr="00262135" w:rsidRDefault="08202347" w:rsidP="00262135">
      <w:pPr>
        <w:pStyle w:val="BodyText"/>
        <w:jc w:val="both"/>
        <w:rPr>
          <w:rFonts w:asciiTheme="minorHAnsi" w:eastAsiaTheme="minorEastAsia" w:hAnsiTheme="minorHAnsi" w:cstheme="minorBidi"/>
        </w:rPr>
      </w:pPr>
      <w:r w:rsidRPr="00262135">
        <w:rPr>
          <w:rFonts w:asciiTheme="minorHAnsi" w:eastAsiaTheme="minorEastAsia" w:hAnsiTheme="minorHAnsi" w:cstheme="minorBidi"/>
        </w:rPr>
        <w:t>Descripción de los Servicios</w:t>
      </w:r>
      <w:r w:rsidR="009A3F33" w:rsidRPr="00262135">
        <w:rPr>
          <w:rFonts w:asciiTheme="minorHAnsi" w:eastAsiaTheme="minorEastAsia" w:hAnsiTheme="minorHAnsi" w:cstheme="minorBidi"/>
        </w:rPr>
        <w:t xml:space="preserve">: </w:t>
      </w:r>
      <w:r w:rsidR="00C0586F" w:rsidRPr="00C0586F">
        <w:rPr>
          <w:rFonts w:asciiTheme="minorHAnsi" w:eastAsiaTheme="minorEastAsia" w:hAnsiTheme="minorHAnsi" w:cstheme="minorBidi"/>
        </w:rPr>
        <w:t>Consultoría para el apoyo al diseño de programas de capacitación en temas centrales de la transición energética, y la formación de sus formadores en Panamá</w:t>
      </w:r>
    </w:p>
    <w:p w14:paraId="18F92703" w14:textId="7DC21106" w:rsidR="00D761FB" w:rsidRPr="00262135" w:rsidRDefault="08202347" w:rsidP="00262135">
      <w:pPr>
        <w:pStyle w:val="BodyText"/>
        <w:jc w:val="both"/>
        <w:rPr>
          <w:rFonts w:asciiTheme="minorHAnsi" w:eastAsiaTheme="minorEastAsia" w:hAnsiTheme="minorHAnsi" w:cstheme="minorBidi"/>
        </w:rPr>
      </w:pPr>
      <w:r w:rsidRPr="00262135">
        <w:rPr>
          <w:rFonts w:asciiTheme="minorHAnsi" w:eastAsiaTheme="minorEastAsia" w:hAnsiTheme="minorHAnsi" w:cstheme="minorBidi"/>
        </w:rPr>
        <w:t>Enlace al documento TC</w:t>
      </w:r>
      <w:r w:rsidR="00E75A4B" w:rsidRPr="00262135">
        <w:rPr>
          <w:rFonts w:asciiTheme="minorHAnsi" w:eastAsiaTheme="minorEastAsia" w:hAnsiTheme="minorHAnsi" w:cstheme="minorBidi"/>
        </w:rPr>
        <w:t xml:space="preserve">: </w:t>
      </w:r>
      <w:hyperlink r:id="rId11" w:history="1">
        <w:r w:rsidR="00262135" w:rsidRPr="008F7711">
          <w:rPr>
            <w:rStyle w:val="Hyperlink"/>
            <w:rFonts w:asciiTheme="minorHAnsi" w:eastAsiaTheme="minorEastAsia" w:hAnsiTheme="minorHAnsi" w:cstheme="minorBidi"/>
          </w:rPr>
          <w:t>https://www.iadb.org/Document.cfm?id=EZSHARE-1781647375-26</w:t>
        </w:r>
      </w:hyperlink>
      <w:r w:rsidR="00262135">
        <w:rPr>
          <w:rFonts w:asciiTheme="minorHAnsi" w:eastAsiaTheme="minorEastAsia" w:hAnsiTheme="minorHAnsi" w:cstheme="minorBidi"/>
        </w:rPr>
        <w:t xml:space="preserve"> </w:t>
      </w:r>
    </w:p>
    <w:p w14:paraId="5D15DF79" w14:textId="77777777" w:rsidR="00D761FB" w:rsidRDefault="00D761FB" w:rsidP="00434857">
      <w:pPr>
        <w:pStyle w:val="BodyText"/>
        <w:jc w:val="both"/>
        <w:rPr>
          <w:rFonts w:asciiTheme="minorHAnsi" w:hAnsiTheme="minorHAnsi" w:cstheme="minorHAnsi"/>
          <w:i/>
          <w:color w:val="0070C0"/>
        </w:rPr>
      </w:pPr>
    </w:p>
    <w:p w14:paraId="2C0FC91B" w14:textId="52EFB5FC" w:rsidR="00D761FB" w:rsidRDefault="08202347" w:rsidP="00CF16E1">
      <w:pPr>
        <w:jc w:val="both"/>
        <w:rPr>
          <w:rFonts w:asciiTheme="minorHAnsi" w:hAnsiTheme="minorHAnsi" w:cstheme="minorBidi"/>
          <w:color w:val="auto"/>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2"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A83FFB">
        <w:rPr>
          <w:rFonts w:asciiTheme="minorHAnsi" w:hAnsiTheme="minorHAnsi" w:cstheme="minorBidi"/>
          <w:color w:val="0070C0"/>
          <w:highlight w:val="yellow"/>
        </w:rPr>
        <w:t>17</w:t>
      </w:r>
      <w:r w:rsidR="00DC51CC" w:rsidRPr="00DC51CC">
        <w:rPr>
          <w:rFonts w:asciiTheme="minorHAnsi" w:hAnsiTheme="minorHAnsi" w:cstheme="minorBidi"/>
          <w:color w:val="0070C0"/>
          <w:highlight w:val="yellow"/>
        </w:rPr>
        <w:t xml:space="preserve"> de </w:t>
      </w:r>
      <w:r w:rsidR="00A83FFB">
        <w:rPr>
          <w:rFonts w:asciiTheme="minorHAnsi" w:hAnsiTheme="minorHAnsi" w:cstheme="minorBidi"/>
          <w:color w:val="0070C0"/>
          <w:highlight w:val="yellow"/>
        </w:rPr>
        <w:t>octubre</w:t>
      </w:r>
      <w:r w:rsidR="00DC51CC" w:rsidRPr="00DC51CC">
        <w:rPr>
          <w:rFonts w:asciiTheme="minorHAnsi" w:hAnsiTheme="minorHAnsi" w:cstheme="minorBidi"/>
          <w:color w:val="0070C0"/>
          <w:highlight w:val="yellow"/>
        </w:rPr>
        <w:t xml:space="preserve"> de 2022</w:t>
      </w:r>
      <w:r w:rsidR="00DC51CC">
        <w:rPr>
          <w:rFonts w:asciiTheme="minorHAnsi" w:hAnsiTheme="minorHAnsi" w:cstheme="minorBidi"/>
          <w:i/>
          <w:iCs/>
          <w:color w:val="0070C0"/>
        </w:rPr>
        <w:t>,</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3B4B0DCE" w14:textId="495D739F" w:rsidR="00E90C6D" w:rsidRDefault="00E90C6D" w:rsidP="00CF16E1">
      <w:pPr>
        <w:jc w:val="both"/>
        <w:rPr>
          <w:rFonts w:asciiTheme="minorHAnsi" w:hAnsiTheme="minorHAnsi" w:cstheme="minorBidi"/>
          <w:color w:val="auto"/>
        </w:rPr>
      </w:pPr>
    </w:p>
    <w:p w14:paraId="2CDBF98B" w14:textId="79D2E17A" w:rsidR="00D761FB" w:rsidRPr="00CD33B4" w:rsidRDefault="00195118" w:rsidP="00CF16E1">
      <w:pPr>
        <w:jc w:val="both"/>
        <w:rPr>
          <w:rFonts w:asciiTheme="minorHAnsi" w:hAnsiTheme="minorHAnsi" w:cstheme="minorBidi"/>
          <w:color w:val="auto"/>
        </w:rPr>
      </w:pPr>
      <w:r w:rsidRPr="00CD33B4">
        <w:rPr>
          <w:rFonts w:asciiTheme="minorHAnsi" w:hAnsiTheme="minorHAnsi" w:cstheme="minorBidi"/>
          <w:color w:val="auto"/>
        </w:rPr>
        <w:t xml:space="preserve">Para acceder al Portal del BID, las firmas deberán de generar una cuenta de registro, incluyendo </w:t>
      </w:r>
      <w:r w:rsidRPr="00CD33B4">
        <w:rPr>
          <w:rFonts w:asciiTheme="minorHAnsi" w:hAnsiTheme="minorHAnsi" w:cstheme="minorBidi"/>
          <w:b/>
          <w:bCs/>
          <w:color w:val="auto"/>
        </w:rPr>
        <w:t>todos</w:t>
      </w:r>
      <w:r w:rsidRPr="00CD33B4">
        <w:rPr>
          <w:rFonts w:asciiTheme="minorHAnsi" w:hAnsiTheme="minorHAnsi" w:cstheme="minorBidi"/>
          <w:color w:val="auto"/>
        </w:rPr>
        <w:t xml:space="preserve"> los datos solicitados por el Portal. En caso de que alguno de los datos solicitados no sea completado, la firma no podrá participar en este o cualquier otro proceso de selección ejecutado por el BID para trabajo operacional. </w:t>
      </w:r>
      <w:r w:rsidR="00897ECF" w:rsidRPr="00CD33B4">
        <w:rPr>
          <w:rFonts w:asciiTheme="minorHAnsi" w:hAnsiTheme="minorHAnsi" w:cstheme="minorBidi"/>
          <w:color w:val="auto"/>
        </w:rPr>
        <w:t>Si</w:t>
      </w:r>
      <w:r w:rsidRPr="00CD33B4">
        <w:rPr>
          <w:rFonts w:asciiTheme="minorHAnsi" w:hAnsiTheme="minorHAnsi" w:cstheme="minorBidi"/>
          <w:color w:val="auto"/>
        </w:rPr>
        <w:t xml:space="preserve"> su firma ya se haya registrado previamente, deberá de validar que cuenta con </w:t>
      </w:r>
      <w:r w:rsidRPr="00CD33B4">
        <w:rPr>
          <w:rFonts w:asciiTheme="minorHAnsi" w:hAnsiTheme="minorHAnsi" w:cstheme="minorBidi"/>
          <w:b/>
          <w:bCs/>
          <w:color w:val="auto"/>
        </w:rPr>
        <w:t>todos</w:t>
      </w:r>
      <w:r w:rsidRPr="00CD33B4">
        <w:rPr>
          <w:rFonts w:asciiTheme="minorHAnsi" w:hAnsiTheme="minorHAnsi" w:cstheme="minorBidi"/>
          <w:color w:val="auto"/>
        </w:rPr>
        <w:t xml:space="preserve"> los datos completos y actualizados antes de presentar una expresión de interés.</w:t>
      </w:r>
    </w:p>
    <w:p w14:paraId="2C349D0C" w14:textId="77777777" w:rsidR="00195118" w:rsidRPr="00195118" w:rsidRDefault="00195118" w:rsidP="00CF16E1">
      <w:pPr>
        <w:jc w:val="both"/>
        <w:rPr>
          <w:rFonts w:asciiTheme="minorHAnsi" w:hAnsiTheme="minorHAnsi" w:cstheme="minorHAnsi"/>
          <w:lang w:val="es-419"/>
        </w:rPr>
      </w:pPr>
    </w:p>
    <w:p w14:paraId="20276722" w14:textId="256E6127" w:rsidR="00995FCB" w:rsidRDefault="003E016C" w:rsidP="00CF16E1">
      <w:pPr>
        <w:jc w:val="both"/>
        <w:rPr>
          <w:rFonts w:asciiTheme="minorHAnsi" w:hAnsiTheme="minorHAnsi" w:cstheme="minorBidi"/>
        </w:rPr>
      </w:pPr>
      <w:r w:rsidRPr="003E016C">
        <w:rPr>
          <w:rFonts w:asciiTheme="minorHAnsi" w:hAnsiTheme="minorHAnsi" w:cstheme="minorBidi"/>
        </w:rPr>
        <w:t xml:space="preserve">Los </w:t>
      </w:r>
      <w:r w:rsidR="00E95AB3" w:rsidRPr="00E95AB3">
        <w:rPr>
          <w:rFonts w:asciiTheme="minorHAnsi" w:hAnsiTheme="minorHAnsi" w:cstheme="minorBidi"/>
        </w:rPr>
        <w:t xml:space="preserve">objetivos de esta consultoría son: </w:t>
      </w:r>
      <w:r w:rsidR="00965F30" w:rsidRPr="00965F30">
        <w:rPr>
          <w:rFonts w:asciiTheme="minorHAnsi" w:hAnsiTheme="minorHAnsi" w:cstheme="minorBidi"/>
        </w:rPr>
        <w:t>(i) diseñar un programa de re-capacitación en diagnóstico y mantenimiento vehículos eléctricos para mecánicos y técnicos automotrices, (ii) diseñar un programa de capacitación técnica conjunta en instalación y mantenimiento de estaciones de carga para vehículos eléctricos e instalaciones de generación distribuida solares, y (iii) la formación de sus formadores en Panamá.</w:t>
      </w:r>
    </w:p>
    <w:p w14:paraId="55386519" w14:textId="77777777" w:rsidR="003745B1" w:rsidRPr="00995FCB" w:rsidRDefault="003745B1" w:rsidP="00995FCB">
      <w:pPr>
        <w:jc w:val="both"/>
        <w:rPr>
          <w:rFonts w:asciiTheme="minorHAnsi" w:hAnsiTheme="minorHAnsi" w:cstheme="minorBidi"/>
        </w:rPr>
      </w:pPr>
    </w:p>
    <w:p w14:paraId="045711AE" w14:textId="1538F100" w:rsidR="00091043" w:rsidRDefault="00995FCB" w:rsidP="00995FCB">
      <w:pPr>
        <w:jc w:val="both"/>
        <w:rPr>
          <w:rFonts w:asciiTheme="minorHAnsi" w:hAnsiTheme="minorHAnsi" w:cstheme="minorBidi"/>
        </w:rPr>
      </w:pPr>
      <w:r w:rsidRPr="00995FCB">
        <w:rPr>
          <w:rFonts w:asciiTheme="minorHAnsi" w:hAnsiTheme="minorHAnsi" w:cstheme="minorBidi"/>
        </w:rPr>
        <w:t>Los servicios de consultoría ("los Servicios") incluyen:</w:t>
      </w:r>
      <w:r w:rsidR="00A6487E">
        <w:rPr>
          <w:rFonts w:asciiTheme="minorHAnsi" w:hAnsiTheme="minorHAnsi" w:cstheme="minorBidi"/>
        </w:rPr>
        <w:t xml:space="preserve"> </w:t>
      </w:r>
    </w:p>
    <w:p w14:paraId="44825BAD" w14:textId="5803CB0C" w:rsidR="00E05CA2" w:rsidRDefault="00E05CA2" w:rsidP="00995FCB">
      <w:pPr>
        <w:jc w:val="both"/>
        <w:rPr>
          <w:rFonts w:asciiTheme="minorHAnsi" w:hAnsiTheme="minorHAnsi" w:cstheme="minorBidi"/>
        </w:rPr>
      </w:pPr>
    </w:p>
    <w:p w14:paraId="68FA80B9" w14:textId="77777777" w:rsidR="008E1CB2" w:rsidRPr="008E1CB2" w:rsidRDefault="008E1CB2" w:rsidP="008E1CB2">
      <w:pPr>
        <w:numPr>
          <w:ilvl w:val="1"/>
          <w:numId w:val="2"/>
        </w:numPr>
        <w:autoSpaceDE/>
        <w:autoSpaceDN/>
        <w:adjustRightInd/>
        <w:contextualSpacing/>
        <w:jc w:val="both"/>
        <w:rPr>
          <w:rFonts w:asciiTheme="minorHAnsi" w:eastAsiaTheme="minorHAnsi" w:hAnsiTheme="minorHAnsi"/>
          <w:color w:val="auto"/>
          <w:szCs w:val="28"/>
          <w:lang w:val="es-PA"/>
        </w:rPr>
      </w:pPr>
      <w:r w:rsidRPr="008E1CB2">
        <w:rPr>
          <w:rFonts w:asciiTheme="minorHAnsi" w:eastAsiaTheme="minorHAnsi" w:hAnsiTheme="minorHAnsi"/>
          <w:color w:val="auto"/>
          <w:szCs w:val="28"/>
          <w:lang w:val="es-PA"/>
        </w:rPr>
        <w:t>Evaluación detallada de las capacidades y las necesidades técnicas del mercado presente y futuro de vehículos eléctricos, estaciones de carga para vehículos eléctricos e instalaciones de GD solares en Panamá.</w:t>
      </w:r>
    </w:p>
    <w:p w14:paraId="6D293330" w14:textId="77777777" w:rsidR="008E1CB2" w:rsidRPr="008E1CB2" w:rsidRDefault="008E1CB2" w:rsidP="008E1CB2">
      <w:pPr>
        <w:numPr>
          <w:ilvl w:val="1"/>
          <w:numId w:val="2"/>
        </w:numPr>
        <w:autoSpaceDE/>
        <w:autoSpaceDN/>
        <w:adjustRightInd/>
        <w:contextualSpacing/>
        <w:jc w:val="both"/>
        <w:rPr>
          <w:rFonts w:asciiTheme="minorHAnsi" w:eastAsiaTheme="minorHAnsi" w:hAnsiTheme="minorHAnsi"/>
          <w:color w:val="auto"/>
          <w:szCs w:val="28"/>
          <w:lang w:val="es-PA"/>
        </w:rPr>
      </w:pPr>
      <w:r w:rsidRPr="008E1CB2">
        <w:rPr>
          <w:rFonts w:asciiTheme="minorHAnsi" w:eastAsiaTheme="minorHAnsi" w:hAnsiTheme="minorHAnsi"/>
          <w:color w:val="auto"/>
          <w:szCs w:val="28"/>
          <w:lang w:val="es-PA"/>
        </w:rPr>
        <w:t>Levantamiento y análisis de información demográfica y de acceso tecnológico de los potenciales beneficiarios para el diseño y desarrollo de los programas.</w:t>
      </w:r>
    </w:p>
    <w:p w14:paraId="609DAD8C" w14:textId="77777777" w:rsidR="008E1CB2" w:rsidRPr="008E1CB2" w:rsidRDefault="008E1CB2" w:rsidP="008E1CB2">
      <w:pPr>
        <w:numPr>
          <w:ilvl w:val="1"/>
          <w:numId w:val="2"/>
        </w:numPr>
        <w:autoSpaceDE/>
        <w:autoSpaceDN/>
        <w:adjustRightInd/>
        <w:contextualSpacing/>
        <w:jc w:val="both"/>
        <w:rPr>
          <w:rFonts w:asciiTheme="minorHAnsi" w:eastAsiaTheme="minorHAnsi" w:hAnsiTheme="minorHAnsi"/>
          <w:color w:val="auto"/>
          <w:szCs w:val="28"/>
          <w:lang w:val="es-PA"/>
        </w:rPr>
      </w:pPr>
      <w:r w:rsidRPr="008E1CB2">
        <w:rPr>
          <w:rFonts w:asciiTheme="minorHAnsi" w:eastAsiaTheme="minorHAnsi" w:hAnsiTheme="minorHAnsi"/>
          <w:color w:val="auto"/>
          <w:szCs w:val="28"/>
          <w:lang w:val="es-PA"/>
        </w:rPr>
        <w:t>Evaluación de la oferta actual de formación técnica ofrecidas en el país vinculada a mecánica automotriz, electromovilidad, técnicos en electricidad o electrónica, instalaciones solares, entre otros relacionadas con los objetivos de la consultoría.</w:t>
      </w:r>
    </w:p>
    <w:p w14:paraId="1C17D078" w14:textId="77777777" w:rsidR="008E1CB2" w:rsidRPr="008E1CB2" w:rsidRDefault="008E1CB2" w:rsidP="008E1CB2">
      <w:pPr>
        <w:numPr>
          <w:ilvl w:val="1"/>
          <w:numId w:val="2"/>
        </w:numPr>
        <w:autoSpaceDE/>
        <w:autoSpaceDN/>
        <w:adjustRightInd/>
        <w:contextualSpacing/>
        <w:jc w:val="both"/>
        <w:rPr>
          <w:rFonts w:asciiTheme="minorHAnsi" w:eastAsiaTheme="minorHAnsi" w:hAnsiTheme="minorHAnsi"/>
          <w:color w:val="auto"/>
          <w:szCs w:val="28"/>
          <w:lang w:val="es-PA"/>
        </w:rPr>
      </w:pPr>
      <w:r w:rsidRPr="008E1CB2">
        <w:rPr>
          <w:rFonts w:asciiTheme="minorHAnsi" w:eastAsiaTheme="minorHAnsi" w:hAnsiTheme="minorHAnsi"/>
          <w:color w:val="auto"/>
          <w:szCs w:val="28"/>
          <w:lang w:val="es-PA"/>
        </w:rPr>
        <w:t>Análisis de la normativa, directrices y programadas desarrollados por el Instituto Nacional de Formación Profesional y Capacitación para el Desarrollo Humano (INADEH) para la alineación de los diseños de las capacitaciones con la oferta y procedimientos de formación de esta entidad.</w:t>
      </w:r>
    </w:p>
    <w:p w14:paraId="58A541B1" w14:textId="77777777" w:rsidR="008E1CB2" w:rsidRPr="008E1CB2" w:rsidRDefault="008E1CB2" w:rsidP="008E1CB2">
      <w:pPr>
        <w:numPr>
          <w:ilvl w:val="1"/>
          <w:numId w:val="2"/>
        </w:numPr>
        <w:autoSpaceDE/>
        <w:autoSpaceDN/>
        <w:adjustRightInd/>
        <w:contextualSpacing/>
        <w:jc w:val="both"/>
        <w:rPr>
          <w:rFonts w:asciiTheme="minorHAnsi" w:eastAsiaTheme="minorHAnsi" w:hAnsiTheme="minorHAnsi"/>
          <w:color w:val="auto"/>
          <w:szCs w:val="28"/>
          <w:lang w:val="es-PA"/>
        </w:rPr>
      </w:pPr>
      <w:r w:rsidRPr="008E1CB2">
        <w:rPr>
          <w:rFonts w:asciiTheme="minorHAnsi" w:eastAsiaTheme="minorHAnsi" w:hAnsiTheme="minorHAnsi"/>
          <w:color w:val="auto"/>
          <w:szCs w:val="28"/>
          <w:lang w:val="es-PA"/>
        </w:rPr>
        <w:t xml:space="preserve">Coordinación necesaria de los trabajos con una firma especializada para la evaluación de la efectividad del desarrollo de los programas de capacitación. </w:t>
      </w:r>
    </w:p>
    <w:p w14:paraId="56D602AF" w14:textId="77777777" w:rsidR="008E1CB2" w:rsidRPr="008E1CB2" w:rsidRDefault="008E1CB2" w:rsidP="008E1CB2">
      <w:pPr>
        <w:pStyle w:val="ListParagraph"/>
        <w:widowControl/>
        <w:numPr>
          <w:ilvl w:val="1"/>
          <w:numId w:val="2"/>
        </w:numPr>
        <w:jc w:val="both"/>
        <w:rPr>
          <w:rFonts w:asciiTheme="minorHAnsi" w:hAnsiTheme="minorHAnsi" w:cstheme="minorHAnsi"/>
          <w:color w:val="auto"/>
          <w:lang w:val="es-PA"/>
        </w:rPr>
      </w:pPr>
      <w:r w:rsidRPr="008E1CB2">
        <w:rPr>
          <w:rFonts w:asciiTheme="minorHAnsi" w:hAnsiTheme="minorHAnsi"/>
          <w:color w:val="auto"/>
          <w:lang w:val="es-PA"/>
        </w:rPr>
        <w:t xml:space="preserve">Diseño de dos (2) programas de capacitación: (i) programa de re-capacitación en diagnóstico y mantenimiento de vehículos eléctricos para mecánicos y técnicos automotrices, (ii) programa conjunto en </w:t>
      </w:r>
      <w:r w:rsidRPr="008E1CB2">
        <w:rPr>
          <w:rFonts w:asciiTheme="minorHAnsi" w:hAnsiTheme="minorHAnsi" w:cstheme="minorHAnsi"/>
          <w:color w:val="auto"/>
          <w:lang w:val="es-PA"/>
        </w:rPr>
        <w:t xml:space="preserve">instalación y mantenimiento de estaciones de carga para vehículos eléctricos e </w:t>
      </w:r>
      <w:r w:rsidRPr="008E1CB2">
        <w:rPr>
          <w:rFonts w:asciiTheme="minorHAnsi" w:hAnsiTheme="minorHAnsi" w:cstheme="minorHAnsi"/>
          <w:color w:val="auto"/>
          <w:lang w:val="es-PA"/>
        </w:rPr>
        <w:lastRenderedPageBreak/>
        <w:t>instalaciones de GD solares</w:t>
      </w:r>
      <w:r w:rsidRPr="008E1CB2">
        <w:rPr>
          <w:rFonts w:asciiTheme="minorHAnsi" w:hAnsiTheme="minorHAnsi"/>
          <w:color w:val="auto"/>
          <w:lang w:val="es-PA"/>
        </w:rPr>
        <w:t xml:space="preserve">. El diseño de ambos programas de debe contar, para cada uno, con la descripción del pensum académico, detalle de sus módulos de formación, las herramientas de capacitación, los materiales didácticos necesarios para su implementación, definición de la metodología de evaluación práctica y teórica, detallar las necesidades de personal, equipos y otros materiales, </w:t>
      </w:r>
      <w:bookmarkStart w:id="0" w:name="_Hlk114234043"/>
      <w:r w:rsidRPr="008E1CB2">
        <w:rPr>
          <w:rFonts w:asciiTheme="minorHAnsi" w:hAnsiTheme="minorHAnsi"/>
          <w:color w:val="auto"/>
          <w:lang w:val="es-PA"/>
        </w:rPr>
        <w:t xml:space="preserve">la definición de normas de competencia profesionales para ingresar al curso y normas de competencias alcanzadas al finalizar </w:t>
      </w:r>
      <w:bookmarkEnd w:id="0"/>
      <w:r w:rsidRPr="008E1CB2">
        <w:rPr>
          <w:rFonts w:asciiTheme="minorHAnsi" w:hAnsiTheme="minorHAnsi"/>
          <w:color w:val="auto"/>
          <w:lang w:val="es-PA"/>
        </w:rPr>
        <w:t>el entrenamiento, para el desarrollo de los dos programas. Los diseños y la información deben ser independiente para cada programa.</w:t>
      </w:r>
    </w:p>
    <w:p w14:paraId="6B31D62D" w14:textId="77777777" w:rsidR="008E1CB2" w:rsidRPr="008E1CB2" w:rsidRDefault="008E1CB2" w:rsidP="008E1CB2">
      <w:pPr>
        <w:pStyle w:val="ListParagraph"/>
        <w:widowControl/>
        <w:numPr>
          <w:ilvl w:val="1"/>
          <w:numId w:val="2"/>
        </w:numPr>
        <w:jc w:val="both"/>
        <w:rPr>
          <w:rFonts w:asciiTheme="minorHAnsi" w:hAnsiTheme="minorHAnsi" w:cstheme="minorHAnsi"/>
          <w:color w:val="auto"/>
          <w:lang w:val="es-PA"/>
        </w:rPr>
      </w:pPr>
      <w:r w:rsidRPr="008E1CB2">
        <w:rPr>
          <w:rFonts w:asciiTheme="minorHAnsi" w:hAnsiTheme="minorHAnsi"/>
          <w:color w:val="auto"/>
          <w:lang w:val="es-PA"/>
        </w:rPr>
        <w:t>Diseño de formación específica para los docentes (formación para formadores) y tutores (instructores de docentes) para cada uno de los programas de capacitación. El diseño de formación debe contar con la descripción del pensum académico, detallar sus módulos de formación, las herramientas de capacitación, los materiales didácticos necesarios para su implementación, definición de la metodología de evaluación práctica y teórica y detallar las necesidades de personal, equipos y otros materiales para su desarrollo. Los diseños y la información deben ser independientes para cada programa.</w:t>
      </w:r>
    </w:p>
    <w:p w14:paraId="71F27E0C" w14:textId="77777777" w:rsidR="008E1CB2" w:rsidRPr="008E1CB2" w:rsidRDefault="008E1CB2" w:rsidP="008E1CB2">
      <w:pPr>
        <w:pStyle w:val="ListParagraph"/>
        <w:widowControl/>
        <w:numPr>
          <w:ilvl w:val="1"/>
          <w:numId w:val="2"/>
        </w:numPr>
        <w:jc w:val="both"/>
        <w:rPr>
          <w:rFonts w:asciiTheme="minorHAnsi" w:hAnsiTheme="minorHAnsi" w:cstheme="minorHAnsi"/>
          <w:color w:val="auto"/>
          <w:lang w:val="es-PA"/>
        </w:rPr>
      </w:pPr>
      <w:r w:rsidRPr="008E1CB2">
        <w:rPr>
          <w:rFonts w:asciiTheme="minorHAnsi" w:hAnsiTheme="minorHAnsi" w:cstheme="minorHAnsi"/>
          <w:color w:val="auto"/>
          <w:lang w:val="es-PA"/>
        </w:rPr>
        <w:t>Implementación y seguimiento de una capacitación para al menos 15 docentes y 5 tutores para cada los programas de formación para formadores y tutores en base los diseños desarrollados. La implementación y seguimiento debe ser independiente para cada programa.</w:t>
      </w:r>
    </w:p>
    <w:p w14:paraId="7EDA7C61" w14:textId="77777777" w:rsidR="008E1CB2" w:rsidRPr="008E1CB2" w:rsidRDefault="008E1CB2" w:rsidP="008E1CB2">
      <w:pPr>
        <w:pStyle w:val="ListParagraph"/>
        <w:widowControl/>
        <w:numPr>
          <w:ilvl w:val="1"/>
          <w:numId w:val="2"/>
        </w:numPr>
        <w:jc w:val="both"/>
        <w:rPr>
          <w:rFonts w:asciiTheme="minorHAnsi" w:hAnsiTheme="minorHAnsi" w:cstheme="minorHAnsi"/>
          <w:color w:val="auto"/>
          <w:lang w:val="es-PA"/>
        </w:rPr>
      </w:pPr>
      <w:r w:rsidRPr="008E1CB2">
        <w:rPr>
          <w:rFonts w:asciiTheme="minorHAnsi" w:hAnsiTheme="minorHAnsi" w:cstheme="minorHAnsi"/>
          <w:color w:val="auto"/>
          <w:lang w:val="es-PA"/>
        </w:rPr>
        <w:t>Elaborar recomendaciones de procesos innovadores de formación técnica para los programas de capacitación que sean relevantes y aplicables en Panamá.</w:t>
      </w:r>
    </w:p>
    <w:p w14:paraId="57154E45" w14:textId="76575A0C" w:rsidR="00D26C84" w:rsidRDefault="00D26C84" w:rsidP="00D26C84">
      <w:pPr>
        <w:jc w:val="both"/>
        <w:rPr>
          <w:rFonts w:asciiTheme="minorHAnsi" w:hAnsiTheme="minorHAnsi" w:cstheme="minorBidi"/>
        </w:rPr>
      </w:pPr>
    </w:p>
    <w:p w14:paraId="1026659D" w14:textId="5DB6A330" w:rsidR="00D26C84" w:rsidRPr="00D26C84" w:rsidRDefault="00D26C84" w:rsidP="00D26C84">
      <w:pPr>
        <w:jc w:val="both"/>
        <w:rPr>
          <w:rFonts w:asciiTheme="minorHAnsi" w:hAnsiTheme="minorHAnsi" w:cstheme="minorBidi"/>
        </w:rPr>
      </w:pPr>
      <w:r w:rsidRPr="00D26C84">
        <w:rPr>
          <w:rFonts w:asciiTheme="minorHAnsi" w:hAnsiTheme="minorHAnsi" w:cstheme="minorBidi"/>
        </w:rPr>
        <w:t xml:space="preserve">El tiempo estimado para la ejecución de los servicios es de </w:t>
      </w:r>
      <w:r w:rsidR="002D793B">
        <w:rPr>
          <w:rFonts w:asciiTheme="minorHAnsi" w:hAnsiTheme="minorHAnsi" w:cstheme="minorBidi"/>
        </w:rPr>
        <w:t>nueve</w:t>
      </w:r>
      <w:r w:rsidRPr="00D26C84">
        <w:rPr>
          <w:rFonts w:asciiTheme="minorHAnsi" w:hAnsiTheme="minorHAnsi" w:cstheme="minorBidi"/>
        </w:rPr>
        <w:t xml:space="preserve"> (</w:t>
      </w:r>
      <w:r w:rsidR="00A31710">
        <w:rPr>
          <w:rFonts w:asciiTheme="minorHAnsi" w:hAnsiTheme="minorHAnsi" w:cstheme="minorBidi"/>
        </w:rPr>
        <w:t>9</w:t>
      </w:r>
      <w:r w:rsidRPr="00D26C84">
        <w:rPr>
          <w:rFonts w:asciiTheme="minorHAnsi" w:hAnsiTheme="minorHAnsi" w:cstheme="minorBidi"/>
        </w:rPr>
        <w:t>) meses.</w:t>
      </w:r>
    </w:p>
    <w:p w14:paraId="545B4BCE" w14:textId="6A240EC2" w:rsidR="00D761FB" w:rsidRDefault="00546C8D" w:rsidP="00995FCB">
      <w:pPr>
        <w:jc w:val="both"/>
        <w:rPr>
          <w:rFonts w:asciiTheme="minorHAnsi" w:hAnsiTheme="minorHAnsi" w:cs="Times New Roman"/>
          <w:color w:val="auto"/>
        </w:rPr>
      </w:pPr>
      <w:r>
        <w:rPr>
          <w:rFonts w:asciiTheme="minorHAnsi" w:hAnsiTheme="minorHAnsi" w:cs="Times New Roman"/>
          <w:color w:val="auto"/>
        </w:rPr>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3">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379801EE" w14:textId="202DF568" w:rsidR="006D59FE" w:rsidRDefault="00CA7328" w:rsidP="1ACBE1A0">
      <w:pPr>
        <w:jc w:val="both"/>
        <w:rPr>
          <w:rFonts w:asciiTheme="minorHAnsi" w:hAnsiTheme="minorHAnsi" w:cstheme="minorBidi"/>
          <w:color w:val="auto"/>
        </w:rPr>
      </w:pPr>
      <w:r w:rsidRPr="00CA7328">
        <w:rPr>
          <w:rFonts w:asciiTheme="minorHAnsi" w:hAnsiTheme="minorHAnsi" w:cstheme="minorBidi"/>
          <w:color w:val="auto"/>
        </w:rPr>
        <w:t>El BID invita ahora a las firmas consultoras elegibles a expresar su interés en prestar los servicios asociados a la asignación. Las firmas consultoras interesadas deberán proporcionar información que indique que están cualificadas para suministrar los servicios (folletos, descripción de trabajos similares, experiencia en condiciones similares, disponibilidad de personal que tenga los conocimientos pertinentes, etc., se recomienda no enviar más de 30 páginas). Las firmas consultoras elegibles se pueden asociar como un emprendimiento conjunto o en un acuerdo de sub-consultoría para mejorar sus calificaciones. Dicha asociación o emprendimiento conjunto nombrará a una de las firmas como representante.</w:t>
      </w:r>
    </w:p>
    <w:p w14:paraId="1E2C4ED4" w14:textId="77777777" w:rsidR="00CA7328" w:rsidRDefault="00CA7328" w:rsidP="1ACBE1A0">
      <w:pPr>
        <w:jc w:val="both"/>
        <w:rPr>
          <w:rFonts w:asciiTheme="minorHAnsi" w:hAnsiTheme="minorHAnsi" w:cstheme="minorBidi"/>
          <w:color w:val="auto"/>
        </w:rPr>
      </w:pPr>
    </w:p>
    <w:p w14:paraId="498F04E0" w14:textId="5D149F04" w:rsidR="006D59FE" w:rsidRDefault="00D35517" w:rsidP="1ACBE1A0">
      <w:pPr>
        <w:jc w:val="both"/>
        <w:rPr>
          <w:rFonts w:asciiTheme="minorHAnsi" w:hAnsiTheme="minorHAnsi" w:cstheme="minorBidi"/>
          <w:color w:val="auto"/>
        </w:rPr>
      </w:pPr>
      <w:r w:rsidRPr="00D35517">
        <w:rPr>
          <w:rFonts w:asciiTheme="minorHAnsi" w:hAnsiTheme="minorHAnsi" w:cstheme="minorBidi"/>
          <w:color w:val="auto"/>
        </w:rPr>
        <w:t>Se sugiere demostrar experiencia relevante y específica relacionada con los servicios descritos para está consultoría. Por ejemplo, se podría incluir una tabla en la EOI:</w:t>
      </w:r>
    </w:p>
    <w:p w14:paraId="7B2545E0" w14:textId="5FF69204" w:rsidR="00D35517" w:rsidRDefault="00D35517" w:rsidP="1ACBE1A0">
      <w:pPr>
        <w:jc w:val="both"/>
        <w:rPr>
          <w:rFonts w:asciiTheme="minorHAnsi" w:hAnsiTheme="minorHAnsi" w:cstheme="minorBidi"/>
          <w:color w:val="auto"/>
        </w:rPr>
      </w:pPr>
    </w:p>
    <w:tbl>
      <w:tblPr>
        <w:tblW w:w="10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48"/>
        <w:gridCol w:w="2048"/>
        <w:gridCol w:w="2048"/>
        <w:gridCol w:w="2048"/>
        <w:gridCol w:w="2188"/>
      </w:tblGrid>
      <w:tr w:rsidR="00AB1D21" w:rsidRPr="00785778" w14:paraId="7A111F8D" w14:textId="77777777" w:rsidTr="00AA3B42">
        <w:trPr>
          <w:trHeight w:val="321"/>
          <w:jc w:val="center"/>
        </w:trPr>
        <w:tc>
          <w:tcPr>
            <w:tcW w:w="2048" w:type="dxa"/>
            <w:vAlign w:val="center"/>
          </w:tcPr>
          <w:p w14:paraId="50944B80" w14:textId="77777777" w:rsidR="00AB1D21" w:rsidRPr="00785778" w:rsidRDefault="00AB1D21" w:rsidP="00AA3B42">
            <w:pPr>
              <w:widowControl/>
              <w:jc w:val="center"/>
              <w:rPr>
                <w:sz w:val="20"/>
                <w:szCs w:val="20"/>
                <w:lang w:val="es-PA"/>
              </w:rPr>
            </w:pPr>
            <w:r w:rsidRPr="00785778">
              <w:rPr>
                <w:b/>
                <w:bCs/>
                <w:sz w:val="20"/>
                <w:szCs w:val="20"/>
                <w:lang w:val="es-PA"/>
              </w:rPr>
              <w:t>Pro</w:t>
            </w:r>
            <w:r w:rsidRPr="008444F5">
              <w:rPr>
                <w:b/>
                <w:bCs/>
                <w:sz w:val="20"/>
                <w:szCs w:val="20"/>
                <w:lang w:val="es-PA"/>
              </w:rPr>
              <w:t>yecto</w:t>
            </w:r>
          </w:p>
        </w:tc>
        <w:tc>
          <w:tcPr>
            <w:tcW w:w="2048" w:type="dxa"/>
            <w:vAlign w:val="center"/>
          </w:tcPr>
          <w:p w14:paraId="64213E92" w14:textId="77777777" w:rsidR="00AB1D21" w:rsidRPr="00785778" w:rsidRDefault="00AB1D21" w:rsidP="00AA3B42">
            <w:pPr>
              <w:widowControl/>
              <w:jc w:val="center"/>
              <w:rPr>
                <w:sz w:val="20"/>
                <w:szCs w:val="20"/>
                <w:lang w:val="es-PA"/>
              </w:rPr>
            </w:pPr>
            <w:r w:rsidRPr="008444F5">
              <w:rPr>
                <w:b/>
                <w:bCs/>
                <w:sz w:val="20"/>
                <w:szCs w:val="20"/>
                <w:lang w:val="es-PA"/>
              </w:rPr>
              <w:t>Fecha de inicio</w:t>
            </w:r>
          </w:p>
        </w:tc>
        <w:tc>
          <w:tcPr>
            <w:tcW w:w="2048" w:type="dxa"/>
            <w:vAlign w:val="center"/>
          </w:tcPr>
          <w:p w14:paraId="6A6A5568" w14:textId="77777777" w:rsidR="00AB1D21" w:rsidRPr="00785778" w:rsidRDefault="00AB1D21" w:rsidP="00AA3B42">
            <w:pPr>
              <w:widowControl/>
              <w:jc w:val="center"/>
              <w:rPr>
                <w:sz w:val="20"/>
                <w:szCs w:val="20"/>
                <w:lang w:val="es-PA"/>
              </w:rPr>
            </w:pPr>
            <w:r w:rsidRPr="008444F5">
              <w:rPr>
                <w:b/>
                <w:bCs/>
                <w:sz w:val="20"/>
                <w:szCs w:val="20"/>
                <w:lang w:val="es-PA"/>
              </w:rPr>
              <w:t>Fecha de finalización</w:t>
            </w:r>
          </w:p>
        </w:tc>
        <w:tc>
          <w:tcPr>
            <w:tcW w:w="2048" w:type="dxa"/>
            <w:vAlign w:val="center"/>
          </w:tcPr>
          <w:p w14:paraId="0C5B65FA" w14:textId="77777777" w:rsidR="00AB1D21" w:rsidRPr="00785778" w:rsidRDefault="00AB1D21" w:rsidP="00AA3B42">
            <w:pPr>
              <w:widowControl/>
              <w:jc w:val="center"/>
              <w:rPr>
                <w:sz w:val="20"/>
                <w:szCs w:val="20"/>
                <w:lang w:val="es-PA"/>
              </w:rPr>
            </w:pPr>
            <w:r w:rsidRPr="008444F5">
              <w:rPr>
                <w:b/>
                <w:bCs/>
                <w:sz w:val="20"/>
                <w:szCs w:val="20"/>
                <w:lang w:val="es-PA"/>
              </w:rPr>
              <w:t>Monto</w:t>
            </w:r>
          </w:p>
        </w:tc>
        <w:tc>
          <w:tcPr>
            <w:tcW w:w="2188" w:type="dxa"/>
            <w:vAlign w:val="center"/>
          </w:tcPr>
          <w:p w14:paraId="2963F094" w14:textId="77777777" w:rsidR="00AB1D21" w:rsidRPr="00785778" w:rsidRDefault="00AB1D21" w:rsidP="00AA3B42">
            <w:pPr>
              <w:widowControl/>
              <w:jc w:val="center"/>
              <w:rPr>
                <w:sz w:val="20"/>
                <w:szCs w:val="20"/>
                <w:lang w:val="es-PA"/>
              </w:rPr>
            </w:pPr>
            <w:r>
              <w:rPr>
                <w:b/>
                <w:bCs/>
                <w:sz w:val="20"/>
                <w:szCs w:val="20"/>
                <w:lang w:val="es-PA"/>
              </w:rPr>
              <w:t>Actividades de r</w:t>
            </w:r>
            <w:r w:rsidRPr="008444F5">
              <w:rPr>
                <w:b/>
                <w:bCs/>
                <w:sz w:val="20"/>
                <w:szCs w:val="20"/>
                <w:lang w:val="es-PA"/>
              </w:rPr>
              <w:t>elevancia para esta consultoría</w:t>
            </w:r>
          </w:p>
        </w:tc>
      </w:tr>
      <w:tr w:rsidR="00AB1D21" w:rsidRPr="008444F5" w14:paraId="311E9C60" w14:textId="77777777" w:rsidTr="00AA3B42">
        <w:trPr>
          <w:trHeight w:val="263"/>
          <w:jc w:val="center"/>
        </w:trPr>
        <w:tc>
          <w:tcPr>
            <w:tcW w:w="2048" w:type="dxa"/>
          </w:tcPr>
          <w:p w14:paraId="7DF4507E" w14:textId="77777777" w:rsidR="00AB1D21" w:rsidRPr="008444F5" w:rsidRDefault="00AB1D21" w:rsidP="00AA3B42">
            <w:pPr>
              <w:widowControl/>
              <w:jc w:val="center"/>
              <w:rPr>
                <w:b/>
                <w:bCs/>
                <w:sz w:val="20"/>
                <w:szCs w:val="20"/>
                <w:lang w:val="es-PA"/>
              </w:rPr>
            </w:pPr>
          </w:p>
        </w:tc>
        <w:tc>
          <w:tcPr>
            <w:tcW w:w="2048" w:type="dxa"/>
          </w:tcPr>
          <w:p w14:paraId="20C0DDBF" w14:textId="77777777" w:rsidR="00AB1D21" w:rsidRPr="008444F5" w:rsidRDefault="00AB1D21" w:rsidP="00AA3B42">
            <w:pPr>
              <w:widowControl/>
              <w:jc w:val="center"/>
              <w:rPr>
                <w:b/>
                <w:bCs/>
                <w:sz w:val="20"/>
                <w:szCs w:val="20"/>
                <w:lang w:val="es-PA"/>
              </w:rPr>
            </w:pPr>
          </w:p>
        </w:tc>
        <w:tc>
          <w:tcPr>
            <w:tcW w:w="2048" w:type="dxa"/>
          </w:tcPr>
          <w:p w14:paraId="2207B87D" w14:textId="77777777" w:rsidR="00AB1D21" w:rsidRPr="008444F5" w:rsidRDefault="00AB1D21" w:rsidP="00AA3B42">
            <w:pPr>
              <w:widowControl/>
              <w:jc w:val="center"/>
              <w:rPr>
                <w:b/>
                <w:bCs/>
                <w:sz w:val="20"/>
                <w:szCs w:val="20"/>
                <w:lang w:val="es-PA"/>
              </w:rPr>
            </w:pPr>
          </w:p>
        </w:tc>
        <w:tc>
          <w:tcPr>
            <w:tcW w:w="2048" w:type="dxa"/>
          </w:tcPr>
          <w:p w14:paraId="1D3D4D8F" w14:textId="77777777" w:rsidR="00AB1D21" w:rsidRPr="008444F5" w:rsidRDefault="00AB1D21" w:rsidP="00AA3B42">
            <w:pPr>
              <w:widowControl/>
              <w:jc w:val="center"/>
              <w:rPr>
                <w:b/>
                <w:bCs/>
                <w:sz w:val="20"/>
                <w:szCs w:val="20"/>
                <w:lang w:val="es-PA"/>
              </w:rPr>
            </w:pPr>
          </w:p>
        </w:tc>
        <w:tc>
          <w:tcPr>
            <w:tcW w:w="2188" w:type="dxa"/>
          </w:tcPr>
          <w:p w14:paraId="53D518A0" w14:textId="77777777" w:rsidR="00AB1D21" w:rsidRPr="008444F5" w:rsidRDefault="00AB1D21" w:rsidP="00AA3B42">
            <w:pPr>
              <w:widowControl/>
              <w:jc w:val="center"/>
              <w:rPr>
                <w:b/>
                <w:bCs/>
                <w:sz w:val="20"/>
                <w:szCs w:val="20"/>
                <w:lang w:val="es-PA"/>
              </w:rPr>
            </w:pPr>
          </w:p>
        </w:tc>
      </w:tr>
      <w:tr w:rsidR="00AB1D21" w:rsidRPr="008444F5" w14:paraId="1FA084F0" w14:textId="77777777" w:rsidTr="00AA3B42">
        <w:trPr>
          <w:trHeight w:val="263"/>
          <w:jc w:val="center"/>
        </w:trPr>
        <w:tc>
          <w:tcPr>
            <w:tcW w:w="2048" w:type="dxa"/>
          </w:tcPr>
          <w:p w14:paraId="7E61D814" w14:textId="77777777" w:rsidR="00AB1D21" w:rsidRPr="008444F5" w:rsidRDefault="00AB1D21" w:rsidP="00AA3B42">
            <w:pPr>
              <w:widowControl/>
              <w:jc w:val="center"/>
              <w:rPr>
                <w:b/>
                <w:bCs/>
                <w:sz w:val="20"/>
                <w:szCs w:val="20"/>
                <w:lang w:val="es-PA"/>
              </w:rPr>
            </w:pPr>
          </w:p>
        </w:tc>
        <w:tc>
          <w:tcPr>
            <w:tcW w:w="2048" w:type="dxa"/>
          </w:tcPr>
          <w:p w14:paraId="0AAB62DE" w14:textId="77777777" w:rsidR="00AB1D21" w:rsidRPr="008444F5" w:rsidRDefault="00AB1D21" w:rsidP="00AA3B42">
            <w:pPr>
              <w:widowControl/>
              <w:jc w:val="center"/>
              <w:rPr>
                <w:b/>
                <w:bCs/>
                <w:sz w:val="20"/>
                <w:szCs w:val="20"/>
                <w:lang w:val="es-PA"/>
              </w:rPr>
            </w:pPr>
          </w:p>
        </w:tc>
        <w:tc>
          <w:tcPr>
            <w:tcW w:w="2048" w:type="dxa"/>
          </w:tcPr>
          <w:p w14:paraId="6BFC8BD4" w14:textId="77777777" w:rsidR="00AB1D21" w:rsidRPr="008444F5" w:rsidRDefault="00AB1D21" w:rsidP="00AA3B42">
            <w:pPr>
              <w:widowControl/>
              <w:jc w:val="center"/>
              <w:rPr>
                <w:b/>
                <w:bCs/>
                <w:sz w:val="20"/>
                <w:szCs w:val="20"/>
                <w:lang w:val="es-PA"/>
              </w:rPr>
            </w:pPr>
          </w:p>
        </w:tc>
        <w:tc>
          <w:tcPr>
            <w:tcW w:w="2048" w:type="dxa"/>
          </w:tcPr>
          <w:p w14:paraId="528D3229" w14:textId="77777777" w:rsidR="00AB1D21" w:rsidRPr="008444F5" w:rsidRDefault="00AB1D21" w:rsidP="00AA3B42">
            <w:pPr>
              <w:widowControl/>
              <w:jc w:val="center"/>
              <w:rPr>
                <w:b/>
                <w:bCs/>
                <w:sz w:val="20"/>
                <w:szCs w:val="20"/>
                <w:lang w:val="es-PA"/>
              </w:rPr>
            </w:pPr>
          </w:p>
        </w:tc>
        <w:tc>
          <w:tcPr>
            <w:tcW w:w="2188" w:type="dxa"/>
          </w:tcPr>
          <w:p w14:paraId="0DCA2956" w14:textId="77777777" w:rsidR="00AB1D21" w:rsidRPr="008444F5" w:rsidRDefault="00AB1D21" w:rsidP="00AA3B42">
            <w:pPr>
              <w:widowControl/>
              <w:jc w:val="center"/>
              <w:rPr>
                <w:b/>
                <w:bCs/>
                <w:sz w:val="20"/>
                <w:szCs w:val="20"/>
                <w:lang w:val="es-PA"/>
              </w:rPr>
            </w:pPr>
          </w:p>
        </w:tc>
      </w:tr>
      <w:tr w:rsidR="00AB1D21" w:rsidRPr="008444F5" w14:paraId="30950737" w14:textId="77777777" w:rsidTr="00AA3B42">
        <w:trPr>
          <w:trHeight w:val="263"/>
          <w:jc w:val="center"/>
        </w:trPr>
        <w:tc>
          <w:tcPr>
            <w:tcW w:w="2048" w:type="dxa"/>
          </w:tcPr>
          <w:p w14:paraId="6C18A39B" w14:textId="77777777" w:rsidR="00AB1D21" w:rsidRPr="008444F5" w:rsidRDefault="00AB1D21" w:rsidP="00AA3B42">
            <w:pPr>
              <w:widowControl/>
              <w:jc w:val="center"/>
              <w:rPr>
                <w:b/>
                <w:bCs/>
                <w:sz w:val="20"/>
                <w:szCs w:val="20"/>
                <w:lang w:val="es-PA"/>
              </w:rPr>
            </w:pPr>
          </w:p>
        </w:tc>
        <w:tc>
          <w:tcPr>
            <w:tcW w:w="2048" w:type="dxa"/>
          </w:tcPr>
          <w:p w14:paraId="084968E6" w14:textId="77777777" w:rsidR="00AB1D21" w:rsidRPr="008444F5" w:rsidRDefault="00AB1D21" w:rsidP="00AA3B42">
            <w:pPr>
              <w:widowControl/>
              <w:jc w:val="center"/>
              <w:rPr>
                <w:b/>
                <w:bCs/>
                <w:sz w:val="20"/>
                <w:szCs w:val="20"/>
                <w:lang w:val="es-PA"/>
              </w:rPr>
            </w:pPr>
          </w:p>
        </w:tc>
        <w:tc>
          <w:tcPr>
            <w:tcW w:w="2048" w:type="dxa"/>
          </w:tcPr>
          <w:p w14:paraId="0349EF23" w14:textId="77777777" w:rsidR="00AB1D21" w:rsidRPr="008444F5" w:rsidRDefault="00AB1D21" w:rsidP="00AA3B42">
            <w:pPr>
              <w:widowControl/>
              <w:jc w:val="center"/>
              <w:rPr>
                <w:b/>
                <w:bCs/>
                <w:sz w:val="20"/>
                <w:szCs w:val="20"/>
                <w:lang w:val="es-PA"/>
              </w:rPr>
            </w:pPr>
          </w:p>
        </w:tc>
        <w:tc>
          <w:tcPr>
            <w:tcW w:w="2048" w:type="dxa"/>
          </w:tcPr>
          <w:p w14:paraId="4667D24E" w14:textId="77777777" w:rsidR="00AB1D21" w:rsidRPr="008444F5" w:rsidRDefault="00AB1D21" w:rsidP="00AA3B42">
            <w:pPr>
              <w:widowControl/>
              <w:jc w:val="center"/>
              <w:rPr>
                <w:b/>
                <w:bCs/>
                <w:sz w:val="20"/>
                <w:szCs w:val="20"/>
                <w:lang w:val="es-PA"/>
              </w:rPr>
            </w:pPr>
          </w:p>
        </w:tc>
        <w:tc>
          <w:tcPr>
            <w:tcW w:w="2188" w:type="dxa"/>
          </w:tcPr>
          <w:p w14:paraId="17FBC3D9" w14:textId="77777777" w:rsidR="00AB1D21" w:rsidRPr="008444F5" w:rsidRDefault="00AB1D21" w:rsidP="00AA3B42">
            <w:pPr>
              <w:widowControl/>
              <w:jc w:val="center"/>
              <w:rPr>
                <w:b/>
                <w:bCs/>
                <w:sz w:val="20"/>
                <w:szCs w:val="20"/>
                <w:lang w:val="es-PA"/>
              </w:rPr>
            </w:pPr>
          </w:p>
        </w:tc>
      </w:tr>
    </w:tbl>
    <w:p w14:paraId="6CD19D13" w14:textId="77777777" w:rsidR="00D761FB" w:rsidRDefault="00D761FB">
      <w:pPr>
        <w:suppressAutoHyphens/>
        <w:jc w:val="both"/>
        <w:rPr>
          <w:rFonts w:asciiTheme="minorHAnsi" w:hAnsiTheme="minorHAnsi" w:cstheme="minorHAnsi"/>
          <w:i/>
          <w:iCs/>
          <w:color w:val="4F81BD" w:themeColor="accent1"/>
        </w:rPr>
      </w:pPr>
    </w:p>
    <w:p w14:paraId="2EC0B6B0" w14:textId="26D88F89" w:rsidR="00270420" w:rsidRDefault="00270420" w:rsidP="00270420">
      <w:pPr>
        <w:jc w:val="both"/>
        <w:rPr>
          <w:rFonts w:asciiTheme="minorHAnsi" w:hAnsiTheme="minorHAnsi" w:cstheme="minorBidi"/>
          <w:i/>
          <w:iCs/>
          <w:color w:val="0070C0"/>
        </w:rPr>
      </w:pPr>
      <w:r w:rsidRPr="08202347">
        <w:rPr>
          <w:rFonts w:asciiTheme="minorHAnsi" w:hAnsiTheme="minorHAnsi" w:cstheme="minorBidi"/>
          <w:color w:val="auto"/>
        </w:rPr>
        <w:t>Las firmas consultoras el</w:t>
      </w:r>
      <w:r>
        <w:rPr>
          <w:rFonts w:asciiTheme="minorHAnsi" w:hAnsiTheme="minorHAnsi" w:cstheme="minorBidi"/>
          <w:color w:val="auto"/>
        </w:rPr>
        <w:t xml:space="preserve">egibles que estén interesadas </w:t>
      </w:r>
      <w:r w:rsidRPr="08202347">
        <w:rPr>
          <w:rFonts w:asciiTheme="minorHAnsi" w:hAnsiTheme="minorHAnsi" w:cstheme="minorBidi"/>
          <w:color w:val="auto"/>
        </w:rPr>
        <w:t>podrán obtener información adicional en horario de oficina, 09:00 a.m. - 5:00 PM (Hora de Washington DC), mediante el envío de un correo electrónico a</w:t>
      </w:r>
      <w:r>
        <w:rPr>
          <w:rFonts w:asciiTheme="minorHAnsi" w:hAnsiTheme="minorHAnsi" w:cstheme="minorBidi"/>
          <w:color w:val="auto"/>
        </w:rPr>
        <w:t xml:space="preserve">: </w:t>
      </w:r>
      <w:hyperlink r:id="rId14" w:history="1">
        <w:r w:rsidRPr="00A63703">
          <w:rPr>
            <w:rStyle w:val="Hyperlink"/>
            <w:rFonts w:asciiTheme="minorHAnsi" w:hAnsiTheme="minorHAnsi" w:cstheme="minorBidi"/>
            <w:i/>
            <w:iCs/>
          </w:rPr>
          <w:t>arturoal@iadb.org</w:t>
        </w:r>
      </w:hyperlink>
      <w:r w:rsidR="00BF1576">
        <w:rPr>
          <w:rStyle w:val="Hyperlink"/>
          <w:rFonts w:asciiTheme="minorHAnsi" w:hAnsiTheme="minorHAnsi" w:cstheme="minorBidi"/>
          <w:i/>
          <w:iCs/>
        </w:rPr>
        <w:t xml:space="preserve">, </w:t>
      </w:r>
      <w:r w:rsidR="00BF1576" w:rsidRPr="00BF1576">
        <w:rPr>
          <w:rStyle w:val="Hyperlink"/>
          <w:rFonts w:asciiTheme="minorHAnsi" w:hAnsiTheme="minorHAnsi" w:cstheme="minorBidi"/>
          <w:i/>
          <w:iCs/>
        </w:rPr>
        <w:t>mariasil@iadb.org</w:t>
      </w:r>
      <w:r w:rsidRPr="00BF1576">
        <w:t xml:space="preserve"> </w:t>
      </w:r>
      <w:r w:rsidRPr="00A21801">
        <w:rPr>
          <w:rFonts w:asciiTheme="minorHAnsi" w:hAnsiTheme="minorHAnsi" w:cstheme="minorBidi"/>
          <w:color w:val="auto"/>
        </w:rPr>
        <w:t>con copia a</w:t>
      </w:r>
      <w:r>
        <w:rPr>
          <w:rFonts w:asciiTheme="minorHAnsi" w:hAnsiTheme="minorHAnsi" w:cstheme="minorBidi"/>
          <w:i/>
          <w:iCs/>
          <w:color w:val="0070C0"/>
        </w:rPr>
        <w:t xml:space="preserve"> </w:t>
      </w:r>
      <w:hyperlink r:id="rId15" w:history="1">
        <w:r w:rsidRPr="00C9518A">
          <w:rPr>
            <w:rStyle w:val="Hyperlink"/>
            <w:rFonts w:asciiTheme="minorHAnsi" w:hAnsiTheme="minorHAnsi" w:cstheme="minorBidi"/>
            <w:i/>
            <w:iCs/>
          </w:rPr>
          <w:t>ricardoesp@iadb.org</w:t>
        </w:r>
      </w:hyperlink>
      <w:r w:rsidRPr="00712406">
        <w:rPr>
          <w:rFonts w:asciiTheme="minorHAnsi" w:hAnsiTheme="minorHAnsi" w:cstheme="minorBidi"/>
          <w:i/>
          <w:iCs/>
          <w:color w:val="auto"/>
        </w:rPr>
        <w:t>.</w:t>
      </w:r>
    </w:p>
    <w:p w14:paraId="1059814C" w14:textId="77777777" w:rsidR="00270420" w:rsidRDefault="00270420" w:rsidP="00270420">
      <w:pPr>
        <w:jc w:val="both"/>
        <w:rPr>
          <w:rFonts w:asciiTheme="minorHAnsi" w:hAnsiTheme="minorHAnsi" w:cs="Times New Roman"/>
          <w:color w:val="auto"/>
        </w:rPr>
      </w:pPr>
    </w:p>
    <w:p w14:paraId="73332E3E" w14:textId="77777777" w:rsidR="001A05B2" w:rsidRDefault="001A05B2" w:rsidP="00270420">
      <w:pPr>
        <w:jc w:val="both"/>
        <w:rPr>
          <w:rFonts w:asciiTheme="minorHAnsi" w:hAnsiTheme="minorHAnsi" w:cstheme="minorBidi"/>
          <w:color w:val="auto"/>
        </w:rPr>
      </w:pPr>
    </w:p>
    <w:p w14:paraId="4D7CE73F" w14:textId="77777777" w:rsidR="001A05B2" w:rsidRDefault="001A05B2" w:rsidP="00270420">
      <w:pPr>
        <w:jc w:val="both"/>
        <w:rPr>
          <w:rFonts w:asciiTheme="minorHAnsi" w:hAnsiTheme="minorHAnsi" w:cstheme="minorBidi"/>
          <w:color w:val="auto"/>
        </w:rPr>
      </w:pPr>
    </w:p>
    <w:p w14:paraId="2AC270C0" w14:textId="77777777" w:rsidR="001A05B2" w:rsidRDefault="001A05B2" w:rsidP="00270420">
      <w:pPr>
        <w:jc w:val="both"/>
        <w:rPr>
          <w:rFonts w:asciiTheme="minorHAnsi" w:hAnsiTheme="minorHAnsi" w:cstheme="minorBidi"/>
          <w:color w:val="auto"/>
        </w:rPr>
      </w:pPr>
    </w:p>
    <w:p w14:paraId="516ABCC0" w14:textId="77777777" w:rsidR="001A05B2" w:rsidRDefault="001A05B2" w:rsidP="00270420">
      <w:pPr>
        <w:jc w:val="both"/>
        <w:rPr>
          <w:rFonts w:asciiTheme="minorHAnsi" w:hAnsiTheme="minorHAnsi" w:cstheme="minorBidi"/>
          <w:color w:val="auto"/>
        </w:rPr>
      </w:pPr>
    </w:p>
    <w:p w14:paraId="54C1F116" w14:textId="06D7E620" w:rsidR="00270420" w:rsidRDefault="00270420" w:rsidP="00270420">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2F4AC6D7" w14:textId="77777777" w:rsidR="00270420" w:rsidRDefault="00270420" w:rsidP="00270420">
      <w:pPr>
        <w:jc w:val="both"/>
        <w:rPr>
          <w:rFonts w:asciiTheme="minorHAnsi" w:hAnsiTheme="minorHAnsi" w:cstheme="minorBidi"/>
          <w:i/>
          <w:iCs/>
          <w:color w:val="0070C0"/>
        </w:rPr>
      </w:pPr>
      <w:r w:rsidRPr="08202347">
        <w:rPr>
          <w:rFonts w:asciiTheme="minorHAnsi" w:hAnsiTheme="minorHAnsi" w:cstheme="minorBidi"/>
          <w:color w:val="auto"/>
        </w:rPr>
        <w:t xml:space="preserve">División: </w:t>
      </w:r>
      <w:r w:rsidRPr="00950701">
        <w:rPr>
          <w:rFonts w:asciiTheme="minorHAnsi" w:hAnsiTheme="minorHAnsi" w:cstheme="minorBidi"/>
          <w:color w:val="auto"/>
        </w:rPr>
        <w:t>INE/ENE</w:t>
      </w:r>
    </w:p>
    <w:p w14:paraId="62BAE485" w14:textId="77777777" w:rsidR="00270420" w:rsidRPr="00C0586F" w:rsidRDefault="00270420" w:rsidP="00270420">
      <w:pPr>
        <w:jc w:val="both"/>
        <w:rPr>
          <w:rFonts w:asciiTheme="minorHAnsi" w:hAnsiTheme="minorHAnsi" w:cstheme="minorBidi"/>
          <w:color w:val="auto"/>
          <w:lang w:val="en-US"/>
        </w:rPr>
      </w:pPr>
      <w:r w:rsidRPr="00C0586F">
        <w:rPr>
          <w:rFonts w:asciiTheme="minorHAnsi" w:hAnsiTheme="minorHAnsi" w:cstheme="minorBidi"/>
          <w:color w:val="auto"/>
          <w:lang w:val="en-US"/>
        </w:rPr>
        <w:t>Atención:</w:t>
      </w:r>
      <w:r w:rsidRPr="00C0586F">
        <w:rPr>
          <w:rFonts w:asciiTheme="minorHAnsi" w:hAnsiTheme="minorHAnsi" w:cstheme="minorBidi"/>
          <w:i/>
          <w:iCs/>
          <w:color w:val="0070C0"/>
          <w:lang w:val="en-US"/>
        </w:rPr>
        <w:t xml:space="preserve"> </w:t>
      </w:r>
      <w:r w:rsidRPr="00C0586F">
        <w:rPr>
          <w:rFonts w:asciiTheme="minorHAnsi" w:hAnsiTheme="minorHAnsi" w:cstheme="minorBidi"/>
          <w:color w:val="auto"/>
          <w:lang w:val="en-US"/>
        </w:rPr>
        <w:t>Arturo Alarcón</w:t>
      </w:r>
    </w:p>
    <w:p w14:paraId="36DDA7EC" w14:textId="77777777" w:rsidR="00270420" w:rsidRPr="0024529A" w:rsidRDefault="00270420" w:rsidP="00270420">
      <w:pPr>
        <w:jc w:val="both"/>
        <w:rPr>
          <w:rFonts w:asciiTheme="minorHAnsi" w:hAnsiTheme="minorHAnsi" w:cs="Times New Roman"/>
          <w:color w:val="auto"/>
          <w:lang w:val="en-US"/>
        </w:rPr>
      </w:pPr>
    </w:p>
    <w:p w14:paraId="707FC7E5" w14:textId="77777777" w:rsidR="00270420" w:rsidRPr="00201995" w:rsidRDefault="00270420" w:rsidP="00270420">
      <w:pPr>
        <w:jc w:val="both"/>
        <w:rPr>
          <w:rFonts w:asciiTheme="minorHAnsi" w:hAnsiTheme="minorHAnsi" w:cstheme="minorBidi"/>
          <w:color w:val="auto"/>
          <w:lang w:val="en-US"/>
        </w:rPr>
      </w:pPr>
      <w:r w:rsidRPr="08202347">
        <w:rPr>
          <w:rFonts w:asciiTheme="minorHAnsi" w:hAnsiTheme="minorHAnsi" w:cstheme="minorBidi"/>
          <w:color w:val="auto"/>
          <w:lang w:val="en-US"/>
        </w:rPr>
        <w:t>1300 New York Avenue, NW, Washington, DC 20577, EE.UU.</w:t>
      </w:r>
    </w:p>
    <w:p w14:paraId="7124A11D" w14:textId="77777777" w:rsidR="00270420" w:rsidRPr="0024529A" w:rsidRDefault="00270420" w:rsidP="00270420">
      <w:pPr>
        <w:suppressAutoHyphens/>
        <w:jc w:val="both"/>
        <w:rPr>
          <w:rFonts w:asciiTheme="minorHAnsi" w:hAnsiTheme="minorHAnsi" w:cstheme="minorBidi"/>
          <w:color w:val="0070C0"/>
          <w:lang w:val="en-US"/>
        </w:rPr>
      </w:pPr>
      <w:r w:rsidRPr="0024529A">
        <w:rPr>
          <w:rFonts w:asciiTheme="minorHAnsi" w:hAnsiTheme="minorHAnsi" w:cstheme="minorBidi"/>
          <w:lang w:val="en-US"/>
        </w:rPr>
        <w:t>Email:</w:t>
      </w:r>
      <w:r w:rsidRPr="0024529A">
        <w:rPr>
          <w:rFonts w:asciiTheme="minorHAnsi" w:hAnsiTheme="minorHAnsi" w:cstheme="minorBidi"/>
          <w:i/>
          <w:iCs/>
          <w:color w:val="0070C0"/>
          <w:lang w:val="en-US"/>
        </w:rPr>
        <w:t xml:space="preserve"> </w:t>
      </w:r>
      <w:hyperlink r:id="rId16" w:history="1">
        <w:r w:rsidRPr="0024529A">
          <w:rPr>
            <w:rStyle w:val="Hyperlink"/>
            <w:rFonts w:asciiTheme="minorHAnsi" w:hAnsiTheme="minorHAnsi" w:cstheme="minorBidi"/>
            <w:lang w:val="en-US"/>
          </w:rPr>
          <w:t>arturoal@iadb.org</w:t>
        </w:r>
      </w:hyperlink>
    </w:p>
    <w:p w14:paraId="2545B85E" w14:textId="77777777" w:rsidR="00270420" w:rsidRDefault="00270420" w:rsidP="00270420">
      <w:pPr>
        <w:jc w:val="both"/>
        <w:rPr>
          <w:rFonts w:asciiTheme="minorHAnsi" w:hAnsiTheme="minorHAnsi" w:cstheme="minorBidi"/>
          <w:color w:val="auto"/>
        </w:rPr>
      </w:pPr>
      <w:r w:rsidRPr="08202347">
        <w:rPr>
          <w:rFonts w:asciiTheme="minorHAnsi" w:hAnsiTheme="minorHAnsi" w:cstheme="minorBidi"/>
          <w:color w:val="auto"/>
        </w:rPr>
        <w:t xml:space="preserve">Sitio Web: </w:t>
      </w:r>
      <w:hyperlink r:id="rId17">
        <w:r w:rsidRPr="08202347">
          <w:rPr>
            <w:rStyle w:val="Hyperlink"/>
            <w:rFonts w:asciiTheme="minorHAnsi" w:hAnsiTheme="minorHAnsi" w:cstheme="minorBidi"/>
          </w:rPr>
          <w:t>www.iadb.org</w:t>
        </w:r>
      </w:hyperlink>
      <w:r w:rsidRPr="08202347">
        <w:rPr>
          <w:rFonts w:asciiTheme="minorHAnsi" w:hAnsiTheme="minorHAnsi" w:cstheme="minorBidi"/>
          <w:color w:val="auto"/>
        </w:rPr>
        <w:t xml:space="preserve"> </w:t>
      </w:r>
    </w:p>
    <w:p w14:paraId="7EBEB819" w14:textId="77777777" w:rsidR="00270420" w:rsidRDefault="00270420" w:rsidP="00270420">
      <w:pPr>
        <w:jc w:val="both"/>
        <w:rPr>
          <w:rFonts w:asciiTheme="minorHAnsi" w:hAnsiTheme="minorHAnsi" w:cstheme="minorBidi"/>
          <w:color w:val="auto"/>
        </w:rPr>
      </w:pPr>
    </w:p>
    <w:p w14:paraId="2509C789" w14:textId="011E2336" w:rsidR="00CE0491" w:rsidRDefault="00CE0491" w:rsidP="00270420">
      <w:pPr>
        <w:jc w:val="both"/>
        <w:rPr>
          <w:rFonts w:asciiTheme="minorHAnsi" w:hAnsiTheme="minorHAnsi" w:cstheme="minorBidi"/>
          <w:color w:val="auto"/>
        </w:rPr>
      </w:pPr>
    </w:p>
    <w:sectPr w:rsidR="00CE0491">
      <w:headerReference w:type="default" r:id="rId18"/>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DC474" w14:textId="77777777" w:rsidR="00C65E45" w:rsidRDefault="00C65E45">
      <w:r>
        <w:separator/>
      </w:r>
    </w:p>
  </w:endnote>
  <w:endnote w:type="continuationSeparator" w:id="0">
    <w:p w14:paraId="36FC9A8B" w14:textId="77777777" w:rsidR="00C65E45" w:rsidRDefault="00C65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8B886" w14:textId="77777777" w:rsidR="00C65E45" w:rsidRDefault="00C65E45">
      <w:r>
        <w:separator/>
      </w:r>
    </w:p>
  </w:footnote>
  <w:footnote w:type="continuationSeparator" w:id="0">
    <w:p w14:paraId="46EE57F2" w14:textId="77777777" w:rsidR="00C65E45" w:rsidRDefault="00C65E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0A275" w14:textId="1E6D8D98" w:rsidR="00105DEB" w:rsidRPr="00105DEB" w:rsidRDefault="00105DEB" w:rsidP="00105DEB">
    <w:pPr>
      <w:pStyle w:val="Header"/>
    </w:pPr>
    <w:r>
      <w:rPr>
        <w:noProof/>
      </w:rPr>
      <w:drawing>
        <wp:anchor distT="0" distB="0" distL="114300" distR="114300" simplePos="0" relativeHeight="251658240" behindDoc="0" locked="0" layoutInCell="1" allowOverlap="1" wp14:anchorId="6BDDCBBF" wp14:editId="4A633A99">
          <wp:simplePos x="0" y="0"/>
          <wp:positionH relativeFrom="column">
            <wp:posOffset>51435</wp:posOffset>
          </wp:positionH>
          <wp:positionV relativeFrom="paragraph">
            <wp:posOffset>-322277</wp:posOffset>
          </wp:positionV>
          <wp:extent cx="1693545" cy="429260"/>
          <wp:effectExtent l="0" t="0" r="1905" b="8890"/>
          <wp:wrapSquare wrapText="bothSides"/>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93545" cy="42926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C65F78"/>
    <w:multiLevelType w:val="multilevel"/>
    <w:tmpl w:val="4C605332"/>
    <w:lvl w:ilvl="0">
      <w:start w:val="1"/>
      <w:numFmt w:val="decimal"/>
      <w:lvlText w:val="%1."/>
      <w:lvlJc w:val="left"/>
      <w:pPr>
        <w:ind w:left="360" w:hanging="360"/>
      </w:pPr>
    </w:lvl>
    <w:lvl w:ilvl="1">
      <w:start w:val="1"/>
      <w:numFmt w:val="bullet"/>
      <w:lvlText w:val=""/>
      <w:lvlJc w:val="left"/>
      <w:pPr>
        <w:ind w:left="720" w:hanging="360"/>
      </w:pPr>
      <w:rPr>
        <w:rFonts w:ascii="Symbol" w:hAnsi="Symbol" w:hint="default"/>
      </w:rPr>
    </w:lvl>
    <w:lvl w:ilvl="2">
      <w:start w:val="1"/>
      <w:numFmt w:val="lowerLetter"/>
      <w:lvlText w:val="%3)"/>
      <w:lvlJc w:val="left"/>
      <w:pPr>
        <w:ind w:left="1080" w:hanging="360"/>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1B3839"/>
    <w:multiLevelType w:val="hybridMultilevel"/>
    <w:tmpl w:val="47F6226C"/>
    <w:lvl w:ilvl="0" w:tplc="180A0001">
      <w:start w:val="1"/>
      <w:numFmt w:val="bullet"/>
      <w:lvlText w:val=""/>
      <w:lvlJc w:val="left"/>
      <w:pPr>
        <w:ind w:left="720" w:hanging="360"/>
      </w:pPr>
      <w:rPr>
        <w:rFonts w:ascii="Symbol" w:hAnsi="Symbol" w:hint="default"/>
      </w:rPr>
    </w:lvl>
    <w:lvl w:ilvl="1" w:tplc="180A0003" w:tentative="1">
      <w:start w:val="1"/>
      <w:numFmt w:val="bullet"/>
      <w:lvlText w:val="o"/>
      <w:lvlJc w:val="left"/>
      <w:pPr>
        <w:ind w:left="1440" w:hanging="360"/>
      </w:pPr>
      <w:rPr>
        <w:rFonts w:ascii="Courier New" w:hAnsi="Courier New" w:cs="Courier New" w:hint="default"/>
      </w:rPr>
    </w:lvl>
    <w:lvl w:ilvl="2" w:tplc="180A0005" w:tentative="1">
      <w:start w:val="1"/>
      <w:numFmt w:val="bullet"/>
      <w:lvlText w:val=""/>
      <w:lvlJc w:val="left"/>
      <w:pPr>
        <w:ind w:left="2160" w:hanging="360"/>
      </w:pPr>
      <w:rPr>
        <w:rFonts w:ascii="Wingdings" w:hAnsi="Wingdings" w:hint="default"/>
      </w:rPr>
    </w:lvl>
    <w:lvl w:ilvl="3" w:tplc="180A0001" w:tentative="1">
      <w:start w:val="1"/>
      <w:numFmt w:val="bullet"/>
      <w:lvlText w:val=""/>
      <w:lvlJc w:val="left"/>
      <w:pPr>
        <w:ind w:left="2880" w:hanging="360"/>
      </w:pPr>
      <w:rPr>
        <w:rFonts w:ascii="Symbol" w:hAnsi="Symbol" w:hint="default"/>
      </w:rPr>
    </w:lvl>
    <w:lvl w:ilvl="4" w:tplc="180A0003" w:tentative="1">
      <w:start w:val="1"/>
      <w:numFmt w:val="bullet"/>
      <w:lvlText w:val="o"/>
      <w:lvlJc w:val="left"/>
      <w:pPr>
        <w:ind w:left="3600" w:hanging="360"/>
      </w:pPr>
      <w:rPr>
        <w:rFonts w:ascii="Courier New" w:hAnsi="Courier New" w:cs="Courier New" w:hint="default"/>
      </w:rPr>
    </w:lvl>
    <w:lvl w:ilvl="5" w:tplc="180A0005" w:tentative="1">
      <w:start w:val="1"/>
      <w:numFmt w:val="bullet"/>
      <w:lvlText w:val=""/>
      <w:lvlJc w:val="left"/>
      <w:pPr>
        <w:ind w:left="4320" w:hanging="360"/>
      </w:pPr>
      <w:rPr>
        <w:rFonts w:ascii="Wingdings" w:hAnsi="Wingdings" w:hint="default"/>
      </w:rPr>
    </w:lvl>
    <w:lvl w:ilvl="6" w:tplc="180A0001" w:tentative="1">
      <w:start w:val="1"/>
      <w:numFmt w:val="bullet"/>
      <w:lvlText w:val=""/>
      <w:lvlJc w:val="left"/>
      <w:pPr>
        <w:ind w:left="5040" w:hanging="360"/>
      </w:pPr>
      <w:rPr>
        <w:rFonts w:ascii="Symbol" w:hAnsi="Symbol" w:hint="default"/>
      </w:rPr>
    </w:lvl>
    <w:lvl w:ilvl="7" w:tplc="180A0003" w:tentative="1">
      <w:start w:val="1"/>
      <w:numFmt w:val="bullet"/>
      <w:lvlText w:val="o"/>
      <w:lvlJc w:val="left"/>
      <w:pPr>
        <w:ind w:left="5760" w:hanging="360"/>
      </w:pPr>
      <w:rPr>
        <w:rFonts w:ascii="Courier New" w:hAnsi="Courier New" w:cs="Courier New" w:hint="default"/>
      </w:rPr>
    </w:lvl>
    <w:lvl w:ilvl="8" w:tplc="180A0005" w:tentative="1">
      <w:start w:val="1"/>
      <w:numFmt w:val="bullet"/>
      <w:lvlText w:val=""/>
      <w:lvlJc w:val="left"/>
      <w:pPr>
        <w:ind w:left="6480" w:hanging="360"/>
      </w:pPr>
      <w:rPr>
        <w:rFonts w:ascii="Wingdings" w:hAnsi="Wingdings" w:hint="default"/>
      </w:rPr>
    </w:lvl>
  </w:abstractNum>
  <w:num w:numId="1" w16cid:durableId="757677352">
    <w:abstractNumId w:val="1"/>
  </w:num>
  <w:num w:numId="2" w16cid:durableId="7403729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13CE"/>
    <w:rsid w:val="00032422"/>
    <w:rsid w:val="0003493A"/>
    <w:rsid w:val="00050DB5"/>
    <w:rsid w:val="00064AD6"/>
    <w:rsid w:val="00091043"/>
    <w:rsid w:val="0009386C"/>
    <w:rsid w:val="000C118D"/>
    <w:rsid w:val="00105DEB"/>
    <w:rsid w:val="0017298C"/>
    <w:rsid w:val="00183A2A"/>
    <w:rsid w:val="00195118"/>
    <w:rsid w:val="001A05B2"/>
    <w:rsid w:val="001C1EA2"/>
    <w:rsid w:val="001E1AB7"/>
    <w:rsid w:val="001F2366"/>
    <w:rsid w:val="001F2EA1"/>
    <w:rsid w:val="00201995"/>
    <w:rsid w:val="002044D9"/>
    <w:rsid w:val="00214F77"/>
    <w:rsid w:val="00262135"/>
    <w:rsid w:val="00270420"/>
    <w:rsid w:val="0027534E"/>
    <w:rsid w:val="002913AF"/>
    <w:rsid w:val="002D793B"/>
    <w:rsid w:val="00353F07"/>
    <w:rsid w:val="00360ACB"/>
    <w:rsid w:val="003745B1"/>
    <w:rsid w:val="003800C7"/>
    <w:rsid w:val="003863A1"/>
    <w:rsid w:val="003E016C"/>
    <w:rsid w:val="003E2C20"/>
    <w:rsid w:val="003F5CA1"/>
    <w:rsid w:val="004003E8"/>
    <w:rsid w:val="00423E38"/>
    <w:rsid w:val="00434857"/>
    <w:rsid w:val="00463054"/>
    <w:rsid w:val="004A3654"/>
    <w:rsid w:val="004C0B86"/>
    <w:rsid w:val="004D51F3"/>
    <w:rsid w:val="0051231A"/>
    <w:rsid w:val="0052634A"/>
    <w:rsid w:val="00544F2D"/>
    <w:rsid w:val="00546C8D"/>
    <w:rsid w:val="00556C08"/>
    <w:rsid w:val="005673D5"/>
    <w:rsid w:val="0056772C"/>
    <w:rsid w:val="005748E5"/>
    <w:rsid w:val="005B434A"/>
    <w:rsid w:val="006011D2"/>
    <w:rsid w:val="006071D7"/>
    <w:rsid w:val="00634CBB"/>
    <w:rsid w:val="00637714"/>
    <w:rsid w:val="006C30D1"/>
    <w:rsid w:val="006C3B20"/>
    <w:rsid w:val="006D59FE"/>
    <w:rsid w:val="007001EE"/>
    <w:rsid w:val="00770971"/>
    <w:rsid w:val="0078460F"/>
    <w:rsid w:val="007C7274"/>
    <w:rsid w:val="007E7155"/>
    <w:rsid w:val="008171F3"/>
    <w:rsid w:val="008577C4"/>
    <w:rsid w:val="00891E3C"/>
    <w:rsid w:val="00897ECF"/>
    <w:rsid w:val="008C7908"/>
    <w:rsid w:val="008E1CB2"/>
    <w:rsid w:val="00901303"/>
    <w:rsid w:val="0090355D"/>
    <w:rsid w:val="0090501E"/>
    <w:rsid w:val="00913640"/>
    <w:rsid w:val="00965F30"/>
    <w:rsid w:val="00995FCB"/>
    <w:rsid w:val="009A3F33"/>
    <w:rsid w:val="009A7A0F"/>
    <w:rsid w:val="009B2919"/>
    <w:rsid w:val="009F6DC9"/>
    <w:rsid w:val="00A15B62"/>
    <w:rsid w:val="00A31710"/>
    <w:rsid w:val="00A341F0"/>
    <w:rsid w:val="00A37CA7"/>
    <w:rsid w:val="00A438EB"/>
    <w:rsid w:val="00A644A7"/>
    <w:rsid w:val="00A6487E"/>
    <w:rsid w:val="00A838F0"/>
    <w:rsid w:val="00A83D94"/>
    <w:rsid w:val="00A83FFB"/>
    <w:rsid w:val="00AB1D21"/>
    <w:rsid w:val="00AD6E3D"/>
    <w:rsid w:val="00AE7268"/>
    <w:rsid w:val="00B17BF0"/>
    <w:rsid w:val="00B24F99"/>
    <w:rsid w:val="00B27293"/>
    <w:rsid w:val="00B44D0C"/>
    <w:rsid w:val="00B747D9"/>
    <w:rsid w:val="00BC02E9"/>
    <w:rsid w:val="00BC537C"/>
    <w:rsid w:val="00BF0B50"/>
    <w:rsid w:val="00BF1576"/>
    <w:rsid w:val="00BF5CD3"/>
    <w:rsid w:val="00C0586F"/>
    <w:rsid w:val="00C27587"/>
    <w:rsid w:val="00C42B39"/>
    <w:rsid w:val="00C439C0"/>
    <w:rsid w:val="00C65E45"/>
    <w:rsid w:val="00C90263"/>
    <w:rsid w:val="00C94EA8"/>
    <w:rsid w:val="00CA1817"/>
    <w:rsid w:val="00CA7328"/>
    <w:rsid w:val="00CA7C9E"/>
    <w:rsid w:val="00CB4A3D"/>
    <w:rsid w:val="00CD2A27"/>
    <w:rsid w:val="00CD33B4"/>
    <w:rsid w:val="00CD36BB"/>
    <w:rsid w:val="00CD4904"/>
    <w:rsid w:val="00CE0491"/>
    <w:rsid w:val="00CF16E1"/>
    <w:rsid w:val="00D26C84"/>
    <w:rsid w:val="00D31382"/>
    <w:rsid w:val="00D35517"/>
    <w:rsid w:val="00D53C66"/>
    <w:rsid w:val="00D73CCF"/>
    <w:rsid w:val="00D761FB"/>
    <w:rsid w:val="00DC2154"/>
    <w:rsid w:val="00DC51CC"/>
    <w:rsid w:val="00DE327F"/>
    <w:rsid w:val="00E05CA2"/>
    <w:rsid w:val="00E277C5"/>
    <w:rsid w:val="00E3293B"/>
    <w:rsid w:val="00E75A4B"/>
    <w:rsid w:val="00E82ED1"/>
    <w:rsid w:val="00E90C6D"/>
    <w:rsid w:val="00E95AB3"/>
    <w:rsid w:val="00ED4D33"/>
    <w:rsid w:val="00EE5A06"/>
    <w:rsid w:val="00EF0541"/>
    <w:rsid w:val="00F45D9C"/>
    <w:rsid w:val="00F74266"/>
    <w:rsid w:val="00F92DC8"/>
    <w:rsid w:val="00FD7F02"/>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262135"/>
    <w:rPr>
      <w:color w:val="605E5C"/>
      <w:shd w:val="clear" w:color="auto" w:fill="E1DFDD"/>
    </w:rPr>
  </w:style>
  <w:style w:type="paragraph" w:styleId="ListParagraph">
    <w:name w:val="List Paragraph"/>
    <w:basedOn w:val="Normal"/>
    <w:link w:val="ListParagraphChar"/>
    <w:uiPriority w:val="34"/>
    <w:qFormat/>
    <w:rsid w:val="00E05CA2"/>
    <w:pPr>
      <w:ind w:left="720"/>
      <w:contextualSpacing/>
    </w:pPr>
  </w:style>
  <w:style w:type="character" w:customStyle="1" w:styleId="ListParagraphChar">
    <w:name w:val="List Paragraph Char"/>
    <w:link w:val="ListParagraph"/>
    <w:uiPriority w:val="34"/>
    <w:locked/>
    <w:rsid w:val="008E1CB2"/>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adb.org/document.cfm?id=38988613"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hyperlink" Target="http://beo-procurement.iadb.org/home" TargetMode="External"/><Relationship Id="rId17" Type="http://schemas.openxmlformats.org/officeDocument/2006/relationships/hyperlink" Target="http://www.iadb.org" TargetMode="External"/><Relationship Id="rId2" Type="http://schemas.openxmlformats.org/officeDocument/2006/relationships/customXml" Target="../customXml/item2.xml"/><Relationship Id="rId16" Type="http://schemas.openxmlformats.org/officeDocument/2006/relationships/hyperlink" Target="mailto:arturoal@iadb.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adb.org/Document.cfm?id=EZSHARE-1781647375-26" TargetMode="External"/><Relationship Id="rId5" Type="http://schemas.openxmlformats.org/officeDocument/2006/relationships/numbering" Target="numbering.xml"/><Relationship Id="rId15" Type="http://schemas.openxmlformats.org/officeDocument/2006/relationships/hyperlink" Target="mailto:ricardoesp@iadb.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rturoal@iadb.org" TargetMode="External"/><Relationship Id="rId22" Type="http://schemas.openxmlformats.org/officeDocument/2006/relationships/customXml" Target="../customXml/item6.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C34EF5A7EA422448A2D8F112C348CD6" ma:contentTypeVersion="0" ma:contentTypeDescription="The base project type from which other project content types inherit their information." ma:contentTypeScope="" ma:versionID="10844299c3da83153036ecc00714bc42">
  <xsd:schema xmlns:xsd="http://www.w3.org/2001/XMLSchema" xmlns:xs="http://www.w3.org/2001/XMLSchema" xmlns:p="http://schemas.microsoft.com/office/2006/metadata/properties" xmlns:ns2="cdc7663a-08f0-4737-9e8c-148ce897a09c" targetNamespace="http://schemas.microsoft.com/office/2006/metadata/properties" ma:root="true" ma:fieldsID="69ba69ea47660d1fb4bf02e512a4e71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SharedContentType xmlns="Microsoft.SharePoint.Taxonomy.ContentTypeSync" SourceId="ae61f9b1-e23d-4f49-b3d7-56b991556c4b" ContentTypeId="0x010100ACF722E9F6B0B149B0CD8BE2560A6672" PreviousValue="false" LastSyncTimeStamp="2021-11-30T20:17:31.517Z"/>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TaxCatchAll xmlns="cdc7663a-08f0-4737-9e8c-148ce897a09c">
      <Value>97</Value>
      <Value>25</Value>
      <Value>59</Value>
      <Value>9</Value>
      <Value>98</Value>
    </TaxCatchAll>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INE/ENE</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ATN/TV-19320-PN</Approval_x0020_Number>
    <Phase xmlns="cdc7663a-08f0-4737-9e8c-148ce897a09c">PHASE_IMPLEMENTATION</Phase>
    <Document_x0020_Author xmlns="cdc7663a-08f0-4737-9e8c-148ce897a09c">Alarcon Arturo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ransaction_x0020_Type xmlns="cdc7663a-08f0-4737-9e8c-148ce897a09c" xsi:nil="true"/>
    <Operation_x0020_Type xmlns="cdc7663a-08f0-4737-9e8c-148ce897a09c">Technical Cooperation</Operation_x0020_Type>
    <Package_x0020_Code xmlns="cdc7663a-08f0-4737-9e8c-148ce897a09c" xsi:nil="true"/>
    <To_x003a_ xmlns="cdc7663a-08f0-4737-9e8c-148ce897a09c" xsi:nil="true"/>
    <Identifier xmlns="cdc7663a-08f0-4737-9e8c-148ce897a09c" xsi:nil="true"/>
    <Project_x0020_Number xmlns="cdc7663a-08f0-4737-9e8c-148ce897a09c">PN-T1311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EZSHARE-960126033-3</_dlc_DocId>
    <_dlc_DocIdUrl xmlns="cdc7663a-08f0-4737-9e8c-148ce897a09c">
      <Url>https://idbg.sharepoint.com/teams/EZ-PN-TCP/PN-T1311/_layouts/15/DocIdRedir.aspx?ID=EZSHARE-960126033-3</Url>
      <Description>EZSHARE-960126033-3</Description>
    </_dlc_DocIdUrl>
  </documentManagement>
</p:properties>
</file>

<file path=customXml/itemProps1.xml><?xml version="1.0" encoding="utf-8"?>
<ds:datastoreItem xmlns:ds="http://schemas.openxmlformats.org/officeDocument/2006/customXml" ds:itemID="{3C307FC0-838D-4E64-B1EB-38D31E20D32D}"/>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4.xml><?xml version="1.0" encoding="utf-8"?>
<ds:datastoreItem xmlns:ds="http://schemas.openxmlformats.org/officeDocument/2006/customXml" ds:itemID="{F241AA57-B50F-4678-AF19-C4BDC17FDECB}"/>
</file>

<file path=customXml/itemProps5.xml><?xml version="1.0" encoding="utf-8"?>
<ds:datastoreItem xmlns:ds="http://schemas.openxmlformats.org/officeDocument/2006/customXml" ds:itemID="{6B35AB34-9DF1-46BD-87FB-87A15735FADF}"/>
</file>

<file path=customXml/itemProps6.xml><?xml version="1.0" encoding="utf-8"?>
<ds:datastoreItem xmlns:ds="http://schemas.openxmlformats.org/officeDocument/2006/customXml" ds:itemID="{DA5BB2AE-B632-42AE-AB47-C8AD8274DA17}"/>
</file>

<file path=docProps/app.xml><?xml version="1.0" encoding="utf-8"?>
<Properties xmlns="http://schemas.openxmlformats.org/officeDocument/2006/extended-properties" xmlns:vt="http://schemas.openxmlformats.org/officeDocument/2006/docPropsVTypes">
  <Template>Normal</Template>
  <TotalTime>22</TotalTime>
  <Pages>3</Pages>
  <Words>1161</Words>
  <Characters>6390</Characters>
  <Application>Microsoft Office Word</Application>
  <DocSecurity>0</DocSecurity>
  <Lines>53</Lines>
  <Paragraphs>15</Paragraphs>
  <ScaleCrop>false</ScaleCrop>
  <Company>Inter-American Development Bank</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Ricardo Espino</cp:lastModifiedBy>
  <cp:revision>64</cp:revision>
  <cp:lastPrinted>2015-01-20T22:56:00Z</cp:lastPrinted>
  <dcterms:created xsi:type="dcterms:W3CDTF">2022-07-07T13:36:00Z</dcterms:created>
  <dcterms:modified xsi:type="dcterms:W3CDTF">2022-10-04T22:48:00Z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0x010100ACF722E9F6B0B149B0CD8BE2560A6672005C34EF5A7EA422448A2D8F112C348CD6</vt:lpwstr>
  </property>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25;#Panama|7af43a84-776d-43d1-b0f2-8a1f2a8ffc7b</vt:lpwstr>
  </property>
  <property fmtid="{D5CDD505-2E9C-101B-9397-08002B2CF9AE}" pid="8" name="_dlc_DocIdItemGuid">
    <vt:lpwstr>8944874c-02a5-474a-91f0-97c07873f01a</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lcf76f155ced4ddcb4097134ff3c332f">
    <vt:lpwstr/>
  </property>
  <property fmtid="{D5CDD505-2E9C-101B-9397-08002B2CF9AE}" pid="11" name="TaxCatchAll">
    <vt:lpwstr/>
  </property>
  <property fmtid="{D5CDD505-2E9C-101B-9397-08002B2CF9AE}" pid="12" name="Sub-Sector">
    <vt:lpwstr>98;#ENERGY INSTITUTIONAL STRENGTHENING AND CAPACITY BUILDING|83f37b93-89a4-4e9a-88eb-1c116bee7b97</vt:lpwstr>
  </property>
  <property fmtid="{D5CDD505-2E9C-101B-9397-08002B2CF9AE}" pid="13" name="Series Operations IDB">
    <vt:lpwstr/>
  </property>
  <property fmtid="{D5CDD505-2E9C-101B-9397-08002B2CF9AE}" pid="14" name="Fund IDB">
    <vt:lpwstr>59;#TBD|d62f6e05-3e80-4abd-9bb4-5f10b4906ff6</vt:lpwstr>
  </property>
  <property fmtid="{D5CDD505-2E9C-101B-9397-08002B2CF9AE}" pid="15" name="Sector IDB">
    <vt:lpwstr>97;#ENERGY|4fed196a-cd0b-4970-87de-42da17f9b203</vt:lpwstr>
  </property>
  <property fmtid="{D5CDD505-2E9C-101B-9397-08002B2CF9AE}" pid="16" name="Function Operations IDB">
    <vt:lpwstr>9;#Goods and Services|5bfebf1b-9f1f-4411-b1dd-4c19b807b799</vt:lpwstr>
  </property>
  <property fmtid="{D5CDD505-2E9C-101B-9397-08002B2CF9AE}" pid="17" name="Disclosure Activity">
    <vt:lpwstr>BEO Procurement</vt:lpwstr>
  </property>
  <property fmtid="{D5CDD505-2E9C-101B-9397-08002B2CF9AE}" pid="18" name="Webtopic">
    <vt:lpwstr>Climate Change and Renewable Energy;Electricity;Energy;Energy Distribution and Transmission;Energy Management and Regulation;Energy Markets and Studies;Extractive Industries;</vt:lpwstr>
  </property>
</Properties>
</file>