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charts/chart1.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docProps/core.xml" ContentType="application/vnd.openxmlformats-package.core-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B5CC0" w14:textId="77777777" w:rsidR="00D24F6E" w:rsidRPr="00340346" w:rsidRDefault="00D24F6E" w:rsidP="00D24F6E">
      <w:pPr>
        <w:pStyle w:val="SubSubPar"/>
        <w:numPr>
          <w:ilvl w:val="0"/>
          <w:numId w:val="0"/>
        </w:numPr>
        <w:spacing w:after="0"/>
        <w:jc w:val="center"/>
        <w:rPr>
          <w:rFonts w:ascii="Arial" w:hAnsi="Arial" w:cs="Arial"/>
          <w:smallCaps/>
          <w:noProof/>
          <w:sz w:val="22"/>
          <w:szCs w:val="22"/>
        </w:rPr>
      </w:pPr>
      <w:bookmarkStart w:id="0" w:name="_Toc504670810"/>
      <w:bookmarkStart w:id="1" w:name="_Toc504744676"/>
      <w:r w:rsidRPr="00340346">
        <w:rPr>
          <w:rFonts w:ascii="Arial" w:hAnsi="Arial" w:cs="Arial"/>
          <w:smallCaps/>
          <w:noProof/>
          <w:sz w:val="22"/>
          <w:szCs w:val="22"/>
        </w:rPr>
        <w:t>Document of the Inter-American Development Bank</w:t>
      </w:r>
      <w:bookmarkEnd w:id="0"/>
      <w:bookmarkEnd w:id="1"/>
    </w:p>
    <w:p w14:paraId="4AD2292F" w14:textId="77777777" w:rsidR="00D24F6E" w:rsidRPr="00340346" w:rsidRDefault="00D24F6E" w:rsidP="00D24F6E">
      <w:pPr>
        <w:tabs>
          <w:tab w:val="left" w:pos="1440"/>
          <w:tab w:val="left" w:pos="3060"/>
        </w:tabs>
        <w:jc w:val="center"/>
        <w:rPr>
          <w:rFonts w:ascii="Arial" w:hAnsi="Arial" w:cs="Arial"/>
          <w:noProof/>
          <w:sz w:val="22"/>
          <w:szCs w:val="22"/>
          <w:lang w:val="en-US"/>
        </w:rPr>
      </w:pPr>
    </w:p>
    <w:p w14:paraId="7B82DE97" w14:textId="77777777" w:rsidR="00D24F6E" w:rsidRPr="00340346" w:rsidRDefault="00D24F6E" w:rsidP="00D24F6E">
      <w:pPr>
        <w:tabs>
          <w:tab w:val="left" w:pos="1440"/>
          <w:tab w:val="left" w:pos="3060"/>
        </w:tabs>
        <w:jc w:val="center"/>
        <w:rPr>
          <w:rFonts w:ascii="Arial" w:hAnsi="Arial" w:cs="Arial"/>
          <w:noProof/>
          <w:sz w:val="22"/>
          <w:szCs w:val="22"/>
          <w:lang w:val="en-US"/>
        </w:rPr>
      </w:pPr>
    </w:p>
    <w:p w14:paraId="66A243FC" w14:textId="77777777" w:rsidR="00D24F6E" w:rsidRPr="00340346" w:rsidRDefault="00D24F6E" w:rsidP="00D24F6E">
      <w:pPr>
        <w:tabs>
          <w:tab w:val="left" w:pos="1440"/>
          <w:tab w:val="left" w:pos="3060"/>
        </w:tabs>
        <w:jc w:val="center"/>
        <w:rPr>
          <w:rFonts w:ascii="Arial" w:hAnsi="Arial" w:cs="Arial"/>
          <w:noProof/>
          <w:sz w:val="22"/>
          <w:szCs w:val="22"/>
          <w:lang w:val="en-US"/>
        </w:rPr>
      </w:pPr>
    </w:p>
    <w:p w14:paraId="7A170192" w14:textId="77777777" w:rsidR="00D24F6E" w:rsidRPr="00340346" w:rsidRDefault="00D24F6E" w:rsidP="00D24F6E">
      <w:pPr>
        <w:ind w:left="540" w:hanging="540"/>
        <w:jc w:val="center"/>
        <w:rPr>
          <w:rFonts w:ascii="Arial" w:hAnsi="Arial" w:cs="Arial"/>
          <w:b/>
          <w:noProof/>
          <w:sz w:val="22"/>
          <w:szCs w:val="22"/>
          <w:lang w:val="en-US"/>
        </w:rPr>
      </w:pPr>
    </w:p>
    <w:p w14:paraId="5FA434E0" w14:textId="77777777" w:rsidR="00D24F6E" w:rsidRPr="00340346" w:rsidRDefault="00D24F6E" w:rsidP="00D24F6E">
      <w:pPr>
        <w:jc w:val="center"/>
        <w:rPr>
          <w:rStyle w:val="BookTitle"/>
          <w:rFonts w:ascii="Arial" w:hAnsi="Arial" w:cs="Arial"/>
          <w:noProof/>
          <w:sz w:val="22"/>
          <w:szCs w:val="22"/>
          <w:lang w:val="en-US"/>
        </w:rPr>
      </w:pPr>
      <w:r w:rsidRPr="00340346">
        <w:rPr>
          <w:rStyle w:val="BookTitle"/>
          <w:rFonts w:ascii="Arial" w:hAnsi="Arial" w:cs="Arial"/>
          <w:noProof/>
          <w:sz w:val="22"/>
          <w:szCs w:val="22"/>
          <w:lang w:val="en-US"/>
        </w:rPr>
        <w:t>Argentina</w:t>
      </w:r>
    </w:p>
    <w:p w14:paraId="398D5283" w14:textId="77777777" w:rsidR="00D24F6E" w:rsidRPr="00340346" w:rsidRDefault="00D24F6E" w:rsidP="00D24F6E">
      <w:pPr>
        <w:jc w:val="center"/>
        <w:rPr>
          <w:rStyle w:val="BookTitle"/>
          <w:rFonts w:ascii="Arial" w:hAnsi="Arial" w:cs="Arial"/>
          <w:noProof/>
          <w:sz w:val="22"/>
          <w:szCs w:val="22"/>
          <w:lang w:val="en-US"/>
        </w:rPr>
      </w:pPr>
    </w:p>
    <w:p w14:paraId="7DA33CF5" w14:textId="77777777" w:rsidR="00D24F6E" w:rsidRPr="00340346" w:rsidRDefault="00D24F6E" w:rsidP="00D24F6E">
      <w:pPr>
        <w:jc w:val="center"/>
        <w:rPr>
          <w:rStyle w:val="BookTitle"/>
          <w:rFonts w:ascii="Arial" w:hAnsi="Arial" w:cs="Arial"/>
          <w:noProof/>
          <w:sz w:val="22"/>
          <w:szCs w:val="22"/>
          <w:lang w:val="en-US"/>
        </w:rPr>
      </w:pPr>
    </w:p>
    <w:p w14:paraId="7A668D3E" w14:textId="77777777" w:rsidR="00D24F6E" w:rsidRPr="00340346" w:rsidRDefault="00D24F6E" w:rsidP="00D24F6E">
      <w:pPr>
        <w:jc w:val="center"/>
        <w:rPr>
          <w:rStyle w:val="BookTitle"/>
          <w:rFonts w:ascii="Arial" w:hAnsi="Arial" w:cs="Arial"/>
          <w:noProof/>
          <w:sz w:val="22"/>
          <w:szCs w:val="22"/>
          <w:lang w:val="en-US"/>
        </w:rPr>
      </w:pPr>
    </w:p>
    <w:p w14:paraId="4B4588AC" w14:textId="77777777" w:rsidR="00D24F6E" w:rsidRPr="00340346" w:rsidRDefault="00D24F6E" w:rsidP="00D24F6E">
      <w:pPr>
        <w:jc w:val="center"/>
        <w:rPr>
          <w:rStyle w:val="BookTitle"/>
          <w:rFonts w:ascii="Arial" w:hAnsi="Arial" w:cs="Arial"/>
          <w:noProof/>
          <w:sz w:val="22"/>
          <w:szCs w:val="22"/>
          <w:lang w:val="en-US"/>
        </w:rPr>
      </w:pPr>
    </w:p>
    <w:p w14:paraId="4598FFC8" w14:textId="77777777" w:rsidR="00D24F6E" w:rsidRPr="00340346" w:rsidRDefault="00D24F6E" w:rsidP="00D24F6E">
      <w:pPr>
        <w:tabs>
          <w:tab w:val="left" w:pos="1440"/>
          <w:tab w:val="left" w:pos="3060"/>
        </w:tabs>
        <w:jc w:val="center"/>
        <w:rPr>
          <w:rFonts w:ascii="Arial" w:hAnsi="Arial" w:cs="Arial"/>
          <w:b/>
          <w:smallCaps/>
          <w:noProof/>
          <w:sz w:val="22"/>
          <w:szCs w:val="22"/>
          <w:lang w:val="en-US"/>
        </w:rPr>
      </w:pPr>
      <w:r w:rsidRPr="00340346">
        <w:rPr>
          <w:rFonts w:ascii="Arial" w:hAnsi="Arial" w:cs="Arial"/>
          <w:b/>
          <w:smallCaps/>
          <w:noProof/>
          <w:sz w:val="22"/>
          <w:szCs w:val="22"/>
          <w:lang w:val="en-US"/>
        </w:rPr>
        <w:t>Promoting risk mitigation instruments and finance for renewable energy and energy efficiency investments</w:t>
      </w:r>
    </w:p>
    <w:p w14:paraId="19997892" w14:textId="77777777" w:rsidR="00D24F6E" w:rsidRPr="00340346" w:rsidRDefault="00D24F6E" w:rsidP="00D24F6E">
      <w:pPr>
        <w:tabs>
          <w:tab w:val="left" w:pos="1440"/>
          <w:tab w:val="left" w:pos="3060"/>
        </w:tabs>
        <w:jc w:val="center"/>
        <w:rPr>
          <w:rFonts w:ascii="Arial" w:hAnsi="Arial" w:cs="Arial"/>
          <w:b/>
          <w:smallCaps/>
          <w:noProof/>
          <w:sz w:val="22"/>
          <w:szCs w:val="22"/>
          <w:lang w:val="en-US"/>
        </w:rPr>
      </w:pPr>
    </w:p>
    <w:p w14:paraId="2FB33582" w14:textId="77777777" w:rsidR="00D24F6E" w:rsidRPr="00340346" w:rsidRDefault="00D24F6E" w:rsidP="00D24F6E">
      <w:pPr>
        <w:tabs>
          <w:tab w:val="left" w:pos="1440"/>
          <w:tab w:val="left" w:pos="3060"/>
        </w:tabs>
        <w:jc w:val="center"/>
        <w:rPr>
          <w:rFonts w:ascii="Arial" w:hAnsi="Arial" w:cs="Arial"/>
          <w:b/>
          <w:smallCaps/>
          <w:noProof/>
          <w:sz w:val="22"/>
          <w:szCs w:val="22"/>
          <w:lang w:val="en-US"/>
        </w:rPr>
      </w:pPr>
      <w:r w:rsidRPr="00340346">
        <w:rPr>
          <w:rFonts w:ascii="Arial" w:hAnsi="Arial" w:cs="Arial"/>
          <w:b/>
          <w:smallCaps/>
          <w:noProof/>
          <w:sz w:val="22"/>
          <w:szCs w:val="22"/>
          <w:lang w:val="en-US"/>
        </w:rPr>
        <w:t>(AR-L1280)</w:t>
      </w:r>
    </w:p>
    <w:p w14:paraId="0918861C" w14:textId="77777777" w:rsidR="00D24F6E" w:rsidRPr="00340346" w:rsidRDefault="00D24F6E" w:rsidP="00D24F6E">
      <w:pPr>
        <w:ind w:left="540" w:hanging="540"/>
        <w:jc w:val="center"/>
        <w:rPr>
          <w:rFonts w:ascii="Arial" w:hAnsi="Arial" w:cs="Arial"/>
          <w:b/>
          <w:noProof/>
          <w:sz w:val="22"/>
          <w:szCs w:val="22"/>
          <w:lang w:val="en-US"/>
        </w:rPr>
      </w:pPr>
    </w:p>
    <w:p w14:paraId="0CDD9766" w14:textId="77777777" w:rsidR="00D24F6E" w:rsidRPr="00340346" w:rsidRDefault="00D24F6E" w:rsidP="00D24F6E">
      <w:pPr>
        <w:ind w:left="540" w:hanging="540"/>
        <w:jc w:val="center"/>
        <w:rPr>
          <w:rFonts w:ascii="Arial" w:hAnsi="Arial" w:cs="Arial"/>
          <w:b/>
          <w:noProof/>
          <w:sz w:val="22"/>
          <w:szCs w:val="22"/>
          <w:lang w:val="en-US"/>
        </w:rPr>
      </w:pPr>
    </w:p>
    <w:p w14:paraId="2C05D283" w14:textId="77777777" w:rsidR="00D24F6E" w:rsidRPr="00340346" w:rsidRDefault="00D24F6E" w:rsidP="00D24F6E">
      <w:pPr>
        <w:ind w:left="540" w:hanging="540"/>
        <w:jc w:val="center"/>
        <w:rPr>
          <w:rFonts w:ascii="Arial" w:hAnsi="Arial" w:cs="Arial"/>
          <w:b/>
          <w:noProof/>
          <w:sz w:val="22"/>
          <w:szCs w:val="22"/>
          <w:lang w:val="en-US"/>
        </w:rPr>
      </w:pPr>
    </w:p>
    <w:p w14:paraId="7669B6BD" w14:textId="77777777" w:rsidR="00D24F6E" w:rsidRPr="00340346" w:rsidRDefault="00D24F6E" w:rsidP="00D24F6E">
      <w:pPr>
        <w:tabs>
          <w:tab w:val="left" w:pos="1440"/>
          <w:tab w:val="left" w:pos="3060"/>
        </w:tabs>
        <w:jc w:val="center"/>
        <w:outlineLvl w:val="0"/>
        <w:rPr>
          <w:rFonts w:ascii="Arial" w:hAnsi="Arial" w:cs="Arial"/>
          <w:b/>
          <w:smallCaps/>
          <w:noProof/>
          <w:sz w:val="22"/>
          <w:szCs w:val="22"/>
          <w:lang w:val="en-US"/>
        </w:rPr>
      </w:pPr>
      <w:bookmarkStart w:id="2" w:name="_Toc504744677"/>
      <w:r w:rsidRPr="00340346">
        <w:rPr>
          <w:rFonts w:ascii="Arial" w:hAnsi="Arial" w:cs="Arial"/>
          <w:b/>
          <w:smallCaps/>
          <w:noProof/>
          <w:sz w:val="22"/>
          <w:szCs w:val="22"/>
          <w:lang w:val="en-US"/>
        </w:rPr>
        <w:t>Feasibility Analysis</w:t>
      </w:r>
      <w:bookmarkEnd w:id="2"/>
    </w:p>
    <w:p w14:paraId="509477FB" w14:textId="2B64DE00" w:rsidR="00D24F6E" w:rsidRPr="00340346" w:rsidRDefault="00BD21C6" w:rsidP="00D24F6E">
      <w:pPr>
        <w:tabs>
          <w:tab w:val="left" w:pos="1440"/>
          <w:tab w:val="left" w:pos="3060"/>
        </w:tabs>
        <w:jc w:val="center"/>
        <w:outlineLvl w:val="0"/>
        <w:rPr>
          <w:rFonts w:ascii="Arial" w:hAnsi="Arial" w:cs="Arial"/>
          <w:b/>
          <w:smallCaps/>
          <w:noProof/>
          <w:sz w:val="22"/>
          <w:szCs w:val="22"/>
          <w:lang w:val="en-US"/>
        </w:rPr>
      </w:pPr>
      <w:r>
        <w:rPr>
          <w:rFonts w:ascii="Arial" w:hAnsi="Arial" w:cs="Arial"/>
          <w:b/>
          <w:smallCaps/>
          <w:noProof/>
          <w:sz w:val="22"/>
          <w:szCs w:val="22"/>
          <w:lang w:val="en-US"/>
        </w:rPr>
        <w:t>BICE Green Financing Program</w:t>
      </w:r>
      <w:bookmarkStart w:id="3" w:name="_GoBack"/>
      <w:bookmarkEnd w:id="3"/>
    </w:p>
    <w:p w14:paraId="6ACBB3D2" w14:textId="77777777" w:rsidR="00D24F6E" w:rsidRPr="00340346" w:rsidRDefault="00D24F6E" w:rsidP="00D24F6E">
      <w:pPr>
        <w:tabs>
          <w:tab w:val="left" w:pos="1440"/>
          <w:tab w:val="left" w:pos="3060"/>
        </w:tabs>
        <w:jc w:val="center"/>
        <w:outlineLvl w:val="0"/>
        <w:rPr>
          <w:rFonts w:ascii="Arial" w:hAnsi="Arial" w:cs="Arial"/>
          <w:b/>
          <w:smallCaps/>
          <w:noProof/>
          <w:sz w:val="22"/>
          <w:szCs w:val="22"/>
          <w:lang w:val="en-US"/>
        </w:rPr>
      </w:pPr>
    </w:p>
    <w:p w14:paraId="23BE5EC0" w14:textId="77777777" w:rsidR="00D24F6E" w:rsidRPr="00340346" w:rsidRDefault="00D24F6E" w:rsidP="00D24F6E">
      <w:pPr>
        <w:tabs>
          <w:tab w:val="left" w:pos="1440"/>
          <w:tab w:val="left" w:pos="3060"/>
        </w:tabs>
        <w:jc w:val="center"/>
        <w:outlineLvl w:val="0"/>
        <w:rPr>
          <w:rFonts w:ascii="Arial" w:hAnsi="Arial" w:cs="Arial"/>
          <w:b/>
          <w:smallCaps/>
          <w:noProof/>
          <w:sz w:val="22"/>
          <w:szCs w:val="22"/>
          <w:lang w:val="en-US"/>
        </w:rPr>
      </w:pPr>
    </w:p>
    <w:p w14:paraId="5945AF1C" w14:textId="77777777" w:rsidR="00D24F6E" w:rsidRPr="00340346" w:rsidRDefault="00D24F6E" w:rsidP="00D24F6E">
      <w:pPr>
        <w:tabs>
          <w:tab w:val="left" w:pos="1440"/>
          <w:tab w:val="left" w:pos="3060"/>
        </w:tabs>
        <w:jc w:val="center"/>
        <w:outlineLvl w:val="0"/>
        <w:rPr>
          <w:rFonts w:ascii="Arial" w:hAnsi="Arial" w:cs="Arial"/>
          <w:b/>
          <w:smallCaps/>
          <w:noProof/>
          <w:sz w:val="22"/>
          <w:szCs w:val="22"/>
          <w:lang w:val="en-US"/>
        </w:rPr>
      </w:pPr>
    </w:p>
    <w:p w14:paraId="615BAA53" w14:textId="77777777" w:rsidR="001635CF" w:rsidRPr="00340346" w:rsidRDefault="001635CF" w:rsidP="00C80112">
      <w:pPr>
        <w:pStyle w:val="Chapter"/>
        <w:rPr>
          <w:rFonts w:ascii="Arial" w:hAnsi="Arial" w:cs="Arial"/>
          <w:noProof/>
          <w:szCs w:val="24"/>
        </w:rPr>
      </w:pPr>
      <w:bookmarkStart w:id="4" w:name="_Toc504670461"/>
      <w:r w:rsidRPr="00340346">
        <w:rPr>
          <w:rFonts w:ascii="Arial" w:hAnsi="Arial" w:cs="Arial"/>
          <w:noProof/>
          <w:szCs w:val="24"/>
        </w:rPr>
        <w:lastRenderedPageBreak/>
        <w:t>Introduction</w:t>
      </w:r>
      <w:bookmarkEnd w:id="4"/>
    </w:p>
    <w:p w14:paraId="14A2143D" w14:textId="77777777" w:rsidR="001635CF" w:rsidRPr="00340346" w:rsidRDefault="001635CF" w:rsidP="00C80112">
      <w:pPr>
        <w:pStyle w:val="Paragraph"/>
        <w:rPr>
          <w:rFonts w:ascii="Arial" w:hAnsi="Arial" w:cs="Arial"/>
          <w:noProof/>
          <w:sz w:val="22"/>
        </w:rPr>
      </w:pPr>
      <w:bookmarkStart w:id="5" w:name="_Toc504744678"/>
      <w:r w:rsidRPr="00340346">
        <w:rPr>
          <w:rFonts w:ascii="Arial" w:hAnsi="Arial" w:cs="Arial"/>
          <w:noProof/>
          <w:sz w:val="22"/>
        </w:rPr>
        <w:t>This feasibility study is to assess the viability for the development of a financial strategy to support Argentinian companies in the implementation of renewable energy solutions, energy efficiency, and reduction of greenhouse gas emissions. The main objective of the proposed strategies is to stimulate the demand for “green” financing, and to help BICE’s positioning as the financial entity that articulates these efforts in Argentina.</w:t>
      </w:r>
      <w:bookmarkEnd w:id="5"/>
    </w:p>
    <w:p w14:paraId="28EF12B9" w14:textId="77777777" w:rsidR="001635CF" w:rsidRPr="00340346" w:rsidRDefault="001635CF" w:rsidP="00C80112">
      <w:pPr>
        <w:pStyle w:val="Paragraph"/>
        <w:rPr>
          <w:rFonts w:ascii="Arial" w:hAnsi="Arial" w:cs="Arial"/>
          <w:noProof/>
          <w:sz w:val="22"/>
        </w:rPr>
      </w:pPr>
      <w:bookmarkStart w:id="6" w:name="_Toc504744679"/>
      <w:r w:rsidRPr="00340346">
        <w:rPr>
          <w:rFonts w:ascii="Arial" w:hAnsi="Arial" w:cs="Arial"/>
          <w:noProof/>
          <w:sz w:val="22"/>
        </w:rPr>
        <w:t>The feasibility analysis included a bibliographic review of the principal studies, reports, and documents available on potential sustainable energies</w:t>
      </w:r>
      <w:r w:rsidRPr="00340346">
        <w:rPr>
          <w:rFonts w:ascii="Arial" w:hAnsi="Arial" w:cs="Arial"/>
          <w:noProof/>
          <w:sz w:val="22"/>
          <w:vertAlign w:val="superscript"/>
        </w:rPr>
        <w:footnoteReference w:id="1"/>
      </w:r>
      <w:r w:rsidRPr="00340346">
        <w:rPr>
          <w:rFonts w:ascii="Arial" w:hAnsi="Arial" w:cs="Arial"/>
          <w:noProof/>
          <w:sz w:val="22"/>
        </w:rPr>
        <w:t xml:space="preserve"> in different sectors in Argentina, including their current status, opportunities, and perspectives. In addition, interviews were carried out with experts, public actors and related suppliers of different investment opportunity areas with the objective of validating and gather additional information, as well as to identify investment opportunity areas not previously identified. </w:t>
      </w:r>
      <w:r w:rsidR="003E1CF4" w:rsidRPr="00340346">
        <w:rPr>
          <w:rFonts w:ascii="Arial" w:hAnsi="Arial" w:cs="Arial"/>
          <w:noProof/>
          <w:sz w:val="22"/>
        </w:rPr>
        <w:t xml:space="preserve">The </w:t>
      </w:r>
      <w:r w:rsidRPr="00340346">
        <w:rPr>
          <w:rFonts w:ascii="Arial" w:hAnsi="Arial" w:cs="Arial"/>
          <w:noProof/>
          <w:sz w:val="22"/>
        </w:rPr>
        <w:t>Annex of this report contains a list of the studies and information sources consulted.</w:t>
      </w:r>
      <w:bookmarkEnd w:id="6"/>
      <w:r w:rsidRPr="00340346">
        <w:rPr>
          <w:rFonts w:ascii="Arial" w:hAnsi="Arial" w:cs="Arial"/>
          <w:noProof/>
          <w:sz w:val="22"/>
        </w:rPr>
        <w:t xml:space="preserve">  </w:t>
      </w:r>
    </w:p>
    <w:p w14:paraId="534FD5CE" w14:textId="77777777" w:rsidR="001635CF" w:rsidRPr="00340346" w:rsidRDefault="001635CF" w:rsidP="00C80112">
      <w:pPr>
        <w:pStyle w:val="Paragraph"/>
        <w:rPr>
          <w:rFonts w:ascii="Arial" w:hAnsi="Arial" w:cs="Arial"/>
          <w:noProof/>
          <w:sz w:val="22"/>
        </w:rPr>
      </w:pPr>
      <w:bookmarkStart w:id="7" w:name="_Toc504744680"/>
      <w:r w:rsidRPr="00340346">
        <w:rPr>
          <w:rFonts w:ascii="Arial" w:hAnsi="Arial" w:cs="Arial"/>
          <w:noProof/>
          <w:sz w:val="22"/>
        </w:rPr>
        <w:t>Based on the information collected, an evaluation matrix was designed to evaluate the different opportunity areas based on different criteria. The information collected was fundamental to be able to identify the sustainable energy technologies and subsectors where potential business opportunities could be found for the BICE, as well as to gather statistical data that could help in evaluating the potential of different sustainable energy technologies and potential subsectors. Each criterion was assigned different weightings and an evaluation of each subsector was carried out, in order to get a global score that would allow establishing a hierarchical order of those sectors with greater potential to promote an investment program with the desired objectives and characteristics. Based on this evaluation, the opportunity areas were presented to BICE for it to decide on the priority opportunity areas. The evaluation criteria used to evaluate the opportunity areas are described below in Table 1.1.</w:t>
      </w:r>
      <w:bookmarkEnd w:id="7"/>
      <w:r w:rsidRPr="00340346">
        <w:rPr>
          <w:rFonts w:ascii="Arial" w:hAnsi="Arial" w:cs="Arial"/>
          <w:noProof/>
          <w:sz w:val="22"/>
        </w:rPr>
        <w:t xml:space="preserve"> </w:t>
      </w:r>
    </w:p>
    <w:p w14:paraId="38CA169B" w14:textId="77777777" w:rsidR="00071AF1" w:rsidRPr="00340346" w:rsidRDefault="00071AF1" w:rsidP="0087236D">
      <w:pPr>
        <w:spacing w:before="0" w:after="0" w:line="240" w:lineRule="auto"/>
        <w:jc w:val="center"/>
        <w:rPr>
          <w:rFonts w:ascii="Arial" w:hAnsi="Arial" w:cs="Arial"/>
          <w:b/>
          <w:noProof/>
          <w:sz w:val="22"/>
          <w:szCs w:val="22"/>
          <w:lang w:val="en-US"/>
        </w:rPr>
      </w:pPr>
      <w:bookmarkStart w:id="8" w:name="_Toc504670811"/>
      <w:r w:rsidRPr="00340346">
        <w:rPr>
          <w:rFonts w:ascii="Arial" w:hAnsi="Arial" w:cs="Arial"/>
          <w:b/>
          <w:noProof/>
          <w:sz w:val="22"/>
          <w:szCs w:val="22"/>
          <w:lang w:val="en-US"/>
        </w:rPr>
        <w:t>Table 1.1. Evaluation criteria</w:t>
      </w:r>
      <w:bookmarkEnd w:id="8"/>
    </w:p>
    <w:tbl>
      <w:tblPr>
        <w:tblStyle w:val="Listaclara-nfasis11"/>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3510"/>
        <w:gridCol w:w="3510"/>
      </w:tblGrid>
      <w:tr w:rsidR="00071AF1" w:rsidRPr="00340346" w14:paraId="020561D0" w14:textId="77777777" w:rsidTr="00810CDB">
        <w:trPr>
          <w:cnfStyle w:val="100000000000" w:firstRow="1" w:lastRow="0" w:firstColumn="0" w:lastColumn="0" w:oddVBand="0" w:evenVBand="0" w:oddHBand="0" w:evenHBand="0" w:firstRowFirstColumn="0" w:firstRowLastColumn="0" w:lastRowFirstColumn="0" w:lastRowLastColumn="0"/>
          <w:trHeight w:val="245"/>
          <w:tblHeader/>
        </w:trPr>
        <w:tc>
          <w:tcPr>
            <w:cnfStyle w:val="001000000000" w:firstRow="0" w:lastRow="0" w:firstColumn="1" w:lastColumn="0" w:oddVBand="0" w:evenVBand="0" w:oddHBand="0" w:evenHBand="0" w:firstRowFirstColumn="0" w:firstRowLastColumn="0" w:lastRowFirstColumn="0" w:lastRowLastColumn="0"/>
            <w:tcW w:w="2538" w:type="dxa"/>
            <w:noWrap/>
            <w:hideMark/>
          </w:tcPr>
          <w:p w14:paraId="3BD1F8D3" w14:textId="77777777" w:rsidR="00071AF1" w:rsidRPr="00340346" w:rsidRDefault="00071AF1" w:rsidP="00C80112">
            <w:pPr>
              <w:spacing w:before="0" w:after="0" w:line="240" w:lineRule="auto"/>
              <w:rPr>
                <w:rFonts w:ascii="Arial" w:eastAsia="MS ??" w:hAnsi="Arial" w:cs="Arial"/>
                <w:noProof/>
                <w:color w:val="auto"/>
                <w:sz w:val="20"/>
                <w:szCs w:val="20"/>
                <w:lang w:val="en-US"/>
              </w:rPr>
            </w:pPr>
            <w:bookmarkStart w:id="9" w:name="_Toc504670812"/>
            <w:r w:rsidRPr="00340346">
              <w:rPr>
                <w:rFonts w:ascii="Arial" w:eastAsia="MS ??" w:hAnsi="Arial" w:cs="Arial"/>
                <w:noProof/>
                <w:color w:val="auto"/>
                <w:sz w:val="20"/>
                <w:szCs w:val="20"/>
                <w:lang w:val="en-US"/>
              </w:rPr>
              <w:t>Technology</w:t>
            </w:r>
            <w:bookmarkEnd w:id="9"/>
            <w:r w:rsidRPr="00340346">
              <w:rPr>
                <w:rFonts w:ascii="Arial" w:eastAsia="MS ??" w:hAnsi="Arial" w:cs="Arial"/>
                <w:noProof/>
                <w:color w:val="auto"/>
                <w:sz w:val="20"/>
                <w:szCs w:val="20"/>
                <w:lang w:val="en-US"/>
              </w:rPr>
              <w:t xml:space="preserve"> </w:t>
            </w:r>
          </w:p>
        </w:tc>
        <w:tc>
          <w:tcPr>
            <w:tcW w:w="3510" w:type="dxa"/>
            <w:noWrap/>
            <w:hideMark/>
          </w:tcPr>
          <w:p w14:paraId="01437931" w14:textId="77777777" w:rsidR="00071AF1" w:rsidRPr="00340346" w:rsidRDefault="00D412E4" w:rsidP="00C80112">
            <w:pPr>
              <w:spacing w:before="0" w:after="0" w:line="240" w:lineRule="auto"/>
              <w:cnfStyle w:val="100000000000" w:firstRow="1" w:lastRow="0" w:firstColumn="0" w:lastColumn="0" w:oddVBand="0" w:evenVBand="0" w:oddHBand="0" w:evenHBand="0" w:firstRowFirstColumn="0" w:firstRowLastColumn="0" w:lastRowFirstColumn="0" w:lastRowLastColumn="0"/>
              <w:rPr>
                <w:rFonts w:ascii="Arial" w:eastAsia="MS ??" w:hAnsi="Arial" w:cs="Arial"/>
                <w:noProof/>
                <w:color w:val="auto"/>
                <w:sz w:val="20"/>
                <w:szCs w:val="20"/>
                <w:lang w:val="en-US"/>
              </w:rPr>
            </w:pPr>
            <w:bookmarkStart w:id="10" w:name="_Toc504670813"/>
            <w:r w:rsidRPr="00340346">
              <w:rPr>
                <w:rFonts w:ascii="Arial" w:eastAsia="MS ??" w:hAnsi="Arial" w:cs="Arial"/>
                <w:noProof/>
                <w:color w:val="auto"/>
                <w:sz w:val="20"/>
                <w:szCs w:val="20"/>
                <w:lang w:val="en-US"/>
              </w:rPr>
              <w:t>Borrower's interest</w:t>
            </w:r>
            <w:bookmarkEnd w:id="10"/>
            <w:r w:rsidRPr="00340346">
              <w:rPr>
                <w:rFonts w:ascii="Arial" w:eastAsia="MS ??" w:hAnsi="Arial" w:cs="Arial"/>
                <w:noProof/>
                <w:color w:val="auto"/>
                <w:sz w:val="20"/>
                <w:szCs w:val="20"/>
                <w:lang w:val="en-US"/>
              </w:rPr>
              <w:t xml:space="preserve"> </w:t>
            </w:r>
          </w:p>
        </w:tc>
        <w:tc>
          <w:tcPr>
            <w:tcW w:w="3510" w:type="dxa"/>
            <w:noWrap/>
            <w:hideMark/>
          </w:tcPr>
          <w:p w14:paraId="148D0BAB" w14:textId="77777777" w:rsidR="00071AF1" w:rsidRPr="00340346" w:rsidRDefault="00071AF1" w:rsidP="00C80112">
            <w:pPr>
              <w:spacing w:before="0" w:after="0" w:line="240" w:lineRule="auto"/>
              <w:cnfStyle w:val="100000000000" w:firstRow="1" w:lastRow="0" w:firstColumn="0" w:lastColumn="0" w:oddVBand="0" w:evenVBand="0" w:oddHBand="0" w:evenHBand="0" w:firstRowFirstColumn="0" w:firstRowLastColumn="0" w:lastRowFirstColumn="0" w:lastRowLastColumn="0"/>
              <w:rPr>
                <w:rFonts w:ascii="Arial" w:eastAsia="MS ??" w:hAnsi="Arial" w:cs="Arial"/>
                <w:noProof/>
                <w:color w:val="auto"/>
                <w:sz w:val="20"/>
                <w:szCs w:val="20"/>
                <w:lang w:val="en-US"/>
              </w:rPr>
            </w:pPr>
            <w:bookmarkStart w:id="11" w:name="_Toc504670814"/>
            <w:r w:rsidRPr="00340346">
              <w:rPr>
                <w:rFonts w:ascii="Arial" w:eastAsia="MS ??" w:hAnsi="Arial" w:cs="Arial"/>
                <w:noProof/>
                <w:color w:val="auto"/>
                <w:sz w:val="20"/>
                <w:szCs w:val="20"/>
                <w:lang w:val="en-US"/>
              </w:rPr>
              <w:t>Sector</w:t>
            </w:r>
            <w:bookmarkEnd w:id="11"/>
            <w:r w:rsidRPr="00340346">
              <w:rPr>
                <w:rFonts w:ascii="Arial" w:eastAsia="MS ??" w:hAnsi="Arial" w:cs="Arial"/>
                <w:noProof/>
                <w:color w:val="auto"/>
                <w:sz w:val="20"/>
                <w:szCs w:val="20"/>
                <w:lang w:val="en-US"/>
              </w:rPr>
              <w:t xml:space="preserve"> </w:t>
            </w:r>
          </w:p>
        </w:tc>
      </w:tr>
      <w:tr w:rsidR="00071AF1" w:rsidRPr="00BD21C6" w14:paraId="42E7864C" w14:textId="77777777" w:rsidTr="00192CC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38" w:type="dxa"/>
            <w:vMerge w:val="restart"/>
            <w:tcBorders>
              <w:top w:val="none" w:sz="0" w:space="0" w:color="auto"/>
              <w:left w:val="none" w:sz="0" w:space="0" w:color="auto"/>
              <w:bottom w:val="none" w:sz="0" w:space="0" w:color="auto"/>
            </w:tcBorders>
            <w:noWrap/>
            <w:hideMark/>
          </w:tcPr>
          <w:p w14:paraId="23861A81" w14:textId="77777777" w:rsidR="00071AF1" w:rsidRPr="00340346" w:rsidRDefault="00071AF1" w:rsidP="00C80112">
            <w:pPr>
              <w:spacing w:before="0" w:after="0" w:line="240" w:lineRule="auto"/>
              <w:jc w:val="left"/>
              <w:rPr>
                <w:rFonts w:ascii="Arial" w:eastAsia="MS ??" w:hAnsi="Arial" w:cs="Arial"/>
                <w:b w:val="0"/>
                <w:noProof/>
                <w:sz w:val="20"/>
                <w:szCs w:val="20"/>
                <w:lang w:val="en-US"/>
              </w:rPr>
            </w:pPr>
            <w:bookmarkStart w:id="12" w:name="_Toc504670815"/>
            <w:r w:rsidRPr="00340346">
              <w:rPr>
                <w:rFonts w:ascii="Arial" w:eastAsia="MS ??" w:hAnsi="Arial" w:cs="Arial"/>
                <w:b w:val="0"/>
                <w:noProof/>
                <w:sz w:val="20"/>
                <w:szCs w:val="20"/>
                <w:lang w:val="en-US"/>
              </w:rPr>
              <w:t>Client profitability</w:t>
            </w:r>
            <w:bookmarkEnd w:id="12"/>
          </w:p>
        </w:tc>
        <w:tc>
          <w:tcPr>
            <w:tcW w:w="3510" w:type="dxa"/>
            <w:vMerge w:val="restart"/>
            <w:tcBorders>
              <w:top w:val="none" w:sz="0" w:space="0" w:color="auto"/>
              <w:bottom w:val="none" w:sz="0" w:space="0" w:color="auto"/>
            </w:tcBorders>
            <w:noWrap/>
            <w:hideMark/>
          </w:tcPr>
          <w:p w14:paraId="6AB38FF5" w14:textId="77777777" w:rsidR="00071AF1" w:rsidRPr="00340346" w:rsidRDefault="00071AF1" w:rsidP="00C80112">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MS ??" w:hAnsi="Arial" w:cs="Arial"/>
                <w:noProof/>
                <w:sz w:val="20"/>
                <w:szCs w:val="20"/>
                <w:lang w:val="en-US"/>
              </w:rPr>
            </w:pPr>
            <w:bookmarkStart w:id="13" w:name="_Toc504670816"/>
            <w:r w:rsidRPr="00340346">
              <w:rPr>
                <w:rFonts w:ascii="Arial" w:hAnsi="Arial" w:cs="Arial"/>
                <w:noProof/>
                <w:sz w:val="20"/>
                <w:szCs w:val="20"/>
                <w:lang w:val="en-US"/>
              </w:rPr>
              <w:t>Presence of partnerships with</w:t>
            </w:r>
            <w:bookmarkEnd w:id="13"/>
          </w:p>
          <w:p w14:paraId="05A68EF9" w14:textId="77777777" w:rsidR="00071AF1" w:rsidRPr="00340346" w:rsidRDefault="00071AF1" w:rsidP="00C80112">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MS ??" w:hAnsi="Arial" w:cs="Arial"/>
                <w:noProof/>
                <w:sz w:val="20"/>
                <w:szCs w:val="20"/>
                <w:lang w:val="en-US"/>
              </w:rPr>
            </w:pPr>
            <w:bookmarkStart w:id="14" w:name="_Toc504670817"/>
            <w:r w:rsidRPr="00340346">
              <w:rPr>
                <w:rFonts w:ascii="Arial" w:hAnsi="Arial" w:cs="Arial"/>
                <w:noProof/>
                <w:sz w:val="20"/>
                <w:szCs w:val="20"/>
                <w:lang w:val="en-US"/>
              </w:rPr>
              <w:t>technology suppliers</w:t>
            </w:r>
            <w:bookmarkEnd w:id="14"/>
          </w:p>
        </w:tc>
        <w:tc>
          <w:tcPr>
            <w:tcW w:w="3510" w:type="dxa"/>
            <w:tcBorders>
              <w:top w:val="none" w:sz="0" w:space="0" w:color="auto"/>
              <w:bottom w:val="none" w:sz="0" w:space="0" w:color="auto"/>
              <w:right w:val="none" w:sz="0" w:space="0" w:color="auto"/>
            </w:tcBorders>
            <w:noWrap/>
            <w:hideMark/>
          </w:tcPr>
          <w:p w14:paraId="61C7A3E6" w14:textId="77777777" w:rsidR="00071AF1" w:rsidRPr="00340346" w:rsidRDefault="00071AF1" w:rsidP="00C80112">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MS ??" w:hAnsi="Arial" w:cs="Arial"/>
                <w:noProof/>
                <w:sz w:val="20"/>
                <w:szCs w:val="20"/>
                <w:lang w:val="en-US"/>
              </w:rPr>
            </w:pPr>
            <w:bookmarkStart w:id="15" w:name="_Toc504670818"/>
            <w:r w:rsidRPr="00340346">
              <w:rPr>
                <w:rFonts w:ascii="Arial" w:hAnsi="Arial" w:cs="Arial"/>
                <w:noProof/>
                <w:sz w:val="20"/>
                <w:szCs w:val="20"/>
                <w:lang w:val="en-US"/>
              </w:rPr>
              <w:t>Market size (number of companies)</w:t>
            </w:r>
            <w:bookmarkEnd w:id="15"/>
            <w:r w:rsidRPr="00340346">
              <w:rPr>
                <w:rFonts w:ascii="Arial" w:hAnsi="Arial" w:cs="Arial"/>
                <w:noProof/>
                <w:sz w:val="20"/>
                <w:szCs w:val="20"/>
                <w:lang w:val="en-US"/>
              </w:rPr>
              <w:t xml:space="preserve"> </w:t>
            </w:r>
          </w:p>
        </w:tc>
      </w:tr>
      <w:tr w:rsidR="00071AF1" w:rsidRPr="00340346" w14:paraId="64C3BDD2" w14:textId="77777777" w:rsidTr="00192CC2">
        <w:trPr>
          <w:trHeight w:val="300"/>
        </w:trPr>
        <w:tc>
          <w:tcPr>
            <w:cnfStyle w:val="001000000000" w:firstRow="0" w:lastRow="0" w:firstColumn="1" w:lastColumn="0" w:oddVBand="0" w:evenVBand="0" w:oddHBand="0" w:evenHBand="0" w:firstRowFirstColumn="0" w:firstRowLastColumn="0" w:lastRowFirstColumn="0" w:lastRowLastColumn="0"/>
            <w:tcW w:w="2538" w:type="dxa"/>
            <w:vMerge/>
            <w:hideMark/>
          </w:tcPr>
          <w:p w14:paraId="4717DFFC" w14:textId="77777777" w:rsidR="00071AF1" w:rsidRPr="00340346" w:rsidRDefault="00071AF1" w:rsidP="00C80112">
            <w:pPr>
              <w:spacing w:before="0" w:after="0" w:line="240" w:lineRule="auto"/>
              <w:jc w:val="left"/>
              <w:rPr>
                <w:rFonts w:ascii="Arial" w:eastAsia="MS ??" w:hAnsi="Arial" w:cs="Arial"/>
                <w:b w:val="0"/>
                <w:noProof/>
                <w:sz w:val="20"/>
                <w:szCs w:val="20"/>
                <w:lang w:val="en-US"/>
              </w:rPr>
            </w:pPr>
          </w:p>
        </w:tc>
        <w:tc>
          <w:tcPr>
            <w:tcW w:w="3510" w:type="dxa"/>
            <w:vMerge/>
            <w:hideMark/>
          </w:tcPr>
          <w:p w14:paraId="79F8A03C" w14:textId="77777777" w:rsidR="00071AF1" w:rsidRPr="00340346" w:rsidRDefault="00071AF1" w:rsidP="00C80112">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Arial" w:eastAsia="MS ??" w:hAnsi="Arial" w:cs="Arial"/>
                <w:noProof/>
                <w:sz w:val="20"/>
                <w:szCs w:val="20"/>
                <w:lang w:val="en-US"/>
              </w:rPr>
            </w:pPr>
          </w:p>
        </w:tc>
        <w:tc>
          <w:tcPr>
            <w:tcW w:w="3510" w:type="dxa"/>
            <w:noWrap/>
            <w:hideMark/>
          </w:tcPr>
          <w:p w14:paraId="522807E5" w14:textId="77777777" w:rsidR="00071AF1" w:rsidRPr="00340346" w:rsidRDefault="00071AF1" w:rsidP="00C80112">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Arial" w:eastAsia="MS ??" w:hAnsi="Arial" w:cs="Arial"/>
                <w:noProof/>
                <w:sz w:val="20"/>
                <w:szCs w:val="20"/>
                <w:lang w:val="en-US"/>
              </w:rPr>
            </w:pPr>
            <w:bookmarkStart w:id="16" w:name="_Toc504670819"/>
            <w:r w:rsidRPr="00340346">
              <w:rPr>
                <w:rFonts w:ascii="Arial" w:eastAsia="MS ??" w:hAnsi="Arial" w:cs="Arial"/>
                <w:noProof/>
                <w:sz w:val="20"/>
                <w:szCs w:val="20"/>
                <w:lang w:val="en-US"/>
              </w:rPr>
              <w:t>Energy intensity</w:t>
            </w:r>
            <w:bookmarkEnd w:id="16"/>
            <w:r w:rsidRPr="00340346">
              <w:rPr>
                <w:rFonts w:ascii="Arial" w:eastAsia="MS ??" w:hAnsi="Arial" w:cs="Arial"/>
                <w:noProof/>
                <w:sz w:val="20"/>
                <w:szCs w:val="20"/>
                <w:lang w:val="en-US"/>
              </w:rPr>
              <w:t xml:space="preserve"> </w:t>
            </w:r>
          </w:p>
        </w:tc>
      </w:tr>
      <w:tr w:rsidR="00071AF1" w:rsidRPr="00340346" w14:paraId="0B3488C2" w14:textId="77777777" w:rsidTr="00192CC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538" w:type="dxa"/>
            <w:vMerge w:val="restart"/>
            <w:tcBorders>
              <w:top w:val="none" w:sz="0" w:space="0" w:color="auto"/>
              <w:left w:val="none" w:sz="0" w:space="0" w:color="auto"/>
              <w:bottom w:val="none" w:sz="0" w:space="0" w:color="auto"/>
            </w:tcBorders>
            <w:noWrap/>
            <w:hideMark/>
          </w:tcPr>
          <w:p w14:paraId="44561521" w14:textId="77777777" w:rsidR="00071AF1" w:rsidRPr="00340346" w:rsidRDefault="00071AF1" w:rsidP="00C80112">
            <w:pPr>
              <w:spacing w:before="0" w:after="0" w:line="240" w:lineRule="auto"/>
              <w:jc w:val="left"/>
              <w:rPr>
                <w:rFonts w:ascii="Arial" w:eastAsia="MS ??" w:hAnsi="Arial" w:cs="Arial"/>
                <w:b w:val="0"/>
                <w:noProof/>
                <w:sz w:val="20"/>
                <w:szCs w:val="20"/>
                <w:lang w:val="en-US"/>
              </w:rPr>
            </w:pPr>
            <w:bookmarkStart w:id="17" w:name="_Toc504670820"/>
            <w:r w:rsidRPr="00340346">
              <w:rPr>
                <w:rFonts w:ascii="Arial" w:hAnsi="Arial" w:cs="Arial"/>
                <w:noProof/>
                <w:sz w:val="20"/>
                <w:szCs w:val="20"/>
                <w:lang w:val="en-US"/>
              </w:rPr>
              <w:t>Availability of long-</w:t>
            </w:r>
            <w:bookmarkEnd w:id="17"/>
            <w:r w:rsidRPr="00340346">
              <w:rPr>
                <w:rFonts w:ascii="Arial" w:hAnsi="Arial" w:cs="Arial"/>
                <w:noProof/>
                <w:sz w:val="20"/>
                <w:szCs w:val="20"/>
                <w:lang w:val="en-US"/>
              </w:rPr>
              <w:t xml:space="preserve"> </w:t>
            </w:r>
          </w:p>
          <w:p w14:paraId="357565C9" w14:textId="77777777" w:rsidR="00071AF1" w:rsidRPr="00340346" w:rsidRDefault="00071AF1" w:rsidP="00C80112">
            <w:pPr>
              <w:spacing w:before="0" w:after="0" w:line="240" w:lineRule="auto"/>
              <w:jc w:val="left"/>
              <w:rPr>
                <w:rFonts w:ascii="Arial" w:eastAsia="MS ??" w:hAnsi="Arial" w:cs="Arial"/>
                <w:b w:val="0"/>
                <w:noProof/>
                <w:sz w:val="20"/>
                <w:szCs w:val="20"/>
                <w:lang w:val="en-US"/>
              </w:rPr>
            </w:pPr>
            <w:bookmarkStart w:id="18" w:name="_Toc504670821"/>
            <w:r w:rsidRPr="00340346">
              <w:rPr>
                <w:rFonts w:ascii="Arial" w:hAnsi="Arial" w:cs="Arial"/>
                <w:noProof/>
                <w:sz w:val="20"/>
                <w:szCs w:val="20"/>
                <w:lang w:val="en-US"/>
              </w:rPr>
              <w:t>established suppliers</w:t>
            </w:r>
            <w:bookmarkEnd w:id="18"/>
          </w:p>
        </w:tc>
        <w:tc>
          <w:tcPr>
            <w:tcW w:w="3510" w:type="dxa"/>
            <w:vMerge w:val="restart"/>
            <w:tcBorders>
              <w:top w:val="none" w:sz="0" w:space="0" w:color="auto"/>
              <w:bottom w:val="none" w:sz="0" w:space="0" w:color="auto"/>
            </w:tcBorders>
            <w:hideMark/>
          </w:tcPr>
          <w:p w14:paraId="73CE9ED7" w14:textId="77777777" w:rsidR="00071AF1" w:rsidRPr="00340346" w:rsidRDefault="00071AF1" w:rsidP="00C80112">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MS ??" w:hAnsi="Arial" w:cs="Arial"/>
                <w:noProof/>
                <w:sz w:val="20"/>
                <w:szCs w:val="20"/>
                <w:lang w:val="en-US"/>
              </w:rPr>
            </w:pPr>
            <w:bookmarkStart w:id="19" w:name="_Toc504670822"/>
            <w:r w:rsidRPr="00340346">
              <w:rPr>
                <w:rFonts w:ascii="Arial" w:hAnsi="Arial" w:cs="Arial"/>
                <w:noProof/>
                <w:sz w:val="20"/>
                <w:szCs w:val="20"/>
                <w:lang w:val="en-US"/>
              </w:rPr>
              <w:t>Simplicity of implementation (possibility of standardization)</w:t>
            </w:r>
            <w:bookmarkEnd w:id="19"/>
          </w:p>
        </w:tc>
        <w:tc>
          <w:tcPr>
            <w:tcW w:w="3510" w:type="dxa"/>
            <w:tcBorders>
              <w:top w:val="none" w:sz="0" w:space="0" w:color="auto"/>
              <w:bottom w:val="none" w:sz="0" w:space="0" w:color="auto"/>
              <w:right w:val="none" w:sz="0" w:space="0" w:color="auto"/>
            </w:tcBorders>
            <w:noWrap/>
            <w:hideMark/>
          </w:tcPr>
          <w:p w14:paraId="58B0A19A" w14:textId="77777777" w:rsidR="00071AF1" w:rsidRPr="00340346" w:rsidRDefault="00071AF1" w:rsidP="00C80112">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MS ??" w:hAnsi="Arial" w:cs="Arial"/>
                <w:noProof/>
                <w:sz w:val="20"/>
                <w:szCs w:val="20"/>
                <w:lang w:val="en-US"/>
              </w:rPr>
            </w:pPr>
            <w:bookmarkStart w:id="20" w:name="_Toc504670823"/>
            <w:r w:rsidRPr="00340346">
              <w:rPr>
                <w:rFonts w:ascii="Arial" w:eastAsia="MS ??" w:hAnsi="Arial" w:cs="Arial"/>
                <w:noProof/>
                <w:sz w:val="20"/>
                <w:szCs w:val="20"/>
                <w:lang w:val="en-US"/>
              </w:rPr>
              <w:t>Potential sector growth</w:t>
            </w:r>
            <w:bookmarkEnd w:id="20"/>
          </w:p>
        </w:tc>
      </w:tr>
      <w:tr w:rsidR="00071AF1" w:rsidRPr="00BD21C6" w14:paraId="4E09BF44" w14:textId="77777777" w:rsidTr="00192CC2">
        <w:trPr>
          <w:trHeight w:val="300"/>
        </w:trPr>
        <w:tc>
          <w:tcPr>
            <w:cnfStyle w:val="001000000000" w:firstRow="0" w:lastRow="0" w:firstColumn="1" w:lastColumn="0" w:oddVBand="0" w:evenVBand="0" w:oddHBand="0" w:evenHBand="0" w:firstRowFirstColumn="0" w:firstRowLastColumn="0" w:lastRowFirstColumn="0" w:lastRowLastColumn="0"/>
            <w:tcW w:w="2538" w:type="dxa"/>
            <w:vMerge/>
            <w:hideMark/>
          </w:tcPr>
          <w:p w14:paraId="796F3EF5" w14:textId="77777777" w:rsidR="00071AF1" w:rsidRPr="00340346" w:rsidRDefault="00071AF1" w:rsidP="00C80112">
            <w:pPr>
              <w:spacing w:before="0" w:after="0" w:line="240" w:lineRule="auto"/>
              <w:jc w:val="left"/>
              <w:rPr>
                <w:rFonts w:ascii="Arial" w:eastAsia="MS ??" w:hAnsi="Arial" w:cs="Arial"/>
                <w:b w:val="0"/>
                <w:noProof/>
                <w:sz w:val="20"/>
                <w:szCs w:val="20"/>
                <w:lang w:val="en-US"/>
              </w:rPr>
            </w:pPr>
          </w:p>
        </w:tc>
        <w:tc>
          <w:tcPr>
            <w:tcW w:w="3510" w:type="dxa"/>
            <w:vMerge/>
            <w:hideMark/>
          </w:tcPr>
          <w:p w14:paraId="3BCF3DF5" w14:textId="77777777" w:rsidR="00071AF1" w:rsidRPr="00340346" w:rsidRDefault="00071AF1" w:rsidP="00C80112">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Arial" w:eastAsia="MS ??" w:hAnsi="Arial" w:cs="Arial"/>
                <w:noProof/>
                <w:sz w:val="20"/>
                <w:szCs w:val="20"/>
                <w:lang w:val="en-US"/>
              </w:rPr>
            </w:pPr>
          </w:p>
        </w:tc>
        <w:tc>
          <w:tcPr>
            <w:tcW w:w="3510" w:type="dxa"/>
            <w:noWrap/>
            <w:hideMark/>
          </w:tcPr>
          <w:p w14:paraId="1888AAB6" w14:textId="77777777" w:rsidR="00071AF1" w:rsidRPr="00340346" w:rsidRDefault="00071AF1" w:rsidP="00C80112">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Arial" w:eastAsia="MS ??" w:hAnsi="Arial" w:cs="Arial"/>
                <w:noProof/>
                <w:sz w:val="20"/>
                <w:szCs w:val="20"/>
                <w:lang w:val="en-US"/>
              </w:rPr>
            </w:pPr>
            <w:bookmarkStart w:id="21" w:name="_Toc504670824"/>
            <w:r w:rsidRPr="00340346">
              <w:rPr>
                <w:rFonts w:ascii="Arial" w:hAnsi="Arial" w:cs="Arial"/>
                <w:noProof/>
                <w:sz w:val="20"/>
                <w:szCs w:val="20"/>
                <w:lang w:val="en-US"/>
              </w:rPr>
              <w:t>Easiness of engaging clients/investors</w:t>
            </w:r>
            <w:bookmarkEnd w:id="21"/>
            <w:r w:rsidRPr="00340346">
              <w:rPr>
                <w:rFonts w:ascii="Arial" w:hAnsi="Arial" w:cs="Arial"/>
                <w:noProof/>
                <w:sz w:val="20"/>
                <w:szCs w:val="20"/>
                <w:lang w:val="en-US"/>
              </w:rPr>
              <w:t xml:space="preserve"> </w:t>
            </w:r>
          </w:p>
        </w:tc>
      </w:tr>
      <w:tr w:rsidR="00071AF1" w:rsidRPr="00BD21C6" w14:paraId="37050F24" w14:textId="77777777" w:rsidTr="00192CC2">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38" w:type="dxa"/>
            <w:vMerge/>
            <w:tcBorders>
              <w:top w:val="none" w:sz="0" w:space="0" w:color="auto"/>
              <w:left w:val="none" w:sz="0" w:space="0" w:color="auto"/>
              <w:bottom w:val="none" w:sz="0" w:space="0" w:color="auto"/>
            </w:tcBorders>
            <w:hideMark/>
          </w:tcPr>
          <w:p w14:paraId="66FB618D" w14:textId="77777777" w:rsidR="00071AF1" w:rsidRPr="00340346" w:rsidRDefault="00071AF1" w:rsidP="00C80112">
            <w:pPr>
              <w:spacing w:before="0" w:after="0" w:line="240" w:lineRule="auto"/>
              <w:jc w:val="left"/>
              <w:rPr>
                <w:rFonts w:ascii="Arial" w:eastAsia="MS ??" w:hAnsi="Arial" w:cs="Arial"/>
                <w:b w:val="0"/>
                <w:noProof/>
                <w:sz w:val="20"/>
                <w:szCs w:val="20"/>
                <w:lang w:val="en-US"/>
              </w:rPr>
            </w:pPr>
          </w:p>
        </w:tc>
        <w:tc>
          <w:tcPr>
            <w:tcW w:w="3510" w:type="dxa"/>
            <w:vMerge/>
            <w:tcBorders>
              <w:top w:val="none" w:sz="0" w:space="0" w:color="auto"/>
              <w:bottom w:val="none" w:sz="0" w:space="0" w:color="auto"/>
            </w:tcBorders>
            <w:hideMark/>
          </w:tcPr>
          <w:p w14:paraId="54DA53DC" w14:textId="77777777" w:rsidR="00071AF1" w:rsidRPr="00340346" w:rsidRDefault="00071AF1" w:rsidP="00C80112">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MS ??" w:hAnsi="Arial" w:cs="Arial"/>
                <w:noProof/>
                <w:sz w:val="20"/>
                <w:szCs w:val="20"/>
                <w:lang w:val="en-US"/>
              </w:rPr>
            </w:pPr>
          </w:p>
        </w:tc>
        <w:tc>
          <w:tcPr>
            <w:tcW w:w="3510" w:type="dxa"/>
            <w:tcBorders>
              <w:top w:val="none" w:sz="0" w:space="0" w:color="auto"/>
              <w:bottom w:val="none" w:sz="0" w:space="0" w:color="auto"/>
              <w:right w:val="none" w:sz="0" w:space="0" w:color="auto"/>
            </w:tcBorders>
            <w:noWrap/>
            <w:hideMark/>
          </w:tcPr>
          <w:p w14:paraId="56CFFF81" w14:textId="77777777" w:rsidR="00F11E04" w:rsidRPr="00340346" w:rsidRDefault="00071AF1" w:rsidP="00C80112">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MS ??" w:hAnsi="Arial" w:cs="Arial"/>
                <w:noProof/>
                <w:sz w:val="20"/>
                <w:szCs w:val="20"/>
                <w:lang w:val="en-US"/>
              </w:rPr>
            </w:pPr>
            <w:bookmarkStart w:id="22" w:name="_Toc504670825"/>
            <w:r w:rsidRPr="00340346">
              <w:rPr>
                <w:rFonts w:ascii="Arial" w:hAnsi="Arial" w:cs="Arial"/>
                <w:noProof/>
                <w:sz w:val="20"/>
                <w:szCs w:val="20"/>
                <w:lang w:val="en-US"/>
              </w:rPr>
              <w:t>Existence of support po</w:t>
            </w:r>
            <w:r w:rsidR="00F11E04" w:rsidRPr="00340346">
              <w:rPr>
                <w:rFonts w:ascii="Arial" w:hAnsi="Arial" w:cs="Arial"/>
                <w:noProof/>
                <w:sz w:val="20"/>
                <w:szCs w:val="20"/>
                <w:lang w:val="en-US"/>
              </w:rPr>
              <w:t>licies (+) or</w:t>
            </w:r>
            <w:bookmarkEnd w:id="22"/>
          </w:p>
          <w:p w14:paraId="0489D6E0" w14:textId="77777777" w:rsidR="00071AF1" w:rsidRPr="00340346" w:rsidRDefault="00071AF1" w:rsidP="00C80112">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MS ??" w:hAnsi="Arial" w:cs="Arial"/>
                <w:noProof/>
                <w:sz w:val="20"/>
                <w:szCs w:val="20"/>
                <w:lang w:val="en-US"/>
              </w:rPr>
            </w:pPr>
            <w:bookmarkStart w:id="23" w:name="_Toc504670826"/>
            <w:r w:rsidRPr="00340346">
              <w:rPr>
                <w:rFonts w:ascii="Arial" w:hAnsi="Arial" w:cs="Arial"/>
                <w:noProof/>
                <w:sz w:val="20"/>
                <w:szCs w:val="20"/>
                <w:lang w:val="en-US"/>
              </w:rPr>
              <w:t>subsidies (-) to the subsector</w:t>
            </w:r>
            <w:bookmarkEnd w:id="23"/>
            <w:r w:rsidRPr="00340346">
              <w:rPr>
                <w:rFonts w:ascii="Arial" w:hAnsi="Arial" w:cs="Arial"/>
                <w:noProof/>
                <w:sz w:val="20"/>
                <w:szCs w:val="20"/>
                <w:lang w:val="en-US"/>
              </w:rPr>
              <w:t xml:space="preserve"> </w:t>
            </w:r>
          </w:p>
        </w:tc>
      </w:tr>
      <w:tr w:rsidR="00071AF1" w:rsidRPr="00BD21C6" w14:paraId="26C68D7C" w14:textId="77777777" w:rsidTr="00192CC2">
        <w:trPr>
          <w:trHeight w:val="600"/>
        </w:trPr>
        <w:tc>
          <w:tcPr>
            <w:cnfStyle w:val="001000000000" w:firstRow="0" w:lastRow="0" w:firstColumn="1" w:lastColumn="0" w:oddVBand="0" w:evenVBand="0" w:oddHBand="0" w:evenHBand="0" w:firstRowFirstColumn="0" w:firstRowLastColumn="0" w:lastRowFirstColumn="0" w:lastRowLastColumn="0"/>
            <w:tcW w:w="2538" w:type="dxa"/>
            <w:vMerge w:val="restart"/>
            <w:noWrap/>
            <w:hideMark/>
          </w:tcPr>
          <w:p w14:paraId="5822A1A8" w14:textId="77777777" w:rsidR="00071AF1" w:rsidRPr="00340346" w:rsidRDefault="00071AF1" w:rsidP="00C80112">
            <w:pPr>
              <w:spacing w:before="0" w:after="0" w:line="240" w:lineRule="auto"/>
              <w:jc w:val="left"/>
              <w:rPr>
                <w:rFonts w:ascii="Arial" w:eastAsia="MS ??" w:hAnsi="Arial" w:cs="Arial"/>
                <w:b w:val="0"/>
                <w:noProof/>
                <w:sz w:val="20"/>
                <w:szCs w:val="20"/>
                <w:lang w:val="en-US"/>
              </w:rPr>
            </w:pPr>
            <w:bookmarkStart w:id="24" w:name="_Toc504670827"/>
            <w:r w:rsidRPr="00340346">
              <w:rPr>
                <w:rFonts w:ascii="Arial" w:hAnsi="Arial" w:cs="Arial"/>
                <w:noProof/>
                <w:sz w:val="20"/>
                <w:szCs w:val="20"/>
                <w:lang w:val="en-US"/>
              </w:rPr>
              <w:t>Availability of incentives or policies that support the technological implementation</w:t>
            </w:r>
            <w:bookmarkEnd w:id="24"/>
          </w:p>
        </w:tc>
        <w:tc>
          <w:tcPr>
            <w:tcW w:w="3510" w:type="dxa"/>
            <w:vMerge w:val="restart"/>
            <w:hideMark/>
          </w:tcPr>
          <w:p w14:paraId="43A0921B" w14:textId="77777777" w:rsidR="00071AF1" w:rsidRPr="00340346" w:rsidRDefault="00071AF1" w:rsidP="00C80112">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Arial" w:eastAsia="MS ??" w:hAnsi="Arial" w:cs="Arial"/>
                <w:noProof/>
                <w:sz w:val="20"/>
                <w:szCs w:val="20"/>
                <w:lang w:val="en-US"/>
              </w:rPr>
            </w:pPr>
            <w:bookmarkStart w:id="25" w:name="_Toc504670828"/>
            <w:r w:rsidRPr="00340346">
              <w:rPr>
                <w:rFonts w:ascii="Arial" w:hAnsi="Arial" w:cs="Arial"/>
                <w:noProof/>
                <w:sz w:val="20"/>
                <w:szCs w:val="20"/>
                <w:lang w:val="en-US"/>
              </w:rPr>
              <w:t>Real current demand for the technology</w:t>
            </w:r>
            <w:bookmarkEnd w:id="25"/>
          </w:p>
        </w:tc>
        <w:tc>
          <w:tcPr>
            <w:tcW w:w="3510" w:type="dxa"/>
            <w:noWrap/>
            <w:hideMark/>
          </w:tcPr>
          <w:p w14:paraId="0211FB1E" w14:textId="77777777" w:rsidR="00F11E04" w:rsidRPr="00340346" w:rsidRDefault="00071AF1" w:rsidP="00C80112">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Arial" w:eastAsia="MS ??" w:hAnsi="Arial" w:cs="Arial"/>
                <w:noProof/>
                <w:sz w:val="20"/>
                <w:szCs w:val="20"/>
                <w:lang w:val="en-US"/>
              </w:rPr>
            </w:pPr>
            <w:bookmarkStart w:id="26" w:name="_Toc504670829"/>
            <w:r w:rsidRPr="00340346">
              <w:rPr>
                <w:rFonts w:ascii="Arial" w:hAnsi="Arial" w:cs="Arial"/>
                <w:noProof/>
                <w:sz w:val="20"/>
                <w:szCs w:val="20"/>
                <w:lang w:val="en-US"/>
              </w:rPr>
              <w:t>Existence of partnerships/associations</w:t>
            </w:r>
            <w:bookmarkEnd w:id="26"/>
            <w:r w:rsidRPr="00340346">
              <w:rPr>
                <w:rFonts w:ascii="Arial" w:hAnsi="Arial" w:cs="Arial"/>
                <w:noProof/>
                <w:sz w:val="20"/>
                <w:szCs w:val="20"/>
                <w:lang w:val="en-US"/>
              </w:rPr>
              <w:t xml:space="preserve"> </w:t>
            </w:r>
          </w:p>
          <w:p w14:paraId="06DB5132" w14:textId="77777777" w:rsidR="00071AF1" w:rsidRPr="00340346" w:rsidRDefault="00071AF1" w:rsidP="00C80112">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Arial" w:eastAsia="MS ??" w:hAnsi="Arial" w:cs="Arial"/>
                <w:noProof/>
                <w:sz w:val="20"/>
                <w:szCs w:val="20"/>
                <w:lang w:val="en-US"/>
              </w:rPr>
            </w:pPr>
            <w:bookmarkStart w:id="27" w:name="_Toc504670830"/>
            <w:r w:rsidRPr="00340346">
              <w:rPr>
                <w:rFonts w:ascii="Arial" w:hAnsi="Arial" w:cs="Arial"/>
                <w:noProof/>
                <w:sz w:val="20"/>
                <w:szCs w:val="20"/>
                <w:lang w:val="en-US"/>
              </w:rPr>
              <w:t>grouping the sector/subsector</w:t>
            </w:r>
            <w:bookmarkEnd w:id="27"/>
            <w:r w:rsidRPr="00340346">
              <w:rPr>
                <w:rFonts w:ascii="Arial" w:hAnsi="Arial" w:cs="Arial"/>
                <w:noProof/>
                <w:sz w:val="20"/>
                <w:szCs w:val="20"/>
                <w:lang w:val="en-US"/>
              </w:rPr>
              <w:t xml:space="preserve"> </w:t>
            </w:r>
          </w:p>
        </w:tc>
      </w:tr>
      <w:tr w:rsidR="00071AF1" w:rsidRPr="00BD21C6" w14:paraId="7CD29895" w14:textId="77777777" w:rsidTr="00810CDB">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2538" w:type="dxa"/>
            <w:vMerge/>
            <w:tcBorders>
              <w:top w:val="none" w:sz="0" w:space="0" w:color="auto"/>
              <w:left w:val="none" w:sz="0" w:space="0" w:color="auto"/>
              <w:bottom w:val="none" w:sz="0" w:space="0" w:color="auto"/>
            </w:tcBorders>
            <w:hideMark/>
          </w:tcPr>
          <w:p w14:paraId="2A2E9FDC" w14:textId="77777777" w:rsidR="00071AF1" w:rsidRPr="00340346" w:rsidRDefault="00071AF1" w:rsidP="00C80112">
            <w:pPr>
              <w:spacing w:before="0" w:after="0" w:line="240" w:lineRule="auto"/>
              <w:jc w:val="left"/>
              <w:rPr>
                <w:rFonts w:ascii="Arial" w:eastAsia="MS ??" w:hAnsi="Arial" w:cs="Arial"/>
                <w:b w:val="0"/>
                <w:noProof/>
                <w:sz w:val="20"/>
                <w:szCs w:val="20"/>
                <w:lang w:val="en-US"/>
              </w:rPr>
            </w:pPr>
          </w:p>
        </w:tc>
        <w:tc>
          <w:tcPr>
            <w:tcW w:w="3510" w:type="dxa"/>
            <w:vMerge/>
            <w:tcBorders>
              <w:top w:val="none" w:sz="0" w:space="0" w:color="auto"/>
              <w:bottom w:val="none" w:sz="0" w:space="0" w:color="auto"/>
            </w:tcBorders>
            <w:hideMark/>
          </w:tcPr>
          <w:p w14:paraId="59B79300" w14:textId="77777777" w:rsidR="00071AF1" w:rsidRPr="00340346" w:rsidRDefault="00071AF1" w:rsidP="00C80112">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MS ??" w:hAnsi="Arial" w:cs="Arial"/>
                <w:noProof/>
                <w:sz w:val="20"/>
                <w:szCs w:val="20"/>
                <w:lang w:val="en-US"/>
              </w:rPr>
            </w:pPr>
          </w:p>
        </w:tc>
        <w:tc>
          <w:tcPr>
            <w:tcW w:w="3510" w:type="dxa"/>
            <w:tcBorders>
              <w:top w:val="none" w:sz="0" w:space="0" w:color="auto"/>
              <w:bottom w:val="none" w:sz="0" w:space="0" w:color="auto"/>
              <w:right w:val="none" w:sz="0" w:space="0" w:color="auto"/>
            </w:tcBorders>
            <w:hideMark/>
          </w:tcPr>
          <w:p w14:paraId="728F418C" w14:textId="77777777" w:rsidR="00071AF1" w:rsidRPr="00340346" w:rsidRDefault="00071AF1" w:rsidP="00810CDB">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MS ??" w:hAnsi="Arial" w:cs="Arial"/>
                <w:noProof/>
                <w:sz w:val="20"/>
                <w:szCs w:val="20"/>
                <w:lang w:val="en-US"/>
              </w:rPr>
            </w:pPr>
            <w:bookmarkStart w:id="28" w:name="_Toc504670831"/>
            <w:r w:rsidRPr="00340346">
              <w:rPr>
                <w:rFonts w:ascii="Arial" w:eastAsia="MS ??" w:hAnsi="Arial" w:cs="Arial"/>
                <w:noProof/>
                <w:sz w:val="20"/>
                <w:szCs w:val="20"/>
                <w:lang w:val="en-US"/>
              </w:rPr>
              <w:t>Interest of</w:t>
            </w:r>
            <w:r w:rsidR="00F11E04" w:rsidRPr="00340346">
              <w:rPr>
                <w:rFonts w:ascii="Arial" w:eastAsia="MS ??" w:hAnsi="Arial" w:cs="Arial"/>
                <w:noProof/>
                <w:sz w:val="20"/>
                <w:szCs w:val="20"/>
                <w:lang w:val="en-US"/>
              </w:rPr>
              <w:t xml:space="preserve"> financial intermediaries (FIs)</w:t>
            </w:r>
            <w:bookmarkEnd w:id="28"/>
            <w:r w:rsidR="00810CDB" w:rsidRPr="00340346">
              <w:rPr>
                <w:rFonts w:ascii="Arial" w:eastAsia="MS ??" w:hAnsi="Arial" w:cs="Arial"/>
                <w:noProof/>
                <w:sz w:val="20"/>
                <w:szCs w:val="20"/>
                <w:lang w:val="en-US"/>
              </w:rPr>
              <w:t xml:space="preserve"> </w:t>
            </w:r>
            <w:bookmarkStart w:id="29" w:name="_Toc504670832"/>
            <w:r w:rsidRPr="00340346">
              <w:rPr>
                <w:rFonts w:ascii="Arial" w:eastAsia="MS ??" w:hAnsi="Arial" w:cs="Arial"/>
                <w:noProof/>
                <w:sz w:val="20"/>
                <w:szCs w:val="20"/>
                <w:lang w:val="en-US"/>
              </w:rPr>
              <w:t>in the subsector</w:t>
            </w:r>
            <w:bookmarkEnd w:id="29"/>
            <w:r w:rsidRPr="00340346">
              <w:rPr>
                <w:rFonts w:ascii="Arial" w:eastAsia="MS ??" w:hAnsi="Arial" w:cs="Arial"/>
                <w:noProof/>
                <w:sz w:val="20"/>
                <w:szCs w:val="20"/>
                <w:lang w:val="en-US"/>
              </w:rPr>
              <w:t xml:space="preserve"> </w:t>
            </w:r>
          </w:p>
        </w:tc>
      </w:tr>
      <w:tr w:rsidR="00071AF1" w:rsidRPr="00340346" w14:paraId="70B5D1A3" w14:textId="77777777" w:rsidTr="00192CC2">
        <w:trPr>
          <w:trHeight w:val="300"/>
        </w:trPr>
        <w:tc>
          <w:tcPr>
            <w:cnfStyle w:val="001000000000" w:firstRow="0" w:lastRow="0" w:firstColumn="1" w:lastColumn="0" w:oddVBand="0" w:evenVBand="0" w:oddHBand="0" w:evenHBand="0" w:firstRowFirstColumn="0" w:firstRowLastColumn="0" w:lastRowFirstColumn="0" w:lastRowLastColumn="0"/>
            <w:tcW w:w="2538" w:type="dxa"/>
            <w:vMerge w:val="restart"/>
            <w:noWrap/>
            <w:hideMark/>
          </w:tcPr>
          <w:p w14:paraId="36348EBB" w14:textId="77777777" w:rsidR="00071AF1" w:rsidRPr="00340346" w:rsidRDefault="00071AF1" w:rsidP="00C80112">
            <w:pPr>
              <w:spacing w:before="0" w:after="0" w:line="240" w:lineRule="auto"/>
              <w:jc w:val="left"/>
              <w:rPr>
                <w:rFonts w:ascii="Arial" w:eastAsia="MS ??" w:hAnsi="Arial" w:cs="Arial"/>
                <w:b w:val="0"/>
                <w:noProof/>
                <w:sz w:val="20"/>
                <w:szCs w:val="20"/>
                <w:lang w:val="en-US"/>
              </w:rPr>
            </w:pPr>
            <w:bookmarkStart w:id="30" w:name="_Toc504670833"/>
            <w:r w:rsidRPr="00340346">
              <w:rPr>
                <w:rFonts w:ascii="Arial" w:hAnsi="Arial" w:cs="Arial"/>
                <w:noProof/>
                <w:sz w:val="20"/>
                <w:szCs w:val="20"/>
                <w:lang w:val="en-US"/>
              </w:rPr>
              <w:t>Potential to reduce GHG emissions</w:t>
            </w:r>
            <w:bookmarkEnd w:id="30"/>
          </w:p>
        </w:tc>
        <w:tc>
          <w:tcPr>
            <w:tcW w:w="3510" w:type="dxa"/>
            <w:vMerge w:val="restart"/>
            <w:noWrap/>
            <w:hideMark/>
          </w:tcPr>
          <w:p w14:paraId="1954667D" w14:textId="77777777" w:rsidR="00071AF1" w:rsidRPr="00340346" w:rsidRDefault="00071AF1" w:rsidP="00C80112">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Arial" w:eastAsia="MS ??" w:hAnsi="Arial" w:cs="Arial"/>
                <w:noProof/>
                <w:sz w:val="20"/>
                <w:szCs w:val="20"/>
                <w:lang w:val="en-US"/>
              </w:rPr>
            </w:pPr>
            <w:bookmarkStart w:id="31" w:name="_Toc504670834"/>
            <w:r w:rsidRPr="00340346">
              <w:rPr>
                <w:rFonts w:ascii="Arial" w:hAnsi="Arial" w:cs="Arial"/>
                <w:noProof/>
                <w:sz w:val="20"/>
                <w:szCs w:val="20"/>
                <w:lang w:val="en-US"/>
              </w:rPr>
              <w:t>Impact of the solution on operating costs structure</w:t>
            </w:r>
            <w:bookmarkEnd w:id="31"/>
          </w:p>
        </w:tc>
        <w:tc>
          <w:tcPr>
            <w:tcW w:w="3510" w:type="dxa"/>
            <w:noWrap/>
            <w:hideMark/>
          </w:tcPr>
          <w:p w14:paraId="55EC98FC" w14:textId="77777777" w:rsidR="00071AF1" w:rsidRPr="00340346" w:rsidRDefault="00071AF1" w:rsidP="00C80112">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Arial" w:eastAsia="MS ??" w:hAnsi="Arial" w:cs="Arial"/>
                <w:noProof/>
                <w:sz w:val="20"/>
                <w:szCs w:val="20"/>
                <w:lang w:val="en-US"/>
              </w:rPr>
            </w:pPr>
            <w:bookmarkStart w:id="32" w:name="_Toc504670835"/>
            <w:r w:rsidRPr="00340346">
              <w:rPr>
                <w:rFonts w:ascii="Arial" w:eastAsia="MS ??" w:hAnsi="Arial" w:cs="Arial"/>
                <w:noProof/>
                <w:sz w:val="20"/>
                <w:szCs w:val="20"/>
                <w:lang w:val="en-US"/>
              </w:rPr>
              <w:t>BICE priority</w:t>
            </w:r>
            <w:bookmarkEnd w:id="32"/>
            <w:r w:rsidRPr="00340346">
              <w:rPr>
                <w:rFonts w:ascii="Arial" w:eastAsia="MS ??" w:hAnsi="Arial" w:cs="Arial"/>
                <w:noProof/>
                <w:sz w:val="20"/>
                <w:szCs w:val="20"/>
                <w:lang w:val="en-US"/>
              </w:rPr>
              <w:t xml:space="preserve"> </w:t>
            </w:r>
          </w:p>
        </w:tc>
      </w:tr>
      <w:tr w:rsidR="00071AF1" w:rsidRPr="00BD21C6" w14:paraId="46B82469" w14:textId="77777777" w:rsidTr="00192CC2">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38" w:type="dxa"/>
            <w:vMerge/>
            <w:tcBorders>
              <w:top w:val="none" w:sz="0" w:space="0" w:color="auto"/>
              <w:left w:val="none" w:sz="0" w:space="0" w:color="auto"/>
              <w:bottom w:val="none" w:sz="0" w:space="0" w:color="auto"/>
            </w:tcBorders>
            <w:hideMark/>
          </w:tcPr>
          <w:p w14:paraId="0A384F1B" w14:textId="77777777" w:rsidR="00071AF1" w:rsidRPr="00340346" w:rsidRDefault="00071AF1" w:rsidP="00C80112">
            <w:pPr>
              <w:spacing w:before="0" w:after="0" w:line="240" w:lineRule="auto"/>
              <w:jc w:val="left"/>
              <w:rPr>
                <w:rFonts w:ascii="Arial" w:eastAsia="MS ??" w:hAnsi="Arial" w:cs="Arial"/>
                <w:b w:val="0"/>
                <w:noProof/>
                <w:sz w:val="20"/>
                <w:szCs w:val="20"/>
                <w:lang w:val="en-US"/>
              </w:rPr>
            </w:pPr>
          </w:p>
        </w:tc>
        <w:tc>
          <w:tcPr>
            <w:tcW w:w="3510" w:type="dxa"/>
            <w:vMerge/>
            <w:tcBorders>
              <w:top w:val="none" w:sz="0" w:space="0" w:color="auto"/>
              <w:bottom w:val="none" w:sz="0" w:space="0" w:color="auto"/>
            </w:tcBorders>
            <w:hideMark/>
          </w:tcPr>
          <w:p w14:paraId="2D3F8013" w14:textId="77777777" w:rsidR="00071AF1" w:rsidRPr="00340346" w:rsidRDefault="00071AF1" w:rsidP="00C80112">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MS ??" w:hAnsi="Arial" w:cs="Arial"/>
                <w:noProof/>
                <w:sz w:val="20"/>
                <w:szCs w:val="20"/>
                <w:lang w:val="en-US"/>
              </w:rPr>
            </w:pPr>
          </w:p>
        </w:tc>
        <w:tc>
          <w:tcPr>
            <w:tcW w:w="3510" w:type="dxa"/>
            <w:tcBorders>
              <w:top w:val="none" w:sz="0" w:space="0" w:color="auto"/>
              <w:bottom w:val="none" w:sz="0" w:space="0" w:color="auto"/>
              <w:right w:val="none" w:sz="0" w:space="0" w:color="auto"/>
            </w:tcBorders>
            <w:noWrap/>
            <w:hideMark/>
          </w:tcPr>
          <w:p w14:paraId="78211464" w14:textId="77777777" w:rsidR="00F11E04" w:rsidRPr="00340346" w:rsidRDefault="00071AF1" w:rsidP="00C80112">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MS ??" w:hAnsi="Arial" w:cs="Arial"/>
                <w:noProof/>
                <w:sz w:val="20"/>
                <w:szCs w:val="20"/>
                <w:lang w:val="en-US"/>
              </w:rPr>
            </w:pPr>
            <w:bookmarkStart w:id="33" w:name="_Toc504670836"/>
            <w:r w:rsidRPr="00340346">
              <w:rPr>
                <w:rFonts w:ascii="Arial" w:hAnsi="Arial" w:cs="Arial"/>
                <w:noProof/>
                <w:sz w:val="20"/>
                <w:szCs w:val="20"/>
                <w:lang w:val="en-US"/>
              </w:rPr>
              <w:t>BICE competitiveness in the</w:t>
            </w:r>
            <w:bookmarkEnd w:id="33"/>
            <w:r w:rsidRPr="00340346">
              <w:rPr>
                <w:rFonts w:ascii="Arial" w:hAnsi="Arial" w:cs="Arial"/>
                <w:noProof/>
                <w:sz w:val="20"/>
                <w:szCs w:val="20"/>
                <w:lang w:val="en-US"/>
              </w:rPr>
              <w:t xml:space="preserve"> </w:t>
            </w:r>
          </w:p>
          <w:p w14:paraId="28184913" w14:textId="77777777" w:rsidR="00071AF1" w:rsidRPr="00340346" w:rsidRDefault="00F11E04" w:rsidP="00C80112">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Arial" w:eastAsia="MS ??" w:hAnsi="Arial" w:cs="Arial"/>
                <w:noProof/>
                <w:sz w:val="20"/>
                <w:szCs w:val="20"/>
                <w:lang w:val="en-US"/>
              </w:rPr>
            </w:pPr>
            <w:bookmarkStart w:id="34" w:name="_Toc504670837"/>
            <w:r w:rsidRPr="00340346">
              <w:rPr>
                <w:rFonts w:ascii="Arial" w:hAnsi="Arial" w:cs="Arial"/>
                <w:noProof/>
                <w:sz w:val="20"/>
                <w:szCs w:val="20"/>
                <w:lang w:val="en-US"/>
              </w:rPr>
              <w:t>s</w:t>
            </w:r>
            <w:r w:rsidR="00071AF1" w:rsidRPr="00340346">
              <w:rPr>
                <w:rFonts w:ascii="Arial" w:hAnsi="Arial" w:cs="Arial"/>
                <w:noProof/>
                <w:sz w:val="20"/>
                <w:szCs w:val="20"/>
                <w:lang w:val="en-US"/>
              </w:rPr>
              <w:t>ector</w:t>
            </w:r>
            <w:r w:rsidRPr="00340346">
              <w:rPr>
                <w:rFonts w:ascii="Arial" w:hAnsi="Arial" w:cs="Arial"/>
                <w:noProof/>
                <w:sz w:val="20"/>
                <w:szCs w:val="20"/>
                <w:lang w:val="en-US"/>
              </w:rPr>
              <w:t xml:space="preserve"> </w:t>
            </w:r>
            <w:r w:rsidR="00071AF1" w:rsidRPr="00340346">
              <w:rPr>
                <w:rFonts w:ascii="Arial" w:hAnsi="Arial" w:cs="Arial"/>
                <w:noProof/>
                <w:sz w:val="20"/>
                <w:szCs w:val="20"/>
                <w:lang w:val="en-US"/>
              </w:rPr>
              <w:t>/</w:t>
            </w:r>
            <w:r w:rsidRPr="00340346">
              <w:rPr>
                <w:rFonts w:ascii="Arial" w:hAnsi="Arial" w:cs="Arial"/>
                <w:noProof/>
                <w:sz w:val="20"/>
                <w:szCs w:val="20"/>
                <w:lang w:val="en-US"/>
              </w:rPr>
              <w:t xml:space="preserve"> </w:t>
            </w:r>
            <w:r w:rsidR="00071AF1" w:rsidRPr="00340346">
              <w:rPr>
                <w:rFonts w:ascii="Arial" w:hAnsi="Arial" w:cs="Arial"/>
                <w:noProof/>
                <w:sz w:val="20"/>
                <w:szCs w:val="20"/>
                <w:lang w:val="en-US"/>
              </w:rPr>
              <w:t xml:space="preserve">subsector </w:t>
            </w:r>
            <w:bookmarkEnd w:id="34"/>
          </w:p>
        </w:tc>
      </w:tr>
    </w:tbl>
    <w:p w14:paraId="2159A710" w14:textId="77777777" w:rsidR="00B00CE0" w:rsidRPr="00340346" w:rsidRDefault="00D412E4" w:rsidP="00C80112">
      <w:pPr>
        <w:pStyle w:val="Paragraph"/>
        <w:rPr>
          <w:rFonts w:ascii="Arial" w:hAnsi="Arial" w:cs="Arial"/>
          <w:noProof/>
          <w:sz w:val="22"/>
        </w:rPr>
      </w:pPr>
      <w:bookmarkStart w:id="35" w:name="_Toc504670838"/>
      <w:bookmarkStart w:id="36" w:name="_Toc504744681"/>
      <w:r w:rsidRPr="00340346">
        <w:rPr>
          <w:rFonts w:ascii="Arial" w:hAnsi="Arial" w:cs="Arial"/>
          <w:noProof/>
          <w:sz w:val="22"/>
        </w:rPr>
        <w:lastRenderedPageBreak/>
        <w:t xml:space="preserve">Each opportunity was evaluated vis-a-vis the criteria previously described and each criterion was assigned a value from 1 to 5, with 1 representing the lowest and 5 the highest value. Said value was multiplied by the weighting assigned to each criterion. The assessment of each criterion was made based on the information collected from secondary information sources, the interviews carried out and in a qualitative manner based on the experience of the consulting team. The opportunities with a total higher score were submitted for consideration to the BICE to be prioritized. The strategies described in Section </w:t>
      </w:r>
      <w:r w:rsidR="00192CC2" w:rsidRPr="00340346">
        <w:rPr>
          <w:rFonts w:ascii="Arial" w:hAnsi="Arial" w:cs="Arial"/>
          <w:noProof/>
          <w:sz w:val="22"/>
        </w:rPr>
        <w:t>IV</w:t>
      </w:r>
      <w:r w:rsidRPr="00340346">
        <w:rPr>
          <w:rFonts w:ascii="Arial" w:hAnsi="Arial" w:cs="Arial"/>
          <w:noProof/>
          <w:sz w:val="22"/>
        </w:rPr>
        <w:t xml:space="preserve"> refer to the opportunities with the best assessment. The following tables show a summary of the results of the evaluation of the technologies and the subsectors. Table 1.2 provides the results of the technology evaluation matrix The complete evaluation </w:t>
      </w:r>
      <w:r w:rsidRPr="00340346">
        <w:rPr>
          <w:rFonts w:ascii="Arial" w:eastAsia="MS ??" w:hAnsi="Arial" w:cs="Arial"/>
          <w:noProof/>
          <w:sz w:val="22"/>
          <w:lang w:eastAsia="de-DE"/>
        </w:rPr>
        <w:t xml:space="preserve">matrix appears in </w:t>
      </w:r>
      <w:r w:rsidR="003E1CF4" w:rsidRPr="00340346">
        <w:rPr>
          <w:rFonts w:ascii="Arial" w:eastAsia="MS ??" w:hAnsi="Arial" w:cs="Arial"/>
          <w:noProof/>
          <w:sz w:val="22"/>
          <w:lang w:eastAsia="de-DE"/>
        </w:rPr>
        <w:t xml:space="preserve">the </w:t>
      </w:r>
      <w:r w:rsidRPr="00340346">
        <w:rPr>
          <w:rFonts w:ascii="Arial" w:eastAsia="MS ??" w:hAnsi="Arial" w:cs="Arial"/>
          <w:noProof/>
          <w:sz w:val="22"/>
          <w:lang w:eastAsia="de-DE"/>
        </w:rPr>
        <w:t xml:space="preserve">Annex </w:t>
      </w:r>
      <w:r w:rsidR="003E1CF4" w:rsidRPr="00340346">
        <w:rPr>
          <w:rFonts w:ascii="Arial" w:eastAsia="MS ??" w:hAnsi="Arial" w:cs="Arial"/>
          <w:noProof/>
          <w:sz w:val="22"/>
          <w:lang w:eastAsia="de-DE"/>
        </w:rPr>
        <w:t xml:space="preserve">to </w:t>
      </w:r>
      <w:r w:rsidRPr="00340346">
        <w:rPr>
          <w:rFonts w:ascii="Arial" w:eastAsia="MS ??" w:hAnsi="Arial" w:cs="Arial"/>
          <w:noProof/>
          <w:sz w:val="22"/>
          <w:lang w:eastAsia="de-DE"/>
        </w:rPr>
        <w:t>this report.</w:t>
      </w:r>
      <w:bookmarkStart w:id="37" w:name="_Toc504669658"/>
      <w:bookmarkStart w:id="38" w:name="_Toc504669930"/>
      <w:bookmarkStart w:id="39" w:name="_Toc504670202"/>
      <w:bookmarkStart w:id="40" w:name="_Toc504670571"/>
      <w:bookmarkStart w:id="41" w:name="_Toc504670839"/>
      <w:bookmarkStart w:id="42" w:name="_Toc504744682"/>
      <w:bookmarkStart w:id="43" w:name="_Toc504669659"/>
      <w:bookmarkStart w:id="44" w:name="_Toc504669931"/>
      <w:bookmarkStart w:id="45" w:name="_Toc504670203"/>
      <w:bookmarkStart w:id="46" w:name="_Toc504670572"/>
      <w:bookmarkStart w:id="47" w:name="_Toc504670840"/>
      <w:bookmarkStart w:id="48" w:name="_Toc504744683"/>
      <w:bookmarkStart w:id="49" w:name="_Toc504669660"/>
      <w:bookmarkStart w:id="50" w:name="_Toc504669932"/>
      <w:bookmarkStart w:id="51" w:name="_Toc504670204"/>
      <w:bookmarkStart w:id="52" w:name="_Toc504670573"/>
      <w:bookmarkStart w:id="53" w:name="_Toc504670841"/>
      <w:bookmarkStart w:id="54" w:name="_Toc504744684"/>
      <w:bookmarkStart w:id="55" w:name="_Toc504669661"/>
      <w:bookmarkStart w:id="56" w:name="_Toc504669933"/>
      <w:bookmarkStart w:id="57" w:name="_Toc504670205"/>
      <w:bookmarkStart w:id="58" w:name="_Toc504670574"/>
      <w:bookmarkStart w:id="59" w:name="_Toc504670842"/>
      <w:bookmarkStart w:id="60" w:name="_Toc504744685"/>
      <w:bookmarkStart w:id="61" w:name="_Toc504669662"/>
      <w:bookmarkStart w:id="62" w:name="_Toc504669934"/>
      <w:bookmarkStart w:id="63" w:name="_Toc504670206"/>
      <w:bookmarkStart w:id="64" w:name="_Toc504670575"/>
      <w:bookmarkStart w:id="65" w:name="_Toc504670843"/>
      <w:bookmarkStart w:id="66" w:name="_Toc504744686"/>
      <w:bookmarkStart w:id="67" w:name="_Toc504669663"/>
      <w:bookmarkStart w:id="68" w:name="_Toc504669935"/>
      <w:bookmarkStart w:id="69" w:name="_Toc504670207"/>
      <w:bookmarkStart w:id="70" w:name="_Toc504670576"/>
      <w:bookmarkStart w:id="71" w:name="_Toc504670844"/>
      <w:bookmarkStart w:id="72" w:name="_Toc504744687"/>
      <w:bookmarkStart w:id="73" w:name="_Toc504669664"/>
      <w:bookmarkStart w:id="74" w:name="_Toc504669936"/>
      <w:bookmarkStart w:id="75" w:name="_Toc504670208"/>
      <w:bookmarkStart w:id="76" w:name="_Toc504670577"/>
      <w:bookmarkStart w:id="77" w:name="_Toc504670845"/>
      <w:bookmarkStart w:id="78" w:name="_Toc504744688"/>
      <w:bookmarkStart w:id="79" w:name="_Toc504669675"/>
      <w:bookmarkStart w:id="80" w:name="_Toc504669947"/>
      <w:bookmarkStart w:id="81" w:name="_Toc504670219"/>
      <w:bookmarkStart w:id="82" w:name="_Toc504670588"/>
      <w:bookmarkStart w:id="83" w:name="_Toc504670856"/>
      <w:bookmarkStart w:id="84" w:name="_Toc504744699"/>
      <w:bookmarkStart w:id="85" w:name="_Toc504669684"/>
      <w:bookmarkStart w:id="86" w:name="_Toc504669956"/>
      <w:bookmarkStart w:id="87" w:name="_Toc504670228"/>
      <w:bookmarkStart w:id="88" w:name="_Toc504670597"/>
      <w:bookmarkStart w:id="89" w:name="_Toc504670865"/>
      <w:bookmarkStart w:id="90" w:name="_Toc504744708"/>
      <w:bookmarkStart w:id="91" w:name="_Toc504670866"/>
      <w:bookmarkStart w:id="92" w:name="_Toc50474470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076ADF44" w14:textId="77777777" w:rsidR="007239B2" w:rsidRPr="00340346" w:rsidRDefault="00D412E4" w:rsidP="00C80112">
      <w:pPr>
        <w:spacing w:before="0" w:after="0" w:line="240" w:lineRule="auto"/>
        <w:jc w:val="center"/>
        <w:rPr>
          <w:rFonts w:ascii="Arial" w:hAnsi="Arial" w:cs="Arial"/>
          <w:b/>
          <w:noProof/>
          <w:sz w:val="20"/>
          <w:szCs w:val="20"/>
          <w:lang w:val="en-US"/>
        </w:rPr>
      </w:pPr>
      <w:bookmarkStart w:id="93" w:name="_Toc504670867"/>
      <w:r w:rsidRPr="00340346">
        <w:rPr>
          <w:rFonts w:ascii="Arial" w:hAnsi="Arial" w:cs="Arial"/>
          <w:b/>
          <w:noProof/>
          <w:sz w:val="20"/>
          <w:szCs w:val="20"/>
          <w:lang w:val="en-US"/>
        </w:rPr>
        <w:t>Table 1.2. Technology Evaluation</w:t>
      </w:r>
      <w:bookmarkEnd w:id="93"/>
      <w:r w:rsidRPr="00340346">
        <w:rPr>
          <w:rFonts w:ascii="Arial" w:hAnsi="Arial" w:cs="Arial"/>
          <w:b/>
          <w:noProof/>
          <w:sz w:val="20"/>
          <w:szCs w:val="20"/>
          <w:lang w:val="en-US"/>
        </w:rPr>
        <w:t xml:space="preserve"> </w:t>
      </w:r>
    </w:p>
    <w:tbl>
      <w:tblPr>
        <w:tblStyle w:val="Listaclara-nfasis11"/>
        <w:tblW w:w="9547" w:type="dxa"/>
        <w:jc w:val="center"/>
        <w:tblBorders>
          <w:insideH w:val="single" w:sz="8" w:space="0" w:color="4F81BD"/>
          <w:insideV w:val="single" w:sz="8" w:space="0" w:color="4F81BD"/>
        </w:tblBorders>
        <w:tblLook w:val="0720" w:firstRow="1" w:lastRow="0" w:firstColumn="0" w:lastColumn="1" w:noHBand="1" w:noVBand="1"/>
      </w:tblPr>
      <w:tblGrid>
        <w:gridCol w:w="2153"/>
        <w:gridCol w:w="3221"/>
        <w:gridCol w:w="2673"/>
        <w:gridCol w:w="1500"/>
      </w:tblGrid>
      <w:tr w:rsidR="00614483" w:rsidRPr="00340346" w14:paraId="27741BD5" w14:textId="77777777" w:rsidTr="0087236D">
        <w:trPr>
          <w:cnfStyle w:val="100000000000" w:firstRow="1" w:lastRow="0" w:firstColumn="0" w:lastColumn="0" w:oddVBand="0" w:evenVBand="0" w:oddHBand="0" w:evenHBand="0" w:firstRowFirstColumn="0" w:firstRowLastColumn="0" w:lastRowFirstColumn="0" w:lastRowLastColumn="0"/>
          <w:trHeight w:val="400"/>
          <w:tblHeader/>
          <w:jc w:val="center"/>
        </w:trPr>
        <w:tc>
          <w:tcPr>
            <w:tcW w:w="2153" w:type="dxa"/>
            <w:hideMark/>
          </w:tcPr>
          <w:p w14:paraId="2A03EE00"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color w:val="auto"/>
                <w:sz w:val="20"/>
                <w:szCs w:val="20"/>
                <w:lang w:val="en-US"/>
              </w:rPr>
              <w:t>Technology</w:t>
            </w:r>
          </w:p>
        </w:tc>
        <w:tc>
          <w:tcPr>
            <w:tcW w:w="3221" w:type="dxa"/>
            <w:hideMark/>
          </w:tcPr>
          <w:p w14:paraId="73CE359C"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color w:val="auto"/>
                <w:sz w:val="20"/>
                <w:szCs w:val="20"/>
                <w:lang w:val="en-US"/>
              </w:rPr>
              <w:t>Sectors</w:t>
            </w:r>
          </w:p>
        </w:tc>
        <w:tc>
          <w:tcPr>
            <w:tcW w:w="2673" w:type="dxa"/>
            <w:hideMark/>
          </w:tcPr>
          <w:p w14:paraId="48EBAA0B"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color w:val="auto"/>
                <w:sz w:val="20"/>
                <w:szCs w:val="20"/>
                <w:lang w:val="en-US"/>
              </w:rPr>
              <w:t>Description</w:t>
            </w:r>
          </w:p>
        </w:tc>
        <w:tc>
          <w:tcPr>
            <w:cnfStyle w:val="000100000000" w:firstRow="0" w:lastRow="0" w:firstColumn="0" w:lastColumn="1" w:oddVBand="0" w:evenVBand="0" w:oddHBand="0" w:evenHBand="0" w:firstRowFirstColumn="0" w:firstRowLastColumn="0" w:lastRowFirstColumn="0" w:lastRowLastColumn="0"/>
            <w:tcW w:w="1500" w:type="dxa"/>
            <w:hideMark/>
          </w:tcPr>
          <w:p w14:paraId="13E731F4"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color w:val="auto"/>
                <w:sz w:val="20"/>
                <w:szCs w:val="20"/>
                <w:lang w:val="en-US"/>
              </w:rPr>
              <w:t>Total</w:t>
            </w:r>
          </w:p>
        </w:tc>
      </w:tr>
      <w:tr w:rsidR="00614483" w:rsidRPr="00340346" w14:paraId="51E81545" w14:textId="77777777" w:rsidTr="0087236D">
        <w:trPr>
          <w:trHeight w:val="560"/>
          <w:jc w:val="center"/>
        </w:trPr>
        <w:tc>
          <w:tcPr>
            <w:tcW w:w="2153" w:type="dxa"/>
            <w:hideMark/>
          </w:tcPr>
          <w:p w14:paraId="2C5C8B14"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Biogas Plants</w:t>
            </w:r>
          </w:p>
        </w:tc>
        <w:tc>
          <w:tcPr>
            <w:tcW w:w="3221" w:type="dxa"/>
            <w:hideMark/>
          </w:tcPr>
          <w:p w14:paraId="755049CA"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Agroindustrial Sector (e.g., pig farmers, food processing)</w:t>
            </w:r>
          </w:p>
        </w:tc>
        <w:tc>
          <w:tcPr>
            <w:tcW w:w="2673" w:type="dxa"/>
            <w:hideMark/>
          </w:tcPr>
          <w:p w14:paraId="242BCE2F"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Sale of the Network</w:t>
            </w:r>
            <w:r w:rsidRPr="00340346">
              <w:rPr>
                <w:rFonts w:ascii="Arial" w:eastAsia="MS ??" w:hAnsi="Arial" w:cs="Arial"/>
                <w:noProof/>
                <w:sz w:val="20"/>
                <w:szCs w:val="20"/>
                <w:lang w:val="en-US"/>
              </w:rPr>
              <w:br/>
              <w:t>Self-consumption</w:t>
            </w:r>
          </w:p>
        </w:tc>
        <w:tc>
          <w:tcPr>
            <w:cnfStyle w:val="000100000000" w:firstRow="0" w:lastRow="0" w:firstColumn="0" w:lastColumn="1" w:oddVBand="0" w:evenVBand="0" w:oddHBand="0" w:evenHBand="0" w:firstRowFirstColumn="0" w:firstRowLastColumn="0" w:lastRowFirstColumn="0" w:lastRowLastColumn="0"/>
            <w:tcW w:w="1500" w:type="dxa"/>
            <w:hideMark/>
          </w:tcPr>
          <w:p w14:paraId="3F91A808"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85%</w:t>
            </w:r>
          </w:p>
        </w:tc>
      </w:tr>
      <w:tr w:rsidR="00614483" w:rsidRPr="00340346" w14:paraId="3411422D" w14:textId="77777777" w:rsidTr="0087236D">
        <w:trPr>
          <w:trHeight w:val="840"/>
          <w:jc w:val="center"/>
        </w:trPr>
        <w:tc>
          <w:tcPr>
            <w:tcW w:w="2153" w:type="dxa"/>
            <w:hideMark/>
          </w:tcPr>
          <w:p w14:paraId="4F84D427"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Biomass Plants</w:t>
            </w:r>
          </w:p>
        </w:tc>
        <w:tc>
          <w:tcPr>
            <w:tcW w:w="3221" w:type="dxa"/>
            <w:hideMark/>
          </w:tcPr>
          <w:p w14:paraId="35CBBF13"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Agroindustrial Sector (e.g., food processing) and Industry (e.g., paper, timber).</w:t>
            </w:r>
          </w:p>
        </w:tc>
        <w:tc>
          <w:tcPr>
            <w:tcW w:w="2673" w:type="dxa"/>
            <w:hideMark/>
          </w:tcPr>
          <w:p w14:paraId="646E0CC0"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Sale of the Network</w:t>
            </w:r>
            <w:r w:rsidRPr="00340346">
              <w:rPr>
                <w:rFonts w:ascii="Arial" w:eastAsia="MS ??" w:hAnsi="Arial" w:cs="Arial"/>
                <w:noProof/>
                <w:sz w:val="20"/>
                <w:szCs w:val="20"/>
                <w:lang w:val="en-US"/>
              </w:rPr>
              <w:br/>
              <w:t>Self-consumption</w:t>
            </w:r>
          </w:p>
        </w:tc>
        <w:tc>
          <w:tcPr>
            <w:cnfStyle w:val="000100000000" w:firstRow="0" w:lastRow="0" w:firstColumn="0" w:lastColumn="1" w:oddVBand="0" w:evenVBand="0" w:oddHBand="0" w:evenHBand="0" w:firstRowFirstColumn="0" w:firstRowLastColumn="0" w:lastRowFirstColumn="0" w:lastRowLastColumn="0"/>
            <w:tcW w:w="1500" w:type="dxa"/>
            <w:hideMark/>
          </w:tcPr>
          <w:p w14:paraId="6CEBFB36"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73%</w:t>
            </w:r>
          </w:p>
        </w:tc>
      </w:tr>
      <w:tr w:rsidR="00614483" w:rsidRPr="00340346" w14:paraId="33F56097" w14:textId="77777777" w:rsidTr="0087236D">
        <w:trPr>
          <w:trHeight w:val="283"/>
          <w:jc w:val="center"/>
        </w:trPr>
        <w:tc>
          <w:tcPr>
            <w:tcW w:w="2153" w:type="dxa"/>
            <w:vMerge w:val="restart"/>
            <w:hideMark/>
          </w:tcPr>
          <w:p w14:paraId="1524800F"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Thermal Solar Systems (TSS)</w:t>
            </w:r>
          </w:p>
        </w:tc>
        <w:tc>
          <w:tcPr>
            <w:tcW w:w="3221" w:type="dxa"/>
            <w:hideMark/>
          </w:tcPr>
          <w:p w14:paraId="34516C68"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Commercial</w:t>
            </w:r>
          </w:p>
        </w:tc>
        <w:tc>
          <w:tcPr>
            <w:tcW w:w="2673" w:type="dxa"/>
            <w:hideMark/>
          </w:tcPr>
          <w:p w14:paraId="32B8AB06"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Complement to the current water heating system</w:t>
            </w:r>
          </w:p>
        </w:tc>
        <w:tc>
          <w:tcPr>
            <w:cnfStyle w:val="000100000000" w:firstRow="0" w:lastRow="0" w:firstColumn="0" w:lastColumn="1" w:oddVBand="0" w:evenVBand="0" w:oddHBand="0" w:evenHBand="0" w:firstRowFirstColumn="0" w:firstRowLastColumn="0" w:lastRowFirstColumn="0" w:lastRowLastColumn="0"/>
            <w:tcW w:w="1500" w:type="dxa"/>
            <w:hideMark/>
          </w:tcPr>
          <w:p w14:paraId="7185C577"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72%</w:t>
            </w:r>
          </w:p>
        </w:tc>
      </w:tr>
      <w:tr w:rsidR="00614483" w:rsidRPr="00340346" w14:paraId="74AFC26E" w14:textId="77777777" w:rsidTr="0087236D">
        <w:trPr>
          <w:trHeight w:val="283"/>
          <w:jc w:val="center"/>
        </w:trPr>
        <w:tc>
          <w:tcPr>
            <w:tcW w:w="2153" w:type="dxa"/>
            <w:vMerge/>
          </w:tcPr>
          <w:p w14:paraId="67874C28" w14:textId="77777777" w:rsidR="00614483" w:rsidRPr="00340346" w:rsidRDefault="00614483" w:rsidP="00C80112">
            <w:pPr>
              <w:spacing w:before="0" w:after="0" w:line="240" w:lineRule="auto"/>
              <w:jc w:val="left"/>
              <w:rPr>
                <w:rFonts w:ascii="Arial" w:hAnsi="Arial" w:cs="Arial"/>
                <w:noProof/>
                <w:sz w:val="20"/>
                <w:szCs w:val="20"/>
                <w:lang w:val="en-US"/>
              </w:rPr>
            </w:pPr>
          </w:p>
        </w:tc>
        <w:tc>
          <w:tcPr>
            <w:tcW w:w="3221" w:type="dxa"/>
            <w:hideMark/>
          </w:tcPr>
          <w:p w14:paraId="4C81896D"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Industrial</w:t>
            </w:r>
          </w:p>
        </w:tc>
        <w:tc>
          <w:tcPr>
            <w:tcW w:w="2673" w:type="dxa"/>
            <w:hideMark/>
          </w:tcPr>
          <w:p w14:paraId="2081EDD8"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Complement to the current water heating system</w:t>
            </w:r>
          </w:p>
        </w:tc>
        <w:tc>
          <w:tcPr>
            <w:cnfStyle w:val="000100000000" w:firstRow="0" w:lastRow="0" w:firstColumn="0" w:lastColumn="1" w:oddVBand="0" w:evenVBand="0" w:oddHBand="0" w:evenHBand="0" w:firstRowFirstColumn="0" w:firstRowLastColumn="0" w:lastRowFirstColumn="0" w:lastRowLastColumn="0"/>
            <w:tcW w:w="1500" w:type="dxa"/>
            <w:hideMark/>
          </w:tcPr>
          <w:p w14:paraId="338E49BE"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72%</w:t>
            </w:r>
          </w:p>
        </w:tc>
      </w:tr>
      <w:tr w:rsidR="00614483" w:rsidRPr="00340346" w14:paraId="79AA1919" w14:textId="77777777" w:rsidTr="0087236D">
        <w:trPr>
          <w:trHeight w:val="560"/>
          <w:jc w:val="center"/>
        </w:trPr>
        <w:tc>
          <w:tcPr>
            <w:tcW w:w="2153" w:type="dxa"/>
            <w:hideMark/>
          </w:tcPr>
          <w:p w14:paraId="15C2EFF2"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Energy efficiency of HVAC systems</w:t>
            </w:r>
          </w:p>
        </w:tc>
        <w:tc>
          <w:tcPr>
            <w:tcW w:w="3221" w:type="dxa"/>
            <w:hideMark/>
          </w:tcPr>
          <w:p w14:paraId="727BE5A9"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Commercial (hotels, hospitals, shopping centers)</w:t>
            </w:r>
          </w:p>
        </w:tc>
        <w:tc>
          <w:tcPr>
            <w:tcW w:w="2673" w:type="dxa"/>
            <w:hideMark/>
          </w:tcPr>
          <w:p w14:paraId="162680EE"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Replacement of current equipment</w:t>
            </w:r>
          </w:p>
        </w:tc>
        <w:tc>
          <w:tcPr>
            <w:cnfStyle w:val="000100000000" w:firstRow="0" w:lastRow="0" w:firstColumn="0" w:lastColumn="1" w:oddVBand="0" w:evenVBand="0" w:oddHBand="0" w:evenHBand="0" w:firstRowFirstColumn="0" w:firstRowLastColumn="0" w:lastRowFirstColumn="0" w:lastRowLastColumn="0"/>
            <w:tcW w:w="1500" w:type="dxa"/>
            <w:hideMark/>
          </w:tcPr>
          <w:p w14:paraId="5E2CD9BD"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71%</w:t>
            </w:r>
          </w:p>
        </w:tc>
      </w:tr>
      <w:tr w:rsidR="00614483" w:rsidRPr="00340346" w14:paraId="76F9FC3C" w14:textId="77777777" w:rsidTr="0087236D">
        <w:trPr>
          <w:trHeight w:val="560"/>
          <w:jc w:val="center"/>
        </w:trPr>
        <w:tc>
          <w:tcPr>
            <w:tcW w:w="2153" w:type="dxa"/>
            <w:vMerge w:val="restart"/>
            <w:hideMark/>
          </w:tcPr>
          <w:p w14:paraId="0D91D470"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Heat recovery systems</w:t>
            </w:r>
          </w:p>
        </w:tc>
        <w:tc>
          <w:tcPr>
            <w:tcW w:w="3221" w:type="dxa"/>
            <w:hideMark/>
          </w:tcPr>
          <w:p w14:paraId="2E8F8602"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Industry (e.g., food processing, chemical, pharmaceutical)</w:t>
            </w:r>
          </w:p>
        </w:tc>
        <w:tc>
          <w:tcPr>
            <w:tcW w:w="2673" w:type="dxa"/>
            <w:hideMark/>
          </w:tcPr>
          <w:p w14:paraId="5314D2D7"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Replacement of current equipment</w:t>
            </w:r>
          </w:p>
        </w:tc>
        <w:tc>
          <w:tcPr>
            <w:cnfStyle w:val="000100000000" w:firstRow="0" w:lastRow="0" w:firstColumn="0" w:lastColumn="1" w:oddVBand="0" w:evenVBand="0" w:oddHBand="0" w:evenHBand="0" w:firstRowFirstColumn="0" w:firstRowLastColumn="0" w:lastRowFirstColumn="0" w:lastRowLastColumn="0"/>
            <w:tcW w:w="1500" w:type="dxa"/>
            <w:hideMark/>
          </w:tcPr>
          <w:p w14:paraId="60E97352"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71%</w:t>
            </w:r>
          </w:p>
        </w:tc>
      </w:tr>
      <w:tr w:rsidR="00614483" w:rsidRPr="00340346" w14:paraId="4CE88D29" w14:textId="77777777" w:rsidTr="0087236D">
        <w:trPr>
          <w:trHeight w:val="283"/>
          <w:jc w:val="center"/>
        </w:trPr>
        <w:tc>
          <w:tcPr>
            <w:tcW w:w="2153" w:type="dxa"/>
            <w:vMerge/>
          </w:tcPr>
          <w:p w14:paraId="6F4E75C4" w14:textId="77777777" w:rsidR="00614483" w:rsidRPr="00340346" w:rsidRDefault="00614483" w:rsidP="00C80112">
            <w:pPr>
              <w:spacing w:before="0" w:after="0" w:line="240" w:lineRule="auto"/>
              <w:jc w:val="left"/>
              <w:rPr>
                <w:rFonts w:ascii="Arial" w:hAnsi="Arial" w:cs="Arial"/>
                <w:noProof/>
                <w:sz w:val="20"/>
                <w:szCs w:val="20"/>
                <w:lang w:val="en-US"/>
              </w:rPr>
            </w:pPr>
          </w:p>
        </w:tc>
        <w:tc>
          <w:tcPr>
            <w:tcW w:w="3221" w:type="dxa"/>
            <w:hideMark/>
          </w:tcPr>
          <w:p w14:paraId="3008D6AB"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Commercial (e.g., hotels, hospitals)</w:t>
            </w:r>
          </w:p>
        </w:tc>
        <w:tc>
          <w:tcPr>
            <w:tcW w:w="2673" w:type="dxa"/>
            <w:hideMark/>
          </w:tcPr>
          <w:p w14:paraId="5E201857"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Installation of heat recovery equipment</w:t>
            </w:r>
          </w:p>
        </w:tc>
        <w:tc>
          <w:tcPr>
            <w:cnfStyle w:val="000100000000" w:firstRow="0" w:lastRow="0" w:firstColumn="0" w:lastColumn="1" w:oddVBand="0" w:evenVBand="0" w:oddHBand="0" w:evenHBand="0" w:firstRowFirstColumn="0" w:firstRowLastColumn="0" w:lastRowFirstColumn="0" w:lastRowLastColumn="0"/>
            <w:tcW w:w="1500" w:type="dxa"/>
            <w:hideMark/>
          </w:tcPr>
          <w:p w14:paraId="1052A09E"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71%</w:t>
            </w:r>
          </w:p>
        </w:tc>
      </w:tr>
      <w:tr w:rsidR="00614483" w:rsidRPr="00340346" w14:paraId="2902A10A" w14:textId="77777777" w:rsidTr="0087236D">
        <w:trPr>
          <w:trHeight w:val="560"/>
          <w:jc w:val="center"/>
        </w:trPr>
        <w:tc>
          <w:tcPr>
            <w:tcW w:w="2153" w:type="dxa"/>
            <w:hideMark/>
          </w:tcPr>
          <w:p w14:paraId="107C4DD7"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Energy efficiency of cooling systems</w:t>
            </w:r>
          </w:p>
        </w:tc>
        <w:tc>
          <w:tcPr>
            <w:tcW w:w="3221" w:type="dxa"/>
            <w:hideMark/>
          </w:tcPr>
          <w:p w14:paraId="0BC2F2D2"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Industrial (e.g., agroindustry, meat and milk, aquaculture)</w:t>
            </w:r>
          </w:p>
        </w:tc>
        <w:tc>
          <w:tcPr>
            <w:tcW w:w="2673" w:type="dxa"/>
            <w:hideMark/>
          </w:tcPr>
          <w:p w14:paraId="50EA213A"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Replacement of current equipment</w:t>
            </w:r>
          </w:p>
        </w:tc>
        <w:tc>
          <w:tcPr>
            <w:cnfStyle w:val="000100000000" w:firstRow="0" w:lastRow="0" w:firstColumn="0" w:lastColumn="1" w:oddVBand="0" w:evenVBand="0" w:oddHBand="0" w:evenHBand="0" w:firstRowFirstColumn="0" w:firstRowLastColumn="0" w:lastRowFirstColumn="0" w:lastRowLastColumn="0"/>
            <w:tcW w:w="1500" w:type="dxa"/>
            <w:hideMark/>
          </w:tcPr>
          <w:p w14:paraId="41099E17"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69%</w:t>
            </w:r>
          </w:p>
        </w:tc>
      </w:tr>
      <w:tr w:rsidR="00614483" w:rsidRPr="00340346" w14:paraId="5C39CBB8" w14:textId="77777777" w:rsidTr="0087236D">
        <w:trPr>
          <w:trHeight w:val="283"/>
          <w:jc w:val="center"/>
        </w:trPr>
        <w:tc>
          <w:tcPr>
            <w:tcW w:w="2153" w:type="dxa"/>
            <w:hideMark/>
          </w:tcPr>
          <w:p w14:paraId="64E8B773"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Energy efficiency in lighting (LED)</w:t>
            </w:r>
          </w:p>
        </w:tc>
        <w:tc>
          <w:tcPr>
            <w:tcW w:w="3221" w:type="dxa"/>
            <w:hideMark/>
          </w:tcPr>
          <w:p w14:paraId="4ED2A72B"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Commercial</w:t>
            </w:r>
          </w:p>
        </w:tc>
        <w:tc>
          <w:tcPr>
            <w:tcW w:w="2673" w:type="dxa"/>
            <w:hideMark/>
          </w:tcPr>
          <w:p w14:paraId="02640826"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Replacement of current equipment</w:t>
            </w:r>
          </w:p>
        </w:tc>
        <w:tc>
          <w:tcPr>
            <w:cnfStyle w:val="000100000000" w:firstRow="0" w:lastRow="0" w:firstColumn="0" w:lastColumn="1" w:oddVBand="0" w:evenVBand="0" w:oddHBand="0" w:evenHBand="0" w:firstRowFirstColumn="0" w:firstRowLastColumn="0" w:lastRowFirstColumn="0" w:lastRowLastColumn="0"/>
            <w:tcW w:w="1500" w:type="dxa"/>
            <w:hideMark/>
          </w:tcPr>
          <w:p w14:paraId="52994004"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67%</w:t>
            </w:r>
          </w:p>
        </w:tc>
      </w:tr>
      <w:tr w:rsidR="00614483" w:rsidRPr="00340346" w14:paraId="2B877F39" w14:textId="77777777" w:rsidTr="0087236D">
        <w:trPr>
          <w:trHeight w:val="560"/>
          <w:jc w:val="center"/>
        </w:trPr>
        <w:tc>
          <w:tcPr>
            <w:tcW w:w="2153" w:type="dxa"/>
            <w:hideMark/>
          </w:tcPr>
          <w:p w14:paraId="304942C3"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Cogeneration systems (electric/thermal)</w:t>
            </w:r>
          </w:p>
        </w:tc>
        <w:tc>
          <w:tcPr>
            <w:tcW w:w="3221" w:type="dxa"/>
            <w:hideMark/>
          </w:tcPr>
          <w:p w14:paraId="0593026B"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 xml:space="preserve">Industry (e.g., chemical, food processing, dairy) </w:t>
            </w:r>
          </w:p>
        </w:tc>
        <w:tc>
          <w:tcPr>
            <w:tcW w:w="2673" w:type="dxa"/>
            <w:hideMark/>
          </w:tcPr>
          <w:p w14:paraId="73D07299"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Self-consumption, network support.</w:t>
            </w:r>
          </w:p>
        </w:tc>
        <w:tc>
          <w:tcPr>
            <w:cnfStyle w:val="000100000000" w:firstRow="0" w:lastRow="0" w:firstColumn="0" w:lastColumn="1" w:oddVBand="0" w:evenVBand="0" w:oddHBand="0" w:evenHBand="0" w:firstRowFirstColumn="0" w:firstRowLastColumn="0" w:lastRowFirstColumn="0" w:lastRowLastColumn="0"/>
            <w:tcW w:w="1500" w:type="dxa"/>
            <w:hideMark/>
          </w:tcPr>
          <w:p w14:paraId="1EC94C79"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67%</w:t>
            </w:r>
          </w:p>
        </w:tc>
      </w:tr>
      <w:tr w:rsidR="00614483" w:rsidRPr="00340346" w14:paraId="72FF938C" w14:textId="77777777" w:rsidTr="0087236D">
        <w:trPr>
          <w:trHeight w:val="283"/>
          <w:jc w:val="center"/>
        </w:trPr>
        <w:tc>
          <w:tcPr>
            <w:tcW w:w="2153" w:type="dxa"/>
            <w:vMerge w:val="restart"/>
            <w:hideMark/>
          </w:tcPr>
          <w:p w14:paraId="08286934"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Photovoltaic systems</w:t>
            </w:r>
          </w:p>
        </w:tc>
        <w:tc>
          <w:tcPr>
            <w:tcW w:w="3221" w:type="dxa"/>
            <w:hideMark/>
          </w:tcPr>
          <w:p w14:paraId="1158ABE9"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Industrial</w:t>
            </w:r>
          </w:p>
        </w:tc>
        <w:tc>
          <w:tcPr>
            <w:tcW w:w="2673" w:type="dxa"/>
            <w:hideMark/>
          </w:tcPr>
          <w:p w14:paraId="11C7D015"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Sale to the network/Self-consumption, network support.</w:t>
            </w:r>
          </w:p>
        </w:tc>
        <w:tc>
          <w:tcPr>
            <w:cnfStyle w:val="000100000000" w:firstRow="0" w:lastRow="0" w:firstColumn="0" w:lastColumn="1" w:oddVBand="0" w:evenVBand="0" w:oddHBand="0" w:evenHBand="0" w:firstRowFirstColumn="0" w:firstRowLastColumn="0" w:lastRowFirstColumn="0" w:lastRowLastColumn="0"/>
            <w:tcW w:w="1500" w:type="dxa"/>
            <w:hideMark/>
          </w:tcPr>
          <w:p w14:paraId="39865F37"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67%</w:t>
            </w:r>
          </w:p>
        </w:tc>
      </w:tr>
      <w:tr w:rsidR="00614483" w:rsidRPr="00340346" w14:paraId="2AF977C6" w14:textId="77777777" w:rsidTr="0087236D">
        <w:trPr>
          <w:trHeight w:val="283"/>
          <w:jc w:val="center"/>
        </w:trPr>
        <w:tc>
          <w:tcPr>
            <w:tcW w:w="2153" w:type="dxa"/>
            <w:vMerge/>
            <w:hideMark/>
          </w:tcPr>
          <w:p w14:paraId="51CC6881" w14:textId="77777777" w:rsidR="00614483" w:rsidRPr="00340346" w:rsidRDefault="00614483" w:rsidP="00C80112">
            <w:pPr>
              <w:spacing w:before="0" w:after="0" w:line="240" w:lineRule="auto"/>
              <w:jc w:val="left"/>
              <w:rPr>
                <w:rFonts w:ascii="Arial" w:hAnsi="Arial" w:cs="Arial"/>
                <w:noProof/>
                <w:sz w:val="20"/>
                <w:szCs w:val="20"/>
                <w:lang w:val="en-US"/>
              </w:rPr>
            </w:pPr>
          </w:p>
        </w:tc>
        <w:tc>
          <w:tcPr>
            <w:tcW w:w="3221" w:type="dxa"/>
            <w:hideMark/>
          </w:tcPr>
          <w:p w14:paraId="29D20670"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Commercial</w:t>
            </w:r>
          </w:p>
        </w:tc>
        <w:tc>
          <w:tcPr>
            <w:tcW w:w="2673" w:type="dxa"/>
            <w:hideMark/>
          </w:tcPr>
          <w:p w14:paraId="794DCDE7"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Sale to the network/Self-consumption, network support.</w:t>
            </w:r>
          </w:p>
        </w:tc>
        <w:tc>
          <w:tcPr>
            <w:cnfStyle w:val="000100000000" w:firstRow="0" w:lastRow="0" w:firstColumn="0" w:lastColumn="1" w:oddVBand="0" w:evenVBand="0" w:oddHBand="0" w:evenHBand="0" w:firstRowFirstColumn="0" w:firstRowLastColumn="0" w:lastRowFirstColumn="0" w:lastRowLastColumn="0"/>
            <w:tcW w:w="1500" w:type="dxa"/>
            <w:hideMark/>
          </w:tcPr>
          <w:p w14:paraId="38E1013E"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65%</w:t>
            </w:r>
          </w:p>
        </w:tc>
      </w:tr>
      <w:tr w:rsidR="00614483" w:rsidRPr="00340346" w14:paraId="386D9027" w14:textId="77777777" w:rsidTr="0087236D">
        <w:trPr>
          <w:trHeight w:val="560"/>
          <w:jc w:val="center"/>
        </w:trPr>
        <w:tc>
          <w:tcPr>
            <w:tcW w:w="2153" w:type="dxa"/>
            <w:hideMark/>
          </w:tcPr>
          <w:p w14:paraId="3F74AF03"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Energy efficiency in firing, drying, and smelting furnaces</w:t>
            </w:r>
          </w:p>
        </w:tc>
        <w:tc>
          <w:tcPr>
            <w:tcW w:w="3221" w:type="dxa"/>
            <w:hideMark/>
          </w:tcPr>
          <w:p w14:paraId="7A6AD5E3"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Industry (e.g., metal-mechanic, glass-ceramic, flooring, glass)</w:t>
            </w:r>
          </w:p>
        </w:tc>
        <w:tc>
          <w:tcPr>
            <w:tcW w:w="2673" w:type="dxa"/>
            <w:hideMark/>
          </w:tcPr>
          <w:p w14:paraId="6F9C5076"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Replacement of current equipment</w:t>
            </w:r>
          </w:p>
        </w:tc>
        <w:tc>
          <w:tcPr>
            <w:cnfStyle w:val="000100000000" w:firstRow="0" w:lastRow="0" w:firstColumn="0" w:lastColumn="1" w:oddVBand="0" w:evenVBand="0" w:oddHBand="0" w:evenHBand="0" w:firstRowFirstColumn="0" w:firstRowLastColumn="0" w:lastRowFirstColumn="0" w:lastRowLastColumn="0"/>
            <w:tcW w:w="1500" w:type="dxa"/>
            <w:hideMark/>
          </w:tcPr>
          <w:p w14:paraId="5AC7A764"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65%</w:t>
            </w:r>
          </w:p>
        </w:tc>
      </w:tr>
      <w:tr w:rsidR="00614483" w:rsidRPr="00340346" w14:paraId="4BB6631A" w14:textId="77777777" w:rsidTr="0087236D">
        <w:trPr>
          <w:trHeight w:val="283"/>
          <w:jc w:val="center"/>
        </w:trPr>
        <w:tc>
          <w:tcPr>
            <w:tcW w:w="2153" w:type="dxa"/>
            <w:hideMark/>
          </w:tcPr>
          <w:p w14:paraId="5E40066D"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Energy efficiency of HVAC systems</w:t>
            </w:r>
          </w:p>
        </w:tc>
        <w:tc>
          <w:tcPr>
            <w:tcW w:w="3221" w:type="dxa"/>
            <w:hideMark/>
          </w:tcPr>
          <w:p w14:paraId="594370C4"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Residential</w:t>
            </w:r>
          </w:p>
        </w:tc>
        <w:tc>
          <w:tcPr>
            <w:tcW w:w="2673" w:type="dxa"/>
            <w:hideMark/>
          </w:tcPr>
          <w:p w14:paraId="0B4A01FF"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Replacement of current equipment</w:t>
            </w:r>
          </w:p>
        </w:tc>
        <w:tc>
          <w:tcPr>
            <w:cnfStyle w:val="000100000000" w:firstRow="0" w:lastRow="0" w:firstColumn="0" w:lastColumn="1" w:oddVBand="0" w:evenVBand="0" w:oddHBand="0" w:evenHBand="0" w:firstRowFirstColumn="0" w:firstRowLastColumn="0" w:lastRowFirstColumn="0" w:lastRowLastColumn="0"/>
            <w:tcW w:w="1500" w:type="dxa"/>
            <w:hideMark/>
          </w:tcPr>
          <w:p w14:paraId="313B519B"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63%</w:t>
            </w:r>
          </w:p>
        </w:tc>
      </w:tr>
      <w:tr w:rsidR="00614483" w:rsidRPr="00340346" w14:paraId="01CE9FDB" w14:textId="77777777" w:rsidTr="0087236D">
        <w:trPr>
          <w:trHeight w:val="283"/>
          <w:jc w:val="center"/>
        </w:trPr>
        <w:tc>
          <w:tcPr>
            <w:tcW w:w="2153" w:type="dxa"/>
            <w:hideMark/>
          </w:tcPr>
          <w:p w14:paraId="2F04B456"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Thermal Solar Systems (TSS)</w:t>
            </w:r>
          </w:p>
        </w:tc>
        <w:tc>
          <w:tcPr>
            <w:tcW w:w="3221" w:type="dxa"/>
            <w:hideMark/>
          </w:tcPr>
          <w:p w14:paraId="6287238D"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Residential</w:t>
            </w:r>
          </w:p>
        </w:tc>
        <w:tc>
          <w:tcPr>
            <w:tcW w:w="2673" w:type="dxa"/>
            <w:hideMark/>
          </w:tcPr>
          <w:p w14:paraId="756BD008"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Complement to the current water heating system</w:t>
            </w:r>
          </w:p>
        </w:tc>
        <w:tc>
          <w:tcPr>
            <w:cnfStyle w:val="000100000000" w:firstRow="0" w:lastRow="0" w:firstColumn="0" w:lastColumn="1" w:oddVBand="0" w:evenVBand="0" w:oddHBand="0" w:evenHBand="0" w:firstRowFirstColumn="0" w:firstRowLastColumn="0" w:lastRowFirstColumn="0" w:lastRowLastColumn="0"/>
            <w:tcW w:w="1500" w:type="dxa"/>
            <w:hideMark/>
          </w:tcPr>
          <w:p w14:paraId="4418ADC1"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63%</w:t>
            </w:r>
          </w:p>
        </w:tc>
      </w:tr>
      <w:tr w:rsidR="00614483" w:rsidRPr="00340346" w14:paraId="67746C34" w14:textId="77777777" w:rsidTr="0087236D">
        <w:trPr>
          <w:trHeight w:val="560"/>
          <w:jc w:val="center"/>
        </w:trPr>
        <w:tc>
          <w:tcPr>
            <w:tcW w:w="2153" w:type="dxa"/>
            <w:hideMark/>
          </w:tcPr>
          <w:p w14:paraId="6ED746C2"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Energy efficiency in boiler systems</w:t>
            </w:r>
          </w:p>
        </w:tc>
        <w:tc>
          <w:tcPr>
            <w:tcW w:w="3221" w:type="dxa"/>
            <w:hideMark/>
          </w:tcPr>
          <w:p w14:paraId="53C27524"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Industry (e.g., food processing, chemical, pharmaceutical)</w:t>
            </w:r>
          </w:p>
        </w:tc>
        <w:tc>
          <w:tcPr>
            <w:tcW w:w="2673" w:type="dxa"/>
            <w:hideMark/>
          </w:tcPr>
          <w:p w14:paraId="6614CFCD"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Replacement of current equipment</w:t>
            </w:r>
          </w:p>
        </w:tc>
        <w:tc>
          <w:tcPr>
            <w:cnfStyle w:val="000100000000" w:firstRow="0" w:lastRow="0" w:firstColumn="0" w:lastColumn="1" w:oddVBand="0" w:evenVBand="0" w:oddHBand="0" w:evenHBand="0" w:firstRowFirstColumn="0" w:firstRowLastColumn="0" w:lastRowFirstColumn="0" w:lastRowLastColumn="0"/>
            <w:tcW w:w="1500" w:type="dxa"/>
            <w:hideMark/>
          </w:tcPr>
          <w:p w14:paraId="4774D0A0"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62%</w:t>
            </w:r>
          </w:p>
        </w:tc>
      </w:tr>
      <w:tr w:rsidR="00614483" w:rsidRPr="00340346" w14:paraId="509F0E45" w14:textId="77777777" w:rsidTr="0087236D">
        <w:trPr>
          <w:trHeight w:val="560"/>
          <w:jc w:val="center"/>
        </w:trPr>
        <w:tc>
          <w:tcPr>
            <w:tcW w:w="2153" w:type="dxa"/>
            <w:hideMark/>
          </w:tcPr>
          <w:p w14:paraId="7867FE2C"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Energy efficiency in electric motors</w:t>
            </w:r>
          </w:p>
        </w:tc>
        <w:tc>
          <w:tcPr>
            <w:tcW w:w="3221" w:type="dxa"/>
            <w:hideMark/>
          </w:tcPr>
          <w:p w14:paraId="488EE4C8"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Industry (e.g., metal-mechanic, compressed air)</w:t>
            </w:r>
          </w:p>
        </w:tc>
        <w:tc>
          <w:tcPr>
            <w:tcW w:w="2673" w:type="dxa"/>
            <w:hideMark/>
          </w:tcPr>
          <w:p w14:paraId="2CEB9DCE"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Replacement of current equipment</w:t>
            </w:r>
          </w:p>
        </w:tc>
        <w:tc>
          <w:tcPr>
            <w:cnfStyle w:val="000100000000" w:firstRow="0" w:lastRow="0" w:firstColumn="0" w:lastColumn="1" w:oddVBand="0" w:evenVBand="0" w:oddHBand="0" w:evenHBand="0" w:firstRowFirstColumn="0" w:firstRowLastColumn="0" w:lastRowFirstColumn="0" w:lastRowLastColumn="0"/>
            <w:tcW w:w="1500" w:type="dxa"/>
            <w:hideMark/>
          </w:tcPr>
          <w:p w14:paraId="6611B6CF"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62%</w:t>
            </w:r>
          </w:p>
        </w:tc>
      </w:tr>
      <w:tr w:rsidR="00614483" w:rsidRPr="00340346" w14:paraId="56C4E7E4" w14:textId="77777777" w:rsidTr="0087236D">
        <w:trPr>
          <w:trHeight w:val="283"/>
          <w:jc w:val="center"/>
        </w:trPr>
        <w:tc>
          <w:tcPr>
            <w:tcW w:w="2153" w:type="dxa"/>
            <w:hideMark/>
          </w:tcPr>
          <w:p w14:paraId="00F35C90"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lastRenderedPageBreak/>
              <w:t>EE in boiler systems</w:t>
            </w:r>
          </w:p>
        </w:tc>
        <w:tc>
          <w:tcPr>
            <w:tcW w:w="3221" w:type="dxa"/>
            <w:hideMark/>
          </w:tcPr>
          <w:p w14:paraId="1332BE95"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Commercial (e.g., hotels, hospitals)</w:t>
            </w:r>
          </w:p>
        </w:tc>
        <w:tc>
          <w:tcPr>
            <w:tcW w:w="2673" w:type="dxa"/>
            <w:hideMark/>
          </w:tcPr>
          <w:p w14:paraId="1CC60B6F"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 Replacement of current equipment</w:t>
            </w:r>
          </w:p>
        </w:tc>
        <w:tc>
          <w:tcPr>
            <w:cnfStyle w:val="000100000000" w:firstRow="0" w:lastRow="0" w:firstColumn="0" w:lastColumn="1" w:oddVBand="0" w:evenVBand="0" w:oddHBand="0" w:evenHBand="0" w:firstRowFirstColumn="0" w:firstRowLastColumn="0" w:lastRowFirstColumn="0" w:lastRowLastColumn="0"/>
            <w:tcW w:w="1500" w:type="dxa"/>
            <w:hideMark/>
          </w:tcPr>
          <w:p w14:paraId="74B1743B"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61%</w:t>
            </w:r>
          </w:p>
        </w:tc>
      </w:tr>
      <w:tr w:rsidR="00614483" w:rsidRPr="00340346" w14:paraId="445D2CBF" w14:textId="77777777" w:rsidTr="0087236D">
        <w:trPr>
          <w:trHeight w:val="283"/>
          <w:jc w:val="center"/>
        </w:trPr>
        <w:tc>
          <w:tcPr>
            <w:tcW w:w="2153" w:type="dxa"/>
            <w:hideMark/>
          </w:tcPr>
          <w:p w14:paraId="5B010000"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Photovoltaic systems</w:t>
            </w:r>
          </w:p>
        </w:tc>
        <w:tc>
          <w:tcPr>
            <w:tcW w:w="3221" w:type="dxa"/>
            <w:hideMark/>
          </w:tcPr>
          <w:p w14:paraId="5069E899"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Residential</w:t>
            </w:r>
          </w:p>
        </w:tc>
        <w:tc>
          <w:tcPr>
            <w:tcW w:w="2673" w:type="dxa"/>
            <w:hideMark/>
          </w:tcPr>
          <w:p w14:paraId="0A0D254E"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Sale to the network/Self-consumption, network support</w:t>
            </w:r>
          </w:p>
        </w:tc>
        <w:tc>
          <w:tcPr>
            <w:cnfStyle w:val="000100000000" w:firstRow="0" w:lastRow="0" w:firstColumn="0" w:lastColumn="1" w:oddVBand="0" w:evenVBand="0" w:oddHBand="0" w:evenHBand="0" w:firstRowFirstColumn="0" w:firstRowLastColumn="0" w:lastRowFirstColumn="0" w:lastRowLastColumn="0"/>
            <w:tcW w:w="1500" w:type="dxa"/>
            <w:hideMark/>
          </w:tcPr>
          <w:p w14:paraId="355CCE25"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54%</w:t>
            </w:r>
          </w:p>
        </w:tc>
      </w:tr>
      <w:tr w:rsidR="00614483" w:rsidRPr="00340346" w14:paraId="54A602CF" w14:textId="77777777" w:rsidTr="0087236D">
        <w:trPr>
          <w:trHeight w:val="560"/>
          <w:jc w:val="center"/>
        </w:trPr>
        <w:tc>
          <w:tcPr>
            <w:tcW w:w="2153" w:type="dxa"/>
            <w:hideMark/>
          </w:tcPr>
          <w:p w14:paraId="458A63EB"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Cogeneration systems (electric/thermal)</w:t>
            </w:r>
          </w:p>
        </w:tc>
        <w:tc>
          <w:tcPr>
            <w:tcW w:w="3221" w:type="dxa"/>
            <w:hideMark/>
          </w:tcPr>
          <w:p w14:paraId="6928019D"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eastAsia="MS ??" w:hAnsi="Arial" w:cs="Arial"/>
                <w:noProof/>
                <w:sz w:val="20"/>
                <w:szCs w:val="20"/>
                <w:lang w:val="en-US"/>
              </w:rPr>
              <w:t>Commercial Sector (e.g., hotels, hospitals)</w:t>
            </w:r>
          </w:p>
        </w:tc>
        <w:tc>
          <w:tcPr>
            <w:tcW w:w="2673" w:type="dxa"/>
            <w:hideMark/>
          </w:tcPr>
          <w:p w14:paraId="3ED2DCAC"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Self-consumption, network support.</w:t>
            </w:r>
          </w:p>
        </w:tc>
        <w:tc>
          <w:tcPr>
            <w:cnfStyle w:val="000100000000" w:firstRow="0" w:lastRow="0" w:firstColumn="0" w:lastColumn="1" w:oddVBand="0" w:evenVBand="0" w:oddHBand="0" w:evenHBand="0" w:firstRowFirstColumn="0" w:firstRowLastColumn="0" w:lastRowFirstColumn="0" w:lastRowLastColumn="0"/>
            <w:tcW w:w="1500" w:type="dxa"/>
            <w:hideMark/>
          </w:tcPr>
          <w:p w14:paraId="3A6876E5"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eastAsia="MS ??" w:hAnsi="Arial" w:cs="Arial"/>
                <w:noProof/>
                <w:sz w:val="20"/>
                <w:szCs w:val="20"/>
                <w:lang w:val="en-US"/>
              </w:rPr>
              <w:t>49%</w:t>
            </w:r>
          </w:p>
        </w:tc>
      </w:tr>
    </w:tbl>
    <w:p w14:paraId="7FC6B44F" w14:textId="77777777" w:rsidR="00361E68" w:rsidRPr="00340346" w:rsidRDefault="00361E68" w:rsidP="00C80112">
      <w:pPr>
        <w:rPr>
          <w:rFonts w:ascii="Arial" w:hAnsi="Arial" w:cs="Arial"/>
          <w:b/>
          <w:noProof/>
          <w:sz w:val="22"/>
          <w:szCs w:val="22"/>
          <w:lang w:val="en-US"/>
        </w:rPr>
      </w:pPr>
    </w:p>
    <w:p w14:paraId="0500373C" w14:textId="77777777" w:rsidR="007239B2" w:rsidRPr="00340346" w:rsidRDefault="00F11E04" w:rsidP="00C80112">
      <w:pPr>
        <w:spacing w:before="0" w:after="0" w:line="240" w:lineRule="auto"/>
        <w:jc w:val="center"/>
        <w:rPr>
          <w:rFonts w:ascii="Arial" w:hAnsi="Arial" w:cs="Arial"/>
          <w:b/>
          <w:noProof/>
          <w:sz w:val="20"/>
          <w:szCs w:val="20"/>
          <w:lang w:val="en-US"/>
        </w:rPr>
      </w:pPr>
      <w:bookmarkStart w:id="94" w:name="_Toc504670868"/>
      <w:r w:rsidRPr="00340346">
        <w:rPr>
          <w:rFonts w:ascii="Arial" w:hAnsi="Arial" w:cs="Arial"/>
          <w:b/>
          <w:noProof/>
          <w:sz w:val="20"/>
          <w:szCs w:val="20"/>
          <w:lang w:val="en-US"/>
        </w:rPr>
        <w:t>Table 1.3</w:t>
      </w:r>
      <w:r w:rsidR="00614483" w:rsidRPr="00340346">
        <w:rPr>
          <w:rFonts w:ascii="Arial" w:hAnsi="Arial" w:cs="Arial"/>
          <w:b/>
          <w:noProof/>
          <w:sz w:val="20"/>
          <w:szCs w:val="20"/>
          <w:lang w:val="en-US"/>
        </w:rPr>
        <w:t>. Subsector Evaluation</w:t>
      </w:r>
      <w:bookmarkEnd w:id="94"/>
    </w:p>
    <w:tbl>
      <w:tblPr>
        <w:tblW w:w="9275" w:type="dxa"/>
        <w:tblCellMar>
          <w:left w:w="0" w:type="dxa"/>
          <w:right w:w="0" w:type="dxa"/>
        </w:tblCellMar>
        <w:tblLook w:val="0620" w:firstRow="1" w:lastRow="0" w:firstColumn="0" w:lastColumn="0" w:noHBand="1" w:noVBand="1"/>
      </w:tblPr>
      <w:tblGrid>
        <w:gridCol w:w="3425"/>
        <w:gridCol w:w="5310"/>
        <w:gridCol w:w="540"/>
      </w:tblGrid>
      <w:tr w:rsidR="007239B2" w:rsidRPr="00340346" w14:paraId="4863D258" w14:textId="77777777" w:rsidTr="00C80112">
        <w:trPr>
          <w:trHeight w:val="176"/>
        </w:trPr>
        <w:tc>
          <w:tcPr>
            <w:tcW w:w="9275" w:type="dxa"/>
            <w:gridSpan w:val="3"/>
            <w:tcBorders>
              <w:top w:val="single" w:sz="4" w:space="0" w:color="000000"/>
              <w:left w:val="single" w:sz="4" w:space="0" w:color="000000"/>
              <w:bottom w:val="single" w:sz="4" w:space="0" w:color="000000"/>
              <w:right w:val="single" w:sz="4" w:space="0" w:color="000000"/>
            </w:tcBorders>
            <w:shd w:val="clear" w:color="auto" w:fill="4F81BD" w:themeFill="accent1"/>
            <w:tcMar>
              <w:top w:w="3" w:type="dxa"/>
              <w:left w:w="3" w:type="dxa"/>
              <w:bottom w:w="0" w:type="dxa"/>
              <w:right w:w="3" w:type="dxa"/>
            </w:tcMar>
            <w:vAlign w:val="center"/>
            <w:hideMark/>
          </w:tcPr>
          <w:p w14:paraId="7453A813" w14:textId="77777777" w:rsidR="007239B2" w:rsidRPr="00340346" w:rsidRDefault="007239B2" w:rsidP="00C80112">
            <w:pPr>
              <w:spacing w:before="0" w:after="0" w:line="240" w:lineRule="auto"/>
              <w:jc w:val="center"/>
              <w:rPr>
                <w:rFonts w:ascii="Arial" w:hAnsi="Arial" w:cs="Arial"/>
                <w:b/>
                <w:noProof/>
                <w:sz w:val="20"/>
                <w:szCs w:val="20"/>
                <w:lang w:val="en-US"/>
              </w:rPr>
            </w:pPr>
            <w:r w:rsidRPr="00340346">
              <w:rPr>
                <w:rFonts w:ascii="Arial" w:hAnsi="Arial" w:cs="Arial"/>
                <w:b/>
                <w:noProof/>
                <w:sz w:val="20"/>
                <w:szCs w:val="20"/>
                <w:lang w:val="en-US"/>
              </w:rPr>
              <w:t>Commercial Sector</w:t>
            </w:r>
          </w:p>
        </w:tc>
      </w:tr>
      <w:tr w:rsidR="00614483" w:rsidRPr="00340346" w14:paraId="0F23D775" w14:textId="77777777" w:rsidTr="00C80112">
        <w:trPr>
          <w:trHeight w:val="432"/>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3889541C"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Hotel</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076C7D5C"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Boilers, electric motors, cooling, HVAC, lighting, cogeneration, solar water heaters.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6811D4F6"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84%</w:t>
            </w:r>
          </w:p>
        </w:tc>
      </w:tr>
      <w:tr w:rsidR="00614483" w:rsidRPr="00340346" w14:paraId="18D561D3" w14:textId="77777777" w:rsidTr="00C80112">
        <w:trPr>
          <w:trHeight w:val="189"/>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6D0D612B"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Hospitals and clinics</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35559B45"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Boilers, cogeneration, air conditioning, lighting</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3032683B"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84%</w:t>
            </w:r>
          </w:p>
        </w:tc>
      </w:tr>
      <w:tr w:rsidR="00614483" w:rsidRPr="00340346" w14:paraId="0B80286E" w14:textId="77777777" w:rsidTr="00C80112">
        <w:trPr>
          <w:trHeight w:val="342"/>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4D168C94"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Shopping centers/large surfaces</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751BFB0E"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Air conditioning, electric motors, lighting</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4D7B3A80"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72%</w:t>
            </w:r>
          </w:p>
        </w:tc>
      </w:tr>
      <w:tr w:rsidR="007239B2" w:rsidRPr="00340346" w14:paraId="467A39A1" w14:textId="77777777" w:rsidTr="00C80112">
        <w:trPr>
          <w:trHeight w:val="180"/>
        </w:trPr>
        <w:tc>
          <w:tcPr>
            <w:tcW w:w="9275" w:type="dxa"/>
            <w:gridSpan w:val="3"/>
            <w:tcBorders>
              <w:top w:val="single" w:sz="4" w:space="0" w:color="000000"/>
              <w:left w:val="single" w:sz="4" w:space="0" w:color="000000"/>
              <w:bottom w:val="single" w:sz="4" w:space="0" w:color="000000"/>
              <w:right w:val="single" w:sz="4" w:space="0" w:color="000000"/>
            </w:tcBorders>
            <w:shd w:val="clear" w:color="auto" w:fill="4F81BD" w:themeFill="accent1"/>
            <w:tcMar>
              <w:top w:w="3" w:type="dxa"/>
              <w:left w:w="3" w:type="dxa"/>
              <w:bottom w:w="0" w:type="dxa"/>
              <w:right w:w="3" w:type="dxa"/>
            </w:tcMar>
            <w:vAlign w:val="center"/>
            <w:hideMark/>
          </w:tcPr>
          <w:p w14:paraId="4E9BB4F7" w14:textId="77777777" w:rsidR="007239B2" w:rsidRPr="00340346" w:rsidRDefault="00A52C59" w:rsidP="00C80112">
            <w:pPr>
              <w:spacing w:before="0" w:after="0" w:line="240" w:lineRule="auto"/>
              <w:jc w:val="center"/>
              <w:rPr>
                <w:rFonts w:ascii="Arial" w:hAnsi="Arial" w:cs="Arial"/>
                <w:b/>
                <w:noProof/>
                <w:sz w:val="20"/>
                <w:szCs w:val="20"/>
                <w:lang w:val="en-US"/>
              </w:rPr>
            </w:pPr>
            <w:r w:rsidRPr="00340346">
              <w:rPr>
                <w:rFonts w:ascii="Arial" w:hAnsi="Arial" w:cs="Arial"/>
                <w:b/>
                <w:noProof/>
                <w:sz w:val="20"/>
                <w:szCs w:val="20"/>
                <w:lang w:val="en-US"/>
              </w:rPr>
              <w:t>Industrial Sector</w:t>
            </w:r>
          </w:p>
        </w:tc>
      </w:tr>
      <w:tr w:rsidR="00614483" w:rsidRPr="00340346" w14:paraId="472C67C8" w14:textId="77777777" w:rsidTr="00C80112">
        <w:trPr>
          <w:trHeight w:val="306"/>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5A019D6B"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Food Industry</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0B00FA1A"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Boilers, dryers, electric motors, cooling, cogeneration</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3F875DF5"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88%</w:t>
            </w:r>
          </w:p>
        </w:tc>
      </w:tr>
      <w:tr w:rsidR="00614483" w:rsidRPr="00340346" w14:paraId="4B8C0AAD" w14:textId="77777777" w:rsidTr="00C80112">
        <w:trPr>
          <w:trHeight w:val="252"/>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0D962D17"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Chemical/Pharmaceutical</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554C7F21"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Boilers, electric motors, cogeneration</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72B60288"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88%</w:t>
            </w:r>
          </w:p>
        </w:tc>
      </w:tr>
      <w:tr w:rsidR="00614483" w:rsidRPr="00340346" w14:paraId="37A0CBDE" w14:textId="77777777" w:rsidTr="00C80112">
        <w:trPr>
          <w:trHeight w:val="171"/>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56825EA5"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Pork industry</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6275CAF0"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Biogas Plants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5BF741B6"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87%</w:t>
            </w:r>
          </w:p>
        </w:tc>
      </w:tr>
      <w:tr w:rsidR="00614483" w:rsidRPr="00340346" w14:paraId="6EBC9025" w14:textId="77777777" w:rsidTr="00C80112">
        <w:trPr>
          <w:trHeight w:val="234"/>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2EB9DAF1"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Livestock industry (feedlot)</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2B111A7B"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Biogas Plants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4A31ACBC"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83%</w:t>
            </w:r>
          </w:p>
        </w:tc>
      </w:tr>
      <w:tr w:rsidR="00614483" w:rsidRPr="00340346" w14:paraId="443A5E2A" w14:textId="77777777" w:rsidTr="00C80112">
        <w:trPr>
          <w:trHeight w:val="279"/>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52F2D234"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Poultry industry</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4876EAFC"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Biogas Plants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15219413"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82%</w:t>
            </w:r>
          </w:p>
        </w:tc>
      </w:tr>
      <w:tr w:rsidR="00614483" w:rsidRPr="00340346" w14:paraId="6281C0C8" w14:textId="77777777" w:rsidTr="00C80112">
        <w:trPr>
          <w:trHeight w:val="261"/>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0E3B531E"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Plastics</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14F061EB"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Boilers, electric motors, cogeneration</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64E93ACD"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81%</w:t>
            </w:r>
          </w:p>
        </w:tc>
      </w:tr>
      <w:tr w:rsidR="00614483" w:rsidRPr="00340346" w14:paraId="3E07543B" w14:textId="77777777" w:rsidTr="00C80112">
        <w:trPr>
          <w:trHeight w:val="432"/>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26CDB198"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Agriculture industry (Peanut, olive, wine, soybean)</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3C22CE24"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Biomass Plants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1E4AFE37"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80%</w:t>
            </w:r>
          </w:p>
        </w:tc>
      </w:tr>
      <w:tr w:rsidR="00614483" w:rsidRPr="00340346" w14:paraId="3DEBB5EA" w14:textId="77777777" w:rsidTr="00C80112">
        <w:trPr>
          <w:trHeight w:val="261"/>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3A372384"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Tannery</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705A4EC0"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Boilers, electric motors, cogeneration</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538C06BF"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77%</w:t>
            </w:r>
          </w:p>
        </w:tc>
      </w:tr>
      <w:tr w:rsidR="00614483" w:rsidRPr="00340346" w14:paraId="05650F60" w14:textId="77777777" w:rsidTr="00C80112">
        <w:trPr>
          <w:trHeight w:val="252"/>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16AE9466"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Paper</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427FBDFC"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Boilers, electric motors, lighting, cogeneration</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39A8377A"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77%</w:t>
            </w:r>
          </w:p>
        </w:tc>
      </w:tr>
      <w:tr w:rsidR="00614483" w:rsidRPr="00340346" w14:paraId="04A1D047" w14:textId="77777777" w:rsidTr="00C80112">
        <w:trPr>
          <w:trHeight w:val="261"/>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110B975E" w14:textId="77777777" w:rsidR="00614483" w:rsidRPr="00340346" w:rsidRDefault="00614483"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Foundry</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04BA9B30"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Furnaces, electric motors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05E03019"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74%</w:t>
            </w:r>
          </w:p>
        </w:tc>
      </w:tr>
      <w:tr w:rsidR="007239B2" w:rsidRPr="00340346" w14:paraId="35C714D5" w14:textId="77777777" w:rsidTr="00C80112">
        <w:trPr>
          <w:trHeight w:val="180"/>
        </w:trPr>
        <w:tc>
          <w:tcPr>
            <w:tcW w:w="9275" w:type="dxa"/>
            <w:gridSpan w:val="3"/>
            <w:tcBorders>
              <w:top w:val="single" w:sz="4" w:space="0" w:color="000000"/>
              <w:left w:val="single" w:sz="4" w:space="0" w:color="000000"/>
              <w:bottom w:val="single" w:sz="4" w:space="0" w:color="000000"/>
              <w:right w:val="single" w:sz="4" w:space="0" w:color="000000"/>
            </w:tcBorders>
            <w:shd w:val="clear" w:color="auto" w:fill="4F81BD" w:themeFill="accent1"/>
            <w:tcMar>
              <w:top w:w="3" w:type="dxa"/>
              <w:left w:w="3" w:type="dxa"/>
              <w:bottom w:w="0" w:type="dxa"/>
              <w:right w:w="3" w:type="dxa"/>
            </w:tcMar>
            <w:vAlign w:val="center"/>
            <w:hideMark/>
          </w:tcPr>
          <w:p w14:paraId="4EBFF92D" w14:textId="77777777" w:rsidR="007239B2" w:rsidRPr="00340346" w:rsidRDefault="00A52C59" w:rsidP="00C80112">
            <w:pPr>
              <w:spacing w:before="0" w:after="0" w:line="240" w:lineRule="auto"/>
              <w:jc w:val="center"/>
              <w:rPr>
                <w:rFonts w:ascii="Arial" w:hAnsi="Arial" w:cs="Arial"/>
                <w:b/>
                <w:noProof/>
                <w:sz w:val="20"/>
                <w:szCs w:val="20"/>
                <w:lang w:val="en-US"/>
              </w:rPr>
            </w:pPr>
            <w:r w:rsidRPr="00340346">
              <w:rPr>
                <w:rFonts w:ascii="Arial" w:hAnsi="Arial" w:cs="Arial"/>
                <w:b/>
                <w:noProof/>
                <w:sz w:val="20"/>
                <w:szCs w:val="20"/>
                <w:lang w:val="en-US"/>
              </w:rPr>
              <w:t>Residential Sector</w:t>
            </w:r>
          </w:p>
        </w:tc>
      </w:tr>
      <w:tr w:rsidR="00614483" w:rsidRPr="00340346" w14:paraId="003A3287" w14:textId="77777777" w:rsidTr="00C80112">
        <w:trPr>
          <w:trHeight w:val="305"/>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3176EEEB"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Buildings (apartments)</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3AB88869"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Air conditioning, lighting</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5455F238"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60%</w:t>
            </w:r>
          </w:p>
        </w:tc>
      </w:tr>
      <w:tr w:rsidR="00614483" w:rsidRPr="00340346" w14:paraId="50360629" w14:textId="77777777" w:rsidTr="00C80112">
        <w:trPr>
          <w:trHeight w:val="305"/>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53B112E6"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Houses</w:t>
            </w:r>
          </w:p>
        </w:tc>
        <w:tc>
          <w:tcPr>
            <w:tcW w:w="5310" w:type="dxa"/>
            <w:tcBorders>
              <w:top w:val="single" w:sz="4" w:space="0" w:color="000000"/>
              <w:left w:val="single" w:sz="4" w:space="0" w:color="000000"/>
              <w:bottom w:val="single" w:sz="4" w:space="0" w:color="000000"/>
              <w:right w:val="single" w:sz="4" w:space="0" w:color="000000"/>
            </w:tcBorders>
            <w:shd w:val="clear" w:color="auto" w:fill="auto"/>
            <w:tcMar>
              <w:top w:w="3" w:type="dxa"/>
              <w:left w:w="31" w:type="dxa"/>
              <w:bottom w:w="0" w:type="dxa"/>
              <w:right w:w="3" w:type="dxa"/>
            </w:tcMar>
            <w:vAlign w:val="center"/>
            <w:hideMark/>
          </w:tcPr>
          <w:p w14:paraId="4B2EE1B0" w14:textId="77777777" w:rsidR="00614483" w:rsidRPr="00340346" w:rsidRDefault="00614483" w:rsidP="00C80112">
            <w:pPr>
              <w:spacing w:before="0" w:after="0" w:line="240" w:lineRule="auto"/>
              <w:rPr>
                <w:rFonts w:ascii="Arial" w:hAnsi="Arial" w:cs="Arial"/>
                <w:noProof/>
                <w:sz w:val="20"/>
                <w:szCs w:val="20"/>
                <w:lang w:val="en-US"/>
              </w:rPr>
            </w:pPr>
            <w:r w:rsidRPr="00340346">
              <w:rPr>
                <w:rFonts w:ascii="Arial" w:hAnsi="Arial" w:cs="Arial"/>
                <w:noProof/>
                <w:sz w:val="20"/>
                <w:szCs w:val="20"/>
                <w:lang w:val="en-US"/>
              </w:rPr>
              <w:t>Air conditioning, lighting</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3" w:type="dxa"/>
              <w:left w:w="3" w:type="dxa"/>
              <w:bottom w:w="0" w:type="dxa"/>
              <w:right w:w="3" w:type="dxa"/>
            </w:tcMar>
            <w:vAlign w:val="center"/>
            <w:hideMark/>
          </w:tcPr>
          <w:p w14:paraId="609506E2" w14:textId="77777777" w:rsidR="00614483" w:rsidRPr="00340346" w:rsidRDefault="00614483" w:rsidP="00C80112">
            <w:pPr>
              <w:spacing w:before="0" w:after="0" w:line="240" w:lineRule="auto"/>
              <w:jc w:val="right"/>
              <w:rPr>
                <w:rFonts w:ascii="Arial" w:hAnsi="Arial" w:cs="Arial"/>
                <w:noProof/>
                <w:sz w:val="20"/>
                <w:szCs w:val="20"/>
                <w:lang w:val="en-US"/>
              </w:rPr>
            </w:pPr>
            <w:r w:rsidRPr="00340346">
              <w:rPr>
                <w:rFonts w:ascii="Arial" w:hAnsi="Arial" w:cs="Arial"/>
                <w:noProof/>
                <w:sz w:val="20"/>
                <w:szCs w:val="20"/>
                <w:lang w:val="en-US"/>
              </w:rPr>
              <w:t>57%</w:t>
            </w:r>
          </w:p>
        </w:tc>
      </w:tr>
    </w:tbl>
    <w:p w14:paraId="5EB0B87F" w14:textId="77777777" w:rsidR="0022747C" w:rsidRPr="00340346" w:rsidRDefault="0022747C" w:rsidP="0022747C">
      <w:pPr>
        <w:rPr>
          <w:rFonts w:ascii="Arial" w:hAnsi="Arial" w:cs="Arial"/>
          <w:noProof/>
          <w:sz w:val="22"/>
          <w:szCs w:val="22"/>
          <w:lang w:val="en-US"/>
        </w:rPr>
        <w:sectPr w:rsidR="0022747C" w:rsidRPr="00340346" w:rsidSect="00F80266">
          <w:headerReference w:type="default" r:id="rId14"/>
          <w:type w:val="continuous"/>
          <w:pgSz w:w="11900" w:h="16840"/>
          <w:pgMar w:top="1985" w:right="1417" w:bottom="1134" w:left="1417" w:header="708" w:footer="708" w:gutter="0"/>
          <w:pgNumType w:start="1"/>
          <w:cols w:space="708"/>
          <w:titlePg/>
          <w:docGrid w:linePitch="360"/>
        </w:sectPr>
      </w:pPr>
    </w:p>
    <w:p w14:paraId="3CA2C01F" w14:textId="77777777" w:rsidR="00F46E6A" w:rsidRPr="00340346" w:rsidRDefault="00F46E6A" w:rsidP="0022747C">
      <w:pPr>
        <w:pStyle w:val="Chapter"/>
        <w:numPr>
          <w:ilvl w:val="0"/>
          <w:numId w:val="0"/>
        </w:numPr>
        <w:ind w:left="288"/>
        <w:jc w:val="both"/>
        <w:rPr>
          <w:rFonts w:ascii="Arial" w:hAnsi="Arial" w:cs="Arial"/>
          <w:noProof/>
          <w:sz w:val="22"/>
        </w:rPr>
        <w:sectPr w:rsidR="00F46E6A" w:rsidRPr="00340346" w:rsidSect="00F80266">
          <w:type w:val="continuous"/>
          <w:pgSz w:w="11900" w:h="16840"/>
          <w:pgMar w:top="1985" w:right="1417" w:bottom="1134" w:left="1417" w:header="708" w:footer="708" w:gutter="0"/>
          <w:pgNumType w:start="1"/>
          <w:cols w:space="708"/>
          <w:titlePg/>
          <w:docGrid w:linePitch="360"/>
        </w:sectPr>
      </w:pPr>
    </w:p>
    <w:p w14:paraId="4AB132E3" w14:textId="77777777" w:rsidR="00BD6994" w:rsidRPr="00340346" w:rsidRDefault="00BD6994" w:rsidP="00C80112">
      <w:pPr>
        <w:pStyle w:val="Chapter"/>
        <w:rPr>
          <w:rFonts w:ascii="Arial" w:hAnsi="Arial" w:cs="Arial"/>
          <w:noProof/>
          <w:szCs w:val="24"/>
        </w:rPr>
      </w:pPr>
      <w:r w:rsidRPr="00340346">
        <w:rPr>
          <w:rFonts w:ascii="Arial" w:hAnsi="Arial" w:cs="Arial"/>
          <w:noProof/>
          <w:szCs w:val="24"/>
        </w:rPr>
        <w:lastRenderedPageBreak/>
        <w:t>Analysis of the Prioritized Sectors</w:t>
      </w:r>
    </w:p>
    <w:p w14:paraId="0AFA0F33" w14:textId="77777777" w:rsidR="00F46E6A" w:rsidRPr="00340346" w:rsidRDefault="00F46E6A">
      <w:pPr>
        <w:rPr>
          <w:rFonts w:ascii="Arial" w:hAnsi="Arial" w:cs="Arial"/>
          <w:noProof/>
          <w:sz w:val="22"/>
          <w:szCs w:val="22"/>
          <w:lang w:val="en-US"/>
        </w:rPr>
        <w:sectPr w:rsidR="00F46E6A" w:rsidRPr="00340346" w:rsidSect="00F46E6A">
          <w:pgSz w:w="11900" w:h="16840"/>
          <w:pgMar w:top="1985" w:right="1417" w:bottom="1134" w:left="1417" w:header="708" w:footer="708" w:gutter="0"/>
          <w:pgNumType w:start="1"/>
          <w:cols w:space="708"/>
          <w:titlePg/>
          <w:docGrid w:linePitch="360"/>
        </w:sectPr>
      </w:pPr>
    </w:p>
    <w:p w14:paraId="3625DE1C" w14:textId="77777777" w:rsidR="00734C69" w:rsidRPr="00340346" w:rsidRDefault="000641D2" w:rsidP="00C80112">
      <w:pPr>
        <w:pStyle w:val="Paragraph"/>
        <w:rPr>
          <w:rFonts w:ascii="Arial" w:hAnsi="Arial" w:cs="Arial"/>
          <w:noProof/>
          <w:sz w:val="22"/>
        </w:rPr>
      </w:pPr>
      <w:bookmarkStart w:id="95" w:name="_Toc504744710"/>
      <w:bookmarkStart w:id="96" w:name="_Toc504744711"/>
      <w:bookmarkStart w:id="97" w:name="_Toc504670870"/>
      <w:bookmarkStart w:id="98" w:name="_Toc504744712"/>
      <w:bookmarkEnd w:id="95"/>
      <w:bookmarkEnd w:id="96"/>
      <w:r w:rsidRPr="00340346">
        <w:rPr>
          <w:rFonts w:ascii="Arial" w:hAnsi="Arial" w:cs="Arial"/>
          <w:noProof/>
          <w:sz w:val="22"/>
        </w:rPr>
        <w:t>The opportunity areas with the best assessment may be grouped in:</w:t>
      </w:r>
      <w:r w:rsidR="00BD6994" w:rsidRPr="00340346">
        <w:rPr>
          <w:rFonts w:ascii="Arial" w:hAnsi="Arial" w:cs="Arial"/>
          <w:noProof/>
          <w:sz w:val="22"/>
        </w:rPr>
        <w:t xml:space="preserve"> (i)</w:t>
      </w:r>
      <w:bookmarkEnd w:id="97"/>
      <w:bookmarkEnd w:id="98"/>
      <w:r w:rsidR="00BD6994" w:rsidRPr="00340346">
        <w:rPr>
          <w:rFonts w:ascii="Arial" w:hAnsi="Arial" w:cs="Arial"/>
          <w:noProof/>
          <w:sz w:val="22"/>
        </w:rPr>
        <w:t xml:space="preserve"> </w:t>
      </w:r>
      <w:bookmarkStart w:id="99" w:name="_Toc504670871"/>
      <w:bookmarkStart w:id="100" w:name="_Toc504744713"/>
      <w:r w:rsidR="00E5227A" w:rsidRPr="00340346">
        <w:rPr>
          <w:rFonts w:ascii="Arial" w:hAnsi="Arial" w:cs="Arial"/>
          <w:noProof/>
          <w:sz w:val="22"/>
        </w:rPr>
        <w:t xml:space="preserve">Biogas </w:t>
      </w:r>
      <w:r w:rsidR="002C5DFD" w:rsidRPr="00340346">
        <w:rPr>
          <w:rFonts w:ascii="Arial" w:hAnsi="Arial" w:cs="Arial"/>
          <w:noProof/>
          <w:sz w:val="22"/>
        </w:rPr>
        <w:t>projects</w:t>
      </w:r>
      <w:r w:rsidR="00E5227A" w:rsidRPr="00340346">
        <w:rPr>
          <w:rFonts w:ascii="Arial" w:hAnsi="Arial" w:cs="Arial"/>
          <w:noProof/>
          <w:sz w:val="22"/>
        </w:rPr>
        <w:t xml:space="preserve"> for the pork sector, livestock sector (especially “feedlot”</w:t>
      </w:r>
      <w:r w:rsidR="00E5227A" w:rsidRPr="00340346">
        <w:rPr>
          <w:rFonts w:ascii="Arial" w:hAnsi="Arial" w:cs="Arial"/>
          <w:noProof/>
          <w:sz w:val="22"/>
          <w:vertAlign w:val="superscript"/>
        </w:rPr>
        <w:footnoteReference w:id="2"/>
      </w:r>
      <w:r w:rsidR="00E5227A" w:rsidRPr="00340346">
        <w:rPr>
          <w:rFonts w:ascii="Arial" w:hAnsi="Arial" w:cs="Arial"/>
          <w:noProof/>
          <w:sz w:val="22"/>
        </w:rPr>
        <w:t>), and the industrial sector (especially food processing)</w:t>
      </w:r>
      <w:r w:rsidR="00BD6994" w:rsidRPr="00340346">
        <w:rPr>
          <w:rFonts w:ascii="Arial" w:hAnsi="Arial" w:cs="Arial"/>
          <w:noProof/>
          <w:sz w:val="22"/>
        </w:rPr>
        <w:t>, (ii)</w:t>
      </w:r>
      <w:bookmarkEnd w:id="99"/>
      <w:bookmarkEnd w:id="100"/>
      <w:r w:rsidR="00BD6994" w:rsidRPr="00340346">
        <w:rPr>
          <w:rFonts w:ascii="Arial" w:hAnsi="Arial" w:cs="Arial"/>
          <w:noProof/>
          <w:sz w:val="22"/>
        </w:rPr>
        <w:t xml:space="preserve"> </w:t>
      </w:r>
      <w:bookmarkStart w:id="101" w:name="_Toc504670872"/>
      <w:bookmarkStart w:id="102" w:name="_Toc504744714"/>
      <w:r w:rsidR="00E5227A" w:rsidRPr="00340346">
        <w:rPr>
          <w:rFonts w:ascii="Arial" w:hAnsi="Arial" w:cs="Arial"/>
          <w:noProof/>
          <w:sz w:val="22"/>
        </w:rPr>
        <w:t>Biomass projects of agricultural and forest residues, as well as for industry (especially the paper and timber industries)</w:t>
      </w:r>
      <w:r w:rsidR="00BD6994" w:rsidRPr="00340346">
        <w:rPr>
          <w:rFonts w:ascii="Arial" w:hAnsi="Arial" w:cs="Arial"/>
          <w:noProof/>
          <w:sz w:val="22"/>
        </w:rPr>
        <w:t>, (iii)</w:t>
      </w:r>
      <w:r w:rsidR="00810CDB" w:rsidRPr="00340346">
        <w:rPr>
          <w:rFonts w:ascii="Arial" w:hAnsi="Arial" w:cs="Arial"/>
          <w:noProof/>
          <w:sz w:val="22"/>
        </w:rPr>
        <w:t> </w:t>
      </w:r>
      <w:r w:rsidR="00BD6994" w:rsidRPr="00340346">
        <w:rPr>
          <w:rFonts w:ascii="Arial" w:hAnsi="Arial" w:cs="Arial"/>
          <w:noProof/>
          <w:sz w:val="22"/>
        </w:rPr>
        <w:t>Industrial and commercial energy efficiency (electric/thermal), especially for the chemical, food processing, dairy, and plastics industries that make intensive use of thermal and electric energy. The technologies include cooling systems, motors, cogeneration, solar preheating of water, boilers, and heat recovery.</w:t>
      </w:r>
      <w:r w:rsidR="00734C69" w:rsidRPr="00340346">
        <w:rPr>
          <w:rFonts w:ascii="Arial" w:hAnsi="Arial" w:cs="Arial"/>
          <w:noProof/>
          <w:sz w:val="22"/>
        </w:rPr>
        <w:t xml:space="preserve"> The following table summarizes the analysis of these three sectors, showing the potential size, as well as the required financing to serve a percentage of the market. Subsequently, the information is described in further detail.</w:t>
      </w:r>
      <w:bookmarkEnd w:id="101"/>
      <w:bookmarkEnd w:id="102"/>
    </w:p>
    <w:p w14:paraId="134327C8" w14:textId="77777777" w:rsidR="00734C69" w:rsidRPr="00340346" w:rsidRDefault="00734C69" w:rsidP="00810CDB">
      <w:pPr>
        <w:spacing w:before="0" w:after="0" w:line="240" w:lineRule="auto"/>
        <w:rPr>
          <w:rFonts w:ascii="Arial" w:hAnsi="Arial" w:cs="Arial"/>
          <w:noProof/>
          <w:sz w:val="22"/>
          <w:szCs w:val="22"/>
          <w:lang w:val="en-US"/>
        </w:rPr>
      </w:pPr>
    </w:p>
    <w:p w14:paraId="1259DE54" w14:textId="77777777" w:rsidR="00DF6B46" w:rsidRPr="00340346" w:rsidRDefault="00F11E04" w:rsidP="00C80112">
      <w:pPr>
        <w:spacing w:before="0" w:after="0" w:line="240" w:lineRule="auto"/>
        <w:jc w:val="center"/>
        <w:rPr>
          <w:rFonts w:ascii="Arial" w:hAnsi="Arial" w:cs="Arial"/>
          <w:b/>
          <w:noProof/>
          <w:sz w:val="20"/>
          <w:szCs w:val="20"/>
          <w:lang w:val="en-US"/>
        </w:rPr>
      </w:pPr>
      <w:bookmarkStart w:id="103" w:name="_Toc504670873"/>
      <w:r w:rsidRPr="00340346">
        <w:rPr>
          <w:rFonts w:ascii="Arial" w:hAnsi="Arial" w:cs="Arial"/>
          <w:b/>
          <w:noProof/>
          <w:sz w:val="20"/>
          <w:szCs w:val="20"/>
          <w:lang w:val="en-US"/>
        </w:rPr>
        <w:t>Table 2</w:t>
      </w:r>
      <w:r w:rsidR="00734C69" w:rsidRPr="00340346">
        <w:rPr>
          <w:rFonts w:ascii="Arial" w:hAnsi="Arial" w:cs="Arial"/>
          <w:b/>
          <w:noProof/>
          <w:sz w:val="20"/>
          <w:szCs w:val="20"/>
          <w:lang w:val="en-US"/>
        </w:rPr>
        <w:t>.</w:t>
      </w:r>
      <w:r w:rsidRPr="00340346">
        <w:rPr>
          <w:rFonts w:ascii="Arial" w:hAnsi="Arial" w:cs="Arial"/>
          <w:b/>
          <w:noProof/>
          <w:sz w:val="20"/>
          <w:szCs w:val="20"/>
          <w:lang w:val="en-US"/>
        </w:rPr>
        <w:t>1</w:t>
      </w:r>
      <w:r w:rsidR="00734C69" w:rsidRPr="00340346">
        <w:rPr>
          <w:rFonts w:ascii="Arial" w:hAnsi="Arial" w:cs="Arial"/>
          <w:b/>
          <w:noProof/>
          <w:sz w:val="20"/>
          <w:szCs w:val="20"/>
          <w:lang w:val="en-US"/>
        </w:rPr>
        <w:t>. Prioritized opportunity areas</w:t>
      </w:r>
      <w:bookmarkEnd w:id="103"/>
    </w:p>
    <w:tbl>
      <w:tblPr>
        <w:tblpPr w:leftFromText="141" w:rightFromText="141" w:vertAnchor="text" w:horzAnchor="page" w:tblpX="1093" w:tblpY="86"/>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550"/>
        <w:gridCol w:w="1800"/>
        <w:gridCol w:w="2268"/>
        <w:gridCol w:w="2268"/>
        <w:gridCol w:w="2009"/>
      </w:tblGrid>
      <w:tr w:rsidR="00361E68" w:rsidRPr="00340346" w14:paraId="3D9329D0" w14:textId="77777777" w:rsidTr="0087236D">
        <w:trPr>
          <w:trHeight w:val="54"/>
          <w:tblHeader/>
        </w:trPr>
        <w:tc>
          <w:tcPr>
            <w:tcW w:w="1550" w:type="dxa"/>
            <w:shd w:val="clear" w:color="auto" w:fill="4F81BD"/>
            <w:tcMar>
              <w:top w:w="20" w:type="dxa"/>
              <w:left w:w="20" w:type="dxa"/>
              <w:bottom w:w="0" w:type="dxa"/>
              <w:right w:w="20" w:type="dxa"/>
            </w:tcMar>
            <w:vAlign w:val="center"/>
            <w:hideMark/>
          </w:tcPr>
          <w:p w14:paraId="1CB2F89C" w14:textId="77777777" w:rsidR="00361E68" w:rsidRPr="00340346" w:rsidRDefault="00361E68" w:rsidP="00C80112">
            <w:pPr>
              <w:spacing w:before="0" w:after="0" w:line="240" w:lineRule="auto"/>
              <w:jc w:val="center"/>
              <w:rPr>
                <w:rFonts w:ascii="Arial" w:hAnsi="Arial" w:cs="Arial"/>
                <w:noProof/>
                <w:sz w:val="20"/>
                <w:szCs w:val="20"/>
                <w:lang w:val="en-US"/>
              </w:rPr>
            </w:pPr>
            <w:r w:rsidRPr="00340346">
              <w:rPr>
                <w:rFonts w:ascii="Arial" w:hAnsi="Arial" w:cs="Arial"/>
                <w:noProof/>
                <w:sz w:val="20"/>
                <w:szCs w:val="20"/>
                <w:lang w:val="en-US"/>
              </w:rPr>
              <w:t>Technology</w:t>
            </w:r>
          </w:p>
        </w:tc>
        <w:tc>
          <w:tcPr>
            <w:tcW w:w="1800" w:type="dxa"/>
            <w:shd w:val="clear" w:color="auto" w:fill="4F81BD"/>
            <w:tcMar>
              <w:top w:w="20" w:type="dxa"/>
              <w:left w:w="20" w:type="dxa"/>
              <w:bottom w:w="0" w:type="dxa"/>
              <w:right w:w="20" w:type="dxa"/>
            </w:tcMar>
            <w:vAlign w:val="center"/>
            <w:hideMark/>
          </w:tcPr>
          <w:p w14:paraId="18F84613" w14:textId="77777777" w:rsidR="00361E68" w:rsidRPr="00340346" w:rsidRDefault="00361E68" w:rsidP="00C80112">
            <w:pPr>
              <w:spacing w:before="0" w:after="0" w:line="240" w:lineRule="auto"/>
              <w:jc w:val="center"/>
              <w:rPr>
                <w:rFonts w:ascii="Arial" w:hAnsi="Arial" w:cs="Arial"/>
                <w:noProof/>
                <w:sz w:val="20"/>
                <w:szCs w:val="20"/>
                <w:lang w:val="en-US"/>
              </w:rPr>
            </w:pPr>
            <w:r w:rsidRPr="00340346">
              <w:rPr>
                <w:rFonts w:ascii="Arial" w:hAnsi="Arial" w:cs="Arial"/>
                <w:noProof/>
                <w:sz w:val="20"/>
                <w:szCs w:val="20"/>
                <w:lang w:val="en-US"/>
              </w:rPr>
              <w:t>Sectors</w:t>
            </w:r>
          </w:p>
        </w:tc>
        <w:tc>
          <w:tcPr>
            <w:tcW w:w="2268" w:type="dxa"/>
            <w:shd w:val="clear" w:color="auto" w:fill="4F81BD"/>
            <w:tcMar>
              <w:top w:w="20" w:type="dxa"/>
              <w:left w:w="20" w:type="dxa"/>
              <w:bottom w:w="0" w:type="dxa"/>
              <w:right w:w="20" w:type="dxa"/>
            </w:tcMar>
            <w:vAlign w:val="center"/>
            <w:hideMark/>
          </w:tcPr>
          <w:p w14:paraId="07A512BC" w14:textId="77777777" w:rsidR="00361E68" w:rsidRPr="00340346" w:rsidRDefault="00361E68" w:rsidP="00C80112">
            <w:pPr>
              <w:spacing w:before="0" w:after="0" w:line="240" w:lineRule="auto"/>
              <w:jc w:val="center"/>
              <w:rPr>
                <w:rFonts w:ascii="Arial" w:hAnsi="Arial" w:cs="Arial"/>
                <w:noProof/>
                <w:sz w:val="20"/>
                <w:szCs w:val="20"/>
                <w:lang w:val="en-US"/>
              </w:rPr>
            </w:pPr>
            <w:r w:rsidRPr="00340346">
              <w:rPr>
                <w:rFonts w:ascii="Arial" w:hAnsi="Arial" w:cs="Arial"/>
                <w:noProof/>
                <w:sz w:val="20"/>
                <w:szCs w:val="20"/>
                <w:lang w:val="en-US"/>
              </w:rPr>
              <w:t>Description</w:t>
            </w:r>
          </w:p>
        </w:tc>
        <w:tc>
          <w:tcPr>
            <w:tcW w:w="2268" w:type="dxa"/>
            <w:shd w:val="clear" w:color="auto" w:fill="4F81BD"/>
            <w:tcMar>
              <w:top w:w="20" w:type="dxa"/>
              <w:left w:w="20" w:type="dxa"/>
              <w:bottom w:w="0" w:type="dxa"/>
              <w:right w:w="20" w:type="dxa"/>
            </w:tcMar>
            <w:vAlign w:val="center"/>
            <w:hideMark/>
          </w:tcPr>
          <w:p w14:paraId="62CC62E1" w14:textId="77777777" w:rsidR="00361E68" w:rsidRPr="00340346" w:rsidRDefault="00361E68" w:rsidP="00C80112">
            <w:pPr>
              <w:spacing w:before="0" w:after="0" w:line="240" w:lineRule="auto"/>
              <w:jc w:val="center"/>
              <w:rPr>
                <w:rFonts w:ascii="Arial" w:hAnsi="Arial" w:cs="Arial"/>
                <w:noProof/>
                <w:sz w:val="20"/>
                <w:szCs w:val="20"/>
                <w:lang w:val="en-US"/>
              </w:rPr>
            </w:pPr>
            <w:r w:rsidRPr="00340346">
              <w:rPr>
                <w:rFonts w:ascii="Arial" w:hAnsi="Arial" w:cs="Arial"/>
                <w:noProof/>
                <w:sz w:val="20"/>
                <w:szCs w:val="20"/>
                <w:lang w:val="en-US"/>
              </w:rPr>
              <w:t>Estimated market size</w:t>
            </w:r>
          </w:p>
        </w:tc>
        <w:tc>
          <w:tcPr>
            <w:tcW w:w="2009" w:type="dxa"/>
            <w:shd w:val="clear" w:color="auto" w:fill="4F81BD"/>
            <w:tcMar>
              <w:top w:w="20" w:type="dxa"/>
              <w:left w:w="20" w:type="dxa"/>
              <w:bottom w:w="0" w:type="dxa"/>
              <w:right w:w="20" w:type="dxa"/>
            </w:tcMar>
            <w:vAlign w:val="center"/>
            <w:hideMark/>
          </w:tcPr>
          <w:p w14:paraId="55FA2E80" w14:textId="77777777" w:rsidR="00361E68" w:rsidRPr="00340346" w:rsidRDefault="00361E68" w:rsidP="00C80112">
            <w:pPr>
              <w:spacing w:before="0" w:after="0" w:line="240" w:lineRule="auto"/>
              <w:jc w:val="center"/>
              <w:rPr>
                <w:rFonts w:ascii="Arial" w:hAnsi="Arial" w:cs="Arial"/>
                <w:noProof/>
                <w:sz w:val="20"/>
                <w:szCs w:val="20"/>
                <w:lang w:val="en-US"/>
              </w:rPr>
            </w:pPr>
            <w:r w:rsidRPr="00340346">
              <w:rPr>
                <w:rFonts w:ascii="Arial" w:hAnsi="Arial" w:cs="Arial"/>
                <w:noProof/>
                <w:sz w:val="20"/>
                <w:szCs w:val="20"/>
                <w:lang w:val="en-US"/>
              </w:rPr>
              <w:t>Possible line</w:t>
            </w:r>
            <w:r w:rsidRPr="00340346">
              <w:rPr>
                <w:rFonts w:ascii="Arial" w:hAnsi="Arial" w:cs="Arial"/>
                <w:noProof/>
                <w:sz w:val="20"/>
                <w:szCs w:val="20"/>
                <w:vertAlign w:val="superscript"/>
                <w:lang w:val="en-US"/>
              </w:rPr>
              <w:footnoteReference w:id="3"/>
            </w:r>
            <w:r w:rsidRPr="00340346">
              <w:rPr>
                <w:rFonts w:ascii="Arial" w:hAnsi="Arial" w:cs="Arial"/>
                <w:noProof/>
                <w:sz w:val="20"/>
                <w:szCs w:val="20"/>
                <w:vertAlign w:val="superscript"/>
                <w:lang w:val="en-US"/>
              </w:rPr>
              <w:t xml:space="preserve"> </w:t>
            </w:r>
          </w:p>
        </w:tc>
      </w:tr>
      <w:tr w:rsidR="00361E68" w:rsidRPr="00BD21C6" w14:paraId="62C01C54" w14:textId="77777777" w:rsidTr="0087236D">
        <w:trPr>
          <w:trHeight w:val="2036"/>
        </w:trPr>
        <w:tc>
          <w:tcPr>
            <w:tcW w:w="1550" w:type="dxa"/>
            <w:shd w:val="clear" w:color="auto" w:fill="E9EDF4"/>
            <w:tcMar>
              <w:top w:w="20" w:type="dxa"/>
              <w:left w:w="20" w:type="dxa"/>
              <w:bottom w:w="0" w:type="dxa"/>
              <w:right w:w="20" w:type="dxa"/>
            </w:tcMar>
            <w:hideMark/>
          </w:tcPr>
          <w:p w14:paraId="51B7ED66"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Biogas Plants</w:t>
            </w:r>
          </w:p>
        </w:tc>
        <w:tc>
          <w:tcPr>
            <w:tcW w:w="1800" w:type="dxa"/>
            <w:shd w:val="clear" w:color="auto" w:fill="E9EDF4"/>
            <w:tcMar>
              <w:top w:w="20" w:type="dxa"/>
              <w:left w:w="20" w:type="dxa"/>
              <w:bottom w:w="0" w:type="dxa"/>
              <w:right w:w="20" w:type="dxa"/>
            </w:tcMar>
            <w:hideMark/>
          </w:tcPr>
          <w:p w14:paraId="181B3DEB"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Pig farmers</w:t>
            </w:r>
          </w:p>
          <w:p w14:paraId="68232E5F"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Livestock industry (feedlot)</w:t>
            </w:r>
          </w:p>
          <w:p w14:paraId="28B6CFB9"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Food processing industry</w:t>
            </w:r>
          </w:p>
        </w:tc>
        <w:tc>
          <w:tcPr>
            <w:tcW w:w="2268" w:type="dxa"/>
            <w:shd w:val="clear" w:color="auto" w:fill="E9EDF4"/>
            <w:tcMar>
              <w:top w:w="20" w:type="dxa"/>
              <w:left w:w="20" w:type="dxa"/>
              <w:bottom w:w="0" w:type="dxa"/>
              <w:right w:w="20" w:type="dxa"/>
            </w:tcMar>
            <w:hideMark/>
          </w:tcPr>
          <w:p w14:paraId="084BC48D"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Sale of energy to the network</w:t>
            </w:r>
          </w:p>
          <w:p w14:paraId="5DC00E9E"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Self-consumption</w:t>
            </w:r>
          </w:p>
        </w:tc>
        <w:tc>
          <w:tcPr>
            <w:tcW w:w="2268" w:type="dxa"/>
            <w:shd w:val="clear" w:color="auto" w:fill="E9EDF4"/>
            <w:tcMar>
              <w:top w:w="20" w:type="dxa"/>
              <w:left w:w="20" w:type="dxa"/>
              <w:bottom w:w="0" w:type="dxa"/>
              <w:right w:w="20" w:type="dxa"/>
            </w:tcMar>
            <w:hideMark/>
          </w:tcPr>
          <w:p w14:paraId="2BFDA27C"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2,996 pig farms (with more than 50 mothers)</w:t>
            </w:r>
          </w:p>
          <w:p w14:paraId="3C4F35C8"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2,000 bovine farms (feedlot)</w:t>
            </w:r>
          </w:p>
          <w:p w14:paraId="45CEFF1D"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4,200 food processing and beverage companies</w:t>
            </w:r>
          </w:p>
        </w:tc>
        <w:tc>
          <w:tcPr>
            <w:tcW w:w="2009" w:type="dxa"/>
            <w:shd w:val="clear" w:color="auto" w:fill="E9EDF4"/>
            <w:tcMar>
              <w:top w:w="20" w:type="dxa"/>
              <w:left w:w="20" w:type="dxa"/>
              <w:bottom w:w="0" w:type="dxa"/>
              <w:right w:w="20" w:type="dxa"/>
            </w:tcMar>
            <w:hideMark/>
          </w:tcPr>
          <w:p w14:paraId="311DE3FD"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US</w:t>
            </w:r>
            <w:r w:rsidR="00810CDB" w:rsidRPr="00340346">
              <w:rPr>
                <w:rFonts w:ascii="Arial" w:hAnsi="Arial" w:cs="Arial"/>
                <w:noProof/>
                <w:sz w:val="20"/>
                <w:szCs w:val="20"/>
                <w:lang w:val="en-US"/>
              </w:rPr>
              <w:t>$</w:t>
            </w:r>
            <w:r w:rsidRPr="00340346">
              <w:rPr>
                <w:rFonts w:ascii="Arial" w:hAnsi="Arial" w:cs="Arial"/>
                <w:noProof/>
                <w:sz w:val="20"/>
                <w:szCs w:val="20"/>
                <w:lang w:val="en-US"/>
              </w:rPr>
              <w:t>77 million financing (serving 637 companies – 8% of potential market)</w:t>
            </w:r>
          </w:p>
        </w:tc>
      </w:tr>
      <w:tr w:rsidR="00361E68" w:rsidRPr="00BD21C6" w14:paraId="44BEC061" w14:textId="77777777" w:rsidTr="0087236D">
        <w:trPr>
          <w:trHeight w:val="220"/>
        </w:trPr>
        <w:tc>
          <w:tcPr>
            <w:tcW w:w="1550" w:type="dxa"/>
            <w:shd w:val="clear" w:color="auto" w:fill="FFFFFF"/>
            <w:tcMar>
              <w:top w:w="20" w:type="dxa"/>
              <w:left w:w="20" w:type="dxa"/>
              <w:bottom w:w="0" w:type="dxa"/>
              <w:right w:w="20" w:type="dxa"/>
            </w:tcMar>
            <w:hideMark/>
          </w:tcPr>
          <w:p w14:paraId="7F0B9DED"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Dry biomass plants (agricultural and forest residues)</w:t>
            </w:r>
          </w:p>
        </w:tc>
        <w:tc>
          <w:tcPr>
            <w:tcW w:w="1800" w:type="dxa"/>
            <w:shd w:val="clear" w:color="auto" w:fill="FFFFFF"/>
            <w:tcMar>
              <w:top w:w="20" w:type="dxa"/>
              <w:left w:w="20" w:type="dxa"/>
              <w:bottom w:w="0" w:type="dxa"/>
              <w:right w:w="20" w:type="dxa"/>
            </w:tcMar>
            <w:hideMark/>
          </w:tcPr>
          <w:p w14:paraId="7BB67E03"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Agricultural, forest residues, paper and timber industry.</w:t>
            </w:r>
          </w:p>
        </w:tc>
        <w:tc>
          <w:tcPr>
            <w:tcW w:w="2268" w:type="dxa"/>
            <w:shd w:val="clear" w:color="auto" w:fill="FFFFFF"/>
            <w:tcMar>
              <w:top w:w="20" w:type="dxa"/>
              <w:left w:w="20" w:type="dxa"/>
              <w:bottom w:w="0" w:type="dxa"/>
              <w:right w:w="20" w:type="dxa"/>
            </w:tcMar>
            <w:hideMark/>
          </w:tcPr>
          <w:p w14:paraId="230D2F1B"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Sale of energy to the network</w:t>
            </w:r>
          </w:p>
        </w:tc>
        <w:tc>
          <w:tcPr>
            <w:tcW w:w="2268" w:type="dxa"/>
            <w:shd w:val="clear" w:color="auto" w:fill="FFFFFF"/>
            <w:tcMar>
              <w:top w:w="20" w:type="dxa"/>
              <w:left w:w="20" w:type="dxa"/>
              <w:bottom w:w="0" w:type="dxa"/>
              <w:right w:w="20" w:type="dxa"/>
            </w:tcMar>
            <w:hideMark/>
          </w:tcPr>
          <w:p w14:paraId="4BD4D595"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 xml:space="preserve">Biomass plants for 86 MW </w:t>
            </w:r>
          </w:p>
        </w:tc>
        <w:tc>
          <w:tcPr>
            <w:tcW w:w="2009" w:type="dxa"/>
            <w:shd w:val="clear" w:color="auto" w:fill="FFFFFF"/>
            <w:tcMar>
              <w:top w:w="20" w:type="dxa"/>
              <w:left w:w="20" w:type="dxa"/>
              <w:bottom w:w="0" w:type="dxa"/>
              <w:right w:w="20" w:type="dxa"/>
            </w:tcMar>
            <w:hideMark/>
          </w:tcPr>
          <w:p w14:paraId="3F128680" w14:textId="77777777" w:rsidR="00361E68" w:rsidRPr="00340346" w:rsidRDefault="00810CDB"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US$</w:t>
            </w:r>
            <w:r w:rsidR="00361E68" w:rsidRPr="00340346">
              <w:rPr>
                <w:rFonts w:ascii="Arial" w:hAnsi="Arial" w:cs="Arial"/>
                <w:noProof/>
                <w:sz w:val="20"/>
                <w:szCs w:val="20"/>
                <w:lang w:val="en-US"/>
              </w:rPr>
              <w:t xml:space="preserve">42 million financing (serving </w:t>
            </w:r>
            <w:r w:rsidRPr="00340346">
              <w:rPr>
                <w:rFonts w:ascii="Arial" w:hAnsi="Arial" w:cs="Arial"/>
                <w:noProof/>
                <w:sz w:val="20"/>
                <w:szCs w:val="20"/>
                <w:lang w:val="en-US"/>
              </w:rPr>
              <w:t>four</w:t>
            </w:r>
            <w:r w:rsidR="00361E68" w:rsidRPr="00340346">
              <w:rPr>
                <w:rFonts w:ascii="Arial" w:hAnsi="Arial" w:cs="Arial"/>
                <w:noProof/>
                <w:sz w:val="20"/>
                <w:szCs w:val="20"/>
                <w:lang w:val="en-US"/>
              </w:rPr>
              <w:t xml:space="preserve"> projects, equivalent to 35% of the market)</w:t>
            </w:r>
          </w:p>
        </w:tc>
      </w:tr>
      <w:tr w:rsidR="00361E68" w:rsidRPr="00BD21C6" w14:paraId="12C5908D" w14:textId="77777777" w:rsidTr="0087236D">
        <w:trPr>
          <w:trHeight w:val="379"/>
        </w:trPr>
        <w:tc>
          <w:tcPr>
            <w:tcW w:w="1550" w:type="dxa"/>
            <w:vMerge w:val="restart"/>
            <w:shd w:val="clear" w:color="auto" w:fill="DCE6F2"/>
            <w:tcMar>
              <w:top w:w="20" w:type="dxa"/>
              <w:left w:w="20" w:type="dxa"/>
              <w:bottom w:w="0" w:type="dxa"/>
              <w:right w:w="20" w:type="dxa"/>
            </w:tcMar>
            <w:hideMark/>
          </w:tcPr>
          <w:p w14:paraId="64E727F2"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Industrial and commercial energy efficiency (electric/thermal)</w:t>
            </w:r>
          </w:p>
          <w:p w14:paraId="12F45F89" w14:textId="77777777" w:rsidR="00361E68" w:rsidRPr="00340346" w:rsidRDefault="00361E68" w:rsidP="00C80112">
            <w:pPr>
              <w:spacing w:before="0" w:after="0" w:line="240" w:lineRule="auto"/>
              <w:jc w:val="left"/>
              <w:rPr>
                <w:rFonts w:ascii="Arial" w:hAnsi="Arial" w:cs="Arial"/>
                <w:noProof/>
                <w:sz w:val="20"/>
                <w:szCs w:val="20"/>
                <w:lang w:val="en-US"/>
              </w:rPr>
            </w:pPr>
          </w:p>
        </w:tc>
        <w:tc>
          <w:tcPr>
            <w:tcW w:w="1800" w:type="dxa"/>
            <w:shd w:val="clear" w:color="auto" w:fill="DCE6F2"/>
            <w:tcMar>
              <w:top w:w="20" w:type="dxa"/>
              <w:left w:w="20" w:type="dxa"/>
              <w:bottom w:w="0" w:type="dxa"/>
              <w:right w:w="20" w:type="dxa"/>
            </w:tcMar>
            <w:hideMark/>
          </w:tcPr>
          <w:p w14:paraId="4401BE78"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 xml:space="preserve">Industry (e.g., chemical, food processing, dairy) </w:t>
            </w:r>
          </w:p>
        </w:tc>
        <w:tc>
          <w:tcPr>
            <w:tcW w:w="2268" w:type="dxa"/>
            <w:shd w:val="clear" w:color="auto" w:fill="DCE6F2"/>
            <w:tcMar>
              <w:top w:w="20" w:type="dxa"/>
              <w:left w:w="20" w:type="dxa"/>
              <w:bottom w:w="0" w:type="dxa"/>
              <w:right w:w="20" w:type="dxa"/>
            </w:tcMar>
            <w:hideMark/>
          </w:tcPr>
          <w:p w14:paraId="11F4E82C"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Solar thermal collectors</w:t>
            </w:r>
          </w:p>
          <w:p w14:paraId="7B7BAD02"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Cogeneration systems</w:t>
            </w:r>
          </w:p>
          <w:p w14:paraId="52A91B70"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Industrial refrigeration</w:t>
            </w:r>
          </w:p>
          <w:p w14:paraId="3C8E7F50"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Heat recovery</w:t>
            </w:r>
          </w:p>
        </w:tc>
        <w:tc>
          <w:tcPr>
            <w:tcW w:w="2268" w:type="dxa"/>
            <w:vMerge w:val="restart"/>
            <w:shd w:val="clear" w:color="auto" w:fill="DCE6F2"/>
            <w:tcMar>
              <w:top w:w="20" w:type="dxa"/>
              <w:left w:w="20" w:type="dxa"/>
              <w:bottom w:w="0" w:type="dxa"/>
              <w:right w:w="20" w:type="dxa"/>
            </w:tcMar>
            <w:hideMark/>
          </w:tcPr>
          <w:p w14:paraId="41B701EB"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75,000 SME companies + large company</w:t>
            </w:r>
          </w:p>
        </w:tc>
        <w:tc>
          <w:tcPr>
            <w:tcW w:w="2009" w:type="dxa"/>
            <w:vMerge w:val="restart"/>
            <w:shd w:val="clear" w:color="auto" w:fill="DCE6F2"/>
            <w:tcMar>
              <w:top w:w="20" w:type="dxa"/>
              <w:left w:w="20" w:type="dxa"/>
              <w:bottom w:w="0" w:type="dxa"/>
              <w:right w:w="20" w:type="dxa"/>
            </w:tcMar>
            <w:hideMark/>
          </w:tcPr>
          <w:p w14:paraId="24D176C1"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US</w:t>
            </w:r>
            <w:r w:rsidR="00810CDB" w:rsidRPr="00340346">
              <w:rPr>
                <w:rFonts w:ascii="Arial" w:hAnsi="Arial" w:cs="Arial"/>
                <w:noProof/>
                <w:sz w:val="20"/>
                <w:szCs w:val="20"/>
                <w:lang w:val="en-US"/>
              </w:rPr>
              <w:t>$</w:t>
            </w:r>
            <w:r w:rsidRPr="00340346">
              <w:rPr>
                <w:rFonts w:ascii="Arial" w:hAnsi="Arial" w:cs="Arial"/>
                <w:noProof/>
                <w:sz w:val="20"/>
                <w:szCs w:val="20"/>
                <w:lang w:val="en-US"/>
              </w:rPr>
              <w:t>41 million financing (serving 10% of the potential market – 598 companies)</w:t>
            </w:r>
          </w:p>
        </w:tc>
      </w:tr>
      <w:tr w:rsidR="00361E68" w:rsidRPr="00BD21C6" w14:paraId="5908717D" w14:textId="77777777" w:rsidTr="0087236D">
        <w:trPr>
          <w:trHeight w:val="1370"/>
        </w:trPr>
        <w:tc>
          <w:tcPr>
            <w:tcW w:w="1550" w:type="dxa"/>
            <w:vMerge/>
            <w:vAlign w:val="center"/>
            <w:hideMark/>
          </w:tcPr>
          <w:p w14:paraId="40471ACF" w14:textId="77777777" w:rsidR="00361E68" w:rsidRPr="00340346" w:rsidRDefault="00361E68" w:rsidP="00C80112">
            <w:pPr>
              <w:spacing w:before="0" w:after="0" w:line="240" w:lineRule="auto"/>
              <w:jc w:val="left"/>
              <w:rPr>
                <w:rFonts w:ascii="Arial" w:hAnsi="Arial" w:cs="Arial"/>
                <w:b/>
                <w:noProof/>
                <w:sz w:val="20"/>
                <w:szCs w:val="20"/>
                <w:lang w:val="en-US"/>
              </w:rPr>
            </w:pPr>
          </w:p>
        </w:tc>
        <w:tc>
          <w:tcPr>
            <w:tcW w:w="1800" w:type="dxa"/>
            <w:shd w:val="clear" w:color="auto" w:fill="DCE6F2"/>
            <w:tcMar>
              <w:top w:w="20" w:type="dxa"/>
              <w:left w:w="20" w:type="dxa"/>
              <w:bottom w:w="0" w:type="dxa"/>
              <w:right w:w="20" w:type="dxa"/>
            </w:tcMar>
            <w:hideMark/>
          </w:tcPr>
          <w:p w14:paraId="02DC49C6"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Commercial sector (e.g., hotels, hospitals)</w:t>
            </w:r>
          </w:p>
        </w:tc>
        <w:tc>
          <w:tcPr>
            <w:tcW w:w="2268" w:type="dxa"/>
            <w:shd w:val="clear" w:color="auto" w:fill="DCE6F2"/>
            <w:tcMar>
              <w:top w:w="20" w:type="dxa"/>
              <w:left w:w="20" w:type="dxa"/>
              <w:bottom w:w="0" w:type="dxa"/>
              <w:right w:w="20" w:type="dxa"/>
            </w:tcMar>
            <w:hideMark/>
          </w:tcPr>
          <w:p w14:paraId="5806EAD9"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Solar thermal collectors</w:t>
            </w:r>
          </w:p>
          <w:p w14:paraId="1C6C7056"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Cogeneration systems</w:t>
            </w:r>
          </w:p>
          <w:p w14:paraId="071E5422" w14:textId="77777777" w:rsidR="00361E68" w:rsidRPr="00340346" w:rsidRDefault="00361E68" w:rsidP="00C80112">
            <w:pPr>
              <w:spacing w:before="0" w:after="0" w:line="240" w:lineRule="auto"/>
              <w:jc w:val="left"/>
              <w:rPr>
                <w:rFonts w:ascii="Arial" w:hAnsi="Arial" w:cs="Arial"/>
                <w:noProof/>
                <w:sz w:val="20"/>
                <w:szCs w:val="20"/>
                <w:lang w:val="en-US"/>
              </w:rPr>
            </w:pPr>
            <w:r w:rsidRPr="00340346">
              <w:rPr>
                <w:rFonts w:ascii="Arial" w:hAnsi="Arial" w:cs="Arial"/>
                <w:noProof/>
                <w:sz w:val="20"/>
                <w:szCs w:val="20"/>
                <w:lang w:val="en-US"/>
              </w:rPr>
              <w:t>HVAC</w:t>
            </w:r>
          </w:p>
        </w:tc>
        <w:tc>
          <w:tcPr>
            <w:tcW w:w="2268" w:type="dxa"/>
            <w:vMerge/>
            <w:hideMark/>
          </w:tcPr>
          <w:p w14:paraId="318E5B5E" w14:textId="77777777" w:rsidR="00361E68" w:rsidRPr="00340346" w:rsidRDefault="00361E68" w:rsidP="00C80112">
            <w:pPr>
              <w:spacing w:before="0" w:after="0" w:line="240" w:lineRule="auto"/>
              <w:jc w:val="left"/>
              <w:rPr>
                <w:rFonts w:ascii="Arial" w:hAnsi="Arial" w:cs="Arial"/>
                <w:b/>
                <w:noProof/>
                <w:sz w:val="20"/>
                <w:szCs w:val="20"/>
                <w:lang w:val="en-US"/>
              </w:rPr>
            </w:pPr>
          </w:p>
        </w:tc>
        <w:tc>
          <w:tcPr>
            <w:tcW w:w="2009" w:type="dxa"/>
            <w:vMerge/>
            <w:hideMark/>
          </w:tcPr>
          <w:p w14:paraId="3D53F5C6" w14:textId="77777777" w:rsidR="00361E68" w:rsidRPr="00340346" w:rsidRDefault="00361E68" w:rsidP="00C80112">
            <w:pPr>
              <w:spacing w:before="0" w:after="0" w:line="240" w:lineRule="auto"/>
              <w:jc w:val="left"/>
              <w:rPr>
                <w:rFonts w:ascii="Arial" w:hAnsi="Arial" w:cs="Arial"/>
                <w:b/>
                <w:noProof/>
                <w:sz w:val="20"/>
                <w:szCs w:val="20"/>
                <w:lang w:val="en-US"/>
              </w:rPr>
            </w:pPr>
          </w:p>
        </w:tc>
      </w:tr>
    </w:tbl>
    <w:p w14:paraId="33F6A9F8" w14:textId="77777777" w:rsidR="00F46E6A" w:rsidRPr="00340346" w:rsidRDefault="00F46E6A" w:rsidP="00C80112">
      <w:pPr>
        <w:pStyle w:val="Chapter"/>
        <w:numPr>
          <w:ilvl w:val="0"/>
          <w:numId w:val="0"/>
        </w:numPr>
        <w:jc w:val="both"/>
        <w:rPr>
          <w:rFonts w:ascii="Arial" w:hAnsi="Arial" w:cs="Arial"/>
          <w:noProof/>
          <w:sz w:val="20"/>
          <w:szCs w:val="20"/>
        </w:rPr>
        <w:sectPr w:rsidR="00F46E6A" w:rsidRPr="00340346" w:rsidSect="00F46E6A">
          <w:type w:val="continuous"/>
          <w:pgSz w:w="11900" w:h="16840"/>
          <w:pgMar w:top="1985" w:right="1417" w:bottom="1134" w:left="1417" w:header="708" w:footer="708" w:gutter="0"/>
          <w:pgNumType w:start="1"/>
          <w:cols w:space="708"/>
          <w:titlePg/>
          <w:docGrid w:linePitch="360"/>
        </w:sectPr>
      </w:pPr>
    </w:p>
    <w:p w14:paraId="18E3559B" w14:textId="77777777" w:rsidR="00734C69" w:rsidRPr="00340346" w:rsidRDefault="00734C69" w:rsidP="00810CDB">
      <w:pPr>
        <w:pStyle w:val="Chapter"/>
        <w:spacing w:before="0"/>
        <w:rPr>
          <w:rFonts w:ascii="Arial" w:hAnsi="Arial" w:cs="Arial"/>
          <w:noProof/>
          <w:sz w:val="22"/>
        </w:rPr>
      </w:pPr>
      <w:r w:rsidRPr="00340346">
        <w:rPr>
          <w:rFonts w:ascii="Arial" w:hAnsi="Arial" w:cs="Arial"/>
          <w:noProof/>
        </w:rPr>
        <w:lastRenderedPageBreak/>
        <w:t>Technologies</w:t>
      </w:r>
    </w:p>
    <w:p w14:paraId="6457CBDC" w14:textId="77777777" w:rsidR="00DA1C00" w:rsidRPr="00340346" w:rsidRDefault="005D7666" w:rsidP="00C80112">
      <w:pPr>
        <w:pStyle w:val="Paragraph"/>
        <w:rPr>
          <w:rFonts w:ascii="Arial" w:hAnsi="Arial" w:cs="Arial"/>
          <w:noProof/>
          <w:sz w:val="22"/>
        </w:rPr>
      </w:pPr>
      <w:bookmarkStart w:id="104" w:name="_Toc504670874"/>
      <w:bookmarkStart w:id="105" w:name="_Toc504744715"/>
      <w:r w:rsidRPr="00340346">
        <w:rPr>
          <w:rFonts w:ascii="Arial" w:hAnsi="Arial" w:cs="Arial"/>
          <w:noProof/>
          <w:sz w:val="22"/>
        </w:rPr>
        <w:t>Biogas Plants</w:t>
      </w:r>
      <w:r w:rsidR="00734C69" w:rsidRPr="00340346">
        <w:rPr>
          <w:rFonts w:ascii="Arial" w:hAnsi="Arial" w:cs="Arial"/>
          <w:noProof/>
          <w:sz w:val="22"/>
        </w:rPr>
        <w:t xml:space="preserve"> -</w:t>
      </w:r>
      <w:bookmarkEnd w:id="104"/>
      <w:bookmarkEnd w:id="105"/>
      <w:r w:rsidR="00734C69" w:rsidRPr="00340346">
        <w:rPr>
          <w:rFonts w:ascii="Arial" w:hAnsi="Arial" w:cs="Arial"/>
          <w:noProof/>
          <w:sz w:val="22"/>
        </w:rPr>
        <w:t xml:space="preserve"> </w:t>
      </w:r>
      <w:bookmarkStart w:id="106" w:name="_Toc504670875"/>
      <w:bookmarkStart w:id="107" w:name="_Toc504744716"/>
      <w:r w:rsidR="00962CA2" w:rsidRPr="00340346">
        <w:rPr>
          <w:rFonts w:ascii="Arial" w:hAnsi="Arial" w:cs="Arial"/>
          <w:noProof/>
          <w:sz w:val="22"/>
        </w:rPr>
        <w:t xml:space="preserve">A waste </w:t>
      </w:r>
      <w:r w:rsidR="002C5DFD" w:rsidRPr="00340346">
        <w:rPr>
          <w:rFonts w:ascii="Arial" w:hAnsi="Arial" w:cs="Arial"/>
          <w:noProof/>
          <w:sz w:val="22"/>
        </w:rPr>
        <w:t>bio-digester</w:t>
      </w:r>
      <w:r w:rsidR="00962CA2" w:rsidRPr="00340346">
        <w:rPr>
          <w:rFonts w:ascii="Arial" w:hAnsi="Arial" w:cs="Arial"/>
          <w:noProof/>
          <w:sz w:val="22"/>
        </w:rPr>
        <w:t xml:space="preserve"> or digester is, in its most simple way, a sealed, hermetic, and watertight container called a reactor, in which organic material is deposited to ferment (animal feces, vegetable waste, etc.) in a given water dilution which through anaerobic fermentation produces methane gas and organic fertilizers rich in nitrogen, phosphorus, and potassium, and, in addition, decreases the polluting potential of the feces.</w:t>
      </w:r>
      <w:r w:rsidR="00962CA2" w:rsidRPr="00340346">
        <w:rPr>
          <w:rFonts w:ascii="Arial" w:hAnsi="Arial" w:cs="Arial"/>
          <w:noProof/>
          <w:sz w:val="22"/>
          <w:vertAlign w:val="superscript"/>
        </w:rPr>
        <w:footnoteReference w:id="4"/>
      </w:r>
      <w:bookmarkEnd w:id="106"/>
      <w:bookmarkEnd w:id="107"/>
      <w:r w:rsidR="00962CA2" w:rsidRPr="00340346">
        <w:rPr>
          <w:rFonts w:ascii="Arial" w:hAnsi="Arial" w:cs="Arial"/>
          <w:noProof/>
          <w:sz w:val="22"/>
        </w:rPr>
        <w:t xml:space="preserve"> </w:t>
      </w:r>
      <w:bookmarkStart w:id="108" w:name="_Toc504670876"/>
      <w:bookmarkStart w:id="109" w:name="_Toc504744717"/>
      <w:r w:rsidR="00DA1C00" w:rsidRPr="00340346">
        <w:rPr>
          <w:rFonts w:ascii="Arial" w:hAnsi="Arial" w:cs="Arial"/>
          <w:noProof/>
          <w:sz w:val="22"/>
        </w:rPr>
        <w:t>The industries where bio-digesters may potentially be applied include the pig, livestock sector and the food processing industrial sector. Energy generation through biogas plants is one of the preferred technologies under the renovAR program.</w:t>
      </w:r>
      <w:r w:rsidR="007814DA" w:rsidRPr="00340346">
        <w:rPr>
          <w:rFonts w:ascii="Arial" w:hAnsi="Arial" w:cs="Arial"/>
          <w:noProof/>
          <w:sz w:val="22"/>
          <w:vertAlign w:val="superscript"/>
        </w:rPr>
        <w:footnoteReference w:id="5"/>
      </w:r>
      <w:bookmarkStart w:id="110" w:name="_Toc504670877"/>
      <w:bookmarkStart w:id="111" w:name="_Toc504744718"/>
      <w:bookmarkEnd w:id="108"/>
      <w:bookmarkEnd w:id="109"/>
      <w:bookmarkEnd w:id="110"/>
      <w:bookmarkEnd w:id="111"/>
    </w:p>
    <w:p w14:paraId="407C159E" w14:textId="77777777" w:rsidR="00DA1C00" w:rsidRPr="00340346" w:rsidRDefault="00DA1C00" w:rsidP="00C80112">
      <w:pPr>
        <w:pStyle w:val="Paragraph"/>
        <w:rPr>
          <w:rFonts w:ascii="Arial" w:hAnsi="Arial" w:cs="Arial"/>
          <w:noProof/>
          <w:sz w:val="22"/>
        </w:rPr>
      </w:pPr>
      <w:bookmarkStart w:id="112" w:name="_Toc504670878"/>
      <w:bookmarkStart w:id="113" w:name="_Toc504744719"/>
      <w:r w:rsidRPr="00340346">
        <w:rPr>
          <w:rFonts w:ascii="Arial" w:hAnsi="Arial" w:cs="Arial"/>
          <w:noProof/>
          <w:sz w:val="22"/>
        </w:rPr>
        <w:t>Pork Industry in Argentina -</w:t>
      </w:r>
      <w:bookmarkEnd w:id="112"/>
      <w:bookmarkEnd w:id="113"/>
      <w:r w:rsidRPr="00340346">
        <w:rPr>
          <w:rFonts w:ascii="Arial" w:hAnsi="Arial" w:cs="Arial"/>
          <w:noProof/>
          <w:sz w:val="22"/>
        </w:rPr>
        <w:t xml:space="preserve"> </w:t>
      </w:r>
      <w:bookmarkStart w:id="114" w:name="_Toc504670880"/>
      <w:bookmarkStart w:id="115" w:name="_Toc504744721"/>
      <w:r w:rsidRPr="00340346">
        <w:rPr>
          <w:rFonts w:ascii="Arial" w:hAnsi="Arial" w:cs="Arial"/>
          <w:noProof/>
          <w:sz w:val="22"/>
        </w:rPr>
        <w:t xml:space="preserve">The production of pig meat grows about 10% annually. Production increased from 331 thousand tons in 2012 to 438 thousand tons in 2015. The sector has been growing and domestic pig production has been replacing pork imports. Imports fell 23% in 2015 compared with 2014. </w:t>
      </w:r>
      <w:r w:rsidRPr="00340346">
        <w:rPr>
          <w:rFonts w:ascii="Arial" w:hAnsi="Arial" w:cs="Arial"/>
          <w:noProof/>
          <w:sz w:val="22"/>
          <w:vertAlign w:val="superscript"/>
        </w:rPr>
        <w:footnoteReference w:id="6"/>
      </w:r>
      <w:bookmarkEnd w:id="114"/>
      <w:bookmarkEnd w:id="115"/>
      <w:r w:rsidRPr="00340346">
        <w:rPr>
          <w:rFonts w:ascii="Arial" w:hAnsi="Arial" w:cs="Arial"/>
          <w:noProof/>
          <w:sz w:val="22"/>
        </w:rPr>
        <w:t xml:space="preserve"> </w:t>
      </w:r>
      <w:bookmarkStart w:id="116" w:name="_Toc504670881"/>
      <w:bookmarkStart w:id="117" w:name="_Toc504744722"/>
      <w:r w:rsidRPr="00340346">
        <w:rPr>
          <w:rFonts w:ascii="Arial" w:hAnsi="Arial" w:cs="Arial"/>
          <w:noProof/>
          <w:sz w:val="22"/>
        </w:rPr>
        <w:t>An important aspect is that various provinces have a health regulatory framework that requires farms to have a waste treatment system.</w:t>
      </w:r>
      <w:r w:rsidRPr="00340346">
        <w:rPr>
          <w:rFonts w:ascii="Arial" w:hAnsi="Arial" w:cs="Arial"/>
          <w:noProof/>
          <w:sz w:val="22"/>
          <w:vertAlign w:val="superscript"/>
        </w:rPr>
        <w:footnoteReference w:id="7"/>
      </w:r>
      <w:r w:rsidR="00C80112" w:rsidRPr="00340346">
        <w:rPr>
          <w:rFonts w:ascii="Arial" w:hAnsi="Arial" w:cs="Arial"/>
          <w:noProof/>
          <w:sz w:val="22"/>
        </w:rPr>
        <w:t xml:space="preserve"> </w:t>
      </w:r>
      <w:r w:rsidRPr="00340346">
        <w:rPr>
          <w:rFonts w:ascii="Arial" w:hAnsi="Arial" w:cs="Arial"/>
          <w:noProof/>
          <w:sz w:val="22"/>
        </w:rPr>
        <w:t>This encourages investment in this type of technologies.</w:t>
      </w:r>
      <w:bookmarkStart w:id="118" w:name="_Toc504670882"/>
      <w:bookmarkStart w:id="119" w:name="_Toc504744723"/>
      <w:bookmarkEnd w:id="116"/>
      <w:bookmarkEnd w:id="117"/>
      <w:bookmarkEnd w:id="118"/>
      <w:bookmarkEnd w:id="119"/>
    </w:p>
    <w:p w14:paraId="2AAD43ED" w14:textId="77777777" w:rsidR="00DA1C00" w:rsidRPr="00340346" w:rsidRDefault="00DA1C00" w:rsidP="00C80112">
      <w:pPr>
        <w:pStyle w:val="Paragraph"/>
        <w:rPr>
          <w:rFonts w:ascii="Arial" w:hAnsi="Arial" w:cs="Arial"/>
          <w:noProof/>
          <w:sz w:val="22"/>
        </w:rPr>
      </w:pPr>
      <w:bookmarkStart w:id="120" w:name="_Toc504669702"/>
      <w:bookmarkStart w:id="121" w:name="_Toc504669974"/>
      <w:bookmarkStart w:id="122" w:name="_Toc504670246"/>
      <w:bookmarkStart w:id="123" w:name="_Toc504670615"/>
      <w:bookmarkStart w:id="124" w:name="_Toc504670883"/>
      <w:bookmarkStart w:id="125" w:name="_Toc504744724"/>
      <w:bookmarkStart w:id="126" w:name="_Toc504670884"/>
      <w:bookmarkStart w:id="127" w:name="_Toc504744725"/>
      <w:bookmarkEnd w:id="120"/>
      <w:bookmarkEnd w:id="121"/>
      <w:bookmarkEnd w:id="122"/>
      <w:bookmarkEnd w:id="123"/>
      <w:bookmarkEnd w:id="124"/>
      <w:bookmarkEnd w:id="125"/>
      <w:r w:rsidRPr="00340346">
        <w:rPr>
          <w:rFonts w:ascii="Arial" w:hAnsi="Arial" w:cs="Arial"/>
          <w:noProof/>
          <w:sz w:val="22"/>
        </w:rPr>
        <w:t>There are about 76,305 registered farms in Argentina. Most of these farms have less than 10 mothers. Farms are measured in terms of number of mothers, and it is estimated that each mother may have between 10 and 25 piglets depending on the productivity of the farm. The following figure shows the segmentation of the farms based on their size. There are around 60 thousand farms with less than 10 mothers, around 13 thousand farms that have between 11 and 50 mothers, 2 thousand farms that have between 51 and 100 mothers, 910 farms that have between 101 and 5</w:t>
      </w:r>
      <w:r w:rsidR="00810CDB" w:rsidRPr="00340346">
        <w:rPr>
          <w:rFonts w:ascii="Arial" w:hAnsi="Arial" w:cs="Arial"/>
          <w:noProof/>
          <w:sz w:val="22"/>
        </w:rPr>
        <w:t>0 </w:t>
      </w:r>
      <w:r w:rsidRPr="00340346">
        <w:rPr>
          <w:rFonts w:ascii="Arial" w:hAnsi="Arial" w:cs="Arial"/>
          <w:noProof/>
          <w:sz w:val="22"/>
        </w:rPr>
        <w:t>mothers, and 97 farms that have more than 500 mothers.</w:t>
      </w:r>
      <w:bookmarkEnd w:id="126"/>
      <w:bookmarkEnd w:id="127"/>
    </w:p>
    <w:p w14:paraId="5413B2C3" w14:textId="77777777" w:rsidR="000943A7" w:rsidRPr="00340346" w:rsidRDefault="000943A7" w:rsidP="00C80112">
      <w:pPr>
        <w:jc w:val="center"/>
        <w:rPr>
          <w:rFonts w:ascii="Arial" w:hAnsi="Arial" w:cs="Arial"/>
          <w:b/>
          <w:bCs/>
          <w:noProof/>
          <w:sz w:val="22"/>
          <w:szCs w:val="22"/>
          <w:lang w:val="en-US"/>
        </w:rPr>
      </w:pPr>
      <w:bookmarkStart w:id="128" w:name="_Toc477440578"/>
      <w:bookmarkStart w:id="129" w:name="_Toc504670885"/>
      <w:r w:rsidRPr="00340346">
        <w:rPr>
          <w:rFonts w:ascii="Arial" w:hAnsi="Arial" w:cs="Arial"/>
          <w:b/>
          <w:noProof/>
          <w:sz w:val="22"/>
          <w:szCs w:val="22"/>
          <w:lang w:val="en-US"/>
        </w:rPr>
        <w:t xml:space="preserve">Figure </w:t>
      </w:r>
      <w:r w:rsidR="00192CC2" w:rsidRPr="00340346">
        <w:rPr>
          <w:rFonts w:ascii="Arial" w:hAnsi="Arial" w:cs="Arial"/>
          <w:b/>
          <w:noProof/>
          <w:sz w:val="22"/>
          <w:szCs w:val="22"/>
          <w:lang w:val="en-US"/>
        </w:rPr>
        <w:t>3</w:t>
      </w:r>
      <w:r w:rsidR="00F11E04" w:rsidRPr="00340346">
        <w:rPr>
          <w:rFonts w:ascii="Arial" w:hAnsi="Arial" w:cs="Arial"/>
          <w:b/>
          <w:noProof/>
          <w:sz w:val="22"/>
          <w:szCs w:val="22"/>
          <w:lang w:val="en-US"/>
        </w:rPr>
        <w:t>.1.</w:t>
      </w:r>
      <w:r w:rsidRPr="00340346">
        <w:rPr>
          <w:rFonts w:ascii="Arial" w:hAnsi="Arial" w:cs="Arial"/>
          <w:b/>
          <w:noProof/>
          <w:sz w:val="22"/>
          <w:szCs w:val="22"/>
          <w:lang w:val="en-US"/>
        </w:rPr>
        <w:t xml:space="preserve"> </w:t>
      </w:r>
      <w:r w:rsidR="009B38CB" w:rsidRPr="00340346">
        <w:rPr>
          <w:rFonts w:ascii="Arial" w:hAnsi="Arial" w:cs="Arial"/>
          <w:b/>
          <w:noProof/>
          <w:sz w:val="22"/>
          <w:szCs w:val="22"/>
          <w:lang w:val="en-US"/>
        </w:rPr>
        <w:t>B</w:t>
      </w:r>
      <w:r w:rsidRPr="00340346">
        <w:rPr>
          <w:rFonts w:ascii="Arial" w:hAnsi="Arial" w:cs="Arial"/>
          <w:b/>
          <w:noProof/>
          <w:sz w:val="22"/>
          <w:szCs w:val="22"/>
          <w:lang w:val="en-US"/>
        </w:rPr>
        <w:t>iogas plant</w:t>
      </w:r>
      <w:bookmarkEnd w:id="128"/>
      <w:bookmarkEnd w:id="129"/>
    </w:p>
    <w:p w14:paraId="12BDD09D" w14:textId="77777777" w:rsidR="000943A7" w:rsidRPr="00340346" w:rsidRDefault="000943A7" w:rsidP="00C80112">
      <w:pPr>
        <w:jc w:val="center"/>
        <w:rPr>
          <w:rFonts w:ascii="Arial" w:hAnsi="Arial" w:cs="Arial"/>
          <w:noProof/>
          <w:sz w:val="22"/>
          <w:szCs w:val="22"/>
          <w:lang w:val="en-US"/>
        </w:rPr>
      </w:pPr>
      <w:r w:rsidRPr="00340346">
        <w:rPr>
          <w:rFonts w:ascii="Arial" w:hAnsi="Arial" w:cs="Arial"/>
          <w:noProof/>
          <w:sz w:val="22"/>
          <w:szCs w:val="22"/>
          <w:lang w:val="en-US" w:eastAsia="en-US"/>
        </w:rPr>
        <w:drawing>
          <wp:inline distT="0" distB="0" distL="0" distR="0" wp14:anchorId="6E308CE9" wp14:editId="579ABF81">
            <wp:extent cx="3325091" cy="1618489"/>
            <wp:effectExtent l="0" t="0" r="0" b="1270"/>
            <wp:docPr id="1" name="Bild 1" descr="ildergebnis für small biogas plant f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dergebnis für small biogas plant far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29650" cy="1620708"/>
                    </a:xfrm>
                    <a:prstGeom prst="rect">
                      <a:avLst/>
                    </a:prstGeom>
                    <a:noFill/>
                    <a:ln>
                      <a:noFill/>
                    </a:ln>
                  </pic:spPr>
                </pic:pic>
              </a:graphicData>
            </a:graphic>
          </wp:inline>
        </w:drawing>
      </w:r>
    </w:p>
    <w:p w14:paraId="16F8CE7C" w14:textId="77777777" w:rsidR="003E1CF4" w:rsidRPr="00340346" w:rsidRDefault="003E1CF4" w:rsidP="00C80112">
      <w:pPr>
        <w:jc w:val="center"/>
        <w:rPr>
          <w:rFonts w:ascii="Arial" w:hAnsi="Arial" w:cs="Arial"/>
          <w:b/>
          <w:noProof/>
          <w:sz w:val="22"/>
          <w:szCs w:val="22"/>
          <w:lang w:val="en-US"/>
        </w:rPr>
      </w:pPr>
    </w:p>
    <w:p w14:paraId="62162E68" w14:textId="77777777" w:rsidR="00810CDB" w:rsidRPr="00340346" w:rsidRDefault="00810CDB" w:rsidP="00C80112">
      <w:pPr>
        <w:jc w:val="center"/>
        <w:rPr>
          <w:rFonts w:ascii="Arial" w:hAnsi="Arial" w:cs="Arial"/>
          <w:b/>
          <w:noProof/>
          <w:sz w:val="22"/>
          <w:szCs w:val="22"/>
          <w:lang w:val="en-US"/>
        </w:rPr>
      </w:pPr>
    </w:p>
    <w:p w14:paraId="07FF30F0" w14:textId="77777777" w:rsidR="00AF4452" w:rsidRPr="00340346" w:rsidRDefault="00AF4452" w:rsidP="00C80112">
      <w:pPr>
        <w:jc w:val="center"/>
        <w:rPr>
          <w:rFonts w:ascii="Arial" w:hAnsi="Arial" w:cs="Arial"/>
          <w:b/>
          <w:noProof/>
          <w:sz w:val="22"/>
          <w:szCs w:val="22"/>
          <w:lang w:val="en-US"/>
        </w:rPr>
      </w:pPr>
      <w:bookmarkStart w:id="130" w:name="_Toc477440579"/>
      <w:bookmarkStart w:id="131" w:name="_Toc504670886"/>
      <w:r w:rsidRPr="00340346">
        <w:rPr>
          <w:rFonts w:ascii="Arial" w:hAnsi="Arial" w:cs="Arial"/>
          <w:b/>
          <w:noProof/>
          <w:sz w:val="22"/>
          <w:szCs w:val="22"/>
          <w:lang w:val="en-US"/>
        </w:rPr>
        <w:lastRenderedPageBreak/>
        <w:t xml:space="preserve">Figure </w:t>
      </w:r>
      <w:r w:rsidR="00192CC2" w:rsidRPr="00340346">
        <w:rPr>
          <w:rFonts w:ascii="Arial" w:hAnsi="Arial" w:cs="Arial"/>
          <w:b/>
          <w:noProof/>
          <w:sz w:val="22"/>
          <w:szCs w:val="22"/>
          <w:lang w:val="en-US"/>
        </w:rPr>
        <w:t>3</w:t>
      </w:r>
      <w:r w:rsidR="00F11E04" w:rsidRPr="00340346">
        <w:rPr>
          <w:rFonts w:ascii="Arial" w:hAnsi="Arial" w:cs="Arial"/>
          <w:b/>
          <w:noProof/>
          <w:sz w:val="22"/>
          <w:szCs w:val="22"/>
          <w:lang w:val="en-US"/>
        </w:rPr>
        <w:t>.2</w:t>
      </w:r>
      <w:r w:rsidRPr="00340346">
        <w:rPr>
          <w:rFonts w:ascii="Arial" w:hAnsi="Arial" w:cs="Arial"/>
          <w:b/>
          <w:noProof/>
          <w:sz w:val="22"/>
          <w:szCs w:val="22"/>
          <w:lang w:val="en-US"/>
        </w:rPr>
        <w:t xml:space="preserve"> Number of pig farms based on the number of mothers per farm</w:t>
      </w:r>
      <w:bookmarkEnd w:id="130"/>
      <w:bookmarkEnd w:id="131"/>
    </w:p>
    <w:p w14:paraId="640522E7" w14:textId="77777777" w:rsidR="00AF4452" w:rsidRPr="00340346" w:rsidRDefault="00140843">
      <w:pPr>
        <w:rPr>
          <w:rFonts w:ascii="Arial" w:hAnsi="Arial" w:cs="Arial"/>
          <w:noProof/>
          <w:sz w:val="22"/>
          <w:szCs w:val="22"/>
          <w:lang w:val="en-US"/>
        </w:rPr>
      </w:pPr>
      <w:r w:rsidRPr="00340346">
        <w:rPr>
          <w:rFonts w:ascii="Arial" w:hAnsi="Arial" w:cs="Arial"/>
          <w:noProof/>
          <w:sz w:val="22"/>
          <w:szCs w:val="22"/>
          <w:lang w:val="en-US" w:eastAsia="en-US"/>
        </w:rPr>
        <w:drawing>
          <wp:inline distT="0" distB="0" distL="0" distR="0" wp14:anchorId="66B19140" wp14:editId="451E38D7">
            <wp:extent cx="4572000" cy="2255520"/>
            <wp:effectExtent l="0" t="0" r="0" b="5080"/>
            <wp:docPr id="2" name="Diagram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418EF34" w14:textId="77777777" w:rsidR="00E41C58" w:rsidRPr="00340346" w:rsidRDefault="0054104B" w:rsidP="00C80112">
      <w:pPr>
        <w:pStyle w:val="Paragraph"/>
        <w:rPr>
          <w:rFonts w:ascii="Arial" w:hAnsi="Arial" w:cs="Arial"/>
          <w:noProof/>
          <w:sz w:val="22"/>
        </w:rPr>
      </w:pPr>
      <w:bookmarkStart w:id="132" w:name="_Toc504670887"/>
      <w:bookmarkStart w:id="133" w:name="_Toc504744726"/>
      <w:r w:rsidRPr="00340346">
        <w:rPr>
          <w:rFonts w:ascii="Arial" w:hAnsi="Arial" w:cs="Arial"/>
          <w:noProof/>
          <w:sz w:val="22"/>
        </w:rPr>
        <w:t xml:space="preserve">Most pig farms are concentrated in </w:t>
      </w:r>
      <w:r w:rsidR="007E7EB6" w:rsidRPr="00340346">
        <w:rPr>
          <w:rFonts w:ascii="Arial" w:hAnsi="Arial" w:cs="Arial"/>
          <w:noProof/>
          <w:sz w:val="22"/>
        </w:rPr>
        <w:t>five</w:t>
      </w:r>
      <w:r w:rsidRPr="00340346">
        <w:rPr>
          <w:rFonts w:ascii="Arial" w:hAnsi="Arial" w:cs="Arial"/>
          <w:noProof/>
          <w:sz w:val="22"/>
        </w:rPr>
        <w:t xml:space="preserve"> provinces where 60% of the farms are located: Buenos Aires, Córdoba, Santa Fe, Entre Ríos, and Chaco. This concentration may help in making the financing program promotion more efficient. The following table shows the distribution of the farms in the five provinces based on the number of mothers.</w:t>
      </w:r>
      <w:bookmarkEnd w:id="132"/>
      <w:bookmarkEnd w:id="133"/>
      <w:r w:rsidRPr="00340346">
        <w:rPr>
          <w:rFonts w:ascii="Arial" w:hAnsi="Arial" w:cs="Arial"/>
          <w:noProof/>
          <w:sz w:val="22"/>
        </w:rPr>
        <w:t xml:space="preserve"> </w:t>
      </w:r>
    </w:p>
    <w:p w14:paraId="3B9D7E53" w14:textId="77777777" w:rsidR="0054104B" w:rsidRPr="00340346" w:rsidRDefault="003316D4" w:rsidP="00C80112">
      <w:pPr>
        <w:spacing w:before="0" w:after="0" w:line="240" w:lineRule="auto"/>
        <w:contextualSpacing/>
        <w:jc w:val="center"/>
        <w:rPr>
          <w:rFonts w:ascii="Arial" w:hAnsi="Arial" w:cs="Arial"/>
          <w:b/>
          <w:noProof/>
          <w:sz w:val="20"/>
          <w:szCs w:val="20"/>
          <w:lang w:val="en-US"/>
        </w:rPr>
      </w:pPr>
      <w:bookmarkStart w:id="134" w:name="_Toc477440574"/>
      <w:bookmarkStart w:id="135" w:name="_Toc504670888"/>
      <w:r w:rsidRPr="00340346">
        <w:rPr>
          <w:rFonts w:ascii="Arial" w:hAnsi="Arial" w:cs="Arial"/>
          <w:b/>
          <w:noProof/>
          <w:sz w:val="20"/>
          <w:szCs w:val="20"/>
          <w:lang w:val="en-US"/>
        </w:rPr>
        <w:t xml:space="preserve">Table </w:t>
      </w:r>
      <w:r w:rsidR="00192CC2" w:rsidRPr="00340346">
        <w:rPr>
          <w:rFonts w:ascii="Arial" w:hAnsi="Arial" w:cs="Arial"/>
          <w:b/>
          <w:noProof/>
          <w:sz w:val="20"/>
          <w:szCs w:val="20"/>
          <w:lang w:val="en-US"/>
        </w:rPr>
        <w:t>3</w:t>
      </w:r>
      <w:r w:rsidR="00F11E04" w:rsidRPr="00340346">
        <w:rPr>
          <w:rFonts w:ascii="Arial" w:hAnsi="Arial" w:cs="Arial"/>
          <w:b/>
          <w:noProof/>
          <w:sz w:val="20"/>
          <w:szCs w:val="20"/>
          <w:lang w:val="en-US"/>
        </w:rPr>
        <w:t>.</w:t>
      </w:r>
      <w:r w:rsidR="00192CC2" w:rsidRPr="00340346">
        <w:rPr>
          <w:rFonts w:ascii="Arial" w:hAnsi="Arial" w:cs="Arial"/>
          <w:b/>
          <w:noProof/>
          <w:sz w:val="20"/>
          <w:szCs w:val="20"/>
          <w:lang w:val="en-US"/>
        </w:rPr>
        <w:t>1</w:t>
      </w:r>
      <w:r w:rsidRPr="00340346">
        <w:rPr>
          <w:rFonts w:ascii="Arial" w:hAnsi="Arial" w:cs="Arial"/>
          <w:b/>
          <w:noProof/>
          <w:sz w:val="20"/>
          <w:szCs w:val="20"/>
          <w:lang w:val="en-US"/>
        </w:rPr>
        <w:t>. Number of farms by province and by farm size (number of mother per farm)</w:t>
      </w:r>
      <w:bookmarkEnd w:id="134"/>
      <w:bookmarkEnd w:id="135"/>
    </w:p>
    <w:tbl>
      <w:tblPr>
        <w:tblW w:w="7852" w:type="dxa"/>
        <w:jc w:val="center"/>
        <w:tblLayout w:type="fixed"/>
        <w:tblCellMar>
          <w:left w:w="70" w:type="dxa"/>
          <w:right w:w="70" w:type="dxa"/>
        </w:tblCellMar>
        <w:tblLook w:val="04A0" w:firstRow="1" w:lastRow="0" w:firstColumn="1" w:lastColumn="0" w:noHBand="0" w:noVBand="1"/>
      </w:tblPr>
      <w:tblGrid>
        <w:gridCol w:w="1716"/>
        <w:gridCol w:w="1022"/>
        <w:gridCol w:w="1023"/>
        <w:gridCol w:w="1023"/>
        <w:gridCol w:w="1022"/>
        <w:gridCol w:w="1023"/>
        <w:gridCol w:w="1023"/>
      </w:tblGrid>
      <w:tr w:rsidR="0054104B" w:rsidRPr="00340346" w14:paraId="6E0DB72F" w14:textId="77777777" w:rsidTr="006D6077">
        <w:trPr>
          <w:trHeight w:val="280"/>
          <w:jc w:val="center"/>
        </w:trPr>
        <w:tc>
          <w:tcPr>
            <w:tcW w:w="1716" w:type="dxa"/>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tcBorders>
            <w:shd w:val="clear" w:color="000000" w:fill="548DD4" w:themeFill="text2" w:themeFillTint="99"/>
            <w:noWrap/>
            <w:vAlign w:val="center"/>
            <w:hideMark/>
          </w:tcPr>
          <w:p w14:paraId="2404073A" w14:textId="77777777" w:rsidR="0054104B" w:rsidRPr="00340346" w:rsidRDefault="0054104B" w:rsidP="00C80112">
            <w:pPr>
              <w:spacing w:before="0" w:after="0" w:line="240" w:lineRule="auto"/>
              <w:contextualSpacing/>
              <w:rPr>
                <w:rFonts w:ascii="Arial" w:hAnsi="Arial" w:cs="Arial"/>
                <w:noProof/>
                <w:sz w:val="22"/>
                <w:szCs w:val="22"/>
                <w:lang w:val="en-US"/>
              </w:rPr>
            </w:pPr>
            <w:r w:rsidRPr="00340346">
              <w:rPr>
                <w:rFonts w:ascii="Arial" w:hAnsi="Arial" w:cs="Arial"/>
                <w:noProof/>
                <w:sz w:val="22"/>
                <w:szCs w:val="22"/>
                <w:lang w:val="en-US"/>
              </w:rPr>
              <w:t>Province</w:t>
            </w:r>
          </w:p>
        </w:tc>
        <w:tc>
          <w:tcPr>
            <w:tcW w:w="1022" w:type="dxa"/>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tcBorders>
            <w:shd w:val="clear" w:color="000000" w:fill="548DD4" w:themeFill="text2" w:themeFillTint="99"/>
            <w:noWrap/>
            <w:vAlign w:val="center"/>
            <w:hideMark/>
          </w:tcPr>
          <w:p w14:paraId="49960413" w14:textId="77777777" w:rsidR="0054104B" w:rsidRPr="00340346" w:rsidRDefault="0054104B" w:rsidP="006D6077">
            <w:pPr>
              <w:spacing w:before="0" w:after="0" w:line="240" w:lineRule="auto"/>
              <w:contextualSpacing/>
              <w:jc w:val="center"/>
              <w:rPr>
                <w:rFonts w:ascii="Arial" w:hAnsi="Arial" w:cs="Arial"/>
                <w:noProof/>
                <w:sz w:val="22"/>
                <w:szCs w:val="22"/>
                <w:lang w:val="en-US"/>
              </w:rPr>
            </w:pPr>
            <w:r w:rsidRPr="00340346">
              <w:rPr>
                <w:rFonts w:ascii="Arial" w:hAnsi="Arial" w:cs="Arial"/>
                <w:noProof/>
                <w:sz w:val="22"/>
                <w:szCs w:val="22"/>
                <w:lang w:val="en-US"/>
              </w:rPr>
              <w:t>&lt;10</w:t>
            </w:r>
          </w:p>
        </w:tc>
        <w:tc>
          <w:tcPr>
            <w:tcW w:w="1023" w:type="dxa"/>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tcBorders>
            <w:shd w:val="clear" w:color="000000" w:fill="548DD4" w:themeFill="text2" w:themeFillTint="99"/>
            <w:noWrap/>
            <w:vAlign w:val="center"/>
            <w:hideMark/>
          </w:tcPr>
          <w:p w14:paraId="1B273C19" w14:textId="77777777" w:rsidR="0054104B" w:rsidRPr="00340346" w:rsidRDefault="0054104B" w:rsidP="006D6077">
            <w:pPr>
              <w:spacing w:before="0" w:after="0" w:line="240" w:lineRule="auto"/>
              <w:contextualSpacing/>
              <w:jc w:val="center"/>
              <w:rPr>
                <w:rFonts w:ascii="Arial" w:hAnsi="Arial" w:cs="Arial"/>
                <w:noProof/>
                <w:sz w:val="22"/>
                <w:szCs w:val="22"/>
                <w:lang w:val="en-US"/>
              </w:rPr>
            </w:pPr>
            <w:r w:rsidRPr="00340346">
              <w:rPr>
                <w:rFonts w:ascii="Arial" w:hAnsi="Arial" w:cs="Arial"/>
                <w:noProof/>
                <w:sz w:val="22"/>
                <w:szCs w:val="22"/>
                <w:lang w:val="en-US"/>
              </w:rPr>
              <w:t>11-50</w:t>
            </w:r>
          </w:p>
        </w:tc>
        <w:tc>
          <w:tcPr>
            <w:tcW w:w="1023" w:type="dxa"/>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tcBorders>
            <w:shd w:val="clear" w:color="000000" w:fill="548DD4" w:themeFill="text2" w:themeFillTint="99"/>
            <w:noWrap/>
            <w:vAlign w:val="center"/>
            <w:hideMark/>
          </w:tcPr>
          <w:p w14:paraId="4B3953D6" w14:textId="77777777" w:rsidR="0054104B" w:rsidRPr="00340346" w:rsidRDefault="0054104B" w:rsidP="006D6077">
            <w:pPr>
              <w:spacing w:before="0" w:after="0" w:line="240" w:lineRule="auto"/>
              <w:contextualSpacing/>
              <w:jc w:val="center"/>
              <w:rPr>
                <w:rFonts w:ascii="Arial" w:hAnsi="Arial" w:cs="Arial"/>
                <w:noProof/>
                <w:sz w:val="22"/>
                <w:szCs w:val="22"/>
                <w:lang w:val="en-US"/>
              </w:rPr>
            </w:pPr>
            <w:r w:rsidRPr="00340346">
              <w:rPr>
                <w:rFonts w:ascii="Arial" w:hAnsi="Arial" w:cs="Arial"/>
                <w:noProof/>
                <w:sz w:val="22"/>
                <w:szCs w:val="22"/>
                <w:lang w:val="en-US"/>
              </w:rPr>
              <w:t>51-100</w:t>
            </w:r>
          </w:p>
        </w:tc>
        <w:tc>
          <w:tcPr>
            <w:tcW w:w="1022" w:type="dxa"/>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tcBorders>
            <w:shd w:val="clear" w:color="000000" w:fill="548DD4" w:themeFill="text2" w:themeFillTint="99"/>
            <w:noWrap/>
            <w:vAlign w:val="center"/>
            <w:hideMark/>
          </w:tcPr>
          <w:p w14:paraId="715220E4" w14:textId="77777777" w:rsidR="0054104B" w:rsidRPr="00340346" w:rsidRDefault="0054104B" w:rsidP="006D6077">
            <w:pPr>
              <w:spacing w:before="0" w:after="0" w:line="240" w:lineRule="auto"/>
              <w:contextualSpacing/>
              <w:jc w:val="center"/>
              <w:rPr>
                <w:rFonts w:ascii="Arial" w:hAnsi="Arial" w:cs="Arial"/>
                <w:noProof/>
                <w:sz w:val="22"/>
                <w:szCs w:val="22"/>
                <w:lang w:val="en-US"/>
              </w:rPr>
            </w:pPr>
            <w:r w:rsidRPr="00340346">
              <w:rPr>
                <w:rFonts w:ascii="Arial" w:hAnsi="Arial" w:cs="Arial"/>
                <w:noProof/>
                <w:sz w:val="22"/>
                <w:szCs w:val="22"/>
                <w:lang w:val="en-US"/>
              </w:rPr>
              <w:t>101-500</w:t>
            </w:r>
          </w:p>
        </w:tc>
        <w:tc>
          <w:tcPr>
            <w:tcW w:w="1023" w:type="dxa"/>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tcBorders>
            <w:shd w:val="clear" w:color="000000" w:fill="548DD4" w:themeFill="text2" w:themeFillTint="99"/>
            <w:noWrap/>
            <w:vAlign w:val="center"/>
            <w:hideMark/>
          </w:tcPr>
          <w:p w14:paraId="76C4B719" w14:textId="77777777" w:rsidR="0054104B" w:rsidRPr="00340346" w:rsidRDefault="0054104B" w:rsidP="006D6077">
            <w:pPr>
              <w:spacing w:before="0" w:after="0" w:line="240" w:lineRule="auto"/>
              <w:contextualSpacing/>
              <w:jc w:val="center"/>
              <w:rPr>
                <w:rFonts w:ascii="Arial" w:hAnsi="Arial" w:cs="Arial"/>
                <w:noProof/>
                <w:sz w:val="22"/>
                <w:szCs w:val="22"/>
                <w:lang w:val="en-US"/>
              </w:rPr>
            </w:pPr>
            <w:r w:rsidRPr="00340346">
              <w:rPr>
                <w:rFonts w:ascii="Arial" w:hAnsi="Arial" w:cs="Arial"/>
                <w:noProof/>
                <w:sz w:val="22"/>
                <w:szCs w:val="22"/>
                <w:lang w:val="en-US"/>
              </w:rPr>
              <w:t>&gt;500</w:t>
            </w:r>
          </w:p>
        </w:tc>
        <w:tc>
          <w:tcPr>
            <w:tcW w:w="1023" w:type="dxa"/>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tcBorders>
            <w:shd w:val="clear" w:color="000000" w:fill="548DD4" w:themeFill="text2" w:themeFillTint="99"/>
            <w:noWrap/>
            <w:vAlign w:val="bottom"/>
            <w:hideMark/>
          </w:tcPr>
          <w:p w14:paraId="73B1260D" w14:textId="77777777" w:rsidR="0054104B" w:rsidRPr="00340346" w:rsidRDefault="0054104B" w:rsidP="006D6077">
            <w:pPr>
              <w:spacing w:before="0" w:after="0" w:line="240" w:lineRule="auto"/>
              <w:contextualSpacing/>
              <w:jc w:val="center"/>
              <w:rPr>
                <w:rFonts w:ascii="Arial" w:hAnsi="Arial" w:cs="Arial"/>
                <w:noProof/>
                <w:sz w:val="22"/>
                <w:szCs w:val="22"/>
                <w:lang w:val="en-US"/>
              </w:rPr>
            </w:pPr>
            <w:r w:rsidRPr="00340346">
              <w:rPr>
                <w:rFonts w:ascii="Arial" w:hAnsi="Arial" w:cs="Arial"/>
                <w:noProof/>
                <w:sz w:val="22"/>
                <w:szCs w:val="22"/>
                <w:lang w:val="en-US"/>
              </w:rPr>
              <w:t>% of total</w:t>
            </w:r>
          </w:p>
        </w:tc>
      </w:tr>
      <w:tr w:rsidR="00F80266" w:rsidRPr="00340346" w14:paraId="6BD8ACC7" w14:textId="77777777" w:rsidTr="006D6077">
        <w:trPr>
          <w:trHeight w:val="280"/>
          <w:jc w:val="center"/>
        </w:trPr>
        <w:tc>
          <w:tcPr>
            <w:tcW w:w="1716" w:type="dxa"/>
            <w:tcBorders>
              <w:top w:val="single" w:sz="4" w:space="0" w:color="262626" w:themeColor="text1" w:themeTint="D9"/>
              <w:left w:val="single" w:sz="4" w:space="0" w:color="auto"/>
              <w:bottom w:val="single" w:sz="4" w:space="0" w:color="auto"/>
              <w:right w:val="single" w:sz="4" w:space="0" w:color="auto"/>
            </w:tcBorders>
            <w:shd w:val="clear" w:color="000000" w:fill="FFFFFF"/>
            <w:noWrap/>
            <w:vAlign w:val="bottom"/>
            <w:hideMark/>
          </w:tcPr>
          <w:p w14:paraId="1F3966A9" w14:textId="77777777" w:rsidR="0054104B" w:rsidRPr="00340346" w:rsidRDefault="0054104B"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Buenos Aires</w:t>
            </w:r>
          </w:p>
        </w:tc>
        <w:tc>
          <w:tcPr>
            <w:tcW w:w="1022" w:type="dxa"/>
            <w:tcBorders>
              <w:top w:val="single" w:sz="4" w:space="0" w:color="262626" w:themeColor="text1" w:themeTint="D9"/>
              <w:left w:val="nil"/>
              <w:bottom w:val="single" w:sz="4" w:space="0" w:color="auto"/>
              <w:right w:val="single" w:sz="4" w:space="0" w:color="auto"/>
            </w:tcBorders>
            <w:shd w:val="clear" w:color="000000" w:fill="FFFFFF"/>
            <w:noWrap/>
            <w:vAlign w:val="bottom"/>
            <w:hideMark/>
          </w:tcPr>
          <w:p w14:paraId="78241A1D"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12,188</w:t>
            </w:r>
          </w:p>
        </w:tc>
        <w:tc>
          <w:tcPr>
            <w:tcW w:w="1023" w:type="dxa"/>
            <w:tcBorders>
              <w:top w:val="single" w:sz="4" w:space="0" w:color="262626" w:themeColor="text1" w:themeTint="D9"/>
              <w:left w:val="nil"/>
              <w:bottom w:val="single" w:sz="4" w:space="0" w:color="auto"/>
              <w:right w:val="single" w:sz="4" w:space="0" w:color="auto"/>
            </w:tcBorders>
            <w:shd w:val="clear" w:color="000000" w:fill="FFFFFF"/>
            <w:noWrap/>
            <w:vAlign w:val="bottom"/>
            <w:hideMark/>
          </w:tcPr>
          <w:p w14:paraId="1C0AB7A2"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3,036</w:t>
            </w:r>
          </w:p>
        </w:tc>
        <w:tc>
          <w:tcPr>
            <w:tcW w:w="1023" w:type="dxa"/>
            <w:tcBorders>
              <w:top w:val="single" w:sz="4" w:space="0" w:color="262626" w:themeColor="text1" w:themeTint="D9"/>
              <w:left w:val="nil"/>
              <w:bottom w:val="single" w:sz="4" w:space="0" w:color="auto"/>
              <w:right w:val="single" w:sz="4" w:space="0" w:color="auto"/>
            </w:tcBorders>
            <w:shd w:val="clear" w:color="000000" w:fill="FFFFFF"/>
            <w:noWrap/>
            <w:vAlign w:val="bottom"/>
            <w:hideMark/>
          </w:tcPr>
          <w:p w14:paraId="6233874F"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463</w:t>
            </w:r>
          </w:p>
        </w:tc>
        <w:tc>
          <w:tcPr>
            <w:tcW w:w="1022" w:type="dxa"/>
            <w:tcBorders>
              <w:top w:val="single" w:sz="4" w:space="0" w:color="262626" w:themeColor="text1" w:themeTint="D9"/>
              <w:left w:val="nil"/>
              <w:bottom w:val="single" w:sz="4" w:space="0" w:color="auto"/>
              <w:right w:val="single" w:sz="4" w:space="0" w:color="auto"/>
            </w:tcBorders>
            <w:shd w:val="clear" w:color="000000" w:fill="FFFFFF"/>
            <w:noWrap/>
            <w:vAlign w:val="bottom"/>
            <w:hideMark/>
          </w:tcPr>
          <w:p w14:paraId="6DDACA26"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257</w:t>
            </w:r>
          </w:p>
        </w:tc>
        <w:tc>
          <w:tcPr>
            <w:tcW w:w="1023" w:type="dxa"/>
            <w:tcBorders>
              <w:top w:val="single" w:sz="4" w:space="0" w:color="262626" w:themeColor="text1" w:themeTint="D9"/>
              <w:left w:val="nil"/>
              <w:bottom w:val="single" w:sz="4" w:space="0" w:color="auto"/>
              <w:right w:val="single" w:sz="4" w:space="0" w:color="auto"/>
            </w:tcBorders>
            <w:shd w:val="clear" w:color="000000" w:fill="FFFFFF"/>
            <w:noWrap/>
            <w:vAlign w:val="bottom"/>
            <w:hideMark/>
          </w:tcPr>
          <w:p w14:paraId="7D89F595"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24</w:t>
            </w:r>
          </w:p>
        </w:tc>
        <w:tc>
          <w:tcPr>
            <w:tcW w:w="1023" w:type="dxa"/>
            <w:tcBorders>
              <w:top w:val="single" w:sz="4" w:space="0" w:color="262626" w:themeColor="text1" w:themeTint="D9"/>
              <w:left w:val="nil"/>
              <w:bottom w:val="single" w:sz="4" w:space="0" w:color="auto"/>
              <w:right w:val="single" w:sz="4" w:space="0" w:color="auto"/>
            </w:tcBorders>
            <w:shd w:val="clear" w:color="000000" w:fill="FFFFFF"/>
            <w:noWrap/>
            <w:vAlign w:val="bottom"/>
            <w:hideMark/>
          </w:tcPr>
          <w:p w14:paraId="309F56FB" w14:textId="77777777" w:rsidR="0054104B" w:rsidRPr="00340346" w:rsidRDefault="0054104B" w:rsidP="006D6077">
            <w:pPr>
              <w:spacing w:before="0" w:after="0" w:line="240" w:lineRule="auto"/>
              <w:ind w:right="73"/>
              <w:jc w:val="right"/>
              <w:rPr>
                <w:rFonts w:ascii="Arial" w:hAnsi="Arial" w:cs="Arial"/>
                <w:noProof/>
                <w:sz w:val="22"/>
                <w:szCs w:val="22"/>
                <w:lang w:val="en-US"/>
              </w:rPr>
            </w:pPr>
            <w:r w:rsidRPr="00340346">
              <w:rPr>
                <w:rFonts w:ascii="Arial" w:hAnsi="Arial" w:cs="Arial"/>
                <w:noProof/>
                <w:sz w:val="22"/>
                <w:szCs w:val="22"/>
                <w:lang w:val="en-US"/>
              </w:rPr>
              <w:t>21%</w:t>
            </w:r>
          </w:p>
        </w:tc>
      </w:tr>
      <w:tr w:rsidR="00F80266" w:rsidRPr="00340346" w14:paraId="13A33259" w14:textId="77777777" w:rsidTr="006D6077">
        <w:trPr>
          <w:trHeight w:val="280"/>
          <w:jc w:val="center"/>
        </w:trPr>
        <w:tc>
          <w:tcPr>
            <w:tcW w:w="1716" w:type="dxa"/>
            <w:tcBorders>
              <w:top w:val="nil"/>
              <w:left w:val="single" w:sz="4" w:space="0" w:color="auto"/>
              <w:bottom w:val="single" w:sz="4" w:space="0" w:color="auto"/>
              <w:right w:val="single" w:sz="4" w:space="0" w:color="auto"/>
            </w:tcBorders>
            <w:shd w:val="clear" w:color="000000" w:fill="FFFFFF"/>
            <w:noWrap/>
            <w:vAlign w:val="bottom"/>
            <w:hideMark/>
          </w:tcPr>
          <w:p w14:paraId="72694713" w14:textId="77777777" w:rsidR="0054104B" w:rsidRPr="00340346" w:rsidRDefault="0054104B"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Córdoba</w:t>
            </w:r>
          </w:p>
        </w:tc>
        <w:tc>
          <w:tcPr>
            <w:tcW w:w="1022" w:type="dxa"/>
            <w:tcBorders>
              <w:top w:val="nil"/>
              <w:left w:val="nil"/>
              <w:bottom w:val="single" w:sz="4" w:space="0" w:color="auto"/>
              <w:right w:val="single" w:sz="4" w:space="0" w:color="auto"/>
            </w:tcBorders>
            <w:shd w:val="clear" w:color="000000" w:fill="FFFFFF"/>
            <w:noWrap/>
            <w:vAlign w:val="bottom"/>
            <w:hideMark/>
          </w:tcPr>
          <w:p w14:paraId="4BD89C9D"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7,859</w:t>
            </w:r>
          </w:p>
        </w:tc>
        <w:tc>
          <w:tcPr>
            <w:tcW w:w="1023" w:type="dxa"/>
            <w:tcBorders>
              <w:top w:val="nil"/>
              <w:left w:val="nil"/>
              <w:bottom w:val="single" w:sz="4" w:space="0" w:color="auto"/>
              <w:right w:val="single" w:sz="4" w:space="0" w:color="auto"/>
            </w:tcBorders>
            <w:shd w:val="clear" w:color="000000" w:fill="FFFFFF"/>
            <w:noWrap/>
            <w:vAlign w:val="bottom"/>
            <w:hideMark/>
          </w:tcPr>
          <w:p w14:paraId="4FFCFE7D"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2,262</w:t>
            </w:r>
          </w:p>
        </w:tc>
        <w:tc>
          <w:tcPr>
            <w:tcW w:w="1023" w:type="dxa"/>
            <w:tcBorders>
              <w:top w:val="nil"/>
              <w:left w:val="nil"/>
              <w:bottom w:val="single" w:sz="4" w:space="0" w:color="auto"/>
              <w:right w:val="single" w:sz="4" w:space="0" w:color="auto"/>
            </w:tcBorders>
            <w:shd w:val="clear" w:color="000000" w:fill="FFFFFF"/>
            <w:noWrap/>
            <w:vAlign w:val="bottom"/>
            <w:hideMark/>
          </w:tcPr>
          <w:p w14:paraId="37BBD7E1"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461</w:t>
            </w:r>
          </w:p>
        </w:tc>
        <w:tc>
          <w:tcPr>
            <w:tcW w:w="1022" w:type="dxa"/>
            <w:tcBorders>
              <w:top w:val="nil"/>
              <w:left w:val="nil"/>
              <w:bottom w:val="single" w:sz="4" w:space="0" w:color="auto"/>
              <w:right w:val="single" w:sz="4" w:space="0" w:color="auto"/>
            </w:tcBorders>
            <w:shd w:val="clear" w:color="000000" w:fill="FFFFFF"/>
            <w:noWrap/>
            <w:vAlign w:val="bottom"/>
            <w:hideMark/>
          </w:tcPr>
          <w:p w14:paraId="3C559DBE"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193</w:t>
            </w:r>
          </w:p>
        </w:tc>
        <w:tc>
          <w:tcPr>
            <w:tcW w:w="1023" w:type="dxa"/>
            <w:tcBorders>
              <w:top w:val="nil"/>
              <w:left w:val="nil"/>
              <w:bottom w:val="single" w:sz="4" w:space="0" w:color="auto"/>
              <w:right w:val="single" w:sz="4" w:space="0" w:color="auto"/>
            </w:tcBorders>
            <w:shd w:val="clear" w:color="000000" w:fill="FFFFFF"/>
            <w:noWrap/>
            <w:vAlign w:val="bottom"/>
            <w:hideMark/>
          </w:tcPr>
          <w:p w14:paraId="3B91550B"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29</w:t>
            </w:r>
          </w:p>
        </w:tc>
        <w:tc>
          <w:tcPr>
            <w:tcW w:w="1023" w:type="dxa"/>
            <w:tcBorders>
              <w:top w:val="nil"/>
              <w:left w:val="nil"/>
              <w:bottom w:val="single" w:sz="4" w:space="0" w:color="auto"/>
              <w:right w:val="single" w:sz="4" w:space="0" w:color="auto"/>
            </w:tcBorders>
            <w:shd w:val="clear" w:color="000000" w:fill="FFFFFF"/>
            <w:noWrap/>
            <w:vAlign w:val="bottom"/>
            <w:hideMark/>
          </w:tcPr>
          <w:p w14:paraId="51786ABA" w14:textId="77777777" w:rsidR="0054104B" w:rsidRPr="00340346" w:rsidRDefault="0054104B" w:rsidP="006D6077">
            <w:pPr>
              <w:spacing w:before="0" w:after="0" w:line="240" w:lineRule="auto"/>
              <w:ind w:right="73"/>
              <w:jc w:val="right"/>
              <w:rPr>
                <w:rFonts w:ascii="Arial" w:hAnsi="Arial" w:cs="Arial"/>
                <w:noProof/>
                <w:sz w:val="22"/>
                <w:szCs w:val="22"/>
                <w:lang w:val="en-US"/>
              </w:rPr>
            </w:pPr>
            <w:r w:rsidRPr="00340346">
              <w:rPr>
                <w:rFonts w:ascii="Arial" w:hAnsi="Arial" w:cs="Arial"/>
                <w:noProof/>
                <w:sz w:val="22"/>
                <w:szCs w:val="22"/>
                <w:lang w:val="en-US"/>
              </w:rPr>
              <w:t>14%</w:t>
            </w:r>
          </w:p>
        </w:tc>
      </w:tr>
      <w:tr w:rsidR="00F80266" w:rsidRPr="00340346" w14:paraId="5C6C1BEC" w14:textId="77777777" w:rsidTr="006D6077">
        <w:trPr>
          <w:trHeight w:val="280"/>
          <w:jc w:val="center"/>
        </w:trPr>
        <w:tc>
          <w:tcPr>
            <w:tcW w:w="1716" w:type="dxa"/>
            <w:tcBorders>
              <w:top w:val="nil"/>
              <w:left w:val="single" w:sz="4" w:space="0" w:color="auto"/>
              <w:bottom w:val="single" w:sz="4" w:space="0" w:color="auto"/>
              <w:right w:val="single" w:sz="4" w:space="0" w:color="auto"/>
            </w:tcBorders>
            <w:shd w:val="clear" w:color="000000" w:fill="FFFFFF"/>
            <w:noWrap/>
            <w:vAlign w:val="bottom"/>
            <w:hideMark/>
          </w:tcPr>
          <w:p w14:paraId="76CF2C76" w14:textId="77777777" w:rsidR="0054104B" w:rsidRPr="00340346" w:rsidRDefault="0054104B"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Santa Fe</w:t>
            </w:r>
          </w:p>
        </w:tc>
        <w:tc>
          <w:tcPr>
            <w:tcW w:w="1022" w:type="dxa"/>
            <w:tcBorders>
              <w:top w:val="nil"/>
              <w:left w:val="nil"/>
              <w:bottom w:val="single" w:sz="4" w:space="0" w:color="auto"/>
              <w:right w:val="single" w:sz="4" w:space="0" w:color="auto"/>
            </w:tcBorders>
            <w:shd w:val="clear" w:color="000000" w:fill="FFFFFF"/>
            <w:noWrap/>
            <w:vAlign w:val="bottom"/>
            <w:hideMark/>
          </w:tcPr>
          <w:p w14:paraId="04E9AA8D"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3,670</w:t>
            </w:r>
          </w:p>
        </w:tc>
        <w:tc>
          <w:tcPr>
            <w:tcW w:w="1023" w:type="dxa"/>
            <w:tcBorders>
              <w:top w:val="nil"/>
              <w:left w:val="nil"/>
              <w:bottom w:val="single" w:sz="4" w:space="0" w:color="auto"/>
              <w:right w:val="single" w:sz="4" w:space="0" w:color="auto"/>
            </w:tcBorders>
            <w:shd w:val="clear" w:color="000000" w:fill="FFFFFF"/>
            <w:noWrap/>
            <w:vAlign w:val="bottom"/>
            <w:hideMark/>
          </w:tcPr>
          <w:p w14:paraId="1340841F"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1,201</w:t>
            </w:r>
          </w:p>
        </w:tc>
        <w:tc>
          <w:tcPr>
            <w:tcW w:w="1023" w:type="dxa"/>
            <w:tcBorders>
              <w:top w:val="nil"/>
              <w:left w:val="nil"/>
              <w:bottom w:val="single" w:sz="4" w:space="0" w:color="auto"/>
              <w:right w:val="single" w:sz="4" w:space="0" w:color="auto"/>
            </w:tcBorders>
            <w:shd w:val="clear" w:color="000000" w:fill="FFFFFF"/>
            <w:noWrap/>
            <w:vAlign w:val="bottom"/>
            <w:hideMark/>
          </w:tcPr>
          <w:p w14:paraId="2D1942C6"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317</w:t>
            </w:r>
          </w:p>
        </w:tc>
        <w:tc>
          <w:tcPr>
            <w:tcW w:w="1022" w:type="dxa"/>
            <w:tcBorders>
              <w:top w:val="nil"/>
              <w:left w:val="nil"/>
              <w:bottom w:val="single" w:sz="4" w:space="0" w:color="auto"/>
              <w:right w:val="single" w:sz="4" w:space="0" w:color="auto"/>
            </w:tcBorders>
            <w:shd w:val="clear" w:color="000000" w:fill="FFFFFF"/>
            <w:noWrap/>
            <w:vAlign w:val="bottom"/>
            <w:hideMark/>
          </w:tcPr>
          <w:p w14:paraId="3D237188"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166</w:t>
            </w:r>
          </w:p>
        </w:tc>
        <w:tc>
          <w:tcPr>
            <w:tcW w:w="1023" w:type="dxa"/>
            <w:tcBorders>
              <w:top w:val="nil"/>
              <w:left w:val="nil"/>
              <w:bottom w:val="single" w:sz="4" w:space="0" w:color="auto"/>
              <w:right w:val="single" w:sz="4" w:space="0" w:color="auto"/>
            </w:tcBorders>
            <w:shd w:val="clear" w:color="000000" w:fill="FFFFFF"/>
            <w:noWrap/>
            <w:vAlign w:val="bottom"/>
            <w:hideMark/>
          </w:tcPr>
          <w:p w14:paraId="13C752D0"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12</w:t>
            </w:r>
          </w:p>
        </w:tc>
        <w:tc>
          <w:tcPr>
            <w:tcW w:w="1023" w:type="dxa"/>
            <w:tcBorders>
              <w:top w:val="nil"/>
              <w:left w:val="nil"/>
              <w:bottom w:val="single" w:sz="4" w:space="0" w:color="auto"/>
              <w:right w:val="single" w:sz="4" w:space="0" w:color="auto"/>
            </w:tcBorders>
            <w:shd w:val="clear" w:color="000000" w:fill="FFFFFF"/>
            <w:noWrap/>
            <w:vAlign w:val="bottom"/>
            <w:hideMark/>
          </w:tcPr>
          <w:p w14:paraId="60C0B852" w14:textId="77777777" w:rsidR="0054104B" w:rsidRPr="00340346" w:rsidRDefault="0054104B" w:rsidP="006D6077">
            <w:pPr>
              <w:spacing w:before="0" w:after="0" w:line="240" w:lineRule="auto"/>
              <w:ind w:right="73"/>
              <w:jc w:val="right"/>
              <w:rPr>
                <w:rFonts w:ascii="Arial" w:hAnsi="Arial" w:cs="Arial"/>
                <w:noProof/>
                <w:sz w:val="22"/>
                <w:szCs w:val="22"/>
                <w:lang w:val="en-US"/>
              </w:rPr>
            </w:pPr>
            <w:r w:rsidRPr="00340346">
              <w:rPr>
                <w:rFonts w:ascii="Arial" w:hAnsi="Arial" w:cs="Arial"/>
                <w:noProof/>
                <w:sz w:val="22"/>
                <w:szCs w:val="22"/>
                <w:lang w:val="en-US"/>
              </w:rPr>
              <w:t>7%</w:t>
            </w:r>
          </w:p>
        </w:tc>
      </w:tr>
      <w:tr w:rsidR="00F80266" w:rsidRPr="00340346" w14:paraId="2A44A219" w14:textId="77777777" w:rsidTr="006D6077">
        <w:trPr>
          <w:trHeight w:val="280"/>
          <w:jc w:val="center"/>
        </w:trPr>
        <w:tc>
          <w:tcPr>
            <w:tcW w:w="1716" w:type="dxa"/>
            <w:tcBorders>
              <w:top w:val="nil"/>
              <w:left w:val="single" w:sz="4" w:space="0" w:color="auto"/>
              <w:bottom w:val="single" w:sz="4" w:space="0" w:color="auto"/>
              <w:right w:val="single" w:sz="4" w:space="0" w:color="auto"/>
            </w:tcBorders>
            <w:shd w:val="clear" w:color="000000" w:fill="FFFFFF"/>
            <w:noWrap/>
            <w:vAlign w:val="bottom"/>
            <w:hideMark/>
          </w:tcPr>
          <w:p w14:paraId="3A78096C" w14:textId="77777777" w:rsidR="0054104B" w:rsidRPr="00340346" w:rsidRDefault="0054104B"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Entre Ríos</w:t>
            </w:r>
          </w:p>
        </w:tc>
        <w:tc>
          <w:tcPr>
            <w:tcW w:w="1022" w:type="dxa"/>
            <w:tcBorders>
              <w:top w:val="nil"/>
              <w:left w:val="nil"/>
              <w:bottom w:val="single" w:sz="4" w:space="0" w:color="auto"/>
              <w:right w:val="single" w:sz="4" w:space="0" w:color="auto"/>
            </w:tcBorders>
            <w:shd w:val="clear" w:color="000000" w:fill="FFFFFF"/>
            <w:noWrap/>
            <w:vAlign w:val="bottom"/>
            <w:hideMark/>
          </w:tcPr>
          <w:p w14:paraId="2A0E4229"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4,797</w:t>
            </w:r>
          </w:p>
        </w:tc>
        <w:tc>
          <w:tcPr>
            <w:tcW w:w="1023" w:type="dxa"/>
            <w:tcBorders>
              <w:top w:val="nil"/>
              <w:left w:val="nil"/>
              <w:bottom w:val="single" w:sz="4" w:space="0" w:color="auto"/>
              <w:right w:val="single" w:sz="4" w:space="0" w:color="auto"/>
            </w:tcBorders>
            <w:shd w:val="clear" w:color="000000" w:fill="FFFFFF"/>
            <w:noWrap/>
            <w:vAlign w:val="bottom"/>
            <w:hideMark/>
          </w:tcPr>
          <w:p w14:paraId="000CF524"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442</w:t>
            </w:r>
          </w:p>
        </w:tc>
        <w:tc>
          <w:tcPr>
            <w:tcW w:w="1023" w:type="dxa"/>
            <w:tcBorders>
              <w:top w:val="nil"/>
              <w:left w:val="nil"/>
              <w:bottom w:val="single" w:sz="4" w:space="0" w:color="auto"/>
              <w:right w:val="single" w:sz="4" w:space="0" w:color="auto"/>
            </w:tcBorders>
            <w:shd w:val="clear" w:color="000000" w:fill="FFFFFF"/>
            <w:noWrap/>
            <w:vAlign w:val="bottom"/>
            <w:hideMark/>
          </w:tcPr>
          <w:p w14:paraId="0C251C2E"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46</w:t>
            </w:r>
          </w:p>
        </w:tc>
        <w:tc>
          <w:tcPr>
            <w:tcW w:w="1022" w:type="dxa"/>
            <w:tcBorders>
              <w:top w:val="nil"/>
              <w:left w:val="nil"/>
              <w:bottom w:val="single" w:sz="4" w:space="0" w:color="auto"/>
              <w:right w:val="single" w:sz="4" w:space="0" w:color="auto"/>
            </w:tcBorders>
            <w:shd w:val="clear" w:color="000000" w:fill="FFFFFF"/>
            <w:noWrap/>
            <w:vAlign w:val="bottom"/>
            <w:hideMark/>
          </w:tcPr>
          <w:p w14:paraId="06B6C9BD"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43</w:t>
            </w:r>
          </w:p>
        </w:tc>
        <w:tc>
          <w:tcPr>
            <w:tcW w:w="1023" w:type="dxa"/>
            <w:tcBorders>
              <w:top w:val="nil"/>
              <w:left w:val="nil"/>
              <w:bottom w:val="single" w:sz="4" w:space="0" w:color="auto"/>
              <w:right w:val="single" w:sz="4" w:space="0" w:color="auto"/>
            </w:tcBorders>
            <w:shd w:val="clear" w:color="000000" w:fill="FFFFFF"/>
            <w:noWrap/>
            <w:vAlign w:val="bottom"/>
            <w:hideMark/>
          </w:tcPr>
          <w:p w14:paraId="2D65FB32"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9</w:t>
            </w:r>
          </w:p>
        </w:tc>
        <w:tc>
          <w:tcPr>
            <w:tcW w:w="1023" w:type="dxa"/>
            <w:tcBorders>
              <w:top w:val="nil"/>
              <w:left w:val="nil"/>
              <w:bottom w:val="single" w:sz="4" w:space="0" w:color="auto"/>
              <w:right w:val="single" w:sz="4" w:space="0" w:color="auto"/>
            </w:tcBorders>
            <w:shd w:val="clear" w:color="000000" w:fill="FFFFFF"/>
            <w:noWrap/>
            <w:vAlign w:val="bottom"/>
            <w:hideMark/>
          </w:tcPr>
          <w:p w14:paraId="3C6282E7" w14:textId="77777777" w:rsidR="0054104B" w:rsidRPr="00340346" w:rsidRDefault="0054104B" w:rsidP="006D6077">
            <w:pPr>
              <w:spacing w:before="0" w:after="0" w:line="240" w:lineRule="auto"/>
              <w:ind w:right="73"/>
              <w:jc w:val="right"/>
              <w:rPr>
                <w:rFonts w:ascii="Arial" w:hAnsi="Arial" w:cs="Arial"/>
                <w:noProof/>
                <w:sz w:val="22"/>
                <w:szCs w:val="22"/>
                <w:lang w:val="en-US"/>
              </w:rPr>
            </w:pPr>
            <w:r w:rsidRPr="00340346">
              <w:rPr>
                <w:rFonts w:ascii="Arial" w:hAnsi="Arial" w:cs="Arial"/>
                <w:noProof/>
                <w:sz w:val="22"/>
                <w:szCs w:val="22"/>
                <w:lang w:val="en-US"/>
              </w:rPr>
              <w:t>7%</w:t>
            </w:r>
          </w:p>
        </w:tc>
      </w:tr>
      <w:tr w:rsidR="00F80266" w:rsidRPr="00340346" w14:paraId="5FD4A3AF" w14:textId="77777777" w:rsidTr="006D6077">
        <w:trPr>
          <w:trHeight w:val="280"/>
          <w:jc w:val="center"/>
        </w:trPr>
        <w:tc>
          <w:tcPr>
            <w:tcW w:w="1716" w:type="dxa"/>
            <w:tcBorders>
              <w:top w:val="nil"/>
              <w:left w:val="single" w:sz="4" w:space="0" w:color="auto"/>
              <w:bottom w:val="single" w:sz="4" w:space="0" w:color="auto"/>
              <w:right w:val="single" w:sz="4" w:space="0" w:color="auto"/>
            </w:tcBorders>
            <w:shd w:val="clear" w:color="000000" w:fill="FFFFFF"/>
            <w:noWrap/>
            <w:vAlign w:val="bottom"/>
            <w:hideMark/>
          </w:tcPr>
          <w:p w14:paraId="260B6C2E" w14:textId="77777777" w:rsidR="0054104B" w:rsidRPr="00340346" w:rsidRDefault="0054104B"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Chaco</w:t>
            </w:r>
          </w:p>
        </w:tc>
        <w:tc>
          <w:tcPr>
            <w:tcW w:w="1022" w:type="dxa"/>
            <w:tcBorders>
              <w:top w:val="nil"/>
              <w:left w:val="nil"/>
              <w:bottom w:val="single" w:sz="4" w:space="0" w:color="auto"/>
              <w:right w:val="single" w:sz="4" w:space="0" w:color="auto"/>
            </w:tcBorders>
            <w:shd w:val="clear" w:color="000000" w:fill="FFFFFF"/>
            <w:noWrap/>
            <w:vAlign w:val="bottom"/>
            <w:hideMark/>
          </w:tcPr>
          <w:p w14:paraId="1F41E50C"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6,587</w:t>
            </w:r>
          </w:p>
        </w:tc>
        <w:tc>
          <w:tcPr>
            <w:tcW w:w="1023" w:type="dxa"/>
            <w:tcBorders>
              <w:top w:val="nil"/>
              <w:left w:val="nil"/>
              <w:bottom w:val="single" w:sz="4" w:space="0" w:color="auto"/>
              <w:right w:val="single" w:sz="4" w:space="0" w:color="auto"/>
            </w:tcBorders>
            <w:shd w:val="clear" w:color="000000" w:fill="FFFFFF"/>
            <w:noWrap/>
            <w:vAlign w:val="bottom"/>
            <w:hideMark/>
          </w:tcPr>
          <w:p w14:paraId="3DFCCA03"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1,439</w:t>
            </w:r>
          </w:p>
        </w:tc>
        <w:tc>
          <w:tcPr>
            <w:tcW w:w="1023" w:type="dxa"/>
            <w:tcBorders>
              <w:top w:val="nil"/>
              <w:left w:val="nil"/>
              <w:bottom w:val="single" w:sz="4" w:space="0" w:color="auto"/>
              <w:right w:val="single" w:sz="4" w:space="0" w:color="auto"/>
            </w:tcBorders>
            <w:shd w:val="clear" w:color="000000" w:fill="FFFFFF"/>
            <w:noWrap/>
            <w:vAlign w:val="bottom"/>
            <w:hideMark/>
          </w:tcPr>
          <w:p w14:paraId="25DEA7F6"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129</w:t>
            </w:r>
          </w:p>
        </w:tc>
        <w:tc>
          <w:tcPr>
            <w:tcW w:w="1022" w:type="dxa"/>
            <w:tcBorders>
              <w:top w:val="nil"/>
              <w:left w:val="nil"/>
              <w:bottom w:val="single" w:sz="4" w:space="0" w:color="auto"/>
              <w:right w:val="single" w:sz="4" w:space="0" w:color="auto"/>
            </w:tcBorders>
            <w:shd w:val="clear" w:color="000000" w:fill="FFFFFF"/>
            <w:noWrap/>
            <w:vAlign w:val="bottom"/>
            <w:hideMark/>
          </w:tcPr>
          <w:p w14:paraId="69DE5E28"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43</w:t>
            </w:r>
          </w:p>
        </w:tc>
        <w:tc>
          <w:tcPr>
            <w:tcW w:w="1023" w:type="dxa"/>
            <w:tcBorders>
              <w:top w:val="nil"/>
              <w:left w:val="nil"/>
              <w:bottom w:val="single" w:sz="4" w:space="0" w:color="auto"/>
              <w:right w:val="single" w:sz="4" w:space="0" w:color="auto"/>
            </w:tcBorders>
            <w:shd w:val="clear" w:color="000000" w:fill="FFFFFF"/>
            <w:noWrap/>
            <w:vAlign w:val="bottom"/>
            <w:hideMark/>
          </w:tcPr>
          <w:p w14:paraId="12CF23EA"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2FA17365" w14:textId="77777777" w:rsidR="0054104B" w:rsidRPr="00340346" w:rsidRDefault="0054104B" w:rsidP="006D6077">
            <w:pPr>
              <w:spacing w:before="0" w:after="0" w:line="240" w:lineRule="auto"/>
              <w:ind w:right="73"/>
              <w:jc w:val="right"/>
              <w:rPr>
                <w:rFonts w:ascii="Arial" w:hAnsi="Arial" w:cs="Arial"/>
                <w:noProof/>
                <w:sz w:val="22"/>
                <w:szCs w:val="22"/>
                <w:lang w:val="en-US"/>
              </w:rPr>
            </w:pPr>
            <w:r w:rsidRPr="00340346">
              <w:rPr>
                <w:rFonts w:ascii="Arial" w:hAnsi="Arial" w:cs="Arial"/>
                <w:noProof/>
                <w:sz w:val="22"/>
                <w:szCs w:val="22"/>
                <w:lang w:val="en-US"/>
              </w:rPr>
              <w:t>11%</w:t>
            </w:r>
          </w:p>
        </w:tc>
      </w:tr>
      <w:tr w:rsidR="0054104B" w:rsidRPr="00340346" w14:paraId="2CC2072D" w14:textId="77777777" w:rsidTr="006D6077">
        <w:trPr>
          <w:trHeight w:val="280"/>
          <w:jc w:val="center"/>
        </w:trPr>
        <w:tc>
          <w:tcPr>
            <w:tcW w:w="171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B98610A" w14:textId="77777777" w:rsidR="0054104B" w:rsidRPr="00340346" w:rsidRDefault="0054104B"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TOTAL</w:t>
            </w:r>
          </w:p>
        </w:tc>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FCFAF20"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35,101</w:t>
            </w:r>
          </w:p>
        </w:tc>
        <w:tc>
          <w:tcPr>
            <w:tcW w:w="10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D7E2714"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8,380</w:t>
            </w:r>
          </w:p>
        </w:tc>
        <w:tc>
          <w:tcPr>
            <w:tcW w:w="10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BAE1CE7"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1,416</w:t>
            </w:r>
          </w:p>
        </w:tc>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197C6D4"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702</w:t>
            </w:r>
          </w:p>
        </w:tc>
        <w:tc>
          <w:tcPr>
            <w:tcW w:w="10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6B35EB4" w14:textId="77777777" w:rsidR="0054104B" w:rsidRPr="00340346" w:rsidRDefault="0054104B" w:rsidP="006D6077">
            <w:pPr>
              <w:spacing w:before="0" w:after="0" w:line="240" w:lineRule="auto"/>
              <w:jc w:val="right"/>
              <w:rPr>
                <w:rFonts w:ascii="Arial" w:hAnsi="Arial" w:cs="Arial"/>
                <w:noProof/>
                <w:sz w:val="22"/>
                <w:szCs w:val="22"/>
                <w:lang w:val="en-US"/>
              </w:rPr>
            </w:pPr>
            <w:r w:rsidRPr="00340346">
              <w:rPr>
                <w:rFonts w:ascii="Arial" w:hAnsi="Arial" w:cs="Arial"/>
                <w:noProof/>
                <w:sz w:val="22"/>
                <w:szCs w:val="22"/>
                <w:lang w:val="en-US"/>
              </w:rPr>
              <w:t>79</w:t>
            </w:r>
          </w:p>
        </w:tc>
        <w:tc>
          <w:tcPr>
            <w:tcW w:w="10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A44CEE6" w14:textId="77777777" w:rsidR="0054104B" w:rsidRPr="00340346" w:rsidRDefault="0054104B" w:rsidP="006D6077">
            <w:pPr>
              <w:spacing w:before="0" w:after="0" w:line="240" w:lineRule="auto"/>
              <w:ind w:right="73"/>
              <w:jc w:val="right"/>
              <w:rPr>
                <w:rFonts w:ascii="Arial" w:hAnsi="Arial" w:cs="Arial"/>
                <w:noProof/>
                <w:sz w:val="22"/>
                <w:szCs w:val="22"/>
                <w:lang w:val="en-US"/>
              </w:rPr>
            </w:pPr>
            <w:r w:rsidRPr="00340346">
              <w:rPr>
                <w:rFonts w:ascii="Arial" w:hAnsi="Arial" w:cs="Arial"/>
                <w:noProof/>
                <w:sz w:val="22"/>
                <w:szCs w:val="22"/>
                <w:lang w:val="en-US"/>
              </w:rPr>
              <w:t>60%</w:t>
            </w:r>
          </w:p>
        </w:tc>
      </w:tr>
    </w:tbl>
    <w:p w14:paraId="2A9A16FA" w14:textId="77777777" w:rsidR="00981212" w:rsidRPr="00340346" w:rsidRDefault="007918B5" w:rsidP="00C80112">
      <w:pPr>
        <w:pStyle w:val="Paragraph"/>
        <w:rPr>
          <w:rFonts w:ascii="Arial" w:hAnsi="Arial" w:cs="Arial"/>
          <w:noProof/>
          <w:sz w:val="22"/>
        </w:rPr>
      </w:pPr>
      <w:bookmarkStart w:id="136" w:name="_Toc504670889"/>
      <w:bookmarkStart w:id="137" w:name="_Toc504744727"/>
      <w:r w:rsidRPr="00340346">
        <w:rPr>
          <w:rFonts w:ascii="Arial" w:hAnsi="Arial" w:cs="Arial"/>
          <w:noProof/>
          <w:sz w:val="22"/>
        </w:rPr>
        <w:t>For purposes of estimating the size of the potential market and the potential of bankable projects, those farms with less than 50 mothers have been discriminated. Thus it is estimated that the potential Argentinian market would be about 3 thousand farms. The following table shows the number of farms of the potential market, the investment per farm to implement a biogas project, and the total investment required for all the pig farms.</w:t>
      </w:r>
      <w:bookmarkEnd w:id="136"/>
      <w:bookmarkEnd w:id="137"/>
    </w:p>
    <w:p w14:paraId="74702F30" w14:textId="77777777" w:rsidR="006D6077" w:rsidRPr="00340346" w:rsidRDefault="00F11E04" w:rsidP="00C80112">
      <w:pPr>
        <w:spacing w:before="0" w:after="0" w:line="240" w:lineRule="auto"/>
        <w:contextualSpacing/>
        <w:jc w:val="center"/>
        <w:rPr>
          <w:rFonts w:ascii="Arial" w:hAnsi="Arial" w:cs="Arial"/>
          <w:b/>
          <w:noProof/>
          <w:sz w:val="22"/>
          <w:szCs w:val="22"/>
          <w:lang w:val="en-US"/>
        </w:rPr>
      </w:pPr>
      <w:bookmarkStart w:id="138" w:name="_Toc477440575"/>
      <w:bookmarkStart w:id="139" w:name="_Toc504670890"/>
      <w:r w:rsidRPr="00340346">
        <w:rPr>
          <w:rFonts w:ascii="Arial" w:hAnsi="Arial" w:cs="Arial"/>
          <w:b/>
          <w:noProof/>
          <w:sz w:val="22"/>
          <w:szCs w:val="22"/>
          <w:lang w:val="en-US"/>
        </w:rPr>
        <w:t xml:space="preserve">Table </w:t>
      </w:r>
      <w:r w:rsidR="00192CC2" w:rsidRPr="00340346">
        <w:rPr>
          <w:rFonts w:ascii="Arial" w:hAnsi="Arial" w:cs="Arial"/>
          <w:b/>
          <w:noProof/>
          <w:sz w:val="22"/>
          <w:szCs w:val="22"/>
          <w:lang w:val="en-US"/>
        </w:rPr>
        <w:t>3.2</w:t>
      </w:r>
      <w:r w:rsidR="00C92E84" w:rsidRPr="00340346">
        <w:rPr>
          <w:rFonts w:ascii="Arial" w:hAnsi="Arial" w:cs="Arial"/>
          <w:b/>
          <w:noProof/>
          <w:sz w:val="22"/>
          <w:szCs w:val="22"/>
          <w:lang w:val="en-US"/>
        </w:rPr>
        <w:t xml:space="preserve">. Potential investment required in the pig sector </w:t>
      </w:r>
    </w:p>
    <w:p w14:paraId="0ECF3163" w14:textId="77777777" w:rsidR="00981212" w:rsidRPr="00340346" w:rsidRDefault="00C92E84" w:rsidP="00C80112">
      <w:pPr>
        <w:spacing w:before="0" w:after="0" w:line="240" w:lineRule="auto"/>
        <w:contextualSpacing/>
        <w:jc w:val="center"/>
        <w:rPr>
          <w:rFonts w:ascii="Arial" w:hAnsi="Arial" w:cs="Arial"/>
          <w:b/>
          <w:noProof/>
          <w:sz w:val="22"/>
          <w:szCs w:val="22"/>
          <w:lang w:val="en-US"/>
        </w:rPr>
      </w:pPr>
      <w:r w:rsidRPr="00340346">
        <w:rPr>
          <w:rFonts w:ascii="Arial" w:hAnsi="Arial" w:cs="Arial"/>
          <w:b/>
          <w:noProof/>
          <w:sz w:val="22"/>
          <w:szCs w:val="22"/>
          <w:lang w:val="en-US"/>
        </w:rPr>
        <w:t>in farms with more than 50 mothers</w:t>
      </w:r>
      <w:bookmarkEnd w:id="138"/>
      <w:bookmarkEnd w:id="139"/>
    </w:p>
    <w:tbl>
      <w:tblPr>
        <w:tblStyle w:val="TableGrid"/>
        <w:tblW w:w="0" w:type="auto"/>
        <w:jc w:val="center"/>
        <w:tblLook w:val="04A0" w:firstRow="1" w:lastRow="0" w:firstColumn="1" w:lastColumn="0" w:noHBand="0" w:noVBand="1"/>
      </w:tblPr>
      <w:tblGrid>
        <w:gridCol w:w="2193"/>
        <w:gridCol w:w="1209"/>
        <w:gridCol w:w="1885"/>
        <w:gridCol w:w="1851"/>
      </w:tblGrid>
      <w:tr w:rsidR="007918B5" w:rsidRPr="00340346" w14:paraId="60019A61" w14:textId="77777777" w:rsidTr="00C80112">
        <w:trPr>
          <w:trHeight w:val="337"/>
          <w:jc w:val="center"/>
        </w:trPr>
        <w:tc>
          <w:tcPr>
            <w:tcW w:w="2193" w:type="dxa"/>
            <w:shd w:val="clear" w:color="auto" w:fill="548DD4" w:themeFill="text2" w:themeFillTint="99"/>
            <w:vAlign w:val="center"/>
          </w:tcPr>
          <w:p w14:paraId="3DA65AA3" w14:textId="77777777" w:rsidR="007918B5" w:rsidRPr="00340346" w:rsidRDefault="007918B5"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Number of mothers per farm</w:t>
            </w:r>
          </w:p>
        </w:tc>
        <w:tc>
          <w:tcPr>
            <w:tcW w:w="1209" w:type="dxa"/>
            <w:shd w:val="clear" w:color="auto" w:fill="548DD4" w:themeFill="text2" w:themeFillTint="99"/>
            <w:vAlign w:val="center"/>
          </w:tcPr>
          <w:p w14:paraId="31EFF77B" w14:textId="77777777" w:rsidR="007918B5" w:rsidRPr="00340346" w:rsidRDefault="007918B5"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Number of farms</w:t>
            </w:r>
          </w:p>
        </w:tc>
        <w:tc>
          <w:tcPr>
            <w:tcW w:w="1885" w:type="dxa"/>
            <w:shd w:val="clear" w:color="auto" w:fill="548DD4" w:themeFill="text2" w:themeFillTint="99"/>
            <w:vAlign w:val="bottom"/>
          </w:tcPr>
          <w:p w14:paraId="5DF60279" w14:textId="77777777" w:rsidR="007918B5" w:rsidRPr="00340346" w:rsidRDefault="007918B5"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Average investment per farm (US</w:t>
            </w:r>
            <w:r w:rsidR="006D6077" w:rsidRPr="00340346">
              <w:rPr>
                <w:rFonts w:ascii="Arial" w:hAnsi="Arial" w:cs="Arial"/>
                <w:noProof/>
                <w:sz w:val="22"/>
                <w:szCs w:val="22"/>
                <w:lang w:val="en-US"/>
              </w:rPr>
              <w:t>$</w:t>
            </w:r>
            <w:r w:rsidRPr="00340346">
              <w:rPr>
                <w:rFonts w:ascii="Arial" w:hAnsi="Arial" w:cs="Arial"/>
                <w:noProof/>
                <w:sz w:val="22"/>
                <w:szCs w:val="22"/>
                <w:lang w:val="en-US"/>
              </w:rPr>
              <w:t>)</w:t>
            </w:r>
            <w:r w:rsidRPr="00340346">
              <w:rPr>
                <w:rFonts w:ascii="Arial" w:hAnsi="Arial" w:cs="Arial"/>
                <w:noProof/>
                <w:sz w:val="22"/>
                <w:szCs w:val="22"/>
                <w:vertAlign w:val="superscript"/>
                <w:lang w:val="en-US"/>
              </w:rPr>
              <w:footnoteReference w:id="8"/>
            </w:r>
          </w:p>
        </w:tc>
        <w:tc>
          <w:tcPr>
            <w:tcW w:w="1851" w:type="dxa"/>
            <w:shd w:val="clear" w:color="auto" w:fill="548DD4" w:themeFill="text2" w:themeFillTint="99"/>
            <w:vAlign w:val="bottom"/>
          </w:tcPr>
          <w:p w14:paraId="73B7749D" w14:textId="77777777" w:rsidR="007918B5" w:rsidRPr="00340346" w:rsidRDefault="007918B5"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Total investment (US</w:t>
            </w:r>
            <w:r w:rsidR="006D6077" w:rsidRPr="00340346">
              <w:rPr>
                <w:rFonts w:ascii="Arial" w:hAnsi="Arial" w:cs="Arial"/>
                <w:noProof/>
                <w:sz w:val="22"/>
                <w:szCs w:val="22"/>
                <w:lang w:val="en-US"/>
              </w:rPr>
              <w:t>$</w:t>
            </w:r>
            <w:r w:rsidRPr="00340346">
              <w:rPr>
                <w:rFonts w:ascii="Arial" w:hAnsi="Arial" w:cs="Arial"/>
                <w:noProof/>
                <w:sz w:val="22"/>
                <w:szCs w:val="22"/>
                <w:lang w:val="en-US"/>
              </w:rPr>
              <w:t>)</w:t>
            </w:r>
          </w:p>
        </w:tc>
      </w:tr>
      <w:tr w:rsidR="00C92E84" w:rsidRPr="00340346" w14:paraId="44820936" w14:textId="77777777" w:rsidTr="00C80112">
        <w:trPr>
          <w:jc w:val="center"/>
        </w:trPr>
        <w:tc>
          <w:tcPr>
            <w:tcW w:w="2193" w:type="dxa"/>
            <w:vAlign w:val="center"/>
          </w:tcPr>
          <w:p w14:paraId="388C5215"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51-100</w:t>
            </w:r>
          </w:p>
        </w:tc>
        <w:tc>
          <w:tcPr>
            <w:tcW w:w="1209" w:type="dxa"/>
            <w:vAlign w:val="center"/>
          </w:tcPr>
          <w:p w14:paraId="7A35B71B"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1,989</w:t>
            </w:r>
          </w:p>
        </w:tc>
        <w:tc>
          <w:tcPr>
            <w:tcW w:w="1885" w:type="dxa"/>
            <w:vAlign w:val="bottom"/>
          </w:tcPr>
          <w:p w14:paraId="79BE91F2"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65,000</w:t>
            </w:r>
          </w:p>
        </w:tc>
        <w:tc>
          <w:tcPr>
            <w:tcW w:w="1851" w:type="dxa"/>
            <w:vAlign w:val="bottom"/>
          </w:tcPr>
          <w:p w14:paraId="1EF1FCF5"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130 million</w:t>
            </w:r>
          </w:p>
        </w:tc>
      </w:tr>
      <w:tr w:rsidR="00C92E84" w:rsidRPr="00340346" w14:paraId="3126CF7D" w14:textId="77777777" w:rsidTr="00C80112">
        <w:trPr>
          <w:jc w:val="center"/>
        </w:trPr>
        <w:tc>
          <w:tcPr>
            <w:tcW w:w="2193" w:type="dxa"/>
            <w:vAlign w:val="center"/>
          </w:tcPr>
          <w:p w14:paraId="4BA83E06"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101-500</w:t>
            </w:r>
          </w:p>
        </w:tc>
        <w:tc>
          <w:tcPr>
            <w:tcW w:w="1209" w:type="dxa"/>
            <w:vAlign w:val="center"/>
          </w:tcPr>
          <w:p w14:paraId="10604B1E"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910</w:t>
            </w:r>
          </w:p>
        </w:tc>
        <w:tc>
          <w:tcPr>
            <w:tcW w:w="1885" w:type="dxa"/>
            <w:vAlign w:val="bottom"/>
          </w:tcPr>
          <w:p w14:paraId="592E76B1"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140,000</w:t>
            </w:r>
          </w:p>
        </w:tc>
        <w:tc>
          <w:tcPr>
            <w:tcW w:w="1851" w:type="dxa"/>
            <w:vAlign w:val="bottom"/>
          </w:tcPr>
          <w:p w14:paraId="668C585D"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128 million</w:t>
            </w:r>
          </w:p>
        </w:tc>
      </w:tr>
      <w:tr w:rsidR="00C92E84" w:rsidRPr="00340346" w14:paraId="61150FD2" w14:textId="77777777" w:rsidTr="00C80112">
        <w:trPr>
          <w:jc w:val="center"/>
        </w:trPr>
        <w:tc>
          <w:tcPr>
            <w:tcW w:w="2193" w:type="dxa"/>
            <w:vAlign w:val="center"/>
          </w:tcPr>
          <w:p w14:paraId="38F2B0DF"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&gt;500</w:t>
            </w:r>
          </w:p>
        </w:tc>
        <w:tc>
          <w:tcPr>
            <w:tcW w:w="1209" w:type="dxa"/>
            <w:vAlign w:val="center"/>
          </w:tcPr>
          <w:p w14:paraId="51783945"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97</w:t>
            </w:r>
          </w:p>
        </w:tc>
        <w:tc>
          <w:tcPr>
            <w:tcW w:w="1885" w:type="dxa"/>
            <w:vAlign w:val="bottom"/>
          </w:tcPr>
          <w:p w14:paraId="0C39F93E"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640,000</w:t>
            </w:r>
          </w:p>
        </w:tc>
        <w:tc>
          <w:tcPr>
            <w:tcW w:w="1851" w:type="dxa"/>
            <w:vAlign w:val="bottom"/>
          </w:tcPr>
          <w:p w14:paraId="271B6597"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62 million</w:t>
            </w:r>
          </w:p>
        </w:tc>
      </w:tr>
      <w:tr w:rsidR="00C92E84" w:rsidRPr="00340346" w14:paraId="7C7AC802" w14:textId="77777777" w:rsidTr="00C80112">
        <w:trPr>
          <w:jc w:val="center"/>
        </w:trPr>
        <w:tc>
          <w:tcPr>
            <w:tcW w:w="2193" w:type="dxa"/>
            <w:vAlign w:val="center"/>
          </w:tcPr>
          <w:p w14:paraId="000CCD73"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TOTAL “&gt;51”</w:t>
            </w:r>
          </w:p>
        </w:tc>
        <w:tc>
          <w:tcPr>
            <w:tcW w:w="1209" w:type="dxa"/>
            <w:vAlign w:val="center"/>
          </w:tcPr>
          <w:p w14:paraId="0632664F"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2,996</w:t>
            </w:r>
          </w:p>
        </w:tc>
        <w:tc>
          <w:tcPr>
            <w:tcW w:w="1885" w:type="dxa"/>
            <w:vAlign w:val="bottom"/>
          </w:tcPr>
          <w:p w14:paraId="568B9AA6" w14:textId="77777777" w:rsidR="00C92E84" w:rsidRPr="00340346" w:rsidRDefault="00C92E84" w:rsidP="00C80112">
            <w:pPr>
              <w:spacing w:before="0" w:after="0" w:line="240" w:lineRule="auto"/>
              <w:rPr>
                <w:rFonts w:ascii="Arial" w:hAnsi="Arial" w:cs="Arial"/>
                <w:noProof/>
                <w:sz w:val="22"/>
                <w:szCs w:val="22"/>
                <w:lang w:val="en-US"/>
              </w:rPr>
            </w:pPr>
          </w:p>
        </w:tc>
        <w:tc>
          <w:tcPr>
            <w:tcW w:w="1851" w:type="dxa"/>
            <w:vAlign w:val="bottom"/>
          </w:tcPr>
          <w:p w14:paraId="44B8B168" w14:textId="77777777" w:rsidR="00C92E84" w:rsidRPr="00340346" w:rsidRDefault="00C92E8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320 million</w:t>
            </w:r>
          </w:p>
        </w:tc>
      </w:tr>
    </w:tbl>
    <w:p w14:paraId="0D57DDC8" w14:textId="77777777" w:rsidR="00F46E6A" w:rsidRPr="00340346" w:rsidRDefault="005469EC" w:rsidP="00C80112">
      <w:pPr>
        <w:pStyle w:val="Paragraph"/>
        <w:rPr>
          <w:rFonts w:ascii="Arial" w:hAnsi="Arial" w:cs="Arial"/>
          <w:noProof/>
          <w:sz w:val="22"/>
        </w:rPr>
      </w:pPr>
      <w:bookmarkStart w:id="140" w:name="_Toc504669710"/>
      <w:bookmarkStart w:id="141" w:name="_Toc504669982"/>
      <w:bookmarkStart w:id="142" w:name="_Toc504670254"/>
      <w:bookmarkStart w:id="143" w:name="_Toc504670623"/>
      <w:bookmarkStart w:id="144" w:name="_Toc504670891"/>
      <w:bookmarkStart w:id="145" w:name="_Toc504744728"/>
      <w:bookmarkStart w:id="146" w:name="_Toc504670892"/>
      <w:bookmarkStart w:id="147" w:name="_Toc504744729"/>
      <w:bookmarkEnd w:id="140"/>
      <w:bookmarkEnd w:id="141"/>
      <w:bookmarkEnd w:id="142"/>
      <w:bookmarkEnd w:id="143"/>
      <w:bookmarkEnd w:id="144"/>
      <w:bookmarkEnd w:id="145"/>
      <w:r w:rsidRPr="00340346">
        <w:rPr>
          <w:rFonts w:ascii="Arial" w:hAnsi="Arial" w:cs="Arial"/>
          <w:noProof/>
          <w:sz w:val="22"/>
        </w:rPr>
        <w:lastRenderedPageBreak/>
        <w:t xml:space="preserve">Pig farms that invest in biogas plants have a double benefit. On the one hand, they comply with regulations for adequate disposal of residues (waste) originating from pig breeding and, on the other, they can use the biogas for the farm’s processes. In </w:t>
      </w:r>
      <w:r w:rsidR="005E2A5F" w:rsidRPr="00340346">
        <w:rPr>
          <w:rFonts w:ascii="Arial" w:hAnsi="Arial" w:cs="Arial"/>
          <w:noProof/>
          <w:sz w:val="22"/>
        </w:rPr>
        <w:t>addition,</w:t>
      </w:r>
      <w:r w:rsidRPr="00340346">
        <w:rPr>
          <w:rFonts w:ascii="Arial" w:hAnsi="Arial" w:cs="Arial"/>
          <w:noProof/>
          <w:sz w:val="22"/>
        </w:rPr>
        <w:t xml:space="preserve"> they have the benefit of the regulatory framework of renovAR allowing them to propose the project to sell </w:t>
      </w:r>
      <w:r w:rsidR="002C5DFD" w:rsidRPr="00340346">
        <w:rPr>
          <w:rFonts w:ascii="Arial" w:hAnsi="Arial" w:cs="Arial"/>
          <w:noProof/>
          <w:sz w:val="22"/>
        </w:rPr>
        <w:t>electric</w:t>
      </w:r>
      <w:r w:rsidRPr="00340346">
        <w:rPr>
          <w:rFonts w:ascii="Arial" w:hAnsi="Arial" w:cs="Arial"/>
          <w:noProof/>
          <w:sz w:val="22"/>
        </w:rPr>
        <w:t xml:space="preserve"> energy to the network.</w:t>
      </w:r>
      <w:bookmarkStart w:id="148" w:name="_Toc504744730"/>
      <w:bookmarkEnd w:id="146"/>
      <w:bookmarkEnd w:id="147"/>
      <w:bookmarkEnd w:id="148"/>
    </w:p>
    <w:p w14:paraId="7EE3E83E" w14:textId="77777777" w:rsidR="007E7EB6" w:rsidRPr="00340346" w:rsidRDefault="005469EC" w:rsidP="00C80112">
      <w:pPr>
        <w:pStyle w:val="Paragraph"/>
        <w:rPr>
          <w:rFonts w:ascii="Arial" w:hAnsi="Arial" w:cs="Arial"/>
          <w:noProof/>
          <w:sz w:val="22"/>
        </w:rPr>
      </w:pPr>
      <w:bookmarkStart w:id="149" w:name="_Toc504670893"/>
      <w:bookmarkStart w:id="150" w:name="_Toc504744731"/>
      <w:r w:rsidRPr="00340346">
        <w:rPr>
          <w:rFonts w:ascii="Arial" w:hAnsi="Arial" w:cs="Arial"/>
          <w:noProof/>
          <w:sz w:val="22"/>
        </w:rPr>
        <w:t xml:space="preserve">Based on discussions with </w:t>
      </w:r>
      <w:r w:rsidR="007E7EB6" w:rsidRPr="00340346">
        <w:rPr>
          <w:rFonts w:ascii="Arial" w:hAnsi="Arial" w:cs="Arial"/>
          <w:noProof/>
          <w:sz w:val="22"/>
        </w:rPr>
        <w:t xml:space="preserve">technology </w:t>
      </w:r>
      <w:r w:rsidRPr="00340346">
        <w:rPr>
          <w:rFonts w:ascii="Arial" w:hAnsi="Arial" w:cs="Arial"/>
          <w:noProof/>
          <w:sz w:val="22"/>
        </w:rPr>
        <w:t>suppliers, investments in biogas plants in a pig farm may have an internal rate of return of between 20</w:t>
      </w:r>
      <w:r w:rsidR="006D6077" w:rsidRPr="00340346">
        <w:rPr>
          <w:rFonts w:ascii="Arial" w:hAnsi="Arial" w:cs="Arial"/>
          <w:noProof/>
          <w:sz w:val="22"/>
        </w:rPr>
        <w:t>%</w:t>
      </w:r>
      <w:r w:rsidRPr="00340346">
        <w:rPr>
          <w:rFonts w:ascii="Arial" w:hAnsi="Arial" w:cs="Arial"/>
          <w:noProof/>
          <w:sz w:val="22"/>
        </w:rPr>
        <w:t xml:space="preserve"> and 30%, and a return on the investment in less than </w:t>
      </w:r>
      <w:r w:rsidR="006D6077" w:rsidRPr="00340346">
        <w:rPr>
          <w:rFonts w:ascii="Arial" w:hAnsi="Arial" w:cs="Arial"/>
          <w:noProof/>
          <w:sz w:val="22"/>
        </w:rPr>
        <w:t>five</w:t>
      </w:r>
      <w:r w:rsidRPr="00340346">
        <w:rPr>
          <w:rFonts w:ascii="Arial" w:hAnsi="Arial" w:cs="Arial"/>
          <w:noProof/>
          <w:sz w:val="22"/>
        </w:rPr>
        <w:t xml:space="preserve"> years. The profit data take into account self-consumption of the energy produced and benefit of the by-products generated by the biogas plant (fertilizers), and do not take into account the renovAR program that would allow the sale of electric energy to the network.</w:t>
      </w:r>
      <w:bookmarkStart w:id="151" w:name="_Toc504670894"/>
      <w:bookmarkStart w:id="152" w:name="_Toc504744732"/>
      <w:bookmarkEnd w:id="149"/>
      <w:bookmarkEnd w:id="150"/>
      <w:bookmarkEnd w:id="151"/>
      <w:bookmarkEnd w:id="152"/>
    </w:p>
    <w:p w14:paraId="08518145" w14:textId="77777777" w:rsidR="00727CA7" w:rsidRPr="00340346" w:rsidRDefault="00EC0A83" w:rsidP="00C80112">
      <w:pPr>
        <w:pStyle w:val="Paragraph"/>
        <w:rPr>
          <w:rFonts w:ascii="Arial" w:hAnsi="Arial" w:cs="Arial"/>
          <w:noProof/>
          <w:sz w:val="22"/>
        </w:rPr>
      </w:pPr>
      <w:bookmarkStart w:id="153" w:name="_Toc504670895"/>
      <w:bookmarkStart w:id="154" w:name="_Toc504744733"/>
      <w:r w:rsidRPr="00340346">
        <w:rPr>
          <w:rFonts w:ascii="Arial" w:hAnsi="Arial" w:cs="Arial"/>
          <w:noProof/>
          <w:sz w:val="22"/>
        </w:rPr>
        <w:t>Livestock industry (feedlot) in Argentina</w:t>
      </w:r>
      <w:r w:rsidR="007E7EB6" w:rsidRPr="00340346">
        <w:rPr>
          <w:rFonts w:ascii="Arial" w:hAnsi="Arial" w:cs="Arial"/>
          <w:noProof/>
          <w:sz w:val="22"/>
        </w:rPr>
        <w:t xml:space="preserve"> -</w:t>
      </w:r>
      <w:bookmarkEnd w:id="153"/>
      <w:bookmarkEnd w:id="154"/>
      <w:r w:rsidR="007E7EB6" w:rsidRPr="00340346">
        <w:rPr>
          <w:rFonts w:ascii="Arial" w:hAnsi="Arial" w:cs="Arial"/>
          <w:noProof/>
          <w:sz w:val="22"/>
        </w:rPr>
        <w:t xml:space="preserve"> </w:t>
      </w:r>
      <w:bookmarkStart w:id="155" w:name="_Toc504670896"/>
      <w:bookmarkStart w:id="156" w:name="_Toc504744734"/>
      <w:r w:rsidRPr="00340346">
        <w:rPr>
          <w:rFonts w:ascii="Arial" w:hAnsi="Arial" w:cs="Arial"/>
          <w:noProof/>
          <w:sz w:val="22"/>
        </w:rPr>
        <w:t>Argentina has a very important livestock industry that may have great potential for the implementation of biogas plants. One of the technical barriers is the collection of animal waste. When animals are dispersed in a large area of land the collection cost makes this type of project unfeasible. However, farms in which animals are held in pens to intensify production ease the waste collection process and make biogas projects feasible. This type of farm</w:t>
      </w:r>
      <w:r w:rsidR="007E7EB6" w:rsidRPr="00340346">
        <w:rPr>
          <w:rFonts w:ascii="Arial" w:hAnsi="Arial" w:cs="Arial"/>
          <w:noProof/>
          <w:sz w:val="22"/>
        </w:rPr>
        <w:t>s</w:t>
      </w:r>
      <w:r w:rsidRPr="00340346">
        <w:rPr>
          <w:rFonts w:ascii="Arial" w:hAnsi="Arial" w:cs="Arial"/>
          <w:noProof/>
          <w:sz w:val="22"/>
        </w:rPr>
        <w:t xml:space="preserve"> are called “feedlot</w:t>
      </w:r>
      <w:r w:rsidR="007E7EB6" w:rsidRPr="00340346">
        <w:rPr>
          <w:rFonts w:ascii="Arial" w:hAnsi="Arial" w:cs="Arial"/>
          <w:noProof/>
          <w:sz w:val="22"/>
        </w:rPr>
        <w:t>s</w:t>
      </w:r>
      <w:r w:rsidRPr="00340346">
        <w:rPr>
          <w:rFonts w:ascii="Arial" w:hAnsi="Arial" w:cs="Arial"/>
          <w:noProof/>
          <w:sz w:val="22"/>
        </w:rPr>
        <w:t>”</w:t>
      </w:r>
      <w:r w:rsidR="007E7EB6" w:rsidRPr="00340346">
        <w:rPr>
          <w:rFonts w:ascii="Arial" w:hAnsi="Arial" w:cs="Arial"/>
          <w:noProof/>
          <w:sz w:val="22"/>
        </w:rPr>
        <w:t>.</w:t>
      </w:r>
      <w:bookmarkEnd w:id="155"/>
      <w:bookmarkEnd w:id="156"/>
      <w:r w:rsidR="007E7EB6" w:rsidRPr="00340346">
        <w:rPr>
          <w:rFonts w:ascii="Arial" w:hAnsi="Arial" w:cs="Arial"/>
          <w:noProof/>
          <w:sz w:val="22"/>
        </w:rPr>
        <w:t xml:space="preserve"> </w:t>
      </w:r>
      <w:bookmarkStart w:id="157" w:name="_Toc504670897"/>
      <w:bookmarkStart w:id="158" w:name="_Toc504744735"/>
      <w:r w:rsidR="00727CA7" w:rsidRPr="00340346">
        <w:rPr>
          <w:rFonts w:ascii="Arial" w:hAnsi="Arial" w:cs="Arial"/>
          <w:noProof/>
          <w:sz w:val="22"/>
        </w:rPr>
        <w:t xml:space="preserve">In </w:t>
      </w:r>
      <w:r w:rsidR="00464928" w:rsidRPr="00340346">
        <w:rPr>
          <w:rFonts w:ascii="Arial" w:hAnsi="Arial" w:cs="Arial"/>
          <w:noProof/>
          <w:sz w:val="22"/>
        </w:rPr>
        <w:t>Argentina,</w:t>
      </w:r>
      <w:r w:rsidR="00727CA7" w:rsidRPr="00340346">
        <w:rPr>
          <w:rFonts w:ascii="Arial" w:hAnsi="Arial" w:cs="Arial"/>
          <w:noProof/>
          <w:sz w:val="22"/>
        </w:rPr>
        <w:t xml:space="preserve"> there are around </w:t>
      </w:r>
      <w:r w:rsidR="007E7EB6" w:rsidRPr="00340346">
        <w:rPr>
          <w:rFonts w:ascii="Arial" w:hAnsi="Arial" w:cs="Arial"/>
          <w:noProof/>
          <w:sz w:val="22"/>
        </w:rPr>
        <w:t xml:space="preserve">two </w:t>
      </w:r>
      <w:r w:rsidR="00727CA7" w:rsidRPr="00340346">
        <w:rPr>
          <w:rFonts w:ascii="Arial" w:hAnsi="Arial" w:cs="Arial"/>
          <w:noProof/>
          <w:sz w:val="22"/>
        </w:rPr>
        <w:t>thousand livestock farms under the “feedlot” modality holding 16 million livestock (27% of the total livestock). The following figure shows the distribution of the number of “feedlot” farms based on the number of livestock.</w:t>
      </w:r>
      <w:bookmarkEnd w:id="157"/>
      <w:bookmarkEnd w:id="158"/>
    </w:p>
    <w:p w14:paraId="39D8F987" w14:textId="77777777" w:rsidR="00F24808" w:rsidRPr="00340346" w:rsidRDefault="00F24808" w:rsidP="00C80112">
      <w:pPr>
        <w:jc w:val="center"/>
        <w:rPr>
          <w:rFonts w:ascii="Arial" w:hAnsi="Arial" w:cs="Arial"/>
          <w:b/>
          <w:noProof/>
          <w:sz w:val="22"/>
          <w:szCs w:val="22"/>
          <w:lang w:val="en-US"/>
        </w:rPr>
      </w:pPr>
      <w:bookmarkStart w:id="159" w:name="_Toc477440580"/>
      <w:bookmarkStart w:id="160" w:name="_Toc504670898"/>
      <w:r w:rsidRPr="00340346">
        <w:rPr>
          <w:rFonts w:ascii="Arial" w:hAnsi="Arial" w:cs="Arial"/>
          <w:b/>
          <w:noProof/>
          <w:sz w:val="22"/>
          <w:szCs w:val="22"/>
          <w:lang w:val="en-US"/>
        </w:rPr>
        <w:t>Figure</w:t>
      </w:r>
      <w:r w:rsidR="00F11E04" w:rsidRPr="00340346">
        <w:rPr>
          <w:rFonts w:ascii="Arial" w:hAnsi="Arial" w:cs="Arial"/>
          <w:b/>
          <w:noProof/>
          <w:sz w:val="22"/>
          <w:szCs w:val="22"/>
          <w:lang w:val="en-US"/>
        </w:rPr>
        <w:t xml:space="preserve"> </w:t>
      </w:r>
      <w:r w:rsidR="00192CC2" w:rsidRPr="00340346">
        <w:rPr>
          <w:rFonts w:ascii="Arial" w:hAnsi="Arial" w:cs="Arial"/>
          <w:b/>
          <w:noProof/>
          <w:sz w:val="22"/>
          <w:szCs w:val="22"/>
          <w:lang w:val="en-US"/>
        </w:rPr>
        <w:t>3</w:t>
      </w:r>
      <w:r w:rsidR="00F11E04" w:rsidRPr="00340346">
        <w:rPr>
          <w:rFonts w:ascii="Arial" w:hAnsi="Arial" w:cs="Arial"/>
          <w:b/>
          <w:noProof/>
          <w:sz w:val="22"/>
          <w:szCs w:val="22"/>
          <w:lang w:val="en-US"/>
        </w:rPr>
        <w:t xml:space="preserve">.3 </w:t>
      </w:r>
      <w:r w:rsidRPr="00340346">
        <w:rPr>
          <w:rFonts w:ascii="Arial" w:hAnsi="Arial" w:cs="Arial"/>
          <w:b/>
          <w:noProof/>
          <w:sz w:val="22"/>
          <w:szCs w:val="22"/>
          <w:lang w:val="en-US"/>
        </w:rPr>
        <w:t xml:space="preserve">Number of </w:t>
      </w:r>
      <w:r w:rsidR="00464928" w:rsidRPr="00340346">
        <w:rPr>
          <w:rFonts w:ascii="Arial" w:hAnsi="Arial" w:cs="Arial"/>
          <w:b/>
          <w:noProof/>
          <w:sz w:val="22"/>
          <w:szCs w:val="22"/>
          <w:lang w:val="en-US"/>
        </w:rPr>
        <w:t>“</w:t>
      </w:r>
      <w:r w:rsidRPr="00340346">
        <w:rPr>
          <w:rFonts w:ascii="Arial" w:hAnsi="Arial" w:cs="Arial"/>
          <w:b/>
          <w:noProof/>
          <w:sz w:val="22"/>
          <w:szCs w:val="22"/>
          <w:lang w:val="en-US"/>
        </w:rPr>
        <w:t>feedlot” livestock farms based on the number of livestock per farm</w:t>
      </w:r>
      <w:bookmarkEnd w:id="159"/>
      <w:bookmarkEnd w:id="160"/>
    </w:p>
    <w:p w14:paraId="53E97221" w14:textId="77777777" w:rsidR="00727CA7" w:rsidRPr="00340346" w:rsidRDefault="00F24808">
      <w:pPr>
        <w:rPr>
          <w:rFonts w:ascii="Arial" w:hAnsi="Arial" w:cs="Arial"/>
          <w:noProof/>
          <w:sz w:val="22"/>
          <w:szCs w:val="22"/>
          <w:lang w:val="en-US"/>
        </w:rPr>
      </w:pPr>
      <w:r w:rsidRPr="00340346">
        <w:rPr>
          <w:rFonts w:ascii="Arial" w:hAnsi="Arial" w:cs="Arial"/>
          <w:noProof/>
          <w:sz w:val="22"/>
          <w:szCs w:val="22"/>
          <w:lang w:val="en-US" w:eastAsia="en-US"/>
        </w:rPr>
        <w:drawing>
          <wp:inline distT="0" distB="0" distL="0" distR="0" wp14:anchorId="33775BDC" wp14:editId="050BD2E7">
            <wp:extent cx="4572000" cy="2743200"/>
            <wp:effectExtent l="0" t="0" r="0" b="0"/>
            <wp:docPr id="3" name="Diagram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DCC3DC5" w14:textId="77777777" w:rsidR="007E7EB6" w:rsidRPr="00340346" w:rsidRDefault="00727CA7" w:rsidP="00C80112">
      <w:pPr>
        <w:pStyle w:val="Paragraph"/>
        <w:rPr>
          <w:rFonts w:ascii="Arial" w:hAnsi="Arial" w:cs="Arial"/>
          <w:noProof/>
          <w:sz w:val="22"/>
        </w:rPr>
      </w:pPr>
      <w:bookmarkStart w:id="161" w:name="_Toc504670899"/>
      <w:bookmarkStart w:id="162" w:name="_Toc504744736"/>
      <w:r w:rsidRPr="00340346">
        <w:rPr>
          <w:rFonts w:ascii="Arial" w:hAnsi="Arial" w:cs="Arial"/>
          <w:noProof/>
          <w:sz w:val="22"/>
        </w:rPr>
        <w:t>Fifty percent of these two thousand farms have at least 750 livestock</w:t>
      </w:r>
      <w:r w:rsidR="007E7EB6" w:rsidRPr="00340346">
        <w:rPr>
          <w:rFonts w:ascii="Arial" w:hAnsi="Arial" w:cs="Arial"/>
          <w:noProof/>
          <w:sz w:val="22"/>
        </w:rPr>
        <w:t xml:space="preserve"> each</w:t>
      </w:r>
      <w:r w:rsidRPr="00340346">
        <w:rPr>
          <w:rFonts w:ascii="Arial" w:hAnsi="Arial" w:cs="Arial"/>
          <w:noProof/>
          <w:sz w:val="22"/>
        </w:rPr>
        <w:t>.</w:t>
      </w:r>
      <w:bookmarkEnd w:id="161"/>
      <w:bookmarkEnd w:id="162"/>
      <w:r w:rsidR="007E7EB6" w:rsidRPr="00340346">
        <w:rPr>
          <w:rFonts w:ascii="Arial" w:hAnsi="Arial" w:cs="Arial"/>
          <w:noProof/>
          <w:sz w:val="22"/>
        </w:rPr>
        <w:t xml:space="preserve"> </w:t>
      </w:r>
      <w:bookmarkStart w:id="163" w:name="_Toc504670900"/>
      <w:bookmarkStart w:id="164" w:name="_Toc504744737"/>
      <w:r w:rsidR="00C33EB7" w:rsidRPr="00340346">
        <w:rPr>
          <w:rFonts w:ascii="Arial" w:hAnsi="Arial" w:cs="Arial"/>
          <w:noProof/>
          <w:sz w:val="22"/>
        </w:rPr>
        <w:t>According to the suppliers, an average investment of US</w:t>
      </w:r>
      <w:r w:rsidR="006D6077" w:rsidRPr="00340346">
        <w:rPr>
          <w:rFonts w:ascii="Arial" w:hAnsi="Arial" w:cs="Arial"/>
          <w:noProof/>
          <w:sz w:val="22"/>
        </w:rPr>
        <w:t>$</w:t>
      </w:r>
      <w:r w:rsidR="00C33EB7" w:rsidRPr="00340346">
        <w:rPr>
          <w:rFonts w:ascii="Arial" w:hAnsi="Arial" w:cs="Arial"/>
          <w:noProof/>
          <w:sz w:val="22"/>
        </w:rPr>
        <w:t xml:space="preserve">1 </w:t>
      </w:r>
      <w:r w:rsidR="006D6077" w:rsidRPr="00340346">
        <w:rPr>
          <w:rFonts w:ascii="Arial" w:hAnsi="Arial" w:cs="Arial"/>
          <w:noProof/>
          <w:sz w:val="22"/>
        </w:rPr>
        <w:t xml:space="preserve">million </w:t>
      </w:r>
      <w:r w:rsidR="00C33EB7" w:rsidRPr="00340346">
        <w:rPr>
          <w:rFonts w:ascii="Arial" w:hAnsi="Arial" w:cs="Arial"/>
          <w:noProof/>
          <w:sz w:val="22"/>
        </w:rPr>
        <w:t xml:space="preserve">to </w:t>
      </w:r>
      <w:r w:rsidR="006D6077" w:rsidRPr="00340346">
        <w:rPr>
          <w:rFonts w:ascii="Arial" w:hAnsi="Arial" w:cs="Arial"/>
          <w:noProof/>
          <w:sz w:val="22"/>
        </w:rPr>
        <w:t>US$</w:t>
      </w:r>
      <w:r w:rsidR="00C33EB7" w:rsidRPr="00340346">
        <w:rPr>
          <w:rFonts w:ascii="Arial" w:hAnsi="Arial" w:cs="Arial"/>
          <w:noProof/>
          <w:sz w:val="22"/>
        </w:rPr>
        <w:t>2 million per farm are required and the recovery period could be more than 15 years without taking into account the renovAR program for the sale of energy to the network.</w:t>
      </w:r>
      <w:bookmarkEnd w:id="163"/>
      <w:bookmarkEnd w:id="164"/>
      <w:r w:rsidR="007E7EB6" w:rsidRPr="00340346">
        <w:rPr>
          <w:rFonts w:ascii="Arial" w:hAnsi="Arial" w:cs="Arial"/>
          <w:noProof/>
          <w:sz w:val="22"/>
        </w:rPr>
        <w:t xml:space="preserve"> </w:t>
      </w:r>
      <w:bookmarkStart w:id="165" w:name="_Toc504670901"/>
      <w:bookmarkStart w:id="166" w:name="_Toc504744738"/>
      <w:bookmarkEnd w:id="165"/>
      <w:bookmarkEnd w:id="166"/>
    </w:p>
    <w:p w14:paraId="5F6A89FA" w14:textId="77777777" w:rsidR="00234BCE" w:rsidRPr="00340346" w:rsidRDefault="007E7EB6" w:rsidP="00C80112">
      <w:pPr>
        <w:pStyle w:val="Paragraph"/>
        <w:rPr>
          <w:rFonts w:ascii="Arial" w:hAnsi="Arial" w:cs="Arial"/>
          <w:noProof/>
          <w:sz w:val="22"/>
        </w:rPr>
      </w:pPr>
      <w:bookmarkStart w:id="167" w:name="_Toc504670902"/>
      <w:bookmarkStart w:id="168" w:name="_Toc504744739"/>
      <w:r w:rsidRPr="00340346">
        <w:rPr>
          <w:rFonts w:ascii="Arial" w:hAnsi="Arial" w:cs="Arial"/>
          <w:noProof/>
          <w:sz w:val="22"/>
        </w:rPr>
        <w:t>Food Processing Industry -</w:t>
      </w:r>
      <w:bookmarkEnd w:id="167"/>
      <w:bookmarkEnd w:id="168"/>
      <w:r w:rsidRPr="00340346">
        <w:rPr>
          <w:rFonts w:ascii="Arial" w:hAnsi="Arial" w:cs="Arial"/>
          <w:noProof/>
          <w:sz w:val="22"/>
        </w:rPr>
        <w:t xml:space="preserve"> </w:t>
      </w:r>
      <w:bookmarkStart w:id="169" w:name="_Toc504669722"/>
      <w:bookmarkStart w:id="170" w:name="_Toc504669994"/>
      <w:bookmarkStart w:id="171" w:name="_Toc504670266"/>
      <w:bookmarkStart w:id="172" w:name="_Toc504670635"/>
      <w:bookmarkStart w:id="173" w:name="_Toc504670903"/>
      <w:bookmarkStart w:id="174" w:name="_Toc504744740"/>
      <w:bookmarkStart w:id="175" w:name="_Toc504670904"/>
      <w:bookmarkStart w:id="176" w:name="_Toc504744741"/>
      <w:bookmarkEnd w:id="169"/>
      <w:bookmarkEnd w:id="170"/>
      <w:bookmarkEnd w:id="171"/>
      <w:bookmarkEnd w:id="172"/>
      <w:bookmarkEnd w:id="173"/>
      <w:bookmarkEnd w:id="174"/>
      <w:r w:rsidR="00BC3BD3" w:rsidRPr="00340346">
        <w:rPr>
          <w:rFonts w:ascii="Arial" w:hAnsi="Arial" w:cs="Arial"/>
          <w:noProof/>
          <w:sz w:val="22"/>
        </w:rPr>
        <w:t>The food processing sector in Argentina generates wet waste that could be processed in a bio</w:t>
      </w:r>
      <w:r w:rsidR="002C5DFD" w:rsidRPr="00340346">
        <w:rPr>
          <w:rFonts w:ascii="Arial" w:hAnsi="Arial" w:cs="Arial"/>
          <w:noProof/>
          <w:sz w:val="22"/>
        </w:rPr>
        <w:t>-</w:t>
      </w:r>
      <w:r w:rsidR="00BC3BD3" w:rsidRPr="00340346">
        <w:rPr>
          <w:rFonts w:ascii="Arial" w:hAnsi="Arial" w:cs="Arial"/>
          <w:noProof/>
          <w:sz w:val="22"/>
        </w:rPr>
        <w:t xml:space="preserve">digester to produce biogas. The food processing </w:t>
      </w:r>
      <w:r w:rsidR="00BC3BD3" w:rsidRPr="00340346">
        <w:rPr>
          <w:rFonts w:ascii="Arial" w:hAnsi="Arial" w:cs="Arial"/>
          <w:noProof/>
          <w:sz w:val="22"/>
        </w:rPr>
        <w:lastRenderedPageBreak/>
        <w:t>industries include the meat processing sectors, fishing and fish processing industry, agroindustry, dairy, animal feed products, bakery industry, wines, etc.</w:t>
      </w:r>
      <w:bookmarkEnd w:id="175"/>
      <w:bookmarkEnd w:id="176"/>
      <w:r w:rsidRPr="00340346">
        <w:rPr>
          <w:rFonts w:ascii="Arial" w:hAnsi="Arial" w:cs="Arial"/>
          <w:noProof/>
          <w:sz w:val="22"/>
        </w:rPr>
        <w:t xml:space="preserve"> </w:t>
      </w:r>
      <w:bookmarkStart w:id="177" w:name="_Toc504670905"/>
      <w:bookmarkStart w:id="178" w:name="_Toc504744742"/>
      <w:r w:rsidR="000C3D1E" w:rsidRPr="00340346">
        <w:rPr>
          <w:rFonts w:ascii="Arial" w:hAnsi="Arial" w:cs="Arial"/>
          <w:noProof/>
          <w:sz w:val="22"/>
        </w:rPr>
        <w:t>There are around 21 thousand companies classified as food processing industry in Argentina. Eighty percent are micro companies, of which 15% are small, 4% are medium-sized companies, and 1% are large companies. The likelihood of these companies investing in a biogas plant is mainly in the small, medium, and large companies which represent about 4,200 companies.</w:t>
      </w:r>
      <w:bookmarkEnd w:id="177"/>
      <w:bookmarkEnd w:id="178"/>
      <w:r w:rsidR="000C3D1E" w:rsidRPr="00340346">
        <w:rPr>
          <w:rFonts w:ascii="Arial" w:hAnsi="Arial" w:cs="Arial"/>
          <w:noProof/>
          <w:sz w:val="22"/>
        </w:rPr>
        <w:t xml:space="preserve"> </w:t>
      </w:r>
      <w:bookmarkStart w:id="179" w:name="_Toc504670906"/>
      <w:bookmarkStart w:id="180" w:name="_Toc504744743"/>
      <w:r w:rsidR="00234BCE" w:rsidRPr="00340346">
        <w:rPr>
          <w:rFonts w:ascii="Arial" w:hAnsi="Arial" w:cs="Arial"/>
          <w:noProof/>
          <w:sz w:val="22"/>
        </w:rPr>
        <w:t>Average investment in a biogas plant in an industrial food processing company is around US</w:t>
      </w:r>
      <w:r w:rsidR="006D6077" w:rsidRPr="00340346">
        <w:rPr>
          <w:rFonts w:ascii="Arial" w:hAnsi="Arial" w:cs="Arial"/>
          <w:noProof/>
          <w:sz w:val="22"/>
        </w:rPr>
        <w:t>$</w:t>
      </w:r>
      <w:r w:rsidR="00234BCE" w:rsidRPr="00340346">
        <w:rPr>
          <w:rFonts w:ascii="Arial" w:hAnsi="Arial" w:cs="Arial"/>
          <w:noProof/>
          <w:sz w:val="22"/>
        </w:rPr>
        <w:t>250 thousand, with a profitability of about 10% and a recovery period of more than 10 years, according to suppliers.</w:t>
      </w:r>
      <w:bookmarkEnd w:id="179"/>
      <w:bookmarkEnd w:id="180"/>
    </w:p>
    <w:p w14:paraId="153C2CBD" w14:textId="77777777" w:rsidR="000D13DA" w:rsidRPr="00340346" w:rsidRDefault="00DA04D5" w:rsidP="00C80112">
      <w:pPr>
        <w:pStyle w:val="Paragraph"/>
        <w:rPr>
          <w:rFonts w:ascii="Arial" w:hAnsi="Arial" w:cs="Arial"/>
          <w:noProof/>
          <w:sz w:val="22"/>
        </w:rPr>
      </w:pPr>
      <w:bookmarkStart w:id="181" w:name="_Toc504669726"/>
      <w:bookmarkStart w:id="182" w:name="_Toc504669998"/>
      <w:bookmarkStart w:id="183" w:name="_Toc504670270"/>
      <w:bookmarkStart w:id="184" w:name="_Toc504670639"/>
      <w:bookmarkStart w:id="185" w:name="_Toc504670907"/>
      <w:bookmarkStart w:id="186" w:name="_Toc504744744"/>
      <w:bookmarkStart w:id="187" w:name="_Toc504670908"/>
      <w:bookmarkStart w:id="188" w:name="_Toc504744745"/>
      <w:bookmarkEnd w:id="181"/>
      <w:bookmarkEnd w:id="182"/>
      <w:bookmarkEnd w:id="183"/>
      <w:bookmarkEnd w:id="184"/>
      <w:bookmarkEnd w:id="185"/>
      <w:bookmarkEnd w:id="186"/>
      <w:r w:rsidRPr="00340346">
        <w:rPr>
          <w:rFonts w:ascii="Arial" w:hAnsi="Arial" w:cs="Arial"/>
          <w:noProof/>
          <w:sz w:val="22"/>
        </w:rPr>
        <w:t>Investment and Potential Financing</w:t>
      </w:r>
      <w:r w:rsidR="007E7EB6" w:rsidRPr="00340346">
        <w:rPr>
          <w:rFonts w:ascii="Arial" w:hAnsi="Arial" w:cs="Arial"/>
          <w:noProof/>
          <w:sz w:val="22"/>
        </w:rPr>
        <w:t xml:space="preserve"> -</w:t>
      </w:r>
      <w:bookmarkEnd w:id="187"/>
      <w:bookmarkEnd w:id="188"/>
      <w:r w:rsidR="007E7EB6" w:rsidRPr="00340346">
        <w:rPr>
          <w:rFonts w:ascii="Arial" w:hAnsi="Arial" w:cs="Arial"/>
          <w:noProof/>
          <w:sz w:val="22"/>
        </w:rPr>
        <w:t xml:space="preserve"> </w:t>
      </w:r>
      <w:bookmarkStart w:id="189" w:name="_Toc504670909"/>
      <w:bookmarkStart w:id="190" w:name="_Toc504744746"/>
      <w:r w:rsidR="00D1473E" w:rsidRPr="00340346">
        <w:rPr>
          <w:rFonts w:ascii="Arial" w:hAnsi="Arial" w:cs="Arial"/>
          <w:noProof/>
          <w:sz w:val="22"/>
        </w:rPr>
        <w:t>Based on the information gathered from each of the sectors, its potential market size and technology investments, one can assume the financing BICE would have to make available to serve the market.</w:t>
      </w:r>
      <w:bookmarkEnd w:id="189"/>
      <w:bookmarkEnd w:id="190"/>
      <w:r w:rsidR="00D1473E" w:rsidRPr="00340346">
        <w:rPr>
          <w:rFonts w:ascii="Arial" w:hAnsi="Arial" w:cs="Arial"/>
          <w:noProof/>
          <w:sz w:val="22"/>
        </w:rPr>
        <w:t xml:space="preserve"> </w:t>
      </w:r>
      <w:bookmarkStart w:id="191" w:name="_Toc504670910"/>
      <w:bookmarkStart w:id="192" w:name="_Toc504744747"/>
      <w:r w:rsidR="005B114B" w:rsidRPr="00340346">
        <w:rPr>
          <w:rFonts w:ascii="Arial" w:hAnsi="Arial" w:cs="Arial"/>
          <w:noProof/>
          <w:sz w:val="22"/>
        </w:rPr>
        <w:t>In the pig sector the objective would be to serve 15% of the potential market of biogas plants which would be the equivalent of 449 companies requiring an investment of US</w:t>
      </w:r>
      <w:r w:rsidR="006D6077" w:rsidRPr="00340346">
        <w:rPr>
          <w:rFonts w:ascii="Arial" w:hAnsi="Arial" w:cs="Arial"/>
          <w:noProof/>
          <w:sz w:val="22"/>
        </w:rPr>
        <w:t>$</w:t>
      </w:r>
      <w:r w:rsidR="005B114B" w:rsidRPr="00340346">
        <w:rPr>
          <w:rFonts w:ascii="Arial" w:hAnsi="Arial" w:cs="Arial"/>
          <w:noProof/>
          <w:sz w:val="22"/>
        </w:rPr>
        <w:t>48</w:t>
      </w:r>
      <w:r w:rsidR="006D6077" w:rsidRPr="00340346">
        <w:rPr>
          <w:rFonts w:ascii="Arial" w:hAnsi="Arial" w:cs="Arial"/>
          <w:noProof/>
          <w:sz w:val="22"/>
        </w:rPr>
        <w:t> </w:t>
      </w:r>
      <w:r w:rsidR="005B114B" w:rsidRPr="00340346">
        <w:rPr>
          <w:rFonts w:ascii="Arial" w:hAnsi="Arial" w:cs="Arial"/>
          <w:noProof/>
          <w:sz w:val="22"/>
        </w:rPr>
        <w:t>million and financing amounting to US</w:t>
      </w:r>
      <w:r w:rsidR="006D6077" w:rsidRPr="00340346">
        <w:rPr>
          <w:rFonts w:ascii="Arial" w:hAnsi="Arial" w:cs="Arial"/>
          <w:noProof/>
          <w:sz w:val="22"/>
        </w:rPr>
        <w:t>$</w:t>
      </w:r>
      <w:r w:rsidR="005B114B" w:rsidRPr="00340346">
        <w:rPr>
          <w:rFonts w:ascii="Arial" w:hAnsi="Arial" w:cs="Arial"/>
          <w:noProof/>
          <w:sz w:val="22"/>
        </w:rPr>
        <w:t>33.6 million (70% of the investment). This investment would result in a reduction of carbon dioxide emissions into the atmosphere equivalent to 550,000 tCO2 annually.</w:t>
      </w:r>
      <w:bookmarkEnd w:id="191"/>
      <w:bookmarkEnd w:id="192"/>
      <w:r w:rsidR="007E7EB6" w:rsidRPr="00340346">
        <w:rPr>
          <w:rFonts w:ascii="Arial" w:hAnsi="Arial" w:cs="Arial"/>
          <w:noProof/>
          <w:sz w:val="22"/>
        </w:rPr>
        <w:t xml:space="preserve"> </w:t>
      </w:r>
      <w:bookmarkStart w:id="193" w:name="_Toc504670911"/>
      <w:bookmarkStart w:id="194" w:name="_Toc504744748"/>
      <w:r w:rsidR="005B114B" w:rsidRPr="00340346">
        <w:rPr>
          <w:rFonts w:ascii="Arial" w:hAnsi="Arial" w:cs="Arial"/>
          <w:noProof/>
          <w:sz w:val="22"/>
        </w:rPr>
        <w:t>In the livestock sector the objective would be to serve 20 “feedlot” livestock farms equivalent to 2% of the potential market (1,000 farms) which would require an investment of US</w:t>
      </w:r>
      <w:r w:rsidR="006D6077" w:rsidRPr="00340346">
        <w:rPr>
          <w:rFonts w:ascii="Arial" w:hAnsi="Arial" w:cs="Arial"/>
          <w:noProof/>
          <w:sz w:val="22"/>
        </w:rPr>
        <w:t>$</w:t>
      </w:r>
      <w:r w:rsidR="005B114B" w:rsidRPr="00340346">
        <w:rPr>
          <w:rFonts w:ascii="Arial" w:hAnsi="Arial" w:cs="Arial"/>
          <w:noProof/>
          <w:sz w:val="22"/>
        </w:rPr>
        <w:t>20 million and financing amounting to US</w:t>
      </w:r>
      <w:r w:rsidR="006D6077" w:rsidRPr="00340346">
        <w:rPr>
          <w:rFonts w:ascii="Arial" w:hAnsi="Arial" w:cs="Arial"/>
          <w:noProof/>
          <w:sz w:val="22"/>
        </w:rPr>
        <w:t>$</w:t>
      </w:r>
      <w:r w:rsidR="005B114B" w:rsidRPr="00340346">
        <w:rPr>
          <w:rFonts w:ascii="Arial" w:hAnsi="Arial" w:cs="Arial"/>
          <w:noProof/>
          <w:sz w:val="22"/>
        </w:rPr>
        <w:t>14 million (equivalent to 70% of the investment) to invest in biogas plants.</w:t>
      </w:r>
      <w:bookmarkEnd w:id="193"/>
      <w:bookmarkEnd w:id="194"/>
      <w:r w:rsidR="007E7EB6" w:rsidRPr="00340346">
        <w:rPr>
          <w:rFonts w:ascii="Arial" w:hAnsi="Arial" w:cs="Arial"/>
          <w:noProof/>
          <w:sz w:val="22"/>
        </w:rPr>
        <w:t xml:space="preserve"> </w:t>
      </w:r>
      <w:bookmarkStart w:id="195" w:name="_Toc504670912"/>
      <w:bookmarkStart w:id="196" w:name="_Toc504744749"/>
      <w:r w:rsidR="006A2F7A" w:rsidRPr="00340346">
        <w:rPr>
          <w:rFonts w:ascii="Arial" w:hAnsi="Arial" w:cs="Arial"/>
          <w:noProof/>
          <w:sz w:val="22"/>
        </w:rPr>
        <w:t>In the industrial food processing sector the objective would be to serve 168</w:t>
      </w:r>
      <w:r w:rsidR="006D6077" w:rsidRPr="00340346">
        <w:rPr>
          <w:rFonts w:ascii="Arial" w:hAnsi="Arial" w:cs="Arial"/>
          <w:noProof/>
          <w:sz w:val="22"/>
        </w:rPr>
        <w:t> </w:t>
      </w:r>
      <w:r w:rsidR="006A2F7A" w:rsidRPr="00340346">
        <w:rPr>
          <w:rFonts w:ascii="Arial" w:hAnsi="Arial" w:cs="Arial"/>
          <w:noProof/>
          <w:sz w:val="22"/>
        </w:rPr>
        <w:t>food processing companies equivalent to 4% of the potential market (4,200</w:t>
      </w:r>
      <w:r w:rsidR="006D6077" w:rsidRPr="00340346">
        <w:rPr>
          <w:rFonts w:ascii="Arial" w:hAnsi="Arial" w:cs="Arial"/>
          <w:noProof/>
          <w:sz w:val="22"/>
        </w:rPr>
        <w:t> </w:t>
      </w:r>
      <w:r w:rsidR="006A2F7A" w:rsidRPr="00340346">
        <w:rPr>
          <w:rFonts w:ascii="Arial" w:hAnsi="Arial" w:cs="Arial"/>
          <w:noProof/>
          <w:sz w:val="22"/>
        </w:rPr>
        <w:t>companies) which would require an investment of US</w:t>
      </w:r>
      <w:r w:rsidR="006D6077" w:rsidRPr="00340346">
        <w:rPr>
          <w:rFonts w:ascii="Arial" w:hAnsi="Arial" w:cs="Arial"/>
          <w:noProof/>
          <w:sz w:val="22"/>
        </w:rPr>
        <w:t>$</w:t>
      </w:r>
      <w:r w:rsidR="006A2F7A" w:rsidRPr="00340346">
        <w:rPr>
          <w:rFonts w:ascii="Arial" w:hAnsi="Arial" w:cs="Arial"/>
          <w:noProof/>
          <w:sz w:val="22"/>
        </w:rPr>
        <w:t>42 million and financing amounting to US</w:t>
      </w:r>
      <w:r w:rsidR="006D6077" w:rsidRPr="00340346">
        <w:rPr>
          <w:rFonts w:ascii="Arial" w:hAnsi="Arial" w:cs="Arial"/>
          <w:noProof/>
          <w:sz w:val="22"/>
        </w:rPr>
        <w:t>$</w:t>
      </w:r>
      <w:r w:rsidR="006A2F7A" w:rsidRPr="00340346">
        <w:rPr>
          <w:rFonts w:ascii="Arial" w:hAnsi="Arial" w:cs="Arial"/>
          <w:noProof/>
          <w:sz w:val="22"/>
        </w:rPr>
        <w:t>29.4 million to invest in biogas plants.</w:t>
      </w:r>
      <w:bookmarkEnd w:id="195"/>
      <w:bookmarkEnd w:id="196"/>
      <w:r w:rsidR="00F46E6A" w:rsidRPr="00340346">
        <w:rPr>
          <w:rFonts w:ascii="Arial" w:hAnsi="Arial" w:cs="Arial"/>
          <w:noProof/>
          <w:sz w:val="22"/>
        </w:rPr>
        <w:t xml:space="preserve"> </w:t>
      </w:r>
      <w:bookmarkStart w:id="197" w:name="_Toc504670913"/>
      <w:bookmarkStart w:id="198" w:name="_Toc504744750"/>
      <w:r w:rsidR="000D13DA" w:rsidRPr="00340346">
        <w:rPr>
          <w:rFonts w:ascii="Arial" w:hAnsi="Arial" w:cs="Arial"/>
          <w:noProof/>
          <w:sz w:val="22"/>
        </w:rPr>
        <w:t>The following table summarizes the investment and financing analysis for each target market.</w:t>
      </w:r>
      <w:bookmarkEnd w:id="197"/>
      <w:bookmarkEnd w:id="198"/>
    </w:p>
    <w:p w14:paraId="408D1E3C" w14:textId="77777777" w:rsidR="00CD24C9" w:rsidRPr="00340346" w:rsidRDefault="00F11E04" w:rsidP="00C80112">
      <w:pPr>
        <w:jc w:val="center"/>
        <w:rPr>
          <w:rFonts w:ascii="Arial" w:hAnsi="Arial" w:cs="Arial"/>
          <w:noProof/>
          <w:sz w:val="22"/>
          <w:szCs w:val="22"/>
          <w:lang w:val="en-US"/>
        </w:rPr>
      </w:pPr>
      <w:bookmarkStart w:id="199" w:name="_Toc477440576"/>
      <w:bookmarkStart w:id="200" w:name="_Toc504670914"/>
      <w:r w:rsidRPr="00340346">
        <w:rPr>
          <w:rFonts w:ascii="Arial" w:hAnsi="Arial" w:cs="Arial"/>
          <w:b/>
          <w:noProof/>
          <w:sz w:val="22"/>
          <w:szCs w:val="22"/>
          <w:lang w:val="en-US"/>
        </w:rPr>
        <w:t xml:space="preserve">Table </w:t>
      </w:r>
      <w:r w:rsidR="00192CC2" w:rsidRPr="00340346">
        <w:rPr>
          <w:rFonts w:ascii="Arial" w:hAnsi="Arial" w:cs="Arial"/>
          <w:b/>
          <w:noProof/>
          <w:sz w:val="22"/>
          <w:szCs w:val="22"/>
          <w:lang w:val="en-US"/>
        </w:rPr>
        <w:t>3</w:t>
      </w:r>
      <w:r w:rsidRPr="00340346">
        <w:rPr>
          <w:rFonts w:ascii="Arial" w:hAnsi="Arial" w:cs="Arial"/>
          <w:b/>
          <w:noProof/>
          <w:sz w:val="22"/>
          <w:szCs w:val="22"/>
          <w:lang w:val="en-US"/>
        </w:rPr>
        <w:t>.</w:t>
      </w:r>
      <w:r w:rsidR="00192CC2" w:rsidRPr="00340346">
        <w:rPr>
          <w:rFonts w:ascii="Arial" w:hAnsi="Arial" w:cs="Arial"/>
          <w:b/>
          <w:noProof/>
          <w:sz w:val="22"/>
          <w:szCs w:val="22"/>
          <w:lang w:val="en-US"/>
        </w:rPr>
        <w:t>3</w:t>
      </w:r>
      <w:r w:rsidR="00CD24C9" w:rsidRPr="00340346">
        <w:rPr>
          <w:rFonts w:ascii="Arial" w:hAnsi="Arial" w:cs="Arial"/>
          <w:b/>
          <w:noProof/>
          <w:sz w:val="22"/>
          <w:szCs w:val="22"/>
          <w:lang w:val="en-US"/>
        </w:rPr>
        <w:t>. Investment and Financing Requirements for Target Market</w:t>
      </w:r>
      <w:bookmarkEnd w:id="199"/>
      <w:bookmarkEnd w:id="200"/>
    </w:p>
    <w:tbl>
      <w:tblPr>
        <w:tblW w:w="8946" w:type="dxa"/>
        <w:tblInd w:w="55" w:type="dxa"/>
        <w:tblLayout w:type="fixed"/>
        <w:tblCellMar>
          <w:left w:w="70" w:type="dxa"/>
          <w:right w:w="70" w:type="dxa"/>
        </w:tblCellMar>
        <w:tblLook w:val="04A0" w:firstRow="1" w:lastRow="0" w:firstColumn="1" w:lastColumn="0" w:noHBand="0" w:noVBand="1"/>
      </w:tblPr>
      <w:tblGrid>
        <w:gridCol w:w="1680"/>
        <w:gridCol w:w="1580"/>
        <w:gridCol w:w="1008"/>
        <w:gridCol w:w="1223"/>
        <w:gridCol w:w="1900"/>
        <w:gridCol w:w="1555"/>
      </w:tblGrid>
      <w:tr w:rsidR="00CD24C9" w:rsidRPr="00340346" w14:paraId="371B6EC3" w14:textId="77777777" w:rsidTr="006F4A41">
        <w:trPr>
          <w:trHeight w:val="840"/>
        </w:trPr>
        <w:tc>
          <w:tcPr>
            <w:tcW w:w="1680" w:type="dxa"/>
            <w:tcBorders>
              <w:top w:val="single" w:sz="4" w:space="0" w:color="auto"/>
              <w:left w:val="single" w:sz="4" w:space="0" w:color="auto"/>
              <w:bottom w:val="single" w:sz="4" w:space="0" w:color="auto"/>
              <w:right w:val="single" w:sz="4" w:space="0" w:color="auto"/>
            </w:tcBorders>
            <w:shd w:val="clear" w:color="000000" w:fill="548DD4" w:themeFill="text2" w:themeFillTint="99"/>
            <w:vAlign w:val="center"/>
            <w:hideMark/>
          </w:tcPr>
          <w:p w14:paraId="00CDB9E5" w14:textId="77777777" w:rsidR="00CD24C9" w:rsidRPr="00340346" w:rsidRDefault="00CD24C9"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Sector</w:t>
            </w:r>
          </w:p>
        </w:tc>
        <w:tc>
          <w:tcPr>
            <w:tcW w:w="1580" w:type="dxa"/>
            <w:tcBorders>
              <w:top w:val="single" w:sz="4" w:space="0" w:color="auto"/>
              <w:left w:val="nil"/>
              <w:bottom w:val="single" w:sz="4" w:space="0" w:color="auto"/>
              <w:right w:val="single" w:sz="4" w:space="0" w:color="auto"/>
            </w:tcBorders>
            <w:shd w:val="clear" w:color="000000" w:fill="548DD4" w:themeFill="text2" w:themeFillTint="99"/>
            <w:vAlign w:val="center"/>
            <w:hideMark/>
          </w:tcPr>
          <w:p w14:paraId="6F612E5A" w14:textId="77777777" w:rsidR="00CD24C9" w:rsidRPr="00340346" w:rsidRDefault="00CD24C9"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Potential market (companies)</w:t>
            </w:r>
          </w:p>
        </w:tc>
        <w:tc>
          <w:tcPr>
            <w:tcW w:w="1008" w:type="dxa"/>
            <w:tcBorders>
              <w:top w:val="single" w:sz="4" w:space="0" w:color="auto"/>
              <w:left w:val="nil"/>
              <w:bottom w:val="single" w:sz="4" w:space="0" w:color="auto"/>
              <w:right w:val="single" w:sz="4" w:space="0" w:color="auto"/>
            </w:tcBorders>
            <w:shd w:val="clear" w:color="000000" w:fill="548DD4" w:themeFill="text2" w:themeFillTint="99"/>
            <w:vAlign w:val="center"/>
            <w:hideMark/>
          </w:tcPr>
          <w:p w14:paraId="7E3C1A52" w14:textId="77777777" w:rsidR="00CD24C9" w:rsidRPr="00340346" w:rsidRDefault="002176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 Target</w:t>
            </w:r>
          </w:p>
        </w:tc>
        <w:tc>
          <w:tcPr>
            <w:tcW w:w="1223" w:type="dxa"/>
            <w:tcBorders>
              <w:top w:val="single" w:sz="4" w:space="0" w:color="auto"/>
              <w:left w:val="single" w:sz="4" w:space="0" w:color="auto"/>
              <w:bottom w:val="single" w:sz="4" w:space="0" w:color="auto"/>
              <w:right w:val="single" w:sz="4" w:space="0" w:color="auto"/>
            </w:tcBorders>
            <w:shd w:val="clear" w:color="000000" w:fill="548DD4" w:themeFill="text2" w:themeFillTint="99"/>
            <w:vAlign w:val="center"/>
          </w:tcPr>
          <w:p w14:paraId="62CAA942" w14:textId="77777777" w:rsidR="00CD24C9" w:rsidRPr="00340346" w:rsidRDefault="00CD24C9"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Target companies</w:t>
            </w:r>
          </w:p>
        </w:tc>
        <w:tc>
          <w:tcPr>
            <w:tcW w:w="1900" w:type="dxa"/>
            <w:tcBorders>
              <w:top w:val="single" w:sz="4" w:space="0" w:color="auto"/>
              <w:left w:val="single" w:sz="4" w:space="0" w:color="auto"/>
              <w:bottom w:val="single" w:sz="4" w:space="0" w:color="auto"/>
              <w:right w:val="single" w:sz="4" w:space="0" w:color="auto"/>
            </w:tcBorders>
            <w:shd w:val="clear" w:color="000000" w:fill="548DD4" w:themeFill="text2" w:themeFillTint="99"/>
            <w:vAlign w:val="center"/>
            <w:hideMark/>
          </w:tcPr>
          <w:p w14:paraId="13CC315B" w14:textId="77777777" w:rsidR="00CD24C9" w:rsidRPr="00340346" w:rsidRDefault="00CD24C9"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Investment (US</w:t>
            </w:r>
            <w:r w:rsidR="006D6077" w:rsidRPr="00340346">
              <w:rPr>
                <w:rFonts w:ascii="Arial" w:hAnsi="Arial" w:cs="Arial"/>
                <w:noProof/>
                <w:sz w:val="22"/>
                <w:szCs w:val="22"/>
                <w:lang w:val="en-US"/>
              </w:rPr>
              <w:t>$</w:t>
            </w:r>
            <w:r w:rsidRPr="00340346">
              <w:rPr>
                <w:rFonts w:ascii="Arial" w:hAnsi="Arial" w:cs="Arial"/>
                <w:noProof/>
                <w:sz w:val="22"/>
                <w:szCs w:val="22"/>
                <w:lang w:val="en-US"/>
              </w:rPr>
              <w:t>)</w:t>
            </w:r>
          </w:p>
        </w:tc>
        <w:tc>
          <w:tcPr>
            <w:tcW w:w="1555" w:type="dxa"/>
            <w:tcBorders>
              <w:top w:val="single" w:sz="4" w:space="0" w:color="auto"/>
              <w:left w:val="single" w:sz="4" w:space="0" w:color="auto"/>
              <w:bottom w:val="single" w:sz="4" w:space="0" w:color="auto"/>
              <w:right w:val="single" w:sz="4" w:space="0" w:color="auto"/>
            </w:tcBorders>
            <w:shd w:val="clear" w:color="000000" w:fill="548DD4" w:themeFill="text2" w:themeFillTint="99"/>
            <w:vAlign w:val="center"/>
            <w:hideMark/>
          </w:tcPr>
          <w:p w14:paraId="1B8E2483" w14:textId="77777777" w:rsidR="00CD24C9" w:rsidRPr="00340346" w:rsidRDefault="00CD24C9" w:rsidP="006D6077">
            <w:pPr>
              <w:spacing w:before="0" w:after="0" w:line="240" w:lineRule="auto"/>
              <w:jc w:val="center"/>
              <w:rPr>
                <w:rFonts w:ascii="Arial" w:hAnsi="Arial" w:cs="Arial"/>
                <w:noProof/>
                <w:sz w:val="22"/>
                <w:szCs w:val="22"/>
                <w:lang w:val="en-US"/>
              </w:rPr>
            </w:pPr>
            <w:r w:rsidRPr="00340346">
              <w:rPr>
                <w:rFonts w:ascii="Arial" w:hAnsi="Arial" w:cs="Arial"/>
                <w:noProof/>
                <w:sz w:val="22"/>
                <w:szCs w:val="22"/>
                <w:lang w:val="en-US"/>
              </w:rPr>
              <w:t>Financing (US</w:t>
            </w:r>
            <w:r w:rsidR="006D6077" w:rsidRPr="00340346">
              <w:rPr>
                <w:rFonts w:ascii="Arial" w:hAnsi="Arial" w:cs="Arial"/>
                <w:noProof/>
                <w:sz w:val="22"/>
                <w:szCs w:val="22"/>
                <w:lang w:val="en-US"/>
              </w:rPr>
              <w:t>$</w:t>
            </w:r>
            <w:r w:rsidRPr="00340346">
              <w:rPr>
                <w:rFonts w:ascii="Arial" w:hAnsi="Arial" w:cs="Arial"/>
                <w:noProof/>
                <w:sz w:val="22"/>
                <w:szCs w:val="22"/>
                <w:lang w:val="en-US"/>
              </w:rPr>
              <w:t>)</w:t>
            </w:r>
          </w:p>
        </w:tc>
      </w:tr>
      <w:tr w:rsidR="006F4A41" w:rsidRPr="00340346" w14:paraId="5EC360F4" w14:textId="77777777" w:rsidTr="00243AF0">
        <w:trPr>
          <w:trHeight w:val="280"/>
        </w:trPr>
        <w:tc>
          <w:tcPr>
            <w:tcW w:w="1680" w:type="dxa"/>
            <w:tcBorders>
              <w:top w:val="nil"/>
              <w:left w:val="single" w:sz="4" w:space="0" w:color="auto"/>
              <w:bottom w:val="single" w:sz="4" w:space="0" w:color="auto"/>
              <w:right w:val="single" w:sz="4" w:space="0" w:color="auto"/>
            </w:tcBorders>
            <w:shd w:val="clear" w:color="000000" w:fill="FFFFFF"/>
            <w:noWrap/>
            <w:vAlign w:val="center"/>
            <w:hideMark/>
          </w:tcPr>
          <w:p w14:paraId="3274F905"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Pig</w:t>
            </w:r>
          </w:p>
        </w:tc>
        <w:tc>
          <w:tcPr>
            <w:tcW w:w="1580" w:type="dxa"/>
            <w:tcBorders>
              <w:top w:val="nil"/>
              <w:left w:val="nil"/>
              <w:bottom w:val="single" w:sz="4" w:space="0" w:color="auto"/>
              <w:right w:val="single" w:sz="4" w:space="0" w:color="auto"/>
            </w:tcBorders>
            <w:shd w:val="clear" w:color="000000" w:fill="FFFFFF"/>
            <w:noWrap/>
            <w:vAlign w:val="center"/>
            <w:hideMark/>
          </w:tcPr>
          <w:p w14:paraId="4C8207E9"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2,996</w:t>
            </w:r>
          </w:p>
        </w:tc>
        <w:tc>
          <w:tcPr>
            <w:tcW w:w="1008" w:type="dxa"/>
            <w:tcBorders>
              <w:top w:val="single" w:sz="4" w:space="0" w:color="auto"/>
              <w:left w:val="nil"/>
              <w:bottom w:val="single" w:sz="4" w:space="0" w:color="auto"/>
              <w:right w:val="single" w:sz="4" w:space="0" w:color="auto"/>
            </w:tcBorders>
            <w:shd w:val="clear" w:color="000000" w:fill="FFFFFF"/>
            <w:noWrap/>
            <w:vAlign w:val="bottom"/>
            <w:hideMark/>
          </w:tcPr>
          <w:p w14:paraId="33766058"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15%</w:t>
            </w:r>
          </w:p>
        </w:tc>
        <w:tc>
          <w:tcPr>
            <w:tcW w:w="1223" w:type="dxa"/>
            <w:tcBorders>
              <w:top w:val="single" w:sz="4" w:space="0" w:color="auto"/>
              <w:left w:val="single" w:sz="4" w:space="0" w:color="auto"/>
              <w:bottom w:val="single" w:sz="4" w:space="0" w:color="auto"/>
              <w:right w:val="single" w:sz="4" w:space="0" w:color="auto"/>
            </w:tcBorders>
            <w:shd w:val="clear" w:color="000000" w:fill="FFFFFF"/>
            <w:vAlign w:val="bottom"/>
          </w:tcPr>
          <w:p w14:paraId="5F5ADC9E"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449</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CE92A2"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48 million</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DC26A4"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33.6 million</w:t>
            </w:r>
          </w:p>
        </w:tc>
      </w:tr>
      <w:tr w:rsidR="006F4A41" w:rsidRPr="00340346" w14:paraId="1D777CA9" w14:textId="77777777" w:rsidTr="00243AF0">
        <w:trPr>
          <w:trHeight w:val="280"/>
        </w:trPr>
        <w:tc>
          <w:tcPr>
            <w:tcW w:w="1680" w:type="dxa"/>
            <w:tcBorders>
              <w:top w:val="nil"/>
              <w:left w:val="single" w:sz="4" w:space="0" w:color="auto"/>
              <w:bottom w:val="single" w:sz="4" w:space="0" w:color="auto"/>
              <w:right w:val="single" w:sz="4" w:space="0" w:color="auto"/>
            </w:tcBorders>
            <w:shd w:val="clear" w:color="000000" w:fill="FFFFFF"/>
            <w:noWrap/>
            <w:vAlign w:val="center"/>
            <w:hideMark/>
          </w:tcPr>
          <w:p w14:paraId="086B68C1"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Bovine</w:t>
            </w:r>
          </w:p>
        </w:tc>
        <w:tc>
          <w:tcPr>
            <w:tcW w:w="1580" w:type="dxa"/>
            <w:tcBorders>
              <w:top w:val="nil"/>
              <w:left w:val="nil"/>
              <w:bottom w:val="single" w:sz="4" w:space="0" w:color="auto"/>
              <w:right w:val="single" w:sz="4" w:space="0" w:color="auto"/>
            </w:tcBorders>
            <w:shd w:val="clear" w:color="000000" w:fill="FFFFFF"/>
            <w:noWrap/>
            <w:vAlign w:val="center"/>
            <w:hideMark/>
          </w:tcPr>
          <w:p w14:paraId="1B9E6E1C"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1,000</w:t>
            </w:r>
          </w:p>
        </w:tc>
        <w:tc>
          <w:tcPr>
            <w:tcW w:w="1008" w:type="dxa"/>
            <w:tcBorders>
              <w:top w:val="single" w:sz="4" w:space="0" w:color="auto"/>
              <w:left w:val="nil"/>
              <w:bottom w:val="single" w:sz="4" w:space="0" w:color="auto"/>
              <w:right w:val="single" w:sz="4" w:space="0" w:color="auto"/>
            </w:tcBorders>
            <w:shd w:val="clear" w:color="000000" w:fill="FFFFFF"/>
            <w:noWrap/>
            <w:vAlign w:val="bottom"/>
            <w:hideMark/>
          </w:tcPr>
          <w:p w14:paraId="27F2F247"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2%</w:t>
            </w:r>
          </w:p>
        </w:tc>
        <w:tc>
          <w:tcPr>
            <w:tcW w:w="1223" w:type="dxa"/>
            <w:tcBorders>
              <w:top w:val="single" w:sz="4" w:space="0" w:color="auto"/>
              <w:left w:val="single" w:sz="4" w:space="0" w:color="auto"/>
              <w:bottom w:val="single" w:sz="4" w:space="0" w:color="auto"/>
              <w:right w:val="single" w:sz="4" w:space="0" w:color="auto"/>
            </w:tcBorders>
            <w:shd w:val="clear" w:color="000000" w:fill="FFFFFF"/>
            <w:vAlign w:val="bottom"/>
          </w:tcPr>
          <w:p w14:paraId="2E4559EC"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20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977B31"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20 million</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5DD315"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 xml:space="preserve">14 </w:t>
            </w:r>
            <w:r w:rsidR="00217666" w:rsidRPr="00340346">
              <w:rPr>
                <w:rFonts w:ascii="Arial" w:hAnsi="Arial" w:cs="Arial"/>
                <w:noProof/>
                <w:sz w:val="22"/>
                <w:szCs w:val="22"/>
                <w:lang w:val="en-US"/>
              </w:rPr>
              <w:t>million</w:t>
            </w:r>
          </w:p>
        </w:tc>
      </w:tr>
      <w:tr w:rsidR="006F4A41" w:rsidRPr="00340346" w14:paraId="0F8D9291" w14:textId="77777777" w:rsidTr="00243AF0">
        <w:trPr>
          <w:trHeight w:val="280"/>
        </w:trPr>
        <w:tc>
          <w:tcPr>
            <w:tcW w:w="1680" w:type="dxa"/>
            <w:tcBorders>
              <w:top w:val="nil"/>
              <w:left w:val="single" w:sz="4" w:space="0" w:color="auto"/>
              <w:bottom w:val="single" w:sz="4" w:space="0" w:color="auto"/>
              <w:right w:val="single" w:sz="4" w:space="0" w:color="auto"/>
            </w:tcBorders>
            <w:shd w:val="clear" w:color="000000" w:fill="FFFFFF"/>
            <w:noWrap/>
            <w:vAlign w:val="center"/>
            <w:hideMark/>
          </w:tcPr>
          <w:p w14:paraId="0BF6236F"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Industry</w:t>
            </w:r>
          </w:p>
        </w:tc>
        <w:tc>
          <w:tcPr>
            <w:tcW w:w="1580" w:type="dxa"/>
            <w:tcBorders>
              <w:top w:val="nil"/>
              <w:left w:val="nil"/>
              <w:bottom w:val="single" w:sz="4" w:space="0" w:color="auto"/>
              <w:right w:val="single" w:sz="4" w:space="0" w:color="auto"/>
            </w:tcBorders>
            <w:shd w:val="clear" w:color="000000" w:fill="FFFFFF"/>
            <w:noWrap/>
            <w:vAlign w:val="center"/>
            <w:hideMark/>
          </w:tcPr>
          <w:p w14:paraId="7CBA0A19"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4,200</w:t>
            </w:r>
          </w:p>
        </w:tc>
        <w:tc>
          <w:tcPr>
            <w:tcW w:w="1008" w:type="dxa"/>
            <w:tcBorders>
              <w:top w:val="single" w:sz="4" w:space="0" w:color="auto"/>
              <w:left w:val="nil"/>
              <w:bottom w:val="single" w:sz="4" w:space="0" w:color="auto"/>
              <w:right w:val="single" w:sz="4" w:space="0" w:color="auto"/>
            </w:tcBorders>
            <w:shd w:val="clear" w:color="000000" w:fill="FFFFFF"/>
            <w:noWrap/>
            <w:vAlign w:val="bottom"/>
            <w:hideMark/>
          </w:tcPr>
          <w:p w14:paraId="08226ACE"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1223" w:type="dxa"/>
            <w:tcBorders>
              <w:top w:val="single" w:sz="4" w:space="0" w:color="auto"/>
              <w:left w:val="single" w:sz="4" w:space="0" w:color="auto"/>
              <w:bottom w:val="single" w:sz="4" w:space="0" w:color="auto"/>
              <w:right w:val="single" w:sz="4" w:space="0" w:color="auto"/>
            </w:tcBorders>
            <w:shd w:val="clear" w:color="000000" w:fill="FFFFFF"/>
            <w:vAlign w:val="bottom"/>
          </w:tcPr>
          <w:p w14:paraId="2B680EEB"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168</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111C0C"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42 million</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6DC78E" w14:textId="77777777" w:rsidR="006F4A41"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 xml:space="preserve">29.4 </w:t>
            </w:r>
            <w:r w:rsidR="00217666" w:rsidRPr="00340346">
              <w:rPr>
                <w:rFonts w:ascii="Arial" w:hAnsi="Arial" w:cs="Arial"/>
                <w:noProof/>
                <w:sz w:val="22"/>
                <w:szCs w:val="22"/>
                <w:lang w:val="en-US"/>
              </w:rPr>
              <w:t>million</w:t>
            </w:r>
          </w:p>
        </w:tc>
      </w:tr>
      <w:tr w:rsidR="00CD24C9" w:rsidRPr="00340346" w14:paraId="2EAA875C" w14:textId="77777777" w:rsidTr="006F4A41">
        <w:trPr>
          <w:trHeight w:val="280"/>
        </w:trPr>
        <w:tc>
          <w:tcPr>
            <w:tcW w:w="1680" w:type="dxa"/>
            <w:tcBorders>
              <w:top w:val="nil"/>
              <w:left w:val="single" w:sz="4" w:space="0" w:color="auto"/>
              <w:bottom w:val="single" w:sz="4" w:space="0" w:color="auto"/>
              <w:right w:val="single" w:sz="4" w:space="0" w:color="auto"/>
            </w:tcBorders>
            <w:shd w:val="clear" w:color="000000" w:fill="FFFFFF"/>
            <w:noWrap/>
            <w:vAlign w:val="center"/>
            <w:hideMark/>
          </w:tcPr>
          <w:p w14:paraId="453C8171" w14:textId="77777777" w:rsidR="00CD24C9" w:rsidRPr="00340346" w:rsidRDefault="00CD24C9"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TOTAL</w:t>
            </w:r>
          </w:p>
        </w:tc>
        <w:tc>
          <w:tcPr>
            <w:tcW w:w="1580" w:type="dxa"/>
            <w:tcBorders>
              <w:top w:val="nil"/>
              <w:left w:val="nil"/>
              <w:bottom w:val="single" w:sz="4" w:space="0" w:color="auto"/>
              <w:right w:val="single" w:sz="4" w:space="0" w:color="auto"/>
            </w:tcBorders>
            <w:shd w:val="clear" w:color="000000" w:fill="FFFFFF"/>
            <w:noWrap/>
            <w:vAlign w:val="center"/>
            <w:hideMark/>
          </w:tcPr>
          <w:p w14:paraId="3D3EB1CE" w14:textId="77777777" w:rsidR="00CD24C9" w:rsidRPr="00340346" w:rsidRDefault="00CD24C9" w:rsidP="00C80112">
            <w:pPr>
              <w:spacing w:before="0" w:after="0" w:line="240" w:lineRule="auto"/>
              <w:rPr>
                <w:rFonts w:ascii="Arial" w:hAnsi="Arial" w:cs="Arial"/>
                <w:noProof/>
                <w:sz w:val="22"/>
                <w:szCs w:val="22"/>
                <w:lang w:val="en-US"/>
              </w:rPr>
            </w:pPr>
          </w:p>
        </w:tc>
        <w:tc>
          <w:tcPr>
            <w:tcW w:w="1008" w:type="dxa"/>
            <w:tcBorders>
              <w:top w:val="single" w:sz="4" w:space="0" w:color="auto"/>
              <w:left w:val="nil"/>
              <w:bottom w:val="single" w:sz="4" w:space="0" w:color="auto"/>
              <w:right w:val="single" w:sz="4" w:space="0" w:color="auto"/>
            </w:tcBorders>
            <w:shd w:val="clear" w:color="000000" w:fill="FFFFFF"/>
            <w:noWrap/>
            <w:vAlign w:val="center"/>
            <w:hideMark/>
          </w:tcPr>
          <w:p w14:paraId="2937F8F0" w14:textId="77777777" w:rsidR="00CD24C9" w:rsidRPr="00340346" w:rsidRDefault="00CD24C9" w:rsidP="00C80112">
            <w:pPr>
              <w:spacing w:before="0" w:after="0" w:line="240" w:lineRule="auto"/>
              <w:rPr>
                <w:rFonts w:ascii="Arial" w:hAnsi="Arial" w:cs="Arial"/>
                <w:noProof/>
                <w:sz w:val="22"/>
                <w:szCs w:val="22"/>
                <w:lang w:val="en-US"/>
              </w:rPr>
            </w:pPr>
          </w:p>
        </w:tc>
        <w:tc>
          <w:tcPr>
            <w:tcW w:w="1223" w:type="dxa"/>
            <w:tcBorders>
              <w:top w:val="single" w:sz="4" w:space="0" w:color="auto"/>
              <w:left w:val="single" w:sz="4" w:space="0" w:color="auto"/>
              <w:bottom w:val="single" w:sz="4" w:space="0" w:color="auto"/>
              <w:right w:val="single" w:sz="4" w:space="0" w:color="auto"/>
            </w:tcBorders>
            <w:shd w:val="clear" w:color="000000" w:fill="FFFFFF"/>
          </w:tcPr>
          <w:p w14:paraId="6355E581" w14:textId="77777777" w:rsidR="00CD24C9" w:rsidRPr="00340346" w:rsidRDefault="00CD24C9" w:rsidP="00C80112">
            <w:pPr>
              <w:spacing w:before="0" w:after="0" w:line="240" w:lineRule="auto"/>
              <w:rPr>
                <w:rFonts w:ascii="Arial" w:hAnsi="Arial" w:cs="Arial"/>
                <w:noProof/>
                <w:sz w:val="22"/>
                <w:szCs w:val="22"/>
                <w:lang w:val="en-US"/>
              </w:rPr>
            </w:pPr>
          </w:p>
        </w:tc>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52694A" w14:textId="77777777" w:rsidR="00CD24C9"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110 million</w:t>
            </w:r>
          </w:p>
        </w:tc>
        <w:tc>
          <w:tcPr>
            <w:tcW w:w="15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9E3D83" w14:textId="77777777" w:rsidR="00CD24C9" w:rsidRPr="00340346" w:rsidRDefault="006F4A41"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77 million</w:t>
            </w:r>
          </w:p>
        </w:tc>
      </w:tr>
    </w:tbl>
    <w:p w14:paraId="5F1793D0" w14:textId="77777777" w:rsidR="00F46E6A" w:rsidRPr="00340346" w:rsidRDefault="00FE2851" w:rsidP="00C80112">
      <w:pPr>
        <w:pStyle w:val="Paragraph"/>
        <w:rPr>
          <w:rFonts w:ascii="Arial" w:hAnsi="Arial" w:cs="Arial"/>
          <w:noProof/>
          <w:sz w:val="22"/>
        </w:rPr>
      </w:pPr>
      <w:bookmarkStart w:id="201" w:name="_Toc504669734"/>
      <w:bookmarkStart w:id="202" w:name="_Toc504670006"/>
      <w:bookmarkStart w:id="203" w:name="_Toc504670278"/>
      <w:bookmarkStart w:id="204" w:name="_Toc504670647"/>
      <w:bookmarkStart w:id="205" w:name="_Toc504670915"/>
      <w:bookmarkStart w:id="206" w:name="_Toc504744751"/>
      <w:bookmarkStart w:id="207" w:name="_Toc504670916"/>
      <w:bookmarkStart w:id="208" w:name="_Toc504744752"/>
      <w:bookmarkEnd w:id="201"/>
      <w:bookmarkEnd w:id="202"/>
      <w:bookmarkEnd w:id="203"/>
      <w:bookmarkEnd w:id="204"/>
      <w:bookmarkEnd w:id="205"/>
      <w:bookmarkEnd w:id="206"/>
      <w:r w:rsidRPr="00340346">
        <w:rPr>
          <w:rFonts w:ascii="Arial" w:hAnsi="Arial" w:cs="Arial"/>
          <w:noProof/>
          <w:sz w:val="22"/>
        </w:rPr>
        <w:t>Investments in biogas projects face many barriers, among which the following stand out.</w:t>
      </w:r>
      <w:bookmarkEnd w:id="207"/>
      <w:bookmarkEnd w:id="208"/>
      <w:r w:rsidR="006837EB" w:rsidRPr="00340346">
        <w:rPr>
          <w:rFonts w:ascii="Arial" w:hAnsi="Arial" w:cs="Arial"/>
          <w:noProof/>
          <w:sz w:val="22"/>
        </w:rPr>
        <w:t xml:space="preserve"> </w:t>
      </w:r>
      <w:bookmarkStart w:id="209" w:name="_Toc504670917"/>
      <w:bookmarkStart w:id="210" w:name="_Toc504744753"/>
      <w:r w:rsidRPr="00340346">
        <w:rPr>
          <w:rFonts w:ascii="Arial" w:hAnsi="Arial" w:cs="Arial"/>
          <w:noProof/>
          <w:sz w:val="22"/>
        </w:rPr>
        <w:t>The investment in this type of projects compete against other investment opportunities of the companies. Companies assess the investment in terms of risk and profit. If companies perceive a high risk their expectations on return of investment would also be high. By contrast, when the investor perceives that the investment represents a low risk his expectations on profit are also lower. Biogas projects may be perceived as high-risk investments given the lack of knowledge on the technology and the lack of trust in the suppliers and the technology.</w:t>
      </w:r>
      <w:bookmarkStart w:id="211" w:name="_Toc504670918"/>
      <w:bookmarkStart w:id="212" w:name="_Toc504744754"/>
      <w:bookmarkStart w:id="213" w:name="_Toc504670919"/>
      <w:bookmarkEnd w:id="209"/>
      <w:bookmarkEnd w:id="210"/>
      <w:bookmarkEnd w:id="211"/>
      <w:bookmarkEnd w:id="212"/>
    </w:p>
    <w:p w14:paraId="268E6B2B" w14:textId="77777777" w:rsidR="00F46E6A" w:rsidRPr="00340346" w:rsidRDefault="00056CCD" w:rsidP="00C80112">
      <w:pPr>
        <w:pStyle w:val="Paragraph"/>
        <w:rPr>
          <w:rFonts w:ascii="Arial" w:hAnsi="Arial" w:cs="Arial"/>
          <w:noProof/>
          <w:sz w:val="22"/>
        </w:rPr>
      </w:pPr>
      <w:bookmarkStart w:id="214" w:name="_Toc504744755"/>
      <w:r w:rsidRPr="00340346">
        <w:rPr>
          <w:rFonts w:ascii="Arial" w:hAnsi="Arial" w:cs="Arial"/>
          <w:noProof/>
          <w:sz w:val="22"/>
        </w:rPr>
        <w:t>Biogas projects require an engineering study which is usually performed during the preliminary stage of the project and its budget. The cost of the study is usually paid by the investor. However, investors perceive this investment as a risky initial expense and this discourages investment in these projects.</w:t>
      </w:r>
      <w:bookmarkStart w:id="215" w:name="_Toc504670920"/>
      <w:bookmarkStart w:id="216" w:name="_Toc504744756"/>
      <w:bookmarkStart w:id="217" w:name="_Toc504670921"/>
      <w:bookmarkEnd w:id="213"/>
      <w:bookmarkEnd w:id="214"/>
      <w:bookmarkEnd w:id="215"/>
      <w:bookmarkEnd w:id="216"/>
    </w:p>
    <w:p w14:paraId="40B20F43" w14:textId="77777777" w:rsidR="00011425" w:rsidRPr="00340346" w:rsidRDefault="00877642" w:rsidP="00C80112">
      <w:pPr>
        <w:pStyle w:val="Paragraph"/>
        <w:rPr>
          <w:rFonts w:ascii="Arial" w:hAnsi="Arial" w:cs="Arial"/>
          <w:noProof/>
          <w:sz w:val="22"/>
        </w:rPr>
      </w:pPr>
      <w:bookmarkStart w:id="218" w:name="_Toc504744757"/>
      <w:r w:rsidRPr="00340346">
        <w:rPr>
          <w:rFonts w:ascii="Arial" w:hAnsi="Arial" w:cs="Arial"/>
          <w:noProof/>
          <w:sz w:val="22"/>
        </w:rPr>
        <w:t xml:space="preserve">Long-term finance - </w:t>
      </w:r>
      <w:r w:rsidR="00011425" w:rsidRPr="00340346">
        <w:rPr>
          <w:rFonts w:ascii="Arial" w:hAnsi="Arial" w:cs="Arial"/>
          <w:noProof/>
          <w:sz w:val="22"/>
        </w:rPr>
        <w:t xml:space="preserve">Argentina is going through a transitional economic phase where confidence in the markets is returning and this is having an impact on the exchange rate, inflation, interest rates, among others. However, the persisting concerns would </w:t>
      </w:r>
      <w:r w:rsidR="00011425" w:rsidRPr="00340346">
        <w:rPr>
          <w:rFonts w:ascii="Arial" w:hAnsi="Arial" w:cs="Arial"/>
          <w:noProof/>
          <w:sz w:val="22"/>
        </w:rPr>
        <w:lastRenderedPageBreak/>
        <w:t xml:space="preserve">have to be eliminated. One of the factors that has been affected is the availability of long-term financing. Most of the financial institutions have yet to offer credits that allow the financing of this type of projects (more than </w:t>
      </w:r>
      <w:r w:rsidR="006D6077" w:rsidRPr="00340346">
        <w:rPr>
          <w:rFonts w:ascii="Arial" w:hAnsi="Arial" w:cs="Arial"/>
          <w:noProof/>
          <w:sz w:val="22"/>
        </w:rPr>
        <w:t>five</w:t>
      </w:r>
      <w:r w:rsidR="00011425" w:rsidRPr="00340346">
        <w:rPr>
          <w:rFonts w:ascii="Arial" w:hAnsi="Arial" w:cs="Arial"/>
          <w:noProof/>
          <w:sz w:val="22"/>
        </w:rPr>
        <w:t xml:space="preserve"> years). In addition, small and medium-sized companies face greater difficulty than large companies in accessing financing. The few SMEs that have access to financing do so with non</w:t>
      </w:r>
      <w:r w:rsidR="006D6077" w:rsidRPr="00340346">
        <w:rPr>
          <w:rFonts w:ascii="Arial" w:hAnsi="Arial" w:cs="Arial"/>
          <w:noProof/>
          <w:sz w:val="22"/>
        </w:rPr>
        <w:t>˗</w:t>
      </w:r>
      <w:r w:rsidR="00011425" w:rsidRPr="00340346">
        <w:rPr>
          <w:rFonts w:ascii="Arial" w:hAnsi="Arial" w:cs="Arial"/>
          <w:noProof/>
          <w:sz w:val="22"/>
        </w:rPr>
        <w:t>competitive rates and conditions.</w:t>
      </w:r>
      <w:bookmarkEnd w:id="217"/>
      <w:bookmarkEnd w:id="218"/>
    </w:p>
    <w:p w14:paraId="0A00517D" w14:textId="77777777" w:rsidR="00150987" w:rsidRPr="00340346" w:rsidRDefault="00AE4BA7" w:rsidP="00C80112">
      <w:pPr>
        <w:pStyle w:val="Paragraph"/>
        <w:rPr>
          <w:rFonts w:ascii="Arial" w:hAnsi="Arial" w:cs="Arial"/>
          <w:noProof/>
          <w:sz w:val="22"/>
        </w:rPr>
      </w:pPr>
      <w:bookmarkStart w:id="219" w:name="_Toc504669741"/>
      <w:bookmarkStart w:id="220" w:name="_Toc504670013"/>
      <w:bookmarkStart w:id="221" w:name="_Toc504670285"/>
      <w:bookmarkStart w:id="222" w:name="_Toc504670654"/>
      <w:bookmarkStart w:id="223" w:name="_Toc504670922"/>
      <w:bookmarkStart w:id="224" w:name="_Toc504744758"/>
      <w:bookmarkStart w:id="225" w:name="_Toc504670924"/>
      <w:bookmarkStart w:id="226" w:name="_Toc504744760"/>
      <w:bookmarkEnd w:id="219"/>
      <w:bookmarkEnd w:id="220"/>
      <w:bookmarkEnd w:id="221"/>
      <w:bookmarkEnd w:id="222"/>
      <w:bookmarkEnd w:id="223"/>
      <w:bookmarkEnd w:id="224"/>
      <w:r w:rsidRPr="00340346">
        <w:rPr>
          <w:rFonts w:ascii="Arial" w:hAnsi="Arial" w:cs="Arial"/>
          <w:noProof/>
          <w:sz w:val="22"/>
        </w:rPr>
        <w:t xml:space="preserve">Biomass plants refer to the thermochemical process of converting dry biomass into energy. Dry biomass </w:t>
      </w:r>
      <w:r w:rsidR="00217666" w:rsidRPr="00340346">
        <w:rPr>
          <w:rFonts w:ascii="Arial" w:hAnsi="Arial" w:cs="Arial"/>
          <w:noProof/>
          <w:sz w:val="22"/>
        </w:rPr>
        <w:t>includes</w:t>
      </w:r>
      <w:r w:rsidRPr="00340346">
        <w:rPr>
          <w:rFonts w:ascii="Arial" w:hAnsi="Arial" w:cs="Arial"/>
          <w:noProof/>
          <w:sz w:val="22"/>
        </w:rPr>
        <w:t xml:space="preserve"> residues from the forest sector, residues from the timber, furniture, and wood industries, etc. Thermochemical processes refer mainly to combustion, pyrolysis or gasification of the biomass.</w:t>
      </w:r>
      <w:bookmarkEnd w:id="225"/>
      <w:bookmarkEnd w:id="226"/>
    </w:p>
    <w:p w14:paraId="4942DB36" w14:textId="77777777" w:rsidR="00AE4BA7" w:rsidRPr="00340346" w:rsidRDefault="00AE4BA7" w:rsidP="00C80112">
      <w:pPr>
        <w:jc w:val="center"/>
        <w:rPr>
          <w:rFonts w:ascii="Arial" w:hAnsi="Arial" w:cs="Arial"/>
          <w:b/>
          <w:bCs/>
          <w:noProof/>
          <w:sz w:val="22"/>
          <w:szCs w:val="22"/>
          <w:lang w:val="en-US"/>
        </w:rPr>
      </w:pPr>
      <w:bookmarkStart w:id="227" w:name="_Toc477440581"/>
      <w:r w:rsidRPr="00340346">
        <w:rPr>
          <w:rFonts w:ascii="Arial" w:hAnsi="Arial" w:cs="Arial"/>
          <w:b/>
          <w:noProof/>
          <w:sz w:val="22"/>
          <w:szCs w:val="22"/>
          <w:lang w:val="en-US"/>
        </w:rPr>
        <w:t xml:space="preserve">Figure </w:t>
      </w:r>
      <w:r w:rsidR="00192CC2" w:rsidRPr="00340346">
        <w:rPr>
          <w:rFonts w:ascii="Arial" w:hAnsi="Arial" w:cs="Arial"/>
          <w:b/>
          <w:noProof/>
          <w:sz w:val="22"/>
          <w:szCs w:val="22"/>
          <w:lang w:val="en-US"/>
        </w:rPr>
        <w:t>3</w:t>
      </w:r>
      <w:r w:rsidR="00F11E04" w:rsidRPr="00340346">
        <w:rPr>
          <w:rFonts w:ascii="Arial" w:hAnsi="Arial" w:cs="Arial"/>
          <w:b/>
          <w:noProof/>
          <w:sz w:val="22"/>
          <w:szCs w:val="22"/>
          <w:lang w:val="en-US"/>
        </w:rPr>
        <w:t>.4.</w:t>
      </w:r>
      <w:r w:rsidRPr="00340346">
        <w:rPr>
          <w:rFonts w:ascii="Arial" w:hAnsi="Arial" w:cs="Arial"/>
          <w:b/>
          <w:noProof/>
          <w:sz w:val="22"/>
          <w:szCs w:val="22"/>
          <w:lang w:val="en-US"/>
        </w:rPr>
        <w:t xml:space="preserve"> Biomass Gasification Plant</w:t>
      </w:r>
      <w:bookmarkEnd w:id="227"/>
      <w:r w:rsidR="00F11E04" w:rsidRPr="00340346">
        <w:rPr>
          <w:rFonts w:ascii="Arial" w:hAnsi="Arial" w:cs="Arial"/>
          <w:b/>
          <w:noProof/>
          <w:sz w:val="22"/>
          <w:szCs w:val="22"/>
          <w:lang w:val="en-US"/>
        </w:rPr>
        <w:t xml:space="preserve"> </w:t>
      </w:r>
    </w:p>
    <w:p w14:paraId="24E0864D" w14:textId="77777777" w:rsidR="00CF75FC" w:rsidRPr="00340346" w:rsidRDefault="00CF75FC" w:rsidP="00C80112">
      <w:pPr>
        <w:jc w:val="center"/>
        <w:rPr>
          <w:rFonts w:ascii="Arial" w:hAnsi="Arial" w:cs="Arial"/>
          <w:noProof/>
          <w:sz w:val="22"/>
          <w:szCs w:val="22"/>
          <w:lang w:val="en-US"/>
        </w:rPr>
      </w:pPr>
      <w:r w:rsidRPr="00340346">
        <w:rPr>
          <w:rFonts w:ascii="Arial" w:hAnsi="Arial" w:cs="Arial"/>
          <w:noProof/>
          <w:sz w:val="22"/>
          <w:szCs w:val="22"/>
          <w:lang w:val="en-US" w:eastAsia="en-US"/>
        </w:rPr>
        <w:drawing>
          <wp:inline distT="0" distB="0" distL="0" distR="0" wp14:anchorId="31A6A270" wp14:editId="60B27734">
            <wp:extent cx="4362450" cy="2571750"/>
            <wp:effectExtent l="0" t="0" r="635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a_gasificacion_biomasa_CENER.jpg"/>
                    <pic:cNvPicPr/>
                  </pic:nvPicPr>
                  <pic:blipFill>
                    <a:blip r:embed="rId18">
                      <a:extLst>
                        <a:ext uri="{28A0092B-C50C-407E-A947-70E740481C1C}">
                          <a14:useLocalDpi xmlns:a14="http://schemas.microsoft.com/office/drawing/2010/main" val="0"/>
                        </a:ext>
                      </a:extLst>
                    </a:blip>
                    <a:stretch>
                      <a:fillRect/>
                    </a:stretch>
                  </pic:blipFill>
                  <pic:spPr>
                    <a:xfrm>
                      <a:off x="0" y="0"/>
                      <a:ext cx="4362450" cy="2571750"/>
                    </a:xfrm>
                    <a:prstGeom prst="rect">
                      <a:avLst/>
                    </a:prstGeom>
                  </pic:spPr>
                </pic:pic>
              </a:graphicData>
            </a:graphic>
          </wp:inline>
        </w:drawing>
      </w:r>
    </w:p>
    <w:p w14:paraId="548D1016" w14:textId="77777777" w:rsidR="00877642" w:rsidRPr="00340346" w:rsidRDefault="00CF75FC" w:rsidP="00C80112">
      <w:pPr>
        <w:pStyle w:val="Paragraph"/>
        <w:rPr>
          <w:rFonts w:ascii="Arial" w:hAnsi="Arial" w:cs="Arial"/>
          <w:noProof/>
          <w:sz w:val="22"/>
        </w:rPr>
      </w:pPr>
      <w:bookmarkStart w:id="228" w:name="_Toc504669744"/>
      <w:bookmarkStart w:id="229" w:name="_Toc504670016"/>
      <w:bookmarkStart w:id="230" w:name="_Toc504670288"/>
      <w:bookmarkStart w:id="231" w:name="_Toc504670657"/>
      <w:bookmarkStart w:id="232" w:name="_Toc504670925"/>
      <w:bookmarkStart w:id="233" w:name="_Toc504744761"/>
      <w:bookmarkStart w:id="234" w:name="_Toc504670926"/>
      <w:bookmarkStart w:id="235" w:name="_Toc504744762"/>
      <w:bookmarkEnd w:id="228"/>
      <w:bookmarkEnd w:id="229"/>
      <w:bookmarkEnd w:id="230"/>
      <w:bookmarkEnd w:id="231"/>
      <w:bookmarkEnd w:id="232"/>
      <w:bookmarkEnd w:id="233"/>
      <w:r w:rsidRPr="00340346">
        <w:rPr>
          <w:rFonts w:ascii="Arial" w:hAnsi="Arial" w:cs="Arial"/>
          <w:noProof/>
          <w:sz w:val="22"/>
        </w:rPr>
        <w:t>There is a large amount of dry residues in Argentina that can be exploited to produce energy</w:t>
      </w:r>
      <w:r w:rsidR="00465FD6" w:rsidRPr="00340346">
        <w:rPr>
          <w:rFonts w:ascii="Arial" w:hAnsi="Arial" w:cs="Arial"/>
          <w:noProof/>
          <w:sz w:val="22"/>
        </w:rPr>
        <w:t>,</w:t>
      </w:r>
      <w:r w:rsidRPr="00340346">
        <w:rPr>
          <w:rFonts w:ascii="Arial" w:hAnsi="Arial" w:cs="Arial"/>
          <w:noProof/>
          <w:sz w:val="22"/>
        </w:rPr>
        <w:t xml:space="preserve"> such as olive oil, citrics, forest, yerba mate, peanut, wine, </w:t>
      </w:r>
      <w:r w:rsidR="00465FD6" w:rsidRPr="00340346">
        <w:rPr>
          <w:rFonts w:ascii="Arial" w:hAnsi="Arial" w:cs="Arial"/>
          <w:noProof/>
          <w:sz w:val="22"/>
        </w:rPr>
        <w:t>and rice husk residues</w:t>
      </w:r>
      <w:r w:rsidRPr="00340346">
        <w:rPr>
          <w:rFonts w:ascii="Arial" w:hAnsi="Arial" w:cs="Arial"/>
          <w:noProof/>
          <w:sz w:val="22"/>
        </w:rPr>
        <w:t>, paper manufacturing residues, etc.</w:t>
      </w:r>
      <w:bookmarkEnd w:id="234"/>
      <w:bookmarkEnd w:id="235"/>
      <w:r w:rsidR="00877642" w:rsidRPr="00340346">
        <w:rPr>
          <w:rFonts w:ascii="Arial" w:hAnsi="Arial" w:cs="Arial"/>
          <w:noProof/>
          <w:sz w:val="22"/>
        </w:rPr>
        <w:t xml:space="preserve"> </w:t>
      </w:r>
      <w:bookmarkStart w:id="236" w:name="_Toc504669746"/>
      <w:bookmarkStart w:id="237" w:name="_Toc504670018"/>
      <w:bookmarkStart w:id="238" w:name="_Toc504670290"/>
      <w:bookmarkStart w:id="239" w:name="_Toc504670659"/>
      <w:bookmarkStart w:id="240" w:name="_Toc504670927"/>
      <w:bookmarkStart w:id="241" w:name="_Toc504744763"/>
      <w:bookmarkStart w:id="242" w:name="_Toc504670928"/>
      <w:bookmarkStart w:id="243" w:name="_Toc504744764"/>
      <w:bookmarkEnd w:id="236"/>
      <w:bookmarkEnd w:id="237"/>
      <w:bookmarkEnd w:id="238"/>
      <w:bookmarkEnd w:id="239"/>
      <w:bookmarkEnd w:id="240"/>
      <w:bookmarkEnd w:id="241"/>
      <w:r w:rsidR="00882A42" w:rsidRPr="00340346">
        <w:rPr>
          <w:rFonts w:ascii="Arial" w:hAnsi="Arial" w:cs="Arial"/>
          <w:noProof/>
          <w:sz w:val="22"/>
        </w:rPr>
        <w:t>The excess of agricultural residues affects the balance of nutrients in the subsoil, and this harms certain agricultural activities that would require subsequent treatment to level the nutrients.</w:t>
      </w:r>
      <w:bookmarkEnd w:id="242"/>
      <w:bookmarkEnd w:id="243"/>
      <w:r w:rsidR="00877642" w:rsidRPr="00340346">
        <w:rPr>
          <w:rFonts w:ascii="Arial" w:hAnsi="Arial" w:cs="Arial"/>
          <w:noProof/>
          <w:sz w:val="22"/>
        </w:rPr>
        <w:t xml:space="preserve"> </w:t>
      </w:r>
      <w:bookmarkStart w:id="244" w:name="_Toc504670929"/>
      <w:bookmarkStart w:id="245" w:name="_Toc504744765"/>
      <w:r w:rsidR="00AF11CA" w:rsidRPr="00340346">
        <w:rPr>
          <w:rFonts w:ascii="Arial" w:hAnsi="Arial" w:cs="Arial"/>
          <w:noProof/>
          <w:sz w:val="22"/>
        </w:rPr>
        <w:t>The provinces generating the most residues in Argentina are: Tucumán (881,000 t), Jujuy (303,700 t), Entre Ríos (229,000 t), Corrientes (208,500 t), Córdoba (180,300 t), Salta (137,800 t), and Mendoza (114,400 t).</w:t>
      </w:r>
      <w:r w:rsidR="00877642" w:rsidRPr="00340346">
        <w:rPr>
          <w:rFonts w:ascii="Arial" w:hAnsi="Arial" w:cs="Arial"/>
          <w:noProof/>
          <w:sz w:val="22"/>
          <w:vertAlign w:val="superscript"/>
        </w:rPr>
        <w:footnoteReference w:id="9"/>
      </w:r>
      <w:bookmarkStart w:id="246" w:name="_Toc504670930"/>
      <w:bookmarkStart w:id="247" w:name="_Toc504744766"/>
      <w:bookmarkEnd w:id="244"/>
      <w:bookmarkEnd w:id="245"/>
      <w:bookmarkEnd w:id="246"/>
      <w:bookmarkEnd w:id="247"/>
    </w:p>
    <w:p w14:paraId="509A95B3" w14:textId="77777777" w:rsidR="00877642" w:rsidRPr="00340346" w:rsidRDefault="007F2B69" w:rsidP="00C80112">
      <w:pPr>
        <w:pStyle w:val="Paragraph"/>
        <w:rPr>
          <w:rFonts w:ascii="Arial" w:hAnsi="Arial" w:cs="Arial"/>
          <w:noProof/>
          <w:sz w:val="22"/>
        </w:rPr>
      </w:pPr>
      <w:bookmarkStart w:id="248" w:name="_Toc504670931"/>
      <w:bookmarkStart w:id="249" w:name="_Toc504744767"/>
      <w:r w:rsidRPr="00340346">
        <w:rPr>
          <w:rFonts w:ascii="Arial" w:hAnsi="Arial" w:cs="Arial"/>
          <w:noProof/>
          <w:sz w:val="22"/>
        </w:rPr>
        <w:t xml:space="preserve">Initiatives have been undertaken in Argentina to support the development of projects to take advantage of the biomass, such as in the case of Probiomasa. The Probiomasa initiative is an initiative of the Ministries of Agroindustry and of Energy and Mining with the administrative technical assistance from the United Nations Food and Agriculture Organization (FAO). The main objective of Probiomasa is to increase the production of </w:t>
      </w:r>
      <w:r w:rsidRPr="00340346">
        <w:rPr>
          <w:rFonts w:ascii="Arial" w:hAnsi="Arial" w:cs="Arial"/>
          <w:noProof/>
          <w:sz w:val="22"/>
        </w:rPr>
        <w:lastRenderedPageBreak/>
        <w:t>thermal and electric energy derived from biomass at the local, provincial, and national levels to generate clean energy and, at the same time, open new agroforestry business opportunities, stimulate regional development, and contribute to mitigate climate change.</w:t>
      </w:r>
      <w:bookmarkStart w:id="250" w:name="_Toc504670932"/>
      <w:bookmarkStart w:id="251" w:name="_Toc504744768"/>
      <w:bookmarkEnd w:id="248"/>
      <w:bookmarkEnd w:id="249"/>
      <w:bookmarkEnd w:id="250"/>
      <w:bookmarkEnd w:id="251"/>
    </w:p>
    <w:p w14:paraId="556DDFFF" w14:textId="77777777" w:rsidR="00877642" w:rsidRPr="00340346" w:rsidRDefault="00AF11CA" w:rsidP="00C80112">
      <w:pPr>
        <w:pStyle w:val="Paragraph"/>
        <w:rPr>
          <w:rFonts w:ascii="Arial" w:hAnsi="Arial" w:cs="Arial"/>
          <w:noProof/>
          <w:sz w:val="22"/>
        </w:rPr>
      </w:pPr>
      <w:bookmarkStart w:id="252" w:name="_Toc504670933"/>
      <w:bookmarkStart w:id="253" w:name="_Toc504744769"/>
      <w:r w:rsidRPr="00340346">
        <w:rPr>
          <w:rFonts w:ascii="Arial" w:hAnsi="Arial" w:cs="Arial"/>
          <w:noProof/>
          <w:sz w:val="22"/>
        </w:rPr>
        <w:t>The Argentinian government has considered the generation of biomass energy as one of the technologies included in the renovAR program.</w:t>
      </w:r>
      <w:bookmarkEnd w:id="252"/>
      <w:bookmarkEnd w:id="253"/>
      <w:r w:rsidRPr="00340346">
        <w:rPr>
          <w:rFonts w:ascii="Arial" w:hAnsi="Arial" w:cs="Arial"/>
          <w:noProof/>
          <w:sz w:val="22"/>
        </w:rPr>
        <w:t xml:space="preserve"> </w:t>
      </w:r>
      <w:bookmarkStart w:id="254" w:name="_Toc504670934"/>
      <w:bookmarkStart w:id="255" w:name="_Toc504744770"/>
      <w:r w:rsidR="00882A42" w:rsidRPr="00340346">
        <w:rPr>
          <w:rFonts w:ascii="Arial" w:hAnsi="Arial" w:cs="Arial"/>
          <w:noProof/>
          <w:sz w:val="22"/>
        </w:rPr>
        <w:t>The investment required for these plants is estimated to be around US</w:t>
      </w:r>
      <w:r w:rsidR="0087236D" w:rsidRPr="00340346">
        <w:rPr>
          <w:rFonts w:ascii="Arial" w:hAnsi="Arial" w:cs="Arial"/>
          <w:noProof/>
          <w:sz w:val="22"/>
        </w:rPr>
        <w:t>$</w:t>
      </w:r>
      <w:r w:rsidR="00882A42" w:rsidRPr="00340346">
        <w:rPr>
          <w:rFonts w:ascii="Arial" w:hAnsi="Arial" w:cs="Arial"/>
          <w:noProof/>
          <w:sz w:val="22"/>
        </w:rPr>
        <w:t>2 million for each installed MW, and generation plants between 5MW and 10MW of installed capacity require investments between US</w:t>
      </w:r>
      <w:r w:rsidR="0087236D" w:rsidRPr="00340346">
        <w:rPr>
          <w:rFonts w:ascii="Arial" w:hAnsi="Arial" w:cs="Arial"/>
          <w:noProof/>
          <w:sz w:val="22"/>
        </w:rPr>
        <w:t>$</w:t>
      </w:r>
      <w:r w:rsidR="00882A42" w:rsidRPr="00340346">
        <w:rPr>
          <w:rFonts w:ascii="Arial" w:hAnsi="Arial" w:cs="Arial"/>
          <w:noProof/>
          <w:sz w:val="22"/>
        </w:rPr>
        <w:t xml:space="preserve">11 million to </w:t>
      </w:r>
      <w:r w:rsidR="0087236D" w:rsidRPr="00340346">
        <w:rPr>
          <w:rFonts w:ascii="Arial" w:hAnsi="Arial" w:cs="Arial"/>
          <w:noProof/>
          <w:sz w:val="22"/>
        </w:rPr>
        <w:t>US$</w:t>
      </w:r>
      <w:r w:rsidR="00882A42" w:rsidRPr="00340346">
        <w:rPr>
          <w:rFonts w:ascii="Arial" w:hAnsi="Arial" w:cs="Arial"/>
          <w:noProof/>
          <w:sz w:val="22"/>
        </w:rPr>
        <w:t>22 million.</w:t>
      </w:r>
      <w:bookmarkEnd w:id="254"/>
      <w:bookmarkEnd w:id="255"/>
      <w:r w:rsidR="00877642" w:rsidRPr="00340346" w:rsidDel="00877642">
        <w:rPr>
          <w:rFonts w:ascii="Arial" w:hAnsi="Arial" w:cs="Arial"/>
          <w:noProof/>
          <w:sz w:val="22"/>
        </w:rPr>
        <w:t xml:space="preserve"> </w:t>
      </w:r>
      <w:bookmarkStart w:id="256" w:name="_Toc504670935"/>
      <w:bookmarkStart w:id="257" w:name="_Toc504744771"/>
      <w:r w:rsidR="00882A42" w:rsidRPr="00340346">
        <w:rPr>
          <w:rFonts w:ascii="Arial" w:hAnsi="Arial" w:cs="Arial"/>
          <w:noProof/>
          <w:sz w:val="22"/>
        </w:rPr>
        <w:t>The estimation of the potential size of biomass projects is based on the market response regarding the first auction where two contracts were awarded with a total capacity of 14 MW at a purchase price of energy by the government of US</w:t>
      </w:r>
      <w:r w:rsidR="0087236D" w:rsidRPr="00340346">
        <w:rPr>
          <w:rFonts w:ascii="Arial" w:hAnsi="Arial" w:cs="Arial"/>
          <w:noProof/>
          <w:sz w:val="22"/>
        </w:rPr>
        <w:t>$</w:t>
      </w:r>
      <w:r w:rsidR="00882A42" w:rsidRPr="00340346">
        <w:rPr>
          <w:rFonts w:ascii="Arial" w:hAnsi="Arial" w:cs="Arial"/>
          <w:noProof/>
          <w:sz w:val="22"/>
        </w:rPr>
        <w:t>110/MWh for 20 years; one plant with 2MW and another with 12MW. Investments in biogas plants usually have a 10% return taking into account the price set by the renovAR program.</w:t>
      </w:r>
      <w:bookmarkStart w:id="258" w:name="_Toc504670936"/>
      <w:bookmarkStart w:id="259" w:name="_Toc504744772"/>
      <w:bookmarkEnd w:id="256"/>
      <w:bookmarkEnd w:id="257"/>
      <w:bookmarkEnd w:id="258"/>
      <w:bookmarkEnd w:id="259"/>
    </w:p>
    <w:p w14:paraId="73373005" w14:textId="77777777" w:rsidR="00877642" w:rsidRPr="00340346" w:rsidRDefault="00882A42" w:rsidP="00C80112">
      <w:pPr>
        <w:pStyle w:val="Paragraph"/>
        <w:rPr>
          <w:rFonts w:ascii="Arial" w:hAnsi="Arial" w:cs="Arial"/>
          <w:noProof/>
          <w:sz w:val="22"/>
        </w:rPr>
      </w:pPr>
      <w:bookmarkStart w:id="260" w:name="_Toc504670937"/>
      <w:bookmarkStart w:id="261" w:name="_Toc504744773"/>
      <w:r w:rsidRPr="00340346">
        <w:rPr>
          <w:rFonts w:ascii="Arial" w:hAnsi="Arial" w:cs="Arial"/>
          <w:noProof/>
          <w:sz w:val="22"/>
        </w:rPr>
        <w:t>The objective of the government and of renovAR program is to reach an installed capacity of renewables of 7,600MW, thus the market response to the first auction could be extrapolated to estimate the projection of biomass projects in subsequent auctions. Biomass projects represent 1.13% of total installed capacity (1,281MW) awarded in the first auction, which would equate to having 86 MW of generation installed capacity originating from biomass projects in subsequent auctions and an investment of around US</w:t>
      </w:r>
      <w:r w:rsidR="0087236D" w:rsidRPr="00340346">
        <w:rPr>
          <w:rFonts w:ascii="Arial" w:hAnsi="Arial" w:cs="Arial"/>
          <w:noProof/>
          <w:sz w:val="22"/>
        </w:rPr>
        <w:t>$</w:t>
      </w:r>
      <w:r w:rsidRPr="00340346">
        <w:rPr>
          <w:rFonts w:ascii="Arial" w:hAnsi="Arial" w:cs="Arial"/>
          <w:noProof/>
          <w:sz w:val="22"/>
        </w:rPr>
        <w:t>200 million.</w:t>
      </w:r>
      <w:bookmarkStart w:id="262" w:name="_Toc504670938"/>
      <w:bookmarkStart w:id="263" w:name="_Toc504744774"/>
      <w:bookmarkEnd w:id="260"/>
      <w:bookmarkEnd w:id="261"/>
      <w:bookmarkEnd w:id="262"/>
      <w:bookmarkEnd w:id="263"/>
    </w:p>
    <w:p w14:paraId="273A2FB9" w14:textId="77777777" w:rsidR="007F2B69" w:rsidRPr="00340346" w:rsidRDefault="00874656" w:rsidP="00C80112">
      <w:pPr>
        <w:pStyle w:val="Paragraph"/>
        <w:rPr>
          <w:rFonts w:ascii="Arial" w:hAnsi="Arial" w:cs="Arial"/>
          <w:noProof/>
          <w:sz w:val="22"/>
        </w:rPr>
      </w:pPr>
      <w:bookmarkStart w:id="264" w:name="_Toc504670939"/>
      <w:bookmarkStart w:id="265" w:name="_Toc504744775"/>
      <w:r w:rsidRPr="00340346">
        <w:rPr>
          <w:rFonts w:ascii="Arial" w:hAnsi="Arial" w:cs="Arial"/>
          <w:noProof/>
          <w:sz w:val="22"/>
        </w:rPr>
        <w:t>Taking as an example the analysis of the peanut production sector. In 2016 there were around 24 peanut production companies: 4 large, 9 medium-sized, and 11</w:t>
      </w:r>
      <w:r w:rsidR="0087236D" w:rsidRPr="00340346">
        <w:rPr>
          <w:rFonts w:ascii="Arial" w:hAnsi="Arial" w:cs="Arial"/>
          <w:noProof/>
          <w:sz w:val="22"/>
        </w:rPr>
        <w:t> </w:t>
      </w:r>
      <w:r w:rsidRPr="00340346">
        <w:rPr>
          <w:rFonts w:ascii="Arial" w:hAnsi="Arial" w:cs="Arial"/>
          <w:noProof/>
          <w:sz w:val="22"/>
        </w:rPr>
        <w:t>small. These companies allocate 300 thousand hectares to peanut production and generate around 450 thousand tons of residues each year. The residues of these companies would be enough to provide residues to energy plants with a total installed capacity of 45MW, which would require an investment of approximately US</w:t>
      </w:r>
      <w:r w:rsidR="0087236D" w:rsidRPr="00340346">
        <w:rPr>
          <w:rFonts w:ascii="Arial" w:hAnsi="Arial" w:cs="Arial"/>
          <w:noProof/>
          <w:sz w:val="22"/>
        </w:rPr>
        <w:t>$</w:t>
      </w:r>
      <w:r w:rsidRPr="00340346">
        <w:rPr>
          <w:rFonts w:ascii="Arial" w:hAnsi="Arial" w:cs="Arial"/>
          <w:noProof/>
          <w:sz w:val="22"/>
        </w:rPr>
        <w:t>100</w:t>
      </w:r>
      <w:r w:rsidR="0087236D" w:rsidRPr="00340346">
        <w:rPr>
          <w:rFonts w:ascii="Arial" w:hAnsi="Arial" w:cs="Arial"/>
          <w:noProof/>
          <w:sz w:val="22"/>
        </w:rPr>
        <w:t> </w:t>
      </w:r>
      <w:r w:rsidRPr="00340346">
        <w:rPr>
          <w:rFonts w:ascii="Arial" w:hAnsi="Arial" w:cs="Arial"/>
          <w:noProof/>
          <w:sz w:val="22"/>
        </w:rPr>
        <w:t>million.</w:t>
      </w:r>
      <w:bookmarkEnd w:id="264"/>
      <w:bookmarkEnd w:id="265"/>
    </w:p>
    <w:p w14:paraId="7E458214" w14:textId="77777777" w:rsidR="00A240F8" w:rsidRPr="00340346" w:rsidRDefault="0056523B" w:rsidP="00C80112">
      <w:pPr>
        <w:pStyle w:val="Paragraph"/>
        <w:rPr>
          <w:rFonts w:ascii="Arial" w:hAnsi="Arial" w:cs="Arial"/>
          <w:noProof/>
          <w:sz w:val="22"/>
        </w:rPr>
      </w:pPr>
      <w:bookmarkStart w:id="266" w:name="_Toc504669759"/>
      <w:bookmarkStart w:id="267" w:name="_Toc504670031"/>
      <w:bookmarkStart w:id="268" w:name="_Toc504670303"/>
      <w:bookmarkStart w:id="269" w:name="_Toc504670672"/>
      <w:bookmarkStart w:id="270" w:name="_Toc504670940"/>
      <w:bookmarkStart w:id="271" w:name="_Toc504744776"/>
      <w:bookmarkStart w:id="272" w:name="_Toc504670941"/>
      <w:bookmarkStart w:id="273" w:name="_Toc504744777"/>
      <w:bookmarkEnd w:id="266"/>
      <w:bookmarkEnd w:id="267"/>
      <w:bookmarkEnd w:id="268"/>
      <w:bookmarkEnd w:id="269"/>
      <w:bookmarkEnd w:id="270"/>
      <w:bookmarkEnd w:id="271"/>
      <w:r w:rsidRPr="00340346">
        <w:rPr>
          <w:rFonts w:ascii="Arial" w:hAnsi="Arial" w:cs="Arial"/>
          <w:noProof/>
          <w:sz w:val="22"/>
        </w:rPr>
        <w:t>Investment and Potential Financing</w:t>
      </w:r>
      <w:r w:rsidR="00A240F8" w:rsidRPr="00340346">
        <w:rPr>
          <w:rFonts w:ascii="Arial" w:hAnsi="Arial" w:cs="Arial"/>
          <w:noProof/>
          <w:sz w:val="22"/>
        </w:rPr>
        <w:t xml:space="preserve"> -</w:t>
      </w:r>
      <w:bookmarkEnd w:id="272"/>
      <w:bookmarkEnd w:id="273"/>
      <w:r w:rsidR="00A240F8" w:rsidRPr="00340346">
        <w:rPr>
          <w:rFonts w:ascii="Arial" w:hAnsi="Arial" w:cs="Arial"/>
          <w:noProof/>
          <w:sz w:val="22"/>
        </w:rPr>
        <w:t xml:space="preserve"> </w:t>
      </w:r>
      <w:bookmarkStart w:id="274" w:name="_Toc504670942"/>
      <w:bookmarkStart w:id="275" w:name="_Toc504744778"/>
      <w:r w:rsidRPr="00340346">
        <w:rPr>
          <w:rFonts w:ascii="Arial" w:hAnsi="Arial" w:cs="Arial"/>
          <w:noProof/>
          <w:sz w:val="22"/>
        </w:rPr>
        <w:t>Based on the information gathered of the potential biomass market, the response in the first auction, and the investments required by this type of projects, one can assume the financing BICE would have to make available to serve the market.</w:t>
      </w:r>
      <w:bookmarkEnd w:id="274"/>
      <w:bookmarkEnd w:id="275"/>
      <w:r w:rsidRPr="00340346">
        <w:rPr>
          <w:rFonts w:ascii="Arial" w:hAnsi="Arial" w:cs="Arial"/>
          <w:noProof/>
          <w:sz w:val="22"/>
        </w:rPr>
        <w:t xml:space="preserve"> </w:t>
      </w:r>
      <w:bookmarkStart w:id="276" w:name="_Toc504670943"/>
      <w:bookmarkStart w:id="277" w:name="_Toc504744779"/>
      <w:r w:rsidR="00972787" w:rsidRPr="00340346">
        <w:rPr>
          <w:rFonts w:ascii="Arial" w:hAnsi="Arial" w:cs="Arial"/>
          <w:noProof/>
          <w:sz w:val="22"/>
        </w:rPr>
        <w:t xml:space="preserve">The target could be </w:t>
      </w:r>
      <w:r w:rsidR="00A240F8" w:rsidRPr="00340346">
        <w:rPr>
          <w:rFonts w:ascii="Arial" w:hAnsi="Arial" w:cs="Arial"/>
          <w:noProof/>
          <w:sz w:val="22"/>
        </w:rPr>
        <w:t xml:space="preserve">four </w:t>
      </w:r>
      <w:r w:rsidR="00972787" w:rsidRPr="00340346">
        <w:rPr>
          <w:rFonts w:ascii="Arial" w:hAnsi="Arial" w:cs="Arial"/>
          <w:noProof/>
          <w:sz w:val="22"/>
        </w:rPr>
        <w:t>biomass plants of 5MW each with an average investment of US</w:t>
      </w:r>
      <w:r w:rsidR="0087236D" w:rsidRPr="00340346">
        <w:rPr>
          <w:rFonts w:ascii="Arial" w:hAnsi="Arial" w:cs="Arial"/>
          <w:noProof/>
          <w:sz w:val="22"/>
        </w:rPr>
        <w:t>$</w:t>
      </w:r>
      <w:r w:rsidR="00972787" w:rsidRPr="00340346">
        <w:rPr>
          <w:rFonts w:ascii="Arial" w:hAnsi="Arial" w:cs="Arial"/>
          <w:noProof/>
          <w:sz w:val="22"/>
        </w:rPr>
        <w:t>11 million in each plant</w:t>
      </w:r>
      <w:r w:rsidR="00A240F8" w:rsidRPr="00340346">
        <w:rPr>
          <w:rFonts w:ascii="Arial" w:hAnsi="Arial" w:cs="Arial"/>
          <w:noProof/>
          <w:sz w:val="22"/>
        </w:rPr>
        <w:t xml:space="preserve"> (or a combination of smaller and more projects)</w:t>
      </w:r>
      <w:r w:rsidR="00972787" w:rsidRPr="00340346">
        <w:rPr>
          <w:rFonts w:ascii="Arial" w:hAnsi="Arial" w:cs="Arial"/>
          <w:noProof/>
          <w:sz w:val="22"/>
        </w:rPr>
        <w:t xml:space="preserve">. The </w:t>
      </w:r>
      <w:r w:rsidR="00A240F8" w:rsidRPr="00340346">
        <w:rPr>
          <w:rFonts w:ascii="Arial" w:hAnsi="Arial" w:cs="Arial"/>
          <w:noProof/>
          <w:sz w:val="22"/>
        </w:rPr>
        <w:t xml:space="preserve">four </w:t>
      </w:r>
      <w:r w:rsidR="00972787" w:rsidRPr="00340346">
        <w:rPr>
          <w:rFonts w:ascii="Arial" w:hAnsi="Arial" w:cs="Arial"/>
          <w:noProof/>
          <w:sz w:val="22"/>
        </w:rPr>
        <w:t>plants would be equivalent to 35% of the potential market (86MW) and would require a total investment of approximately US</w:t>
      </w:r>
      <w:r w:rsidR="0087236D" w:rsidRPr="00340346">
        <w:rPr>
          <w:rFonts w:ascii="Arial" w:hAnsi="Arial" w:cs="Arial"/>
          <w:noProof/>
          <w:sz w:val="22"/>
        </w:rPr>
        <w:t>$</w:t>
      </w:r>
      <w:r w:rsidR="00972787" w:rsidRPr="00340346">
        <w:rPr>
          <w:rFonts w:ascii="Arial" w:hAnsi="Arial" w:cs="Arial"/>
          <w:noProof/>
          <w:sz w:val="22"/>
        </w:rPr>
        <w:t>60 million and financing amounting to US</w:t>
      </w:r>
      <w:r w:rsidR="0087236D" w:rsidRPr="00340346">
        <w:rPr>
          <w:rFonts w:ascii="Arial" w:hAnsi="Arial" w:cs="Arial"/>
          <w:noProof/>
          <w:sz w:val="22"/>
        </w:rPr>
        <w:t>$</w:t>
      </w:r>
      <w:r w:rsidR="00972787" w:rsidRPr="00340346">
        <w:rPr>
          <w:rFonts w:ascii="Arial" w:hAnsi="Arial" w:cs="Arial"/>
          <w:noProof/>
          <w:sz w:val="22"/>
        </w:rPr>
        <w:t>42 million.</w:t>
      </w:r>
      <w:bookmarkEnd w:id="276"/>
      <w:bookmarkEnd w:id="277"/>
      <w:r w:rsidR="00972787" w:rsidRPr="00340346">
        <w:rPr>
          <w:rFonts w:ascii="Arial" w:hAnsi="Arial" w:cs="Arial"/>
          <w:noProof/>
          <w:sz w:val="22"/>
        </w:rPr>
        <w:t xml:space="preserve"> </w:t>
      </w:r>
      <w:bookmarkStart w:id="278" w:name="_Toc504670944"/>
      <w:bookmarkStart w:id="279" w:name="_Toc504744780"/>
      <w:bookmarkEnd w:id="278"/>
      <w:bookmarkEnd w:id="279"/>
    </w:p>
    <w:p w14:paraId="4B9C2A1B" w14:textId="77777777" w:rsidR="006C238A" w:rsidRPr="00340346" w:rsidRDefault="007B60B0" w:rsidP="00C80112">
      <w:pPr>
        <w:pStyle w:val="Paragraph"/>
        <w:rPr>
          <w:rFonts w:ascii="Arial" w:hAnsi="Arial" w:cs="Arial"/>
          <w:noProof/>
          <w:sz w:val="22"/>
        </w:rPr>
      </w:pPr>
      <w:bookmarkStart w:id="280" w:name="_Toc504670945"/>
      <w:bookmarkStart w:id="281" w:name="_Toc504744781"/>
      <w:r w:rsidRPr="00340346">
        <w:rPr>
          <w:rFonts w:ascii="Arial" w:hAnsi="Arial" w:cs="Arial"/>
          <w:noProof/>
          <w:sz w:val="22"/>
        </w:rPr>
        <w:t>Biomass projects are heavily dependent on the availability of the residues (biomass) to be able to generate energy, thus certainty in the long term depends in large measure to guaranteeing the supply of this resource. In addition</w:t>
      </w:r>
      <w:r w:rsidR="00464928" w:rsidRPr="00340346">
        <w:rPr>
          <w:rFonts w:ascii="Arial" w:hAnsi="Arial" w:cs="Arial"/>
          <w:noProof/>
          <w:sz w:val="22"/>
        </w:rPr>
        <w:t>,</w:t>
      </w:r>
      <w:r w:rsidRPr="00340346">
        <w:rPr>
          <w:rFonts w:ascii="Arial" w:hAnsi="Arial" w:cs="Arial"/>
          <w:noProof/>
          <w:sz w:val="22"/>
        </w:rPr>
        <w:t xml:space="preserve"> biomass must be available at a relatively close distance from the plant to avoid transportation costs that would make the projects unfeasible. Large companies and </w:t>
      </w:r>
      <w:r w:rsidR="00464928" w:rsidRPr="00340346">
        <w:rPr>
          <w:rFonts w:ascii="Arial" w:hAnsi="Arial" w:cs="Arial"/>
          <w:noProof/>
          <w:sz w:val="22"/>
        </w:rPr>
        <w:t>cooperatives</w:t>
      </w:r>
      <w:r w:rsidRPr="00340346">
        <w:rPr>
          <w:rFonts w:ascii="Arial" w:hAnsi="Arial" w:cs="Arial"/>
          <w:noProof/>
          <w:sz w:val="22"/>
        </w:rPr>
        <w:t xml:space="preserve"> are best positioned to guarantee the supply of </w:t>
      </w:r>
      <w:r w:rsidR="00464928" w:rsidRPr="00340346">
        <w:rPr>
          <w:rFonts w:ascii="Arial" w:hAnsi="Arial" w:cs="Arial"/>
          <w:noProof/>
          <w:sz w:val="22"/>
        </w:rPr>
        <w:t>residues</w:t>
      </w:r>
      <w:r w:rsidRPr="00340346">
        <w:rPr>
          <w:rFonts w:ascii="Arial" w:hAnsi="Arial" w:cs="Arial"/>
          <w:noProof/>
          <w:sz w:val="22"/>
        </w:rPr>
        <w:t>.</w:t>
      </w:r>
      <w:bookmarkEnd w:id="280"/>
      <w:bookmarkEnd w:id="281"/>
      <w:r w:rsidRPr="00340346">
        <w:rPr>
          <w:rFonts w:ascii="Arial" w:hAnsi="Arial" w:cs="Arial"/>
          <w:noProof/>
          <w:sz w:val="22"/>
        </w:rPr>
        <w:t xml:space="preserve"> </w:t>
      </w:r>
      <w:bookmarkStart w:id="282" w:name="_Toc504670946"/>
      <w:bookmarkStart w:id="283" w:name="_Toc504744782"/>
      <w:r w:rsidR="00BA7D14" w:rsidRPr="00340346">
        <w:rPr>
          <w:rFonts w:ascii="Arial" w:hAnsi="Arial" w:cs="Arial"/>
          <w:noProof/>
          <w:sz w:val="22"/>
        </w:rPr>
        <w:t>In addition, it is important to stress the economic feasibility of the biomass plants depend on the regulatory framework established by renovAR.</w:t>
      </w:r>
      <w:bookmarkEnd w:id="282"/>
      <w:bookmarkEnd w:id="283"/>
      <w:r w:rsidR="00BA7D14" w:rsidRPr="00340346">
        <w:rPr>
          <w:rFonts w:ascii="Arial" w:hAnsi="Arial" w:cs="Arial"/>
          <w:noProof/>
          <w:sz w:val="22"/>
        </w:rPr>
        <w:t xml:space="preserve"> </w:t>
      </w:r>
      <w:bookmarkStart w:id="284" w:name="_Toc504670947"/>
      <w:bookmarkStart w:id="285" w:name="_Toc504744783"/>
      <w:r w:rsidR="006C238A" w:rsidRPr="00340346">
        <w:rPr>
          <w:rFonts w:ascii="Arial" w:hAnsi="Arial" w:cs="Arial"/>
          <w:noProof/>
          <w:sz w:val="22"/>
        </w:rPr>
        <w:t>Biomass projects face other barriers (similar to those of biogas projects), and these barriers are</w:t>
      </w:r>
      <w:r w:rsidR="0087236D" w:rsidRPr="00340346">
        <w:rPr>
          <w:rFonts w:ascii="Arial" w:hAnsi="Arial" w:cs="Arial"/>
          <w:noProof/>
          <w:sz w:val="22"/>
        </w:rPr>
        <w:t>:</w:t>
      </w:r>
      <w:r w:rsidR="00A240F8" w:rsidRPr="00340346">
        <w:rPr>
          <w:rFonts w:ascii="Arial" w:hAnsi="Arial" w:cs="Arial"/>
          <w:noProof/>
          <w:sz w:val="22"/>
        </w:rPr>
        <w:t xml:space="preserve"> (i)</w:t>
      </w:r>
      <w:bookmarkEnd w:id="284"/>
      <w:bookmarkEnd w:id="285"/>
      <w:r w:rsidR="00A240F8" w:rsidRPr="00340346">
        <w:rPr>
          <w:rFonts w:ascii="Arial" w:hAnsi="Arial" w:cs="Arial"/>
          <w:noProof/>
          <w:sz w:val="22"/>
        </w:rPr>
        <w:t xml:space="preserve"> </w:t>
      </w:r>
      <w:bookmarkStart w:id="286" w:name="_Toc504670948"/>
      <w:bookmarkStart w:id="287" w:name="_Toc504744784"/>
      <w:r w:rsidR="0087236D" w:rsidRPr="00340346">
        <w:rPr>
          <w:rFonts w:ascii="Arial" w:hAnsi="Arial" w:cs="Arial"/>
          <w:noProof/>
          <w:sz w:val="22"/>
        </w:rPr>
        <w:t>l</w:t>
      </w:r>
      <w:r w:rsidR="006C238A" w:rsidRPr="00340346">
        <w:rPr>
          <w:rFonts w:ascii="Arial" w:hAnsi="Arial" w:cs="Arial"/>
          <w:noProof/>
          <w:sz w:val="22"/>
        </w:rPr>
        <w:t>ack of long-term financing</w:t>
      </w:r>
      <w:r w:rsidR="0087236D" w:rsidRPr="00340346">
        <w:rPr>
          <w:rFonts w:ascii="Arial" w:hAnsi="Arial" w:cs="Arial"/>
          <w:noProof/>
          <w:sz w:val="22"/>
        </w:rPr>
        <w:t>;</w:t>
      </w:r>
      <w:r w:rsidR="00A240F8" w:rsidRPr="00340346">
        <w:rPr>
          <w:rFonts w:ascii="Arial" w:hAnsi="Arial" w:cs="Arial"/>
          <w:noProof/>
          <w:sz w:val="22"/>
        </w:rPr>
        <w:t xml:space="preserve"> (ii)</w:t>
      </w:r>
      <w:bookmarkEnd w:id="286"/>
      <w:bookmarkEnd w:id="287"/>
      <w:r w:rsidR="00A240F8" w:rsidRPr="00340346">
        <w:rPr>
          <w:rFonts w:ascii="Arial" w:hAnsi="Arial" w:cs="Arial"/>
          <w:noProof/>
          <w:sz w:val="22"/>
        </w:rPr>
        <w:t xml:space="preserve"> </w:t>
      </w:r>
      <w:bookmarkStart w:id="288" w:name="_Toc504670949"/>
      <w:bookmarkStart w:id="289" w:name="_Toc504744785"/>
      <w:r w:rsidR="0087236D" w:rsidRPr="00340346">
        <w:rPr>
          <w:rFonts w:ascii="Arial" w:hAnsi="Arial" w:cs="Arial"/>
          <w:noProof/>
          <w:sz w:val="22"/>
        </w:rPr>
        <w:t>h</w:t>
      </w:r>
      <w:r w:rsidR="006C238A" w:rsidRPr="00340346">
        <w:rPr>
          <w:rFonts w:ascii="Arial" w:hAnsi="Arial" w:cs="Arial"/>
          <w:noProof/>
          <w:sz w:val="22"/>
        </w:rPr>
        <w:t>igh initial costs of the engineering and feasibility studies</w:t>
      </w:r>
      <w:r w:rsidR="0087236D" w:rsidRPr="00340346">
        <w:rPr>
          <w:rFonts w:ascii="Arial" w:hAnsi="Arial" w:cs="Arial"/>
          <w:noProof/>
          <w:sz w:val="22"/>
        </w:rPr>
        <w:t>;</w:t>
      </w:r>
      <w:r w:rsidR="00A240F8" w:rsidRPr="00340346">
        <w:rPr>
          <w:rFonts w:ascii="Arial" w:hAnsi="Arial" w:cs="Arial"/>
          <w:noProof/>
          <w:sz w:val="22"/>
        </w:rPr>
        <w:t xml:space="preserve"> </w:t>
      </w:r>
      <w:r w:rsidR="0087236D" w:rsidRPr="00340346">
        <w:rPr>
          <w:rFonts w:ascii="Arial" w:hAnsi="Arial" w:cs="Arial"/>
          <w:noProof/>
          <w:sz w:val="22"/>
        </w:rPr>
        <w:t xml:space="preserve">and </w:t>
      </w:r>
      <w:r w:rsidR="00A240F8" w:rsidRPr="00340346">
        <w:rPr>
          <w:rFonts w:ascii="Arial" w:hAnsi="Arial" w:cs="Arial"/>
          <w:noProof/>
          <w:sz w:val="22"/>
        </w:rPr>
        <w:t>(iii)</w:t>
      </w:r>
      <w:bookmarkEnd w:id="288"/>
      <w:bookmarkEnd w:id="289"/>
      <w:r w:rsidR="00A240F8" w:rsidRPr="00340346">
        <w:rPr>
          <w:rFonts w:ascii="Arial" w:hAnsi="Arial" w:cs="Arial"/>
          <w:noProof/>
          <w:sz w:val="22"/>
        </w:rPr>
        <w:t xml:space="preserve"> </w:t>
      </w:r>
      <w:bookmarkStart w:id="290" w:name="_Toc504670950"/>
      <w:bookmarkStart w:id="291" w:name="_Toc504744786"/>
      <w:r w:rsidR="0087236D" w:rsidRPr="00340346">
        <w:rPr>
          <w:rFonts w:ascii="Arial" w:hAnsi="Arial" w:cs="Arial"/>
          <w:noProof/>
          <w:sz w:val="22"/>
        </w:rPr>
        <w:t>l</w:t>
      </w:r>
      <w:r w:rsidR="006C238A" w:rsidRPr="00340346">
        <w:rPr>
          <w:rFonts w:ascii="Arial" w:hAnsi="Arial" w:cs="Arial"/>
          <w:noProof/>
          <w:sz w:val="22"/>
        </w:rPr>
        <w:t>ack of technical knowledge of investors and high uncertainty in project and developer, as well as the bidding process.</w:t>
      </w:r>
      <w:bookmarkEnd w:id="290"/>
      <w:bookmarkEnd w:id="291"/>
    </w:p>
    <w:p w14:paraId="41083CED" w14:textId="77777777" w:rsidR="001A7EBA" w:rsidRPr="00340346" w:rsidRDefault="00670F87" w:rsidP="00C80112">
      <w:pPr>
        <w:pStyle w:val="Paragraph"/>
        <w:rPr>
          <w:rFonts w:ascii="Arial" w:hAnsi="Arial" w:cs="Arial"/>
          <w:noProof/>
          <w:sz w:val="22"/>
        </w:rPr>
      </w:pPr>
      <w:bookmarkStart w:id="292" w:name="_Toc504669770"/>
      <w:bookmarkStart w:id="293" w:name="_Toc504670042"/>
      <w:bookmarkStart w:id="294" w:name="_Toc504670314"/>
      <w:bookmarkStart w:id="295" w:name="_Toc504670683"/>
      <w:bookmarkStart w:id="296" w:name="_Toc504670951"/>
      <w:bookmarkStart w:id="297" w:name="_Toc504744787"/>
      <w:bookmarkStart w:id="298" w:name="_Toc504670952"/>
      <w:bookmarkStart w:id="299" w:name="_Toc504744788"/>
      <w:bookmarkEnd w:id="292"/>
      <w:bookmarkEnd w:id="293"/>
      <w:bookmarkEnd w:id="294"/>
      <w:bookmarkEnd w:id="295"/>
      <w:bookmarkEnd w:id="296"/>
      <w:bookmarkEnd w:id="297"/>
      <w:r w:rsidRPr="00340346">
        <w:rPr>
          <w:rFonts w:ascii="Arial" w:hAnsi="Arial" w:cs="Arial"/>
          <w:noProof/>
          <w:sz w:val="22"/>
        </w:rPr>
        <w:t>Energy Efficiency in Companies</w:t>
      </w:r>
      <w:r w:rsidR="005B60BF" w:rsidRPr="00340346">
        <w:rPr>
          <w:rFonts w:ascii="Arial" w:hAnsi="Arial" w:cs="Arial"/>
          <w:noProof/>
          <w:sz w:val="22"/>
        </w:rPr>
        <w:t xml:space="preserve"> -</w:t>
      </w:r>
      <w:bookmarkEnd w:id="298"/>
      <w:bookmarkEnd w:id="299"/>
      <w:r w:rsidR="005B60BF" w:rsidRPr="00340346">
        <w:rPr>
          <w:rFonts w:ascii="Arial" w:hAnsi="Arial" w:cs="Arial"/>
          <w:noProof/>
          <w:sz w:val="22"/>
        </w:rPr>
        <w:t xml:space="preserve"> </w:t>
      </w:r>
      <w:bookmarkStart w:id="300" w:name="_Toc504670953"/>
      <w:bookmarkStart w:id="301" w:name="_Toc504744789"/>
      <w:r w:rsidR="001A7EBA" w:rsidRPr="00340346">
        <w:rPr>
          <w:rFonts w:ascii="Arial" w:hAnsi="Arial" w:cs="Arial"/>
          <w:noProof/>
          <w:sz w:val="22"/>
        </w:rPr>
        <w:t xml:space="preserve">Energy efficiency projects refer to the replacement of obsolete and inefficient equipment for new equipment that consume less electric </w:t>
      </w:r>
      <w:r w:rsidR="001A7EBA" w:rsidRPr="00340346">
        <w:rPr>
          <w:rFonts w:ascii="Arial" w:hAnsi="Arial" w:cs="Arial"/>
          <w:noProof/>
          <w:sz w:val="22"/>
        </w:rPr>
        <w:lastRenderedPageBreak/>
        <w:t>energy to perform the same job. The savings generated by the reduction in energy and maintenance costs should be sufficient to allow the recovery of the initial investment in a relatively short period of time (normally less than 5 years) by the investor.</w:t>
      </w:r>
      <w:bookmarkEnd w:id="300"/>
      <w:bookmarkEnd w:id="301"/>
      <w:r w:rsidR="005B60BF" w:rsidRPr="00340346">
        <w:rPr>
          <w:rFonts w:ascii="Arial" w:hAnsi="Arial" w:cs="Arial"/>
          <w:noProof/>
          <w:sz w:val="22"/>
        </w:rPr>
        <w:t xml:space="preserve"> </w:t>
      </w:r>
      <w:bookmarkStart w:id="302" w:name="_Toc504670954"/>
      <w:bookmarkStart w:id="303" w:name="_Toc504744790"/>
      <w:r w:rsidR="001A7EBA" w:rsidRPr="00340346">
        <w:rPr>
          <w:rFonts w:ascii="Arial" w:hAnsi="Arial" w:cs="Arial"/>
          <w:noProof/>
          <w:sz w:val="22"/>
        </w:rPr>
        <w:t>Based on some interviews carried out and some existing studies identify an important potential in energy efficiency in the Argentinian industrial and commercial sectors since the existing equipment has not been modernized or replaced in the last years.</w:t>
      </w:r>
      <w:bookmarkEnd w:id="302"/>
      <w:bookmarkEnd w:id="303"/>
      <w:r w:rsidR="001A7EBA" w:rsidRPr="00340346">
        <w:rPr>
          <w:rFonts w:ascii="Arial" w:hAnsi="Arial" w:cs="Arial"/>
          <w:noProof/>
          <w:sz w:val="22"/>
        </w:rPr>
        <w:t xml:space="preserve"> </w:t>
      </w:r>
      <w:bookmarkStart w:id="304" w:name="_Toc504670955"/>
      <w:bookmarkStart w:id="305" w:name="_Toc504744791"/>
      <w:r w:rsidR="00FA1D39" w:rsidRPr="00340346">
        <w:rPr>
          <w:rFonts w:ascii="Arial" w:hAnsi="Arial" w:cs="Arial"/>
          <w:noProof/>
          <w:sz w:val="22"/>
        </w:rPr>
        <w:t xml:space="preserve">In </w:t>
      </w:r>
      <w:r w:rsidR="00464928" w:rsidRPr="00340346">
        <w:rPr>
          <w:rFonts w:ascii="Arial" w:hAnsi="Arial" w:cs="Arial"/>
          <w:noProof/>
          <w:sz w:val="22"/>
        </w:rPr>
        <w:t>Argentina,</w:t>
      </w:r>
      <w:r w:rsidR="00FA1D39" w:rsidRPr="00340346">
        <w:rPr>
          <w:rFonts w:ascii="Arial" w:hAnsi="Arial" w:cs="Arial"/>
          <w:noProof/>
          <w:sz w:val="22"/>
        </w:rPr>
        <w:t xml:space="preserve"> there are 540 thousand industrial, commercial, and service companies, of which 86% are small companies, 13% are SMEs, and 1% are large companies. The potential market size, </w:t>
      </w:r>
      <w:r w:rsidR="005B60BF" w:rsidRPr="00340346">
        <w:rPr>
          <w:rFonts w:ascii="Arial" w:hAnsi="Arial" w:cs="Arial"/>
          <w:noProof/>
          <w:sz w:val="22"/>
        </w:rPr>
        <w:t xml:space="preserve">without </w:t>
      </w:r>
      <w:r w:rsidR="00FA1D39" w:rsidRPr="00340346">
        <w:rPr>
          <w:rFonts w:ascii="Arial" w:hAnsi="Arial" w:cs="Arial"/>
          <w:noProof/>
          <w:sz w:val="22"/>
        </w:rPr>
        <w:t>micro</w:t>
      </w:r>
      <w:r w:rsidR="005B60BF" w:rsidRPr="00340346">
        <w:rPr>
          <w:rFonts w:ascii="Arial" w:hAnsi="Arial" w:cs="Arial"/>
          <w:noProof/>
          <w:sz w:val="22"/>
        </w:rPr>
        <w:t>-sized</w:t>
      </w:r>
      <w:r w:rsidR="00FA1D39" w:rsidRPr="00340346">
        <w:rPr>
          <w:rFonts w:ascii="Arial" w:hAnsi="Arial" w:cs="Arial"/>
          <w:noProof/>
          <w:sz w:val="22"/>
        </w:rPr>
        <w:t xml:space="preserve"> companies, is 75</w:t>
      </w:r>
      <w:r w:rsidR="005B60BF" w:rsidRPr="00340346">
        <w:rPr>
          <w:rFonts w:ascii="Arial" w:hAnsi="Arial" w:cs="Arial"/>
          <w:noProof/>
          <w:sz w:val="22"/>
        </w:rPr>
        <w:t>,000</w:t>
      </w:r>
      <w:r w:rsidR="00FA1D39" w:rsidRPr="00340346">
        <w:rPr>
          <w:rFonts w:ascii="Arial" w:hAnsi="Arial" w:cs="Arial"/>
          <w:noProof/>
          <w:sz w:val="22"/>
        </w:rPr>
        <w:t xml:space="preserve"> companies.</w:t>
      </w:r>
      <w:bookmarkEnd w:id="304"/>
      <w:bookmarkEnd w:id="305"/>
    </w:p>
    <w:p w14:paraId="7416383F" w14:textId="77777777" w:rsidR="008F5BDA" w:rsidRPr="00340346" w:rsidRDefault="00171E87" w:rsidP="00C80112">
      <w:pPr>
        <w:pStyle w:val="Paragraph"/>
        <w:rPr>
          <w:rFonts w:ascii="Arial" w:hAnsi="Arial" w:cs="Arial"/>
          <w:noProof/>
          <w:sz w:val="22"/>
        </w:rPr>
      </w:pPr>
      <w:bookmarkStart w:id="306" w:name="_Toc504670956"/>
      <w:bookmarkStart w:id="307" w:name="_Toc504744792"/>
      <w:r w:rsidRPr="00340346">
        <w:rPr>
          <w:rFonts w:ascii="Arial" w:hAnsi="Arial" w:cs="Arial"/>
          <w:noProof/>
          <w:sz w:val="22"/>
        </w:rPr>
        <w:t>Based on the experience in other projects in the region, it is estimated that around 8% of these companies have the potential to implement improvements that would lead to an EE investment project. This is equivalent to 6 thousand companies and a potential market of US</w:t>
      </w:r>
      <w:r w:rsidR="0087236D" w:rsidRPr="00340346">
        <w:rPr>
          <w:rFonts w:ascii="Arial" w:hAnsi="Arial" w:cs="Arial"/>
          <w:noProof/>
          <w:sz w:val="22"/>
        </w:rPr>
        <w:t>$</w:t>
      </w:r>
      <w:r w:rsidRPr="00340346">
        <w:rPr>
          <w:rFonts w:ascii="Arial" w:hAnsi="Arial" w:cs="Arial"/>
          <w:noProof/>
          <w:sz w:val="22"/>
        </w:rPr>
        <w:t>700 million that would result in savings of 2 million M</w:t>
      </w:r>
      <w:r w:rsidR="005B60BF" w:rsidRPr="00340346">
        <w:rPr>
          <w:rFonts w:ascii="Arial" w:hAnsi="Arial" w:cs="Arial"/>
          <w:noProof/>
          <w:sz w:val="22"/>
        </w:rPr>
        <w:t>W</w:t>
      </w:r>
      <w:r w:rsidRPr="00340346">
        <w:rPr>
          <w:rFonts w:ascii="Arial" w:hAnsi="Arial" w:cs="Arial"/>
          <w:noProof/>
          <w:sz w:val="22"/>
        </w:rPr>
        <w:t>h per year and a reduction in subsidies amounting to US</w:t>
      </w:r>
      <w:r w:rsidR="0087236D" w:rsidRPr="00340346">
        <w:rPr>
          <w:rFonts w:ascii="Arial" w:hAnsi="Arial" w:cs="Arial"/>
          <w:noProof/>
          <w:sz w:val="22"/>
        </w:rPr>
        <w:t>$</w:t>
      </w:r>
      <w:r w:rsidRPr="00340346">
        <w:rPr>
          <w:rFonts w:ascii="Arial" w:hAnsi="Arial" w:cs="Arial"/>
          <w:noProof/>
          <w:sz w:val="22"/>
        </w:rPr>
        <w:t>1 billion (taking as reference the energy price of the Chilean market).</w:t>
      </w:r>
      <w:bookmarkEnd w:id="306"/>
      <w:bookmarkEnd w:id="307"/>
      <w:r w:rsidR="005B60BF" w:rsidRPr="00340346">
        <w:rPr>
          <w:rFonts w:ascii="Arial" w:hAnsi="Arial" w:cs="Arial"/>
          <w:noProof/>
          <w:sz w:val="22"/>
        </w:rPr>
        <w:t xml:space="preserve"> </w:t>
      </w:r>
      <w:bookmarkStart w:id="308" w:name="_Toc504670957"/>
      <w:bookmarkStart w:id="309" w:name="_Toc504744793"/>
      <w:r w:rsidR="008F5BDA" w:rsidRPr="00340346">
        <w:rPr>
          <w:rFonts w:ascii="Arial" w:hAnsi="Arial" w:cs="Arial"/>
          <w:noProof/>
          <w:sz w:val="22"/>
        </w:rPr>
        <w:t>Recovery of the investment in energy efficient equipment depends also in the energy cost. Although Argentina has energy costs far below the energy costs of the region and do not reflect the real cost, the government is making efforts to normalize these costs and it is expected that in the medium- and long-term energy costs stimulate the companies to have more efficient equipment.</w:t>
      </w:r>
      <w:bookmarkEnd w:id="308"/>
      <w:bookmarkEnd w:id="309"/>
      <w:r w:rsidR="008F5BDA" w:rsidRPr="00340346">
        <w:rPr>
          <w:rFonts w:ascii="Arial" w:hAnsi="Arial" w:cs="Arial"/>
          <w:noProof/>
          <w:sz w:val="22"/>
        </w:rPr>
        <w:t xml:space="preserve"> </w:t>
      </w:r>
    </w:p>
    <w:p w14:paraId="1378B529" w14:textId="77777777" w:rsidR="00F06D57" w:rsidRPr="00340346" w:rsidRDefault="00CF3178" w:rsidP="00C80112">
      <w:pPr>
        <w:pStyle w:val="Paragraph"/>
        <w:rPr>
          <w:rFonts w:ascii="Arial" w:hAnsi="Arial" w:cs="Arial"/>
          <w:noProof/>
          <w:sz w:val="22"/>
        </w:rPr>
      </w:pPr>
      <w:bookmarkStart w:id="310" w:name="_Toc504669777"/>
      <w:bookmarkStart w:id="311" w:name="_Toc504670049"/>
      <w:bookmarkStart w:id="312" w:name="_Toc504670321"/>
      <w:bookmarkStart w:id="313" w:name="_Toc504670690"/>
      <w:bookmarkStart w:id="314" w:name="_Toc504670958"/>
      <w:bookmarkStart w:id="315" w:name="_Toc504744794"/>
      <w:bookmarkStart w:id="316" w:name="_Toc504670959"/>
      <w:bookmarkStart w:id="317" w:name="_Toc504744795"/>
      <w:bookmarkEnd w:id="310"/>
      <w:bookmarkEnd w:id="311"/>
      <w:bookmarkEnd w:id="312"/>
      <w:bookmarkEnd w:id="313"/>
      <w:bookmarkEnd w:id="314"/>
      <w:bookmarkEnd w:id="315"/>
      <w:r w:rsidRPr="00340346">
        <w:rPr>
          <w:rFonts w:ascii="Arial" w:hAnsi="Arial" w:cs="Arial"/>
          <w:noProof/>
          <w:sz w:val="22"/>
        </w:rPr>
        <w:t>Investment and Potential Financing</w:t>
      </w:r>
      <w:r w:rsidR="00F06D57" w:rsidRPr="00340346">
        <w:rPr>
          <w:rFonts w:ascii="Arial" w:hAnsi="Arial" w:cs="Arial"/>
          <w:noProof/>
          <w:sz w:val="22"/>
        </w:rPr>
        <w:t xml:space="preserve"> -</w:t>
      </w:r>
      <w:bookmarkEnd w:id="316"/>
      <w:bookmarkEnd w:id="317"/>
      <w:r w:rsidR="00F06D57" w:rsidRPr="00340346">
        <w:rPr>
          <w:rFonts w:ascii="Arial" w:hAnsi="Arial" w:cs="Arial"/>
          <w:noProof/>
          <w:sz w:val="22"/>
        </w:rPr>
        <w:t xml:space="preserve"> </w:t>
      </w:r>
      <w:bookmarkStart w:id="318" w:name="_Toc504670960"/>
      <w:bookmarkStart w:id="319" w:name="_Toc504744796"/>
      <w:r w:rsidR="0034101A" w:rsidRPr="00340346">
        <w:rPr>
          <w:rFonts w:ascii="Arial" w:hAnsi="Arial" w:cs="Arial"/>
          <w:noProof/>
          <w:sz w:val="22"/>
        </w:rPr>
        <w:t>The financing of energy efficient equipment resides mainly in the replacement of equipment such as: air conditioning, electric motors, industrial cooling, boilers, water preheating with solar energy, micro co</w:t>
      </w:r>
      <w:r w:rsidR="0087236D" w:rsidRPr="00340346">
        <w:rPr>
          <w:rFonts w:ascii="Arial" w:hAnsi="Arial" w:cs="Arial"/>
          <w:noProof/>
          <w:sz w:val="22"/>
        </w:rPr>
        <w:t>˗</w:t>
      </w:r>
      <w:r w:rsidR="0034101A" w:rsidRPr="00340346">
        <w:rPr>
          <w:rFonts w:ascii="Arial" w:hAnsi="Arial" w:cs="Arial"/>
          <w:noProof/>
          <w:sz w:val="22"/>
        </w:rPr>
        <w:t>generation, heat recovery, compressed air, among others. Investments in these energies may range between US</w:t>
      </w:r>
      <w:r w:rsidR="0087236D" w:rsidRPr="00340346">
        <w:rPr>
          <w:rFonts w:ascii="Arial" w:hAnsi="Arial" w:cs="Arial"/>
          <w:noProof/>
          <w:sz w:val="22"/>
        </w:rPr>
        <w:t>$</w:t>
      </w:r>
      <w:r w:rsidR="0034101A" w:rsidRPr="00340346">
        <w:rPr>
          <w:rFonts w:ascii="Arial" w:hAnsi="Arial" w:cs="Arial"/>
          <w:noProof/>
          <w:sz w:val="22"/>
        </w:rPr>
        <w:t>20 th</w:t>
      </w:r>
      <w:r w:rsidR="00217666" w:rsidRPr="00340346">
        <w:rPr>
          <w:rFonts w:ascii="Arial" w:hAnsi="Arial" w:cs="Arial"/>
          <w:noProof/>
          <w:sz w:val="22"/>
        </w:rPr>
        <w:t>o</w:t>
      </w:r>
      <w:r w:rsidR="0034101A" w:rsidRPr="00340346">
        <w:rPr>
          <w:rFonts w:ascii="Arial" w:hAnsi="Arial" w:cs="Arial"/>
          <w:noProof/>
          <w:sz w:val="22"/>
        </w:rPr>
        <w:t>usand up to US</w:t>
      </w:r>
      <w:r w:rsidR="0087236D" w:rsidRPr="00340346">
        <w:rPr>
          <w:rFonts w:ascii="Arial" w:hAnsi="Arial" w:cs="Arial"/>
          <w:noProof/>
          <w:sz w:val="22"/>
        </w:rPr>
        <w:t>$</w:t>
      </w:r>
      <w:r w:rsidR="0034101A" w:rsidRPr="00340346">
        <w:rPr>
          <w:rFonts w:ascii="Arial" w:hAnsi="Arial" w:cs="Arial"/>
          <w:noProof/>
          <w:sz w:val="22"/>
        </w:rPr>
        <w:t>1.5 million depending on the technology.</w:t>
      </w:r>
      <w:bookmarkEnd w:id="318"/>
      <w:bookmarkEnd w:id="319"/>
      <w:r w:rsidR="00F06D57" w:rsidRPr="00340346">
        <w:rPr>
          <w:rFonts w:ascii="Arial" w:hAnsi="Arial" w:cs="Arial"/>
          <w:noProof/>
          <w:sz w:val="22"/>
        </w:rPr>
        <w:t xml:space="preserve"> </w:t>
      </w:r>
      <w:bookmarkStart w:id="320" w:name="_Toc504670961"/>
      <w:bookmarkStart w:id="321" w:name="_Toc504744797"/>
      <w:r w:rsidR="005619A3" w:rsidRPr="00340346">
        <w:rPr>
          <w:rFonts w:ascii="Arial" w:hAnsi="Arial" w:cs="Arial"/>
          <w:noProof/>
          <w:sz w:val="22"/>
        </w:rPr>
        <w:t xml:space="preserve">The recovery period of the EE investment at current prices is between </w:t>
      </w:r>
      <w:r w:rsidR="0087236D" w:rsidRPr="00340346">
        <w:rPr>
          <w:rFonts w:ascii="Arial" w:hAnsi="Arial" w:cs="Arial"/>
          <w:noProof/>
          <w:sz w:val="22"/>
        </w:rPr>
        <w:t>five</w:t>
      </w:r>
      <w:r w:rsidR="005619A3" w:rsidRPr="00340346">
        <w:rPr>
          <w:rFonts w:ascii="Arial" w:hAnsi="Arial" w:cs="Arial"/>
          <w:noProof/>
          <w:sz w:val="22"/>
        </w:rPr>
        <w:t xml:space="preserve"> and </w:t>
      </w:r>
      <w:r w:rsidR="0087236D" w:rsidRPr="00340346">
        <w:rPr>
          <w:rFonts w:ascii="Arial" w:hAnsi="Arial" w:cs="Arial"/>
          <w:noProof/>
          <w:sz w:val="22"/>
        </w:rPr>
        <w:t>ten</w:t>
      </w:r>
      <w:r w:rsidR="005619A3" w:rsidRPr="00340346">
        <w:rPr>
          <w:rFonts w:ascii="Arial" w:hAnsi="Arial" w:cs="Arial"/>
          <w:noProof/>
          <w:sz w:val="22"/>
        </w:rPr>
        <w:t xml:space="preserve"> years, but based on the projections of the energy price adjustments being carried out by the government, it is expected that within two to three years these investment recovery periods will be between </w:t>
      </w:r>
      <w:r w:rsidR="0087236D" w:rsidRPr="00340346">
        <w:rPr>
          <w:rFonts w:ascii="Arial" w:hAnsi="Arial" w:cs="Arial"/>
          <w:noProof/>
          <w:sz w:val="22"/>
        </w:rPr>
        <w:t>three</w:t>
      </w:r>
      <w:r w:rsidR="005619A3" w:rsidRPr="00340346">
        <w:rPr>
          <w:rFonts w:ascii="Arial" w:hAnsi="Arial" w:cs="Arial"/>
          <w:noProof/>
          <w:sz w:val="22"/>
        </w:rPr>
        <w:t xml:space="preserve"> and </w:t>
      </w:r>
      <w:r w:rsidR="0087236D" w:rsidRPr="00340346">
        <w:rPr>
          <w:rFonts w:ascii="Arial" w:hAnsi="Arial" w:cs="Arial"/>
          <w:noProof/>
          <w:sz w:val="22"/>
        </w:rPr>
        <w:t>five</w:t>
      </w:r>
      <w:r w:rsidR="005619A3" w:rsidRPr="00340346">
        <w:rPr>
          <w:rFonts w:ascii="Arial" w:hAnsi="Arial" w:cs="Arial"/>
          <w:noProof/>
          <w:sz w:val="22"/>
        </w:rPr>
        <w:t xml:space="preserve"> years.</w:t>
      </w:r>
      <w:bookmarkEnd w:id="320"/>
      <w:bookmarkEnd w:id="321"/>
      <w:r w:rsidR="00F06D57" w:rsidRPr="00340346">
        <w:rPr>
          <w:rFonts w:ascii="Arial" w:hAnsi="Arial" w:cs="Arial"/>
          <w:noProof/>
          <w:sz w:val="22"/>
        </w:rPr>
        <w:t xml:space="preserve"> </w:t>
      </w:r>
      <w:bookmarkStart w:id="322" w:name="_Toc504670962"/>
      <w:bookmarkStart w:id="323" w:name="_Toc504744798"/>
      <w:bookmarkEnd w:id="322"/>
      <w:bookmarkEnd w:id="323"/>
    </w:p>
    <w:p w14:paraId="18CAAB81" w14:textId="77777777" w:rsidR="00F06D57" w:rsidRPr="00340346" w:rsidRDefault="0034101A" w:rsidP="00C80112">
      <w:pPr>
        <w:pStyle w:val="Paragraph"/>
        <w:rPr>
          <w:rFonts w:ascii="Arial" w:hAnsi="Arial" w:cs="Arial"/>
          <w:noProof/>
          <w:sz w:val="22"/>
        </w:rPr>
      </w:pPr>
      <w:bookmarkStart w:id="324" w:name="_Toc504670963"/>
      <w:bookmarkStart w:id="325" w:name="_Toc504744799"/>
      <w:r w:rsidRPr="00340346">
        <w:rPr>
          <w:rFonts w:ascii="Arial" w:hAnsi="Arial" w:cs="Arial"/>
          <w:noProof/>
          <w:sz w:val="22"/>
        </w:rPr>
        <w:t>A BICE financing program for EE may have a target of 598 companies to be financed (equivalent to 10% of the potential market). These companies would require average investments of US</w:t>
      </w:r>
      <w:r w:rsidR="0087236D" w:rsidRPr="00340346">
        <w:rPr>
          <w:rFonts w:ascii="Arial" w:hAnsi="Arial" w:cs="Arial"/>
          <w:noProof/>
          <w:sz w:val="22"/>
        </w:rPr>
        <w:t>$</w:t>
      </w:r>
      <w:r w:rsidRPr="00340346">
        <w:rPr>
          <w:rFonts w:ascii="Arial" w:hAnsi="Arial" w:cs="Arial"/>
          <w:noProof/>
          <w:sz w:val="22"/>
        </w:rPr>
        <w:t>100</w:t>
      </w:r>
      <w:r w:rsidR="00F06D57" w:rsidRPr="00340346">
        <w:rPr>
          <w:rFonts w:ascii="Arial" w:hAnsi="Arial" w:cs="Arial"/>
          <w:noProof/>
          <w:sz w:val="22"/>
        </w:rPr>
        <w:t>,000</w:t>
      </w:r>
      <w:r w:rsidRPr="00340346">
        <w:rPr>
          <w:rFonts w:ascii="Arial" w:hAnsi="Arial" w:cs="Arial"/>
          <w:noProof/>
          <w:sz w:val="22"/>
        </w:rPr>
        <w:t xml:space="preserve"> for each project, which translate into total </w:t>
      </w:r>
      <w:r w:rsidR="00217666" w:rsidRPr="00340346">
        <w:rPr>
          <w:rFonts w:ascii="Arial" w:hAnsi="Arial" w:cs="Arial"/>
          <w:noProof/>
          <w:sz w:val="22"/>
        </w:rPr>
        <w:t>i</w:t>
      </w:r>
      <w:r w:rsidRPr="00340346">
        <w:rPr>
          <w:rFonts w:ascii="Arial" w:hAnsi="Arial" w:cs="Arial"/>
          <w:noProof/>
          <w:sz w:val="22"/>
        </w:rPr>
        <w:t>nvestments amounting to US</w:t>
      </w:r>
      <w:r w:rsidR="0087236D" w:rsidRPr="00340346">
        <w:rPr>
          <w:rFonts w:ascii="Arial" w:hAnsi="Arial" w:cs="Arial"/>
          <w:noProof/>
          <w:sz w:val="22"/>
        </w:rPr>
        <w:t>$</w:t>
      </w:r>
      <w:r w:rsidRPr="00340346">
        <w:rPr>
          <w:rFonts w:ascii="Arial" w:hAnsi="Arial" w:cs="Arial"/>
          <w:noProof/>
          <w:sz w:val="22"/>
        </w:rPr>
        <w:t>59 million and provide financing amounting to a total of US</w:t>
      </w:r>
      <w:r w:rsidR="0087236D" w:rsidRPr="00340346">
        <w:rPr>
          <w:rFonts w:ascii="Arial" w:hAnsi="Arial" w:cs="Arial"/>
          <w:noProof/>
          <w:sz w:val="22"/>
        </w:rPr>
        <w:t>$</w:t>
      </w:r>
      <w:r w:rsidRPr="00340346">
        <w:rPr>
          <w:rFonts w:ascii="Arial" w:hAnsi="Arial" w:cs="Arial"/>
          <w:noProof/>
          <w:sz w:val="22"/>
        </w:rPr>
        <w:t>41</w:t>
      </w:r>
      <w:r w:rsidR="0087236D" w:rsidRPr="00340346">
        <w:rPr>
          <w:rFonts w:ascii="Arial" w:hAnsi="Arial" w:cs="Arial"/>
          <w:noProof/>
          <w:sz w:val="22"/>
        </w:rPr>
        <w:t> </w:t>
      </w:r>
      <w:r w:rsidRPr="00340346">
        <w:rPr>
          <w:rFonts w:ascii="Arial" w:hAnsi="Arial" w:cs="Arial"/>
          <w:noProof/>
          <w:sz w:val="22"/>
        </w:rPr>
        <w:t>million. These projects could result in reductions of carbon dioxide emissions equivalent to 14,000 tCO2 annually.</w:t>
      </w:r>
      <w:bookmarkEnd w:id="324"/>
      <w:bookmarkEnd w:id="325"/>
      <w:r w:rsidR="00F06D57" w:rsidRPr="00340346">
        <w:rPr>
          <w:rFonts w:ascii="Arial" w:hAnsi="Arial" w:cs="Arial"/>
          <w:noProof/>
          <w:sz w:val="22"/>
        </w:rPr>
        <w:t xml:space="preserve"> </w:t>
      </w:r>
      <w:bookmarkStart w:id="326" w:name="_Toc504670964"/>
      <w:bookmarkStart w:id="327" w:name="_Toc504744800"/>
      <w:bookmarkEnd w:id="326"/>
      <w:bookmarkEnd w:id="327"/>
    </w:p>
    <w:p w14:paraId="322243E3" w14:textId="77777777" w:rsidR="00C63E88" w:rsidRPr="00340346" w:rsidRDefault="00C63E88" w:rsidP="00C80112">
      <w:pPr>
        <w:pStyle w:val="Paragraph"/>
        <w:rPr>
          <w:rFonts w:ascii="Arial" w:hAnsi="Arial" w:cs="Arial"/>
          <w:noProof/>
          <w:sz w:val="22"/>
        </w:rPr>
      </w:pPr>
      <w:bookmarkStart w:id="328" w:name="_Toc504670965"/>
      <w:bookmarkStart w:id="329" w:name="_Toc504744801"/>
      <w:r w:rsidRPr="00340346">
        <w:rPr>
          <w:rFonts w:ascii="Arial" w:hAnsi="Arial" w:cs="Arial"/>
          <w:noProof/>
          <w:sz w:val="22"/>
        </w:rPr>
        <w:t>Some of the most important barriers facing EE projects are</w:t>
      </w:r>
      <w:r w:rsidR="0087236D" w:rsidRPr="00340346">
        <w:rPr>
          <w:rFonts w:ascii="Arial" w:hAnsi="Arial" w:cs="Arial"/>
          <w:noProof/>
          <w:sz w:val="22"/>
        </w:rPr>
        <w:t>:</w:t>
      </w:r>
      <w:r w:rsidR="00F06D57" w:rsidRPr="00340346">
        <w:rPr>
          <w:rFonts w:ascii="Arial" w:hAnsi="Arial" w:cs="Arial"/>
          <w:noProof/>
          <w:sz w:val="22"/>
        </w:rPr>
        <w:t xml:space="preserve"> (i)</w:t>
      </w:r>
      <w:bookmarkEnd w:id="328"/>
      <w:bookmarkEnd w:id="329"/>
      <w:r w:rsidR="00F06D57" w:rsidRPr="00340346">
        <w:rPr>
          <w:rFonts w:ascii="Arial" w:hAnsi="Arial" w:cs="Arial"/>
          <w:noProof/>
          <w:sz w:val="22"/>
        </w:rPr>
        <w:t xml:space="preserve"> </w:t>
      </w:r>
      <w:bookmarkStart w:id="330" w:name="_Toc504670966"/>
      <w:bookmarkStart w:id="331" w:name="_Toc504744802"/>
      <w:r w:rsidR="0087236D" w:rsidRPr="00340346">
        <w:rPr>
          <w:rFonts w:ascii="Arial" w:hAnsi="Arial" w:cs="Arial"/>
          <w:noProof/>
          <w:sz w:val="22"/>
        </w:rPr>
        <w:t>u</w:t>
      </w:r>
      <w:r w:rsidRPr="00340346">
        <w:rPr>
          <w:rFonts w:ascii="Arial" w:hAnsi="Arial" w:cs="Arial"/>
          <w:noProof/>
          <w:sz w:val="22"/>
        </w:rPr>
        <w:t>sually EE projects are not priority projects for the companies</w:t>
      </w:r>
      <w:r w:rsidR="0087236D" w:rsidRPr="00340346">
        <w:rPr>
          <w:rFonts w:ascii="Arial" w:hAnsi="Arial" w:cs="Arial"/>
          <w:noProof/>
          <w:sz w:val="22"/>
        </w:rPr>
        <w:t>;</w:t>
      </w:r>
      <w:r w:rsidR="00F06D57" w:rsidRPr="00340346">
        <w:rPr>
          <w:rFonts w:ascii="Arial" w:hAnsi="Arial" w:cs="Arial"/>
          <w:noProof/>
          <w:sz w:val="22"/>
        </w:rPr>
        <w:t xml:space="preserve"> (ii) </w:t>
      </w:r>
      <w:r w:rsidR="0087236D" w:rsidRPr="00340346">
        <w:rPr>
          <w:rFonts w:ascii="Arial" w:hAnsi="Arial" w:cs="Arial"/>
          <w:noProof/>
          <w:sz w:val="22"/>
        </w:rPr>
        <w:t>b</w:t>
      </w:r>
      <w:r w:rsidRPr="00340346">
        <w:rPr>
          <w:rFonts w:ascii="Arial" w:hAnsi="Arial" w:cs="Arial"/>
          <w:noProof/>
          <w:sz w:val="22"/>
        </w:rPr>
        <w:t>usinessmen are used to investing to grow, produce more or sell more and there is no culture to invest in environment-friendly system</w:t>
      </w:r>
      <w:r w:rsidR="00F06D57" w:rsidRPr="00340346">
        <w:rPr>
          <w:rFonts w:ascii="Arial" w:hAnsi="Arial" w:cs="Arial"/>
          <w:noProof/>
          <w:sz w:val="22"/>
        </w:rPr>
        <w:t>s</w:t>
      </w:r>
      <w:r w:rsidR="0087236D" w:rsidRPr="00340346">
        <w:rPr>
          <w:rFonts w:ascii="Arial" w:hAnsi="Arial" w:cs="Arial"/>
          <w:noProof/>
          <w:sz w:val="22"/>
        </w:rPr>
        <w:t>;</w:t>
      </w:r>
      <w:r w:rsidR="00F06D57" w:rsidRPr="00340346">
        <w:rPr>
          <w:rFonts w:ascii="Arial" w:hAnsi="Arial" w:cs="Arial"/>
          <w:noProof/>
          <w:sz w:val="22"/>
        </w:rPr>
        <w:t xml:space="preserve"> (iii)</w:t>
      </w:r>
      <w:bookmarkEnd w:id="330"/>
      <w:bookmarkEnd w:id="331"/>
      <w:r w:rsidR="00F06D57" w:rsidRPr="00340346">
        <w:rPr>
          <w:rFonts w:ascii="Arial" w:hAnsi="Arial" w:cs="Arial"/>
          <w:noProof/>
          <w:sz w:val="22"/>
        </w:rPr>
        <w:t xml:space="preserve"> </w:t>
      </w:r>
      <w:bookmarkStart w:id="332" w:name="_Toc504670967"/>
      <w:bookmarkStart w:id="333" w:name="_Toc504744803"/>
      <w:r w:rsidR="00F06D57" w:rsidRPr="00340346">
        <w:rPr>
          <w:rFonts w:ascii="Arial" w:hAnsi="Arial" w:cs="Arial"/>
          <w:noProof/>
          <w:sz w:val="22"/>
        </w:rPr>
        <w:t>c</w:t>
      </w:r>
      <w:r w:rsidRPr="00340346">
        <w:rPr>
          <w:rFonts w:ascii="Arial" w:hAnsi="Arial" w:cs="Arial"/>
          <w:noProof/>
          <w:sz w:val="22"/>
        </w:rPr>
        <w:t>urrently there is an energy cost that does not stimulate the culture of energy saving, even if industry is highly intensive in energy consumption</w:t>
      </w:r>
      <w:r w:rsidR="0087236D" w:rsidRPr="00340346">
        <w:rPr>
          <w:rFonts w:ascii="Arial" w:hAnsi="Arial" w:cs="Arial"/>
          <w:noProof/>
          <w:sz w:val="22"/>
        </w:rPr>
        <w:t>;</w:t>
      </w:r>
      <w:r w:rsidR="00F06D57" w:rsidRPr="00340346">
        <w:rPr>
          <w:rFonts w:ascii="Arial" w:hAnsi="Arial" w:cs="Arial"/>
          <w:noProof/>
          <w:sz w:val="22"/>
        </w:rPr>
        <w:t xml:space="preserve"> (iv)</w:t>
      </w:r>
      <w:bookmarkEnd w:id="332"/>
      <w:bookmarkEnd w:id="333"/>
      <w:r w:rsidR="00F06D57" w:rsidRPr="00340346">
        <w:rPr>
          <w:rFonts w:ascii="Arial" w:hAnsi="Arial" w:cs="Arial"/>
          <w:noProof/>
          <w:sz w:val="22"/>
        </w:rPr>
        <w:t xml:space="preserve"> </w:t>
      </w:r>
      <w:bookmarkStart w:id="334" w:name="_Toc504670968"/>
      <w:bookmarkStart w:id="335" w:name="_Toc504744804"/>
      <w:r w:rsidRPr="00340346">
        <w:rPr>
          <w:rFonts w:ascii="Arial" w:hAnsi="Arial" w:cs="Arial"/>
          <w:noProof/>
          <w:sz w:val="22"/>
        </w:rPr>
        <w:t>high perception of the risk on the performance of the projects to achieve the promised savings</w:t>
      </w:r>
      <w:r w:rsidR="0087236D" w:rsidRPr="00340346">
        <w:rPr>
          <w:rFonts w:ascii="Arial" w:hAnsi="Arial" w:cs="Arial"/>
          <w:noProof/>
          <w:sz w:val="22"/>
        </w:rPr>
        <w:t>;</w:t>
      </w:r>
      <w:r w:rsidR="00F06D57" w:rsidRPr="00340346">
        <w:rPr>
          <w:rFonts w:ascii="Arial" w:hAnsi="Arial" w:cs="Arial"/>
          <w:noProof/>
          <w:sz w:val="22"/>
        </w:rPr>
        <w:t xml:space="preserve"> (v)</w:t>
      </w:r>
      <w:bookmarkEnd w:id="334"/>
      <w:bookmarkEnd w:id="335"/>
      <w:r w:rsidR="00F06D57" w:rsidRPr="00340346">
        <w:rPr>
          <w:rFonts w:ascii="Arial" w:hAnsi="Arial" w:cs="Arial"/>
          <w:noProof/>
          <w:sz w:val="22"/>
        </w:rPr>
        <w:t xml:space="preserve"> </w:t>
      </w:r>
      <w:bookmarkStart w:id="336" w:name="_Toc504670969"/>
      <w:bookmarkStart w:id="337" w:name="_Toc504744805"/>
      <w:r w:rsidRPr="00340346">
        <w:rPr>
          <w:rFonts w:ascii="Arial" w:hAnsi="Arial" w:cs="Arial"/>
          <w:noProof/>
          <w:sz w:val="22"/>
        </w:rPr>
        <w:t xml:space="preserve">the difficulties faced by most of the companies in having access to </w:t>
      </w:r>
      <w:r w:rsidR="00F06D57" w:rsidRPr="00340346">
        <w:rPr>
          <w:rFonts w:ascii="Arial" w:hAnsi="Arial" w:cs="Arial"/>
          <w:noProof/>
          <w:sz w:val="22"/>
        </w:rPr>
        <w:t xml:space="preserve">medium and long-term </w:t>
      </w:r>
      <w:r w:rsidRPr="00340346">
        <w:rPr>
          <w:rFonts w:ascii="Arial" w:hAnsi="Arial" w:cs="Arial"/>
          <w:noProof/>
          <w:sz w:val="22"/>
        </w:rPr>
        <w:t>financing</w:t>
      </w:r>
      <w:r w:rsidR="0087236D" w:rsidRPr="00340346">
        <w:rPr>
          <w:rFonts w:ascii="Arial" w:hAnsi="Arial" w:cs="Arial"/>
          <w:noProof/>
          <w:sz w:val="22"/>
        </w:rPr>
        <w:t>; and</w:t>
      </w:r>
      <w:r w:rsidR="00F05911" w:rsidRPr="00340346">
        <w:rPr>
          <w:rFonts w:ascii="Arial" w:hAnsi="Arial" w:cs="Arial"/>
          <w:noProof/>
          <w:sz w:val="22"/>
        </w:rPr>
        <w:t xml:space="preserve"> (vi)</w:t>
      </w:r>
      <w:bookmarkEnd w:id="336"/>
      <w:bookmarkEnd w:id="337"/>
      <w:r w:rsidR="00F05911" w:rsidRPr="00340346">
        <w:rPr>
          <w:rFonts w:ascii="Arial" w:hAnsi="Arial" w:cs="Arial"/>
          <w:noProof/>
          <w:sz w:val="22"/>
        </w:rPr>
        <w:t xml:space="preserve"> </w:t>
      </w:r>
      <w:bookmarkStart w:id="338" w:name="_Toc504670970"/>
      <w:bookmarkStart w:id="339" w:name="_Toc504744806"/>
      <w:r w:rsidR="0087236D" w:rsidRPr="00340346">
        <w:rPr>
          <w:rFonts w:ascii="Arial" w:hAnsi="Arial" w:cs="Arial"/>
          <w:noProof/>
          <w:sz w:val="22"/>
        </w:rPr>
        <w:t>t</w:t>
      </w:r>
      <w:r w:rsidRPr="00340346">
        <w:rPr>
          <w:rFonts w:ascii="Arial" w:hAnsi="Arial" w:cs="Arial"/>
          <w:noProof/>
          <w:sz w:val="22"/>
        </w:rPr>
        <w:t>he financial cost and the terms are not conducive to EE projects.</w:t>
      </w:r>
      <w:bookmarkEnd w:id="338"/>
      <w:bookmarkEnd w:id="339"/>
    </w:p>
    <w:p w14:paraId="67933501" w14:textId="77777777" w:rsidR="00F05911" w:rsidRPr="00340346" w:rsidRDefault="00F05911" w:rsidP="00C80112">
      <w:pPr>
        <w:pStyle w:val="Chapter"/>
        <w:rPr>
          <w:rFonts w:ascii="Arial" w:hAnsi="Arial" w:cs="Arial"/>
          <w:noProof/>
          <w:sz w:val="22"/>
        </w:rPr>
      </w:pPr>
      <w:r w:rsidRPr="00340346">
        <w:rPr>
          <w:rFonts w:ascii="Arial" w:hAnsi="Arial" w:cs="Arial"/>
          <w:noProof/>
          <w:sz w:val="22"/>
        </w:rPr>
        <w:t>Financing Program</w:t>
      </w:r>
      <w:r w:rsidR="007A101A" w:rsidRPr="00340346">
        <w:rPr>
          <w:rFonts w:ascii="Arial" w:hAnsi="Arial" w:cs="Arial"/>
          <w:noProof/>
          <w:sz w:val="22"/>
        </w:rPr>
        <w:t>, Strategy and Mechanisms</w:t>
      </w:r>
    </w:p>
    <w:p w14:paraId="15654387" w14:textId="77777777" w:rsidR="006B075C" w:rsidRPr="00340346" w:rsidRDefault="00F05911" w:rsidP="00C80112">
      <w:pPr>
        <w:pStyle w:val="Paragraph"/>
        <w:rPr>
          <w:rFonts w:ascii="Arial" w:hAnsi="Arial" w:cs="Arial"/>
          <w:noProof/>
          <w:sz w:val="22"/>
        </w:rPr>
      </w:pPr>
      <w:bookmarkStart w:id="340" w:name="_Toc504670971"/>
      <w:bookmarkStart w:id="341" w:name="_Toc504744807"/>
      <w:r w:rsidRPr="00340346">
        <w:rPr>
          <w:rFonts w:ascii="Arial" w:hAnsi="Arial" w:cs="Arial"/>
          <w:noProof/>
          <w:sz w:val="22"/>
        </w:rPr>
        <w:t xml:space="preserve">BICE’s financing program could encompass the three sectors discussed above. However, it is important to note that each opportunity area faces different barriers and require different strategies to help structure the demand for the resources that would </w:t>
      </w:r>
      <w:r w:rsidRPr="00340346">
        <w:rPr>
          <w:rFonts w:ascii="Arial" w:hAnsi="Arial" w:cs="Arial"/>
          <w:noProof/>
          <w:sz w:val="22"/>
        </w:rPr>
        <w:lastRenderedPageBreak/>
        <w:t>be made available. The biogas sector and the biomass sector face very similar barriers thus the same strategy would apply to both. However, the EE sector has characteristics and barriers that require a different strategy.</w:t>
      </w:r>
      <w:bookmarkEnd w:id="340"/>
      <w:bookmarkEnd w:id="341"/>
      <w:r w:rsidRPr="00340346">
        <w:rPr>
          <w:rFonts w:ascii="Arial" w:hAnsi="Arial" w:cs="Arial"/>
          <w:noProof/>
          <w:sz w:val="22"/>
        </w:rPr>
        <w:t xml:space="preserve"> </w:t>
      </w:r>
      <w:bookmarkStart w:id="342" w:name="_Toc504669791"/>
      <w:bookmarkStart w:id="343" w:name="_Toc504670063"/>
      <w:bookmarkStart w:id="344" w:name="_Toc504670335"/>
      <w:bookmarkStart w:id="345" w:name="_Toc504670704"/>
      <w:bookmarkStart w:id="346" w:name="_Toc504670972"/>
      <w:bookmarkStart w:id="347" w:name="_Toc504744808"/>
      <w:bookmarkStart w:id="348" w:name="_Toc504669792"/>
      <w:bookmarkStart w:id="349" w:name="_Toc504670064"/>
      <w:bookmarkStart w:id="350" w:name="_Toc504670336"/>
      <w:bookmarkStart w:id="351" w:name="_Toc504670705"/>
      <w:bookmarkStart w:id="352" w:name="_Toc504670973"/>
      <w:bookmarkStart w:id="353" w:name="_Toc504744809"/>
      <w:bookmarkStart w:id="354" w:name="_Toc504669793"/>
      <w:bookmarkStart w:id="355" w:name="_Toc504670065"/>
      <w:bookmarkStart w:id="356" w:name="_Toc504670337"/>
      <w:bookmarkStart w:id="357" w:name="_Toc504670706"/>
      <w:bookmarkStart w:id="358" w:name="_Toc504670974"/>
      <w:bookmarkStart w:id="359" w:name="_Toc504744810"/>
      <w:bookmarkStart w:id="360" w:name="_Toc504670975"/>
      <w:bookmarkStart w:id="361" w:name="_Toc50474481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003D2F8B" w:rsidRPr="00340346">
        <w:rPr>
          <w:rFonts w:ascii="Arial" w:hAnsi="Arial" w:cs="Arial"/>
          <w:noProof/>
          <w:sz w:val="22"/>
        </w:rPr>
        <w:t>The following table summarizes the market target, the investment and the financing estimated to be required to serve the three prioritized opportunity areas.</w:t>
      </w:r>
      <w:r w:rsidR="007A101A" w:rsidRPr="00340346">
        <w:rPr>
          <w:rFonts w:ascii="Arial" w:hAnsi="Arial" w:cs="Arial"/>
          <w:noProof/>
          <w:sz w:val="22"/>
        </w:rPr>
        <w:t xml:space="preserve"> </w:t>
      </w:r>
      <w:r w:rsidR="003E1CF4" w:rsidRPr="00340346">
        <w:rPr>
          <w:rFonts w:ascii="Arial" w:hAnsi="Arial" w:cs="Arial"/>
          <w:noProof/>
          <w:sz w:val="22"/>
        </w:rPr>
        <w:t>Annex 2</w:t>
      </w:r>
      <w:r w:rsidR="007A101A" w:rsidRPr="00340346">
        <w:rPr>
          <w:rFonts w:ascii="Arial" w:hAnsi="Arial" w:cs="Arial"/>
          <w:noProof/>
          <w:sz w:val="22"/>
        </w:rPr>
        <w:t xml:space="preserve"> of this document describes some of the financial conditions established by the green climate fund.</w:t>
      </w:r>
      <w:bookmarkEnd w:id="360"/>
      <w:bookmarkEnd w:id="361"/>
    </w:p>
    <w:p w14:paraId="68DC558D" w14:textId="77777777" w:rsidR="007A101A" w:rsidRPr="00340346" w:rsidRDefault="007A101A" w:rsidP="00192CC2">
      <w:pPr>
        <w:spacing w:before="0" w:after="0" w:line="240" w:lineRule="auto"/>
        <w:jc w:val="center"/>
        <w:rPr>
          <w:rFonts w:ascii="Arial" w:hAnsi="Arial" w:cs="Arial"/>
          <w:b/>
          <w:noProof/>
          <w:sz w:val="22"/>
          <w:szCs w:val="22"/>
          <w:lang w:val="en-US"/>
        </w:rPr>
      </w:pPr>
      <w:r w:rsidRPr="00340346">
        <w:rPr>
          <w:rFonts w:ascii="Arial" w:hAnsi="Arial" w:cs="Arial"/>
          <w:b/>
          <w:noProof/>
          <w:sz w:val="22"/>
          <w:szCs w:val="22"/>
          <w:lang w:val="en-US"/>
        </w:rPr>
        <w:t xml:space="preserve">Table </w:t>
      </w:r>
      <w:r w:rsidR="00192CC2" w:rsidRPr="00340346">
        <w:rPr>
          <w:rFonts w:ascii="Arial" w:hAnsi="Arial" w:cs="Arial"/>
          <w:b/>
          <w:noProof/>
          <w:sz w:val="22"/>
          <w:szCs w:val="22"/>
          <w:lang w:val="en-US"/>
        </w:rPr>
        <w:t>4</w:t>
      </w:r>
      <w:r w:rsidR="006E774D" w:rsidRPr="00340346">
        <w:rPr>
          <w:rFonts w:ascii="Arial" w:hAnsi="Arial" w:cs="Arial"/>
          <w:b/>
          <w:noProof/>
          <w:sz w:val="22"/>
          <w:szCs w:val="22"/>
          <w:lang w:val="en-US"/>
        </w:rPr>
        <w:t>.</w:t>
      </w:r>
      <w:r w:rsidR="00192CC2" w:rsidRPr="00340346">
        <w:rPr>
          <w:rFonts w:ascii="Arial" w:hAnsi="Arial" w:cs="Arial"/>
          <w:b/>
          <w:noProof/>
          <w:sz w:val="22"/>
          <w:szCs w:val="22"/>
          <w:lang w:val="en-US"/>
        </w:rPr>
        <w:t>1</w:t>
      </w:r>
      <w:r w:rsidRPr="00340346">
        <w:rPr>
          <w:rFonts w:ascii="Arial" w:hAnsi="Arial" w:cs="Arial"/>
          <w:b/>
          <w:noProof/>
          <w:sz w:val="22"/>
          <w:szCs w:val="22"/>
          <w:lang w:val="en-US"/>
        </w:rPr>
        <w:t>. Potential Market, Investment and Financing of the BICE Program</w:t>
      </w:r>
      <w:r w:rsidRPr="00340346">
        <w:rPr>
          <w:rFonts w:ascii="Arial" w:hAnsi="Arial" w:cs="Arial"/>
          <w:b/>
          <w:noProof/>
          <w:sz w:val="22"/>
          <w:szCs w:val="22"/>
          <w:vertAlign w:val="superscript"/>
          <w:lang w:val="en-US"/>
        </w:rPr>
        <w:footnoteReference w:id="10"/>
      </w:r>
    </w:p>
    <w:tbl>
      <w:tblPr>
        <w:tblStyle w:val="Listaclara-nfasis11"/>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551"/>
        <w:gridCol w:w="2410"/>
        <w:gridCol w:w="2621"/>
      </w:tblGrid>
      <w:tr w:rsidR="007A101A" w:rsidRPr="00340346" w14:paraId="3BD05712" w14:textId="77777777" w:rsidTr="008C4E3D">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526" w:type="dxa"/>
            <w:noWrap/>
            <w:vAlign w:val="center"/>
            <w:hideMark/>
          </w:tcPr>
          <w:p w14:paraId="7031D7E6" w14:textId="77777777" w:rsidR="007A101A" w:rsidRPr="00340346" w:rsidRDefault="007A101A" w:rsidP="00C80112">
            <w:pPr>
              <w:spacing w:before="0" w:after="0" w:line="240" w:lineRule="auto"/>
              <w:rPr>
                <w:rFonts w:ascii="Arial" w:hAnsi="Arial" w:cs="Arial"/>
                <w:noProof/>
                <w:sz w:val="22"/>
                <w:szCs w:val="22"/>
                <w:lang w:val="en-US"/>
              </w:rPr>
            </w:pPr>
            <w:r w:rsidRPr="00340346">
              <w:rPr>
                <w:rFonts w:ascii="Arial" w:eastAsia="MS ??" w:hAnsi="Arial" w:cs="Arial"/>
                <w:noProof/>
                <w:color w:val="auto"/>
                <w:sz w:val="22"/>
                <w:szCs w:val="22"/>
                <w:lang w:val="en-US"/>
              </w:rPr>
              <w:t>Opportunity areas</w:t>
            </w:r>
          </w:p>
        </w:tc>
        <w:tc>
          <w:tcPr>
            <w:tcW w:w="2551" w:type="dxa"/>
            <w:vAlign w:val="center"/>
          </w:tcPr>
          <w:p w14:paraId="43348A97" w14:textId="77777777" w:rsidR="007A101A" w:rsidRPr="00340346" w:rsidRDefault="007A101A" w:rsidP="00C80112">
            <w:pPr>
              <w:spacing w:before="0" w:after="0" w:line="240" w:lineRule="auto"/>
              <w:cnfStyle w:val="100000000000" w:firstRow="1" w:lastRow="0" w:firstColumn="0" w:lastColumn="0" w:oddVBand="0" w:evenVBand="0" w:oddHBand="0"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color w:val="auto"/>
                <w:sz w:val="22"/>
                <w:szCs w:val="22"/>
                <w:lang w:val="en-US"/>
              </w:rPr>
              <w:t>Target</w:t>
            </w:r>
          </w:p>
        </w:tc>
        <w:tc>
          <w:tcPr>
            <w:tcW w:w="2410" w:type="dxa"/>
            <w:vAlign w:val="center"/>
          </w:tcPr>
          <w:p w14:paraId="51B59C65" w14:textId="77777777" w:rsidR="007A101A" w:rsidRPr="00340346" w:rsidRDefault="007A101A" w:rsidP="00C80112">
            <w:pPr>
              <w:spacing w:before="0" w:after="0" w:line="240" w:lineRule="auto"/>
              <w:cnfStyle w:val="100000000000" w:firstRow="1" w:lastRow="0" w:firstColumn="0" w:lastColumn="0" w:oddVBand="0" w:evenVBand="0" w:oddHBand="0"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color w:val="auto"/>
                <w:sz w:val="22"/>
                <w:szCs w:val="22"/>
                <w:lang w:val="en-US"/>
              </w:rPr>
              <w:t>Investment (US</w:t>
            </w:r>
            <w:r w:rsidR="0049762E" w:rsidRPr="00340346">
              <w:rPr>
                <w:rFonts w:ascii="Arial" w:eastAsia="MS ??" w:hAnsi="Arial" w:cs="Arial"/>
                <w:noProof/>
                <w:color w:val="auto"/>
                <w:sz w:val="22"/>
                <w:szCs w:val="22"/>
                <w:lang w:val="en-US"/>
              </w:rPr>
              <w:t>$</w:t>
            </w:r>
            <w:r w:rsidRPr="00340346">
              <w:rPr>
                <w:rFonts w:ascii="Arial" w:eastAsia="MS ??" w:hAnsi="Arial" w:cs="Arial"/>
                <w:noProof/>
                <w:color w:val="auto"/>
                <w:sz w:val="22"/>
                <w:szCs w:val="22"/>
                <w:lang w:val="en-US"/>
              </w:rPr>
              <w:t>)</w:t>
            </w:r>
          </w:p>
        </w:tc>
        <w:tc>
          <w:tcPr>
            <w:tcW w:w="2621" w:type="dxa"/>
            <w:noWrap/>
            <w:vAlign w:val="center"/>
            <w:hideMark/>
          </w:tcPr>
          <w:p w14:paraId="3F3DAADB" w14:textId="77777777" w:rsidR="007A101A" w:rsidRPr="00340346" w:rsidRDefault="007A101A" w:rsidP="00C80112">
            <w:pPr>
              <w:spacing w:before="0" w:after="0" w:line="240" w:lineRule="auto"/>
              <w:cnfStyle w:val="100000000000" w:firstRow="1" w:lastRow="0" w:firstColumn="0" w:lastColumn="0" w:oddVBand="0" w:evenVBand="0" w:oddHBand="0"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color w:val="auto"/>
                <w:sz w:val="22"/>
                <w:szCs w:val="22"/>
                <w:lang w:val="en-US"/>
              </w:rPr>
              <w:t>External Financing (US</w:t>
            </w:r>
            <w:r w:rsidR="0049762E" w:rsidRPr="00340346">
              <w:rPr>
                <w:rFonts w:ascii="Arial" w:eastAsia="MS ??" w:hAnsi="Arial" w:cs="Arial"/>
                <w:noProof/>
                <w:color w:val="auto"/>
                <w:sz w:val="22"/>
                <w:szCs w:val="22"/>
                <w:lang w:val="en-US"/>
              </w:rPr>
              <w:t>$</w:t>
            </w:r>
            <w:r w:rsidRPr="00340346">
              <w:rPr>
                <w:rFonts w:ascii="Arial" w:eastAsia="MS ??" w:hAnsi="Arial" w:cs="Arial"/>
                <w:noProof/>
                <w:color w:val="auto"/>
                <w:sz w:val="22"/>
                <w:szCs w:val="22"/>
                <w:lang w:val="en-US"/>
              </w:rPr>
              <w:t>)</w:t>
            </w:r>
          </w:p>
        </w:tc>
      </w:tr>
      <w:tr w:rsidR="007A101A" w:rsidRPr="00340346" w14:paraId="47F80222" w14:textId="77777777" w:rsidTr="008C4E3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526" w:type="dxa"/>
            <w:noWrap/>
            <w:vAlign w:val="center"/>
            <w:hideMark/>
          </w:tcPr>
          <w:p w14:paraId="42A91A44" w14:textId="77777777" w:rsidR="007A101A" w:rsidRPr="00340346" w:rsidRDefault="007A101A" w:rsidP="00C80112">
            <w:pPr>
              <w:spacing w:before="0" w:after="0" w:line="240" w:lineRule="auto"/>
              <w:rPr>
                <w:rFonts w:ascii="Arial" w:hAnsi="Arial" w:cs="Arial"/>
                <w:noProof/>
                <w:sz w:val="22"/>
                <w:szCs w:val="22"/>
                <w:lang w:val="en-US"/>
              </w:rPr>
            </w:pPr>
            <w:r w:rsidRPr="00340346">
              <w:rPr>
                <w:rFonts w:ascii="Arial" w:eastAsia="MS ??" w:hAnsi="Arial" w:cs="Arial"/>
                <w:noProof/>
                <w:sz w:val="22"/>
                <w:szCs w:val="22"/>
                <w:lang w:val="en-US"/>
              </w:rPr>
              <w:t>Biogas</w:t>
            </w:r>
          </w:p>
        </w:tc>
        <w:tc>
          <w:tcPr>
            <w:tcW w:w="2551" w:type="dxa"/>
            <w:vAlign w:val="center"/>
          </w:tcPr>
          <w:p w14:paraId="6C617C8A" w14:textId="77777777" w:rsidR="007A101A" w:rsidRPr="00340346" w:rsidRDefault="007A101A" w:rsidP="00C80112">
            <w:pPr>
              <w:spacing w:before="0"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sz w:val="22"/>
                <w:szCs w:val="22"/>
                <w:lang w:val="en-US"/>
              </w:rPr>
              <w:t>637 companies (8% of potential market)</w:t>
            </w:r>
          </w:p>
        </w:tc>
        <w:tc>
          <w:tcPr>
            <w:tcW w:w="2410" w:type="dxa"/>
            <w:vAlign w:val="center"/>
          </w:tcPr>
          <w:p w14:paraId="72F3B22A" w14:textId="77777777" w:rsidR="007A101A" w:rsidRPr="00340346" w:rsidRDefault="007A101A" w:rsidP="00C80112">
            <w:pPr>
              <w:spacing w:before="0"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sz w:val="22"/>
                <w:szCs w:val="22"/>
                <w:lang w:val="en-US"/>
              </w:rPr>
              <w:t>110 million</w:t>
            </w:r>
          </w:p>
        </w:tc>
        <w:tc>
          <w:tcPr>
            <w:tcW w:w="2621" w:type="dxa"/>
            <w:noWrap/>
            <w:vAlign w:val="center"/>
            <w:hideMark/>
          </w:tcPr>
          <w:p w14:paraId="0A06F52A" w14:textId="77777777" w:rsidR="007A101A" w:rsidRPr="00340346" w:rsidRDefault="007A101A" w:rsidP="00C80112">
            <w:pPr>
              <w:spacing w:before="0"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sz w:val="22"/>
                <w:szCs w:val="22"/>
                <w:lang w:val="en-US"/>
              </w:rPr>
              <w:t>77 million</w:t>
            </w:r>
          </w:p>
        </w:tc>
      </w:tr>
      <w:tr w:rsidR="007A101A" w:rsidRPr="00340346" w14:paraId="38522322" w14:textId="77777777" w:rsidTr="008C4E3D">
        <w:trPr>
          <w:trHeight w:val="280"/>
        </w:trPr>
        <w:tc>
          <w:tcPr>
            <w:cnfStyle w:val="001000000000" w:firstRow="0" w:lastRow="0" w:firstColumn="1" w:lastColumn="0" w:oddVBand="0" w:evenVBand="0" w:oddHBand="0" w:evenHBand="0" w:firstRowFirstColumn="0" w:firstRowLastColumn="0" w:lastRowFirstColumn="0" w:lastRowLastColumn="0"/>
            <w:tcW w:w="1526" w:type="dxa"/>
            <w:noWrap/>
            <w:vAlign w:val="center"/>
            <w:hideMark/>
          </w:tcPr>
          <w:p w14:paraId="10769CD5" w14:textId="77777777" w:rsidR="007A101A" w:rsidRPr="00340346" w:rsidRDefault="007A101A" w:rsidP="00C80112">
            <w:pPr>
              <w:spacing w:before="0" w:after="0" w:line="240" w:lineRule="auto"/>
              <w:rPr>
                <w:rFonts w:ascii="Arial" w:hAnsi="Arial" w:cs="Arial"/>
                <w:noProof/>
                <w:sz w:val="22"/>
                <w:szCs w:val="22"/>
                <w:lang w:val="en-US"/>
              </w:rPr>
            </w:pPr>
            <w:r w:rsidRPr="00340346">
              <w:rPr>
                <w:rFonts w:ascii="Arial" w:eastAsia="MS ??" w:hAnsi="Arial" w:cs="Arial"/>
                <w:noProof/>
                <w:sz w:val="22"/>
                <w:szCs w:val="22"/>
                <w:lang w:val="en-US"/>
              </w:rPr>
              <w:t>Biomass</w:t>
            </w:r>
          </w:p>
        </w:tc>
        <w:tc>
          <w:tcPr>
            <w:tcW w:w="2551" w:type="dxa"/>
            <w:vAlign w:val="center"/>
          </w:tcPr>
          <w:p w14:paraId="316B5FFC" w14:textId="77777777" w:rsidR="007A101A" w:rsidRPr="00340346" w:rsidRDefault="007A101A" w:rsidP="00C80112">
            <w:pPr>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sz w:val="22"/>
                <w:szCs w:val="22"/>
                <w:lang w:val="en-US"/>
              </w:rPr>
              <w:t>4 projects (35% of potential projects)</w:t>
            </w:r>
          </w:p>
        </w:tc>
        <w:tc>
          <w:tcPr>
            <w:tcW w:w="2410" w:type="dxa"/>
            <w:vAlign w:val="center"/>
          </w:tcPr>
          <w:p w14:paraId="7F4E20C2" w14:textId="77777777" w:rsidR="007A101A" w:rsidRPr="00340346" w:rsidRDefault="007A101A" w:rsidP="00C80112">
            <w:pPr>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sz w:val="22"/>
                <w:szCs w:val="22"/>
                <w:lang w:val="en-US"/>
              </w:rPr>
              <w:t>60 million</w:t>
            </w:r>
          </w:p>
        </w:tc>
        <w:tc>
          <w:tcPr>
            <w:tcW w:w="2621" w:type="dxa"/>
            <w:noWrap/>
            <w:vAlign w:val="center"/>
            <w:hideMark/>
          </w:tcPr>
          <w:p w14:paraId="734BA6FD" w14:textId="77777777" w:rsidR="007A101A" w:rsidRPr="00340346" w:rsidRDefault="007A101A" w:rsidP="00C80112">
            <w:pPr>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sz w:val="22"/>
                <w:szCs w:val="22"/>
                <w:lang w:val="en-US"/>
              </w:rPr>
              <w:t>42 million</w:t>
            </w:r>
          </w:p>
        </w:tc>
      </w:tr>
      <w:tr w:rsidR="007A101A" w:rsidRPr="00340346" w14:paraId="3A2CDD6B" w14:textId="77777777" w:rsidTr="008C4E3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526" w:type="dxa"/>
            <w:noWrap/>
            <w:vAlign w:val="center"/>
            <w:hideMark/>
          </w:tcPr>
          <w:p w14:paraId="421AA67E" w14:textId="77777777" w:rsidR="007A101A" w:rsidRPr="00340346" w:rsidRDefault="007A101A" w:rsidP="00C80112">
            <w:pPr>
              <w:spacing w:before="0" w:after="0" w:line="240" w:lineRule="auto"/>
              <w:rPr>
                <w:rFonts w:ascii="Arial" w:hAnsi="Arial" w:cs="Arial"/>
                <w:noProof/>
                <w:sz w:val="22"/>
                <w:szCs w:val="22"/>
                <w:lang w:val="en-US"/>
              </w:rPr>
            </w:pPr>
            <w:r w:rsidRPr="00340346">
              <w:rPr>
                <w:rFonts w:ascii="Arial" w:eastAsia="MS ??" w:hAnsi="Arial" w:cs="Arial"/>
                <w:noProof/>
                <w:sz w:val="22"/>
                <w:szCs w:val="22"/>
                <w:lang w:val="en-US"/>
              </w:rPr>
              <w:t>Energy efficiency</w:t>
            </w:r>
          </w:p>
        </w:tc>
        <w:tc>
          <w:tcPr>
            <w:tcW w:w="2551" w:type="dxa"/>
            <w:vAlign w:val="center"/>
          </w:tcPr>
          <w:p w14:paraId="13721322" w14:textId="77777777" w:rsidR="007A101A" w:rsidRPr="00340346" w:rsidRDefault="007A101A" w:rsidP="00C80112">
            <w:pPr>
              <w:spacing w:before="0"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sz w:val="22"/>
                <w:szCs w:val="22"/>
                <w:lang w:val="en-US"/>
              </w:rPr>
              <w:t>598 companies (10% of the market)</w:t>
            </w:r>
          </w:p>
        </w:tc>
        <w:tc>
          <w:tcPr>
            <w:tcW w:w="2410" w:type="dxa"/>
            <w:vAlign w:val="center"/>
          </w:tcPr>
          <w:p w14:paraId="1A54AD49" w14:textId="77777777" w:rsidR="007A101A" w:rsidRPr="00340346" w:rsidRDefault="007A101A" w:rsidP="00C80112">
            <w:pPr>
              <w:spacing w:before="0"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sz w:val="22"/>
                <w:szCs w:val="22"/>
                <w:lang w:val="en-US"/>
              </w:rPr>
              <w:t>59 million</w:t>
            </w:r>
          </w:p>
        </w:tc>
        <w:tc>
          <w:tcPr>
            <w:tcW w:w="2621" w:type="dxa"/>
            <w:noWrap/>
            <w:vAlign w:val="center"/>
            <w:hideMark/>
          </w:tcPr>
          <w:p w14:paraId="3D888A42" w14:textId="77777777" w:rsidR="007A101A" w:rsidRPr="00340346" w:rsidRDefault="007A101A" w:rsidP="00C80112">
            <w:pPr>
              <w:spacing w:before="0"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sz w:val="22"/>
                <w:szCs w:val="22"/>
                <w:lang w:val="en-US"/>
              </w:rPr>
              <w:t>41 million</w:t>
            </w:r>
          </w:p>
        </w:tc>
      </w:tr>
      <w:tr w:rsidR="007A101A" w:rsidRPr="00340346" w14:paraId="518A487C" w14:textId="77777777" w:rsidTr="008C4E3D">
        <w:trPr>
          <w:trHeight w:val="280"/>
        </w:trPr>
        <w:tc>
          <w:tcPr>
            <w:cnfStyle w:val="001000000000" w:firstRow="0" w:lastRow="0" w:firstColumn="1" w:lastColumn="0" w:oddVBand="0" w:evenVBand="0" w:oddHBand="0" w:evenHBand="0" w:firstRowFirstColumn="0" w:firstRowLastColumn="0" w:lastRowFirstColumn="0" w:lastRowLastColumn="0"/>
            <w:tcW w:w="1526" w:type="dxa"/>
            <w:noWrap/>
            <w:vAlign w:val="center"/>
            <w:hideMark/>
          </w:tcPr>
          <w:p w14:paraId="66372ABC" w14:textId="77777777" w:rsidR="007A101A" w:rsidRPr="00340346" w:rsidRDefault="007A101A" w:rsidP="00C80112">
            <w:pPr>
              <w:spacing w:before="0" w:after="0" w:line="240" w:lineRule="auto"/>
              <w:rPr>
                <w:rFonts w:ascii="Arial" w:hAnsi="Arial" w:cs="Arial"/>
                <w:noProof/>
                <w:sz w:val="22"/>
                <w:szCs w:val="22"/>
                <w:lang w:val="en-US"/>
              </w:rPr>
            </w:pPr>
            <w:r w:rsidRPr="00340346">
              <w:rPr>
                <w:rFonts w:ascii="Arial" w:eastAsia="MS ??" w:hAnsi="Arial" w:cs="Arial"/>
                <w:noProof/>
                <w:sz w:val="22"/>
                <w:szCs w:val="22"/>
                <w:lang w:val="en-US"/>
              </w:rPr>
              <w:t>TOTAL</w:t>
            </w:r>
          </w:p>
        </w:tc>
        <w:tc>
          <w:tcPr>
            <w:tcW w:w="2551" w:type="dxa"/>
            <w:vAlign w:val="center"/>
          </w:tcPr>
          <w:p w14:paraId="6D6F5878" w14:textId="77777777" w:rsidR="007A101A" w:rsidRPr="00340346" w:rsidRDefault="007A101A" w:rsidP="00C80112">
            <w:pPr>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noProof/>
                <w:sz w:val="22"/>
                <w:szCs w:val="22"/>
                <w:lang w:val="en-US"/>
              </w:rPr>
            </w:pPr>
          </w:p>
        </w:tc>
        <w:tc>
          <w:tcPr>
            <w:tcW w:w="2410" w:type="dxa"/>
            <w:vAlign w:val="center"/>
          </w:tcPr>
          <w:p w14:paraId="63A1DC31" w14:textId="77777777" w:rsidR="007A101A" w:rsidRPr="00340346" w:rsidRDefault="007A101A" w:rsidP="00C80112">
            <w:pPr>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sz w:val="22"/>
                <w:szCs w:val="22"/>
                <w:lang w:val="en-US"/>
              </w:rPr>
              <w:t>229 million</w:t>
            </w:r>
          </w:p>
        </w:tc>
        <w:tc>
          <w:tcPr>
            <w:tcW w:w="2621" w:type="dxa"/>
            <w:noWrap/>
            <w:vAlign w:val="center"/>
            <w:hideMark/>
          </w:tcPr>
          <w:p w14:paraId="53893385" w14:textId="77777777" w:rsidR="007A101A" w:rsidRPr="00340346" w:rsidRDefault="007A101A" w:rsidP="00C80112">
            <w:pPr>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noProof/>
                <w:sz w:val="22"/>
                <w:szCs w:val="22"/>
                <w:lang w:val="en-US"/>
              </w:rPr>
            </w:pPr>
            <w:r w:rsidRPr="00340346">
              <w:rPr>
                <w:rFonts w:ascii="Arial" w:eastAsia="MS ??" w:hAnsi="Arial" w:cs="Arial"/>
                <w:noProof/>
                <w:sz w:val="22"/>
                <w:szCs w:val="22"/>
                <w:lang w:val="en-US"/>
              </w:rPr>
              <w:t>160 million</w:t>
            </w:r>
          </w:p>
        </w:tc>
      </w:tr>
    </w:tbl>
    <w:p w14:paraId="410BAEB7" w14:textId="77777777" w:rsidR="007A101A" w:rsidRPr="00340346" w:rsidRDefault="007A101A" w:rsidP="00C80112">
      <w:pPr>
        <w:pStyle w:val="Paragraph"/>
        <w:rPr>
          <w:rFonts w:ascii="Arial" w:hAnsi="Arial" w:cs="Arial"/>
          <w:noProof/>
          <w:sz w:val="22"/>
        </w:rPr>
      </w:pPr>
      <w:bookmarkStart w:id="362" w:name="_Toc504669795"/>
      <w:bookmarkStart w:id="363" w:name="_Toc504670067"/>
      <w:bookmarkStart w:id="364" w:name="_Toc504670339"/>
      <w:bookmarkStart w:id="365" w:name="_Toc504670708"/>
      <w:bookmarkStart w:id="366" w:name="_Toc504670976"/>
      <w:bookmarkStart w:id="367" w:name="_Toc504744812"/>
      <w:bookmarkStart w:id="368" w:name="_Toc504669796"/>
      <w:bookmarkStart w:id="369" w:name="_Toc504670068"/>
      <w:bookmarkStart w:id="370" w:name="_Toc504670340"/>
      <w:bookmarkStart w:id="371" w:name="_Toc504670709"/>
      <w:bookmarkStart w:id="372" w:name="_Toc504670977"/>
      <w:bookmarkStart w:id="373" w:name="_Toc504744813"/>
      <w:bookmarkStart w:id="374" w:name="_Toc504669822"/>
      <w:bookmarkStart w:id="375" w:name="_Toc504670094"/>
      <w:bookmarkStart w:id="376" w:name="_Toc504670366"/>
      <w:bookmarkStart w:id="377" w:name="_Toc504670735"/>
      <w:bookmarkStart w:id="378" w:name="_Toc504671003"/>
      <w:bookmarkStart w:id="379" w:name="_Toc504744839"/>
      <w:bookmarkStart w:id="380" w:name="_Toc504669824"/>
      <w:bookmarkStart w:id="381" w:name="_Toc504670096"/>
      <w:bookmarkStart w:id="382" w:name="_Toc504670368"/>
      <w:bookmarkStart w:id="383" w:name="_Toc504670737"/>
      <w:bookmarkStart w:id="384" w:name="_Toc504671005"/>
      <w:bookmarkStart w:id="385" w:name="_Toc504744841"/>
      <w:bookmarkStart w:id="386" w:name="_Toc504669825"/>
      <w:bookmarkStart w:id="387" w:name="_Toc504670097"/>
      <w:bookmarkStart w:id="388" w:name="_Toc504670369"/>
      <w:bookmarkStart w:id="389" w:name="_Toc504670738"/>
      <w:bookmarkStart w:id="390" w:name="_Toc504671006"/>
      <w:bookmarkStart w:id="391" w:name="_Toc504744842"/>
      <w:bookmarkStart w:id="392" w:name="_Toc504671007"/>
      <w:bookmarkStart w:id="393" w:name="_Toc504744843"/>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340346">
        <w:rPr>
          <w:rFonts w:ascii="Arial" w:hAnsi="Arial" w:cs="Arial"/>
          <w:noProof/>
          <w:sz w:val="22"/>
        </w:rPr>
        <w:t>The following sections focus in describing two strategies that may help structure the demand for biogas, biomass, and energy efficiency projects.</w:t>
      </w:r>
      <w:bookmarkEnd w:id="392"/>
      <w:bookmarkEnd w:id="393"/>
    </w:p>
    <w:bookmarkStart w:id="394" w:name="_Toc504671008"/>
    <w:p w14:paraId="783A6B02" w14:textId="77777777" w:rsidR="004629AE" w:rsidRPr="00340346" w:rsidRDefault="004629AE" w:rsidP="00C80112">
      <w:pPr>
        <w:pStyle w:val="FirstHeading"/>
        <w:rPr>
          <w:rFonts w:ascii="Arial" w:hAnsi="Arial" w:cs="Arial"/>
          <w:noProof/>
          <w:sz w:val="22"/>
          <w:szCs w:val="22"/>
          <w:lang w:val="en-US"/>
        </w:rPr>
      </w:pPr>
      <w:r w:rsidRPr="00340346">
        <w:rPr>
          <w:rFonts w:ascii="Arial" w:hAnsi="Arial" w:cs="Arial"/>
          <w:noProof/>
          <w:sz w:val="22"/>
          <w:szCs w:val="22"/>
          <w:lang w:val="en-US"/>
        </w:rPr>
        <w:fldChar w:fldCharType="begin"/>
      </w:r>
      <w:r w:rsidRPr="00340346">
        <w:rPr>
          <w:rFonts w:ascii="Arial" w:hAnsi="Arial" w:cs="Arial"/>
          <w:noProof/>
          <w:sz w:val="22"/>
          <w:szCs w:val="22"/>
          <w:lang w:val="en-US"/>
        </w:rPr>
        <w:instrText xml:space="preserve"> SEQ "</w:instrText>
      </w:r>
      <w:r w:rsidRPr="00340346">
        <w:rPr>
          <w:rFonts w:ascii="Arial" w:hAnsi="Arial" w:cs="Arial"/>
          <w:noProof/>
          <w:sz w:val="22"/>
          <w:szCs w:val="22"/>
          <w:lang w:val="en-US"/>
        </w:rPr>
        <w:fldChar w:fldCharType="begin"/>
      </w:r>
      <w:r w:rsidRPr="00340346">
        <w:rPr>
          <w:rFonts w:ascii="Arial" w:hAnsi="Arial" w:cs="Arial"/>
          <w:noProof/>
          <w:sz w:val="22"/>
          <w:szCs w:val="22"/>
          <w:lang w:val="en-US"/>
        </w:rPr>
        <w:instrText xml:space="preserve"> SECTION  \* MERGEFORMAT </w:instrText>
      </w:r>
      <w:r w:rsidRPr="00340346">
        <w:rPr>
          <w:rFonts w:ascii="Arial" w:hAnsi="Arial" w:cs="Arial"/>
          <w:noProof/>
          <w:sz w:val="22"/>
          <w:szCs w:val="22"/>
          <w:lang w:val="en-US"/>
        </w:rPr>
        <w:fldChar w:fldCharType="separate"/>
      </w:r>
      <w:r w:rsidR="00D24F6E" w:rsidRPr="00340346">
        <w:rPr>
          <w:rFonts w:ascii="Arial" w:hAnsi="Arial" w:cs="Arial"/>
          <w:noProof/>
          <w:sz w:val="22"/>
          <w:szCs w:val="22"/>
          <w:lang w:val="en-US"/>
        </w:rPr>
        <w:instrText>6</w:instrText>
      </w:r>
      <w:r w:rsidRPr="00340346">
        <w:rPr>
          <w:rFonts w:ascii="Arial" w:hAnsi="Arial" w:cs="Arial"/>
          <w:noProof/>
          <w:sz w:val="22"/>
          <w:szCs w:val="22"/>
          <w:lang w:val="en-US"/>
        </w:rPr>
        <w:fldChar w:fldCharType="end"/>
      </w:r>
      <w:r w:rsidRPr="00340346">
        <w:rPr>
          <w:rFonts w:ascii="Arial" w:hAnsi="Arial" w:cs="Arial"/>
          <w:noProof/>
          <w:sz w:val="22"/>
          <w:szCs w:val="22"/>
          <w:lang w:val="en-US"/>
        </w:rPr>
        <w:instrText xml:space="preserve">#"\* ALPHABETIC \* MERGEFORMAT </w:instrText>
      </w:r>
      <w:r w:rsidRPr="00340346">
        <w:rPr>
          <w:rFonts w:ascii="Arial" w:hAnsi="Arial" w:cs="Arial"/>
          <w:noProof/>
          <w:sz w:val="22"/>
          <w:szCs w:val="22"/>
          <w:lang w:val="en-US"/>
        </w:rPr>
        <w:fldChar w:fldCharType="separate"/>
      </w:r>
      <w:r w:rsidR="00D24F6E" w:rsidRPr="00340346">
        <w:rPr>
          <w:rFonts w:ascii="Arial" w:hAnsi="Arial" w:cs="Arial"/>
          <w:noProof/>
          <w:sz w:val="22"/>
          <w:szCs w:val="22"/>
          <w:lang w:val="en-US"/>
        </w:rPr>
        <w:t>A</w:t>
      </w:r>
      <w:r w:rsidRPr="00340346">
        <w:rPr>
          <w:rFonts w:ascii="Arial" w:hAnsi="Arial" w:cs="Arial"/>
          <w:noProof/>
          <w:sz w:val="22"/>
          <w:szCs w:val="22"/>
          <w:lang w:val="en-US"/>
        </w:rPr>
        <w:fldChar w:fldCharType="end"/>
      </w:r>
      <w:r w:rsidRPr="00340346">
        <w:rPr>
          <w:rFonts w:ascii="Arial" w:hAnsi="Arial" w:cs="Arial"/>
          <w:noProof/>
          <w:sz w:val="22"/>
          <w:szCs w:val="22"/>
          <w:lang w:val="en-US"/>
        </w:rPr>
        <w:t>.</w:t>
      </w:r>
      <w:r w:rsidRPr="00340346">
        <w:rPr>
          <w:rFonts w:ascii="Arial" w:hAnsi="Arial" w:cs="Arial"/>
          <w:noProof/>
          <w:sz w:val="22"/>
          <w:szCs w:val="22"/>
          <w:lang w:val="en-US"/>
        </w:rPr>
        <w:tab/>
      </w:r>
      <w:r w:rsidR="007A101A" w:rsidRPr="00340346">
        <w:rPr>
          <w:rFonts w:ascii="Arial" w:hAnsi="Arial" w:cs="Arial"/>
          <w:noProof/>
          <w:sz w:val="22"/>
          <w:szCs w:val="22"/>
          <w:lang w:val="en-US"/>
        </w:rPr>
        <w:t>Biogas and Biomass</w:t>
      </w:r>
      <w:bookmarkEnd w:id="394"/>
    </w:p>
    <w:p w14:paraId="74282555" w14:textId="77777777" w:rsidR="007A101A" w:rsidRPr="00340346" w:rsidRDefault="004C1A1E" w:rsidP="00C80112">
      <w:pPr>
        <w:pStyle w:val="Paragraph"/>
        <w:rPr>
          <w:rFonts w:ascii="Arial" w:hAnsi="Arial" w:cs="Arial"/>
          <w:noProof/>
          <w:sz w:val="22"/>
        </w:rPr>
      </w:pPr>
      <w:bookmarkStart w:id="395" w:name="_Toc504669828"/>
      <w:bookmarkStart w:id="396" w:name="_Toc504670100"/>
      <w:bookmarkStart w:id="397" w:name="_Toc504670372"/>
      <w:bookmarkStart w:id="398" w:name="_Toc504670741"/>
      <w:bookmarkStart w:id="399" w:name="_Toc504671009"/>
      <w:bookmarkStart w:id="400" w:name="_Toc504744844"/>
      <w:bookmarkStart w:id="401" w:name="_Toc504669829"/>
      <w:bookmarkStart w:id="402" w:name="_Toc504670101"/>
      <w:bookmarkStart w:id="403" w:name="_Toc504670373"/>
      <w:bookmarkStart w:id="404" w:name="_Toc504670742"/>
      <w:bookmarkStart w:id="405" w:name="_Toc504671010"/>
      <w:bookmarkStart w:id="406" w:name="_Toc504744845"/>
      <w:bookmarkStart w:id="407" w:name="_Toc504671011"/>
      <w:bookmarkStart w:id="408" w:name="_Toc504744846"/>
      <w:bookmarkEnd w:id="395"/>
      <w:bookmarkEnd w:id="396"/>
      <w:bookmarkEnd w:id="397"/>
      <w:bookmarkEnd w:id="398"/>
      <w:bookmarkEnd w:id="399"/>
      <w:bookmarkEnd w:id="400"/>
      <w:bookmarkEnd w:id="401"/>
      <w:bookmarkEnd w:id="402"/>
      <w:bookmarkEnd w:id="403"/>
      <w:bookmarkEnd w:id="404"/>
      <w:bookmarkEnd w:id="405"/>
      <w:bookmarkEnd w:id="406"/>
      <w:r w:rsidRPr="00340346">
        <w:rPr>
          <w:rFonts w:ascii="Arial" w:hAnsi="Arial" w:cs="Arial"/>
          <w:noProof/>
          <w:sz w:val="22"/>
        </w:rPr>
        <w:t>The strategy includes various mechanisms to stimulate investment in biogas and biomass plants, and seeks to mitigate the barriers and risks faced by the biogas and biomass projects. The strategy includes the following mechanisms</w:t>
      </w:r>
      <w:r w:rsidR="007A101A" w:rsidRPr="00340346">
        <w:rPr>
          <w:rFonts w:ascii="Arial" w:hAnsi="Arial" w:cs="Arial"/>
          <w:noProof/>
          <w:sz w:val="22"/>
        </w:rPr>
        <w:t>:</w:t>
      </w:r>
      <w:bookmarkStart w:id="409" w:name="_Toc504671012"/>
      <w:bookmarkStart w:id="410" w:name="_Toc504744847"/>
      <w:bookmarkEnd w:id="407"/>
      <w:bookmarkEnd w:id="408"/>
      <w:bookmarkEnd w:id="409"/>
      <w:bookmarkEnd w:id="410"/>
    </w:p>
    <w:p w14:paraId="432D2697" w14:textId="77777777" w:rsidR="00E41BC7" w:rsidRPr="00340346" w:rsidRDefault="00B4796A" w:rsidP="00C80112">
      <w:pPr>
        <w:pStyle w:val="Paragraph"/>
        <w:rPr>
          <w:rFonts w:ascii="Arial" w:hAnsi="Arial" w:cs="Arial"/>
          <w:noProof/>
          <w:sz w:val="22"/>
        </w:rPr>
      </w:pPr>
      <w:bookmarkStart w:id="411" w:name="_Toc504671013"/>
      <w:bookmarkStart w:id="412" w:name="_Toc504744848"/>
      <w:r w:rsidRPr="00340346">
        <w:rPr>
          <w:rFonts w:ascii="Arial" w:hAnsi="Arial" w:cs="Arial"/>
          <w:noProof/>
          <w:sz w:val="22"/>
        </w:rPr>
        <w:t xml:space="preserve">Financing with appropriate conditions. It is important to make financing available with competitive interest rates and with terms of </w:t>
      </w:r>
      <w:r w:rsidR="0087236D" w:rsidRPr="00340346">
        <w:rPr>
          <w:rFonts w:ascii="Arial" w:hAnsi="Arial" w:cs="Arial"/>
          <w:noProof/>
          <w:sz w:val="22"/>
        </w:rPr>
        <w:t>five</w:t>
      </w:r>
      <w:r w:rsidRPr="00340346">
        <w:rPr>
          <w:rFonts w:ascii="Arial" w:hAnsi="Arial" w:cs="Arial"/>
          <w:noProof/>
          <w:sz w:val="22"/>
        </w:rPr>
        <w:t xml:space="preserve"> to </w:t>
      </w:r>
      <w:r w:rsidR="0087236D" w:rsidRPr="00340346">
        <w:rPr>
          <w:rFonts w:ascii="Arial" w:hAnsi="Arial" w:cs="Arial"/>
          <w:noProof/>
          <w:sz w:val="22"/>
        </w:rPr>
        <w:t>ten</w:t>
      </w:r>
      <w:r w:rsidRPr="00340346">
        <w:rPr>
          <w:rFonts w:ascii="Arial" w:hAnsi="Arial" w:cs="Arial"/>
          <w:noProof/>
          <w:sz w:val="22"/>
        </w:rPr>
        <w:t xml:space="preserve"> years in order to make this type of project viable. The objective is to be able to cover the lack of long term financing and in suitable conditions for this type of projects.</w:t>
      </w:r>
      <w:bookmarkStart w:id="413" w:name="_Toc504671014"/>
      <w:bookmarkStart w:id="414" w:name="_Toc504744849"/>
      <w:bookmarkEnd w:id="411"/>
      <w:bookmarkEnd w:id="412"/>
      <w:bookmarkEnd w:id="413"/>
      <w:bookmarkEnd w:id="414"/>
    </w:p>
    <w:p w14:paraId="362E3A4F" w14:textId="77777777" w:rsidR="00E41BC7" w:rsidRPr="00340346" w:rsidRDefault="00B4796A" w:rsidP="00C80112">
      <w:pPr>
        <w:pStyle w:val="Paragraph"/>
        <w:rPr>
          <w:rFonts w:ascii="Arial" w:hAnsi="Arial" w:cs="Arial"/>
          <w:noProof/>
          <w:sz w:val="22"/>
        </w:rPr>
      </w:pPr>
      <w:bookmarkStart w:id="415" w:name="_Toc504671015"/>
      <w:bookmarkStart w:id="416" w:name="_Toc504744850"/>
      <w:r w:rsidRPr="00340346">
        <w:rPr>
          <w:rFonts w:ascii="Arial" w:hAnsi="Arial" w:cs="Arial"/>
          <w:noProof/>
          <w:sz w:val="22"/>
        </w:rPr>
        <w:t>Credit guarantee. An important barrier is the difficulty facing companies in accessing credit. The mechanism seeks to incorporate some existing reciprocal guarantee societies (MGS) to help companies in accessing financial resources. The objective is to create partnerships and standardize the evaluation of these projects and of the companies to facilitate the implementation of this instrument.</w:t>
      </w:r>
      <w:bookmarkStart w:id="417" w:name="_Toc504671016"/>
      <w:bookmarkStart w:id="418" w:name="_Toc504744851"/>
      <w:bookmarkEnd w:id="415"/>
      <w:bookmarkEnd w:id="416"/>
      <w:bookmarkEnd w:id="417"/>
      <w:bookmarkEnd w:id="418"/>
    </w:p>
    <w:p w14:paraId="267FBF2B" w14:textId="77777777" w:rsidR="00E41BC7" w:rsidRPr="00340346" w:rsidRDefault="00207FE2" w:rsidP="00C80112">
      <w:pPr>
        <w:pStyle w:val="Paragraph"/>
        <w:rPr>
          <w:rFonts w:ascii="Arial" w:hAnsi="Arial" w:cs="Arial"/>
          <w:noProof/>
          <w:sz w:val="22"/>
        </w:rPr>
      </w:pPr>
      <w:bookmarkStart w:id="419" w:name="_Toc504671017"/>
      <w:bookmarkStart w:id="420" w:name="_Toc504744852"/>
      <w:r w:rsidRPr="00340346">
        <w:rPr>
          <w:rFonts w:ascii="Arial" w:hAnsi="Arial" w:cs="Arial"/>
          <w:noProof/>
          <w:sz w:val="22"/>
        </w:rPr>
        <w:t>Standard contract. Standardize a contract between the client and the project developer to help both parties negotiate and transparently clarify the responsibilities and achievements of the developer. The objective is to facilitate the negotiation between both parties and to establish the responsibilities of the developer.</w:t>
      </w:r>
      <w:bookmarkStart w:id="421" w:name="_Toc504671018"/>
      <w:bookmarkStart w:id="422" w:name="_Toc504744853"/>
      <w:bookmarkEnd w:id="419"/>
      <w:bookmarkEnd w:id="420"/>
      <w:bookmarkEnd w:id="421"/>
      <w:bookmarkEnd w:id="422"/>
    </w:p>
    <w:p w14:paraId="0DD59FA1" w14:textId="77777777" w:rsidR="00E41BC7" w:rsidRPr="00340346" w:rsidRDefault="007C0DF8" w:rsidP="00C80112">
      <w:pPr>
        <w:pStyle w:val="Paragraph"/>
        <w:rPr>
          <w:rFonts w:ascii="Arial" w:hAnsi="Arial" w:cs="Arial"/>
          <w:noProof/>
          <w:sz w:val="22"/>
        </w:rPr>
      </w:pPr>
      <w:bookmarkStart w:id="423" w:name="_Toc504671019"/>
      <w:bookmarkStart w:id="424" w:name="_Toc504744854"/>
      <w:r w:rsidRPr="00340346">
        <w:rPr>
          <w:rFonts w:ascii="Arial" w:hAnsi="Arial" w:cs="Arial"/>
          <w:noProof/>
          <w:sz w:val="22"/>
        </w:rPr>
        <w:t>Incentive to cover the cost of engineering studies. The incentive seeks to cover the initial cost corresponding to project engineering. The incentive would be given to those projects that have been pre-authorized for credit. The cost of project engineering would be partially covered and would be reimbursable when the project becomes operational. The objective is to reduce the barrier represented by the initial disbursement to perform the engineering studies, a cost that often prevents the development of these projects.</w:t>
      </w:r>
      <w:bookmarkStart w:id="425" w:name="_Toc504671020"/>
      <w:bookmarkStart w:id="426" w:name="_Toc504744855"/>
      <w:bookmarkEnd w:id="423"/>
      <w:bookmarkEnd w:id="424"/>
      <w:bookmarkEnd w:id="425"/>
      <w:bookmarkEnd w:id="426"/>
    </w:p>
    <w:p w14:paraId="57599025" w14:textId="77777777" w:rsidR="00E41BC7" w:rsidRPr="00340346" w:rsidRDefault="002D78D1" w:rsidP="00C80112">
      <w:pPr>
        <w:pStyle w:val="Paragraph"/>
        <w:rPr>
          <w:rFonts w:ascii="Arial" w:hAnsi="Arial" w:cs="Arial"/>
          <w:noProof/>
          <w:sz w:val="22"/>
        </w:rPr>
      </w:pPr>
      <w:bookmarkStart w:id="427" w:name="_Toc504671021"/>
      <w:bookmarkStart w:id="428" w:name="_Toc504744856"/>
      <w:r w:rsidRPr="00340346">
        <w:rPr>
          <w:rFonts w:ascii="Arial" w:hAnsi="Arial" w:cs="Arial"/>
          <w:noProof/>
          <w:sz w:val="22"/>
        </w:rPr>
        <w:lastRenderedPageBreak/>
        <w:t xml:space="preserve">Technical validation of the engineering study. An independent agency validates the quality of the engineering project (the technical proposal). The mechanism will require the development of validation protocols for biogas and biomass projects. The </w:t>
      </w:r>
      <w:r w:rsidR="00217666" w:rsidRPr="00340346">
        <w:rPr>
          <w:rFonts w:ascii="Arial" w:hAnsi="Arial" w:cs="Arial"/>
          <w:noProof/>
          <w:sz w:val="22"/>
        </w:rPr>
        <w:t>objective</w:t>
      </w:r>
      <w:r w:rsidRPr="00340346">
        <w:rPr>
          <w:rFonts w:ascii="Arial" w:hAnsi="Arial" w:cs="Arial"/>
          <w:noProof/>
          <w:sz w:val="22"/>
        </w:rPr>
        <w:t xml:space="preserve"> is to reduce the client’s perception of risk on the technology and quality of the project. The validation will also help in developing trust with the involved financial institutions.</w:t>
      </w:r>
      <w:bookmarkStart w:id="429" w:name="_Toc504671022"/>
      <w:bookmarkStart w:id="430" w:name="_Toc504744857"/>
      <w:bookmarkEnd w:id="427"/>
      <w:bookmarkEnd w:id="428"/>
      <w:bookmarkEnd w:id="429"/>
      <w:bookmarkEnd w:id="430"/>
    </w:p>
    <w:p w14:paraId="21FBBF2C" w14:textId="77777777" w:rsidR="00261CCE" w:rsidRPr="00340346" w:rsidRDefault="002D78D1" w:rsidP="00C80112">
      <w:pPr>
        <w:pStyle w:val="Paragraph"/>
        <w:rPr>
          <w:rFonts w:ascii="Arial" w:hAnsi="Arial" w:cs="Arial"/>
          <w:noProof/>
          <w:sz w:val="22"/>
        </w:rPr>
      </w:pPr>
      <w:bookmarkStart w:id="431" w:name="_Toc504671023"/>
      <w:bookmarkStart w:id="432" w:name="_Toc504744858"/>
      <w:r w:rsidRPr="00340346">
        <w:rPr>
          <w:rFonts w:ascii="Arial" w:hAnsi="Arial" w:cs="Arial"/>
          <w:noProof/>
          <w:sz w:val="22"/>
        </w:rPr>
        <w:t>Validation of suppliers. Identification and validation of the technical capacity of different suppliers and project developers of biogas and biomass plants. The validation also helps suppliers in building credibility. The mechanism will require the development of validation protocols of project developers. The objective is to create trust between the different actors (clients and financial institutions).</w:t>
      </w:r>
      <w:bookmarkStart w:id="433" w:name="_Toc504671024"/>
      <w:bookmarkStart w:id="434" w:name="_Toc504744859"/>
      <w:bookmarkEnd w:id="431"/>
      <w:bookmarkEnd w:id="432"/>
      <w:bookmarkEnd w:id="433"/>
      <w:bookmarkEnd w:id="434"/>
    </w:p>
    <w:p w14:paraId="51E1CBC2" w14:textId="77777777" w:rsidR="00261CCE" w:rsidRPr="00340346" w:rsidRDefault="00F4461E" w:rsidP="00C80112">
      <w:pPr>
        <w:pStyle w:val="Paragraph"/>
        <w:rPr>
          <w:rFonts w:ascii="Arial" w:hAnsi="Arial" w:cs="Arial"/>
          <w:noProof/>
          <w:sz w:val="22"/>
        </w:rPr>
      </w:pPr>
      <w:bookmarkStart w:id="435" w:name="_Toc504671025"/>
      <w:bookmarkStart w:id="436" w:name="_Toc504744860"/>
      <w:r w:rsidRPr="00340346">
        <w:rPr>
          <w:rFonts w:ascii="Arial" w:hAnsi="Arial" w:cs="Arial"/>
          <w:noProof/>
          <w:sz w:val="22"/>
        </w:rPr>
        <w:t>Capacity strengthening. Training programs to potential clients on the benefits, risks, and on how to mitigate investment risks in biogas and biomass plants. The objective is to eliminate the lack of knowledge barrier on technology, as well as its benefits. The training program would also help in the promotion of this type of projects.</w:t>
      </w:r>
      <w:bookmarkStart w:id="437" w:name="_Toc504671026"/>
      <w:bookmarkStart w:id="438" w:name="_Toc504744861"/>
      <w:bookmarkEnd w:id="435"/>
      <w:bookmarkEnd w:id="436"/>
      <w:bookmarkEnd w:id="437"/>
      <w:bookmarkEnd w:id="438"/>
    </w:p>
    <w:p w14:paraId="5E52A3F9" w14:textId="77777777" w:rsidR="00261CCE" w:rsidRPr="00340346" w:rsidRDefault="008D6DDD" w:rsidP="00C80112">
      <w:pPr>
        <w:pStyle w:val="Paragraph"/>
        <w:rPr>
          <w:rFonts w:ascii="Arial" w:hAnsi="Arial" w:cs="Arial"/>
          <w:noProof/>
          <w:sz w:val="22"/>
        </w:rPr>
      </w:pPr>
      <w:bookmarkStart w:id="439" w:name="_Toc504671027"/>
      <w:bookmarkStart w:id="440" w:name="_Toc504744862"/>
      <w:r w:rsidRPr="00340346">
        <w:rPr>
          <w:rFonts w:ascii="Arial" w:hAnsi="Arial" w:cs="Arial"/>
          <w:noProof/>
          <w:sz w:val="22"/>
        </w:rPr>
        <w:t>Promotion strategy. The program considers the development of a portfolio of initial projects that help to generate the first projects. The mechanism includes working with project developers and helping them generate the first projects under the program. The objective is to develop trust in the market by showing that there is a portfolio of initial projects.</w:t>
      </w:r>
      <w:bookmarkStart w:id="441" w:name="_Toc504671028"/>
      <w:bookmarkStart w:id="442" w:name="_Toc504744863"/>
      <w:bookmarkEnd w:id="439"/>
      <w:bookmarkEnd w:id="440"/>
      <w:bookmarkEnd w:id="441"/>
      <w:bookmarkEnd w:id="442"/>
    </w:p>
    <w:p w14:paraId="236960C6" w14:textId="77777777" w:rsidR="007C0DF8" w:rsidRPr="00340346" w:rsidRDefault="00204167" w:rsidP="00C80112">
      <w:pPr>
        <w:pStyle w:val="Paragraph"/>
        <w:rPr>
          <w:rFonts w:ascii="Arial" w:hAnsi="Arial" w:cs="Arial"/>
          <w:noProof/>
          <w:sz w:val="22"/>
        </w:rPr>
      </w:pPr>
      <w:bookmarkStart w:id="443" w:name="_Toc504669848"/>
      <w:bookmarkStart w:id="444" w:name="_Toc504670120"/>
      <w:bookmarkStart w:id="445" w:name="_Toc504670392"/>
      <w:bookmarkStart w:id="446" w:name="_Toc504670761"/>
      <w:bookmarkStart w:id="447" w:name="_Toc504671029"/>
      <w:bookmarkStart w:id="448" w:name="_Toc504744864"/>
      <w:bookmarkStart w:id="449" w:name="_Toc504671030"/>
      <w:bookmarkStart w:id="450" w:name="_Toc504744865"/>
      <w:bookmarkEnd w:id="443"/>
      <w:bookmarkEnd w:id="444"/>
      <w:bookmarkEnd w:id="445"/>
      <w:bookmarkEnd w:id="446"/>
      <w:bookmarkEnd w:id="447"/>
      <w:bookmarkEnd w:id="448"/>
      <w:r w:rsidRPr="00340346">
        <w:rPr>
          <w:rFonts w:ascii="Arial" w:hAnsi="Arial" w:cs="Arial"/>
          <w:noProof/>
          <w:sz w:val="22"/>
        </w:rPr>
        <w:t>Financing Flow</w:t>
      </w:r>
      <w:r w:rsidR="00261CCE" w:rsidRPr="00340346">
        <w:rPr>
          <w:rFonts w:ascii="Arial" w:hAnsi="Arial" w:cs="Arial"/>
          <w:noProof/>
          <w:sz w:val="22"/>
        </w:rPr>
        <w:t>.</w:t>
      </w:r>
      <w:bookmarkEnd w:id="449"/>
      <w:bookmarkEnd w:id="450"/>
      <w:r w:rsidR="00261CCE" w:rsidRPr="00340346">
        <w:rPr>
          <w:rFonts w:ascii="Arial" w:hAnsi="Arial" w:cs="Arial"/>
          <w:noProof/>
          <w:sz w:val="22"/>
        </w:rPr>
        <w:t xml:space="preserve"> </w:t>
      </w:r>
      <w:bookmarkStart w:id="451" w:name="_Toc504671031"/>
      <w:bookmarkStart w:id="452" w:name="_Toc504744866"/>
      <w:r w:rsidRPr="00340346">
        <w:rPr>
          <w:rFonts w:ascii="Arial" w:hAnsi="Arial" w:cs="Arial"/>
          <w:noProof/>
          <w:sz w:val="22"/>
        </w:rPr>
        <w:t>The following diagram describes the financing flow of the biogas and biomass projects.</w:t>
      </w:r>
      <w:bookmarkEnd w:id="451"/>
      <w:bookmarkEnd w:id="452"/>
    </w:p>
    <w:p w14:paraId="1CB25330" w14:textId="77777777" w:rsidR="004629AE" w:rsidRPr="00340346" w:rsidRDefault="004629AE" w:rsidP="00C80112">
      <w:pPr>
        <w:rPr>
          <w:rFonts w:ascii="Arial" w:hAnsi="Arial" w:cs="Arial"/>
          <w:noProof/>
          <w:sz w:val="22"/>
          <w:szCs w:val="22"/>
          <w:lang w:val="en-US"/>
        </w:rPr>
      </w:pPr>
    </w:p>
    <w:p w14:paraId="002E2851" w14:textId="77777777" w:rsidR="004629AE" w:rsidRPr="00340346" w:rsidRDefault="004629AE" w:rsidP="00C80112">
      <w:pPr>
        <w:jc w:val="center"/>
        <w:rPr>
          <w:rFonts w:ascii="Arial" w:hAnsi="Arial" w:cs="Arial"/>
          <w:noProof/>
          <w:sz w:val="22"/>
          <w:szCs w:val="22"/>
          <w:lang w:val="en-US"/>
        </w:rPr>
      </w:pPr>
    </w:p>
    <w:p w14:paraId="05CD50AB" w14:textId="77777777" w:rsidR="003E1CF4" w:rsidRPr="00340346" w:rsidRDefault="003E1CF4" w:rsidP="00C80112">
      <w:pPr>
        <w:jc w:val="center"/>
        <w:rPr>
          <w:rFonts w:ascii="Arial" w:hAnsi="Arial" w:cs="Arial"/>
          <w:noProof/>
          <w:sz w:val="22"/>
          <w:szCs w:val="22"/>
          <w:lang w:val="en-US"/>
        </w:rPr>
      </w:pPr>
    </w:p>
    <w:p w14:paraId="309C6E2A" w14:textId="77777777" w:rsidR="003E1CF4" w:rsidRPr="00340346" w:rsidRDefault="003E1CF4" w:rsidP="00C80112">
      <w:pPr>
        <w:jc w:val="center"/>
        <w:rPr>
          <w:rFonts w:ascii="Arial" w:hAnsi="Arial" w:cs="Arial"/>
          <w:noProof/>
          <w:sz w:val="22"/>
          <w:szCs w:val="22"/>
          <w:lang w:val="en-US"/>
        </w:rPr>
      </w:pPr>
    </w:p>
    <w:p w14:paraId="7C3B1263" w14:textId="77777777" w:rsidR="005C2C8E" w:rsidRPr="00340346" w:rsidRDefault="005C2C8E" w:rsidP="00C80112">
      <w:pPr>
        <w:jc w:val="center"/>
        <w:rPr>
          <w:rFonts w:ascii="Arial" w:hAnsi="Arial" w:cs="Arial"/>
          <w:b/>
          <w:noProof/>
          <w:sz w:val="22"/>
          <w:szCs w:val="22"/>
          <w:lang w:val="en-US"/>
        </w:rPr>
      </w:pPr>
      <w:bookmarkStart w:id="453" w:name="_Toc477440582"/>
      <w:r w:rsidRPr="00340346">
        <w:rPr>
          <w:rFonts w:ascii="Arial" w:hAnsi="Arial" w:cs="Arial"/>
          <w:b/>
          <w:noProof/>
          <w:sz w:val="22"/>
          <w:szCs w:val="22"/>
          <w:lang w:val="en-US"/>
        </w:rPr>
        <w:t xml:space="preserve">Figure </w:t>
      </w:r>
      <w:r w:rsidR="00192CC2" w:rsidRPr="00340346">
        <w:rPr>
          <w:rFonts w:ascii="Arial" w:hAnsi="Arial" w:cs="Arial"/>
          <w:b/>
          <w:noProof/>
          <w:sz w:val="22"/>
          <w:szCs w:val="22"/>
          <w:lang w:val="en-US"/>
        </w:rPr>
        <w:t>4</w:t>
      </w:r>
      <w:r w:rsidR="007E5C7E" w:rsidRPr="00340346">
        <w:rPr>
          <w:rFonts w:ascii="Arial" w:hAnsi="Arial" w:cs="Arial"/>
          <w:b/>
          <w:noProof/>
          <w:sz w:val="22"/>
          <w:szCs w:val="22"/>
          <w:lang w:val="en-US"/>
        </w:rPr>
        <w:t>.</w:t>
      </w:r>
      <w:r w:rsidR="00192CC2" w:rsidRPr="00340346">
        <w:rPr>
          <w:rFonts w:ascii="Arial" w:hAnsi="Arial" w:cs="Arial"/>
          <w:b/>
          <w:noProof/>
          <w:sz w:val="22"/>
          <w:szCs w:val="22"/>
          <w:lang w:val="en-US"/>
        </w:rPr>
        <w:t>1</w:t>
      </w:r>
      <w:r w:rsidR="007E5C7E" w:rsidRPr="00340346">
        <w:rPr>
          <w:rFonts w:ascii="Arial" w:hAnsi="Arial" w:cs="Arial"/>
          <w:b/>
          <w:noProof/>
          <w:sz w:val="22"/>
          <w:szCs w:val="22"/>
          <w:lang w:val="en-US"/>
        </w:rPr>
        <w:t>.</w:t>
      </w:r>
      <w:r w:rsidRPr="00340346">
        <w:rPr>
          <w:rFonts w:ascii="Arial" w:hAnsi="Arial" w:cs="Arial"/>
          <w:b/>
          <w:noProof/>
          <w:sz w:val="22"/>
          <w:szCs w:val="22"/>
          <w:lang w:val="en-US"/>
        </w:rPr>
        <w:t xml:space="preserve"> Financing Flow of Biogas and Biomass Projects</w:t>
      </w:r>
      <w:bookmarkEnd w:id="453"/>
    </w:p>
    <w:p w14:paraId="013D64C8" w14:textId="77777777" w:rsidR="00204167" w:rsidRPr="00340346" w:rsidRDefault="00B00EB1" w:rsidP="00C80112">
      <w:pPr>
        <w:rPr>
          <w:rFonts w:ascii="Arial" w:hAnsi="Arial" w:cs="Arial"/>
          <w:noProof/>
          <w:sz w:val="22"/>
          <w:szCs w:val="22"/>
          <w:lang w:val="en-US"/>
        </w:rPr>
      </w:pPr>
      <w:r w:rsidRPr="00340346">
        <w:rPr>
          <w:rFonts w:ascii="Arial" w:hAnsi="Arial" w:cs="Arial"/>
          <w:noProof/>
          <w:sz w:val="22"/>
          <w:szCs w:val="22"/>
          <w:lang w:val="en-US" w:eastAsia="en-US"/>
        </w:rPr>
        <w:lastRenderedPageBreak/>
        <w:drawing>
          <wp:inline distT="0" distB="0" distL="0" distR="0" wp14:anchorId="399401E6" wp14:editId="7E199FA1">
            <wp:extent cx="5737860" cy="336387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488" cy="3377141"/>
                    </a:xfrm>
                    <a:prstGeom prst="rect">
                      <a:avLst/>
                    </a:prstGeom>
                  </pic:spPr>
                </pic:pic>
              </a:graphicData>
            </a:graphic>
          </wp:inline>
        </w:drawing>
      </w:r>
    </w:p>
    <w:p w14:paraId="2B4FEB74" w14:textId="77777777" w:rsidR="009C0FA3" w:rsidRPr="00340346" w:rsidRDefault="009C0FA3" w:rsidP="00C80112">
      <w:pPr>
        <w:pStyle w:val="Paragraph"/>
        <w:rPr>
          <w:rFonts w:ascii="Arial" w:hAnsi="Arial" w:cs="Arial"/>
          <w:noProof/>
          <w:sz w:val="22"/>
        </w:rPr>
      </w:pPr>
      <w:bookmarkStart w:id="454" w:name="_Toc504744867"/>
      <w:bookmarkStart w:id="455" w:name="_Toc504671032"/>
      <w:bookmarkStart w:id="456" w:name="_Toc504744868"/>
      <w:bookmarkEnd w:id="454"/>
      <w:r w:rsidRPr="00340346">
        <w:rPr>
          <w:rFonts w:ascii="Arial" w:hAnsi="Arial" w:cs="Arial"/>
          <w:noProof/>
          <w:sz w:val="22"/>
        </w:rPr>
        <w:t>The financing flow describes the following actions:</w:t>
      </w:r>
      <w:bookmarkEnd w:id="455"/>
      <w:bookmarkEnd w:id="456"/>
    </w:p>
    <w:p w14:paraId="34088DB8" w14:textId="77777777" w:rsidR="00F66452" w:rsidRPr="00340346" w:rsidRDefault="00F66452" w:rsidP="00C80112">
      <w:pPr>
        <w:pStyle w:val="subpar"/>
        <w:rPr>
          <w:rFonts w:ascii="Arial" w:hAnsi="Arial" w:cs="Arial"/>
          <w:noProof/>
          <w:sz w:val="22"/>
          <w:szCs w:val="22"/>
          <w:lang w:val="en-US"/>
        </w:rPr>
      </w:pPr>
      <w:bookmarkStart w:id="457" w:name="_Toc504744869"/>
      <w:r w:rsidRPr="00340346">
        <w:rPr>
          <w:rFonts w:ascii="Arial" w:hAnsi="Arial" w:cs="Arial"/>
          <w:noProof/>
          <w:sz w:val="22"/>
          <w:szCs w:val="22"/>
          <w:lang w:val="en-US"/>
        </w:rPr>
        <w:t>The SME and the project developer sign a contract to develop a biogas or biomass project.</w:t>
      </w:r>
      <w:bookmarkEnd w:id="457"/>
      <w:r w:rsidRPr="00340346">
        <w:rPr>
          <w:rFonts w:ascii="Arial" w:hAnsi="Arial" w:cs="Arial"/>
          <w:noProof/>
          <w:sz w:val="22"/>
          <w:szCs w:val="22"/>
          <w:lang w:val="en-US"/>
        </w:rPr>
        <w:t xml:space="preserve"> </w:t>
      </w:r>
    </w:p>
    <w:p w14:paraId="4731A33F" w14:textId="77777777" w:rsidR="00F66452" w:rsidRPr="00340346" w:rsidRDefault="00F66452" w:rsidP="00C80112">
      <w:pPr>
        <w:pStyle w:val="subpar"/>
        <w:rPr>
          <w:rFonts w:ascii="Arial" w:hAnsi="Arial" w:cs="Arial"/>
          <w:noProof/>
          <w:sz w:val="22"/>
          <w:szCs w:val="22"/>
          <w:lang w:val="en-US"/>
        </w:rPr>
      </w:pPr>
      <w:bookmarkStart w:id="458" w:name="_Toc504744870"/>
      <w:r w:rsidRPr="00340346">
        <w:rPr>
          <w:rFonts w:ascii="Arial" w:hAnsi="Arial" w:cs="Arial"/>
          <w:noProof/>
          <w:sz w:val="22"/>
          <w:szCs w:val="22"/>
          <w:lang w:val="en-US"/>
        </w:rPr>
        <w:t xml:space="preserve">Following a favorable </w:t>
      </w:r>
      <w:r w:rsidR="00834BD8" w:rsidRPr="00340346">
        <w:rPr>
          <w:rFonts w:ascii="Arial" w:hAnsi="Arial" w:cs="Arial"/>
          <w:noProof/>
          <w:sz w:val="22"/>
          <w:szCs w:val="22"/>
          <w:lang w:val="en-US"/>
        </w:rPr>
        <w:t>feasibility</w:t>
      </w:r>
      <w:r w:rsidRPr="00340346">
        <w:rPr>
          <w:rFonts w:ascii="Arial" w:hAnsi="Arial" w:cs="Arial"/>
          <w:noProof/>
          <w:sz w:val="22"/>
          <w:szCs w:val="22"/>
          <w:lang w:val="en-US"/>
        </w:rPr>
        <w:t xml:space="preserve"> study, the SME requests support (incentive) to BICE to partially cover the cost of the engineering technical and economic feasibility study of the project. This incentive is provided in form of a short-term loan.</w:t>
      </w:r>
      <w:bookmarkEnd w:id="458"/>
      <w:r w:rsidRPr="00340346">
        <w:rPr>
          <w:rFonts w:ascii="Arial" w:hAnsi="Arial" w:cs="Arial"/>
          <w:noProof/>
          <w:sz w:val="22"/>
          <w:szCs w:val="22"/>
          <w:lang w:val="en-US"/>
        </w:rPr>
        <w:t xml:space="preserve"> </w:t>
      </w:r>
    </w:p>
    <w:p w14:paraId="56509073" w14:textId="77777777" w:rsidR="00F66452" w:rsidRPr="00340346" w:rsidRDefault="00F66452" w:rsidP="00C80112">
      <w:pPr>
        <w:pStyle w:val="subpar"/>
        <w:rPr>
          <w:rFonts w:ascii="Arial" w:hAnsi="Arial" w:cs="Arial"/>
          <w:noProof/>
          <w:sz w:val="22"/>
          <w:szCs w:val="22"/>
          <w:lang w:val="en-US"/>
        </w:rPr>
      </w:pPr>
      <w:bookmarkStart w:id="459" w:name="_Toc504744871"/>
      <w:r w:rsidRPr="00340346">
        <w:rPr>
          <w:rFonts w:ascii="Arial" w:hAnsi="Arial" w:cs="Arial"/>
          <w:noProof/>
          <w:sz w:val="22"/>
          <w:szCs w:val="22"/>
          <w:lang w:val="en-US"/>
        </w:rPr>
        <w:t>The SME signs a commitment to pay the incentive (short term loan) back in case the pr</w:t>
      </w:r>
      <w:r w:rsidR="007E5C7E" w:rsidRPr="00340346">
        <w:rPr>
          <w:rFonts w:ascii="Arial" w:hAnsi="Arial" w:cs="Arial"/>
          <w:noProof/>
          <w:sz w:val="22"/>
          <w:szCs w:val="22"/>
          <w:lang w:val="en-US"/>
        </w:rPr>
        <w:t>oject is executed, and expresse</w:t>
      </w:r>
      <w:r w:rsidRPr="00340346">
        <w:rPr>
          <w:rFonts w:ascii="Arial" w:hAnsi="Arial" w:cs="Arial"/>
          <w:noProof/>
          <w:sz w:val="22"/>
          <w:szCs w:val="22"/>
          <w:lang w:val="en-US"/>
        </w:rPr>
        <w:t>d its interest of a long-term loan for the project.</w:t>
      </w:r>
      <w:bookmarkEnd w:id="459"/>
    </w:p>
    <w:p w14:paraId="6BC264CA" w14:textId="77777777" w:rsidR="00F66452" w:rsidRPr="00340346" w:rsidRDefault="00F66452" w:rsidP="00C80112">
      <w:pPr>
        <w:pStyle w:val="subpar"/>
        <w:rPr>
          <w:rFonts w:ascii="Arial" w:hAnsi="Arial" w:cs="Arial"/>
          <w:noProof/>
          <w:sz w:val="22"/>
          <w:szCs w:val="22"/>
          <w:lang w:val="en-US"/>
        </w:rPr>
      </w:pPr>
      <w:bookmarkStart w:id="460" w:name="_Toc504744872"/>
      <w:r w:rsidRPr="00340346">
        <w:rPr>
          <w:rFonts w:ascii="Arial" w:hAnsi="Arial" w:cs="Arial"/>
          <w:noProof/>
          <w:sz w:val="22"/>
          <w:szCs w:val="22"/>
          <w:lang w:val="en-US"/>
        </w:rPr>
        <w:t>The technical and economic feasibility engineering study is validated performed by an independent agency to evaluate the quality of the project and the develop</w:t>
      </w:r>
      <w:r w:rsidR="007E5C7E" w:rsidRPr="00340346">
        <w:rPr>
          <w:rFonts w:ascii="Arial" w:hAnsi="Arial" w:cs="Arial"/>
          <w:noProof/>
          <w:sz w:val="22"/>
          <w:szCs w:val="22"/>
          <w:lang w:val="en-US"/>
        </w:rPr>
        <w:t xml:space="preserve">ing </w:t>
      </w:r>
      <w:r w:rsidRPr="00340346">
        <w:rPr>
          <w:rFonts w:ascii="Arial" w:hAnsi="Arial" w:cs="Arial"/>
          <w:noProof/>
          <w:sz w:val="22"/>
          <w:szCs w:val="22"/>
          <w:lang w:val="en-US"/>
        </w:rPr>
        <w:t>engineering firm (Option A) or by the project developer (Option B).</w:t>
      </w:r>
      <w:bookmarkEnd w:id="460"/>
    </w:p>
    <w:p w14:paraId="1BA1917F" w14:textId="77777777" w:rsidR="00F66452" w:rsidRPr="00340346" w:rsidRDefault="00F66452" w:rsidP="00C80112">
      <w:pPr>
        <w:pStyle w:val="subpar"/>
        <w:rPr>
          <w:rFonts w:ascii="Arial" w:hAnsi="Arial" w:cs="Arial"/>
          <w:noProof/>
          <w:sz w:val="22"/>
          <w:szCs w:val="22"/>
          <w:lang w:val="en-US"/>
        </w:rPr>
      </w:pPr>
      <w:bookmarkStart w:id="461" w:name="_Toc504744873"/>
      <w:r w:rsidRPr="00340346">
        <w:rPr>
          <w:rFonts w:ascii="Arial" w:hAnsi="Arial" w:cs="Arial"/>
          <w:noProof/>
          <w:sz w:val="22"/>
          <w:szCs w:val="22"/>
          <w:lang w:val="en-US"/>
        </w:rPr>
        <w:t>BICE arranges the incentive to partially cover the cost of the technical and economic feasibility study of the project.</w:t>
      </w:r>
      <w:bookmarkEnd w:id="461"/>
    </w:p>
    <w:p w14:paraId="20576F35" w14:textId="77777777" w:rsidR="00F66452" w:rsidRPr="00340346" w:rsidRDefault="00F66452" w:rsidP="00C80112">
      <w:pPr>
        <w:pStyle w:val="subpar"/>
        <w:rPr>
          <w:rFonts w:ascii="Arial" w:hAnsi="Arial" w:cs="Arial"/>
          <w:noProof/>
          <w:sz w:val="22"/>
          <w:szCs w:val="22"/>
          <w:lang w:val="en-US"/>
        </w:rPr>
      </w:pPr>
      <w:bookmarkStart w:id="462" w:name="_Toc504744874"/>
      <w:r w:rsidRPr="00340346">
        <w:rPr>
          <w:rFonts w:ascii="Arial" w:hAnsi="Arial" w:cs="Arial"/>
          <w:noProof/>
          <w:sz w:val="22"/>
          <w:szCs w:val="22"/>
          <w:lang w:val="en-US"/>
        </w:rPr>
        <w:t>If the project developer (Option B) performs the technical and economic feasibility study, a second engineering firm can be hired to evaluate the consistency of the technical and economic feasibility study to provide the bank and the SME client with the necessary confidence that the project is sound.</w:t>
      </w:r>
      <w:bookmarkEnd w:id="462"/>
      <w:r w:rsidRPr="00340346">
        <w:rPr>
          <w:rFonts w:ascii="Arial" w:hAnsi="Arial" w:cs="Arial"/>
          <w:noProof/>
          <w:sz w:val="22"/>
          <w:szCs w:val="22"/>
          <w:lang w:val="en-US"/>
        </w:rPr>
        <w:t xml:space="preserve"> </w:t>
      </w:r>
    </w:p>
    <w:p w14:paraId="55521553" w14:textId="77777777" w:rsidR="007A59DD" w:rsidRPr="00340346" w:rsidRDefault="007A59DD" w:rsidP="00C80112">
      <w:pPr>
        <w:pStyle w:val="subpar"/>
        <w:rPr>
          <w:rFonts w:ascii="Arial" w:hAnsi="Arial" w:cs="Arial"/>
          <w:noProof/>
          <w:sz w:val="22"/>
          <w:szCs w:val="22"/>
          <w:lang w:val="en-US"/>
        </w:rPr>
      </w:pPr>
      <w:bookmarkStart w:id="463" w:name="_Toc504744875"/>
      <w:r w:rsidRPr="00340346">
        <w:rPr>
          <w:rFonts w:ascii="Arial" w:hAnsi="Arial" w:cs="Arial"/>
          <w:noProof/>
          <w:sz w:val="22"/>
          <w:szCs w:val="22"/>
          <w:lang w:val="en-US"/>
        </w:rPr>
        <w:t>The SME applies for a credit from BICE; BICE may act as a first-tier bank or second-tier bank distributing the financing for the biogas or biomass projects.</w:t>
      </w:r>
      <w:bookmarkEnd w:id="463"/>
      <w:r w:rsidRPr="00340346">
        <w:rPr>
          <w:rFonts w:ascii="Arial" w:hAnsi="Arial" w:cs="Arial"/>
          <w:noProof/>
          <w:sz w:val="22"/>
          <w:szCs w:val="22"/>
          <w:lang w:val="en-US"/>
        </w:rPr>
        <w:t xml:space="preserve"> </w:t>
      </w:r>
    </w:p>
    <w:p w14:paraId="4908FF86" w14:textId="77777777" w:rsidR="00F66452" w:rsidRPr="00340346" w:rsidRDefault="00F66452" w:rsidP="00C80112">
      <w:pPr>
        <w:pStyle w:val="subpar"/>
        <w:rPr>
          <w:rFonts w:ascii="Arial" w:hAnsi="Arial" w:cs="Arial"/>
          <w:noProof/>
          <w:sz w:val="22"/>
          <w:szCs w:val="22"/>
          <w:lang w:val="en-US"/>
        </w:rPr>
      </w:pPr>
      <w:bookmarkStart w:id="464" w:name="_Toc504744876"/>
      <w:r w:rsidRPr="00340346">
        <w:rPr>
          <w:rFonts w:ascii="Arial" w:hAnsi="Arial" w:cs="Arial"/>
          <w:noProof/>
          <w:sz w:val="22"/>
          <w:szCs w:val="22"/>
          <w:lang w:val="en-US"/>
        </w:rPr>
        <w:t>[Optional] A reciprocal guarantee society offers a credit guarantee (where necessary and applicable). The BICE/bank evaluates or rejects the credit application.</w:t>
      </w:r>
      <w:bookmarkEnd w:id="464"/>
    </w:p>
    <w:p w14:paraId="793F8082" w14:textId="77777777" w:rsidR="00F66452" w:rsidRPr="00340346" w:rsidRDefault="00F66452" w:rsidP="00C80112">
      <w:pPr>
        <w:pStyle w:val="subpar"/>
        <w:rPr>
          <w:rFonts w:ascii="Arial" w:hAnsi="Arial" w:cs="Arial"/>
          <w:noProof/>
          <w:sz w:val="22"/>
          <w:szCs w:val="22"/>
          <w:lang w:val="en-US"/>
        </w:rPr>
      </w:pPr>
      <w:bookmarkStart w:id="465" w:name="_Toc504744877"/>
      <w:r w:rsidRPr="00340346">
        <w:rPr>
          <w:rFonts w:ascii="Arial" w:hAnsi="Arial" w:cs="Arial"/>
          <w:noProof/>
          <w:sz w:val="22"/>
          <w:szCs w:val="22"/>
          <w:lang w:val="en-US"/>
        </w:rPr>
        <w:lastRenderedPageBreak/>
        <w:t>The SME signs a commitment to pay back the creditlong-term loan.</w:t>
      </w:r>
      <w:bookmarkEnd w:id="465"/>
    </w:p>
    <w:p w14:paraId="1431EA59" w14:textId="77777777" w:rsidR="00F66452" w:rsidRPr="00340346" w:rsidRDefault="00F66452" w:rsidP="00C80112">
      <w:pPr>
        <w:pStyle w:val="subpar"/>
        <w:rPr>
          <w:rFonts w:ascii="Arial" w:hAnsi="Arial" w:cs="Arial"/>
          <w:noProof/>
          <w:sz w:val="22"/>
          <w:szCs w:val="22"/>
          <w:lang w:val="en-US"/>
        </w:rPr>
      </w:pPr>
      <w:bookmarkStart w:id="466" w:name="_Toc504744878"/>
      <w:r w:rsidRPr="00340346">
        <w:rPr>
          <w:rFonts w:ascii="Arial" w:hAnsi="Arial" w:cs="Arial"/>
          <w:noProof/>
          <w:sz w:val="22"/>
          <w:szCs w:val="22"/>
          <w:lang w:val="en-US"/>
        </w:rPr>
        <w:t>The project will generate an income flow to the SME, either from sale of energy, or self-consumption of energy, or sale of fertilize</w:t>
      </w:r>
      <w:r w:rsidR="006053A8" w:rsidRPr="00340346">
        <w:rPr>
          <w:rFonts w:ascii="Arial" w:hAnsi="Arial" w:cs="Arial"/>
          <w:noProof/>
          <w:sz w:val="22"/>
          <w:szCs w:val="22"/>
          <w:lang w:val="en-US"/>
        </w:rPr>
        <w:t xml:space="preserve">r byproducts (e.g. fertilizer) </w:t>
      </w:r>
      <w:r w:rsidRPr="00340346">
        <w:rPr>
          <w:rFonts w:ascii="Arial" w:hAnsi="Arial" w:cs="Arial"/>
          <w:noProof/>
          <w:sz w:val="22"/>
          <w:szCs w:val="22"/>
          <w:lang w:val="en-US"/>
        </w:rPr>
        <w:t>produced by the plant.</w:t>
      </w:r>
      <w:bookmarkEnd w:id="466"/>
    </w:p>
    <w:bookmarkStart w:id="467" w:name="_Toc504671033"/>
    <w:p w14:paraId="59F81A31" w14:textId="77777777" w:rsidR="004629AE" w:rsidRPr="00340346" w:rsidRDefault="004629AE" w:rsidP="00C80112">
      <w:pPr>
        <w:pStyle w:val="FirstHeading"/>
        <w:rPr>
          <w:rFonts w:ascii="Arial" w:hAnsi="Arial" w:cs="Arial"/>
          <w:noProof/>
          <w:sz w:val="22"/>
          <w:szCs w:val="22"/>
          <w:lang w:val="en-US"/>
        </w:rPr>
      </w:pPr>
      <w:r w:rsidRPr="00340346">
        <w:rPr>
          <w:rFonts w:ascii="Arial" w:hAnsi="Arial" w:cs="Arial"/>
          <w:noProof/>
          <w:sz w:val="22"/>
          <w:szCs w:val="22"/>
          <w:lang w:val="en-US"/>
        </w:rPr>
        <w:fldChar w:fldCharType="begin"/>
      </w:r>
      <w:r w:rsidRPr="00340346">
        <w:rPr>
          <w:rFonts w:ascii="Arial" w:hAnsi="Arial" w:cs="Arial"/>
          <w:noProof/>
          <w:sz w:val="22"/>
          <w:szCs w:val="22"/>
          <w:lang w:val="en-US"/>
        </w:rPr>
        <w:instrText xml:space="preserve"> SEQ "</w:instrText>
      </w:r>
      <w:r w:rsidRPr="00340346">
        <w:rPr>
          <w:rFonts w:ascii="Arial" w:hAnsi="Arial" w:cs="Arial"/>
          <w:noProof/>
          <w:sz w:val="22"/>
          <w:szCs w:val="22"/>
          <w:lang w:val="en-US"/>
        </w:rPr>
        <w:fldChar w:fldCharType="begin"/>
      </w:r>
      <w:r w:rsidRPr="00340346">
        <w:rPr>
          <w:rFonts w:ascii="Arial" w:hAnsi="Arial" w:cs="Arial"/>
          <w:noProof/>
          <w:sz w:val="22"/>
          <w:szCs w:val="22"/>
          <w:lang w:val="en-US"/>
        </w:rPr>
        <w:instrText xml:space="preserve"> SECTION  \* MERGEFORMAT </w:instrText>
      </w:r>
      <w:r w:rsidRPr="00340346">
        <w:rPr>
          <w:rFonts w:ascii="Arial" w:hAnsi="Arial" w:cs="Arial"/>
          <w:noProof/>
          <w:sz w:val="22"/>
          <w:szCs w:val="22"/>
          <w:lang w:val="en-US"/>
        </w:rPr>
        <w:fldChar w:fldCharType="separate"/>
      </w:r>
      <w:r w:rsidR="00D24F6E" w:rsidRPr="00340346">
        <w:rPr>
          <w:rFonts w:ascii="Arial" w:hAnsi="Arial" w:cs="Arial"/>
          <w:noProof/>
          <w:sz w:val="22"/>
          <w:szCs w:val="22"/>
          <w:lang w:val="en-US"/>
        </w:rPr>
        <w:instrText>6</w:instrText>
      </w:r>
      <w:r w:rsidRPr="00340346">
        <w:rPr>
          <w:rFonts w:ascii="Arial" w:hAnsi="Arial" w:cs="Arial"/>
          <w:noProof/>
          <w:sz w:val="22"/>
          <w:szCs w:val="22"/>
          <w:lang w:val="en-US"/>
        </w:rPr>
        <w:fldChar w:fldCharType="end"/>
      </w:r>
      <w:r w:rsidRPr="00340346">
        <w:rPr>
          <w:rFonts w:ascii="Arial" w:hAnsi="Arial" w:cs="Arial"/>
          <w:noProof/>
          <w:sz w:val="22"/>
          <w:szCs w:val="22"/>
          <w:lang w:val="en-US"/>
        </w:rPr>
        <w:instrText xml:space="preserve">#"\* ALPHABETIC \* MERGEFORMAT </w:instrText>
      </w:r>
      <w:r w:rsidRPr="00340346">
        <w:rPr>
          <w:rFonts w:ascii="Arial" w:hAnsi="Arial" w:cs="Arial"/>
          <w:noProof/>
          <w:sz w:val="22"/>
          <w:szCs w:val="22"/>
          <w:lang w:val="en-US"/>
        </w:rPr>
        <w:fldChar w:fldCharType="separate"/>
      </w:r>
      <w:r w:rsidR="00D24F6E" w:rsidRPr="00340346">
        <w:rPr>
          <w:rFonts w:ascii="Arial" w:hAnsi="Arial" w:cs="Arial"/>
          <w:noProof/>
          <w:sz w:val="22"/>
          <w:szCs w:val="22"/>
          <w:lang w:val="en-US"/>
        </w:rPr>
        <w:t>B</w:t>
      </w:r>
      <w:r w:rsidRPr="00340346">
        <w:rPr>
          <w:rFonts w:ascii="Arial" w:hAnsi="Arial" w:cs="Arial"/>
          <w:noProof/>
          <w:sz w:val="22"/>
          <w:szCs w:val="22"/>
          <w:lang w:val="en-US"/>
        </w:rPr>
        <w:fldChar w:fldCharType="end"/>
      </w:r>
      <w:r w:rsidRPr="00340346">
        <w:rPr>
          <w:rFonts w:ascii="Arial" w:hAnsi="Arial" w:cs="Arial"/>
          <w:noProof/>
          <w:sz w:val="22"/>
          <w:szCs w:val="22"/>
          <w:lang w:val="en-US"/>
        </w:rPr>
        <w:t>.</w:t>
      </w:r>
      <w:r w:rsidRPr="00340346">
        <w:rPr>
          <w:rFonts w:ascii="Arial" w:hAnsi="Arial" w:cs="Arial"/>
          <w:noProof/>
          <w:sz w:val="22"/>
          <w:szCs w:val="22"/>
          <w:lang w:val="en-US"/>
        </w:rPr>
        <w:tab/>
      </w:r>
      <w:r w:rsidR="006053A8" w:rsidRPr="00340346">
        <w:rPr>
          <w:rFonts w:ascii="Arial" w:hAnsi="Arial" w:cs="Arial"/>
          <w:noProof/>
          <w:sz w:val="22"/>
          <w:szCs w:val="22"/>
          <w:lang w:val="en-US"/>
        </w:rPr>
        <w:t>Energy Efficiency</w:t>
      </w:r>
    </w:p>
    <w:p w14:paraId="1E11BD0B" w14:textId="77777777" w:rsidR="006053A8" w:rsidRPr="00340346" w:rsidRDefault="006053A8" w:rsidP="00C80112">
      <w:pPr>
        <w:pStyle w:val="Paragraph"/>
        <w:rPr>
          <w:rFonts w:ascii="Arial" w:hAnsi="Arial" w:cs="Arial"/>
          <w:noProof/>
          <w:sz w:val="22"/>
        </w:rPr>
      </w:pPr>
      <w:bookmarkStart w:id="468" w:name="_Toc504744879"/>
      <w:r w:rsidRPr="00340346">
        <w:rPr>
          <w:rFonts w:ascii="Arial" w:hAnsi="Arial" w:cs="Arial"/>
          <w:noProof/>
          <w:sz w:val="22"/>
        </w:rPr>
        <w:t>The strategies consider various mechanisms whose objective is to stimulate investment in energy efficiency projects and to mitigate the barriers faced by these projects. The strategy includes the following mechanisms.</w:t>
      </w:r>
      <w:bookmarkEnd w:id="467"/>
      <w:bookmarkEnd w:id="468"/>
    </w:p>
    <w:p w14:paraId="298E1069" w14:textId="77777777" w:rsidR="006053A8" w:rsidRPr="00340346" w:rsidRDefault="006053A8" w:rsidP="00C80112">
      <w:pPr>
        <w:pStyle w:val="Paragraph"/>
        <w:rPr>
          <w:rFonts w:ascii="Arial" w:hAnsi="Arial" w:cs="Arial"/>
          <w:noProof/>
          <w:sz w:val="22"/>
        </w:rPr>
      </w:pPr>
      <w:bookmarkStart w:id="469" w:name="_Toc504671034"/>
      <w:bookmarkStart w:id="470" w:name="_Toc504744880"/>
      <w:r w:rsidRPr="00340346">
        <w:rPr>
          <w:rFonts w:ascii="Arial" w:hAnsi="Arial" w:cs="Arial"/>
          <w:noProof/>
          <w:sz w:val="22"/>
        </w:rPr>
        <w:t>Financing with appropriate conditions. It is important to make financing available with competitive interest rates and with terms of 5 years in order to make this type of project viable. The objective is to be able to cover the lack of long-term financing and in favorable conditions. The financing seeks to emulate a “project finance” funding scheme where the savings generated by the project are sufficient to cover the credit commitments.</w:t>
      </w:r>
      <w:bookmarkEnd w:id="469"/>
      <w:bookmarkEnd w:id="470"/>
    </w:p>
    <w:p w14:paraId="4A185593" w14:textId="77777777" w:rsidR="006053A8" w:rsidRPr="00340346" w:rsidRDefault="006053A8" w:rsidP="00C80112">
      <w:pPr>
        <w:pStyle w:val="Paragraph"/>
        <w:rPr>
          <w:rFonts w:ascii="Arial" w:hAnsi="Arial" w:cs="Arial"/>
          <w:noProof/>
          <w:sz w:val="22"/>
        </w:rPr>
      </w:pPr>
      <w:bookmarkStart w:id="471" w:name="_Toc504671035"/>
      <w:bookmarkStart w:id="472" w:name="_Toc504744881"/>
      <w:r w:rsidRPr="00340346">
        <w:rPr>
          <w:rFonts w:ascii="Arial" w:hAnsi="Arial" w:cs="Arial"/>
          <w:noProof/>
          <w:sz w:val="22"/>
        </w:rPr>
        <w:t>Credit guarantee. An important barrier is the difficulty facing SMEs in accessing credit. The mechanism seeks to incorporate some existing reciprocal guarantee societies to help companies in accessing financial resources. The objective is to create partnerships and standardize the evaluation of these projects and of the companies to facilitate the implementation of this instrument.</w:t>
      </w:r>
      <w:bookmarkEnd w:id="471"/>
      <w:bookmarkEnd w:id="472"/>
    </w:p>
    <w:p w14:paraId="2297C28B" w14:textId="77777777" w:rsidR="006053A8" w:rsidRPr="00340346" w:rsidRDefault="006053A8" w:rsidP="00C80112">
      <w:pPr>
        <w:pStyle w:val="Paragraph"/>
        <w:rPr>
          <w:rFonts w:ascii="Arial" w:hAnsi="Arial" w:cs="Arial"/>
          <w:noProof/>
          <w:sz w:val="22"/>
        </w:rPr>
      </w:pPr>
      <w:bookmarkStart w:id="473" w:name="_Toc504671036"/>
      <w:bookmarkStart w:id="474" w:name="_Toc504744882"/>
      <w:r w:rsidRPr="00340346">
        <w:rPr>
          <w:rFonts w:ascii="Arial" w:hAnsi="Arial" w:cs="Arial"/>
          <w:noProof/>
          <w:sz w:val="22"/>
        </w:rPr>
        <w:t>Standard contract. Standardize a contract between the client and the supplier to help both parties negotiate and transparently clarify the responsibilities of the developer. The contract establishes guarantees on the performance of the project and the generation of savings. The objective is to reduce the client’s perception of risk on this type of projects and help the supplier in building trust.</w:t>
      </w:r>
      <w:bookmarkEnd w:id="473"/>
      <w:bookmarkEnd w:id="474"/>
    </w:p>
    <w:p w14:paraId="330F15AE" w14:textId="77777777" w:rsidR="006053A8" w:rsidRPr="00340346" w:rsidRDefault="006053A8" w:rsidP="00C80112">
      <w:pPr>
        <w:pStyle w:val="Paragraph"/>
        <w:rPr>
          <w:rFonts w:ascii="Arial" w:hAnsi="Arial" w:cs="Arial"/>
          <w:noProof/>
          <w:sz w:val="22"/>
        </w:rPr>
      </w:pPr>
      <w:bookmarkStart w:id="475" w:name="_Toc504671037"/>
      <w:bookmarkStart w:id="476" w:name="_Toc504744883"/>
      <w:r w:rsidRPr="00340346">
        <w:rPr>
          <w:rFonts w:ascii="Arial" w:hAnsi="Arial" w:cs="Arial"/>
          <w:noProof/>
          <w:sz w:val="22"/>
        </w:rPr>
        <w:t>Energy savings insurance. The role of the risk mitigation instrument is to guarantee the commitment established in the contract by the supplier. In case savings are not achieved, and the supplier does not want or cannot compensate the damage to the client due to lack of performance of the project, then the insurance would pay the client the difference corresponding to the savings not achieved.</w:t>
      </w:r>
      <w:bookmarkEnd w:id="475"/>
      <w:bookmarkEnd w:id="476"/>
    </w:p>
    <w:p w14:paraId="64BF7D1D" w14:textId="77777777" w:rsidR="006053A8" w:rsidRPr="00340346" w:rsidRDefault="006053A8" w:rsidP="00C80112">
      <w:pPr>
        <w:pStyle w:val="Paragraph"/>
        <w:rPr>
          <w:rFonts w:ascii="Arial" w:hAnsi="Arial" w:cs="Arial"/>
          <w:noProof/>
          <w:sz w:val="22"/>
        </w:rPr>
      </w:pPr>
      <w:bookmarkStart w:id="477" w:name="_Toc504671038"/>
      <w:bookmarkStart w:id="478" w:name="_Toc504744884"/>
      <w:r w:rsidRPr="00340346">
        <w:rPr>
          <w:rFonts w:ascii="Arial" w:hAnsi="Arial" w:cs="Arial"/>
          <w:noProof/>
          <w:sz w:val="22"/>
        </w:rPr>
        <w:t>Validation of the project and the supplier. The validation would have three interventions; the first one would be during the project evaluation stage where the validator has to evaluate whether the project has the capacity to generate the promised savings and whether the supplier has the capacity to commit itself to execute the project. The second intervention would be to verify that the installed equipment corresponds to the promised equipment; the third intervention would be when and if there is disagreement between the client and the supplier with regard to the performance of the project. The mechanism will require the development of validation protocols of suppliers and projects. The objective of the mechanism is to build trust and support the technical evaluation of the insurer.</w:t>
      </w:r>
      <w:bookmarkEnd w:id="477"/>
      <w:bookmarkEnd w:id="478"/>
    </w:p>
    <w:p w14:paraId="212FB7A0" w14:textId="77777777" w:rsidR="006053A8" w:rsidRPr="00340346" w:rsidRDefault="006053A8" w:rsidP="00C80112">
      <w:pPr>
        <w:pStyle w:val="Paragraph"/>
        <w:rPr>
          <w:rFonts w:ascii="Arial" w:hAnsi="Arial" w:cs="Arial"/>
          <w:noProof/>
          <w:sz w:val="22"/>
        </w:rPr>
      </w:pPr>
      <w:bookmarkStart w:id="479" w:name="_Toc504671039"/>
      <w:bookmarkStart w:id="480" w:name="_Toc504744885"/>
      <w:r w:rsidRPr="00340346">
        <w:rPr>
          <w:rFonts w:ascii="Arial" w:hAnsi="Arial" w:cs="Arial"/>
          <w:noProof/>
          <w:sz w:val="22"/>
        </w:rPr>
        <w:t>Capacity strengthening. Training programs for suppliers on how to incorporate EE as part of their business, as well as help them with the use of the program mechanisms to increase their EE equipment sales. The objective is to involve the greatest number of suppliers of EE equipment (air conditioning, boilers, motors, etc.) so that they become the major promoters of the program.</w:t>
      </w:r>
      <w:bookmarkEnd w:id="479"/>
      <w:bookmarkEnd w:id="480"/>
    </w:p>
    <w:p w14:paraId="3EA432CB" w14:textId="77777777" w:rsidR="00890AC7" w:rsidRPr="00340346" w:rsidRDefault="00890AC7" w:rsidP="00C80112">
      <w:pPr>
        <w:pStyle w:val="Paragraph"/>
        <w:rPr>
          <w:rFonts w:ascii="Arial" w:hAnsi="Arial" w:cs="Arial"/>
          <w:noProof/>
          <w:sz w:val="22"/>
        </w:rPr>
      </w:pPr>
      <w:bookmarkStart w:id="481" w:name="_Toc504669859"/>
      <w:bookmarkStart w:id="482" w:name="_Toc504670131"/>
      <w:bookmarkStart w:id="483" w:name="_Toc504670403"/>
      <w:bookmarkStart w:id="484" w:name="_Toc504670772"/>
      <w:bookmarkStart w:id="485" w:name="_Toc504671040"/>
      <w:bookmarkStart w:id="486" w:name="_Toc504744886"/>
      <w:bookmarkStart w:id="487" w:name="_Toc504669860"/>
      <w:bookmarkStart w:id="488" w:name="_Toc504670132"/>
      <w:bookmarkStart w:id="489" w:name="_Toc504670404"/>
      <w:bookmarkStart w:id="490" w:name="_Toc504670773"/>
      <w:bookmarkStart w:id="491" w:name="_Toc504671041"/>
      <w:bookmarkStart w:id="492" w:name="_Toc504744887"/>
      <w:bookmarkStart w:id="493" w:name="_Toc504669862"/>
      <w:bookmarkStart w:id="494" w:name="_Toc504670134"/>
      <w:bookmarkStart w:id="495" w:name="_Toc504670406"/>
      <w:bookmarkStart w:id="496" w:name="_Toc504670775"/>
      <w:bookmarkStart w:id="497" w:name="_Toc504671043"/>
      <w:bookmarkStart w:id="498" w:name="_Toc504744889"/>
      <w:bookmarkStart w:id="499" w:name="_Toc504669863"/>
      <w:bookmarkStart w:id="500" w:name="_Toc504670135"/>
      <w:bookmarkStart w:id="501" w:name="_Toc504670407"/>
      <w:bookmarkStart w:id="502" w:name="_Toc504670776"/>
      <w:bookmarkStart w:id="503" w:name="_Toc504671044"/>
      <w:bookmarkStart w:id="504" w:name="_Toc504744890"/>
      <w:bookmarkStart w:id="505" w:name="_Toc504669865"/>
      <w:bookmarkStart w:id="506" w:name="_Toc504670137"/>
      <w:bookmarkStart w:id="507" w:name="_Toc504670409"/>
      <w:bookmarkStart w:id="508" w:name="_Toc504670778"/>
      <w:bookmarkStart w:id="509" w:name="_Toc504671046"/>
      <w:bookmarkStart w:id="510" w:name="_Toc504744892"/>
      <w:bookmarkStart w:id="511" w:name="_Toc504669866"/>
      <w:bookmarkStart w:id="512" w:name="_Toc504670138"/>
      <w:bookmarkStart w:id="513" w:name="_Toc504670410"/>
      <w:bookmarkStart w:id="514" w:name="_Toc504670779"/>
      <w:bookmarkStart w:id="515" w:name="_Toc504671047"/>
      <w:bookmarkStart w:id="516" w:name="_Toc504744893"/>
      <w:bookmarkStart w:id="517" w:name="_Toc504669868"/>
      <w:bookmarkStart w:id="518" w:name="_Toc504670140"/>
      <w:bookmarkStart w:id="519" w:name="_Toc504670412"/>
      <w:bookmarkStart w:id="520" w:name="_Toc504670781"/>
      <w:bookmarkStart w:id="521" w:name="_Toc504671049"/>
      <w:bookmarkStart w:id="522" w:name="_Toc504744895"/>
      <w:bookmarkStart w:id="523" w:name="_Toc504669869"/>
      <w:bookmarkStart w:id="524" w:name="_Toc504670141"/>
      <w:bookmarkStart w:id="525" w:name="_Toc504670413"/>
      <w:bookmarkStart w:id="526" w:name="_Toc504670782"/>
      <w:bookmarkStart w:id="527" w:name="_Toc504671050"/>
      <w:bookmarkStart w:id="528" w:name="_Toc504744896"/>
      <w:bookmarkStart w:id="529" w:name="_Toc504669870"/>
      <w:bookmarkStart w:id="530" w:name="_Toc504670142"/>
      <w:bookmarkStart w:id="531" w:name="_Toc504670414"/>
      <w:bookmarkStart w:id="532" w:name="_Toc504670783"/>
      <w:bookmarkStart w:id="533" w:name="_Toc504671051"/>
      <w:bookmarkStart w:id="534" w:name="_Toc504744897"/>
      <w:bookmarkStart w:id="535" w:name="_Toc504669871"/>
      <w:bookmarkStart w:id="536" w:name="_Toc504670143"/>
      <w:bookmarkStart w:id="537" w:name="_Toc504670415"/>
      <w:bookmarkStart w:id="538" w:name="_Toc504670784"/>
      <w:bookmarkStart w:id="539" w:name="_Toc504671052"/>
      <w:bookmarkStart w:id="540" w:name="_Toc504744898"/>
      <w:bookmarkStart w:id="541" w:name="_Toc504669872"/>
      <w:bookmarkStart w:id="542" w:name="_Toc504670144"/>
      <w:bookmarkStart w:id="543" w:name="_Toc504670416"/>
      <w:bookmarkStart w:id="544" w:name="_Toc504670785"/>
      <w:bookmarkStart w:id="545" w:name="_Toc504671053"/>
      <w:bookmarkStart w:id="546" w:name="_Toc504744899"/>
      <w:bookmarkStart w:id="547" w:name="_Toc504669875"/>
      <w:bookmarkStart w:id="548" w:name="_Toc504670147"/>
      <w:bookmarkStart w:id="549" w:name="_Toc504670419"/>
      <w:bookmarkStart w:id="550" w:name="_Toc504670788"/>
      <w:bookmarkStart w:id="551" w:name="_Toc504671056"/>
      <w:bookmarkStart w:id="552" w:name="_Toc504744902"/>
      <w:bookmarkStart w:id="553" w:name="_Toc504671057"/>
      <w:bookmarkStart w:id="554" w:name="_Toc504744903"/>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Pr="00340346">
        <w:rPr>
          <w:rFonts w:ascii="Arial" w:hAnsi="Arial" w:cs="Arial"/>
          <w:noProof/>
          <w:sz w:val="22"/>
        </w:rPr>
        <w:lastRenderedPageBreak/>
        <w:t>Promotion strategy. The program considers the development of a portfolio of initial projects that help to generate the first projects. The mechanism includes identifying and engaging suppliers, as well as help them to generate the first projects under the program. The objective is to develop trust in the market by showing that there is a portfolio of initial projects.</w:t>
      </w:r>
      <w:bookmarkEnd w:id="553"/>
      <w:bookmarkEnd w:id="554"/>
    </w:p>
    <w:p w14:paraId="3C3D5C08" w14:textId="77777777" w:rsidR="00C72667" w:rsidRPr="00340346" w:rsidRDefault="00C72667" w:rsidP="00C80112">
      <w:pPr>
        <w:pStyle w:val="Paragraph"/>
        <w:rPr>
          <w:rFonts w:ascii="Arial" w:hAnsi="Arial" w:cs="Arial"/>
          <w:noProof/>
          <w:sz w:val="22"/>
        </w:rPr>
      </w:pPr>
      <w:bookmarkStart w:id="555" w:name="_Toc504669877"/>
      <w:bookmarkStart w:id="556" w:name="_Toc504670149"/>
      <w:bookmarkStart w:id="557" w:name="_Toc504670421"/>
      <w:bookmarkStart w:id="558" w:name="_Toc504670790"/>
      <w:bookmarkStart w:id="559" w:name="_Toc504671058"/>
      <w:bookmarkStart w:id="560" w:name="_Toc504744904"/>
      <w:bookmarkStart w:id="561" w:name="_Toc504669878"/>
      <w:bookmarkStart w:id="562" w:name="_Toc504670150"/>
      <w:bookmarkStart w:id="563" w:name="_Toc504670422"/>
      <w:bookmarkStart w:id="564" w:name="_Toc504670791"/>
      <w:bookmarkStart w:id="565" w:name="_Toc504671059"/>
      <w:bookmarkStart w:id="566" w:name="_Toc504744905"/>
      <w:bookmarkStart w:id="567" w:name="_Toc504671060"/>
      <w:bookmarkStart w:id="568" w:name="_Toc504744906"/>
      <w:bookmarkEnd w:id="555"/>
      <w:bookmarkEnd w:id="556"/>
      <w:bookmarkEnd w:id="557"/>
      <w:bookmarkEnd w:id="558"/>
      <w:bookmarkEnd w:id="559"/>
      <w:bookmarkEnd w:id="560"/>
      <w:bookmarkEnd w:id="561"/>
      <w:bookmarkEnd w:id="562"/>
      <w:bookmarkEnd w:id="563"/>
      <w:bookmarkEnd w:id="564"/>
      <w:bookmarkEnd w:id="565"/>
      <w:bookmarkEnd w:id="566"/>
      <w:r w:rsidRPr="00340346">
        <w:rPr>
          <w:rFonts w:ascii="Arial" w:hAnsi="Arial" w:cs="Arial"/>
          <w:noProof/>
          <w:sz w:val="22"/>
        </w:rPr>
        <w:t>Financing Flow.</w:t>
      </w:r>
      <w:bookmarkEnd w:id="567"/>
      <w:bookmarkEnd w:id="568"/>
      <w:r w:rsidR="006053A8" w:rsidRPr="00340346">
        <w:rPr>
          <w:rFonts w:ascii="Arial" w:hAnsi="Arial" w:cs="Arial"/>
          <w:noProof/>
          <w:sz w:val="22"/>
        </w:rPr>
        <w:t xml:space="preserve"> </w:t>
      </w:r>
      <w:bookmarkStart w:id="569" w:name="_Toc504671061"/>
      <w:bookmarkStart w:id="570" w:name="_Toc504744907"/>
      <w:r w:rsidRPr="00340346">
        <w:rPr>
          <w:rFonts w:ascii="Arial" w:hAnsi="Arial" w:cs="Arial"/>
          <w:noProof/>
          <w:sz w:val="22"/>
        </w:rPr>
        <w:t xml:space="preserve">The following diagram describes the financing flow of </w:t>
      </w:r>
      <w:r w:rsidR="00B00EB1" w:rsidRPr="00340346">
        <w:rPr>
          <w:rFonts w:ascii="Arial" w:hAnsi="Arial" w:cs="Arial"/>
          <w:noProof/>
          <w:sz w:val="22"/>
        </w:rPr>
        <w:t>the energy efficiency projects.</w:t>
      </w:r>
      <w:bookmarkEnd w:id="569"/>
      <w:bookmarkEnd w:id="570"/>
    </w:p>
    <w:p w14:paraId="190060EC" w14:textId="77777777" w:rsidR="00C72667" w:rsidRPr="00340346" w:rsidRDefault="00C72667" w:rsidP="00C80112">
      <w:pPr>
        <w:jc w:val="center"/>
        <w:rPr>
          <w:rFonts w:ascii="Arial" w:hAnsi="Arial" w:cs="Arial"/>
          <w:b/>
          <w:noProof/>
          <w:sz w:val="22"/>
          <w:szCs w:val="22"/>
          <w:lang w:val="en-US"/>
        </w:rPr>
      </w:pPr>
      <w:bookmarkStart w:id="571" w:name="_Toc477440583"/>
      <w:r w:rsidRPr="00340346">
        <w:rPr>
          <w:rFonts w:ascii="Arial" w:hAnsi="Arial" w:cs="Arial"/>
          <w:b/>
          <w:noProof/>
          <w:sz w:val="22"/>
          <w:szCs w:val="22"/>
          <w:lang w:val="en-US"/>
        </w:rPr>
        <w:t xml:space="preserve">Figure </w:t>
      </w:r>
      <w:r w:rsidR="00192CC2" w:rsidRPr="00340346">
        <w:rPr>
          <w:rFonts w:ascii="Arial" w:hAnsi="Arial" w:cs="Arial"/>
          <w:b/>
          <w:noProof/>
          <w:sz w:val="22"/>
          <w:szCs w:val="22"/>
          <w:lang w:val="en-US"/>
        </w:rPr>
        <w:t>4</w:t>
      </w:r>
      <w:r w:rsidR="00770642" w:rsidRPr="00340346">
        <w:rPr>
          <w:rFonts w:ascii="Arial" w:hAnsi="Arial" w:cs="Arial"/>
          <w:b/>
          <w:noProof/>
          <w:sz w:val="22"/>
          <w:szCs w:val="22"/>
          <w:lang w:val="en-US"/>
        </w:rPr>
        <w:t>.</w:t>
      </w:r>
      <w:r w:rsidR="00192CC2" w:rsidRPr="00340346">
        <w:rPr>
          <w:rFonts w:ascii="Arial" w:hAnsi="Arial" w:cs="Arial"/>
          <w:b/>
          <w:noProof/>
          <w:sz w:val="22"/>
          <w:szCs w:val="22"/>
          <w:lang w:val="en-US"/>
        </w:rPr>
        <w:t>2</w:t>
      </w:r>
      <w:r w:rsidR="00770642" w:rsidRPr="00340346">
        <w:rPr>
          <w:rFonts w:ascii="Arial" w:hAnsi="Arial" w:cs="Arial"/>
          <w:b/>
          <w:noProof/>
          <w:sz w:val="22"/>
          <w:szCs w:val="22"/>
          <w:lang w:val="en-US"/>
        </w:rPr>
        <w:t>.</w:t>
      </w:r>
      <w:r w:rsidRPr="00340346">
        <w:rPr>
          <w:rFonts w:ascii="Arial" w:hAnsi="Arial" w:cs="Arial"/>
          <w:b/>
          <w:noProof/>
          <w:sz w:val="22"/>
          <w:szCs w:val="22"/>
          <w:lang w:val="en-US"/>
        </w:rPr>
        <w:t xml:space="preserve"> Financing Flow of Energy Efficiency</w:t>
      </w:r>
      <w:bookmarkEnd w:id="571"/>
    </w:p>
    <w:p w14:paraId="3E92F22F" w14:textId="77777777" w:rsidR="005A67AA" w:rsidRPr="00340346" w:rsidRDefault="00B00EB1" w:rsidP="00C80112">
      <w:pPr>
        <w:rPr>
          <w:rFonts w:ascii="Arial" w:hAnsi="Arial" w:cs="Arial"/>
          <w:noProof/>
          <w:sz w:val="22"/>
          <w:szCs w:val="22"/>
          <w:lang w:val="en-US"/>
        </w:rPr>
      </w:pPr>
      <w:r w:rsidRPr="00340346">
        <w:rPr>
          <w:rFonts w:ascii="Arial" w:hAnsi="Arial" w:cs="Arial"/>
          <w:noProof/>
          <w:sz w:val="22"/>
          <w:szCs w:val="22"/>
          <w:lang w:val="en-US" w:eastAsia="en-US"/>
        </w:rPr>
        <w:drawing>
          <wp:inline distT="0" distB="0" distL="0" distR="0" wp14:anchorId="380DE3D7" wp14:editId="07EA8ECB">
            <wp:extent cx="5307216" cy="3532909"/>
            <wp:effectExtent l="0" t="0" r="825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18811" cy="3540628"/>
                    </a:xfrm>
                    <a:prstGeom prst="rect">
                      <a:avLst/>
                    </a:prstGeom>
                  </pic:spPr>
                </pic:pic>
              </a:graphicData>
            </a:graphic>
          </wp:inline>
        </w:drawing>
      </w:r>
    </w:p>
    <w:p w14:paraId="2661D49C" w14:textId="77777777" w:rsidR="00C320D9" w:rsidRPr="00340346" w:rsidRDefault="00C320D9" w:rsidP="00C80112">
      <w:pPr>
        <w:rPr>
          <w:rFonts w:ascii="Arial" w:hAnsi="Arial" w:cs="Arial"/>
          <w:noProof/>
          <w:sz w:val="22"/>
          <w:szCs w:val="22"/>
          <w:lang w:val="en-US"/>
        </w:rPr>
      </w:pPr>
    </w:p>
    <w:p w14:paraId="12262EDB" w14:textId="77777777" w:rsidR="005A67AA" w:rsidRPr="00340346" w:rsidRDefault="005A67AA" w:rsidP="00C80112">
      <w:pPr>
        <w:pStyle w:val="Paragraph"/>
        <w:rPr>
          <w:rFonts w:ascii="Arial" w:hAnsi="Arial" w:cs="Arial"/>
          <w:noProof/>
          <w:sz w:val="22"/>
        </w:rPr>
      </w:pPr>
      <w:bookmarkStart w:id="572" w:name="_Toc504669881"/>
      <w:bookmarkStart w:id="573" w:name="_Toc504670153"/>
      <w:bookmarkStart w:id="574" w:name="_Toc504670425"/>
      <w:bookmarkStart w:id="575" w:name="_Toc504670794"/>
      <w:bookmarkStart w:id="576" w:name="_Toc504671062"/>
      <w:bookmarkStart w:id="577" w:name="_Toc504744908"/>
      <w:bookmarkStart w:id="578" w:name="_Toc504671063"/>
      <w:bookmarkStart w:id="579" w:name="_Toc504744909"/>
      <w:bookmarkEnd w:id="572"/>
      <w:bookmarkEnd w:id="573"/>
      <w:bookmarkEnd w:id="574"/>
      <w:bookmarkEnd w:id="575"/>
      <w:bookmarkEnd w:id="576"/>
      <w:bookmarkEnd w:id="577"/>
      <w:r w:rsidRPr="00340346">
        <w:rPr>
          <w:rFonts w:ascii="Arial" w:hAnsi="Arial" w:cs="Arial"/>
          <w:noProof/>
          <w:sz w:val="22"/>
        </w:rPr>
        <w:t>BICE acts as second-tier bank for the purpose of influencing the Fis to start financing EE projects. BICE offers long-term financing and concessional conditions making its line appealing.</w:t>
      </w:r>
      <w:bookmarkEnd w:id="578"/>
      <w:bookmarkEnd w:id="579"/>
    </w:p>
    <w:p w14:paraId="5DE0344A" w14:textId="77777777" w:rsidR="00FC7DFE" w:rsidRPr="00340346" w:rsidRDefault="00DD2FEF" w:rsidP="00C80112">
      <w:pPr>
        <w:pStyle w:val="Paragraph"/>
        <w:rPr>
          <w:rFonts w:ascii="Arial" w:hAnsi="Arial" w:cs="Arial"/>
          <w:noProof/>
          <w:sz w:val="22"/>
        </w:rPr>
      </w:pPr>
      <w:bookmarkStart w:id="580" w:name="_Toc504671064"/>
      <w:bookmarkStart w:id="581" w:name="_Toc504744910"/>
      <w:r w:rsidRPr="00340346">
        <w:rPr>
          <w:rFonts w:ascii="Arial" w:hAnsi="Arial" w:cs="Arial"/>
          <w:noProof/>
          <w:sz w:val="22"/>
        </w:rPr>
        <w:t>The SME applies for credit to the bank. The FI offers financing to the SME. The reciprocal credit guarantee facilitates the requirements and the credit evaluation by the FI to the SME.</w:t>
      </w:r>
      <w:bookmarkEnd w:id="580"/>
      <w:bookmarkEnd w:id="581"/>
    </w:p>
    <w:p w14:paraId="7D42E594" w14:textId="77777777" w:rsidR="00DD2FEF" w:rsidRPr="00340346" w:rsidRDefault="00DD2FEF" w:rsidP="00C80112">
      <w:pPr>
        <w:pStyle w:val="Paragraph"/>
        <w:rPr>
          <w:rFonts w:ascii="Arial" w:hAnsi="Arial" w:cs="Arial"/>
          <w:noProof/>
          <w:sz w:val="22"/>
        </w:rPr>
      </w:pPr>
      <w:bookmarkStart w:id="582" w:name="_Toc504671065"/>
      <w:bookmarkStart w:id="583" w:name="_Toc504744911"/>
      <w:r w:rsidRPr="00340346">
        <w:rPr>
          <w:rFonts w:ascii="Arial" w:hAnsi="Arial" w:cs="Arial"/>
          <w:noProof/>
          <w:sz w:val="22"/>
        </w:rPr>
        <w:t>The SME signs a contract with a supplier to develop an EE project. The objective of the project is to generate savings that generate a cash flow to the SME to meet its credit commitments.</w:t>
      </w:r>
      <w:bookmarkEnd w:id="582"/>
      <w:bookmarkEnd w:id="583"/>
      <w:r w:rsidRPr="00340346">
        <w:rPr>
          <w:rFonts w:ascii="Arial" w:hAnsi="Arial" w:cs="Arial"/>
          <w:noProof/>
          <w:sz w:val="22"/>
        </w:rPr>
        <w:t xml:space="preserve"> </w:t>
      </w:r>
    </w:p>
    <w:p w14:paraId="0A6E51C9" w14:textId="77777777" w:rsidR="00DD2FEF" w:rsidRPr="00340346" w:rsidRDefault="00DD2FEF" w:rsidP="00C80112">
      <w:pPr>
        <w:pStyle w:val="Paragraph"/>
        <w:rPr>
          <w:rFonts w:ascii="Arial" w:hAnsi="Arial" w:cs="Arial"/>
          <w:noProof/>
          <w:sz w:val="22"/>
        </w:rPr>
      </w:pPr>
      <w:bookmarkStart w:id="584" w:name="_Toc504671066"/>
      <w:bookmarkStart w:id="585" w:name="_Toc504744912"/>
      <w:r w:rsidRPr="00340346">
        <w:rPr>
          <w:rFonts w:ascii="Arial" w:hAnsi="Arial" w:cs="Arial"/>
          <w:noProof/>
          <w:sz w:val="22"/>
        </w:rPr>
        <w:t>The supplier applies for insurance where the beneficiary would be SME in case that the supplier does not meet its commitments.</w:t>
      </w:r>
      <w:bookmarkEnd w:id="584"/>
      <w:bookmarkEnd w:id="585"/>
    </w:p>
    <w:p w14:paraId="4544389A" w14:textId="77777777" w:rsidR="004629AE" w:rsidRPr="00340346" w:rsidRDefault="00DD2FEF" w:rsidP="00737A86">
      <w:pPr>
        <w:pStyle w:val="Paragraph"/>
        <w:rPr>
          <w:rFonts w:ascii="Arial" w:hAnsi="Arial" w:cs="Arial"/>
          <w:noProof/>
          <w:sz w:val="22"/>
        </w:rPr>
      </w:pPr>
      <w:bookmarkStart w:id="586" w:name="_Toc504671067"/>
      <w:bookmarkStart w:id="587" w:name="_Toc504744913"/>
      <w:r w:rsidRPr="00340346">
        <w:rPr>
          <w:rFonts w:ascii="Arial" w:hAnsi="Arial" w:cs="Arial"/>
          <w:noProof/>
          <w:sz w:val="22"/>
        </w:rPr>
        <w:t xml:space="preserve">An independent agency validates the project and the supplier. The validating agency also validates the results in case of disagreement between the supplier and the client. </w:t>
      </w:r>
      <w:r w:rsidRPr="00340346">
        <w:rPr>
          <w:rFonts w:ascii="Arial" w:hAnsi="Arial" w:cs="Arial"/>
          <w:noProof/>
          <w:sz w:val="22"/>
        </w:rPr>
        <w:lastRenderedPageBreak/>
        <w:t>The SME has a series of guarantees that reduce the risk on the performance of the project (contract, insurance, validation).</w:t>
      </w:r>
      <w:bookmarkEnd w:id="586"/>
      <w:bookmarkEnd w:id="587"/>
    </w:p>
    <w:p w14:paraId="653C48B4" w14:textId="77777777" w:rsidR="004629AE" w:rsidRPr="00340346" w:rsidRDefault="004629AE">
      <w:pPr>
        <w:rPr>
          <w:rFonts w:ascii="Arial" w:hAnsi="Arial" w:cs="Arial"/>
          <w:noProof/>
          <w:sz w:val="22"/>
          <w:szCs w:val="22"/>
          <w:lang w:val="en-US"/>
        </w:rPr>
        <w:sectPr w:rsidR="004629AE" w:rsidRPr="00340346" w:rsidSect="003E1CF4">
          <w:pgSz w:w="11900" w:h="16840"/>
          <w:pgMar w:top="1985" w:right="1417" w:bottom="1134" w:left="1417" w:header="708" w:footer="708" w:gutter="0"/>
          <w:pgNumType w:start="1"/>
          <w:cols w:space="708"/>
          <w:titlePg/>
          <w:docGrid w:linePitch="360"/>
        </w:sectPr>
      </w:pPr>
    </w:p>
    <w:p w14:paraId="54BE1CA6" w14:textId="77777777" w:rsidR="008C4E3D" w:rsidRPr="00340346" w:rsidRDefault="004629AE" w:rsidP="00C80112">
      <w:pPr>
        <w:pStyle w:val="Chapter"/>
        <w:rPr>
          <w:rFonts w:ascii="Arial" w:hAnsi="Arial" w:cs="Arial"/>
          <w:noProof/>
          <w:sz w:val="22"/>
        </w:rPr>
      </w:pPr>
      <w:r w:rsidRPr="00340346">
        <w:rPr>
          <w:rFonts w:ascii="Arial" w:hAnsi="Arial" w:cs="Arial"/>
          <w:noProof/>
          <w:sz w:val="22"/>
        </w:rPr>
        <w:t xml:space="preserve">Annex </w:t>
      </w:r>
      <w:r w:rsidR="008C4E3D" w:rsidRPr="00340346">
        <w:rPr>
          <w:rFonts w:ascii="Arial" w:hAnsi="Arial" w:cs="Arial"/>
          <w:noProof/>
          <w:sz w:val="22"/>
        </w:rPr>
        <w:t>Information Sources</w:t>
      </w:r>
    </w:p>
    <w:bookmarkStart w:id="588" w:name="_Toc504669887"/>
    <w:bookmarkStart w:id="589" w:name="_Toc504670159"/>
    <w:bookmarkStart w:id="590" w:name="_Toc504670431"/>
    <w:bookmarkStart w:id="591" w:name="_Toc504670800"/>
    <w:bookmarkStart w:id="592" w:name="_Toc504671068"/>
    <w:bookmarkStart w:id="593" w:name="_Toc504669890"/>
    <w:bookmarkStart w:id="594" w:name="_Toc504670162"/>
    <w:bookmarkStart w:id="595" w:name="_Toc504670434"/>
    <w:bookmarkStart w:id="596" w:name="_Toc504670803"/>
    <w:bookmarkStart w:id="597" w:name="_Toc504671071"/>
    <w:bookmarkEnd w:id="588"/>
    <w:bookmarkEnd w:id="589"/>
    <w:bookmarkEnd w:id="590"/>
    <w:bookmarkEnd w:id="591"/>
    <w:bookmarkEnd w:id="592"/>
    <w:bookmarkEnd w:id="593"/>
    <w:bookmarkEnd w:id="594"/>
    <w:bookmarkEnd w:id="595"/>
    <w:bookmarkEnd w:id="596"/>
    <w:bookmarkEnd w:id="597"/>
    <w:p w14:paraId="1C5DDE6E" w14:textId="77777777" w:rsidR="00E55EA3" w:rsidRPr="00340346" w:rsidRDefault="004629AE" w:rsidP="00E55EA3">
      <w:pPr>
        <w:pStyle w:val="FirstHeading"/>
        <w:numPr>
          <w:ilvl w:val="0"/>
          <w:numId w:val="0"/>
        </w:numPr>
        <w:rPr>
          <w:rFonts w:ascii="Arial" w:hAnsi="Arial" w:cs="Arial"/>
          <w:noProof/>
          <w:sz w:val="22"/>
          <w:szCs w:val="22"/>
          <w:lang w:val="en-US"/>
        </w:rPr>
      </w:pPr>
      <w:r w:rsidRPr="00340346">
        <w:rPr>
          <w:rFonts w:ascii="Arial" w:hAnsi="Arial" w:cs="Arial"/>
          <w:noProof/>
          <w:sz w:val="22"/>
          <w:szCs w:val="22"/>
          <w:lang w:val="en-US"/>
        </w:rPr>
        <w:fldChar w:fldCharType="begin"/>
      </w:r>
      <w:r w:rsidRPr="00340346">
        <w:rPr>
          <w:rFonts w:ascii="Arial" w:hAnsi="Arial" w:cs="Arial"/>
          <w:noProof/>
          <w:sz w:val="22"/>
          <w:szCs w:val="22"/>
          <w:lang w:val="en-US"/>
        </w:rPr>
        <w:instrText xml:space="preserve"> SEQ "</w:instrText>
      </w:r>
      <w:r w:rsidRPr="00340346">
        <w:rPr>
          <w:rFonts w:ascii="Arial" w:hAnsi="Arial" w:cs="Arial"/>
          <w:noProof/>
          <w:sz w:val="22"/>
          <w:szCs w:val="22"/>
          <w:lang w:val="en-US"/>
        </w:rPr>
        <w:fldChar w:fldCharType="begin"/>
      </w:r>
      <w:r w:rsidRPr="00340346">
        <w:rPr>
          <w:rFonts w:ascii="Arial" w:hAnsi="Arial" w:cs="Arial"/>
          <w:noProof/>
          <w:sz w:val="22"/>
          <w:szCs w:val="22"/>
          <w:lang w:val="en-US"/>
        </w:rPr>
        <w:instrText xml:space="preserve"> SECTION  \* MERGEFORMAT </w:instrText>
      </w:r>
      <w:r w:rsidRPr="00340346">
        <w:rPr>
          <w:rFonts w:ascii="Arial" w:hAnsi="Arial" w:cs="Arial"/>
          <w:noProof/>
          <w:sz w:val="22"/>
          <w:szCs w:val="22"/>
          <w:lang w:val="en-US"/>
        </w:rPr>
        <w:fldChar w:fldCharType="separate"/>
      </w:r>
      <w:r w:rsidR="00D24F6E" w:rsidRPr="00340346">
        <w:rPr>
          <w:rFonts w:ascii="Arial" w:hAnsi="Arial" w:cs="Arial"/>
          <w:noProof/>
          <w:sz w:val="22"/>
          <w:szCs w:val="22"/>
          <w:lang w:val="en-US"/>
        </w:rPr>
        <w:instrText>7</w:instrText>
      </w:r>
      <w:r w:rsidRPr="00340346">
        <w:rPr>
          <w:rFonts w:ascii="Arial" w:hAnsi="Arial" w:cs="Arial"/>
          <w:noProof/>
          <w:sz w:val="22"/>
          <w:szCs w:val="22"/>
          <w:lang w:val="en-US"/>
        </w:rPr>
        <w:fldChar w:fldCharType="end"/>
      </w:r>
      <w:r w:rsidRPr="00340346">
        <w:rPr>
          <w:rFonts w:ascii="Arial" w:hAnsi="Arial" w:cs="Arial"/>
          <w:noProof/>
          <w:sz w:val="22"/>
          <w:szCs w:val="22"/>
          <w:lang w:val="en-US"/>
        </w:rPr>
        <w:instrText xml:space="preserve">#"\* ALPHABETIC \* MERGEFORMAT </w:instrText>
      </w:r>
      <w:r w:rsidRPr="00340346">
        <w:rPr>
          <w:rFonts w:ascii="Arial" w:hAnsi="Arial" w:cs="Arial"/>
          <w:noProof/>
          <w:sz w:val="22"/>
          <w:szCs w:val="22"/>
          <w:lang w:val="en-US"/>
        </w:rPr>
        <w:fldChar w:fldCharType="separate"/>
      </w:r>
      <w:r w:rsidR="00D24F6E" w:rsidRPr="00340346">
        <w:rPr>
          <w:rFonts w:ascii="Arial" w:hAnsi="Arial" w:cs="Arial"/>
          <w:noProof/>
          <w:sz w:val="22"/>
          <w:szCs w:val="22"/>
          <w:lang w:val="en-US"/>
        </w:rPr>
        <w:t>A</w:t>
      </w:r>
      <w:r w:rsidRPr="00340346">
        <w:rPr>
          <w:rFonts w:ascii="Arial" w:hAnsi="Arial" w:cs="Arial"/>
          <w:noProof/>
          <w:sz w:val="22"/>
          <w:szCs w:val="22"/>
          <w:lang w:val="en-US"/>
        </w:rPr>
        <w:fldChar w:fldCharType="end"/>
      </w:r>
      <w:r w:rsidRPr="00340346">
        <w:rPr>
          <w:rFonts w:ascii="Arial" w:hAnsi="Arial" w:cs="Arial"/>
          <w:noProof/>
          <w:sz w:val="22"/>
          <w:szCs w:val="22"/>
          <w:lang w:val="en-US"/>
        </w:rPr>
        <w:t>.</w:t>
      </w:r>
      <w:r w:rsidRPr="00340346">
        <w:rPr>
          <w:rFonts w:ascii="Arial" w:hAnsi="Arial" w:cs="Arial"/>
          <w:noProof/>
          <w:sz w:val="22"/>
          <w:szCs w:val="22"/>
          <w:lang w:val="en-US"/>
        </w:rPr>
        <w:tab/>
      </w:r>
      <w:r w:rsidR="00E55EA3" w:rsidRPr="00340346">
        <w:rPr>
          <w:rFonts w:ascii="Arial" w:hAnsi="Arial" w:cs="Arial"/>
          <w:noProof/>
          <w:sz w:val="22"/>
          <w:szCs w:val="22"/>
          <w:lang w:val="en-US"/>
        </w:rPr>
        <w:t>Primary Information Sources</w:t>
      </w:r>
    </w:p>
    <w:p w14:paraId="582AD86F" w14:textId="77777777" w:rsidR="00E55EA3" w:rsidRPr="00340346" w:rsidRDefault="00E55EA3" w:rsidP="00E55EA3">
      <w:pPr>
        <w:spacing w:line="240" w:lineRule="auto"/>
        <w:rPr>
          <w:rFonts w:ascii="Arial" w:hAnsi="Arial" w:cs="Arial"/>
          <w:noProof/>
          <w:sz w:val="22"/>
          <w:szCs w:val="22"/>
          <w:lang w:val="en-US"/>
        </w:rPr>
      </w:pPr>
      <w:r w:rsidRPr="00340346">
        <w:rPr>
          <w:rFonts w:ascii="Arial" w:hAnsi="Arial" w:cs="Arial"/>
          <w:noProof/>
          <w:sz w:val="22"/>
          <w:szCs w:val="22"/>
          <w:lang w:val="en-US"/>
        </w:rPr>
        <w:t>Ministry</w:t>
      </w:r>
    </w:p>
    <w:p w14:paraId="7EBDF62F"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Ministry of the Environment and Sustainable Development - Lic Prem D. Zalzman, Director of New Technologies for Sustainable Development</w:t>
      </w:r>
    </w:p>
    <w:p w14:paraId="589A5D70"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Undersecretariat of ER; Sebastian Kind, Maximiliano Morrone, Mauro Soares</w:t>
      </w:r>
    </w:p>
    <w:p w14:paraId="34FF6EF9"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Undersecretariat of EE; Marco Bergel, Andrea Heins (telephone)</w:t>
      </w:r>
    </w:p>
    <w:p w14:paraId="465125C4"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Undersecretary of Bioindustry, Secretary of Added Value Ministry of Agroindustry; Mariano Lechardoy (telephone)</w:t>
      </w:r>
    </w:p>
    <w:p w14:paraId="3222ABD7" w14:textId="77777777" w:rsidR="00E55EA3" w:rsidRPr="00340346" w:rsidRDefault="00E55EA3" w:rsidP="00E55EA3">
      <w:pPr>
        <w:spacing w:line="240" w:lineRule="auto"/>
        <w:rPr>
          <w:rFonts w:ascii="Arial" w:hAnsi="Arial" w:cs="Arial"/>
          <w:noProof/>
          <w:sz w:val="22"/>
          <w:szCs w:val="22"/>
          <w:lang w:val="en-US"/>
        </w:rPr>
      </w:pPr>
      <w:r w:rsidRPr="00340346">
        <w:rPr>
          <w:rFonts w:ascii="Arial" w:hAnsi="Arial" w:cs="Arial"/>
          <w:noProof/>
          <w:sz w:val="22"/>
          <w:szCs w:val="22"/>
          <w:lang w:val="en-US"/>
        </w:rPr>
        <w:t xml:space="preserve">Banking Institutions </w:t>
      </w:r>
    </w:p>
    <w:p w14:paraId="77273690" w14:textId="77777777" w:rsidR="00E55EA3" w:rsidRPr="008475A1" w:rsidRDefault="00E55EA3" w:rsidP="00E55EA3">
      <w:pPr>
        <w:pStyle w:val="ListParagraph"/>
        <w:numPr>
          <w:ilvl w:val="0"/>
          <w:numId w:val="36"/>
        </w:numPr>
        <w:spacing w:line="240" w:lineRule="auto"/>
        <w:rPr>
          <w:rFonts w:ascii="Arial" w:hAnsi="Arial" w:cs="Arial"/>
          <w:noProof/>
          <w:sz w:val="22"/>
          <w:szCs w:val="22"/>
          <w:lang w:val="pt-BR"/>
        </w:rPr>
      </w:pPr>
      <w:r w:rsidRPr="008475A1">
        <w:rPr>
          <w:rFonts w:ascii="Arial" w:hAnsi="Arial" w:cs="Arial"/>
          <w:noProof/>
          <w:sz w:val="22"/>
          <w:szCs w:val="22"/>
          <w:lang w:val="pt-BR"/>
        </w:rPr>
        <w:t>BICE – Patricia Castro, Rodrigo Mignone, Ricardo Bebczuk, Rodolfo Alba, Francisco Vila, Vanina Messere, Rafael Robles, Fernando Devoto</w:t>
      </w:r>
    </w:p>
    <w:p w14:paraId="36651BE3"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Banco Galicia – Ignacio Badaloni; Corporate Banking</w:t>
      </w:r>
    </w:p>
    <w:p w14:paraId="5FEBAAC1"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Banco BBVA – Augusto Buda; Investment Banking.</w:t>
      </w:r>
    </w:p>
    <w:p w14:paraId="6F029F67" w14:textId="77777777" w:rsidR="00E55EA3" w:rsidRPr="00340346" w:rsidRDefault="00E55EA3" w:rsidP="00E55EA3">
      <w:pPr>
        <w:spacing w:line="240" w:lineRule="auto"/>
        <w:rPr>
          <w:rFonts w:ascii="Arial" w:hAnsi="Arial" w:cs="Arial"/>
          <w:noProof/>
          <w:sz w:val="22"/>
          <w:szCs w:val="22"/>
          <w:lang w:val="en-US"/>
        </w:rPr>
      </w:pPr>
      <w:r w:rsidRPr="00340346">
        <w:rPr>
          <w:rFonts w:ascii="Arial" w:hAnsi="Arial" w:cs="Arial"/>
          <w:noProof/>
          <w:sz w:val="22"/>
          <w:szCs w:val="22"/>
          <w:lang w:val="en-US"/>
        </w:rPr>
        <w:t>Project Developers/Technology Suppliers</w:t>
      </w:r>
    </w:p>
    <w:p w14:paraId="52AA24D5"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Isla Power (Photovoltaic), Antonio Antonopoulos</w:t>
      </w:r>
    </w:p>
    <w:p w14:paraId="6453E74D" w14:textId="77777777" w:rsidR="00E55EA3" w:rsidRPr="008475A1" w:rsidRDefault="00E55EA3" w:rsidP="00E55EA3">
      <w:pPr>
        <w:pStyle w:val="ListParagraph"/>
        <w:numPr>
          <w:ilvl w:val="0"/>
          <w:numId w:val="36"/>
        </w:numPr>
        <w:spacing w:line="240" w:lineRule="auto"/>
        <w:rPr>
          <w:rFonts w:ascii="Arial" w:hAnsi="Arial" w:cs="Arial"/>
          <w:noProof/>
          <w:sz w:val="22"/>
          <w:szCs w:val="22"/>
        </w:rPr>
      </w:pPr>
      <w:r w:rsidRPr="008475A1">
        <w:rPr>
          <w:rFonts w:ascii="Arial" w:hAnsi="Arial" w:cs="Arial"/>
          <w:noProof/>
          <w:sz w:val="22"/>
          <w:szCs w:val="22"/>
        </w:rPr>
        <w:t>El Sol ingeniera – Luis Scholand (Consultants)</w:t>
      </w:r>
    </w:p>
    <w:p w14:paraId="01DD72B5" w14:textId="77777777" w:rsidR="00E55EA3" w:rsidRPr="00BD21C6" w:rsidRDefault="00E55EA3" w:rsidP="00E55EA3">
      <w:pPr>
        <w:pStyle w:val="ListParagraph"/>
        <w:numPr>
          <w:ilvl w:val="0"/>
          <w:numId w:val="36"/>
        </w:numPr>
        <w:spacing w:line="240" w:lineRule="auto"/>
        <w:rPr>
          <w:rFonts w:ascii="Arial" w:hAnsi="Arial" w:cs="Arial"/>
          <w:noProof/>
          <w:sz w:val="22"/>
          <w:szCs w:val="22"/>
          <w:lang w:val="pt-BR"/>
        </w:rPr>
      </w:pPr>
      <w:r w:rsidRPr="00BD21C6">
        <w:rPr>
          <w:rFonts w:ascii="Arial" w:hAnsi="Arial" w:cs="Arial"/>
          <w:noProof/>
          <w:sz w:val="22"/>
          <w:szCs w:val="22"/>
          <w:lang w:val="pt-BR"/>
        </w:rPr>
        <w:t>Turbomaquinarias – Eng. Carlos D. Weihmüller (president), José M. Menica / Edgardo Vescovo (Capstone)</w:t>
      </w:r>
    </w:p>
    <w:p w14:paraId="2786354A"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Solartec S.A. – Fernando J. Salgado; Suppliers of FV systems and solar water heaters.</w:t>
      </w:r>
    </w:p>
    <w:p w14:paraId="62B71FD1"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MAN Diesel &amp; Turbo – Diego Biancotti; Suppliers of cogeneration equipment</w:t>
      </w:r>
    </w:p>
    <w:p w14:paraId="264C6DCB"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8475A1">
        <w:rPr>
          <w:rFonts w:ascii="Arial" w:hAnsi="Arial" w:cs="Arial"/>
          <w:noProof/>
          <w:sz w:val="22"/>
          <w:szCs w:val="22"/>
        </w:rPr>
        <w:t xml:space="preserve">Ifbio –Juan Pablo Corbella, Eng. </w:t>
      </w:r>
      <w:r w:rsidRPr="00340346">
        <w:rPr>
          <w:rFonts w:ascii="Arial" w:hAnsi="Arial" w:cs="Arial"/>
          <w:noProof/>
          <w:sz w:val="22"/>
          <w:szCs w:val="22"/>
          <w:lang w:val="en-US"/>
        </w:rPr>
        <w:t>Mauro Barberis - Biogas Plants</w:t>
      </w:r>
    </w:p>
    <w:p w14:paraId="5D1CC88E"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Fiasa; Daniel Lisei, Daniel Sanz, (Thermosolar Suppliers)</w:t>
      </w:r>
    </w:p>
    <w:p w14:paraId="3446D830"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AGVE – Juan Benassi, Developer of biomass plants</w:t>
      </w:r>
    </w:p>
    <w:p w14:paraId="1CE072CB"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Tecnored - Eng. Horacio Germán Pinasco, Biomass Plants</w:t>
      </w:r>
    </w:p>
    <w:p w14:paraId="69A0A8EA" w14:textId="77777777" w:rsidR="00E55EA3" w:rsidRPr="00340346" w:rsidRDefault="00E55EA3" w:rsidP="00E55EA3">
      <w:pPr>
        <w:spacing w:line="240" w:lineRule="auto"/>
        <w:rPr>
          <w:rFonts w:ascii="Arial" w:hAnsi="Arial" w:cs="Arial"/>
          <w:noProof/>
          <w:sz w:val="22"/>
          <w:szCs w:val="22"/>
          <w:lang w:val="en-US"/>
        </w:rPr>
      </w:pPr>
      <w:r w:rsidRPr="00340346">
        <w:rPr>
          <w:rFonts w:ascii="Arial" w:hAnsi="Arial" w:cs="Arial"/>
          <w:noProof/>
          <w:sz w:val="22"/>
          <w:szCs w:val="22"/>
          <w:lang w:val="en-US"/>
        </w:rPr>
        <w:t>Other actors</w:t>
      </w:r>
    </w:p>
    <w:p w14:paraId="537D0AAC"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National Securities Commission – Daniel Ibañez</w:t>
      </w:r>
    </w:p>
    <w:p w14:paraId="7F0F5760" w14:textId="77777777" w:rsidR="00E55EA3" w:rsidRPr="00340346"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CAME (Adviser)/ Jinko Solar (BD) – Luz María Barbero</w:t>
      </w:r>
    </w:p>
    <w:p w14:paraId="0A97F77D" w14:textId="77777777" w:rsidR="00E55EA3" w:rsidRDefault="00E55EA3" w:rsidP="00E55EA3">
      <w:pPr>
        <w:pStyle w:val="ListParagraph"/>
        <w:numPr>
          <w:ilvl w:val="0"/>
          <w:numId w:val="36"/>
        </w:numPr>
        <w:spacing w:line="240" w:lineRule="auto"/>
        <w:rPr>
          <w:rFonts w:ascii="Arial" w:hAnsi="Arial" w:cs="Arial"/>
          <w:noProof/>
          <w:sz w:val="22"/>
          <w:szCs w:val="22"/>
          <w:lang w:val="en-US"/>
        </w:rPr>
      </w:pPr>
      <w:r w:rsidRPr="00340346">
        <w:rPr>
          <w:rFonts w:ascii="Arial" w:hAnsi="Arial" w:cs="Arial"/>
          <w:noProof/>
          <w:sz w:val="22"/>
          <w:szCs w:val="22"/>
          <w:lang w:val="en-US"/>
        </w:rPr>
        <w:t>Alejandro Motta – Investor and consultant; green entrepreneurship in Rosario</w:t>
      </w:r>
    </w:p>
    <w:p w14:paraId="02FE2266" w14:textId="77777777" w:rsidR="00340346" w:rsidRPr="00340346" w:rsidRDefault="00340346" w:rsidP="00E55EA3">
      <w:pPr>
        <w:pStyle w:val="ListParagraph"/>
        <w:numPr>
          <w:ilvl w:val="0"/>
          <w:numId w:val="36"/>
        </w:numPr>
        <w:spacing w:line="240" w:lineRule="auto"/>
        <w:rPr>
          <w:rFonts w:ascii="Arial" w:hAnsi="Arial" w:cs="Arial"/>
          <w:noProof/>
          <w:sz w:val="22"/>
          <w:szCs w:val="22"/>
          <w:lang w:val="en-US"/>
        </w:rPr>
        <w:sectPr w:rsidR="00340346" w:rsidRPr="00340346" w:rsidSect="00F46E6A">
          <w:type w:val="continuous"/>
          <w:pgSz w:w="11900" w:h="16840"/>
          <w:pgMar w:top="1985" w:right="1417" w:bottom="1134" w:left="1417" w:header="708" w:footer="708" w:gutter="0"/>
          <w:pgNumType w:start="1"/>
          <w:cols w:space="708"/>
          <w:titlePg/>
          <w:docGrid w:linePitch="360"/>
        </w:sectPr>
      </w:pPr>
    </w:p>
    <w:p w14:paraId="6A7A4811" w14:textId="77777777" w:rsidR="00E55EA3" w:rsidRPr="00340346" w:rsidRDefault="0076077C" w:rsidP="00C80112">
      <w:pPr>
        <w:pStyle w:val="FirstHeading"/>
        <w:numPr>
          <w:ilvl w:val="0"/>
          <w:numId w:val="0"/>
        </w:numPr>
        <w:rPr>
          <w:rFonts w:ascii="Arial" w:hAnsi="Arial" w:cs="Arial"/>
          <w:noProof/>
          <w:sz w:val="22"/>
          <w:szCs w:val="22"/>
          <w:lang w:val="en-US"/>
        </w:rPr>
      </w:pPr>
      <w:bookmarkStart w:id="598" w:name="_Ref262807442"/>
      <w:r w:rsidRPr="00340346">
        <w:rPr>
          <w:rFonts w:ascii="Arial" w:hAnsi="Arial" w:cs="Arial"/>
          <w:noProof/>
          <w:sz w:val="22"/>
          <w:szCs w:val="22"/>
          <w:lang w:val="en-US"/>
        </w:rPr>
        <w:br w:type="column"/>
      </w:r>
      <w:r w:rsidR="004629AE" w:rsidRPr="00340346">
        <w:rPr>
          <w:rFonts w:ascii="Arial" w:hAnsi="Arial" w:cs="Arial"/>
          <w:noProof/>
          <w:sz w:val="22"/>
          <w:szCs w:val="22"/>
          <w:lang w:val="en-US"/>
        </w:rPr>
        <w:lastRenderedPageBreak/>
        <w:fldChar w:fldCharType="begin"/>
      </w:r>
      <w:r w:rsidR="004629AE" w:rsidRPr="00340346">
        <w:rPr>
          <w:rFonts w:ascii="Arial" w:hAnsi="Arial" w:cs="Arial"/>
          <w:noProof/>
          <w:sz w:val="22"/>
          <w:szCs w:val="22"/>
          <w:lang w:val="en-US"/>
        </w:rPr>
        <w:instrText xml:space="preserve"> SEQ "</w:instrText>
      </w:r>
      <w:r w:rsidR="004629AE" w:rsidRPr="00340346">
        <w:rPr>
          <w:rFonts w:ascii="Arial" w:hAnsi="Arial" w:cs="Arial"/>
          <w:noProof/>
          <w:sz w:val="22"/>
          <w:szCs w:val="22"/>
          <w:lang w:val="en-US"/>
        </w:rPr>
        <w:fldChar w:fldCharType="begin"/>
      </w:r>
      <w:r w:rsidR="004629AE" w:rsidRPr="00340346">
        <w:rPr>
          <w:rFonts w:ascii="Arial" w:hAnsi="Arial" w:cs="Arial"/>
          <w:noProof/>
          <w:sz w:val="22"/>
          <w:szCs w:val="22"/>
          <w:lang w:val="en-US"/>
        </w:rPr>
        <w:instrText xml:space="preserve"> SECTION  \* MERGEFORMAT </w:instrText>
      </w:r>
      <w:r w:rsidR="004629AE" w:rsidRPr="00340346">
        <w:rPr>
          <w:rFonts w:ascii="Arial" w:hAnsi="Arial" w:cs="Arial"/>
          <w:noProof/>
          <w:sz w:val="22"/>
          <w:szCs w:val="22"/>
          <w:lang w:val="en-US"/>
        </w:rPr>
        <w:fldChar w:fldCharType="separate"/>
      </w:r>
      <w:r w:rsidR="00D24F6E" w:rsidRPr="00340346">
        <w:rPr>
          <w:rFonts w:ascii="Arial" w:hAnsi="Arial" w:cs="Arial"/>
          <w:noProof/>
          <w:sz w:val="22"/>
          <w:szCs w:val="22"/>
          <w:lang w:val="en-US"/>
        </w:rPr>
        <w:instrText>7</w:instrText>
      </w:r>
      <w:r w:rsidR="004629AE" w:rsidRPr="00340346">
        <w:rPr>
          <w:rFonts w:ascii="Arial" w:hAnsi="Arial" w:cs="Arial"/>
          <w:noProof/>
          <w:sz w:val="22"/>
          <w:szCs w:val="22"/>
          <w:lang w:val="en-US"/>
        </w:rPr>
        <w:fldChar w:fldCharType="end"/>
      </w:r>
      <w:r w:rsidR="004629AE" w:rsidRPr="00340346">
        <w:rPr>
          <w:rFonts w:ascii="Arial" w:hAnsi="Arial" w:cs="Arial"/>
          <w:noProof/>
          <w:sz w:val="22"/>
          <w:szCs w:val="22"/>
          <w:lang w:val="en-US"/>
        </w:rPr>
        <w:instrText xml:space="preserve">#"\* ALPHABETIC \* MERGEFORMAT </w:instrText>
      </w:r>
      <w:r w:rsidR="004629AE" w:rsidRPr="00340346">
        <w:rPr>
          <w:rFonts w:ascii="Arial" w:hAnsi="Arial" w:cs="Arial"/>
          <w:noProof/>
          <w:sz w:val="22"/>
          <w:szCs w:val="22"/>
          <w:lang w:val="en-US"/>
        </w:rPr>
        <w:fldChar w:fldCharType="separate"/>
      </w:r>
      <w:r w:rsidR="00D24F6E" w:rsidRPr="00340346">
        <w:rPr>
          <w:rFonts w:ascii="Arial" w:hAnsi="Arial" w:cs="Arial"/>
          <w:noProof/>
          <w:sz w:val="22"/>
          <w:szCs w:val="22"/>
          <w:lang w:val="en-US"/>
        </w:rPr>
        <w:t>B</w:t>
      </w:r>
      <w:r w:rsidR="004629AE" w:rsidRPr="00340346">
        <w:rPr>
          <w:rFonts w:ascii="Arial" w:hAnsi="Arial" w:cs="Arial"/>
          <w:noProof/>
          <w:sz w:val="22"/>
          <w:szCs w:val="22"/>
          <w:lang w:val="en-US"/>
        </w:rPr>
        <w:fldChar w:fldCharType="end"/>
      </w:r>
      <w:r w:rsidR="004629AE" w:rsidRPr="00340346">
        <w:rPr>
          <w:rFonts w:ascii="Arial" w:hAnsi="Arial" w:cs="Arial"/>
          <w:noProof/>
          <w:sz w:val="22"/>
          <w:szCs w:val="22"/>
          <w:lang w:val="en-US"/>
        </w:rPr>
        <w:t>.</w:t>
      </w:r>
      <w:r w:rsidR="004629AE" w:rsidRPr="00340346">
        <w:rPr>
          <w:rFonts w:ascii="Arial" w:hAnsi="Arial" w:cs="Arial"/>
          <w:noProof/>
          <w:sz w:val="22"/>
          <w:szCs w:val="22"/>
          <w:lang w:val="en-US"/>
        </w:rPr>
        <w:tab/>
      </w:r>
      <w:r w:rsidR="00E55EA3" w:rsidRPr="00340346">
        <w:rPr>
          <w:rFonts w:ascii="Arial" w:hAnsi="Arial" w:cs="Arial"/>
          <w:noProof/>
          <w:sz w:val="22"/>
          <w:szCs w:val="22"/>
          <w:lang w:val="en-US"/>
        </w:rPr>
        <w:t>Secondary Information Sources</w:t>
      </w:r>
    </w:p>
    <w:p w14:paraId="702BAA0A" w14:textId="77777777" w:rsidR="00E55EA3" w:rsidRPr="00340346" w:rsidRDefault="00E55EA3"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 xml:space="preserve">AHK-Geschäftsreise in den Hispano-MERCOSUR 2.HJ 2013 - 14.-18.10.2013 Photovoltaik und Kleinwindkraft Marktinformationen zu Argentinien. Cámaras Alemanas del Mercosur. </w:t>
      </w:r>
    </w:p>
    <w:p w14:paraId="562727C2" w14:textId="77777777" w:rsidR="00E55EA3" w:rsidRPr="00340346" w:rsidRDefault="00E55EA3"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Enabling PV Argentina. A framework analysis of the conditions for the Use of Solar Energy. Dic 2015. Eclareon.</w:t>
      </w:r>
    </w:p>
    <w:p w14:paraId="372D2D7F" w14:textId="77777777" w:rsidR="00E55EA3" w:rsidRPr="008475A1" w:rsidRDefault="00E55EA3" w:rsidP="00C80112">
      <w:pPr>
        <w:pStyle w:val="ListParagraph"/>
        <w:numPr>
          <w:ilvl w:val="0"/>
          <w:numId w:val="36"/>
        </w:numPr>
        <w:spacing w:before="0" w:after="0" w:line="240" w:lineRule="auto"/>
        <w:rPr>
          <w:rFonts w:ascii="Arial" w:hAnsi="Arial" w:cs="Arial"/>
          <w:noProof/>
          <w:sz w:val="22"/>
          <w:szCs w:val="22"/>
        </w:rPr>
      </w:pPr>
      <w:r w:rsidRPr="008475A1">
        <w:rPr>
          <w:rFonts w:ascii="Arial" w:hAnsi="Arial" w:cs="Arial"/>
          <w:noProof/>
          <w:sz w:val="22"/>
          <w:szCs w:val="22"/>
        </w:rPr>
        <w:t>Estudio del estado del arte en el uso de la energía solar para calentamiento de agua, 2009, IDEE/Fundación Bariloche.</w:t>
      </w:r>
    </w:p>
    <w:p w14:paraId="5B3729D1" w14:textId="77777777" w:rsidR="00E55EA3" w:rsidRPr="008475A1" w:rsidRDefault="00E55EA3" w:rsidP="00C80112">
      <w:pPr>
        <w:pStyle w:val="ListParagraph"/>
        <w:numPr>
          <w:ilvl w:val="0"/>
          <w:numId w:val="36"/>
        </w:numPr>
        <w:spacing w:before="0" w:after="0" w:line="240" w:lineRule="auto"/>
        <w:rPr>
          <w:rFonts w:ascii="Arial" w:hAnsi="Arial" w:cs="Arial"/>
          <w:noProof/>
          <w:sz w:val="22"/>
          <w:szCs w:val="22"/>
        </w:rPr>
      </w:pPr>
      <w:r w:rsidRPr="008475A1">
        <w:rPr>
          <w:rFonts w:ascii="Arial" w:hAnsi="Arial" w:cs="Arial"/>
          <w:noProof/>
          <w:sz w:val="22"/>
          <w:szCs w:val="22"/>
        </w:rPr>
        <w:t>Finanzierungsstudie - Finanzierungsmöglichkeiten für Projekte deutscher Unternehmen in Argentinien, Uruguay und Paraguay im Bereich der erneuerbaren Energien (Photovoltaik und Kleinwindkraft), ICON Institute 2013</w:t>
      </w:r>
    </w:p>
    <w:p w14:paraId="6E4C181B" w14:textId="77777777" w:rsidR="00E55EA3" w:rsidRPr="008475A1" w:rsidRDefault="00E55EA3" w:rsidP="00C80112">
      <w:pPr>
        <w:pStyle w:val="ListParagraph"/>
        <w:numPr>
          <w:ilvl w:val="0"/>
          <w:numId w:val="36"/>
        </w:numPr>
        <w:spacing w:before="0" w:after="0" w:line="240" w:lineRule="auto"/>
        <w:rPr>
          <w:rFonts w:ascii="Arial" w:hAnsi="Arial" w:cs="Arial"/>
          <w:noProof/>
          <w:sz w:val="22"/>
          <w:szCs w:val="22"/>
        </w:rPr>
      </w:pPr>
      <w:r w:rsidRPr="008475A1">
        <w:rPr>
          <w:rFonts w:ascii="Arial" w:hAnsi="Arial" w:cs="Arial"/>
          <w:noProof/>
          <w:sz w:val="22"/>
          <w:szCs w:val="22"/>
        </w:rPr>
        <w:t>Generación de Energía a Partir de Residuos Olivícolas, Universidad Tecnologica Nacional Facultad Córdoba.</w:t>
      </w:r>
    </w:p>
    <w:p w14:paraId="7845B433" w14:textId="77777777" w:rsidR="00E55EA3" w:rsidRPr="00340346" w:rsidRDefault="00E55EA3"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KPMG – Taxes and incentives for Renewable Energy Argentina (2013) https://home.kpmg.com.</w:t>
      </w:r>
    </w:p>
    <w:p w14:paraId="251EF40D" w14:textId="77777777" w:rsidR="00E55EA3" w:rsidRPr="008475A1" w:rsidRDefault="00E55EA3" w:rsidP="00C80112">
      <w:pPr>
        <w:pStyle w:val="ListParagraph"/>
        <w:numPr>
          <w:ilvl w:val="0"/>
          <w:numId w:val="36"/>
        </w:numPr>
        <w:spacing w:before="0" w:after="0" w:line="240" w:lineRule="auto"/>
        <w:rPr>
          <w:rFonts w:ascii="Arial" w:hAnsi="Arial" w:cs="Arial"/>
          <w:noProof/>
          <w:sz w:val="22"/>
          <w:szCs w:val="22"/>
        </w:rPr>
      </w:pPr>
      <w:r w:rsidRPr="008475A1">
        <w:rPr>
          <w:rFonts w:ascii="Arial" w:hAnsi="Arial" w:cs="Arial"/>
          <w:noProof/>
          <w:sz w:val="22"/>
          <w:szCs w:val="22"/>
        </w:rPr>
        <w:t>Reportes de Asociación Argentina Productores Porcinos</w:t>
      </w:r>
    </w:p>
    <w:p w14:paraId="2F856360" w14:textId="77777777" w:rsidR="00E55EA3" w:rsidRPr="00340346" w:rsidRDefault="00E55EA3"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Reportes de mercado, Instituto Nacional de Tecnología Agropecuaria.</w:t>
      </w:r>
    </w:p>
    <w:p w14:paraId="2B422CBF" w14:textId="77777777" w:rsidR="00E55EA3" w:rsidRPr="008475A1" w:rsidRDefault="00E55EA3" w:rsidP="00C80112">
      <w:pPr>
        <w:pStyle w:val="ListParagraph"/>
        <w:numPr>
          <w:ilvl w:val="0"/>
          <w:numId w:val="36"/>
        </w:numPr>
        <w:spacing w:before="0" w:after="0" w:line="240" w:lineRule="auto"/>
        <w:rPr>
          <w:rFonts w:ascii="Arial" w:hAnsi="Arial" w:cs="Arial"/>
          <w:noProof/>
          <w:sz w:val="22"/>
          <w:szCs w:val="22"/>
        </w:rPr>
      </w:pPr>
      <w:r w:rsidRPr="008475A1">
        <w:rPr>
          <w:rFonts w:ascii="Arial" w:hAnsi="Arial" w:cs="Arial"/>
          <w:noProof/>
          <w:sz w:val="22"/>
          <w:szCs w:val="22"/>
        </w:rPr>
        <w:t>Servicio Nacional de Sanidad y calidad Agroalimentaria</w:t>
      </w:r>
    </w:p>
    <w:p w14:paraId="24BB712E" w14:textId="77777777" w:rsidR="00E55EA3" w:rsidRPr="00340346" w:rsidRDefault="00E55EA3"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Zielmarktanalyse 2013. Solar und Wind in Argentinien, Paraguay und Uruguay – Marktsituation und Potentiale mit Profilen der Marktakteure.</w:t>
      </w:r>
    </w:p>
    <w:p w14:paraId="45F1CABA" w14:textId="77777777" w:rsidR="00E55EA3" w:rsidRPr="00340346" w:rsidRDefault="00E55EA3"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Zielmarktanalyse Argentinien 2015 - Biomasse und Biogas mit Profilen der Marktakteure, Cámara de Comercio Argentina – Alemana</w:t>
      </w:r>
    </w:p>
    <w:p w14:paraId="67FB1351" w14:textId="77777777" w:rsidR="00E55EA3" w:rsidRPr="00340346" w:rsidRDefault="00E55EA3"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Zielmarktanalyse Argentinien 2015 - Energieeffizienz in der Industrie mit Profilen der Marktakteure, Cámara de Comercio Argentina – Alemana.</w:t>
      </w:r>
    </w:p>
    <w:p w14:paraId="2620EAC9" w14:textId="77777777" w:rsidR="00E06B0B" w:rsidRPr="00340346" w:rsidRDefault="00E06B0B"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 xml:space="preserve">Banking Institutions </w:t>
      </w:r>
    </w:p>
    <w:p w14:paraId="57DBEB1F" w14:textId="77777777" w:rsidR="00E06B0B" w:rsidRPr="008475A1" w:rsidRDefault="00E06B0B" w:rsidP="00C80112">
      <w:pPr>
        <w:pStyle w:val="ListParagraph"/>
        <w:numPr>
          <w:ilvl w:val="0"/>
          <w:numId w:val="36"/>
        </w:numPr>
        <w:spacing w:before="0" w:after="0" w:line="240" w:lineRule="auto"/>
        <w:rPr>
          <w:rFonts w:ascii="Arial" w:hAnsi="Arial" w:cs="Arial"/>
          <w:noProof/>
          <w:sz w:val="22"/>
          <w:szCs w:val="22"/>
          <w:lang w:val="pt-BR"/>
        </w:rPr>
      </w:pPr>
      <w:r w:rsidRPr="008475A1">
        <w:rPr>
          <w:rFonts w:ascii="Arial" w:hAnsi="Arial" w:cs="Arial"/>
          <w:noProof/>
          <w:sz w:val="22"/>
          <w:szCs w:val="22"/>
          <w:lang w:val="pt-BR"/>
        </w:rPr>
        <w:t>BICE – Patricia Castro, Rodrigo Mignone, Ricardo Bebczuk, Rodolfo Alba, Francisco Vila, Vanina Messere, Rafael Robles, Fernando Devoto</w:t>
      </w:r>
    </w:p>
    <w:p w14:paraId="2AD7F6C1" w14:textId="77777777" w:rsidR="00E06B0B" w:rsidRPr="00340346" w:rsidRDefault="00E06B0B"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Banco Galicia – Ignacio Badaloni; Corporate Banking</w:t>
      </w:r>
    </w:p>
    <w:p w14:paraId="3A221292" w14:textId="77777777" w:rsidR="00E06B0B" w:rsidRPr="00340346" w:rsidRDefault="00E06B0B"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Banco BBVA – Augusto Buda; Investment Banking.</w:t>
      </w:r>
    </w:p>
    <w:p w14:paraId="482F3751" w14:textId="77777777" w:rsidR="00E06B0B" w:rsidRPr="00340346" w:rsidRDefault="00E06B0B"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Project Developers/Technology Suppliers</w:t>
      </w:r>
    </w:p>
    <w:p w14:paraId="5669F4D1" w14:textId="77777777" w:rsidR="00E06B0B" w:rsidRPr="00340346" w:rsidRDefault="00E06B0B"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Isla Power (Photovoltaic), Antonio Antonopoulos</w:t>
      </w:r>
    </w:p>
    <w:p w14:paraId="39E1E053" w14:textId="77777777" w:rsidR="00E06B0B" w:rsidRPr="008475A1" w:rsidRDefault="00E06B0B" w:rsidP="00C80112">
      <w:pPr>
        <w:pStyle w:val="ListParagraph"/>
        <w:numPr>
          <w:ilvl w:val="0"/>
          <w:numId w:val="36"/>
        </w:numPr>
        <w:spacing w:before="0" w:after="0" w:line="240" w:lineRule="auto"/>
        <w:rPr>
          <w:rFonts w:ascii="Arial" w:hAnsi="Arial" w:cs="Arial"/>
          <w:noProof/>
          <w:sz w:val="22"/>
          <w:szCs w:val="22"/>
        </w:rPr>
      </w:pPr>
      <w:r w:rsidRPr="008475A1">
        <w:rPr>
          <w:rFonts w:ascii="Arial" w:hAnsi="Arial" w:cs="Arial"/>
          <w:noProof/>
          <w:sz w:val="22"/>
          <w:szCs w:val="22"/>
        </w:rPr>
        <w:t>El Sol ingeniera – Luis Scholand (Consultants)</w:t>
      </w:r>
    </w:p>
    <w:p w14:paraId="2967A74C" w14:textId="77777777" w:rsidR="00E06B0B" w:rsidRPr="00BD21C6" w:rsidRDefault="00E06B0B" w:rsidP="00C80112">
      <w:pPr>
        <w:pStyle w:val="ListParagraph"/>
        <w:numPr>
          <w:ilvl w:val="0"/>
          <w:numId w:val="36"/>
        </w:numPr>
        <w:spacing w:before="0" w:after="0" w:line="240" w:lineRule="auto"/>
        <w:rPr>
          <w:rFonts w:ascii="Arial" w:hAnsi="Arial" w:cs="Arial"/>
          <w:noProof/>
          <w:sz w:val="22"/>
          <w:szCs w:val="22"/>
          <w:lang w:val="pt-BR"/>
        </w:rPr>
      </w:pPr>
      <w:r w:rsidRPr="00BD21C6">
        <w:rPr>
          <w:rFonts w:ascii="Arial" w:hAnsi="Arial" w:cs="Arial"/>
          <w:noProof/>
          <w:sz w:val="22"/>
          <w:szCs w:val="22"/>
          <w:lang w:val="pt-BR"/>
        </w:rPr>
        <w:t>Turbomaquinarias – Eng. Carlos D. Weihmüller (president), José M. Menica / Edgardo Vescovo (Capstone)</w:t>
      </w:r>
    </w:p>
    <w:p w14:paraId="0889CB9B" w14:textId="77777777" w:rsidR="00E06B0B" w:rsidRPr="00340346" w:rsidRDefault="00E06B0B"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Solartec S.A. – Fernando J. Salgado; Suppliers of FV systems and solar water heaters.</w:t>
      </w:r>
    </w:p>
    <w:p w14:paraId="2954A73E" w14:textId="77777777" w:rsidR="00E06B0B" w:rsidRPr="00340346" w:rsidRDefault="00E06B0B"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MAN Diesel &amp; Turbo – Diego Biancotti; Suppliers of cogeneration equipment</w:t>
      </w:r>
    </w:p>
    <w:p w14:paraId="2FA0B643" w14:textId="77777777" w:rsidR="00E06B0B" w:rsidRPr="00340346" w:rsidRDefault="00E06B0B" w:rsidP="00C80112">
      <w:pPr>
        <w:pStyle w:val="ListParagraph"/>
        <w:numPr>
          <w:ilvl w:val="0"/>
          <w:numId w:val="36"/>
        </w:numPr>
        <w:spacing w:before="0" w:after="0" w:line="240" w:lineRule="auto"/>
        <w:rPr>
          <w:rFonts w:ascii="Arial" w:hAnsi="Arial" w:cs="Arial"/>
          <w:noProof/>
          <w:sz w:val="22"/>
          <w:szCs w:val="22"/>
          <w:lang w:val="en-US"/>
        </w:rPr>
      </w:pPr>
      <w:r w:rsidRPr="008475A1">
        <w:rPr>
          <w:rFonts w:ascii="Arial" w:hAnsi="Arial" w:cs="Arial"/>
          <w:noProof/>
          <w:sz w:val="22"/>
          <w:szCs w:val="22"/>
        </w:rPr>
        <w:t xml:space="preserve">Ifbio –Juan Pablo Corbella, Eng. </w:t>
      </w:r>
      <w:r w:rsidRPr="00340346">
        <w:rPr>
          <w:rFonts w:ascii="Arial" w:hAnsi="Arial" w:cs="Arial"/>
          <w:noProof/>
          <w:sz w:val="22"/>
          <w:szCs w:val="22"/>
          <w:lang w:val="en-US"/>
        </w:rPr>
        <w:t>Mauro Barberis - Biogas Plants</w:t>
      </w:r>
    </w:p>
    <w:p w14:paraId="437CFFC8" w14:textId="77777777" w:rsidR="00E06B0B" w:rsidRPr="00340346" w:rsidRDefault="00E06B0B"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Fiasa; Daniel Lisei, Daniel Sanz, (Thermosolar Suppliers)</w:t>
      </w:r>
    </w:p>
    <w:p w14:paraId="2D6D7486" w14:textId="77777777" w:rsidR="00E06B0B" w:rsidRPr="00340346" w:rsidRDefault="00E06B0B"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AGVE – Juan Benassi, Developer of biomass plants</w:t>
      </w:r>
    </w:p>
    <w:p w14:paraId="5B1BFC7D" w14:textId="77777777" w:rsidR="00E06B0B" w:rsidRPr="00340346" w:rsidRDefault="00E06B0B"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Tecnored - Eng. Horacio Germán Pinasco, Biomass Plants</w:t>
      </w:r>
    </w:p>
    <w:p w14:paraId="5BB23002" w14:textId="77777777" w:rsidR="00E06B0B" w:rsidRPr="00340346" w:rsidRDefault="00E06B0B"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Other</w:t>
      </w:r>
      <w:r w:rsidR="00B914F4" w:rsidRPr="00340346">
        <w:rPr>
          <w:rFonts w:ascii="Arial" w:hAnsi="Arial" w:cs="Arial"/>
          <w:noProof/>
          <w:sz w:val="22"/>
          <w:szCs w:val="22"/>
          <w:lang w:val="en-US"/>
        </w:rPr>
        <w:t xml:space="preserve"> actors</w:t>
      </w:r>
    </w:p>
    <w:p w14:paraId="5DE8AC71" w14:textId="77777777" w:rsidR="00E06B0B" w:rsidRPr="00340346" w:rsidRDefault="00E06B0B"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National Securities Commission – Daniel Ibañez</w:t>
      </w:r>
    </w:p>
    <w:p w14:paraId="422C6496" w14:textId="77777777" w:rsidR="00E06B0B" w:rsidRPr="00340346" w:rsidRDefault="00E06B0B" w:rsidP="00C80112">
      <w:pPr>
        <w:pStyle w:val="ListParagraph"/>
        <w:numPr>
          <w:ilvl w:val="0"/>
          <w:numId w:val="36"/>
        </w:numPr>
        <w:spacing w:before="0" w:after="0" w:line="240" w:lineRule="auto"/>
        <w:rPr>
          <w:rFonts w:ascii="Arial" w:hAnsi="Arial" w:cs="Arial"/>
          <w:noProof/>
          <w:sz w:val="22"/>
          <w:szCs w:val="22"/>
          <w:lang w:val="en-US"/>
        </w:rPr>
      </w:pPr>
      <w:r w:rsidRPr="00340346">
        <w:rPr>
          <w:rFonts w:ascii="Arial" w:hAnsi="Arial" w:cs="Arial"/>
          <w:noProof/>
          <w:sz w:val="22"/>
          <w:szCs w:val="22"/>
          <w:lang w:val="en-US"/>
        </w:rPr>
        <w:t>CAME (Adviser)/ Jinko Solar (BD) – Luz María Barbero</w:t>
      </w:r>
    </w:p>
    <w:p w14:paraId="3C1B99CC" w14:textId="77777777" w:rsidR="0003607B" w:rsidRPr="00340346" w:rsidRDefault="00E06B0B" w:rsidP="00C80112">
      <w:pPr>
        <w:pStyle w:val="ListParagraph"/>
        <w:numPr>
          <w:ilvl w:val="0"/>
          <w:numId w:val="36"/>
        </w:numPr>
        <w:spacing w:before="0" w:after="0" w:line="240" w:lineRule="auto"/>
        <w:rPr>
          <w:rFonts w:ascii="Arial" w:hAnsi="Arial" w:cs="Arial"/>
          <w:noProof/>
          <w:sz w:val="22"/>
          <w:szCs w:val="22"/>
          <w:lang w:val="en-US"/>
        </w:rPr>
        <w:sectPr w:rsidR="0003607B" w:rsidRPr="00340346" w:rsidSect="00F46E6A">
          <w:type w:val="continuous"/>
          <w:pgSz w:w="11900" w:h="16840"/>
          <w:pgMar w:top="1985" w:right="1417" w:bottom="1134" w:left="1417" w:header="708" w:footer="708" w:gutter="0"/>
          <w:pgNumType w:start="1"/>
          <w:cols w:space="708"/>
          <w:titlePg/>
          <w:docGrid w:linePitch="360"/>
        </w:sectPr>
      </w:pPr>
      <w:r w:rsidRPr="00340346">
        <w:rPr>
          <w:rFonts w:ascii="Arial" w:hAnsi="Arial" w:cs="Arial"/>
          <w:noProof/>
          <w:sz w:val="22"/>
          <w:szCs w:val="22"/>
          <w:lang w:val="en-US"/>
        </w:rPr>
        <w:t>Alejandro Motta – Investor and consultant; green entrepreneurship in Rosario</w:t>
      </w:r>
    </w:p>
    <w:p w14:paraId="09E7EFA5" w14:textId="77777777" w:rsidR="002A180E" w:rsidRPr="00340346" w:rsidRDefault="00740308" w:rsidP="00C80112">
      <w:pPr>
        <w:pStyle w:val="SecHeading"/>
        <w:rPr>
          <w:rFonts w:ascii="Arial" w:hAnsi="Arial" w:cs="Arial"/>
          <w:noProof/>
          <w:sz w:val="22"/>
          <w:szCs w:val="22"/>
          <w:lang w:val="en-US"/>
        </w:rPr>
      </w:pPr>
      <w:bookmarkStart w:id="599" w:name="_Toc504671074"/>
      <w:r w:rsidRPr="00340346">
        <w:rPr>
          <w:rFonts w:ascii="Arial" w:hAnsi="Arial" w:cs="Arial"/>
          <w:noProof/>
          <w:sz w:val="22"/>
          <w:szCs w:val="22"/>
          <w:lang w:val="en-US"/>
        </w:rPr>
        <w:lastRenderedPageBreak/>
        <w:t>Evaluation Matrix</w:t>
      </w:r>
      <w:bookmarkEnd w:id="599"/>
    </w:p>
    <w:p w14:paraId="21E139D3" w14:textId="77777777" w:rsidR="00E06B0B" w:rsidRPr="00340346" w:rsidRDefault="002A180E" w:rsidP="00C80112">
      <w:pPr>
        <w:ind w:left="588" w:firstLine="708"/>
        <w:rPr>
          <w:rFonts w:ascii="Arial" w:hAnsi="Arial" w:cs="Arial"/>
          <w:noProof/>
          <w:sz w:val="22"/>
          <w:szCs w:val="22"/>
          <w:lang w:val="en-US"/>
        </w:rPr>
      </w:pPr>
      <w:bookmarkStart w:id="600" w:name="_Toc504671075"/>
      <w:r w:rsidRPr="00340346">
        <w:rPr>
          <w:rFonts w:ascii="Arial" w:hAnsi="Arial" w:cs="Arial"/>
          <w:noProof/>
          <w:sz w:val="22"/>
          <w:szCs w:val="22"/>
          <w:lang w:val="en-US"/>
        </w:rPr>
        <w:t>Technology Evaluation</w:t>
      </w:r>
      <w:bookmarkEnd w:id="600"/>
    </w:p>
    <w:tbl>
      <w:tblPr>
        <w:tblpPr w:leftFromText="141" w:rightFromText="141" w:vertAnchor="text" w:horzAnchor="page" w:tblpX="1367" w:tblpY="330"/>
        <w:tblW w:w="14426" w:type="dxa"/>
        <w:tblLayout w:type="fixed"/>
        <w:tblCellMar>
          <w:left w:w="70" w:type="dxa"/>
          <w:right w:w="70" w:type="dxa"/>
        </w:tblCellMar>
        <w:tblLook w:val="04A0" w:firstRow="1" w:lastRow="0" w:firstColumn="1" w:lastColumn="0" w:noHBand="0" w:noVBand="1"/>
      </w:tblPr>
      <w:tblGrid>
        <w:gridCol w:w="525"/>
        <w:gridCol w:w="2097"/>
        <w:gridCol w:w="2308"/>
        <w:gridCol w:w="2070"/>
        <w:gridCol w:w="709"/>
        <w:gridCol w:w="708"/>
        <w:gridCol w:w="778"/>
        <w:gridCol w:w="640"/>
        <w:gridCol w:w="709"/>
        <w:gridCol w:w="708"/>
        <w:gridCol w:w="709"/>
        <w:gridCol w:w="709"/>
        <w:gridCol w:w="850"/>
        <w:gridCol w:w="906"/>
      </w:tblGrid>
      <w:tr w:rsidR="00F80266" w:rsidRPr="00340346" w14:paraId="7F251EDA" w14:textId="77777777" w:rsidTr="00C80112">
        <w:trPr>
          <w:trHeight w:val="300"/>
          <w:tblHeader/>
        </w:trPr>
        <w:tc>
          <w:tcPr>
            <w:tcW w:w="5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587425E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w:t>
            </w:r>
          </w:p>
        </w:tc>
        <w:tc>
          <w:tcPr>
            <w:tcW w:w="2097" w:type="dxa"/>
            <w:tcBorders>
              <w:top w:val="single" w:sz="4" w:space="0" w:color="auto"/>
              <w:left w:val="nil"/>
              <w:bottom w:val="single" w:sz="4" w:space="0" w:color="auto"/>
              <w:right w:val="single" w:sz="4" w:space="0" w:color="auto"/>
            </w:tcBorders>
            <w:shd w:val="clear" w:color="auto" w:fill="D9D9D9" w:themeFill="background1" w:themeFillShade="D9"/>
            <w:hideMark/>
          </w:tcPr>
          <w:p w14:paraId="7ADFB98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w:t>
            </w:r>
          </w:p>
        </w:tc>
        <w:tc>
          <w:tcPr>
            <w:tcW w:w="2308" w:type="dxa"/>
            <w:tcBorders>
              <w:top w:val="single" w:sz="4" w:space="0" w:color="auto"/>
              <w:left w:val="nil"/>
              <w:bottom w:val="single" w:sz="4" w:space="0" w:color="auto"/>
              <w:right w:val="single" w:sz="4" w:space="0" w:color="auto"/>
            </w:tcBorders>
            <w:shd w:val="clear" w:color="auto" w:fill="D9D9D9" w:themeFill="background1" w:themeFillShade="D9"/>
            <w:hideMark/>
          </w:tcPr>
          <w:p w14:paraId="73DC83D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w:t>
            </w:r>
          </w:p>
        </w:tc>
        <w:tc>
          <w:tcPr>
            <w:tcW w:w="2070" w:type="dxa"/>
            <w:tcBorders>
              <w:top w:val="single" w:sz="4" w:space="0" w:color="auto"/>
              <w:left w:val="nil"/>
              <w:bottom w:val="single" w:sz="4" w:space="0" w:color="auto"/>
              <w:right w:val="single" w:sz="4" w:space="0" w:color="auto"/>
            </w:tcBorders>
            <w:shd w:val="clear" w:color="auto" w:fill="D9D9D9" w:themeFill="background1" w:themeFillShade="D9"/>
            <w:hideMark/>
          </w:tcPr>
          <w:p w14:paraId="6DBAEA9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hideMark/>
          </w:tcPr>
          <w:p w14:paraId="36C62C5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708" w:type="dxa"/>
            <w:tcBorders>
              <w:top w:val="single" w:sz="4" w:space="0" w:color="auto"/>
              <w:left w:val="nil"/>
              <w:bottom w:val="single" w:sz="4" w:space="0" w:color="auto"/>
              <w:right w:val="single" w:sz="4" w:space="0" w:color="auto"/>
            </w:tcBorders>
            <w:shd w:val="clear" w:color="auto" w:fill="D9D9D9" w:themeFill="background1" w:themeFillShade="D9"/>
            <w:hideMark/>
          </w:tcPr>
          <w:p w14:paraId="6BA1150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78" w:type="dxa"/>
            <w:tcBorders>
              <w:top w:val="single" w:sz="4" w:space="0" w:color="auto"/>
              <w:left w:val="nil"/>
              <w:bottom w:val="single" w:sz="4" w:space="0" w:color="auto"/>
              <w:right w:val="single" w:sz="4" w:space="0" w:color="auto"/>
            </w:tcBorders>
            <w:shd w:val="clear" w:color="auto" w:fill="D9D9D9" w:themeFill="background1" w:themeFillShade="D9"/>
            <w:hideMark/>
          </w:tcPr>
          <w:p w14:paraId="1DB153B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640" w:type="dxa"/>
            <w:tcBorders>
              <w:top w:val="single" w:sz="4" w:space="0" w:color="auto"/>
              <w:left w:val="nil"/>
              <w:bottom w:val="single" w:sz="4" w:space="0" w:color="auto"/>
              <w:right w:val="single" w:sz="4" w:space="0" w:color="auto"/>
            </w:tcBorders>
            <w:shd w:val="clear" w:color="auto" w:fill="D9D9D9" w:themeFill="background1" w:themeFillShade="D9"/>
            <w:hideMark/>
          </w:tcPr>
          <w:p w14:paraId="36E54BC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hideMark/>
          </w:tcPr>
          <w:p w14:paraId="1597EE6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8" w:type="dxa"/>
            <w:tcBorders>
              <w:top w:val="single" w:sz="4" w:space="0" w:color="auto"/>
              <w:left w:val="nil"/>
              <w:bottom w:val="single" w:sz="4" w:space="0" w:color="auto"/>
              <w:right w:val="single" w:sz="4" w:space="0" w:color="auto"/>
            </w:tcBorders>
            <w:shd w:val="clear" w:color="auto" w:fill="D9D9D9" w:themeFill="background1" w:themeFillShade="D9"/>
            <w:hideMark/>
          </w:tcPr>
          <w:p w14:paraId="00A19D3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hideMark/>
          </w:tcPr>
          <w:p w14:paraId="531A135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7</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hideMark/>
          </w:tcPr>
          <w:p w14:paraId="2A65A75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8</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hideMark/>
          </w:tcPr>
          <w:p w14:paraId="18D1574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9</w:t>
            </w:r>
          </w:p>
        </w:tc>
        <w:tc>
          <w:tcPr>
            <w:tcW w:w="906"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20EDC4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w:t>
            </w:r>
          </w:p>
        </w:tc>
      </w:tr>
      <w:tr w:rsidR="00F80266" w:rsidRPr="00340346" w14:paraId="30BF1705" w14:textId="77777777" w:rsidTr="00C80112">
        <w:trPr>
          <w:cantSplit/>
          <w:trHeight w:val="2840"/>
          <w:tblHeader/>
        </w:trPr>
        <w:tc>
          <w:tcPr>
            <w:tcW w:w="525" w:type="dxa"/>
            <w:tcBorders>
              <w:top w:val="nil"/>
              <w:left w:val="single" w:sz="4" w:space="0" w:color="auto"/>
              <w:bottom w:val="single" w:sz="4" w:space="0" w:color="auto"/>
              <w:right w:val="single" w:sz="4" w:space="0" w:color="auto"/>
            </w:tcBorders>
            <w:shd w:val="clear" w:color="auto" w:fill="D9D9D9" w:themeFill="background1" w:themeFillShade="D9"/>
            <w:noWrap/>
            <w:hideMark/>
          </w:tcPr>
          <w:p w14:paraId="4E1D7E9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NO.</w:t>
            </w:r>
          </w:p>
        </w:tc>
        <w:tc>
          <w:tcPr>
            <w:tcW w:w="2097" w:type="dxa"/>
            <w:tcBorders>
              <w:top w:val="nil"/>
              <w:left w:val="nil"/>
              <w:bottom w:val="single" w:sz="4" w:space="0" w:color="auto"/>
              <w:right w:val="single" w:sz="4" w:space="0" w:color="auto"/>
            </w:tcBorders>
            <w:shd w:val="clear" w:color="auto" w:fill="D9D9D9" w:themeFill="background1" w:themeFillShade="D9"/>
            <w:hideMark/>
          </w:tcPr>
          <w:p w14:paraId="5C8E483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Technology</w:t>
            </w:r>
          </w:p>
        </w:tc>
        <w:tc>
          <w:tcPr>
            <w:tcW w:w="2308" w:type="dxa"/>
            <w:tcBorders>
              <w:top w:val="nil"/>
              <w:left w:val="nil"/>
              <w:bottom w:val="single" w:sz="4" w:space="0" w:color="auto"/>
              <w:right w:val="single" w:sz="4" w:space="0" w:color="auto"/>
            </w:tcBorders>
            <w:shd w:val="clear" w:color="auto" w:fill="D9D9D9" w:themeFill="background1" w:themeFillShade="D9"/>
            <w:hideMark/>
          </w:tcPr>
          <w:p w14:paraId="5974316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Sectors</w:t>
            </w:r>
          </w:p>
        </w:tc>
        <w:tc>
          <w:tcPr>
            <w:tcW w:w="2070" w:type="dxa"/>
            <w:tcBorders>
              <w:top w:val="nil"/>
              <w:left w:val="nil"/>
              <w:bottom w:val="single" w:sz="4" w:space="0" w:color="auto"/>
              <w:right w:val="single" w:sz="4" w:space="0" w:color="auto"/>
            </w:tcBorders>
            <w:shd w:val="clear" w:color="auto" w:fill="D9D9D9" w:themeFill="background1" w:themeFillShade="D9"/>
            <w:hideMark/>
          </w:tcPr>
          <w:p w14:paraId="59981FB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Description</w:t>
            </w:r>
          </w:p>
        </w:tc>
        <w:tc>
          <w:tcPr>
            <w:tcW w:w="709" w:type="dxa"/>
            <w:tcBorders>
              <w:top w:val="nil"/>
              <w:left w:val="nil"/>
              <w:bottom w:val="single" w:sz="4" w:space="0" w:color="auto"/>
              <w:right w:val="single" w:sz="4" w:space="0" w:color="auto"/>
            </w:tcBorders>
            <w:shd w:val="clear" w:color="auto" w:fill="D9D9D9" w:themeFill="background1" w:themeFillShade="D9"/>
            <w:textDirection w:val="btLr"/>
            <w:hideMark/>
          </w:tcPr>
          <w:p w14:paraId="3C04E35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Client profitability</w:t>
            </w:r>
          </w:p>
        </w:tc>
        <w:tc>
          <w:tcPr>
            <w:tcW w:w="708" w:type="dxa"/>
            <w:tcBorders>
              <w:top w:val="nil"/>
              <w:left w:val="nil"/>
              <w:bottom w:val="single" w:sz="4" w:space="0" w:color="auto"/>
              <w:right w:val="single" w:sz="4" w:space="0" w:color="auto"/>
            </w:tcBorders>
            <w:shd w:val="clear" w:color="auto" w:fill="D9D9D9" w:themeFill="background1" w:themeFillShade="D9"/>
            <w:textDirection w:val="btLr"/>
            <w:hideMark/>
          </w:tcPr>
          <w:p w14:paraId="2292DEE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Availability of long-established suppliers</w:t>
            </w:r>
          </w:p>
        </w:tc>
        <w:tc>
          <w:tcPr>
            <w:tcW w:w="778" w:type="dxa"/>
            <w:tcBorders>
              <w:top w:val="nil"/>
              <w:left w:val="nil"/>
              <w:bottom w:val="single" w:sz="4" w:space="0" w:color="auto"/>
              <w:right w:val="single" w:sz="4" w:space="0" w:color="auto"/>
            </w:tcBorders>
            <w:shd w:val="clear" w:color="auto" w:fill="D9D9D9" w:themeFill="background1" w:themeFillShade="D9"/>
            <w:textDirection w:val="btLr"/>
            <w:hideMark/>
          </w:tcPr>
          <w:p w14:paraId="777EB46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Existence of incentives or policies that support the technological implementation</w:t>
            </w:r>
          </w:p>
        </w:tc>
        <w:tc>
          <w:tcPr>
            <w:tcW w:w="640" w:type="dxa"/>
            <w:tcBorders>
              <w:top w:val="nil"/>
              <w:left w:val="nil"/>
              <w:bottom w:val="single" w:sz="4" w:space="0" w:color="auto"/>
              <w:right w:val="single" w:sz="4" w:space="0" w:color="auto"/>
            </w:tcBorders>
            <w:shd w:val="clear" w:color="auto" w:fill="D9D9D9" w:themeFill="background1" w:themeFillShade="D9"/>
            <w:textDirection w:val="btLr"/>
            <w:hideMark/>
          </w:tcPr>
          <w:p w14:paraId="52DD091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Potential to reduce GHG</w:t>
            </w:r>
          </w:p>
        </w:tc>
        <w:tc>
          <w:tcPr>
            <w:tcW w:w="709" w:type="dxa"/>
            <w:tcBorders>
              <w:top w:val="nil"/>
              <w:left w:val="nil"/>
              <w:bottom w:val="single" w:sz="4" w:space="0" w:color="auto"/>
              <w:right w:val="single" w:sz="4" w:space="0" w:color="auto"/>
            </w:tcBorders>
            <w:shd w:val="clear" w:color="auto" w:fill="D9D9D9" w:themeFill="background1" w:themeFillShade="D9"/>
            <w:textDirection w:val="btLr"/>
            <w:hideMark/>
          </w:tcPr>
          <w:p w14:paraId="04B1F66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Clients’ interest in the technology</w:t>
            </w:r>
          </w:p>
        </w:tc>
        <w:tc>
          <w:tcPr>
            <w:tcW w:w="708" w:type="dxa"/>
            <w:tcBorders>
              <w:top w:val="nil"/>
              <w:left w:val="nil"/>
              <w:bottom w:val="single" w:sz="4" w:space="0" w:color="auto"/>
              <w:right w:val="single" w:sz="4" w:space="0" w:color="auto"/>
            </w:tcBorders>
            <w:shd w:val="clear" w:color="auto" w:fill="D9D9D9" w:themeFill="background1" w:themeFillShade="D9"/>
            <w:textDirection w:val="btLr"/>
            <w:hideMark/>
          </w:tcPr>
          <w:p w14:paraId="3A46480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Existence of partnerships of technology suppliers</w:t>
            </w:r>
          </w:p>
        </w:tc>
        <w:tc>
          <w:tcPr>
            <w:tcW w:w="709" w:type="dxa"/>
            <w:tcBorders>
              <w:top w:val="nil"/>
              <w:left w:val="nil"/>
              <w:bottom w:val="single" w:sz="4" w:space="0" w:color="auto"/>
              <w:right w:val="single" w:sz="4" w:space="0" w:color="auto"/>
            </w:tcBorders>
            <w:shd w:val="clear" w:color="auto" w:fill="D9D9D9" w:themeFill="background1" w:themeFillShade="D9"/>
            <w:textDirection w:val="btLr"/>
            <w:hideMark/>
          </w:tcPr>
          <w:p w14:paraId="3545E50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Simplicity of implementation (possibility of standardization)</w:t>
            </w:r>
          </w:p>
        </w:tc>
        <w:tc>
          <w:tcPr>
            <w:tcW w:w="709" w:type="dxa"/>
            <w:tcBorders>
              <w:top w:val="nil"/>
              <w:left w:val="nil"/>
              <w:bottom w:val="single" w:sz="4" w:space="0" w:color="auto"/>
              <w:right w:val="single" w:sz="4" w:space="0" w:color="auto"/>
            </w:tcBorders>
            <w:shd w:val="clear" w:color="auto" w:fill="D9D9D9" w:themeFill="background1" w:themeFillShade="D9"/>
            <w:textDirection w:val="btLr"/>
            <w:hideMark/>
          </w:tcPr>
          <w:p w14:paraId="556FDEA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There is a real current demand for the technology</w:t>
            </w:r>
          </w:p>
        </w:tc>
        <w:tc>
          <w:tcPr>
            <w:tcW w:w="850" w:type="dxa"/>
            <w:tcBorders>
              <w:top w:val="nil"/>
              <w:left w:val="nil"/>
              <w:bottom w:val="single" w:sz="4" w:space="0" w:color="auto"/>
              <w:right w:val="single" w:sz="4" w:space="0" w:color="auto"/>
            </w:tcBorders>
            <w:shd w:val="clear" w:color="auto" w:fill="D9D9D9" w:themeFill="background1" w:themeFillShade="D9"/>
            <w:textDirection w:val="btLr"/>
            <w:hideMark/>
          </w:tcPr>
          <w:p w14:paraId="3FBDDE2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xml:space="preserve">Impact of the solution on the operating costs structure </w:t>
            </w:r>
          </w:p>
        </w:tc>
        <w:tc>
          <w:tcPr>
            <w:tcW w:w="906" w:type="dxa"/>
            <w:tcBorders>
              <w:top w:val="nil"/>
              <w:left w:val="nil"/>
              <w:bottom w:val="single" w:sz="4" w:space="0" w:color="auto"/>
              <w:right w:val="single" w:sz="4" w:space="0" w:color="auto"/>
            </w:tcBorders>
            <w:shd w:val="clear" w:color="auto" w:fill="D9D9D9" w:themeFill="background1" w:themeFillShade="D9"/>
            <w:hideMark/>
          </w:tcPr>
          <w:p w14:paraId="7201239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Total</w:t>
            </w:r>
          </w:p>
        </w:tc>
      </w:tr>
      <w:tr w:rsidR="00F80266" w:rsidRPr="00340346" w14:paraId="363FA64B" w14:textId="77777777" w:rsidTr="00C80112">
        <w:trPr>
          <w:trHeight w:val="300"/>
          <w:tblHeader/>
        </w:trPr>
        <w:tc>
          <w:tcPr>
            <w:tcW w:w="525" w:type="dxa"/>
            <w:tcBorders>
              <w:top w:val="nil"/>
              <w:left w:val="single" w:sz="4" w:space="0" w:color="auto"/>
              <w:bottom w:val="single" w:sz="4" w:space="0" w:color="auto"/>
              <w:right w:val="single" w:sz="4" w:space="0" w:color="auto"/>
            </w:tcBorders>
            <w:shd w:val="clear" w:color="auto" w:fill="D9D9D9" w:themeFill="background1" w:themeFillShade="D9"/>
            <w:noWrap/>
            <w:hideMark/>
          </w:tcPr>
          <w:p w14:paraId="2DE2F97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w:t>
            </w:r>
          </w:p>
        </w:tc>
        <w:tc>
          <w:tcPr>
            <w:tcW w:w="2097" w:type="dxa"/>
            <w:tcBorders>
              <w:top w:val="nil"/>
              <w:left w:val="nil"/>
              <w:bottom w:val="single" w:sz="4" w:space="0" w:color="auto"/>
              <w:right w:val="single" w:sz="4" w:space="0" w:color="auto"/>
            </w:tcBorders>
            <w:shd w:val="clear" w:color="auto" w:fill="D9D9D9" w:themeFill="background1" w:themeFillShade="D9"/>
            <w:hideMark/>
          </w:tcPr>
          <w:p w14:paraId="77889A6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w:t>
            </w:r>
          </w:p>
        </w:tc>
        <w:tc>
          <w:tcPr>
            <w:tcW w:w="2308" w:type="dxa"/>
            <w:tcBorders>
              <w:top w:val="nil"/>
              <w:left w:val="nil"/>
              <w:bottom w:val="single" w:sz="4" w:space="0" w:color="auto"/>
              <w:right w:val="single" w:sz="4" w:space="0" w:color="auto"/>
            </w:tcBorders>
            <w:shd w:val="clear" w:color="auto" w:fill="D9D9D9" w:themeFill="background1" w:themeFillShade="D9"/>
            <w:hideMark/>
          </w:tcPr>
          <w:p w14:paraId="4E9925C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w:t>
            </w:r>
          </w:p>
        </w:tc>
        <w:tc>
          <w:tcPr>
            <w:tcW w:w="2070" w:type="dxa"/>
            <w:tcBorders>
              <w:top w:val="nil"/>
              <w:left w:val="nil"/>
              <w:bottom w:val="single" w:sz="4" w:space="0" w:color="auto"/>
              <w:right w:val="single" w:sz="4" w:space="0" w:color="auto"/>
            </w:tcBorders>
            <w:shd w:val="clear" w:color="auto" w:fill="D9D9D9" w:themeFill="background1" w:themeFillShade="D9"/>
            <w:hideMark/>
          </w:tcPr>
          <w:p w14:paraId="644B4FE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w:t>
            </w:r>
          </w:p>
        </w:tc>
        <w:tc>
          <w:tcPr>
            <w:tcW w:w="709" w:type="dxa"/>
            <w:tcBorders>
              <w:top w:val="nil"/>
              <w:left w:val="nil"/>
              <w:bottom w:val="single" w:sz="4" w:space="0" w:color="auto"/>
              <w:right w:val="single" w:sz="4" w:space="0" w:color="auto"/>
            </w:tcBorders>
            <w:shd w:val="clear" w:color="auto" w:fill="D9D9D9" w:themeFill="background1" w:themeFillShade="D9"/>
            <w:hideMark/>
          </w:tcPr>
          <w:p w14:paraId="38465B5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100</w:t>
            </w:r>
          </w:p>
        </w:tc>
        <w:tc>
          <w:tcPr>
            <w:tcW w:w="708" w:type="dxa"/>
            <w:tcBorders>
              <w:top w:val="nil"/>
              <w:left w:val="nil"/>
              <w:bottom w:val="single" w:sz="4" w:space="0" w:color="auto"/>
              <w:right w:val="single" w:sz="4" w:space="0" w:color="auto"/>
            </w:tcBorders>
            <w:shd w:val="clear" w:color="auto" w:fill="D9D9D9" w:themeFill="background1" w:themeFillShade="D9"/>
            <w:hideMark/>
          </w:tcPr>
          <w:p w14:paraId="7E2AF86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60</w:t>
            </w:r>
          </w:p>
        </w:tc>
        <w:tc>
          <w:tcPr>
            <w:tcW w:w="778" w:type="dxa"/>
            <w:tcBorders>
              <w:top w:val="nil"/>
              <w:left w:val="nil"/>
              <w:bottom w:val="single" w:sz="4" w:space="0" w:color="auto"/>
              <w:right w:val="single" w:sz="4" w:space="0" w:color="auto"/>
            </w:tcBorders>
            <w:shd w:val="clear" w:color="auto" w:fill="D9D9D9" w:themeFill="background1" w:themeFillShade="D9"/>
            <w:hideMark/>
          </w:tcPr>
          <w:p w14:paraId="5189C6B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50</w:t>
            </w:r>
          </w:p>
        </w:tc>
        <w:tc>
          <w:tcPr>
            <w:tcW w:w="640" w:type="dxa"/>
            <w:tcBorders>
              <w:top w:val="nil"/>
              <w:left w:val="nil"/>
              <w:bottom w:val="single" w:sz="4" w:space="0" w:color="auto"/>
              <w:right w:val="single" w:sz="4" w:space="0" w:color="auto"/>
            </w:tcBorders>
            <w:shd w:val="clear" w:color="auto" w:fill="D9D9D9" w:themeFill="background1" w:themeFillShade="D9"/>
            <w:hideMark/>
          </w:tcPr>
          <w:p w14:paraId="2D9A29C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100</w:t>
            </w:r>
          </w:p>
        </w:tc>
        <w:tc>
          <w:tcPr>
            <w:tcW w:w="709" w:type="dxa"/>
            <w:tcBorders>
              <w:top w:val="nil"/>
              <w:left w:val="nil"/>
              <w:bottom w:val="single" w:sz="4" w:space="0" w:color="auto"/>
              <w:right w:val="single" w:sz="4" w:space="0" w:color="auto"/>
            </w:tcBorders>
            <w:shd w:val="clear" w:color="auto" w:fill="D9D9D9" w:themeFill="background1" w:themeFillShade="D9"/>
            <w:hideMark/>
          </w:tcPr>
          <w:p w14:paraId="0E41D7C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50</w:t>
            </w:r>
          </w:p>
        </w:tc>
        <w:tc>
          <w:tcPr>
            <w:tcW w:w="708" w:type="dxa"/>
            <w:tcBorders>
              <w:top w:val="nil"/>
              <w:left w:val="nil"/>
              <w:bottom w:val="single" w:sz="4" w:space="0" w:color="auto"/>
              <w:right w:val="single" w:sz="4" w:space="0" w:color="auto"/>
            </w:tcBorders>
            <w:shd w:val="clear" w:color="auto" w:fill="D9D9D9" w:themeFill="background1" w:themeFillShade="D9"/>
            <w:hideMark/>
          </w:tcPr>
          <w:p w14:paraId="0F003D1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30</w:t>
            </w:r>
          </w:p>
        </w:tc>
        <w:tc>
          <w:tcPr>
            <w:tcW w:w="709" w:type="dxa"/>
            <w:tcBorders>
              <w:top w:val="nil"/>
              <w:left w:val="nil"/>
              <w:bottom w:val="single" w:sz="4" w:space="0" w:color="auto"/>
              <w:right w:val="single" w:sz="4" w:space="0" w:color="auto"/>
            </w:tcBorders>
            <w:shd w:val="clear" w:color="auto" w:fill="D9D9D9" w:themeFill="background1" w:themeFillShade="D9"/>
            <w:hideMark/>
          </w:tcPr>
          <w:p w14:paraId="1733A97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80</w:t>
            </w:r>
          </w:p>
        </w:tc>
        <w:tc>
          <w:tcPr>
            <w:tcW w:w="709" w:type="dxa"/>
            <w:tcBorders>
              <w:top w:val="nil"/>
              <w:left w:val="nil"/>
              <w:bottom w:val="single" w:sz="4" w:space="0" w:color="auto"/>
              <w:right w:val="single" w:sz="4" w:space="0" w:color="auto"/>
            </w:tcBorders>
            <w:shd w:val="clear" w:color="auto" w:fill="D9D9D9" w:themeFill="background1" w:themeFillShade="D9"/>
            <w:hideMark/>
          </w:tcPr>
          <w:p w14:paraId="33F9107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50</w:t>
            </w:r>
          </w:p>
        </w:tc>
        <w:tc>
          <w:tcPr>
            <w:tcW w:w="850" w:type="dxa"/>
            <w:tcBorders>
              <w:top w:val="nil"/>
              <w:left w:val="nil"/>
              <w:bottom w:val="single" w:sz="4" w:space="0" w:color="auto"/>
              <w:right w:val="single" w:sz="4" w:space="0" w:color="auto"/>
            </w:tcBorders>
            <w:shd w:val="clear" w:color="auto" w:fill="D9D9D9" w:themeFill="background1" w:themeFillShade="D9"/>
            <w:hideMark/>
          </w:tcPr>
          <w:p w14:paraId="74F9CE6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70</w:t>
            </w:r>
          </w:p>
        </w:tc>
        <w:tc>
          <w:tcPr>
            <w:tcW w:w="906" w:type="dxa"/>
            <w:tcBorders>
              <w:top w:val="nil"/>
              <w:left w:val="nil"/>
              <w:bottom w:val="single" w:sz="4" w:space="0" w:color="auto"/>
              <w:right w:val="single" w:sz="4" w:space="0" w:color="auto"/>
            </w:tcBorders>
            <w:shd w:val="clear" w:color="auto" w:fill="D9D9D9" w:themeFill="background1" w:themeFillShade="D9"/>
            <w:hideMark/>
          </w:tcPr>
          <w:p w14:paraId="2E70BE42" w14:textId="77777777" w:rsidR="002A180E" w:rsidRPr="00340346" w:rsidRDefault="002A180E" w:rsidP="00C80112">
            <w:pPr>
              <w:spacing w:before="0" w:after="0" w:line="240" w:lineRule="auto"/>
              <w:jc w:val="left"/>
              <w:rPr>
                <w:rFonts w:ascii="Arial" w:hAnsi="Arial" w:cs="Arial"/>
                <w:noProof/>
                <w:sz w:val="22"/>
                <w:szCs w:val="22"/>
                <w:lang w:val="en-US"/>
              </w:rPr>
            </w:pPr>
          </w:p>
        </w:tc>
      </w:tr>
      <w:tr w:rsidR="002A180E" w:rsidRPr="00340346" w14:paraId="4419261F" w14:textId="77777777" w:rsidTr="00C80112">
        <w:trPr>
          <w:trHeight w:val="600"/>
        </w:trPr>
        <w:tc>
          <w:tcPr>
            <w:tcW w:w="525" w:type="dxa"/>
            <w:tcBorders>
              <w:top w:val="nil"/>
              <w:left w:val="single" w:sz="4" w:space="0" w:color="auto"/>
              <w:bottom w:val="single" w:sz="4" w:space="0" w:color="auto"/>
              <w:right w:val="single" w:sz="4" w:space="0" w:color="auto"/>
            </w:tcBorders>
            <w:shd w:val="clear" w:color="auto" w:fill="auto"/>
            <w:noWrap/>
            <w:hideMark/>
          </w:tcPr>
          <w:p w14:paraId="42DB6D8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2097" w:type="dxa"/>
            <w:tcBorders>
              <w:top w:val="nil"/>
              <w:left w:val="nil"/>
              <w:bottom w:val="single" w:sz="4" w:space="0" w:color="auto"/>
              <w:right w:val="single" w:sz="4" w:space="0" w:color="auto"/>
            </w:tcBorders>
            <w:shd w:val="clear" w:color="auto" w:fill="auto"/>
            <w:hideMark/>
          </w:tcPr>
          <w:p w14:paraId="7706A00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Biogas Plants</w:t>
            </w:r>
          </w:p>
        </w:tc>
        <w:tc>
          <w:tcPr>
            <w:tcW w:w="2308" w:type="dxa"/>
            <w:tcBorders>
              <w:top w:val="nil"/>
              <w:left w:val="nil"/>
              <w:bottom w:val="single" w:sz="4" w:space="0" w:color="auto"/>
              <w:right w:val="single" w:sz="4" w:space="0" w:color="auto"/>
            </w:tcBorders>
            <w:shd w:val="clear" w:color="auto" w:fill="auto"/>
            <w:hideMark/>
          </w:tcPr>
          <w:p w14:paraId="5436E6C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Agroindustrial Sector (e.g., food processing)</w:t>
            </w:r>
          </w:p>
        </w:tc>
        <w:tc>
          <w:tcPr>
            <w:tcW w:w="2070" w:type="dxa"/>
            <w:tcBorders>
              <w:top w:val="nil"/>
              <w:left w:val="nil"/>
              <w:bottom w:val="single" w:sz="4" w:space="0" w:color="auto"/>
              <w:right w:val="single" w:sz="4" w:space="0" w:color="auto"/>
            </w:tcBorders>
            <w:shd w:val="clear" w:color="auto" w:fill="auto"/>
            <w:hideMark/>
          </w:tcPr>
          <w:p w14:paraId="5940CC1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Sale of the Network</w:t>
            </w:r>
            <w:r w:rsidRPr="00340346">
              <w:rPr>
                <w:rFonts w:ascii="Arial" w:hAnsi="Arial" w:cs="Arial"/>
                <w:noProof/>
                <w:sz w:val="22"/>
                <w:szCs w:val="22"/>
                <w:lang w:val="en-US"/>
              </w:rPr>
              <w:br/>
              <w:t>Self-consumption</w:t>
            </w:r>
          </w:p>
        </w:tc>
        <w:tc>
          <w:tcPr>
            <w:tcW w:w="709" w:type="dxa"/>
            <w:tcBorders>
              <w:top w:val="nil"/>
              <w:left w:val="nil"/>
              <w:bottom w:val="single" w:sz="4" w:space="0" w:color="auto"/>
              <w:right w:val="single" w:sz="4" w:space="0" w:color="auto"/>
            </w:tcBorders>
            <w:shd w:val="clear" w:color="auto" w:fill="auto"/>
            <w:noWrap/>
            <w:hideMark/>
          </w:tcPr>
          <w:p w14:paraId="25E2801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7D590E9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78" w:type="dxa"/>
            <w:tcBorders>
              <w:top w:val="nil"/>
              <w:left w:val="nil"/>
              <w:bottom w:val="single" w:sz="4" w:space="0" w:color="auto"/>
              <w:right w:val="single" w:sz="4" w:space="0" w:color="auto"/>
            </w:tcBorders>
            <w:shd w:val="clear" w:color="auto" w:fill="auto"/>
            <w:noWrap/>
            <w:hideMark/>
          </w:tcPr>
          <w:p w14:paraId="5C91394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640" w:type="dxa"/>
            <w:tcBorders>
              <w:top w:val="nil"/>
              <w:left w:val="nil"/>
              <w:bottom w:val="single" w:sz="4" w:space="0" w:color="auto"/>
              <w:right w:val="single" w:sz="4" w:space="0" w:color="auto"/>
            </w:tcBorders>
            <w:shd w:val="clear" w:color="auto" w:fill="auto"/>
            <w:noWrap/>
            <w:hideMark/>
          </w:tcPr>
          <w:p w14:paraId="4A4E454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37C3DC3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6FE4827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2C6D466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7732A1F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850" w:type="dxa"/>
            <w:tcBorders>
              <w:top w:val="nil"/>
              <w:left w:val="nil"/>
              <w:bottom w:val="single" w:sz="4" w:space="0" w:color="auto"/>
              <w:right w:val="single" w:sz="4" w:space="0" w:color="auto"/>
            </w:tcBorders>
            <w:shd w:val="clear" w:color="auto" w:fill="auto"/>
            <w:noWrap/>
            <w:hideMark/>
          </w:tcPr>
          <w:p w14:paraId="6C7CD56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906" w:type="dxa"/>
            <w:tcBorders>
              <w:top w:val="nil"/>
              <w:left w:val="nil"/>
              <w:bottom w:val="single" w:sz="4" w:space="0" w:color="auto"/>
              <w:right w:val="single" w:sz="4" w:space="0" w:color="auto"/>
            </w:tcBorders>
            <w:shd w:val="clear" w:color="auto" w:fill="auto"/>
            <w:hideMark/>
          </w:tcPr>
          <w:p w14:paraId="0C12B0E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85%</w:t>
            </w:r>
          </w:p>
        </w:tc>
      </w:tr>
      <w:tr w:rsidR="002A180E" w:rsidRPr="00340346" w14:paraId="25A5328F" w14:textId="77777777" w:rsidTr="00C80112">
        <w:trPr>
          <w:trHeight w:val="900"/>
        </w:trPr>
        <w:tc>
          <w:tcPr>
            <w:tcW w:w="525" w:type="dxa"/>
            <w:tcBorders>
              <w:top w:val="nil"/>
              <w:left w:val="single" w:sz="4" w:space="0" w:color="auto"/>
              <w:bottom w:val="single" w:sz="4" w:space="0" w:color="auto"/>
              <w:right w:val="single" w:sz="4" w:space="0" w:color="auto"/>
            </w:tcBorders>
            <w:shd w:val="clear" w:color="auto" w:fill="auto"/>
            <w:noWrap/>
            <w:hideMark/>
          </w:tcPr>
          <w:p w14:paraId="13D8407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2097" w:type="dxa"/>
            <w:tcBorders>
              <w:top w:val="nil"/>
              <w:left w:val="nil"/>
              <w:bottom w:val="single" w:sz="4" w:space="0" w:color="auto"/>
              <w:right w:val="single" w:sz="4" w:space="0" w:color="auto"/>
            </w:tcBorders>
            <w:shd w:val="clear" w:color="auto" w:fill="auto"/>
            <w:hideMark/>
          </w:tcPr>
          <w:p w14:paraId="6A2CE5F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Biomass Plants</w:t>
            </w:r>
          </w:p>
        </w:tc>
        <w:tc>
          <w:tcPr>
            <w:tcW w:w="2308" w:type="dxa"/>
            <w:tcBorders>
              <w:top w:val="nil"/>
              <w:left w:val="nil"/>
              <w:bottom w:val="single" w:sz="4" w:space="0" w:color="auto"/>
              <w:right w:val="single" w:sz="4" w:space="0" w:color="auto"/>
            </w:tcBorders>
            <w:shd w:val="clear" w:color="auto" w:fill="auto"/>
            <w:hideMark/>
          </w:tcPr>
          <w:p w14:paraId="577F60C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Agroindustrial Sector (e.g., food processing) and Industry (e.g., paper, timber).</w:t>
            </w:r>
          </w:p>
        </w:tc>
        <w:tc>
          <w:tcPr>
            <w:tcW w:w="2070" w:type="dxa"/>
            <w:tcBorders>
              <w:top w:val="nil"/>
              <w:left w:val="nil"/>
              <w:bottom w:val="single" w:sz="4" w:space="0" w:color="auto"/>
              <w:right w:val="single" w:sz="4" w:space="0" w:color="auto"/>
            </w:tcBorders>
            <w:shd w:val="clear" w:color="auto" w:fill="auto"/>
            <w:hideMark/>
          </w:tcPr>
          <w:p w14:paraId="4CB01AD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Sale of the Network</w:t>
            </w:r>
            <w:r w:rsidRPr="00340346">
              <w:rPr>
                <w:rFonts w:ascii="Arial" w:hAnsi="Arial" w:cs="Arial"/>
                <w:noProof/>
                <w:sz w:val="22"/>
                <w:szCs w:val="22"/>
                <w:lang w:val="en-US"/>
              </w:rPr>
              <w:br/>
              <w:t>Self-consumption</w:t>
            </w:r>
          </w:p>
        </w:tc>
        <w:tc>
          <w:tcPr>
            <w:tcW w:w="709" w:type="dxa"/>
            <w:tcBorders>
              <w:top w:val="nil"/>
              <w:left w:val="nil"/>
              <w:bottom w:val="single" w:sz="4" w:space="0" w:color="auto"/>
              <w:right w:val="single" w:sz="4" w:space="0" w:color="auto"/>
            </w:tcBorders>
            <w:shd w:val="clear" w:color="auto" w:fill="auto"/>
            <w:noWrap/>
            <w:hideMark/>
          </w:tcPr>
          <w:p w14:paraId="1B02899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4B6442E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78" w:type="dxa"/>
            <w:tcBorders>
              <w:top w:val="nil"/>
              <w:left w:val="nil"/>
              <w:bottom w:val="single" w:sz="4" w:space="0" w:color="auto"/>
              <w:right w:val="single" w:sz="4" w:space="0" w:color="auto"/>
            </w:tcBorders>
            <w:shd w:val="clear" w:color="auto" w:fill="auto"/>
            <w:noWrap/>
            <w:hideMark/>
          </w:tcPr>
          <w:p w14:paraId="6066D5A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640" w:type="dxa"/>
            <w:tcBorders>
              <w:top w:val="nil"/>
              <w:left w:val="nil"/>
              <w:bottom w:val="single" w:sz="4" w:space="0" w:color="auto"/>
              <w:right w:val="single" w:sz="4" w:space="0" w:color="auto"/>
            </w:tcBorders>
            <w:shd w:val="clear" w:color="auto" w:fill="auto"/>
            <w:noWrap/>
            <w:hideMark/>
          </w:tcPr>
          <w:p w14:paraId="64205E8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48D77DF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0E076E0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4E14D67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09" w:type="dxa"/>
            <w:tcBorders>
              <w:top w:val="nil"/>
              <w:left w:val="nil"/>
              <w:bottom w:val="single" w:sz="4" w:space="0" w:color="auto"/>
              <w:right w:val="single" w:sz="4" w:space="0" w:color="auto"/>
            </w:tcBorders>
            <w:shd w:val="clear" w:color="auto" w:fill="auto"/>
            <w:noWrap/>
            <w:hideMark/>
          </w:tcPr>
          <w:p w14:paraId="1074577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850" w:type="dxa"/>
            <w:tcBorders>
              <w:top w:val="nil"/>
              <w:left w:val="nil"/>
              <w:bottom w:val="single" w:sz="4" w:space="0" w:color="auto"/>
              <w:right w:val="single" w:sz="4" w:space="0" w:color="auto"/>
            </w:tcBorders>
            <w:shd w:val="clear" w:color="auto" w:fill="auto"/>
            <w:noWrap/>
            <w:hideMark/>
          </w:tcPr>
          <w:p w14:paraId="5A4D427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906" w:type="dxa"/>
            <w:tcBorders>
              <w:top w:val="nil"/>
              <w:left w:val="nil"/>
              <w:bottom w:val="single" w:sz="4" w:space="0" w:color="auto"/>
              <w:right w:val="single" w:sz="4" w:space="0" w:color="auto"/>
            </w:tcBorders>
            <w:shd w:val="clear" w:color="auto" w:fill="auto"/>
            <w:hideMark/>
          </w:tcPr>
          <w:p w14:paraId="60FB597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75%</w:t>
            </w:r>
          </w:p>
        </w:tc>
      </w:tr>
      <w:tr w:rsidR="002A180E" w:rsidRPr="00340346" w14:paraId="6A5818FC" w14:textId="77777777" w:rsidTr="00C80112">
        <w:trPr>
          <w:trHeight w:val="900"/>
        </w:trPr>
        <w:tc>
          <w:tcPr>
            <w:tcW w:w="525" w:type="dxa"/>
            <w:tcBorders>
              <w:top w:val="nil"/>
              <w:left w:val="single" w:sz="4" w:space="0" w:color="auto"/>
              <w:bottom w:val="single" w:sz="4" w:space="0" w:color="auto"/>
              <w:right w:val="single" w:sz="4" w:space="0" w:color="auto"/>
            </w:tcBorders>
            <w:shd w:val="clear" w:color="auto" w:fill="auto"/>
            <w:noWrap/>
            <w:hideMark/>
          </w:tcPr>
          <w:p w14:paraId="4D914E1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2097" w:type="dxa"/>
            <w:tcBorders>
              <w:top w:val="nil"/>
              <w:left w:val="nil"/>
              <w:bottom w:val="single" w:sz="4" w:space="0" w:color="auto"/>
              <w:right w:val="single" w:sz="4" w:space="0" w:color="auto"/>
            </w:tcBorders>
            <w:shd w:val="clear" w:color="auto" w:fill="auto"/>
            <w:hideMark/>
          </w:tcPr>
          <w:p w14:paraId="5A6EE19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Cogeneration systems (electric/thermal)</w:t>
            </w:r>
          </w:p>
        </w:tc>
        <w:tc>
          <w:tcPr>
            <w:tcW w:w="2308" w:type="dxa"/>
            <w:tcBorders>
              <w:top w:val="nil"/>
              <w:left w:val="nil"/>
              <w:bottom w:val="single" w:sz="4" w:space="0" w:color="auto"/>
              <w:right w:val="single" w:sz="4" w:space="0" w:color="auto"/>
            </w:tcBorders>
            <w:shd w:val="clear" w:color="auto" w:fill="auto"/>
            <w:hideMark/>
          </w:tcPr>
          <w:p w14:paraId="6AD2228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xml:space="preserve">Industry (e.g., chemical, food processing, dairy) </w:t>
            </w:r>
          </w:p>
        </w:tc>
        <w:tc>
          <w:tcPr>
            <w:tcW w:w="2070" w:type="dxa"/>
            <w:tcBorders>
              <w:top w:val="nil"/>
              <w:left w:val="nil"/>
              <w:bottom w:val="single" w:sz="4" w:space="0" w:color="auto"/>
              <w:right w:val="single" w:sz="4" w:space="0" w:color="auto"/>
            </w:tcBorders>
            <w:shd w:val="clear" w:color="auto" w:fill="auto"/>
            <w:hideMark/>
          </w:tcPr>
          <w:p w14:paraId="1A83240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Self-consumption, network support.</w:t>
            </w:r>
          </w:p>
        </w:tc>
        <w:tc>
          <w:tcPr>
            <w:tcW w:w="709" w:type="dxa"/>
            <w:tcBorders>
              <w:top w:val="nil"/>
              <w:left w:val="nil"/>
              <w:bottom w:val="single" w:sz="4" w:space="0" w:color="auto"/>
              <w:right w:val="single" w:sz="4" w:space="0" w:color="auto"/>
            </w:tcBorders>
            <w:shd w:val="clear" w:color="auto" w:fill="auto"/>
            <w:noWrap/>
            <w:hideMark/>
          </w:tcPr>
          <w:p w14:paraId="340A06F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8" w:type="dxa"/>
            <w:tcBorders>
              <w:top w:val="nil"/>
              <w:left w:val="nil"/>
              <w:bottom w:val="single" w:sz="4" w:space="0" w:color="auto"/>
              <w:right w:val="single" w:sz="4" w:space="0" w:color="auto"/>
            </w:tcBorders>
            <w:shd w:val="clear" w:color="auto" w:fill="auto"/>
            <w:noWrap/>
            <w:hideMark/>
          </w:tcPr>
          <w:p w14:paraId="7FBA3D8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78" w:type="dxa"/>
            <w:tcBorders>
              <w:top w:val="nil"/>
              <w:left w:val="nil"/>
              <w:bottom w:val="single" w:sz="4" w:space="0" w:color="auto"/>
              <w:right w:val="single" w:sz="4" w:space="0" w:color="auto"/>
            </w:tcBorders>
            <w:shd w:val="clear" w:color="auto" w:fill="auto"/>
            <w:noWrap/>
            <w:hideMark/>
          </w:tcPr>
          <w:p w14:paraId="26D7FB7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46D651A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27075C9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60770BE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09" w:type="dxa"/>
            <w:tcBorders>
              <w:top w:val="nil"/>
              <w:left w:val="nil"/>
              <w:bottom w:val="single" w:sz="4" w:space="0" w:color="auto"/>
              <w:right w:val="single" w:sz="4" w:space="0" w:color="auto"/>
            </w:tcBorders>
            <w:shd w:val="clear" w:color="auto" w:fill="auto"/>
            <w:noWrap/>
            <w:hideMark/>
          </w:tcPr>
          <w:p w14:paraId="521085F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5EF047E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850" w:type="dxa"/>
            <w:tcBorders>
              <w:top w:val="nil"/>
              <w:left w:val="nil"/>
              <w:bottom w:val="single" w:sz="4" w:space="0" w:color="auto"/>
              <w:right w:val="single" w:sz="4" w:space="0" w:color="auto"/>
            </w:tcBorders>
            <w:shd w:val="clear" w:color="auto" w:fill="auto"/>
            <w:noWrap/>
            <w:hideMark/>
          </w:tcPr>
          <w:p w14:paraId="4302FD0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906" w:type="dxa"/>
            <w:tcBorders>
              <w:top w:val="nil"/>
              <w:left w:val="nil"/>
              <w:bottom w:val="single" w:sz="4" w:space="0" w:color="auto"/>
              <w:right w:val="single" w:sz="4" w:space="0" w:color="auto"/>
            </w:tcBorders>
            <w:shd w:val="clear" w:color="auto" w:fill="auto"/>
            <w:hideMark/>
          </w:tcPr>
          <w:p w14:paraId="64B0B68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67%</w:t>
            </w:r>
          </w:p>
        </w:tc>
      </w:tr>
      <w:tr w:rsidR="002A180E" w:rsidRPr="00340346" w14:paraId="60BA17DC" w14:textId="77777777" w:rsidTr="0049762E">
        <w:trPr>
          <w:trHeight w:val="900"/>
        </w:trPr>
        <w:tc>
          <w:tcPr>
            <w:tcW w:w="525" w:type="dxa"/>
            <w:tcBorders>
              <w:top w:val="nil"/>
              <w:left w:val="single" w:sz="4" w:space="0" w:color="auto"/>
              <w:bottom w:val="single" w:sz="4" w:space="0" w:color="auto"/>
              <w:right w:val="single" w:sz="4" w:space="0" w:color="auto"/>
            </w:tcBorders>
            <w:shd w:val="clear" w:color="auto" w:fill="auto"/>
            <w:noWrap/>
            <w:hideMark/>
          </w:tcPr>
          <w:p w14:paraId="50C36C9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2097" w:type="dxa"/>
            <w:tcBorders>
              <w:top w:val="nil"/>
              <w:left w:val="nil"/>
              <w:bottom w:val="single" w:sz="4" w:space="0" w:color="auto"/>
              <w:right w:val="single" w:sz="4" w:space="0" w:color="auto"/>
            </w:tcBorders>
            <w:shd w:val="clear" w:color="auto" w:fill="auto"/>
            <w:hideMark/>
          </w:tcPr>
          <w:p w14:paraId="742AA08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Cogeneration systems (electric/thermal)</w:t>
            </w:r>
          </w:p>
        </w:tc>
        <w:tc>
          <w:tcPr>
            <w:tcW w:w="2308" w:type="dxa"/>
            <w:tcBorders>
              <w:top w:val="nil"/>
              <w:left w:val="nil"/>
              <w:bottom w:val="single" w:sz="4" w:space="0" w:color="auto"/>
              <w:right w:val="single" w:sz="4" w:space="0" w:color="auto"/>
            </w:tcBorders>
            <w:shd w:val="clear" w:color="auto" w:fill="auto"/>
            <w:hideMark/>
          </w:tcPr>
          <w:p w14:paraId="225DE8B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Commercial Sector (e.g., hotels, hospitals)</w:t>
            </w:r>
          </w:p>
        </w:tc>
        <w:tc>
          <w:tcPr>
            <w:tcW w:w="2070" w:type="dxa"/>
            <w:tcBorders>
              <w:top w:val="nil"/>
              <w:left w:val="nil"/>
              <w:bottom w:val="single" w:sz="4" w:space="0" w:color="auto"/>
              <w:right w:val="single" w:sz="4" w:space="0" w:color="auto"/>
            </w:tcBorders>
            <w:shd w:val="clear" w:color="auto" w:fill="auto"/>
            <w:hideMark/>
          </w:tcPr>
          <w:p w14:paraId="07B55D7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Self-consumption, network support.</w:t>
            </w:r>
          </w:p>
        </w:tc>
        <w:tc>
          <w:tcPr>
            <w:tcW w:w="709" w:type="dxa"/>
            <w:tcBorders>
              <w:top w:val="nil"/>
              <w:left w:val="nil"/>
              <w:bottom w:val="single" w:sz="4" w:space="0" w:color="auto"/>
              <w:right w:val="single" w:sz="4" w:space="0" w:color="auto"/>
            </w:tcBorders>
            <w:shd w:val="clear" w:color="auto" w:fill="auto"/>
            <w:noWrap/>
            <w:hideMark/>
          </w:tcPr>
          <w:p w14:paraId="53CF85C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08" w:type="dxa"/>
            <w:tcBorders>
              <w:top w:val="nil"/>
              <w:left w:val="nil"/>
              <w:bottom w:val="single" w:sz="4" w:space="0" w:color="auto"/>
              <w:right w:val="single" w:sz="4" w:space="0" w:color="auto"/>
            </w:tcBorders>
            <w:shd w:val="clear" w:color="auto" w:fill="auto"/>
            <w:noWrap/>
            <w:hideMark/>
          </w:tcPr>
          <w:p w14:paraId="5B4C248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78" w:type="dxa"/>
            <w:tcBorders>
              <w:top w:val="nil"/>
              <w:left w:val="nil"/>
              <w:bottom w:val="single" w:sz="4" w:space="0" w:color="auto"/>
              <w:right w:val="single" w:sz="4" w:space="0" w:color="auto"/>
            </w:tcBorders>
            <w:shd w:val="clear" w:color="auto" w:fill="auto"/>
            <w:noWrap/>
            <w:hideMark/>
          </w:tcPr>
          <w:p w14:paraId="1322CF0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396BF90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7E3E87E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08" w:type="dxa"/>
            <w:tcBorders>
              <w:top w:val="nil"/>
              <w:left w:val="nil"/>
              <w:bottom w:val="single" w:sz="4" w:space="0" w:color="auto"/>
              <w:right w:val="single" w:sz="4" w:space="0" w:color="auto"/>
            </w:tcBorders>
            <w:shd w:val="clear" w:color="auto" w:fill="auto"/>
            <w:noWrap/>
            <w:hideMark/>
          </w:tcPr>
          <w:p w14:paraId="3FF1298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709" w:type="dxa"/>
            <w:tcBorders>
              <w:top w:val="nil"/>
              <w:left w:val="nil"/>
              <w:bottom w:val="single" w:sz="4" w:space="0" w:color="auto"/>
              <w:right w:val="single" w:sz="4" w:space="0" w:color="auto"/>
            </w:tcBorders>
            <w:shd w:val="clear" w:color="auto" w:fill="auto"/>
            <w:noWrap/>
            <w:hideMark/>
          </w:tcPr>
          <w:p w14:paraId="21D3BE5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9" w:type="dxa"/>
            <w:tcBorders>
              <w:top w:val="nil"/>
              <w:left w:val="nil"/>
              <w:bottom w:val="single" w:sz="4" w:space="0" w:color="auto"/>
              <w:right w:val="single" w:sz="4" w:space="0" w:color="auto"/>
            </w:tcBorders>
            <w:shd w:val="clear" w:color="auto" w:fill="auto"/>
            <w:noWrap/>
            <w:hideMark/>
          </w:tcPr>
          <w:p w14:paraId="533A11A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850" w:type="dxa"/>
            <w:tcBorders>
              <w:top w:val="nil"/>
              <w:left w:val="nil"/>
              <w:bottom w:val="single" w:sz="4" w:space="0" w:color="auto"/>
              <w:right w:val="single" w:sz="4" w:space="0" w:color="auto"/>
            </w:tcBorders>
            <w:shd w:val="clear" w:color="auto" w:fill="auto"/>
            <w:noWrap/>
            <w:hideMark/>
          </w:tcPr>
          <w:p w14:paraId="75C526A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906" w:type="dxa"/>
            <w:tcBorders>
              <w:top w:val="nil"/>
              <w:left w:val="nil"/>
              <w:bottom w:val="single" w:sz="4" w:space="0" w:color="auto"/>
              <w:right w:val="single" w:sz="4" w:space="0" w:color="auto"/>
            </w:tcBorders>
            <w:shd w:val="clear" w:color="auto" w:fill="auto"/>
            <w:hideMark/>
          </w:tcPr>
          <w:p w14:paraId="276820A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49%</w:t>
            </w:r>
          </w:p>
        </w:tc>
      </w:tr>
      <w:tr w:rsidR="002A180E" w:rsidRPr="00340346" w14:paraId="530BA056" w14:textId="77777777" w:rsidTr="0049762E">
        <w:trPr>
          <w:trHeight w:val="900"/>
        </w:trPr>
        <w:tc>
          <w:tcPr>
            <w:tcW w:w="525" w:type="dxa"/>
            <w:tcBorders>
              <w:top w:val="single" w:sz="4" w:space="0" w:color="auto"/>
              <w:left w:val="single" w:sz="4" w:space="0" w:color="auto"/>
              <w:bottom w:val="single" w:sz="4" w:space="0" w:color="auto"/>
              <w:right w:val="single" w:sz="4" w:space="0" w:color="auto"/>
            </w:tcBorders>
            <w:shd w:val="clear" w:color="auto" w:fill="auto"/>
            <w:noWrap/>
            <w:hideMark/>
          </w:tcPr>
          <w:p w14:paraId="5E3247A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lastRenderedPageBreak/>
              <w:t>4</w:t>
            </w:r>
          </w:p>
        </w:tc>
        <w:tc>
          <w:tcPr>
            <w:tcW w:w="2097" w:type="dxa"/>
            <w:tcBorders>
              <w:top w:val="single" w:sz="4" w:space="0" w:color="auto"/>
              <w:left w:val="nil"/>
              <w:bottom w:val="single" w:sz="4" w:space="0" w:color="auto"/>
              <w:right w:val="single" w:sz="4" w:space="0" w:color="auto"/>
            </w:tcBorders>
            <w:shd w:val="clear" w:color="auto" w:fill="auto"/>
            <w:hideMark/>
          </w:tcPr>
          <w:p w14:paraId="49F3F81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Photovoltaic systems</w:t>
            </w:r>
          </w:p>
        </w:tc>
        <w:tc>
          <w:tcPr>
            <w:tcW w:w="2308" w:type="dxa"/>
            <w:tcBorders>
              <w:top w:val="single" w:sz="4" w:space="0" w:color="auto"/>
              <w:left w:val="nil"/>
              <w:bottom w:val="single" w:sz="4" w:space="0" w:color="auto"/>
              <w:right w:val="single" w:sz="4" w:space="0" w:color="auto"/>
            </w:tcBorders>
            <w:shd w:val="clear" w:color="auto" w:fill="auto"/>
            <w:hideMark/>
          </w:tcPr>
          <w:p w14:paraId="2F8127B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Commercial</w:t>
            </w:r>
          </w:p>
        </w:tc>
        <w:tc>
          <w:tcPr>
            <w:tcW w:w="2070" w:type="dxa"/>
            <w:tcBorders>
              <w:top w:val="single" w:sz="4" w:space="0" w:color="auto"/>
              <w:left w:val="nil"/>
              <w:bottom w:val="single" w:sz="4" w:space="0" w:color="auto"/>
              <w:right w:val="single" w:sz="4" w:space="0" w:color="auto"/>
            </w:tcBorders>
            <w:shd w:val="clear" w:color="auto" w:fill="auto"/>
            <w:hideMark/>
          </w:tcPr>
          <w:p w14:paraId="08DDEC3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Sale of the Network</w:t>
            </w:r>
            <w:r w:rsidRPr="00340346">
              <w:rPr>
                <w:rFonts w:ascii="Arial" w:hAnsi="Arial" w:cs="Arial"/>
                <w:noProof/>
                <w:sz w:val="22"/>
                <w:szCs w:val="22"/>
                <w:lang w:val="en-US"/>
              </w:rPr>
              <w:br/>
              <w:t>Self-consumption, network support.</w:t>
            </w:r>
          </w:p>
        </w:tc>
        <w:tc>
          <w:tcPr>
            <w:tcW w:w="709" w:type="dxa"/>
            <w:tcBorders>
              <w:top w:val="single" w:sz="4" w:space="0" w:color="auto"/>
              <w:left w:val="nil"/>
              <w:bottom w:val="single" w:sz="4" w:space="0" w:color="auto"/>
              <w:right w:val="single" w:sz="4" w:space="0" w:color="auto"/>
            </w:tcBorders>
            <w:shd w:val="clear" w:color="auto" w:fill="auto"/>
            <w:noWrap/>
            <w:hideMark/>
          </w:tcPr>
          <w:p w14:paraId="44BB545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08" w:type="dxa"/>
            <w:tcBorders>
              <w:top w:val="single" w:sz="4" w:space="0" w:color="auto"/>
              <w:left w:val="nil"/>
              <w:bottom w:val="single" w:sz="4" w:space="0" w:color="auto"/>
              <w:right w:val="single" w:sz="4" w:space="0" w:color="auto"/>
            </w:tcBorders>
            <w:shd w:val="clear" w:color="auto" w:fill="auto"/>
            <w:noWrap/>
            <w:hideMark/>
          </w:tcPr>
          <w:p w14:paraId="61A06CF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78" w:type="dxa"/>
            <w:tcBorders>
              <w:top w:val="single" w:sz="4" w:space="0" w:color="auto"/>
              <w:left w:val="nil"/>
              <w:bottom w:val="single" w:sz="4" w:space="0" w:color="auto"/>
              <w:right w:val="single" w:sz="4" w:space="0" w:color="auto"/>
            </w:tcBorders>
            <w:shd w:val="clear" w:color="auto" w:fill="auto"/>
            <w:noWrap/>
            <w:hideMark/>
          </w:tcPr>
          <w:p w14:paraId="62804EB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640" w:type="dxa"/>
            <w:tcBorders>
              <w:top w:val="single" w:sz="4" w:space="0" w:color="auto"/>
              <w:left w:val="nil"/>
              <w:bottom w:val="single" w:sz="4" w:space="0" w:color="auto"/>
              <w:right w:val="single" w:sz="4" w:space="0" w:color="auto"/>
            </w:tcBorders>
            <w:shd w:val="clear" w:color="auto" w:fill="auto"/>
            <w:noWrap/>
            <w:hideMark/>
          </w:tcPr>
          <w:p w14:paraId="6F5985C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single" w:sz="4" w:space="0" w:color="auto"/>
              <w:left w:val="nil"/>
              <w:bottom w:val="single" w:sz="4" w:space="0" w:color="auto"/>
              <w:right w:val="single" w:sz="4" w:space="0" w:color="auto"/>
            </w:tcBorders>
            <w:shd w:val="clear" w:color="auto" w:fill="auto"/>
            <w:noWrap/>
            <w:hideMark/>
          </w:tcPr>
          <w:p w14:paraId="586EB47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8" w:type="dxa"/>
            <w:tcBorders>
              <w:top w:val="single" w:sz="4" w:space="0" w:color="auto"/>
              <w:left w:val="nil"/>
              <w:bottom w:val="single" w:sz="4" w:space="0" w:color="auto"/>
              <w:right w:val="single" w:sz="4" w:space="0" w:color="auto"/>
            </w:tcBorders>
            <w:shd w:val="clear" w:color="auto" w:fill="auto"/>
            <w:noWrap/>
            <w:hideMark/>
          </w:tcPr>
          <w:p w14:paraId="2A0EB6B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single" w:sz="4" w:space="0" w:color="auto"/>
              <w:left w:val="nil"/>
              <w:bottom w:val="single" w:sz="4" w:space="0" w:color="auto"/>
              <w:right w:val="single" w:sz="4" w:space="0" w:color="auto"/>
            </w:tcBorders>
            <w:shd w:val="clear" w:color="auto" w:fill="auto"/>
            <w:noWrap/>
            <w:hideMark/>
          </w:tcPr>
          <w:p w14:paraId="118450C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single" w:sz="4" w:space="0" w:color="auto"/>
              <w:left w:val="nil"/>
              <w:bottom w:val="single" w:sz="4" w:space="0" w:color="auto"/>
              <w:right w:val="single" w:sz="4" w:space="0" w:color="auto"/>
            </w:tcBorders>
            <w:shd w:val="clear" w:color="auto" w:fill="auto"/>
            <w:noWrap/>
            <w:hideMark/>
          </w:tcPr>
          <w:p w14:paraId="1C1B313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850" w:type="dxa"/>
            <w:tcBorders>
              <w:top w:val="single" w:sz="4" w:space="0" w:color="auto"/>
              <w:left w:val="nil"/>
              <w:bottom w:val="single" w:sz="4" w:space="0" w:color="auto"/>
              <w:right w:val="single" w:sz="4" w:space="0" w:color="auto"/>
            </w:tcBorders>
            <w:shd w:val="clear" w:color="auto" w:fill="auto"/>
            <w:noWrap/>
            <w:hideMark/>
          </w:tcPr>
          <w:p w14:paraId="5A3BE5C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906" w:type="dxa"/>
            <w:tcBorders>
              <w:top w:val="single" w:sz="4" w:space="0" w:color="auto"/>
              <w:left w:val="nil"/>
              <w:bottom w:val="single" w:sz="4" w:space="0" w:color="auto"/>
              <w:right w:val="single" w:sz="4" w:space="0" w:color="auto"/>
            </w:tcBorders>
            <w:shd w:val="clear" w:color="auto" w:fill="auto"/>
            <w:hideMark/>
          </w:tcPr>
          <w:p w14:paraId="46EB7C4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65%</w:t>
            </w:r>
          </w:p>
        </w:tc>
      </w:tr>
      <w:tr w:rsidR="002A180E" w:rsidRPr="00340346" w14:paraId="7C83EE14" w14:textId="77777777" w:rsidTr="00C80112">
        <w:trPr>
          <w:trHeight w:val="900"/>
        </w:trPr>
        <w:tc>
          <w:tcPr>
            <w:tcW w:w="525" w:type="dxa"/>
            <w:tcBorders>
              <w:top w:val="nil"/>
              <w:left w:val="single" w:sz="4" w:space="0" w:color="auto"/>
              <w:bottom w:val="single" w:sz="4" w:space="0" w:color="auto"/>
              <w:right w:val="single" w:sz="4" w:space="0" w:color="auto"/>
            </w:tcBorders>
            <w:shd w:val="clear" w:color="auto" w:fill="auto"/>
            <w:noWrap/>
            <w:hideMark/>
          </w:tcPr>
          <w:p w14:paraId="0012D65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2097" w:type="dxa"/>
            <w:tcBorders>
              <w:top w:val="nil"/>
              <w:left w:val="nil"/>
              <w:bottom w:val="single" w:sz="4" w:space="0" w:color="auto"/>
              <w:right w:val="single" w:sz="4" w:space="0" w:color="auto"/>
            </w:tcBorders>
            <w:shd w:val="clear" w:color="auto" w:fill="auto"/>
            <w:hideMark/>
          </w:tcPr>
          <w:p w14:paraId="6DB58BF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Photovoltaic systems</w:t>
            </w:r>
          </w:p>
        </w:tc>
        <w:tc>
          <w:tcPr>
            <w:tcW w:w="2308" w:type="dxa"/>
            <w:tcBorders>
              <w:top w:val="nil"/>
              <w:left w:val="nil"/>
              <w:bottom w:val="single" w:sz="4" w:space="0" w:color="auto"/>
              <w:right w:val="single" w:sz="4" w:space="0" w:color="auto"/>
            </w:tcBorders>
            <w:shd w:val="clear" w:color="auto" w:fill="auto"/>
            <w:hideMark/>
          </w:tcPr>
          <w:p w14:paraId="68C6693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Industrial</w:t>
            </w:r>
          </w:p>
        </w:tc>
        <w:tc>
          <w:tcPr>
            <w:tcW w:w="2070" w:type="dxa"/>
            <w:tcBorders>
              <w:top w:val="nil"/>
              <w:left w:val="nil"/>
              <w:bottom w:val="single" w:sz="4" w:space="0" w:color="auto"/>
              <w:right w:val="single" w:sz="4" w:space="0" w:color="auto"/>
            </w:tcBorders>
            <w:shd w:val="clear" w:color="auto" w:fill="auto"/>
            <w:hideMark/>
          </w:tcPr>
          <w:p w14:paraId="1EBED07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Sale of the Network</w:t>
            </w:r>
            <w:r w:rsidRPr="00340346">
              <w:rPr>
                <w:rFonts w:ascii="Arial" w:hAnsi="Arial" w:cs="Arial"/>
                <w:noProof/>
                <w:sz w:val="22"/>
                <w:szCs w:val="22"/>
                <w:lang w:val="en-US"/>
              </w:rPr>
              <w:br/>
              <w:t>Self-consumption, network support.</w:t>
            </w:r>
          </w:p>
        </w:tc>
        <w:tc>
          <w:tcPr>
            <w:tcW w:w="709" w:type="dxa"/>
            <w:tcBorders>
              <w:top w:val="nil"/>
              <w:left w:val="nil"/>
              <w:bottom w:val="single" w:sz="4" w:space="0" w:color="auto"/>
              <w:right w:val="single" w:sz="4" w:space="0" w:color="auto"/>
            </w:tcBorders>
            <w:shd w:val="clear" w:color="auto" w:fill="auto"/>
            <w:noWrap/>
            <w:hideMark/>
          </w:tcPr>
          <w:p w14:paraId="195090F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08" w:type="dxa"/>
            <w:tcBorders>
              <w:top w:val="nil"/>
              <w:left w:val="nil"/>
              <w:bottom w:val="single" w:sz="4" w:space="0" w:color="auto"/>
              <w:right w:val="single" w:sz="4" w:space="0" w:color="auto"/>
            </w:tcBorders>
            <w:shd w:val="clear" w:color="auto" w:fill="auto"/>
            <w:noWrap/>
            <w:hideMark/>
          </w:tcPr>
          <w:p w14:paraId="42D639D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78" w:type="dxa"/>
            <w:tcBorders>
              <w:top w:val="nil"/>
              <w:left w:val="nil"/>
              <w:bottom w:val="single" w:sz="4" w:space="0" w:color="auto"/>
              <w:right w:val="single" w:sz="4" w:space="0" w:color="auto"/>
            </w:tcBorders>
            <w:shd w:val="clear" w:color="auto" w:fill="auto"/>
            <w:noWrap/>
            <w:hideMark/>
          </w:tcPr>
          <w:p w14:paraId="2F76768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640" w:type="dxa"/>
            <w:tcBorders>
              <w:top w:val="nil"/>
              <w:left w:val="nil"/>
              <w:bottom w:val="single" w:sz="4" w:space="0" w:color="auto"/>
              <w:right w:val="single" w:sz="4" w:space="0" w:color="auto"/>
            </w:tcBorders>
            <w:shd w:val="clear" w:color="auto" w:fill="auto"/>
            <w:noWrap/>
            <w:hideMark/>
          </w:tcPr>
          <w:p w14:paraId="6EACF49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7C2F90B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47CF396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73DA39E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15EC14B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850" w:type="dxa"/>
            <w:tcBorders>
              <w:top w:val="nil"/>
              <w:left w:val="nil"/>
              <w:bottom w:val="single" w:sz="4" w:space="0" w:color="auto"/>
              <w:right w:val="single" w:sz="4" w:space="0" w:color="auto"/>
            </w:tcBorders>
            <w:shd w:val="clear" w:color="auto" w:fill="auto"/>
            <w:noWrap/>
            <w:hideMark/>
          </w:tcPr>
          <w:p w14:paraId="1CE329D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906" w:type="dxa"/>
            <w:tcBorders>
              <w:top w:val="nil"/>
              <w:left w:val="nil"/>
              <w:bottom w:val="single" w:sz="4" w:space="0" w:color="auto"/>
              <w:right w:val="single" w:sz="4" w:space="0" w:color="auto"/>
            </w:tcBorders>
            <w:shd w:val="clear" w:color="auto" w:fill="auto"/>
            <w:hideMark/>
          </w:tcPr>
          <w:p w14:paraId="51C7E40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67%</w:t>
            </w:r>
          </w:p>
        </w:tc>
      </w:tr>
      <w:tr w:rsidR="002A180E" w:rsidRPr="00340346" w14:paraId="144F219A" w14:textId="77777777" w:rsidTr="00C80112">
        <w:trPr>
          <w:trHeight w:val="900"/>
        </w:trPr>
        <w:tc>
          <w:tcPr>
            <w:tcW w:w="525" w:type="dxa"/>
            <w:tcBorders>
              <w:top w:val="nil"/>
              <w:left w:val="single" w:sz="4" w:space="0" w:color="auto"/>
              <w:bottom w:val="single" w:sz="4" w:space="0" w:color="auto"/>
              <w:right w:val="single" w:sz="4" w:space="0" w:color="auto"/>
            </w:tcBorders>
            <w:shd w:val="clear" w:color="auto" w:fill="auto"/>
            <w:noWrap/>
            <w:hideMark/>
          </w:tcPr>
          <w:p w14:paraId="6C517A0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2097" w:type="dxa"/>
            <w:tcBorders>
              <w:top w:val="nil"/>
              <w:left w:val="nil"/>
              <w:bottom w:val="single" w:sz="4" w:space="0" w:color="auto"/>
              <w:right w:val="single" w:sz="4" w:space="0" w:color="auto"/>
            </w:tcBorders>
            <w:shd w:val="clear" w:color="auto" w:fill="auto"/>
            <w:hideMark/>
          </w:tcPr>
          <w:p w14:paraId="0CC3A66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Photovoltaic systems</w:t>
            </w:r>
          </w:p>
        </w:tc>
        <w:tc>
          <w:tcPr>
            <w:tcW w:w="2308" w:type="dxa"/>
            <w:tcBorders>
              <w:top w:val="nil"/>
              <w:left w:val="nil"/>
              <w:bottom w:val="single" w:sz="4" w:space="0" w:color="auto"/>
              <w:right w:val="single" w:sz="4" w:space="0" w:color="auto"/>
            </w:tcBorders>
            <w:shd w:val="clear" w:color="auto" w:fill="auto"/>
            <w:hideMark/>
          </w:tcPr>
          <w:p w14:paraId="48D29B7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Residential</w:t>
            </w:r>
          </w:p>
        </w:tc>
        <w:tc>
          <w:tcPr>
            <w:tcW w:w="2070" w:type="dxa"/>
            <w:tcBorders>
              <w:top w:val="nil"/>
              <w:left w:val="nil"/>
              <w:bottom w:val="single" w:sz="4" w:space="0" w:color="auto"/>
              <w:right w:val="single" w:sz="4" w:space="0" w:color="auto"/>
            </w:tcBorders>
            <w:shd w:val="clear" w:color="auto" w:fill="auto"/>
            <w:hideMark/>
          </w:tcPr>
          <w:p w14:paraId="52A4432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Sale of the Network</w:t>
            </w:r>
            <w:r w:rsidRPr="00340346">
              <w:rPr>
                <w:rFonts w:ascii="Arial" w:hAnsi="Arial" w:cs="Arial"/>
                <w:noProof/>
                <w:sz w:val="22"/>
                <w:szCs w:val="22"/>
                <w:lang w:val="en-US"/>
              </w:rPr>
              <w:br/>
              <w:t>Self-consumption, network support.</w:t>
            </w:r>
          </w:p>
        </w:tc>
        <w:tc>
          <w:tcPr>
            <w:tcW w:w="709" w:type="dxa"/>
            <w:tcBorders>
              <w:top w:val="nil"/>
              <w:left w:val="nil"/>
              <w:bottom w:val="single" w:sz="4" w:space="0" w:color="auto"/>
              <w:right w:val="single" w:sz="4" w:space="0" w:color="auto"/>
            </w:tcBorders>
            <w:shd w:val="clear" w:color="auto" w:fill="auto"/>
            <w:noWrap/>
            <w:hideMark/>
          </w:tcPr>
          <w:p w14:paraId="02B2391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708" w:type="dxa"/>
            <w:tcBorders>
              <w:top w:val="nil"/>
              <w:left w:val="nil"/>
              <w:bottom w:val="single" w:sz="4" w:space="0" w:color="auto"/>
              <w:right w:val="single" w:sz="4" w:space="0" w:color="auto"/>
            </w:tcBorders>
            <w:shd w:val="clear" w:color="auto" w:fill="auto"/>
            <w:noWrap/>
            <w:hideMark/>
          </w:tcPr>
          <w:p w14:paraId="0A44169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78" w:type="dxa"/>
            <w:tcBorders>
              <w:top w:val="nil"/>
              <w:left w:val="nil"/>
              <w:bottom w:val="single" w:sz="4" w:space="0" w:color="auto"/>
              <w:right w:val="single" w:sz="4" w:space="0" w:color="auto"/>
            </w:tcBorders>
            <w:shd w:val="clear" w:color="auto" w:fill="auto"/>
            <w:noWrap/>
            <w:hideMark/>
          </w:tcPr>
          <w:p w14:paraId="7123A1C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640" w:type="dxa"/>
            <w:tcBorders>
              <w:top w:val="nil"/>
              <w:left w:val="nil"/>
              <w:bottom w:val="single" w:sz="4" w:space="0" w:color="auto"/>
              <w:right w:val="single" w:sz="4" w:space="0" w:color="auto"/>
            </w:tcBorders>
            <w:shd w:val="clear" w:color="auto" w:fill="auto"/>
            <w:noWrap/>
            <w:hideMark/>
          </w:tcPr>
          <w:p w14:paraId="7F01667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73C4831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8" w:type="dxa"/>
            <w:tcBorders>
              <w:top w:val="nil"/>
              <w:left w:val="nil"/>
              <w:bottom w:val="single" w:sz="4" w:space="0" w:color="auto"/>
              <w:right w:val="single" w:sz="4" w:space="0" w:color="auto"/>
            </w:tcBorders>
            <w:shd w:val="clear" w:color="auto" w:fill="auto"/>
            <w:noWrap/>
            <w:hideMark/>
          </w:tcPr>
          <w:p w14:paraId="54E5516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7C70029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09" w:type="dxa"/>
            <w:tcBorders>
              <w:top w:val="nil"/>
              <w:left w:val="nil"/>
              <w:bottom w:val="single" w:sz="4" w:space="0" w:color="auto"/>
              <w:right w:val="single" w:sz="4" w:space="0" w:color="auto"/>
            </w:tcBorders>
            <w:shd w:val="clear" w:color="auto" w:fill="auto"/>
            <w:noWrap/>
            <w:hideMark/>
          </w:tcPr>
          <w:p w14:paraId="701FC9C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850" w:type="dxa"/>
            <w:tcBorders>
              <w:top w:val="nil"/>
              <w:left w:val="nil"/>
              <w:bottom w:val="single" w:sz="4" w:space="0" w:color="auto"/>
              <w:right w:val="single" w:sz="4" w:space="0" w:color="auto"/>
            </w:tcBorders>
            <w:shd w:val="clear" w:color="auto" w:fill="auto"/>
            <w:noWrap/>
            <w:hideMark/>
          </w:tcPr>
          <w:p w14:paraId="0E8C7AE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906" w:type="dxa"/>
            <w:tcBorders>
              <w:top w:val="nil"/>
              <w:left w:val="nil"/>
              <w:bottom w:val="single" w:sz="4" w:space="0" w:color="auto"/>
              <w:right w:val="single" w:sz="4" w:space="0" w:color="auto"/>
            </w:tcBorders>
            <w:shd w:val="clear" w:color="auto" w:fill="auto"/>
            <w:hideMark/>
          </w:tcPr>
          <w:p w14:paraId="3E5314B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54%</w:t>
            </w:r>
          </w:p>
        </w:tc>
      </w:tr>
      <w:tr w:rsidR="002A180E" w:rsidRPr="00340346" w14:paraId="0EC8738F" w14:textId="77777777" w:rsidTr="00C80112">
        <w:trPr>
          <w:trHeight w:val="867"/>
        </w:trPr>
        <w:tc>
          <w:tcPr>
            <w:tcW w:w="525" w:type="dxa"/>
            <w:tcBorders>
              <w:top w:val="nil"/>
              <w:left w:val="single" w:sz="4" w:space="0" w:color="auto"/>
              <w:bottom w:val="single" w:sz="4" w:space="0" w:color="auto"/>
              <w:right w:val="single" w:sz="4" w:space="0" w:color="auto"/>
            </w:tcBorders>
            <w:shd w:val="clear" w:color="auto" w:fill="auto"/>
            <w:noWrap/>
            <w:hideMark/>
          </w:tcPr>
          <w:p w14:paraId="3AC8D85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2097" w:type="dxa"/>
            <w:tcBorders>
              <w:top w:val="nil"/>
              <w:left w:val="nil"/>
              <w:bottom w:val="single" w:sz="4" w:space="0" w:color="auto"/>
              <w:right w:val="single" w:sz="4" w:space="0" w:color="auto"/>
            </w:tcBorders>
            <w:shd w:val="clear" w:color="auto" w:fill="auto"/>
            <w:hideMark/>
          </w:tcPr>
          <w:p w14:paraId="4620D28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Thermal solar systems (water heater)</w:t>
            </w:r>
          </w:p>
        </w:tc>
        <w:tc>
          <w:tcPr>
            <w:tcW w:w="2308" w:type="dxa"/>
            <w:tcBorders>
              <w:top w:val="nil"/>
              <w:left w:val="nil"/>
              <w:bottom w:val="single" w:sz="4" w:space="0" w:color="auto"/>
              <w:right w:val="single" w:sz="4" w:space="0" w:color="auto"/>
            </w:tcBorders>
            <w:shd w:val="clear" w:color="auto" w:fill="auto"/>
            <w:hideMark/>
          </w:tcPr>
          <w:p w14:paraId="7438889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Commercial</w:t>
            </w:r>
          </w:p>
        </w:tc>
        <w:tc>
          <w:tcPr>
            <w:tcW w:w="2070" w:type="dxa"/>
            <w:tcBorders>
              <w:top w:val="nil"/>
              <w:left w:val="nil"/>
              <w:bottom w:val="single" w:sz="4" w:space="0" w:color="auto"/>
              <w:right w:val="single" w:sz="4" w:space="0" w:color="auto"/>
            </w:tcBorders>
            <w:shd w:val="clear" w:color="auto" w:fill="auto"/>
            <w:hideMark/>
          </w:tcPr>
          <w:p w14:paraId="37DCC7A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Complement to the current water heating system</w:t>
            </w:r>
          </w:p>
        </w:tc>
        <w:tc>
          <w:tcPr>
            <w:tcW w:w="709" w:type="dxa"/>
            <w:tcBorders>
              <w:top w:val="nil"/>
              <w:left w:val="nil"/>
              <w:bottom w:val="single" w:sz="4" w:space="0" w:color="auto"/>
              <w:right w:val="single" w:sz="4" w:space="0" w:color="auto"/>
            </w:tcBorders>
            <w:shd w:val="clear" w:color="auto" w:fill="auto"/>
            <w:noWrap/>
            <w:hideMark/>
          </w:tcPr>
          <w:p w14:paraId="2BE3E72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612861D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78" w:type="dxa"/>
            <w:tcBorders>
              <w:top w:val="nil"/>
              <w:left w:val="nil"/>
              <w:bottom w:val="single" w:sz="4" w:space="0" w:color="auto"/>
              <w:right w:val="single" w:sz="4" w:space="0" w:color="auto"/>
            </w:tcBorders>
            <w:shd w:val="clear" w:color="auto" w:fill="auto"/>
            <w:noWrap/>
            <w:hideMark/>
          </w:tcPr>
          <w:p w14:paraId="653E73A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27E7EC3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075DE14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8" w:type="dxa"/>
            <w:tcBorders>
              <w:top w:val="nil"/>
              <w:left w:val="nil"/>
              <w:bottom w:val="single" w:sz="4" w:space="0" w:color="auto"/>
              <w:right w:val="single" w:sz="4" w:space="0" w:color="auto"/>
            </w:tcBorders>
            <w:shd w:val="clear" w:color="auto" w:fill="auto"/>
            <w:noWrap/>
            <w:hideMark/>
          </w:tcPr>
          <w:p w14:paraId="379959A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11125B1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083CD33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850" w:type="dxa"/>
            <w:tcBorders>
              <w:top w:val="nil"/>
              <w:left w:val="nil"/>
              <w:bottom w:val="single" w:sz="4" w:space="0" w:color="auto"/>
              <w:right w:val="single" w:sz="4" w:space="0" w:color="auto"/>
            </w:tcBorders>
            <w:shd w:val="clear" w:color="auto" w:fill="auto"/>
            <w:noWrap/>
            <w:hideMark/>
          </w:tcPr>
          <w:p w14:paraId="207F299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906" w:type="dxa"/>
            <w:tcBorders>
              <w:top w:val="nil"/>
              <w:left w:val="nil"/>
              <w:bottom w:val="single" w:sz="4" w:space="0" w:color="auto"/>
              <w:right w:val="single" w:sz="4" w:space="0" w:color="auto"/>
            </w:tcBorders>
            <w:shd w:val="clear" w:color="auto" w:fill="auto"/>
            <w:hideMark/>
          </w:tcPr>
          <w:p w14:paraId="496A519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72%</w:t>
            </w:r>
          </w:p>
        </w:tc>
      </w:tr>
      <w:tr w:rsidR="002A180E" w:rsidRPr="00340346" w14:paraId="1C28CCDA" w14:textId="77777777" w:rsidTr="00C80112">
        <w:trPr>
          <w:trHeight w:val="786"/>
        </w:trPr>
        <w:tc>
          <w:tcPr>
            <w:tcW w:w="525" w:type="dxa"/>
            <w:tcBorders>
              <w:top w:val="nil"/>
              <w:left w:val="single" w:sz="4" w:space="0" w:color="auto"/>
              <w:bottom w:val="single" w:sz="4" w:space="0" w:color="auto"/>
              <w:right w:val="single" w:sz="4" w:space="0" w:color="auto"/>
            </w:tcBorders>
            <w:shd w:val="clear" w:color="auto" w:fill="auto"/>
            <w:noWrap/>
            <w:hideMark/>
          </w:tcPr>
          <w:p w14:paraId="3B05F1C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2097" w:type="dxa"/>
            <w:tcBorders>
              <w:top w:val="nil"/>
              <w:left w:val="nil"/>
              <w:bottom w:val="single" w:sz="4" w:space="0" w:color="auto"/>
              <w:right w:val="single" w:sz="4" w:space="0" w:color="auto"/>
            </w:tcBorders>
            <w:shd w:val="clear" w:color="auto" w:fill="auto"/>
            <w:hideMark/>
          </w:tcPr>
          <w:p w14:paraId="6E19BF1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Thermal solar systems (water heater)</w:t>
            </w:r>
          </w:p>
        </w:tc>
        <w:tc>
          <w:tcPr>
            <w:tcW w:w="2308" w:type="dxa"/>
            <w:tcBorders>
              <w:top w:val="nil"/>
              <w:left w:val="nil"/>
              <w:bottom w:val="single" w:sz="4" w:space="0" w:color="auto"/>
              <w:right w:val="single" w:sz="4" w:space="0" w:color="auto"/>
            </w:tcBorders>
            <w:shd w:val="clear" w:color="auto" w:fill="auto"/>
            <w:hideMark/>
          </w:tcPr>
          <w:p w14:paraId="6CC537C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Industrial</w:t>
            </w:r>
          </w:p>
        </w:tc>
        <w:tc>
          <w:tcPr>
            <w:tcW w:w="2070" w:type="dxa"/>
            <w:tcBorders>
              <w:top w:val="nil"/>
              <w:left w:val="nil"/>
              <w:bottom w:val="single" w:sz="4" w:space="0" w:color="auto"/>
              <w:right w:val="single" w:sz="4" w:space="0" w:color="auto"/>
            </w:tcBorders>
            <w:shd w:val="clear" w:color="auto" w:fill="auto"/>
            <w:hideMark/>
          </w:tcPr>
          <w:p w14:paraId="64FA173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Complement to the current water heating system</w:t>
            </w:r>
          </w:p>
        </w:tc>
        <w:tc>
          <w:tcPr>
            <w:tcW w:w="709" w:type="dxa"/>
            <w:tcBorders>
              <w:top w:val="nil"/>
              <w:left w:val="nil"/>
              <w:bottom w:val="single" w:sz="4" w:space="0" w:color="auto"/>
              <w:right w:val="single" w:sz="4" w:space="0" w:color="auto"/>
            </w:tcBorders>
            <w:shd w:val="clear" w:color="auto" w:fill="auto"/>
            <w:noWrap/>
            <w:hideMark/>
          </w:tcPr>
          <w:p w14:paraId="6959D3A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36188CD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78" w:type="dxa"/>
            <w:tcBorders>
              <w:top w:val="nil"/>
              <w:left w:val="nil"/>
              <w:bottom w:val="single" w:sz="4" w:space="0" w:color="auto"/>
              <w:right w:val="single" w:sz="4" w:space="0" w:color="auto"/>
            </w:tcBorders>
            <w:shd w:val="clear" w:color="auto" w:fill="auto"/>
            <w:noWrap/>
            <w:hideMark/>
          </w:tcPr>
          <w:p w14:paraId="66E1287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66DB4FA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068C7AE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8" w:type="dxa"/>
            <w:tcBorders>
              <w:top w:val="nil"/>
              <w:left w:val="nil"/>
              <w:bottom w:val="single" w:sz="4" w:space="0" w:color="auto"/>
              <w:right w:val="single" w:sz="4" w:space="0" w:color="auto"/>
            </w:tcBorders>
            <w:shd w:val="clear" w:color="auto" w:fill="auto"/>
            <w:noWrap/>
            <w:hideMark/>
          </w:tcPr>
          <w:p w14:paraId="5653248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4EADA65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76D21F4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850" w:type="dxa"/>
            <w:tcBorders>
              <w:top w:val="nil"/>
              <w:left w:val="nil"/>
              <w:bottom w:val="single" w:sz="4" w:space="0" w:color="auto"/>
              <w:right w:val="single" w:sz="4" w:space="0" w:color="auto"/>
            </w:tcBorders>
            <w:shd w:val="clear" w:color="auto" w:fill="auto"/>
            <w:noWrap/>
            <w:hideMark/>
          </w:tcPr>
          <w:p w14:paraId="7606ED4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906" w:type="dxa"/>
            <w:tcBorders>
              <w:top w:val="nil"/>
              <w:left w:val="nil"/>
              <w:bottom w:val="single" w:sz="4" w:space="0" w:color="auto"/>
              <w:right w:val="single" w:sz="4" w:space="0" w:color="auto"/>
            </w:tcBorders>
            <w:shd w:val="clear" w:color="auto" w:fill="auto"/>
            <w:hideMark/>
          </w:tcPr>
          <w:p w14:paraId="02CA0B8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72%</w:t>
            </w:r>
          </w:p>
        </w:tc>
      </w:tr>
      <w:tr w:rsidR="002A180E" w:rsidRPr="00340346" w14:paraId="4F0546B4" w14:textId="77777777" w:rsidTr="00C80112">
        <w:trPr>
          <w:trHeight w:val="768"/>
        </w:trPr>
        <w:tc>
          <w:tcPr>
            <w:tcW w:w="525" w:type="dxa"/>
            <w:tcBorders>
              <w:top w:val="nil"/>
              <w:left w:val="single" w:sz="4" w:space="0" w:color="auto"/>
              <w:bottom w:val="single" w:sz="4" w:space="0" w:color="auto"/>
              <w:right w:val="single" w:sz="4" w:space="0" w:color="auto"/>
            </w:tcBorders>
            <w:shd w:val="clear" w:color="auto" w:fill="auto"/>
            <w:noWrap/>
            <w:hideMark/>
          </w:tcPr>
          <w:p w14:paraId="6447916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2097" w:type="dxa"/>
            <w:tcBorders>
              <w:top w:val="nil"/>
              <w:left w:val="nil"/>
              <w:bottom w:val="single" w:sz="4" w:space="0" w:color="auto"/>
              <w:right w:val="single" w:sz="4" w:space="0" w:color="auto"/>
            </w:tcBorders>
            <w:shd w:val="clear" w:color="auto" w:fill="auto"/>
            <w:hideMark/>
          </w:tcPr>
          <w:p w14:paraId="28A0F9F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Thermal solar systems (water heater)</w:t>
            </w:r>
          </w:p>
        </w:tc>
        <w:tc>
          <w:tcPr>
            <w:tcW w:w="2308" w:type="dxa"/>
            <w:tcBorders>
              <w:top w:val="nil"/>
              <w:left w:val="nil"/>
              <w:bottom w:val="single" w:sz="4" w:space="0" w:color="auto"/>
              <w:right w:val="single" w:sz="4" w:space="0" w:color="auto"/>
            </w:tcBorders>
            <w:shd w:val="clear" w:color="auto" w:fill="auto"/>
            <w:hideMark/>
          </w:tcPr>
          <w:p w14:paraId="42A2A71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Residential</w:t>
            </w:r>
          </w:p>
        </w:tc>
        <w:tc>
          <w:tcPr>
            <w:tcW w:w="2070" w:type="dxa"/>
            <w:tcBorders>
              <w:top w:val="nil"/>
              <w:left w:val="nil"/>
              <w:bottom w:val="single" w:sz="4" w:space="0" w:color="auto"/>
              <w:right w:val="single" w:sz="4" w:space="0" w:color="auto"/>
            </w:tcBorders>
            <w:shd w:val="clear" w:color="auto" w:fill="auto"/>
            <w:hideMark/>
          </w:tcPr>
          <w:p w14:paraId="74F0EAD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Complement to the current water heating system</w:t>
            </w:r>
          </w:p>
        </w:tc>
        <w:tc>
          <w:tcPr>
            <w:tcW w:w="709" w:type="dxa"/>
            <w:tcBorders>
              <w:top w:val="nil"/>
              <w:left w:val="nil"/>
              <w:bottom w:val="single" w:sz="4" w:space="0" w:color="auto"/>
              <w:right w:val="single" w:sz="4" w:space="0" w:color="auto"/>
            </w:tcBorders>
            <w:shd w:val="clear" w:color="auto" w:fill="auto"/>
            <w:noWrap/>
            <w:hideMark/>
          </w:tcPr>
          <w:p w14:paraId="596DC02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8" w:type="dxa"/>
            <w:tcBorders>
              <w:top w:val="nil"/>
              <w:left w:val="nil"/>
              <w:bottom w:val="single" w:sz="4" w:space="0" w:color="auto"/>
              <w:right w:val="single" w:sz="4" w:space="0" w:color="auto"/>
            </w:tcBorders>
            <w:shd w:val="clear" w:color="auto" w:fill="auto"/>
            <w:noWrap/>
            <w:hideMark/>
          </w:tcPr>
          <w:p w14:paraId="62724D3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78" w:type="dxa"/>
            <w:tcBorders>
              <w:top w:val="nil"/>
              <w:left w:val="nil"/>
              <w:bottom w:val="single" w:sz="4" w:space="0" w:color="auto"/>
              <w:right w:val="single" w:sz="4" w:space="0" w:color="auto"/>
            </w:tcBorders>
            <w:shd w:val="clear" w:color="auto" w:fill="auto"/>
            <w:noWrap/>
            <w:hideMark/>
          </w:tcPr>
          <w:p w14:paraId="560A4DF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645ED68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2558B6F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8" w:type="dxa"/>
            <w:tcBorders>
              <w:top w:val="nil"/>
              <w:left w:val="nil"/>
              <w:bottom w:val="single" w:sz="4" w:space="0" w:color="auto"/>
              <w:right w:val="single" w:sz="4" w:space="0" w:color="auto"/>
            </w:tcBorders>
            <w:shd w:val="clear" w:color="auto" w:fill="auto"/>
            <w:noWrap/>
            <w:hideMark/>
          </w:tcPr>
          <w:p w14:paraId="576ECA0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5048B11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09" w:type="dxa"/>
            <w:tcBorders>
              <w:top w:val="nil"/>
              <w:left w:val="nil"/>
              <w:bottom w:val="single" w:sz="4" w:space="0" w:color="auto"/>
              <w:right w:val="single" w:sz="4" w:space="0" w:color="auto"/>
            </w:tcBorders>
            <w:shd w:val="clear" w:color="auto" w:fill="auto"/>
            <w:noWrap/>
            <w:hideMark/>
          </w:tcPr>
          <w:p w14:paraId="0FBF0E6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850" w:type="dxa"/>
            <w:tcBorders>
              <w:top w:val="nil"/>
              <w:left w:val="nil"/>
              <w:bottom w:val="single" w:sz="4" w:space="0" w:color="auto"/>
              <w:right w:val="single" w:sz="4" w:space="0" w:color="auto"/>
            </w:tcBorders>
            <w:shd w:val="clear" w:color="auto" w:fill="auto"/>
            <w:noWrap/>
            <w:hideMark/>
          </w:tcPr>
          <w:p w14:paraId="2F979A9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906" w:type="dxa"/>
            <w:tcBorders>
              <w:top w:val="nil"/>
              <w:left w:val="nil"/>
              <w:bottom w:val="single" w:sz="4" w:space="0" w:color="auto"/>
              <w:right w:val="single" w:sz="4" w:space="0" w:color="auto"/>
            </w:tcBorders>
            <w:shd w:val="clear" w:color="auto" w:fill="auto"/>
            <w:hideMark/>
          </w:tcPr>
          <w:p w14:paraId="6611AC2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63%</w:t>
            </w:r>
          </w:p>
        </w:tc>
      </w:tr>
      <w:tr w:rsidR="002A180E" w:rsidRPr="00340346" w14:paraId="79A0E18A" w14:textId="77777777" w:rsidTr="00C80112">
        <w:trPr>
          <w:trHeight w:val="900"/>
        </w:trPr>
        <w:tc>
          <w:tcPr>
            <w:tcW w:w="525" w:type="dxa"/>
            <w:tcBorders>
              <w:top w:val="nil"/>
              <w:left w:val="single" w:sz="4" w:space="0" w:color="auto"/>
              <w:bottom w:val="single" w:sz="4" w:space="0" w:color="auto"/>
              <w:right w:val="single" w:sz="4" w:space="0" w:color="auto"/>
            </w:tcBorders>
            <w:shd w:val="clear" w:color="auto" w:fill="auto"/>
            <w:noWrap/>
            <w:hideMark/>
          </w:tcPr>
          <w:p w14:paraId="187643A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w:t>
            </w:r>
          </w:p>
        </w:tc>
        <w:tc>
          <w:tcPr>
            <w:tcW w:w="2097" w:type="dxa"/>
            <w:tcBorders>
              <w:top w:val="nil"/>
              <w:left w:val="nil"/>
              <w:bottom w:val="single" w:sz="4" w:space="0" w:color="auto"/>
              <w:right w:val="single" w:sz="4" w:space="0" w:color="auto"/>
            </w:tcBorders>
            <w:shd w:val="clear" w:color="auto" w:fill="auto"/>
            <w:hideMark/>
          </w:tcPr>
          <w:p w14:paraId="0C0D41F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Energy efficiency of HVAC systems</w:t>
            </w:r>
          </w:p>
        </w:tc>
        <w:tc>
          <w:tcPr>
            <w:tcW w:w="2308" w:type="dxa"/>
            <w:tcBorders>
              <w:top w:val="nil"/>
              <w:left w:val="nil"/>
              <w:bottom w:val="single" w:sz="4" w:space="0" w:color="auto"/>
              <w:right w:val="single" w:sz="4" w:space="0" w:color="auto"/>
            </w:tcBorders>
            <w:shd w:val="clear" w:color="auto" w:fill="auto"/>
            <w:hideMark/>
          </w:tcPr>
          <w:p w14:paraId="73A88FB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Commercial (e.g., hotels, hospitals, shopping centers)</w:t>
            </w:r>
          </w:p>
        </w:tc>
        <w:tc>
          <w:tcPr>
            <w:tcW w:w="2070" w:type="dxa"/>
            <w:tcBorders>
              <w:top w:val="nil"/>
              <w:left w:val="nil"/>
              <w:bottom w:val="single" w:sz="4" w:space="0" w:color="auto"/>
              <w:right w:val="single" w:sz="4" w:space="0" w:color="auto"/>
            </w:tcBorders>
            <w:shd w:val="clear" w:color="auto" w:fill="auto"/>
            <w:hideMark/>
          </w:tcPr>
          <w:p w14:paraId="249DA03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Replacement of current equipment</w:t>
            </w:r>
          </w:p>
        </w:tc>
        <w:tc>
          <w:tcPr>
            <w:tcW w:w="709" w:type="dxa"/>
            <w:tcBorders>
              <w:top w:val="nil"/>
              <w:left w:val="nil"/>
              <w:bottom w:val="single" w:sz="4" w:space="0" w:color="auto"/>
              <w:right w:val="single" w:sz="4" w:space="0" w:color="auto"/>
            </w:tcBorders>
            <w:shd w:val="clear" w:color="auto" w:fill="auto"/>
            <w:noWrap/>
            <w:hideMark/>
          </w:tcPr>
          <w:p w14:paraId="4E1938A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8" w:type="dxa"/>
            <w:tcBorders>
              <w:top w:val="nil"/>
              <w:left w:val="nil"/>
              <w:bottom w:val="single" w:sz="4" w:space="0" w:color="auto"/>
              <w:right w:val="single" w:sz="4" w:space="0" w:color="auto"/>
            </w:tcBorders>
            <w:shd w:val="clear" w:color="auto" w:fill="auto"/>
            <w:noWrap/>
            <w:hideMark/>
          </w:tcPr>
          <w:p w14:paraId="38A009A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78" w:type="dxa"/>
            <w:tcBorders>
              <w:top w:val="nil"/>
              <w:left w:val="nil"/>
              <w:bottom w:val="single" w:sz="4" w:space="0" w:color="auto"/>
              <w:right w:val="single" w:sz="4" w:space="0" w:color="auto"/>
            </w:tcBorders>
            <w:shd w:val="clear" w:color="auto" w:fill="auto"/>
            <w:noWrap/>
            <w:hideMark/>
          </w:tcPr>
          <w:p w14:paraId="6E9E5BF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4C3A59C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75934C0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2ED9C5B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73822D6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6413DBC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850" w:type="dxa"/>
            <w:tcBorders>
              <w:top w:val="nil"/>
              <w:left w:val="nil"/>
              <w:bottom w:val="single" w:sz="4" w:space="0" w:color="auto"/>
              <w:right w:val="single" w:sz="4" w:space="0" w:color="auto"/>
            </w:tcBorders>
            <w:shd w:val="clear" w:color="auto" w:fill="auto"/>
            <w:noWrap/>
            <w:hideMark/>
          </w:tcPr>
          <w:p w14:paraId="68E3066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906" w:type="dxa"/>
            <w:tcBorders>
              <w:top w:val="nil"/>
              <w:left w:val="nil"/>
              <w:bottom w:val="single" w:sz="4" w:space="0" w:color="auto"/>
              <w:right w:val="single" w:sz="4" w:space="0" w:color="auto"/>
            </w:tcBorders>
            <w:shd w:val="clear" w:color="auto" w:fill="auto"/>
            <w:hideMark/>
          </w:tcPr>
          <w:p w14:paraId="6878B41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71%</w:t>
            </w:r>
          </w:p>
        </w:tc>
      </w:tr>
      <w:tr w:rsidR="002A180E" w:rsidRPr="00340346" w14:paraId="62117382" w14:textId="77777777" w:rsidTr="00C80112">
        <w:trPr>
          <w:trHeight w:val="561"/>
        </w:trPr>
        <w:tc>
          <w:tcPr>
            <w:tcW w:w="525" w:type="dxa"/>
            <w:tcBorders>
              <w:top w:val="nil"/>
              <w:left w:val="single" w:sz="4" w:space="0" w:color="auto"/>
              <w:bottom w:val="single" w:sz="4" w:space="0" w:color="auto"/>
              <w:right w:val="single" w:sz="4" w:space="0" w:color="auto"/>
            </w:tcBorders>
            <w:shd w:val="clear" w:color="auto" w:fill="auto"/>
            <w:noWrap/>
            <w:hideMark/>
          </w:tcPr>
          <w:p w14:paraId="2BF9648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w:t>
            </w:r>
          </w:p>
        </w:tc>
        <w:tc>
          <w:tcPr>
            <w:tcW w:w="2097" w:type="dxa"/>
            <w:tcBorders>
              <w:top w:val="nil"/>
              <w:left w:val="nil"/>
              <w:bottom w:val="single" w:sz="4" w:space="0" w:color="auto"/>
              <w:right w:val="single" w:sz="4" w:space="0" w:color="auto"/>
            </w:tcBorders>
            <w:shd w:val="clear" w:color="auto" w:fill="auto"/>
            <w:hideMark/>
          </w:tcPr>
          <w:p w14:paraId="1991FFA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Energy efficiency of HVAC systems</w:t>
            </w:r>
          </w:p>
        </w:tc>
        <w:tc>
          <w:tcPr>
            <w:tcW w:w="2308" w:type="dxa"/>
            <w:tcBorders>
              <w:top w:val="nil"/>
              <w:left w:val="nil"/>
              <w:bottom w:val="single" w:sz="4" w:space="0" w:color="auto"/>
              <w:right w:val="single" w:sz="4" w:space="0" w:color="auto"/>
            </w:tcBorders>
            <w:shd w:val="clear" w:color="auto" w:fill="auto"/>
            <w:hideMark/>
          </w:tcPr>
          <w:p w14:paraId="110AAD5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Residential</w:t>
            </w:r>
          </w:p>
        </w:tc>
        <w:tc>
          <w:tcPr>
            <w:tcW w:w="2070" w:type="dxa"/>
            <w:tcBorders>
              <w:top w:val="nil"/>
              <w:left w:val="nil"/>
              <w:bottom w:val="single" w:sz="4" w:space="0" w:color="auto"/>
              <w:right w:val="single" w:sz="4" w:space="0" w:color="auto"/>
            </w:tcBorders>
            <w:shd w:val="clear" w:color="auto" w:fill="auto"/>
            <w:hideMark/>
          </w:tcPr>
          <w:p w14:paraId="61A901D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Replacement of current equipment</w:t>
            </w:r>
          </w:p>
        </w:tc>
        <w:tc>
          <w:tcPr>
            <w:tcW w:w="709" w:type="dxa"/>
            <w:tcBorders>
              <w:top w:val="nil"/>
              <w:left w:val="nil"/>
              <w:bottom w:val="single" w:sz="4" w:space="0" w:color="auto"/>
              <w:right w:val="single" w:sz="4" w:space="0" w:color="auto"/>
            </w:tcBorders>
            <w:shd w:val="clear" w:color="auto" w:fill="auto"/>
            <w:noWrap/>
            <w:hideMark/>
          </w:tcPr>
          <w:p w14:paraId="2BB7FB5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08" w:type="dxa"/>
            <w:tcBorders>
              <w:top w:val="nil"/>
              <w:left w:val="nil"/>
              <w:bottom w:val="single" w:sz="4" w:space="0" w:color="auto"/>
              <w:right w:val="single" w:sz="4" w:space="0" w:color="auto"/>
            </w:tcBorders>
            <w:shd w:val="clear" w:color="auto" w:fill="auto"/>
            <w:noWrap/>
            <w:hideMark/>
          </w:tcPr>
          <w:p w14:paraId="4C31B32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78" w:type="dxa"/>
            <w:tcBorders>
              <w:top w:val="nil"/>
              <w:left w:val="nil"/>
              <w:bottom w:val="single" w:sz="4" w:space="0" w:color="auto"/>
              <w:right w:val="single" w:sz="4" w:space="0" w:color="auto"/>
            </w:tcBorders>
            <w:shd w:val="clear" w:color="auto" w:fill="auto"/>
            <w:noWrap/>
            <w:hideMark/>
          </w:tcPr>
          <w:p w14:paraId="29B2159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2FF30D7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1A5825E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42B31E6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6CA24F8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29D2B0E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850" w:type="dxa"/>
            <w:tcBorders>
              <w:top w:val="nil"/>
              <w:left w:val="nil"/>
              <w:bottom w:val="single" w:sz="4" w:space="0" w:color="auto"/>
              <w:right w:val="single" w:sz="4" w:space="0" w:color="auto"/>
            </w:tcBorders>
            <w:shd w:val="clear" w:color="auto" w:fill="auto"/>
            <w:noWrap/>
            <w:hideMark/>
          </w:tcPr>
          <w:p w14:paraId="12D9A8A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906" w:type="dxa"/>
            <w:tcBorders>
              <w:top w:val="nil"/>
              <w:left w:val="nil"/>
              <w:bottom w:val="single" w:sz="4" w:space="0" w:color="auto"/>
              <w:right w:val="single" w:sz="4" w:space="0" w:color="auto"/>
            </w:tcBorders>
            <w:shd w:val="clear" w:color="auto" w:fill="auto"/>
            <w:hideMark/>
          </w:tcPr>
          <w:p w14:paraId="43279F2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63%</w:t>
            </w:r>
          </w:p>
        </w:tc>
      </w:tr>
      <w:tr w:rsidR="002A180E" w:rsidRPr="00340346" w14:paraId="78912C14" w14:textId="77777777" w:rsidTr="00C80112">
        <w:trPr>
          <w:trHeight w:val="795"/>
        </w:trPr>
        <w:tc>
          <w:tcPr>
            <w:tcW w:w="525" w:type="dxa"/>
            <w:tcBorders>
              <w:top w:val="nil"/>
              <w:left w:val="single" w:sz="4" w:space="0" w:color="auto"/>
              <w:bottom w:val="single" w:sz="4" w:space="0" w:color="auto"/>
              <w:right w:val="single" w:sz="4" w:space="0" w:color="auto"/>
            </w:tcBorders>
            <w:shd w:val="clear" w:color="auto" w:fill="auto"/>
            <w:noWrap/>
            <w:hideMark/>
          </w:tcPr>
          <w:p w14:paraId="528921F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7</w:t>
            </w:r>
          </w:p>
        </w:tc>
        <w:tc>
          <w:tcPr>
            <w:tcW w:w="2097" w:type="dxa"/>
            <w:tcBorders>
              <w:top w:val="nil"/>
              <w:left w:val="nil"/>
              <w:bottom w:val="single" w:sz="4" w:space="0" w:color="auto"/>
              <w:right w:val="single" w:sz="4" w:space="0" w:color="auto"/>
            </w:tcBorders>
            <w:shd w:val="clear" w:color="auto" w:fill="auto"/>
            <w:hideMark/>
          </w:tcPr>
          <w:p w14:paraId="71E99FA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Energy efficiency of cooling systems</w:t>
            </w:r>
          </w:p>
        </w:tc>
        <w:tc>
          <w:tcPr>
            <w:tcW w:w="2308" w:type="dxa"/>
            <w:tcBorders>
              <w:top w:val="nil"/>
              <w:left w:val="nil"/>
              <w:bottom w:val="single" w:sz="4" w:space="0" w:color="auto"/>
              <w:right w:val="single" w:sz="4" w:space="0" w:color="auto"/>
            </w:tcBorders>
            <w:shd w:val="clear" w:color="auto" w:fill="auto"/>
            <w:hideMark/>
          </w:tcPr>
          <w:p w14:paraId="2A9DD09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Industrial (e.g., agroindustry, meat and milk, aquaculture)</w:t>
            </w:r>
          </w:p>
        </w:tc>
        <w:tc>
          <w:tcPr>
            <w:tcW w:w="2070" w:type="dxa"/>
            <w:tcBorders>
              <w:top w:val="nil"/>
              <w:left w:val="nil"/>
              <w:bottom w:val="single" w:sz="4" w:space="0" w:color="auto"/>
              <w:right w:val="single" w:sz="4" w:space="0" w:color="auto"/>
            </w:tcBorders>
            <w:shd w:val="clear" w:color="auto" w:fill="auto"/>
            <w:hideMark/>
          </w:tcPr>
          <w:p w14:paraId="0357CFF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Replacement of current equipment</w:t>
            </w:r>
          </w:p>
        </w:tc>
        <w:tc>
          <w:tcPr>
            <w:tcW w:w="709" w:type="dxa"/>
            <w:tcBorders>
              <w:top w:val="nil"/>
              <w:left w:val="nil"/>
              <w:bottom w:val="single" w:sz="4" w:space="0" w:color="auto"/>
              <w:right w:val="single" w:sz="4" w:space="0" w:color="auto"/>
            </w:tcBorders>
            <w:shd w:val="clear" w:color="auto" w:fill="auto"/>
            <w:noWrap/>
            <w:hideMark/>
          </w:tcPr>
          <w:p w14:paraId="5AD185B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8" w:type="dxa"/>
            <w:tcBorders>
              <w:top w:val="nil"/>
              <w:left w:val="nil"/>
              <w:bottom w:val="single" w:sz="4" w:space="0" w:color="auto"/>
              <w:right w:val="single" w:sz="4" w:space="0" w:color="auto"/>
            </w:tcBorders>
            <w:shd w:val="clear" w:color="auto" w:fill="auto"/>
            <w:noWrap/>
            <w:hideMark/>
          </w:tcPr>
          <w:p w14:paraId="3304125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78" w:type="dxa"/>
            <w:tcBorders>
              <w:top w:val="nil"/>
              <w:left w:val="nil"/>
              <w:bottom w:val="single" w:sz="4" w:space="0" w:color="auto"/>
              <w:right w:val="single" w:sz="4" w:space="0" w:color="auto"/>
            </w:tcBorders>
            <w:shd w:val="clear" w:color="auto" w:fill="auto"/>
            <w:noWrap/>
            <w:hideMark/>
          </w:tcPr>
          <w:p w14:paraId="3E40E21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5A2F16B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5B87AD2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7F0A3A8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4674684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7AD1ECD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850" w:type="dxa"/>
            <w:tcBorders>
              <w:top w:val="nil"/>
              <w:left w:val="nil"/>
              <w:bottom w:val="single" w:sz="4" w:space="0" w:color="auto"/>
              <w:right w:val="single" w:sz="4" w:space="0" w:color="auto"/>
            </w:tcBorders>
            <w:shd w:val="clear" w:color="auto" w:fill="auto"/>
            <w:noWrap/>
            <w:hideMark/>
          </w:tcPr>
          <w:p w14:paraId="627908D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906" w:type="dxa"/>
            <w:tcBorders>
              <w:top w:val="nil"/>
              <w:left w:val="nil"/>
              <w:bottom w:val="single" w:sz="4" w:space="0" w:color="auto"/>
              <w:right w:val="single" w:sz="4" w:space="0" w:color="auto"/>
            </w:tcBorders>
            <w:shd w:val="clear" w:color="auto" w:fill="auto"/>
            <w:hideMark/>
          </w:tcPr>
          <w:p w14:paraId="58560F2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69%</w:t>
            </w:r>
          </w:p>
        </w:tc>
      </w:tr>
      <w:tr w:rsidR="002A180E" w:rsidRPr="00340346" w14:paraId="1DE23B1D" w14:textId="77777777" w:rsidTr="00C80112">
        <w:trPr>
          <w:trHeight w:val="900"/>
        </w:trPr>
        <w:tc>
          <w:tcPr>
            <w:tcW w:w="525" w:type="dxa"/>
            <w:tcBorders>
              <w:top w:val="nil"/>
              <w:left w:val="single" w:sz="4" w:space="0" w:color="auto"/>
              <w:bottom w:val="single" w:sz="4" w:space="0" w:color="auto"/>
              <w:right w:val="single" w:sz="4" w:space="0" w:color="auto"/>
            </w:tcBorders>
            <w:shd w:val="clear" w:color="auto" w:fill="auto"/>
            <w:noWrap/>
            <w:hideMark/>
          </w:tcPr>
          <w:p w14:paraId="7454E95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8</w:t>
            </w:r>
          </w:p>
        </w:tc>
        <w:tc>
          <w:tcPr>
            <w:tcW w:w="2097" w:type="dxa"/>
            <w:tcBorders>
              <w:top w:val="nil"/>
              <w:left w:val="nil"/>
              <w:bottom w:val="single" w:sz="4" w:space="0" w:color="auto"/>
              <w:right w:val="single" w:sz="4" w:space="0" w:color="auto"/>
            </w:tcBorders>
            <w:shd w:val="clear" w:color="auto" w:fill="auto"/>
            <w:hideMark/>
          </w:tcPr>
          <w:p w14:paraId="78885BA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Energy efficiency in electric motors</w:t>
            </w:r>
          </w:p>
        </w:tc>
        <w:tc>
          <w:tcPr>
            <w:tcW w:w="2308" w:type="dxa"/>
            <w:tcBorders>
              <w:top w:val="nil"/>
              <w:left w:val="nil"/>
              <w:bottom w:val="single" w:sz="4" w:space="0" w:color="auto"/>
              <w:right w:val="single" w:sz="4" w:space="0" w:color="auto"/>
            </w:tcBorders>
            <w:shd w:val="clear" w:color="auto" w:fill="auto"/>
            <w:hideMark/>
          </w:tcPr>
          <w:p w14:paraId="22305C8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xml:space="preserve">Industry (e.g., metal-mechanic, compressed air) </w:t>
            </w:r>
          </w:p>
        </w:tc>
        <w:tc>
          <w:tcPr>
            <w:tcW w:w="2070" w:type="dxa"/>
            <w:tcBorders>
              <w:top w:val="nil"/>
              <w:left w:val="nil"/>
              <w:bottom w:val="single" w:sz="4" w:space="0" w:color="auto"/>
              <w:right w:val="single" w:sz="4" w:space="0" w:color="auto"/>
            </w:tcBorders>
            <w:shd w:val="clear" w:color="auto" w:fill="auto"/>
            <w:hideMark/>
          </w:tcPr>
          <w:p w14:paraId="34595DB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Replacement of current equipment</w:t>
            </w:r>
          </w:p>
        </w:tc>
        <w:tc>
          <w:tcPr>
            <w:tcW w:w="709" w:type="dxa"/>
            <w:tcBorders>
              <w:top w:val="nil"/>
              <w:left w:val="nil"/>
              <w:bottom w:val="single" w:sz="4" w:space="0" w:color="auto"/>
              <w:right w:val="single" w:sz="4" w:space="0" w:color="auto"/>
            </w:tcBorders>
            <w:shd w:val="clear" w:color="auto" w:fill="auto"/>
            <w:noWrap/>
            <w:hideMark/>
          </w:tcPr>
          <w:p w14:paraId="636CE65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08" w:type="dxa"/>
            <w:tcBorders>
              <w:top w:val="nil"/>
              <w:left w:val="nil"/>
              <w:bottom w:val="single" w:sz="4" w:space="0" w:color="auto"/>
              <w:right w:val="single" w:sz="4" w:space="0" w:color="auto"/>
            </w:tcBorders>
            <w:shd w:val="clear" w:color="auto" w:fill="auto"/>
            <w:noWrap/>
            <w:hideMark/>
          </w:tcPr>
          <w:p w14:paraId="63CD353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78" w:type="dxa"/>
            <w:tcBorders>
              <w:top w:val="nil"/>
              <w:left w:val="nil"/>
              <w:bottom w:val="single" w:sz="4" w:space="0" w:color="auto"/>
              <w:right w:val="single" w:sz="4" w:space="0" w:color="auto"/>
            </w:tcBorders>
            <w:shd w:val="clear" w:color="auto" w:fill="auto"/>
            <w:noWrap/>
            <w:hideMark/>
          </w:tcPr>
          <w:p w14:paraId="527EDC1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67CD394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471B9FC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8" w:type="dxa"/>
            <w:tcBorders>
              <w:top w:val="nil"/>
              <w:left w:val="nil"/>
              <w:bottom w:val="single" w:sz="4" w:space="0" w:color="auto"/>
              <w:right w:val="single" w:sz="4" w:space="0" w:color="auto"/>
            </w:tcBorders>
            <w:shd w:val="clear" w:color="auto" w:fill="auto"/>
            <w:noWrap/>
            <w:hideMark/>
          </w:tcPr>
          <w:p w14:paraId="09CE661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4E2F92C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121E403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850" w:type="dxa"/>
            <w:tcBorders>
              <w:top w:val="nil"/>
              <w:left w:val="nil"/>
              <w:bottom w:val="single" w:sz="4" w:space="0" w:color="auto"/>
              <w:right w:val="single" w:sz="4" w:space="0" w:color="auto"/>
            </w:tcBorders>
            <w:shd w:val="clear" w:color="auto" w:fill="auto"/>
            <w:noWrap/>
            <w:hideMark/>
          </w:tcPr>
          <w:p w14:paraId="2D91939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906" w:type="dxa"/>
            <w:tcBorders>
              <w:top w:val="nil"/>
              <w:left w:val="nil"/>
              <w:bottom w:val="single" w:sz="4" w:space="0" w:color="auto"/>
              <w:right w:val="single" w:sz="4" w:space="0" w:color="auto"/>
            </w:tcBorders>
            <w:shd w:val="clear" w:color="auto" w:fill="auto"/>
            <w:hideMark/>
          </w:tcPr>
          <w:p w14:paraId="44D797A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62%</w:t>
            </w:r>
          </w:p>
        </w:tc>
      </w:tr>
      <w:tr w:rsidR="002A180E" w:rsidRPr="00340346" w14:paraId="56E9386C" w14:textId="77777777" w:rsidTr="00C80112">
        <w:trPr>
          <w:trHeight w:val="804"/>
        </w:trPr>
        <w:tc>
          <w:tcPr>
            <w:tcW w:w="525" w:type="dxa"/>
            <w:tcBorders>
              <w:top w:val="nil"/>
              <w:left w:val="single" w:sz="4" w:space="0" w:color="auto"/>
              <w:bottom w:val="single" w:sz="4" w:space="0" w:color="auto"/>
              <w:right w:val="single" w:sz="4" w:space="0" w:color="auto"/>
            </w:tcBorders>
            <w:shd w:val="clear" w:color="auto" w:fill="auto"/>
            <w:noWrap/>
            <w:hideMark/>
          </w:tcPr>
          <w:p w14:paraId="0B027FA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lastRenderedPageBreak/>
              <w:t>9</w:t>
            </w:r>
          </w:p>
        </w:tc>
        <w:tc>
          <w:tcPr>
            <w:tcW w:w="2097" w:type="dxa"/>
            <w:tcBorders>
              <w:top w:val="nil"/>
              <w:left w:val="nil"/>
              <w:bottom w:val="single" w:sz="4" w:space="0" w:color="auto"/>
              <w:right w:val="single" w:sz="4" w:space="0" w:color="auto"/>
            </w:tcBorders>
            <w:shd w:val="clear" w:color="auto" w:fill="auto"/>
            <w:hideMark/>
          </w:tcPr>
          <w:p w14:paraId="79E82BB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Energy efficiency in boiler systems</w:t>
            </w:r>
          </w:p>
        </w:tc>
        <w:tc>
          <w:tcPr>
            <w:tcW w:w="2308" w:type="dxa"/>
            <w:tcBorders>
              <w:top w:val="nil"/>
              <w:left w:val="nil"/>
              <w:bottom w:val="single" w:sz="4" w:space="0" w:color="auto"/>
              <w:right w:val="single" w:sz="4" w:space="0" w:color="auto"/>
            </w:tcBorders>
            <w:shd w:val="clear" w:color="auto" w:fill="auto"/>
            <w:hideMark/>
          </w:tcPr>
          <w:p w14:paraId="5AE2FE7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Industry (e.g., food processing, chemical, pharmaceutical)</w:t>
            </w:r>
          </w:p>
        </w:tc>
        <w:tc>
          <w:tcPr>
            <w:tcW w:w="2070" w:type="dxa"/>
            <w:tcBorders>
              <w:top w:val="nil"/>
              <w:left w:val="nil"/>
              <w:bottom w:val="single" w:sz="4" w:space="0" w:color="auto"/>
              <w:right w:val="single" w:sz="4" w:space="0" w:color="auto"/>
            </w:tcBorders>
            <w:shd w:val="clear" w:color="auto" w:fill="auto"/>
            <w:hideMark/>
          </w:tcPr>
          <w:p w14:paraId="5148674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Replacement of current equipment</w:t>
            </w:r>
          </w:p>
        </w:tc>
        <w:tc>
          <w:tcPr>
            <w:tcW w:w="709" w:type="dxa"/>
            <w:tcBorders>
              <w:top w:val="nil"/>
              <w:left w:val="nil"/>
              <w:bottom w:val="single" w:sz="4" w:space="0" w:color="auto"/>
              <w:right w:val="single" w:sz="4" w:space="0" w:color="auto"/>
            </w:tcBorders>
            <w:shd w:val="clear" w:color="auto" w:fill="auto"/>
            <w:noWrap/>
            <w:hideMark/>
          </w:tcPr>
          <w:p w14:paraId="61AFF9E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08" w:type="dxa"/>
            <w:tcBorders>
              <w:top w:val="nil"/>
              <w:left w:val="nil"/>
              <w:bottom w:val="single" w:sz="4" w:space="0" w:color="auto"/>
              <w:right w:val="single" w:sz="4" w:space="0" w:color="auto"/>
            </w:tcBorders>
            <w:shd w:val="clear" w:color="auto" w:fill="auto"/>
            <w:noWrap/>
            <w:hideMark/>
          </w:tcPr>
          <w:p w14:paraId="3712A8D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78" w:type="dxa"/>
            <w:tcBorders>
              <w:top w:val="nil"/>
              <w:left w:val="nil"/>
              <w:bottom w:val="single" w:sz="4" w:space="0" w:color="auto"/>
              <w:right w:val="single" w:sz="4" w:space="0" w:color="auto"/>
            </w:tcBorders>
            <w:shd w:val="clear" w:color="auto" w:fill="auto"/>
            <w:noWrap/>
            <w:hideMark/>
          </w:tcPr>
          <w:p w14:paraId="61E5555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3606EA4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425593A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8" w:type="dxa"/>
            <w:tcBorders>
              <w:top w:val="nil"/>
              <w:left w:val="nil"/>
              <w:bottom w:val="single" w:sz="4" w:space="0" w:color="auto"/>
              <w:right w:val="single" w:sz="4" w:space="0" w:color="auto"/>
            </w:tcBorders>
            <w:shd w:val="clear" w:color="auto" w:fill="auto"/>
            <w:noWrap/>
            <w:hideMark/>
          </w:tcPr>
          <w:p w14:paraId="680F72C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9" w:type="dxa"/>
            <w:tcBorders>
              <w:top w:val="nil"/>
              <w:left w:val="nil"/>
              <w:bottom w:val="single" w:sz="4" w:space="0" w:color="auto"/>
              <w:right w:val="single" w:sz="4" w:space="0" w:color="auto"/>
            </w:tcBorders>
            <w:shd w:val="clear" w:color="auto" w:fill="auto"/>
            <w:noWrap/>
            <w:hideMark/>
          </w:tcPr>
          <w:p w14:paraId="33B2D35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6E63BB4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850" w:type="dxa"/>
            <w:tcBorders>
              <w:top w:val="nil"/>
              <w:left w:val="nil"/>
              <w:bottom w:val="single" w:sz="4" w:space="0" w:color="auto"/>
              <w:right w:val="single" w:sz="4" w:space="0" w:color="auto"/>
            </w:tcBorders>
            <w:shd w:val="clear" w:color="auto" w:fill="auto"/>
            <w:noWrap/>
            <w:hideMark/>
          </w:tcPr>
          <w:p w14:paraId="03137AF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906" w:type="dxa"/>
            <w:tcBorders>
              <w:top w:val="nil"/>
              <w:left w:val="nil"/>
              <w:bottom w:val="single" w:sz="4" w:space="0" w:color="auto"/>
              <w:right w:val="single" w:sz="4" w:space="0" w:color="auto"/>
            </w:tcBorders>
            <w:shd w:val="clear" w:color="auto" w:fill="auto"/>
            <w:hideMark/>
          </w:tcPr>
          <w:p w14:paraId="1D6215C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62%</w:t>
            </w:r>
          </w:p>
        </w:tc>
      </w:tr>
      <w:tr w:rsidR="002A180E" w:rsidRPr="00340346" w14:paraId="5766F5B2" w14:textId="77777777" w:rsidTr="00C80112">
        <w:trPr>
          <w:trHeight w:val="660"/>
        </w:trPr>
        <w:tc>
          <w:tcPr>
            <w:tcW w:w="525" w:type="dxa"/>
            <w:tcBorders>
              <w:top w:val="nil"/>
              <w:left w:val="single" w:sz="4" w:space="0" w:color="auto"/>
              <w:bottom w:val="single" w:sz="4" w:space="0" w:color="auto"/>
              <w:right w:val="single" w:sz="4" w:space="0" w:color="auto"/>
            </w:tcBorders>
            <w:shd w:val="clear" w:color="auto" w:fill="auto"/>
            <w:noWrap/>
            <w:hideMark/>
          </w:tcPr>
          <w:p w14:paraId="4C2677A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9</w:t>
            </w:r>
          </w:p>
        </w:tc>
        <w:tc>
          <w:tcPr>
            <w:tcW w:w="2097" w:type="dxa"/>
            <w:tcBorders>
              <w:top w:val="nil"/>
              <w:left w:val="nil"/>
              <w:bottom w:val="single" w:sz="4" w:space="0" w:color="auto"/>
              <w:right w:val="single" w:sz="4" w:space="0" w:color="auto"/>
            </w:tcBorders>
            <w:shd w:val="clear" w:color="auto" w:fill="auto"/>
            <w:hideMark/>
          </w:tcPr>
          <w:p w14:paraId="7AC820A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Energy efficiency in boiler systems</w:t>
            </w:r>
          </w:p>
        </w:tc>
        <w:tc>
          <w:tcPr>
            <w:tcW w:w="2308" w:type="dxa"/>
            <w:tcBorders>
              <w:top w:val="nil"/>
              <w:left w:val="nil"/>
              <w:bottom w:val="single" w:sz="4" w:space="0" w:color="auto"/>
              <w:right w:val="single" w:sz="4" w:space="0" w:color="auto"/>
            </w:tcBorders>
            <w:shd w:val="clear" w:color="auto" w:fill="auto"/>
            <w:hideMark/>
          </w:tcPr>
          <w:p w14:paraId="6A994CE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Commercial (e.g., hotels, hospitals)</w:t>
            </w:r>
          </w:p>
        </w:tc>
        <w:tc>
          <w:tcPr>
            <w:tcW w:w="2070" w:type="dxa"/>
            <w:tcBorders>
              <w:top w:val="nil"/>
              <w:left w:val="nil"/>
              <w:bottom w:val="single" w:sz="4" w:space="0" w:color="auto"/>
              <w:right w:val="single" w:sz="4" w:space="0" w:color="auto"/>
            </w:tcBorders>
            <w:shd w:val="clear" w:color="auto" w:fill="auto"/>
            <w:hideMark/>
          </w:tcPr>
          <w:p w14:paraId="1627462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w:t>
            </w:r>
          </w:p>
        </w:tc>
        <w:tc>
          <w:tcPr>
            <w:tcW w:w="709" w:type="dxa"/>
            <w:tcBorders>
              <w:top w:val="nil"/>
              <w:left w:val="nil"/>
              <w:bottom w:val="single" w:sz="4" w:space="0" w:color="auto"/>
              <w:right w:val="single" w:sz="4" w:space="0" w:color="auto"/>
            </w:tcBorders>
            <w:shd w:val="clear" w:color="auto" w:fill="auto"/>
            <w:noWrap/>
            <w:hideMark/>
          </w:tcPr>
          <w:p w14:paraId="7BBB2E0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08" w:type="dxa"/>
            <w:tcBorders>
              <w:top w:val="nil"/>
              <w:left w:val="nil"/>
              <w:bottom w:val="single" w:sz="4" w:space="0" w:color="auto"/>
              <w:right w:val="single" w:sz="4" w:space="0" w:color="auto"/>
            </w:tcBorders>
            <w:shd w:val="clear" w:color="auto" w:fill="auto"/>
            <w:noWrap/>
            <w:hideMark/>
          </w:tcPr>
          <w:p w14:paraId="56E1463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78" w:type="dxa"/>
            <w:tcBorders>
              <w:top w:val="nil"/>
              <w:left w:val="nil"/>
              <w:bottom w:val="single" w:sz="4" w:space="0" w:color="auto"/>
              <w:right w:val="single" w:sz="4" w:space="0" w:color="auto"/>
            </w:tcBorders>
            <w:shd w:val="clear" w:color="auto" w:fill="auto"/>
            <w:noWrap/>
            <w:hideMark/>
          </w:tcPr>
          <w:p w14:paraId="1B4F821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543DE16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64FDFA3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708" w:type="dxa"/>
            <w:tcBorders>
              <w:top w:val="nil"/>
              <w:left w:val="nil"/>
              <w:bottom w:val="single" w:sz="4" w:space="0" w:color="auto"/>
              <w:right w:val="single" w:sz="4" w:space="0" w:color="auto"/>
            </w:tcBorders>
            <w:shd w:val="clear" w:color="auto" w:fill="auto"/>
            <w:noWrap/>
            <w:hideMark/>
          </w:tcPr>
          <w:p w14:paraId="7E753E8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9" w:type="dxa"/>
            <w:tcBorders>
              <w:top w:val="nil"/>
              <w:left w:val="nil"/>
              <w:bottom w:val="single" w:sz="4" w:space="0" w:color="auto"/>
              <w:right w:val="single" w:sz="4" w:space="0" w:color="auto"/>
            </w:tcBorders>
            <w:shd w:val="clear" w:color="auto" w:fill="auto"/>
            <w:noWrap/>
            <w:hideMark/>
          </w:tcPr>
          <w:p w14:paraId="72EDFCB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2F03FF2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850" w:type="dxa"/>
            <w:tcBorders>
              <w:top w:val="nil"/>
              <w:left w:val="nil"/>
              <w:bottom w:val="single" w:sz="4" w:space="0" w:color="auto"/>
              <w:right w:val="single" w:sz="4" w:space="0" w:color="auto"/>
            </w:tcBorders>
            <w:shd w:val="clear" w:color="auto" w:fill="auto"/>
            <w:noWrap/>
            <w:hideMark/>
          </w:tcPr>
          <w:p w14:paraId="476111F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906" w:type="dxa"/>
            <w:tcBorders>
              <w:top w:val="nil"/>
              <w:left w:val="nil"/>
              <w:bottom w:val="single" w:sz="4" w:space="0" w:color="auto"/>
              <w:right w:val="single" w:sz="4" w:space="0" w:color="auto"/>
            </w:tcBorders>
            <w:shd w:val="clear" w:color="auto" w:fill="auto"/>
            <w:hideMark/>
          </w:tcPr>
          <w:p w14:paraId="71FB793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61%</w:t>
            </w:r>
          </w:p>
        </w:tc>
      </w:tr>
      <w:tr w:rsidR="002A180E" w:rsidRPr="00340346" w14:paraId="76C74B9F" w14:textId="77777777" w:rsidTr="00C80112">
        <w:trPr>
          <w:trHeight w:val="1200"/>
        </w:trPr>
        <w:tc>
          <w:tcPr>
            <w:tcW w:w="525" w:type="dxa"/>
            <w:tcBorders>
              <w:top w:val="nil"/>
              <w:left w:val="single" w:sz="4" w:space="0" w:color="auto"/>
              <w:bottom w:val="single" w:sz="4" w:space="0" w:color="auto"/>
              <w:right w:val="single" w:sz="4" w:space="0" w:color="auto"/>
            </w:tcBorders>
            <w:shd w:val="clear" w:color="auto" w:fill="auto"/>
            <w:noWrap/>
            <w:hideMark/>
          </w:tcPr>
          <w:p w14:paraId="23EC941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10</w:t>
            </w:r>
          </w:p>
        </w:tc>
        <w:tc>
          <w:tcPr>
            <w:tcW w:w="2097" w:type="dxa"/>
            <w:tcBorders>
              <w:top w:val="nil"/>
              <w:left w:val="nil"/>
              <w:bottom w:val="single" w:sz="4" w:space="0" w:color="auto"/>
              <w:right w:val="single" w:sz="4" w:space="0" w:color="auto"/>
            </w:tcBorders>
            <w:shd w:val="clear" w:color="auto" w:fill="auto"/>
            <w:hideMark/>
          </w:tcPr>
          <w:p w14:paraId="45FA1BC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Energy efficiency in firing, drying, and smelting furnaces</w:t>
            </w:r>
          </w:p>
        </w:tc>
        <w:tc>
          <w:tcPr>
            <w:tcW w:w="2308" w:type="dxa"/>
            <w:tcBorders>
              <w:top w:val="nil"/>
              <w:left w:val="nil"/>
              <w:bottom w:val="single" w:sz="4" w:space="0" w:color="auto"/>
              <w:right w:val="single" w:sz="4" w:space="0" w:color="auto"/>
            </w:tcBorders>
            <w:shd w:val="clear" w:color="auto" w:fill="auto"/>
            <w:hideMark/>
          </w:tcPr>
          <w:p w14:paraId="2709ABC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Industry (e.g., metal-mechanic, glass-ceramic, flooring, glass)</w:t>
            </w:r>
          </w:p>
        </w:tc>
        <w:tc>
          <w:tcPr>
            <w:tcW w:w="2070" w:type="dxa"/>
            <w:tcBorders>
              <w:top w:val="nil"/>
              <w:left w:val="nil"/>
              <w:bottom w:val="single" w:sz="4" w:space="0" w:color="auto"/>
              <w:right w:val="single" w:sz="4" w:space="0" w:color="auto"/>
            </w:tcBorders>
            <w:shd w:val="clear" w:color="auto" w:fill="auto"/>
            <w:hideMark/>
          </w:tcPr>
          <w:p w14:paraId="39104B2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Replacement of current equipment</w:t>
            </w:r>
          </w:p>
        </w:tc>
        <w:tc>
          <w:tcPr>
            <w:tcW w:w="709" w:type="dxa"/>
            <w:tcBorders>
              <w:top w:val="nil"/>
              <w:left w:val="nil"/>
              <w:bottom w:val="single" w:sz="4" w:space="0" w:color="auto"/>
              <w:right w:val="single" w:sz="4" w:space="0" w:color="auto"/>
            </w:tcBorders>
            <w:shd w:val="clear" w:color="auto" w:fill="auto"/>
            <w:noWrap/>
            <w:hideMark/>
          </w:tcPr>
          <w:p w14:paraId="41212C0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30A20BB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78" w:type="dxa"/>
            <w:tcBorders>
              <w:top w:val="nil"/>
              <w:left w:val="nil"/>
              <w:bottom w:val="single" w:sz="4" w:space="0" w:color="auto"/>
              <w:right w:val="single" w:sz="4" w:space="0" w:color="auto"/>
            </w:tcBorders>
            <w:shd w:val="clear" w:color="auto" w:fill="auto"/>
            <w:noWrap/>
            <w:hideMark/>
          </w:tcPr>
          <w:p w14:paraId="53A82DC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75F1951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4FF0A29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8" w:type="dxa"/>
            <w:tcBorders>
              <w:top w:val="nil"/>
              <w:left w:val="nil"/>
              <w:bottom w:val="single" w:sz="4" w:space="0" w:color="auto"/>
              <w:right w:val="single" w:sz="4" w:space="0" w:color="auto"/>
            </w:tcBorders>
            <w:shd w:val="clear" w:color="auto" w:fill="auto"/>
            <w:noWrap/>
            <w:hideMark/>
          </w:tcPr>
          <w:p w14:paraId="5D9A469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709" w:type="dxa"/>
            <w:tcBorders>
              <w:top w:val="nil"/>
              <w:left w:val="nil"/>
              <w:bottom w:val="single" w:sz="4" w:space="0" w:color="auto"/>
              <w:right w:val="single" w:sz="4" w:space="0" w:color="auto"/>
            </w:tcBorders>
            <w:shd w:val="clear" w:color="auto" w:fill="auto"/>
            <w:noWrap/>
            <w:hideMark/>
          </w:tcPr>
          <w:p w14:paraId="02939AA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73A0B32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850" w:type="dxa"/>
            <w:tcBorders>
              <w:top w:val="nil"/>
              <w:left w:val="nil"/>
              <w:bottom w:val="single" w:sz="4" w:space="0" w:color="auto"/>
              <w:right w:val="single" w:sz="4" w:space="0" w:color="auto"/>
            </w:tcBorders>
            <w:shd w:val="clear" w:color="auto" w:fill="auto"/>
            <w:noWrap/>
            <w:hideMark/>
          </w:tcPr>
          <w:p w14:paraId="77070CF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906" w:type="dxa"/>
            <w:tcBorders>
              <w:top w:val="nil"/>
              <w:left w:val="nil"/>
              <w:bottom w:val="single" w:sz="4" w:space="0" w:color="auto"/>
              <w:right w:val="single" w:sz="4" w:space="0" w:color="auto"/>
            </w:tcBorders>
            <w:shd w:val="clear" w:color="auto" w:fill="auto"/>
            <w:hideMark/>
          </w:tcPr>
          <w:p w14:paraId="6488FFB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65%</w:t>
            </w:r>
          </w:p>
        </w:tc>
      </w:tr>
      <w:tr w:rsidR="002A180E" w:rsidRPr="00340346" w14:paraId="60061A3C" w14:textId="77777777" w:rsidTr="00C80112">
        <w:trPr>
          <w:trHeight w:val="900"/>
        </w:trPr>
        <w:tc>
          <w:tcPr>
            <w:tcW w:w="525" w:type="dxa"/>
            <w:tcBorders>
              <w:top w:val="nil"/>
              <w:left w:val="single" w:sz="4" w:space="0" w:color="auto"/>
              <w:bottom w:val="single" w:sz="4" w:space="0" w:color="auto"/>
              <w:right w:val="single" w:sz="4" w:space="0" w:color="auto"/>
            </w:tcBorders>
            <w:shd w:val="clear" w:color="auto" w:fill="auto"/>
            <w:noWrap/>
            <w:hideMark/>
          </w:tcPr>
          <w:p w14:paraId="56AD16C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11</w:t>
            </w:r>
          </w:p>
        </w:tc>
        <w:tc>
          <w:tcPr>
            <w:tcW w:w="2097" w:type="dxa"/>
            <w:tcBorders>
              <w:top w:val="nil"/>
              <w:left w:val="nil"/>
              <w:bottom w:val="single" w:sz="4" w:space="0" w:color="auto"/>
              <w:right w:val="single" w:sz="4" w:space="0" w:color="auto"/>
            </w:tcBorders>
            <w:shd w:val="clear" w:color="auto" w:fill="auto"/>
            <w:hideMark/>
          </w:tcPr>
          <w:p w14:paraId="494FF8F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Heat recovery systems.</w:t>
            </w:r>
          </w:p>
        </w:tc>
        <w:tc>
          <w:tcPr>
            <w:tcW w:w="2308" w:type="dxa"/>
            <w:tcBorders>
              <w:top w:val="nil"/>
              <w:left w:val="nil"/>
              <w:bottom w:val="single" w:sz="4" w:space="0" w:color="auto"/>
              <w:right w:val="single" w:sz="4" w:space="0" w:color="auto"/>
            </w:tcBorders>
            <w:shd w:val="clear" w:color="auto" w:fill="auto"/>
            <w:hideMark/>
          </w:tcPr>
          <w:p w14:paraId="1C0EA3F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Industry (e.g., food processing, chemical, pharmaceutical)</w:t>
            </w:r>
          </w:p>
        </w:tc>
        <w:tc>
          <w:tcPr>
            <w:tcW w:w="2070" w:type="dxa"/>
            <w:tcBorders>
              <w:top w:val="nil"/>
              <w:left w:val="nil"/>
              <w:bottom w:val="single" w:sz="4" w:space="0" w:color="auto"/>
              <w:right w:val="single" w:sz="4" w:space="0" w:color="auto"/>
            </w:tcBorders>
            <w:shd w:val="clear" w:color="auto" w:fill="auto"/>
            <w:hideMark/>
          </w:tcPr>
          <w:p w14:paraId="78B5608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Replacement of current equipment</w:t>
            </w:r>
          </w:p>
        </w:tc>
        <w:tc>
          <w:tcPr>
            <w:tcW w:w="709" w:type="dxa"/>
            <w:tcBorders>
              <w:top w:val="nil"/>
              <w:left w:val="nil"/>
              <w:bottom w:val="single" w:sz="4" w:space="0" w:color="auto"/>
              <w:right w:val="single" w:sz="4" w:space="0" w:color="auto"/>
            </w:tcBorders>
            <w:shd w:val="clear" w:color="auto" w:fill="auto"/>
            <w:noWrap/>
            <w:hideMark/>
          </w:tcPr>
          <w:p w14:paraId="6145B39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4A06EAA4"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78" w:type="dxa"/>
            <w:tcBorders>
              <w:top w:val="nil"/>
              <w:left w:val="nil"/>
              <w:bottom w:val="single" w:sz="4" w:space="0" w:color="auto"/>
              <w:right w:val="single" w:sz="4" w:space="0" w:color="auto"/>
            </w:tcBorders>
            <w:shd w:val="clear" w:color="auto" w:fill="auto"/>
            <w:noWrap/>
            <w:hideMark/>
          </w:tcPr>
          <w:p w14:paraId="0664601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53C5E80E"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6A643B4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2243C72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1D3ADB6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76001B3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850" w:type="dxa"/>
            <w:tcBorders>
              <w:top w:val="nil"/>
              <w:left w:val="nil"/>
              <w:bottom w:val="single" w:sz="4" w:space="0" w:color="auto"/>
              <w:right w:val="single" w:sz="4" w:space="0" w:color="auto"/>
            </w:tcBorders>
            <w:shd w:val="clear" w:color="auto" w:fill="auto"/>
            <w:noWrap/>
            <w:hideMark/>
          </w:tcPr>
          <w:p w14:paraId="7D21FA07"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906" w:type="dxa"/>
            <w:tcBorders>
              <w:top w:val="nil"/>
              <w:left w:val="nil"/>
              <w:bottom w:val="single" w:sz="4" w:space="0" w:color="auto"/>
              <w:right w:val="single" w:sz="4" w:space="0" w:color="auto"/>
            </w:tcBorders>
            <w:shd w:val="clear" w:color="auto" w:fill="auto"/>
            <w:hideMark/>
          </w:tcPr>
          <w:p w14:paraId="1B81DCF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71%</w:t>
            </w:r>
          </w:p>
        </w:tc>
      </w:tr>
      <w:tr w:rsidR="002A180E" w:rsidRPr="00340346" w14:paraId="5A5C3EC4" w14:textId="77777777" w:rsidTr="00C80112">
        <w:trPr>
          <w:trHeight w:val="534"/>
        </w:trPr>
        <w:tc>
          <w:tcPr>
            <w:tcW w:w="525" w:type="dxa"/>
            <w:tcBorders>
              <w:top w:val="nil"/>
              <w:left w:val="single" w:sz="4" w:space="0" w:color="auto"/>
              <w:bottom w:val="single" w:sz="4" w:space="0" w:color="auto"/>
              <w:right w:val="single" w:sz="4" w:space="0" w:color="auto"/>
            </w:tcBorders>
            <w:shd w:val="clear" w:color="auto" w:fill="auto"/>
            <w:noWrap/>
            <w:hideMark/>
          </w:tcPr>
          <w:p w14:paraId="6529665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11</w:t>
            </w:r>
          </w:p>
        </w:tc>
        <w:tc>
          <w:tcPr>
            <w:tcW w:w="2097" w:type="dxa"/>
            <w:tcBorders>
              <w:top w:val="nil"/>
              <w:left w:val="nil"/>
              <w:bottom w:val="single" w:sz="4" w:space="0" w:color="auto"/>
              <w:right w:val="single" w:sz="4" w:space="0" w:color="auto"/>
            </w:tcBorders>
            <w:shd w:val="clear" w:color="auto" w:fill="auto"/>
            <w:hideMark/>
          </w:tcPr>
          <w:p w14:paraId="0047B25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Heat recovery systems.</w:t>
            </w:r>
          </w:p>
        </w:tc>
        <w:tc>
          <w:tcPr>
            <w:tcW w:w="2308" w:type="dxa"/>
            <w:tcBorders>
              <w:top w:val="nil"/>
              <w:left w:val="nil"/>
              <w:bottom w:val="single" w:sz="4" w:space="0" w:color="auto"/>
              <w:right w:val="single" w:sz="4" w:space="0" w:color="auto"/>
            </w:tcBorders>
            <w:shd w:val="clear" w:color="auto" w:fill="auto"/>
            <w:hideMark/>
          </w:tcPr>
          <w:p w14:paraId="599220F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Commercial (e.g., hotels, hospitals)</w:t>
            </w:r>
          </w:p>
        </w:tc>
        <w:tc>
          <w:tcPr>
            <w:tcW w:w="2070" w:type="dxa"/>
            <w:tcBorders>
              <w:top w:val="nil"/>
              <w:left w:val="nil"/>
              <w:bottom w:val="single" w:sz="4" w:space="0" w:color="auto"/>
              <w:right w:val="single" w:sz="4" w:space="0" w:color="auto"/>
            </w:tcBorders>
            <w:shd w:val="clear" w:color="auto" w:fill="auto"/>
            <w:hideMark/>
          </w:tcPr>
          <w:p w14:paraId="5608017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w:t>
            </w:r>
          </w:p>
        </w:tc>
        <w:tc>
          <w:tcPr>
            <w:tcW w:w="709" w:type="dxa"/>
            <w:tcBorders>
              <w:top w:val="nil"/>
              <w:left w:val="nil"/>
              <w:bottom w:val="single" w:sz="4" w:space="0" w:color="auto"/>
              <w:right w:val="single" w:sz="4" w:space="0" w:color="auto"/>
            </w:tcBorders>
            <w:shd w:val="clear" w:color="auto" w:fill="auto"/>
            <w:noWrap/>
            <w:hideMark/>
          </w:tcPr>
          <w:p w14:paraId="0C2C467D"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1998D53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78" w:type="dxa"/>
            <w:tcBorders>
              <w:top w:val="nil"/>
              <w:left w:val="nil"/>
              <w:bottom w:val="single" w:sz="4" w:space="0" w:color="auto"/>
              <w:right w:val="single" w:sz="4" w:space="0" w:color="auto"/>
            </w:tcBorders>
            <w:shd w:val="clear" w:color="auto" w:fill="auto"/>
            <w:noWrap/>
            <w:hideMark/>
          </w:tcPr>
          <w:p w14:paraId="17398F5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163C614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256BEF5A"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38CA296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3EA27EB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7AE37AA8"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850" w:type="dxa"/>
            <w:tcBorders>
              <w:top w:val="nil"/>
              <w:left w:val="nil"/>
              <w:bottom w:val="single" w:sz="4" w:space="0" w:color="auto"/>
              <w:right w:val="single" w:sz="4" w:space="0" w:color="auto"/>
            </w:tcBorders>
            <w:shd w:val="clear" w:color="auto" w:fill="auto"/>
            <w:noWrap/>
            <w:hideMark/>
          </w:tcPr>
          <w:p w14:paraId="03E572E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906" w:type="dxa"/>
            <w:tcBorders>
              <w:top w:val="nil"/>
              <w:left w:val="nil"/>
              <w:bottom w:val="single" w:sz="4" w:space="0" w:color="auto"/>
              <w:right w:val="single" w:sz="4" w:space="0" w:color="auto"/>
            </w:tcBorders>
            <w:shd w:val="clear" w:color="auto" w:fill="auto"/>
            <w:hideMark/>
          </w:tcPr>
          <w:p w14:paraId="1474A7F6"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71%</w:t>
            </w:r>
          </w:p>
        </w:tc>
      </w:tr>
      <w:tr w:rsidR="002A180E" w:rsidRPr="00340346" w14:paraId="34CF7FE0" w14:textId="77777777" w:rsidTr="00C80112">
        <w:trPr>
          <w:trHeight w:val="525"/>
        </w:trPr>
        <w:tc>
          <w:tcPr>
            <w:tcW w:w="525" w:type="dxa"/>
            <w:tcBorders>
              <w:top w:val="nil"/>
              <w:left w:val="single" w:sz="4" w:space="0" w:color="auto"/>
              <w:bottom w:val="single" w:sz="4" w:space="0" w:color="auto"/>
              <w:right w:val="single" w:sz="4" w:space="0" w:color="auto"/>
            </w:tcBorders>
            <w:shd w:val="clear" w:color="auto" w:fill="auto"/>
            <w:noWrap/>
            <w:hideMark/>
          </w:tcPr>
          <w:p w14:paraId="1FE0BA19"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12</w:t>
            </w:r>
          </w:p>
        </w:tc>
        <w:tc>
          <w:tcPr>
            <w:tcW w:w="2097" w:type="dxa"/>
            <w:tcBorders>
              <w:top w:val="nil"/>
              <w:left w:val="nil"/>
              <w:bottom w:val="single" w:sz="4" w:space="0" w:color="auto"/>
              <w:right w:val="single" w:sz="4" w:space="0" w:color="auto"/>
            </w:tcBorders>
            <w:shd w:val="clear" w:color="auto" w:fill="auto"/>
            <w:hideMark/>
          </w:tcPr>
          <w:p w14:paraId="0B502335"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Energy efficiency in lighting (LED)</w:t>
            </w:r>
          </w:p>
        </w:tc>
        <w:tc>
          <w:tcPr>
            <w:tcW w:w="2308" w:type="dxa"/>
            <w:tcBorders>
              <w:top w:val="nil"/>
              <w:left w:val="nil"/>
              <w:bottom w:val="single" w:sz="4" w:space="0" w:color="auto"/>
              <w:right w:val="single" w:sz="4" w:space="0" w:color="auto"/>
            </w:tcBorders>
            <w:shd w:val="clear" w:color="auto" w:fill="auto"/>
            <w:hideMark/>
          </w:tcPr>
          <w:p w14:paraId="1C635EB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Commercial.</w:t>
            </w:r>
          </w:p>
        </w:tc>
        <w:tc>
          <w:tcPr>
            <w:tcW w:w="2070" w:type="dxa"/>
            <w:tcBorders>
              <w:top w:val="nil"/>
              <w:left w:val="nil"/>
              <w:bottom w:val="single" w:sz="4" w:space="0" w:color="auto"/>
              <w:right w:val="single" w:sz="4" w:space="0" w:color="auto"/>
            </w:tcBorders>
            <w:shd w:val="clear" w:color="auto" w:fill="auto"/>
            <w:hideMark/>
          </w:tcPr>
          <w:p w14:paraId="2B35E16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Replacement of current equipment</w:t>
            </w:r>
          </w:p>
        </w:tc>
        <w:tc>
          <w:tcPr>
            <w:tcW w:w="709" w:type="dxa"/>
            <w:tcBorders>
              <w:top w:val="nil"/>
              <w:left w:val="nil"/>
              <w:bottom w:val="single" w:sz="4" w:space="0" w:color="auto"/>
              <w:right w:val="single" w:sz="4" w:space="0" w:color="auto"/>
            </w:tcBorders>
            <w:shd w:val="clear" w:color="auto" w:fill="auto"/>
            <w:noWrap/>
            <w:hideMark/>
          </w:tcPr>
          <w:p w14:paraId="4D162D53"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708" w:type="dxa"/>
            <w:tcBorders>
              <w:top w:val="nil"/>
              <w:left w:val="nil"/>
              <w:bottom w:val="single" w:sz="4" w:space="0" w:color="auto"/>
              <w:right w:val="single" w:sz="4" w:space="0" w:color="auto"/>
            </w:tcBorders>
            <w:shd w:val="clear" w:color="auto" w:fill="auto"/>
            <w:noWrap/>
            <w:hideMark/>
          </w:tcPr>
          <w:p w14:paraId="66D5A65C"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78" w:type="dxa"/>
            <w:tcBorders>
              <w:top w:val="nil"/>
              <w:left w:val="nil"/>
              <w:bottom w:val="single" w:sz="4" w:space="0" w:color="auto"/>
              <w:right w:val="single" w:sz="4" w:space="0" w:color="auto"/>
            </w:tcBorders>
            <w:shd w:val="clear" w:color="auto" w:fill="auto"/>
            <w:noWrap/>
            <w:hideMark/>
          </w:tcPr>
          <w:p w14:paraId="2D5C162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1</w:t>
            </w:r>
          </w:p>
        </w:tc>
        <w:tc>
          <w:tcPr>
            <w:tcW w:w="640" w:type="dxa"/>
            <w:tcBorders>
              <w:top w:val="nil"/>
              <w:left w:val="nil"/>
              <w:bottom w:val="single" w:sz="4" w:space="0" w:color="auto"/>
              <w:right w:val="single" w:sz="4" w:space="0" w:color="auto"/>
            </w:tcBorders>
            <w:shd w:val="clear" w:color="auto" w:fill="auto"/>
            <w:noWrap/>
            <w:hideMark/>
          </w:tcPr>
          <w:p w14:paraId="40C9A962"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1373F3B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8" w:type="dxa"/>
            <w:tcBorders>
              <w:top w:val="nil"/>
              <w:left w:val="nil"/>
              <w:bottom w:val="single" w:sz="4" w:space="0" w:color="auto"/>
              <w:right w:val="single" w:sz="4" w:space="0" w:color="auto"/>
            </w:tcBorders>
            <w:shd w:val="clear" w:color="auto" w:fill="auto"/>
            <w:noWrap/>
            <w:hideMark/>
          </w:tcPr>
          <w:p w14:paraId="62586DAB"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5</w:t>
            </w:r>
          </w:p>
        </w:tc>
        <w:tc>
          <w:tcPr>
            <w:tcW w:w="709" w:type="dxa"/>
            <w:tcBorders>
              <w:top w:val="nil"/>
              <w:left w:val="nil"/>
              <w:bottom w:val="single" w:sz="4" w:space="0" w:color="auto"/>
              <w:right w:val="single" w:sz="4" w:space="0" w:color="auto"/>
            </w:tcBorders>
            <w:shd w:val="clear" w:color="auto" w:fill="auto"/>
            <w:noWrap/>
            <w:hideMark/>
          </w:tcPr>
          <w:p w14:paraId="757424F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4</w:t>
            </w:r>
          </w:p>
        </w:tc>
        <w:tc>
          <w:tcPr>
            <w:tcW w:w="709" w:type="dxa"/>
            <w:tcBorders>
              <w:top w:val="nil"/>
              <w:left w:val="nil"/>
              <w:bottom w:val="single" w:sz="4" w:space="0" w:color="auto"/>
              <w:right w:val="single" w:sz="4" w:space="0" w:color="auto"/>
            </w:tcBorders>
            <w:shd w:val="clear" w:color="auto" w:fill="auto"/>
            <w:noWrap/>
            <w:hideMark/>
          </w:tcPr>
          <w:p w14:paraId="03BA1A01"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2</w:t>
            </w:r>
          </w:p>
        </w:tc>
        <w:tc>
          <w:tcPr>
            <w:tcW w:w="850" w:type="dxa"/>
            <w:tcBorders>
              <w:top w:val="nil"/>
              <w:left w:val="nil"/>
              <w:bottom w:val="single" w:sz="4" w:space="0" w:color="auto"/>
              <w:right w:val="single" w:sz="4" w:space="0" w:color="auto"/>
            </w:tcBorders>
            <w:shd w:val="clear" w:color="auto" w:fill="auto"/>
            <w:noWrap/>
            <w:hideMark/>
          </w:tcPr>
          <w:p w14:paraId="158453EF"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3</w:t>
            </w:r>
          </w:p>
        </w:tc>
        <w:tc>
          <w:tcPr>
            <w:tcW w:w="906" w:type="dxa"/>
            <w:tcBorders>
              <w:top w:val="nil"/>
              <w:left w:val="nil"/>
              <w:bottom w:val="single" w:sz="4" w:space="0" w:color="000000"/>
              <w:right w:val="single" w:sz="4" w:space="0" w:color="auto"/>
            </w:tcBorders>
            <w:shd w:val="clear" w:color="auto" w:fill="auto"/>
            <w:hideMark/>
          </w:tcPr>
          <w:p w14:paraId="1094BAD0" w14:textId="77777777" w:rsidR="002A180E" w:rsidRPr="00340346" w:rsidRDefault="002A180E"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67%</w:t>
            </w:r>
          </w:p>
        </w:tc>
      </w:tr>
    </w:tbl>
    <w:p w14:paraId="176984B3" w14:textId="77777777" w:rsidR="00EA3D60" w:rsidRPr="00340346" w:rsidRDefault="00EA3D60" w:rsidP="00C80112">
      <w:pPr>
        <w:ind w:left="708" w:firstLine="708"/>
        <w:rPr>
          <w:rFonts w:ascii="Arial" w:hAnsi="Arial" w:cs="Arial"/>
          <w:noProof/>
          <w:sz w:val="22"/>
          <w:szCs w:val="22"/>
          <w:lang w:val="en-US"/>
        </w:rPr>
      </w:pPr>
      <w:bookmarkStart w:id="601" w:name="_Toc504671076"/>
    </w:p>
    <w:p w14:paraId="46149614" w14:textId="77777777" w:rsidR="00EA3D60" w:rsidRPr="00340346" w:rsidRDefault="00EA3D60" w:rsidP="00C80112">
      <w:pPr>
        <w:ind w:left="708" w:firstLine="708"/>
        <w:rPr>
          <w:rFonts w:ascii="Arial" w:hAnsi="Arial" w:cs="Arial"/>
          <w:noProof/>
          <w:sz w:val="22"/>
          <w:szCs w:val="22"/>
          <w:lang w:val="en-US"/>
        </w:rPr>
      </w:pPr>
    </w:p>
    <w:p w14:paraId="1ECE48F2" w14:textId="77777777" w:rsidR="00EA3D60" w:rsidRPr="00340346" w:rsidRDefault="00EA3D60" w:rsidP="00C80112">
      <w:pPr>
        <w:ind w:left="708" w:firstLine="708"/>
        <w:rPr>
          <w:rFonts w:ascii="Arial" w:hAnsi="Arial" w:cs="Arial"/>
          <w:noProof/>
          <w:sz w:val="22"/>
          <w:szCs w:val="22"/>
          <w:lang w:val="en-US"/>
        </w:rPr>
      </w:pPr>
    </w:p>
    <w:p w14:paraId="6AD130EC" w14:textId="77777777" w:rsidR="00EA3D60" w:rsidRPr="00340346" w:rsidRDefault="00EA3D60" w:rsidP="00C80112">
      <w:pPr>
        <w:ind w:left="708" w:firstLine="708"/>
        <w:rPr>
          <w:rFonts w:ascii="Arial" w:hAnsi="Arial" w:cs="Arial"/>
          <w:noProof/>
          <w:sz w:val="22"/>
          <w:szCs w:val="22"/>
          <w:lang w:val="en-US"/>
        </w:rPr>
      </w:pPr>
    </w:p>
    <w:p w14:paraId="764EB2BC" w14:textId="77777777" w:rsidR="00EA3D60" w:rsidRPr="00340346" w:rsidRDefault="00EA3D60" w:rsidP="00C80112">
      <w:pPr>
        <w:ind w:left="708" w:firstLine="708"/>
        <w:rPr>
          <w:rFonts w:ascii="Arial" w:hAnsi="Arial" w:cs="Arial"/>
          <w:noProof/>
          <w:sz w:val="22"/>
          <w:szCs w:val="22"/>
          <w:lang w:val="en-US"/>
        </w:rPr>
      </w:pPr>
    </w:p>
    <w:p w14:paraId="442BD0CE" w14:textId="77777777" w:rsidR="00EA3D60" w:rsidRPr="00340346" w:rsidRDefault="00EA3D60" w:rsidP="00C80112">
      <w:pPr>
        <w:ind w:left="708" w:firstLine="708"/>
        <w:rPr>
          <w:rFonts w:ascii="Arial" w:hAnsi="Arial" w:cs="Arial"/>
          <w:noProof/>
          <w:sz w:val="22"/>
          <w:szCs w:val="22"/>
          <w:lang w:val="en-US"/>
        </w:rPr>
      </w:pPr>
    </w:p>
    <w:p w14:paraId="5FF64813" w14:textId="77777777" w:rsidR="00EA3D60" w:rsidRPr="00340346" w:rsidRDefault="00EA3D60" w:rsidP="00C80112">
      <w:pPr>
        <w:ind w:left="708" w:firstLine="708"/>
        <w:rPr>
          <w:rFonts w:ascii="Arial" w:hAnsi="Arial" w:cs="Arial"/>
          <w:noProof/>
          <w:sz w:val="22"/>
          <w:szCs w:val="22"/>
          <w:lang w:val="en-US"/>
        </w:rPr>
      </w:pPr>
    </w:p>
    <w:p w14:paraId="0637E78F" w14:textId="77777777" w:rsidR="002A180E" w:rsidRPr="00340346" w:rsidRDefault="00E06B0B" w:rsidP="00C80112">
      <w:pPr>
        <w:ind w:left="708" w:firstLine="708"/>
        <w:rPr>
          <w:rFonts w:ascii="Arial" w:hAnsi="Arial" w:cs="Arial"/>
          <w:b/>
          <w:noProof/>
          <w:sz w:val="22"/>
          <w:szCs w:val="22"/>
          <w:lang w:val="en-US"/>
        </w:rPr>
      </w:pPr>
      <w:r w:rsidRPr="00340346">
        <w:rPr>
          <w:rFonts w:ascii="Arial" w:hAnsi="Arial" w:cs="Arial"/>
          <w:b/>
          <w:noProof/>
          <w:sz w:val="22"/>
          <w:szCs w:val="22"/>
          <w:lang w:val="en-US"/>
        </w:rPr>
        <w:lastRenderedPageBreak/>
        <w:t>Subsector Evaluation</w:t>
      </w:r>
      <w:bookmarkEnd w:id="601"/>
    </w:p>
    <w:tbl>
      <w:tblPr>
        <w:tblW w:w="1441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0"/>
        <w:gridCol w:w="1985"/>
        <w:gridCol w:w="5230"/>
        <w:gridCol w:w="718"/>
        <w:gridCol w:w="513"/>
        <w:gridCol w:w="567"/>
        <w:gridCol w:w="425"/>
        <w:gridCol w:w="567"/>
        <w:gridCol w:w="709"/>
        <w:gridCol w:w="709"/>
        <w:gridCol w:w="726"/>
        <w:gridCol w:w="408"/>
        <w:gridCol w:w="1417"/>
      </w:tblGrid>
      <w:tr w:rsidR="00956604" w:rsidRPr="00340346" w14:paraId="17BD4377" w14:textId="77777777" w:rsidTr="00464928">
        <w:trPr>
          <w:trHeight w:val="315"/>
          <w:tblHeader/>
        </w:trPr>
        <w:tc>
          <w:tcPr>
            <w:tcW w:w="440" w:type="dxa"/>
            <w:vMerge w:val="restart"/>
            <w:shd w:val="clear" w:color="auto" w:fill="D9D9D9" w:themeFill="background1" w:themeFillShade="D9"/>
            <w:vAlign w:val="center"/>
          </w:tcPr>
          <w:p w14:paraId="29BB0695" w14:textId="77777777" w:rsidR="00956604" w:rsidRPr="00340346" w:rsidRDefault="0095660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No.</w:t>
            </w:r>
          </w:p>
        </w:tc>
        <w:tc>
          <w:tcPr>
            <w:tcW w:w="1985" w:type="dxa"/>
            <w:vMerge w:val="restart"/>
            <w:shd w:val="clear" w:color="auto" w:fill="D9D9D9" w:themeFill="background1" w:themeFillShade="D9"/>
            <w:vAlign w:val="center"/>
          </w:tcPr>
          <w:p w14:paraId="06F84D5C" w14:textId="77777777" w:rsidR="00956604" w:rsidRPr="00340346" w:rsidRDefault="0095660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ITEM TECHNOLOGY</w:t>
            </w:r>
          </w:p>
        </w:tc>
        <w:tc>
          <w:tcPr>
            <w:tcW w:w="5230" w:type="dxa"/>
            <w:vMerge w:val="restart"/>
            <w:shd w:val="clear" w:color="auto" w:fill="D9D9D9" w:themeFill="background1" w:themeFillShade="D9"/>
            <w:vAlign w:val="center"/>
            <w:hideMark/>
          </w:tcPr>
          <w:p w14:paraId="7EBC83FB" w14:textId="77777777" w:rsidR="00956604" w:rsidRPr="00340346" w:rsidRDefault="0095660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ECONOMIC ACTIVITY</w:t>
            </w:r>
          </w:p>
        </w:tc>
        <w:tc>
          <w:tcPr>
            <w:tcW w:w="718" w:type="dxa"/>
            <w:shd w:val="clear" w:color="auto" w:fill="D9D9D9" w:themeFill="background1" w:themeFillShade="D9"/>
            <w:vAlign w:val="center"/>
            <w:hideMark/>
          </w:tcPr>
          <w:p w14:paraId="212031EA" w14:textId="77777777" w:rsidR="00956604" w:rsidRPr="00340346" w:rsidRDefault="0095660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513" w:type="dxa"/>
            <w:shd w:val="clear" w:color="auto" w:fill="D9D9D9" w:themeFill="background1" w:themeFillShade="D9"/>
            <w:vAlign w:val="center"/>
            <w:hideMark/>
          </w:tcPr>
          <w:p w14:paraId="6B27B00D" w14:textId="77777777" w:rsidR="00956604" w:rsidRPr="00340346" w:rsidRDefault="0095660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2</w:t>
            </w:r>
          </w:p>
        </w:tc>
        <w:tc>
          <w:tcPr>
            <w:tcW w:w="567" w:type="dxa"/>
            <w:shd w:val="clear" w:color="auto" w:fill="D9D9D9" w:themeFill="background1" w:themeFillShade="D9"/>
            <w:vAlign w:val="center"/>
            <w:hideMark/>
          </w:tcPr>
          <w:p w14:paraId="6C99DEF4" w14:textId="77777777" w:rsidR="00956604" w:rsidRPr="00340346" w:rsidRDefault="0095660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425" w:type="dxa"/>
            <w:shd w:val="clear" w:color="auto" w:fill="D9D9D9" w:themeFill="background1" w:themeFillShade="D9"/>
            <w:vAlign w:val="center"/>
            <w:hideMark/>
          </w:tcPr>
          <w:p w14:paraId="660B16C6" w14:textId="77777777" w:rsidR="00956604" w:rsidRPr="00340346" w:rsidRDefault="0095660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567" w:type="dxa"/>
            <w:shd w:val="clear" w:color="auto" w:fill="D9D9D9" w:themeFill="background1" w:themeFillShade="D9"/>
            <w:vAlign w:val="center"/>
            <w:hideMark/>
          </w:tcPr>
          <w:p w14:paraId="52758591" w14:textId="77777777" w:rsidR="00956604" w:rsidRPr="00340346" w:rsidRDefault="0095660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709" w:type="dxa"/>
            <w:shd w:val="clear" w:color="auto" w:fill="D9D9D9" w:themeFill="background1" w:themeFillShade="D9"/>
            <w:vAlign w:val="center"/>
            <w:hideMark/>
          </w:tcPr>
          <w:p w14:paraId="0191EB23" w14:textId="77777777" w:rsidR="00956604" w:rsidRPr="00340346" w:rsidRDefault="0095660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6</w:t>
            </w:r>
          </w:p>
        </w:tc>
        <w:tc>
          <w:tcPr>
            <w:tcW w:w="709" w:type="dxa"/>
            <w:shd w:val="clear" w:color="auto" w:fill="D9D9D9" w:themeFill="background1" w:themeFillShade="D9"/>
            <w:vAlign w:val="center"/>
            <w:hideMark/>
          </w:tcPr>
          <w:p w14:paraId="55F660ED" w14:textId="77777777" w:rsidR="00956604" w:rsidRPr="00340346" w:rsidRDefault="0095660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7</w:t>
            </w:r>
          </w:p>
        </w:tc>
        <w:tc>
          <w:tcPr>
            <w:tcW w:w="726" w:type="dxa"/>
            <w:shd w:val="clear" w:color="auto" w:fill="D9D9D9" w:themeFill="background1" w:themeFillShade="D9"/>
            <w:vAlign w:val="center"/>
            <w:hideMark/>
          </w:tcPr>
          <w:p w14:paraId="67F13B50" w14:textId="77777777" w:rsidR="00956604" w:rsidRPr="00340346" w:rsidRDefault="0095660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8</w:t>
            </w:r>
          </w:p>
        </w:tc>
        <w:tc>
          <w:tcPr>
            <w:tcW w:w="408" w:type="dxa"/>
            <w:shd w:val="clear" w:color="auto" w:fill="D9D9D9" w:themeFill="background1" w:themeFillShade="D9"/>
            <w:vAlign w:val="center"/>
            <w:hideMark/>
          </w:tcPr>
          <w:p w14:paraId="2C7D61DA" w14:textId="77777777" w:rsidR="00956604" w:rsidRPr="00340346" w:rsidRDefault="00956604"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9</w:t>
            </w:r>
          </w:p>
        </w:tc>
        <w:tc>
          <w:tcPr>
            <w:tcW w:w="1417" w:type="dxa"/>
            <w:shd w:val="clear" w:color="auto" w:fill="D9D9D9" w:themeFill="background1" w:themeFillShade="D9"/>
            <w:vAlign w:val="center"/>
            <w:hideMark/>
          </w:tcPr>
          <w:p w14:paraId="611FB059" w14:textId="77777777" w:rsidR="00956604" w:rsidRPr="00340346" w:rsidRDefault="00956604" w:rsidP="00C80112">
            <w:pPr>
              <w:spacing w:before="0" w:after="0" w:line="240" w:lineRule="auto"/>
              <w:rPr>
                <w:rFonts w:ascii="Arial" w:hAnsi="Arial" w:cs="Arial"/>
                <w:noProof/>
                <w:sz w:val="22"/>
                <w:szCs w:val="22"/>
                <w:lang w:val="en-US"/>
              </w:rPr>
            </w:pPr>
          </w:p>
        </w:tc>
      </w:tr>
      <w:tr w:rsidR="00956604" w:rsidRPr="00340346" w14:paraId="1978A9D3" w14:textId="77777777" w:rsidTr="00464928">
        <w:trPr>
          <w:trHeight w:val="2663"/>
          <w:tblHeader/>
        </w:trPr>
        <w:tc>
          <w:tcPr>
            <w:tcW w:w="440" w:type="dxa"/>
            <w:vMerge/>
            <w:shd w:val="clear" w:color="auto" w:fill="D9D9D9" w:themeFill="background1" w:themeFillShade="D9"/>
            <w:vAlign w:val="center"/>
          </w:tcPr>
          <w:p w14:paraId="52D1ECBE" w14:textId="77777777" w:rsidR="002D3E66" w:rsidRPr="00340346" w:rsidRDefault="002D3E66" w:rsidP="00C80112">
            <w:pPr>
              <w:spacing w:before="0" w:after="0" w:line="240" w:lineRule="auto"/>
              <w:rPr>
                <w:rFonts w:ascii="Arial" w:hAnsi="Arial" w:cs="Arial"/>
                <w:noProof/>
                <w:sz w:val="22"/>
                <w:szCs w:val="22"/>
                <w:lang w:val="en-US"/>
              </w:rPr>
            </w:pPr>
          </w:p>
        </w:tc>
        <w:tc>
          <w:tcPr>
            <w:tcW w:w="1985" w:type="dxa"/>
            <w:vMerge/>
            <w:shd w:val="clear" w:color="auto" w:fill="D9D9D9" w:themeFill="background1" w:themeFillShade="D9"/>
            <w:vAlign w:val="center"/>
          </w:tcPr>
          <w:p w14:paraId="5A741DEC" w14:textId="77777777" w:rsidR="002D3E66" w:rsidRPr="00340346" w:rsidRDefault="002D3E66" w:rsidP="00C80112">
            <w:pPr>
              <w:spacing w:before="0" w:after="0" w:line="240" w:lineRule="auto"/>
              <w:rPr>
                <w:rFonts w:ascii="Arial" w:hAnsi="Arial" w:cs="Arial"/>
                <w:noProof/>
                <w:sz w:val="22"/>
                <w:szCs w:val="22"/>
                <w:lang w:val="en-US"/>
              </w:rPr>
            </w:pPr>
          </w:p>
        </w:tc>
        <w:tc>
          <w:tcPr>
            <w:tcW w:w="5230" w:type="dxa"/>
            <w:vMerge/>
            <w:shd w:val="clear" w:color="auto" w:fill="D9D9D9" w:themeFill="background1" w:themeFillShade="D9"/>
            <w:vAlign w:val="center"/>
            <w:hideMark/>
          </w:tcPr>
          <w:p w14:paraId="33ACCBF7" w14:textId="77777777" w:rsidR="002D3E66" w:rsidRPr="00340346" w:rsidRDefault="002D3E66" w:rsidP="00C80112">
            <w:pPr>
              <w:spacing w:before="0" w:after="0" w:line="240" w:lineRule="auto"/>
              <w:rPr>
                <w:rFonts w:ascii="Arial" w:hAnsi="Arial" w:cs="Arial"/>
                <w:noProof/>
                <w:sz w:val="22"/>
                <w:szCs w:val="22"/>
                <w:lang w:val="en-US"/>
              </w:rPr>
            </w:pPr>
          </w:p>
        </w:tc>
        <w:tc>
          <w:tcPr>
            <w:tcW w:w="718" w:type="dxa"/>
            <w:shd w:val="clear" w:color="auto" w:fill="D9D9D9" w:themeFill="background1" w:themeFillShade="D9"/>
            <w:textDirection w:val="btLr"/>
            <w:vAlign w:val="center"/>
            <w:hideMark/>
          </w:tcPr>
          <w:p w14:paraId="0719856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Market size (number of companies)</w:t>
            </w:r>
          </w:p>
        </w:tc>
        <w:tc>
          <w:tcPr>
            <w:tcW w:w="513" w:type="dxa"/>
            <w:shd w:val="clear" w:color="auto" w:fill="D9D9D9" w:themeFill="background1" w:themeFillShade="D9"/>
            <w:textDirection w:val="btLr"/>
            <w:vAlign w:val="center"/>
            <w:hideMark/>
          </w:tcPr>
          <w:p w14:paraId="792026AB"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BICE priority</w:t>
            </w:r>
          </w:p>
        </w:tc>
        <w:tc>
          <w:tcPr>
            <w:tcW w:w="567" w:type="dxa"/>
            <w:shd w:val="clear" w:color="auto" w:fill="D9D9D9" w:themeFill="background1" w:themeFillShade="D9"/>
            <w:textDirection w:val="btLr"/>
            <w:vAlign w:val="center"/>
            <w:hideMark/>
          </w:tcPr>
          <w:p w14:paraId="6178754A"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Energy intensity</w:t>
            </w:r>
          </w:p>
        </w:tc>
        <w:tc>
          <w:tcPr>
            <w:tcW w:w="425" w:type="dxa"/>
            <w:shd w:val="clear" w:color="auto" w:fill="D9D9D9" w:themeFill="background1" w:themeFillShade="D9"/>
            <w:textDirection w:val="btLr"/>
            <w:vAlign w:val="center"/>
            <w:hideMark/>
          </w:tcPr>
          <w:p w14:paraId="65388BC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Potential growth of the sector</w:t>
            </w:r>
          </w:p>
        </w:tc>
        <w:tc>
          <w:tcPr>
            <w:tcW w:w="567" w:type="dxa"/>
            <w:shd w:val="clear" w:color="auto" w:fill="D9D9D9" w:themeFill="background1" w:themeFillShade="D9"/>
            <w:textDirection w:val="btLr"/>
            <w:vAlign w:val="center"/>
            <w:hideMark/>
          </w:tcPr>
          <w:p w14:paraId="4557EAE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Easiness of engaging clients/investors</w:t>
            </w:r>
          </w:p>
        </w:tc>
        <w:tc>
          <w:tcPr>
            <w:tcW w:w="709" w:type="dxa"/>
            <w:shd w:val="clear" w:color="auto" w:fill="D9D9D9" w:themeFill="background1" w:themeFillShade="D9"/>
            <w:textDirection w:val="btLr"/>
            <w:vAlign w:val="center"/>
            <w:hideMark/>
          </w:tcPr>
          <w:p w14:paraId="58DA5E1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Existence of support policies (+) or subsidies (-) to the subsector</w:t>
            </w:r>
          </w:p>
        </w:tc>
        <w:tc>
          <w:tcPr>
            <w:tcW w:w="709" w:type="dxa"/>
            <w:shd w:val="clear" w:color="auto" w:fill="D9D9D9" w:themeFill="background1" w:themeFillShade="D9"/>
            <w:textDirection w:val="btLr"/>
            <w:vAlign w:val="center"/>
            <w:hideMark/>
          </w:tcPr>
          <w:p w14:paraId="4C5802C7"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BICE competitiveness in the target sector/subsector</w:t>
            </w:r>
          </w:p>
        </w:tc>
        <w:tc>
          <w:tcPr>
            <w:tcW w:w="726" w:type="dxa"/>
            <w:shd w:val="clear" w:color="auto" w:fill="D9D9D9" w:themeFill="background1" w:themeFillShade="D9"/>
            <w:textDirection w:val="btLr"/>
            <w:vAlign w:val="center"/>
            <w:hideMark/>
          </w:tcPr>
          <w:p w14:paraId="676F5A2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Existence of partnerships/associations grouping the sector/subsector</w:t>
            </w:r>
          </w:p>
        </w:tc>
        <w:tc>
          <w:tcPr>
            <w:tcW w:w="408" w:type="dxa"/>
            <w:shd w:val="clear" w:color="auto" w:fill="D9D9D9" w:themeFill="background1" w:themeFillShade="D9"/>
            <w:textDirection w:val="btLr"/>
            <w:vAlign w:val="center"/>
            <w:hideMark/>
          </w:tcPr>
          <w:p w14:paraId="35E20CB7"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Interest of FIs in the subsector</w:t>
            </w:r>
          </w:p>
        </w:tc>
        <w:tc>
          <w:tcPr>
            <w:tcW w:w="1417" w:type="dxa"/>
            <w:shd w:val="clear" w:color="auto" w:fill="D9D9D9" w:themeFill="background1" w:themeFillShade="D9"/>
            <w:vAlign w:val="center"/>
            <w:hideMark/>
          </w:tcPr>
          <w:p w14:paraId="3C0EA91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TOTAL</w:t>
            </w:r>
          </w:p>
        </w:tc>
      </w:tr>
      <w:tr w:rsidR="00956604" w:rsidRPr="00340346" w14:paraId="7510AD6B" w14:textId="77777777" w:rsidTr="00464928">
        <w:trPr>
          <w:trHeight w:val="306"/>
          <w:tblHeader/>
        </w:trPr>
        <w:tc>
          <w:tcPr>
            <w:tcW w:w="440" w:type="dxa"/>
            <w:vMerge/>
            <w:shd w:val="clear" w:color="auto" w:fill="D9D9D9" w:themeFill="background1" w:themeFillShade="D9"/>
            <w:vAlign w:val="center"/>
          </w:tcPr>
          <w:p w14:paraId="4517C36B" w14:textId="77777777" w:rsidR="002D3E66" w:rsidRPr="00340346" w:rsidRDefault="002D3E66" w:rsidP="00C80112">
            <w:pPr>
              <w:spacing w:before="0" w:after="0" w:line="240" w:lineRule="auto"/>
              <w:rPr>
                <w:rFonts w:ascii="Arial" w:hAnsi="Arial" w:cs="Arial"/>
                <w:noProof/>
                <w:sz w:val="22"/>
                <w:szCs w:val="22"/>
                <w:lang w:val="en-US"/>
              </w:rPr>
            </w:pPr>
          </w:p>
        </w:tc>
        <w:tc>
          <w:tcPr>
            <w:tcW w:w="1985" w:type="dxa"/>
            <w:vMerge/>
            <w:shd w:val="clear" w:color="auto" w:fill="D9D9D9" w:themeFill="background1" w:themeFillShade="D9"/>
            <w:vAlign w:val="center"/>
          </w:tcPr>
          <w:p w14:paraId="3BB0A974" w14:textId="77777777" w:rsidR="002D3E66" w:rsidRPr="00340346" w:rsidRDefault="002D3E66" w:rsidP="00C80112">
            <w:pPr>
              <w:spacing w:before="0" w:after="0" w:line="240" w:lineRule="auto"/>
              <w:rPr>
                <w:rFonts w:ascii="Arial" w:hAnsi="Arial" w:cs="Arial"/>
                <w:noProof/>
                <w:sz w:val="22"/>
                <w:szCs w:val="22"/>
                <w:lang w:val="en-US"/>
              </w:rPr>
            </w:pPr>
          </w:p>
        </w:tc>
        <w:tc>
          <w:tcPr>
            <w:tcW w:w="5230" w:type="dxa"/>
            <w:vMerge/>
            <w:shd w:val="clear" w:color="auto" w:fill="D9D9D9" w:themeFill="background1" w:themeFillShade="D9"/>
            <w:vAlign w:val="center"/>
            <w:hideMark/>
          </w:tcPr>
          <w:p w14:paraId="036188DB" w14:textId="77777777" w:rsidR="002D3E66" w:rsidRPr="00340346" w:rsidRDefault="002D3E66" w:rsidP="00C80112">
            <w:pPr>
              <w:spacing w:before="0" w:after="0" w:line="240" w:lineRule="auto"/>
              <w:rPr>
                <w:rFonts w:ascii="Arial" w:hAnsi="Arial" w:cs="Arial"/>
                <w:noProof/>
                <w:sz w:val="22"/>
                <w:szCs w:val="22"/>
                <w:lang w:val="en-US"/>
              </w:rPr>
            </w:pPr>
          </w:p>
        </w:tc>
        <w:tc>
          <w:tcPr>
            <w:tcW w:w="718" w:type="dxa"/>
            <w:shd w:val="clear" w:color="auto" w:fill="D9D9D9" w:themeFill="background1" w:themeFillShade="D9"/>
            <w:vAlign w:val="center"/>
            <w:hideMark/>
          </w:tcPr>
          <w:p w14:paraId="4FCBF87F"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90</w:t>
            </w:r>
          </w:p>
        </w:tc>
        <w:tc>
          <w:tcPr>
            <w:tcW w:w="513" w:type="dxa"/>
            <w:shd w:val="clear" w:color="auto" w:fill="D9D9D9" w:themeFill="background1" w:themeFillShade="D9"/>
            <w:vAlign w:val="center"/>
            <w:hideMark/>
          </w:tcPr>
          <w:p w14:paraId="5F091027"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100</w:t>
            </w:r>
          </w:p>
        </w:tc>
        <w:tc>
          <w:tcPr>
            <w:tcW w:w="567" w:type="dxa"/>
            <w:shd w:val="clear" w:color="auto" w:fill="D9D9D9" w:themeFill="background1" w:themeFillShade="D9"/>
            <w:vAlign w:val="center"/>
            <w:hideMark/>
          </w:tcPr>
          <w:p w14:paraId="79BD9735"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80</w:t>
            </w:r>
          </w:p>
        </w:tc>
        <w:tc>
          <w:tcPr>
            <w:tcW w:w="425" w:type="dxa"/>
            <w:shd w:val="clear" w:color="auto" w:fill="D9D9D9" w:themeFill="background1" w:themeFillShade="D9"/>
            <w:vAlign w:val="center"/>
            <w:hideMark/>
          </w:tcPr>
          <w:p w14:paraId="795ED3C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30</w:t>
            </w:r>
          </w:p>
        </w:tc>
        <w:tc>
          <w:tcPr>
            <w:tcW w:w="567" w:type="dxa"/>
            <w:shd w:val="clear" w:color="auto" w:fill="D9D9D9" w:themeFill="background1" w:themeFillShade="D9"/>
            <w:vAlign w:val="center"/>
            <w:hideMark/>
          </w:tcPr>
          <w:p w14:paraId="45F0299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50</w:t>
            </w:r>
          </w:p>
        </w:tc>
        <w:tc>
          <w:tcPr>
            <w:tcW w:w="709" w:type="dxa"/>
            <w:shd w:val="clear" w:color="auto" w:fill="D9D9D9" w:themeFill="background1" w:themeFillShade="D9"/>
            <w:vAlign w:val="center"/>
            <w:hideMark/>
          </w:tcPr>
          <w:p w14:paraId="2977DEF8"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80</w:t>
            </w:r>
          </w:p>
        </w:tc>
        <w:tc>
          <w:tcPr>
            <w:tcW w:w="709" w:type="dxa"/>
            <w:shd w:val="clear" w:color="auto" w:fill="D9D9D9" w:themeFill="background1" w:themeFillShade="D9"/>
            <w:vAlign w:val="center"/>
            <w:hideMark/>
          </w:tcPr>
          <w:p w14:paraId="76B19F8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100</w:t>
            </w:r>
          </w:p>
        </w:tc>
        <w:tc>
          <w:tcPr>
            <w:tcW w:w="726" w:type="dxa"/>
            <w:shd w:val="clear" w:color="auto" w:fill="D9D9D9" w:themeFill="background1" w:themeFillShade="D9"/>
            <w:vAlign w:val="center"/>
            <w:hideMark/>
          </w:tcPr>
          <w:p w14:paraId="1741797A"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30</w:t>
            </w:r>
          </w:p>
        </w:tc>
        <w:tc>
          <w:tcPr>
            <w:tcW w:w="408" w:type="dxa"/>
            <w:shd w:val="clear" w:color="auto" w:fill="D9D9D9" w:themeFill="background1" w:themeFillShade="D9"/>
            <w:vAlign w:val="center"/>
            <w:hideMark/>
          </w:tcPr>
          <w:p w14:paraId="45DDEDCD"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50</w:t>
            </w:r>
          </w:p>
        </w:tc>
        <w:tc>
          <w:tcPr>
            <w:tcW w:w="1417" w:type="dxa"/>
            <w:shd w:val="clear" w:color="auto" w:fill="D9D9D9" w:themeFill="background1" w:themeFillShade="D9"/>
            <w:vAlign w:val="center"/>
            <w:hideMark/>
          </w:tcPr>
          <w:p w14:paraId="6DF898F4" w14:textId="77777777" w:rsidR="002D3E66" w:rsidRPr="00340346" w:rsidRDefault="002D3E66" w:rsidP="00C80112">
            <w:pPr>
              <w:spacing w:before="0" w:after="0" w:line="240" w:lineRule="auto"/>
              <w:rPr>
                <w:rFonts w:ascii="Arial" w:hAnsi="Arial" w:cs="Arial"/>
                <w:noProof/>
                <w:sz w:val="22"/>
                <w:szCs w:val="22"/>
                <w:lang w:val="en-US"/>
              </w:rPr>
            </w:pPr>
          </w:p>
        </w:tc>
      </w:tr>
      <w:tr w:rsidR="002D3E66" w:rsidRPr="00340346" w14:paraId="0CC9326F" w14:textId="77777777" w:rsidTr="00956604">
        <w:trPr>
          <w:trHeight w:val="74"/>
        </w:trPr>
        <w:tc>
          <w:tcPr>
            <w:tcW w:w="14414" w:type="dxa"/>
            <w:gridSpan w:val="13"/>
            <w:shd w:val="clear" w:color="000000" w:fill="8DB4E2"/>
            <w:noWrap/>
            <w:vAlign w:val="center"/>
            <w:hideMark/>
          </w:tcPr>
          <w:p w14:paraId="1BD9C78D"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Commercial</w:t>
            </w:r>
          </w:p>
        </w:tc>
      </w:tr>
      <w:tr w:rsidR="00956604" w:rsidRPr="00340346" w14:paraId="619E41B2" w14:textId="77777777" w:rsidTr="00464928">
        <w:trPr>
          <w:trHeight w:val="695"/>
        </w:trPr>
        <w:tc>
          <w:tcPr>
            <w:tcW w:w="440" w:type="dxa"/>
            <w:shd w:val="clear" w:color="auto" w:fill="auto"/>
            <w:vAlign w:val="center"/>
            <w:hideMark/>
          </w:tcPr>
          <w:p w14:paraId="1DA0875F"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1985" w:type="dxa"/>
            <w:shd w:val="clear" w:color="auto" w:fill="auto"/>
            <w:vAlign w:val="center"/>
            <w:hideMark/>
          </w:tcPr>
          <w:p w14:paraId="32760015"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Hotel</w:t>
            </w:r>
          </w:p>
        </w:tc>
        <w:tc>
          <w:tcPr>
            <w:tcW w:w="5230" w:type="dxa"/>
            <w:shd w:val="clear" w:color="auto" w:fill="auto"/>
            <w:vAlign w:val="center"/>
            <w:hideMark/>
          </w:tcPr>
          <w:p w14:paraId="73EE04C9" w14:textId="77777777" w:rsidR="002D3E66" w:rsidRPr="00340346" w:rsidRDefault="00836BC0"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xml:space="preserve">boilers, electric motors, cooling, </w:t>
            </w:r>
            <w:r w:rsidR="00B96CDC" w:rsidRPr="00340346">
              <w:rPr>
                <w:rFonts w:ascii="Arial" w:hAnsi="Arial" w:cs="Arial"/>
                <w:noProof/>
                <w:sz w:val="22"/>
                <w:szCs w:val="22"/>
                <w:lang w:val="en-US"/>
              </w:rPr>
              <w:t>HVAC</w:t>
            </w:r>
            <w:r w:rsidRPr="00340346">
              <w:rPr>
                <w:rFonts w:ascii="Arial" w:hAnsi="Arial" w:cs="Arial"/>
                <w:noProof/>
                <w:sz w:val="22"/>
                <w:szCs w:val="22"/>
                <w:lang w:val="en-US"/>
              </w:rPr>
              <w:t>, lighting, cogeneration, solar water heaters.</w:t>
            </w:r>
          </w:p>
        </w:tc>
        <w:tc>
          <w:tcPr>
            <w:tcW w:w="718" w:type="dxa"/>
            <w:shd w:val="clear" w:color="auto" w:fill="auto"/>
            <w:vAlign w:val="center"/>
            <w:hideMark/>
          </w:tcPr>
          <w:p w14:paraId="0D3A8716"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13" w:type="dxa"/>
            <w:shd w:val="clear" w:color="auto" w:fill="auto"/>
            <w:vAlign w:val="center"/>
            <w:hideMark/>
          </w:tcPr>
          <w:p w14:paraId="195D1868"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237E1737"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425" w:type="dxa"/>
            <w:shd w:val="clear" w:color="auto" w:fill="auto"/>
            <w:vAlign w:val="center"/>
            <w:hideMark/>
          </w:tcPr>
          <w:p w14:paraId="374D4CC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567" w:type="dxa"/>
            <w:shd w:val="clear" w:color="auto" w:fill="auto"/>
            <w:vAlign w:val="center"/>
            <w:hideMark/>
          </w:tcPr>
          <w:p w14:paraId="2B8675A9"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09" w:type="dxa"/>
            <w:shd w:val="clear" w:color="auto" w:fill="auto"/>
            <w:vAlign w:val="center"/>
            <w:hideMark/>
          </w:tcPr>
          <w:p w14:paraId="605C9D4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709" w:type="dxa"/>
            <w:shd w:val="clear" w:color="auto" w:fill="auto"/>
            <w:noWrap/>
            <w:vAlign w:val="center"/>
            <w:hideMark/>
          </w:tcPr>
          <w:p w14:paraId="5C0B62B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726" w:type="dxa"/>
            <w:shd w:val="clear" w:color="auto" w:fill="auto"/>
            <w:noWrap/>
            <w:vAlign w:val="center"/>
            <w:hideMark/>
          </w:tcPr>
          <w:p w14:paraId="3BD62AB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08" w:type="dxa"/>
            <w:shd w:val="clear" w:color="auto" w:fill="auto"/>
            <w:noWrap/>
            <w:vAlign w:val="center"/>
            <w:hideMark/>
          </w:tcPr>
          <w:p w14:paraId="2230B4F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1417" w:type="dxa"/>
            <w:shd w:val="clear" w:color="auto" w:fill="auto"/>
            <w:vAlign w:val="center"/>
            <w:hideMark/>
          </w:tcPr>
          <w:p w14:paraId="419A904A"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84%</w:t>
            </w:r>
          </w:p>
        </w:tc>
      </w:tr>
      <w:tr w:rsidR="00956604" w:rsidRPr="00340346" w14:paraId="013D1223" w14:textId="77777777" w:rsidTr="00464928">
        <w:trPr>
          <w:trHeight w:val="74"/>
        </w:trPr>
        <w:tc>
          <w:tcPr>
            <w:tcW w:w="440" w:type="dxa"/>
            <w:shd w:val="clear" w:color="auto" w:fill="auto"/>
            <w:vAlign w:val="center"/>
            <w:hideMark/>
          </w:tcPr>
          <w:p w14:paraId="0F4B293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2</w:t>
            </w:r>
          </w:p>
        </w:tc>
        <w:tc>
          <w:tcPr>
            <w:tcW w:w="1985" w:type="dxa"/>
            <w:shd w:val="clear" w:color="auto" w:fill="auto"/>
            <w:vAlign w:val="center"/>
            <w:hideMark/>
          </w:tcPr>
          <w:p w14:paraId="517853B5"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Hospitals and clinics</w:t>
            </w:r>
          </w:p>
        </w:tc>
        <w:tc>
          <w:tcPr>
            <w:tcW w:w="5230" w:type="dxa"/>
            <w:shd w:val="clear" w:color="auto" w:fill="auto"/>
            <w:vAlign w:val="center"/>
            <w:hideMark/>
          </w:tcPr>
          <w:p w14:paraId="103019DA"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boilers, cogeneration, air conditioning, lighting</w:t>
            </w:r>
          </w:p>
        </w:tc>
        <w:tc>
          <w:tcPr>
            <w:tcW w:w="718" w:type="dxa"/>
            <w:shd w:val="clear" w:color="auto" w:fill="auto"/>
            <w:vAlign w:val="center"/>
            <w:hideMark/>
          </w:tcPr>
          <w:p w14:paraId="205C8488"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13" w:type="dxa"/>
            <w:shd w:val="clear" w:color="auto" w:fill="auto"/>
            <w:vAlign w:val="center"/>
            <w:hideMark/>
          </w:tcPr>
          <w:p w14:paraId="1855221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15086C5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425" w:type="dxa"/>
            <w:shd w:val="clear" w:color="auto" w:fill="auto"/>
            <w:vAlign w:val="center"/>
            <w:hideMark/>
          </w:tcPr>
          <w:p w14:paraId="7F305B9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567" w:type="dxa"/>
            <w:shd w:val="clear" w:color="auto" w:fill="auto"/>
            <w:vAlign w:val="center"/>
            <w:hideMark/>
          </w:tcPr>
          <w:p w14:paraId="7D363C2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09" w:type="dxa"/>
            <w:shd w:val="clear" w:color="auto" w:fill="auto"/>
            <w:vAlign w:val="center"/>
            <w:hideMark/>
          </w:tcPr>
          <w:p w14:paraId="24AE2931"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709" w:type="dxa"/>
            <w:shd w:val="clear" w:color="auto" w:fill="auto"/>
            <w:noWrap/>
            <w:vAlign w:val="center"/>
            <w:hideMark/>
          </w:tcPr>
          <w:p w14:paraId="486EF6DF"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726" w:type="dxa"/>
            <w:shd w:val="clear" w:color="auto" w:fill="auto"/>
            <w:noWrap/>
            <w:vAlign w:val="center"/>
            <w:hideMark/>
          </w:tcPr>
          <w:p w14:paraId="64019A15"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08" w:type="dxa"/>
            <w:shd w:val="clear" w:color="auto" w:fill="auto"/>
            <w:noWrap/>
            <w:vAlign w:val="center"/>
            <w:hideMark/>
          </w:tcPr>
          <w:p w14:paraId="2C81060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1417" w:type="dxa"/>
            <w:shd w:val="clear" w:color="auto" w:fill="auto"/>
            <w:vAlign w:val="center"/>
            <w:hideMark/>
          </w:tcPr>
          <w:p w14:paraId="6CCFF6D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84%</w:t>
            </w:r>
          </w:p>
        </w:tc>
      </w:tr>
      <w:tr w:rsidR="00956604" w:rsidRPr="00340346" w14:paraId="79D4F8FE" w14:textId="77777777" w:rsidTr="00464928">
        <w:trPr>
          <w:trHeight w:val="74"/>
        </w:trPr>
        <w:tc>
          <w:tcPr>
            <w:tcW w:w="440" w:type="dxa"/>
            <w:shd w:val="clear" w:color="auto" w:fill="auto"/>
            <w:vAlign w:val="center"/>
            <w:hideMark/>
          </w:tcPr>
          <w:p w14:paraId="1EED8A9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1985" w:type="dxa"/>
            <w:shd w:val="clear" w:color="auto" w:fill="auto"/>
            <w:vAlign w:val="center"/>
            <w:hideMark/>
          </w:tcPr>
          <w:p w14:paraId="19EA1CA5"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Shopping centers/large surfaces</w:t>
            </w:r>
          </w:p>
        </w:tc>
        <w:tc>
          <w:tcPr>
            <w:tcW w:w="5230" w:type="dxa"/>
            <w:shd w:val="clear" w:color="auto" w:fill="auto"/>
            <w:vAlign w:val="center"/>
            <w:hideMark/>
          </w:tcPr>
          <w:p w14:paraId="4559B2DB"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air conditioning, electric motors, lighting</w:t>
            </w:r>
          </w:p>
        </w:tc>
        <w:tc>
          <w:tcPr>
            <w:tcW w:w="718" w:type="dxa"/>
            <w:shd w:val="clear" w:color="auto" w:fill="auto"/>
            <w:vAlign w:val="center"/>
            <w:hideMark/>
          </w:tcPr>
          <w:p w14:paraId="1D2F53A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513" w:type="dxa"/>
            <w:shd w:val="clear" w:color="auto" w:fill="auto"/>
            <w:vAlign w:val="center"/>
            <w:hideMark/>
          </w:tcPr>
          <w:p w14:paraId="3BA86EBB"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47ACBF98"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425" w:type="dxa"/>
            <w:shd w:val="clear" w:color="auto" w:fill="auto"/>
            <w:vAlign w:val="center"/>
            <w:hideMark/>
          </w:tcPr>
          <w:p w14:paraId="493F04E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567" w:type="dxa"/>
            <w:shd w:val="clear" w:color="auto" w:fill="auto"/>
            <w:vAlign w:val="center"/>
            <w:hideMark/>
          </w:tcPr>
          <w:p w14:paraId="11AB23B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09" w:type="dxa"/>
            <w:shd w:val="clear" w:color="auto" w:fill="auto"/>
            <w:vAlign w:val="center"/>
            <w:hideMark/>
          </w:tcPr>
          <w:p w14:paraId="6D855C7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709" w:type="dxa"/>
            <w:shd w:val="clear" w:color="auto" w:fill="auto"/>
            <w:noWrap/>
            <w:vAlign w:val="center"/>
            <w:hideMark/>
          </w:tcPr>
          <w:p w14:paraId="30387A2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26" w:type="dxa"/>
            <w:shd w:val="clear" w:color="auto" w:fill="auto"/>
            <w:noWrap/>
            <w:vAlign w:val="center"/>
            <w:hideMark/>
          </w:tcPr>
          <w:p w14:paraId="01B1E915"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08" w:type="dxa"/>
            <w:shd w:val="clear" w:color="auto" w:fill="auto"/>
            <w:noWrap/>
            <w:vAlign w:val="center"/>
            <w:hideMark/>
          </w:tcPr>
          <w:p w14:paraId="21477AB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1417" w:type="dxa"/>
            <w:shd w:val="clear" w:color="auto" w:fill="auto"/>
            <w:vAlign w:val="center"/>
            <w:hideMark/>
          </w:tcPr>
          <w:p w14:paraId="4E3C494D"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72%</w:t>
            </w:r>
          </w:p>
        </w:tc>
      </w:tr>
      <w:tr w:rsidR="00956604" w:rsidRPr="00340346" w14:paraId="7C7A40B7" w14:textId="77777777" w:rsidTr="00956604">
        <w:trPr>
          <w:trHeight w:val="74"/>
        </w:trPr>
        <w:tc>
          <w:tcPr>
            <w:tcW w:w="14414" w:type="dxa"/>
            <w:gridSpan w:val="13"/>
            <w:shd w:val="clear" w:color="000000" w:fill="8DB4E2"/>
            <w:noWrap/>
            <w:vAlign w:val="center"/>
            <w:hideMark/>
          </w:tcPr>
          <w:p w14:paraId="7A61294C" w14:textId="77777777" w:rsidR="00956604" w:rsidRPr="00340346" w:rsidRDefault="00956604"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Industrial</w:t>
            </w:r>
          </w:p>
        </w:tc>
      </w:tr>
      <w:tr w:rsidR="00956604" w:rsidRPr="00340346" w14:paraId="228E4E1F" w14:textId="77777777" w:rsidTr="00464928">
        <w:trPr>
          <w:trHeight w:val="209"/>
        </w:trPr>
        <w:tc>
          <w:tcPr>
            <w:tcW w:w="440" w:type="dxa"/>
            <w:shd w:val="clear" w:color="auto" w:fill="auto"/>
            <w:vAlign w:val="center"/>
            <w:hideMark/>
          </w:tcPr>
          <w:p w14:paraId="7911B346"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1985" w:type="dxa"/>
            <w:shd w:val="clear" w:color="auto" w:fill="auto"/>
            <w:vAlign w:val="center"/>
            <w:hideMark/>
          </w:tcPr>
          <w:p w14:paraId="37177BF1"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Food Industry</w:t>
            </w:r>
          </w:p>
        </w:tc>
        <w:tc>
          <w:tcPr>
            <w:tcW w:w="5230" w:type="dxa"/>
            <w:shd w:val="clear" w:color="auto" w:fill="auto"/>
            <w:vAlign w:val="center"/>
            <w:hideMark/>
          </w:tcPr>
          <w:p w14:paraId="1AFA9B9A"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boilers, dryers, electric motors, cooling, cogeneration</w:t>
            </w:r>
          </w:p>
        </w:tc>
        <w:tc>
          <w:tcPr>
            <w:tcW w:w="718" w:type="dxa"/>
            <w:shd w:val="clear" w:color="auto" w:fill="auto"/>
            <w:vAlign w:val="center"/>
            <w:hideMark/>
          </w:tcPr>
          <w:p w14:paraId="1B302EA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13" w:type="dxa"/>
            <w:shd w:val="clear" w:color="auto" w:fill="auto"/>
            <w:vAlign w:val="center"/>
            <w:hideMark/>
          </w:tcPr>
          <w:p w14:paraId="2279752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288F7E5B"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25" w:type="dxa"/>
            <w:shd w:val="clear" w:color="auto" w:fill="auto"/>
            <w:vAlign w:val="center"/>
            <w:hideMark/>
          </w:tcPr>
          <w:p w14:paraId="23EF3D35"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2C0BCD0F"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09" w:type="dxa"/>
            <w:shd w:val="clear" w:color="auto" w:fill="auto"/>
            <w:vAlign w:val="center"/>
            <w:hideMark/>
          </w:tcPr>
          <w:p w14:paraId="5BC671C5"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709" w:type="dxa"/>
            <w:shd w:val="clear" w:color="auto" w:fill="auto"/>
            <w:noWrap/>
            <w:vAlign w:val="center"/>
            <w:hideMark/>
          </w:tcPr>
          <w:p w14:paraId="67076AAE"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726" w:type="dxa"/>
            <w:shd w:val="clear" w:color="auto" w:fill="auto"/>
            <w:noWrap/>
            <w:vAlign w:val="center"/>
            <w:hideMark/>
          </w:tcPr>
          <w:p w14:paraId="2294866E"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08" w:type="dxa"/>
            <w:shd w:val="clear" w:color="auto" w:fill="auto"/>
            <w:noWrap/>
            <w:vAlign w:val="center"/>
            <w:hideMark/>
          </w:tcPr>
          <w:p w14:paraId="36F5EF0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1417" w:type="dxa"/>
            <w:shd w:val="clear" w:color="auto" w:fill="auto"/>
            <w:vAlign w:val="center"/>
            <w:hideMark/>
          </w:tcPr>
          <w:p w14:paraId="13E064F9"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88%</w:t>
            </w:r>
          </w:p>
        </w:tc>
      </w:tr>
      <w:tr w:rsidR="00956604" w:rsidRPr="00340346" w14:paraId="45E4511C" w14:textId="77777777" w:rsidTr="00464928">
        <w:trPr>
          <w:trHeight w:val="74"/>
        </w:trPr>
        <w:tc>
          <w:tcPr>
            <w:tcW w:w="440" w:type="dxa"/>
            <w:shd w:val="clear" w:color="auto" w:fill="auto"/>
            <w:vAlign w:val="center"/>
            <w:hideMark/>
          </w:tcPr>
          <w:p w14:paraId="4857AE7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1985" w:type="dxa"/>
            <w:shd w:val="clear" w:color="auto" w:fill="auto"/>
            <w:vAlign w:val="center"/>
            <w:hideMark/>
          </w:tcPr>
          <w:p w14:paraId="66CBDAD9"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Chemical/Pharmaceutical</w:t>
            </w:r>
          </w:p>
        </w:tc>
        <w:tc>
          <w:tcPr>
            <w:tcW w:w="5230" w:type="dxa"/>
            <w:shd w:val="clear" w:color="auto" w:fill="auto"/>
            <w:vAlign w:val="center"/>
            <w:hideMark/>
          </w:tcPr>
          <w:p w14:paraId="3597A0B5"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boilers, electric motors, cogeneration</w:t>
            </w:r>
          </w:p>
        </w:tc>
        <w:tc>
          <w:tcPr>
            <w:tcW w:w="718" w:type="dxa"/>
            <w:shd w:val="clear" w:color="auto" w:fill="auto"/>
            <w:vAlign w:val="center"/>
            <w:hideMark/>
          </w:tcPr>
          <w:p w14:paraId="14FD0C7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13" w:type="dxa"/>
            <w:shd w:val="clear" w:color="auto" w:fill="auto"/>
            <w:vAlign w:val="center"/>
            <w:hideMark/>
          </w:tcPr>
          <w:p w14:paraId="4AD4A486"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5AB87A5A"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25" w:type="dxa"/>
            <w:shd w:val="clear" w:color="auto" w:fill="auto"/>
            <w:vAlign w:val="center"/>
            <w:hideMark/>
          </w:tcPr>
          <w:p w14:paraId="723AA815"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4F4F2237"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09" w:type="dxa"/>
            <w:shd w:val="clear" w:color="auto" w:fill="auto"/>
            <w:vAlign w:val="center"/>
            <w:hideMark/>
          </w:tcPr>
          <w:p w14:paraId="29E08A19"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709" w:type="dxa"/>
            <w:shd w:val="clear" w:color="auto" w:fill="auto"/>
            <w:noWrap/>
            <w:vAlign w:val="center"/>
            <w:hideMark/>
          </w:tcPr>
          <w:p w14:paraId="261EAD1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726" w:type="dxa"/>
            <w:shd w:val="clear" w:color="auto" w:fill="auto"/>
            <w:noWrap/>
            <w:vAlign w:val="center"/>
            <w:hideMark/>
          </w:tcPr>
          <w:p w14:paraId="01E1F956"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08" w:type="dxa"/>
            <w:shd w:val="clear" w:color="auto" w:fill="auto"/>
            <w:noWrap/>
            <w:vAlign w:val="center"/>
            <w:hideMark/>
          </w:tcPr>
          <w:p w14:paraId="55270666"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1417" w:type="dxa"/>
            <w:shd w:val="clear" w:color="auto" w:fill="auto"/>
            <w:vAlign w:val="center"/>
            <w:hideMark/>
          </w:tcPr>
          <w:p w14:paraId="552D4CB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88%</w:t>
            </w:r>
          </w:p>
        </w:tc>
      </w:tr>
      <w:tr w:rsidR="00956604" w:rsidRPr="00340346" w14:paraId="6D760EFE" w14:textId="77777777" w:rsidTr="00464928">
        <w:trPr>
          <w:trHeight w:val="74"/>
        </w:trPr>
        <w:tc>
          <w:tcPr>
            <w:tcW w:w="440" w:type="dxa"/>
            <w:shd w:val="clear" w:color="auto" w:fill="auto"/>
            <w:vAlign w:val="center"/>
            <w:hideMark/>
          </w:tcPr>
          <w:p w14:paraId="63087018"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6</w:t>
            </w:r>
          </w:p>
        </w:tc>
        <w:tc>
          <w:tcPr>
            <w:tcW w:w="1985" w:type="dxa"/>
            <w:shd w:val="clear" w:color="auto" w:fill="auto"/>
            <w:vAlign w:val="center"/>
            <w:hideMark/>
          </w:tcPr>
          <w:p w14:paraId="55C12927"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Foundry</w:t>
            </w:r>
          </w:p>
        </w:tc>
        <w:tc>
          <w:tcPr>
            <w:tcW w:w="5230" w:type="dxa"/>
            <w:shd w:val="clear" w:color="auto" w:fill="auto"/>
            <w:vAlign w:val="center"/>
            <w:hideMark/>
          </w:tcPr>
          <w:p w14:paraId="6E548E3D"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furnaces, electric motors</w:t>
            </w:r>
          </w:p>
        </w:tc>
        <w:tc>
          <w:tcPr>
            <w:tcW w:w="718" w:type="dxa"/>
            <w:shd w:val="clear" w:color="auto" w:fill="auto"/>
            <w:vAlign w:val="center"/>
            <w:hideMark/>
          </w:tcPr>
          <w:p w14:paraId="3CE1A888"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2</w:t>
            </w:r>
          </w:p>
        </w:tc>
        <w:tc>
          <w:tcPr>
            <w:tcW w:w="513" w:type="dxa"/>
            <w:shd w:val="clear" w:color="auto" w:fill="auto"/>
            <w:vAlign w:val="center"/>
            <w:hideMark/>
          </w:tcPr>
          <w:p w14:paraId="380B325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2095F6CA"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25" w:type="dxa"/>
            <w:shd w:val="clear" w:color="auto" w:fill="auto"/>
            <w:vAlign w:val="center"/>
            <w:hideMark/>
          </w:tcPr>
          <w:p w14:paraId="3429610D"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567" w:type="dxa"/>
            <w:shd w:val="clear" w:color="auto" w:fill="auto"/>
            <w:vAlign w:val="center"/>
            <w:hideMark/>
          </w:tcPr>
          <w:p w14:paraId="327CF60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09" w:type="dxa"/>
            <w:shd w:val="clear" w:color="auto" w:fill="auto"/>
            <w:vAlign w:val="center"/>
            <w:hideMark/>
          </w:tcPr>
          <w:p w14:paraId="7EF66CB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709" w:type="dxa"/>
            <w:shd w:val="clear" w:color="auto" w:fill="auto"/>
            <w:noWrap/>
            <w:vAlign w:val="center"/>
            <w:hideMark/>
          </w:tcPr>
          <w:p w14:paraId="4EB66979"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26" w:type="dxa"/>
            <w:shd w:val="clear" w:color="auto" w:fill="auto"/>
            <w:noWrap/>
            <w:vAlign w:val="center"/>
            <w:hideMark/>
          </w:tcPr>
          <w:p w14:paraId="46F9267E"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08" w:type="dxa"/>
            <w:shd w:val="clear" w:color="auto" w:fill="auto"/>
            <w:noWrap/>
            <w:vAlign w:val="center"/>
            <w:hideMark/>
          </w:tcPr>
          <w:p w14:paraId="5F4679F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1417" w:type="dxa"/>
            <w:shd w:val="clear" w:color="auto" w:fill="auto"/>
            <w:vAlign w:val="center"/>
            <w:hideMark/>
          </w:tcPr>
          <w:p w14:paraId="2DC158BD"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74%</w:t>
            </w:r>
          </w:p>
        </w:tc>
      </w:tr>
      <w:tr w:rsidR="00956604" w:rsidRPr="00340346" w14:paraId="51959B60" w14:textId="77777777" w:rsidTr="00464928">
        <w:trPr>
          <w:trHeight w:val="74"/>
        </w:trPr>
        <w:tc>
          <w:tcPr>
            <w:tcW w:w="440" w:type="dxa"/>
            <w:shd w:val="clear" w:color="auto" w:fill="auto"/>
            <w:vAlign w:val="center"/>
            <w:hideMark/>
          </w:tcPr>
          <w:p w14:paraId="652A1949"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7</w:t>
            </w:r>
          </w:p>
        </w:tc>
        <w:tc>
          <w:tcPr>
            <w:tcW w:w="1985" w:type="dxa"/>
            <w:shd w:val="clear" w:color="auto" w:fill="auto"/>
            <w:vAlign w:val="center"/>
            <w:hideMark/>
          </w:tcPr>
          <w:p w14:paraId="1B18FED5"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Paper</w:t>
            </w:r>
          </w:p>
        </w:tc>
        <w:tc>
          <w:tcPr>
            <w:tcW w:w="5230" w:type="dxa"/>
            <w:shd w:val="clear" w:color="auto" w:fill="auto"/>
            <w:vAlign w:val="center"/>
            <w:hideMark/>
          </w:tcPr>
          <w:p w14:paraId="28F4E7C7"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boilers, electric motors, lighting, cogeneration</w:t>
            </w:r>
          </w:p>
        </w:tc>
        <w:tc>
          <w:tcPr>
            <w:tcW w:w="718" w:type="dxa"/>
            <w:shd w:val="clear" w:color="auto" w:fill="auto"/>
            <w:vAlign w:val="center"/>
            <w:hideMark/>
          </w:tcPr>
          <w:p w14:paraId="566C923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513" w:type="dxa"/>
            <w:shd w:val="clear" w:color="auto" w:fill="auto"/>
            <w:vAlign w:val="center"/>
            <w:hideMark/>
          </w:tcPr>
          <w:p w14:paraId="1E310D9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5AE203C9"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25" w:type="dxa"/>
            <w:shd w:val="clear" w:color="auto" w:fill="auto"/>
            <w:vAlign w:val="center"/>
            <w:hideMark/>
          </w:tcPr>
          <w:p w14:paraId="2BB811E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567" w:type="dxa"/>
            <w:shd w:val="clear" w:color="auto" w:fill="auto"/>
            <w:vAlign w:val="center"/>
            <w:hideMark/>
          </w:tcPr>
          <w:p w14:paraId="4F92D91A"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09" w:type="dxa"/>
            <w:shd w:val="clear" w:color="auto" w:fill="auto"/>
            <w:vAlign w:val="center"/>
            <w:hideMark/>
          </w:tcPr>
          <w:p w14:paraId="4F9F97A8"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709" w:type="dxa"/>
            <w:shd w:val="clear" w:color="auto" w:fill="auto"/>
            <w:noWrap/>
            <w:vAlign w:val="center"/>
            <w:hideMark/>
          </w:tcPr>
          <w:p w14:paraId="3889E05F"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26" w:type="dxa"/>
            <w:shd w:val="clear" w:color="auto" w:fill="auto"/>
            <w:noWrap/>
            <w:vAlign w:val="center"/>
            <w:hideMark/>
          </w:tcPr>
          <w:p w14:paraId="1C717C46"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08" w:type="dxa"/>
            <w:shd w:val="clear" w:color="auto" w:fill="auto"/>
            <w:noWrap/>
            <w:vAlign w:val="center"/>
            <w:hideMark/>
          </w:tcPr>
          <w:p w14:paraId="48B94226"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1417" w:type="dxa"/>
            <w:shd w:val="clear" w:color="auto" w:fill="auto"/>
            <w:vAlign w:val="center"/>
            <w:hideMark/>
          </w:tcPr>
          <w:p w14:paraId="062B98E7"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77%</w:t>
            </w:r>
          </w:p>
        </w:tc>
      </w:tr>
      <w:tr w:rsidR="00956604" w:rsidRPr="00340346" w14:paraId="7B848C1F" w14:textId="77777777" w:rsidTr="00464928">
        <w:trPr>
          <w:trHeight w:val="74"/>
        </w:trPr>
        <w:tc>
          <w:tcPr>
            <w:tcW w:w="440" w:type="dxa"/>
            <w:shd w:val="clear" w:color="auto" w:fill="auto"/>
            <w:vAlign w:val="center"/>
            <w:hideMark/>
          </w:tcPr>
          <w:p w14:paraId="73769A5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8</w:t>
            </w:r>
          </w:p>
        </w:tc>
        <w:tc>
          <w:tcPr>
            <w:tcW w:w="1985" w:type="dxa"/>
            <w:shd w:val="clear" w:color="auto" w:fill="auto"/>
            <w:vAlign w:val="center"/>
            <w:hideMark/>
          </w:tcPr>
          <w:p w14:paraId="280B43F0"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Tannery</w:t>
            </w:r>
          </w:p>
        </w:tc>
        <w:tc>
          <w:tcPr>
            <w:tcW w:w="5230" w:type="dxa"/>
            <w:shd w:val="clear" w:color="auto" w:fill="auto"/>
            <w:vAlign w:val="center"/>
            <w:hideMark/>
          </w:tcPr>
          <w:p w14:paraId="533A0350"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boilers, electric motors, cogeneration</w:t>
            </w:r>
          </w:p>
        </w:tc>
        <w:tc>
          <w:tcPr>
            <w:tcW w:w="718" w:type="dxa"/>
            <w:shd w:val="clear" w:color="auto" w:fill="auto"/>
            <w:vAlign w:val="center"/>
            <w:hideMark/>
          </w:tcPr>
          <w:p w14:paraId="739DE595"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513" w:type="dxa"/>
            <w:shd w:val="clear" w:color="auto" w:fill="auto"/>
            <w:vAlign w:val="center"/>
            <w:hideMark/>
          </w:tcPr>
          <w:p w14:paraId="0B7D76F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6748F87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425" w:type="dxa"/>
            <w:shd w:val="clear" w:color="auto" w:fill="auto"/>
            <w:vAlign w:val="center"/>
            <w:hideMark/>
          </w:tcPr>
          <w:p w14:paraId="75707279"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567" w:type="dxa"/>
            <w:shd w:val="clear" w:color="auto" w:fill="auto"/>
            <w:vAlign w:val="center"/>
            <w:hideMark/>
          </w:tcPr>
          <w:p w14:paraId="75E48138"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09" w:type="dxa"/>
            <w:shd w:val="clear" w:color="auto" w:fill="auto"/>
            <w:vAlign w:val="center"/>
            <w:hideMark/>
          </w:tcPr>
          <w:p w14:paraId="5A3E2586"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709" w:type="dxa"/>
            <w:shd w:val="clear" w:color="auto" w:fill="auto"/>
            <w:noWrap/>
            <w:vAlign w:val="center"/>
            <w:hideMark/>
          </w:tcPr>
          <w:p w14:paraId="1D3259FA"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726" w:type="dxa"/>
            <w:shd w:val="clear" w:color="auto" w:fill="auto"/>
            <w:noWrap/>
            <w:vAlign w:val="center"/>
            <w:hideMark/>
          </w:tcPr>
          <w:p w14:paraId="2FB28C8F"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08" w:type="dxa"/>
            <w:shd w:val="clear" w:color="auto" w:fill="auto"/>
            <w:noWrap/>
            <w:vAlign w:val="center"/>
            <w:hideMark/>
          </w:tcPr>
          <w:p w14:paraId="6FC7216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1417" w:type="dxa"/>
            <w:shd w:val="clear" w:color="auto" w:fill="auto"/>
            <w:vAlign w:val="center"/>
            <w:hideMark/>
          </w:tcPr>
          <w:p w14:paraId="4558D231"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77%</w:t>
            </w:r>
          </w:p>
        </w:tc>
      </w:tr>
      <w:tr w:rsidR="00956604" w:rsidRPr="00340346" w14:paraId="6BB3FD47" w14:textId="77777777" w:rsidTr="00464928">
        <w:trPr>
          <w:trHeight w:val="74"/>
        </w:trPr>
        <w:tc>
          <w:tcPr>
            <w:tcW w:w="440" w:type="dxa"/>
            <w:shd w:val="clear" w:color="auto" w:fill="auto"/>
            <w:vAlign w:val="center"/>
            <w:hideMark/>
          </w:tcPr>
          <w:p w14:paraId="270077CD"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9</w:t>
            </w:r>
          </w:p>
        </w:tc>
        <w:tc>
          <w:tcPr>
            <w:tcW w:w="1985" w:type="dxa"/>
            <w:shd w:val="clear" w:color="auto" w:fill="auto"/>
            <w:vAlign w:val="center"/>
            <w:hideMark/>
          </w:tcPr>
          <w:p w14:paraId="5800B4BC"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Plastics</w:t>
            </w:r>
          </w:p>
        </w:tc>
        <w:tc>
          <w:tcPr>
            <w:tcW w:w="5230" w:type="dxa"/>
            <w:shd w:val="clear" w:color="auto" w:fill="auto"/>
            <w:vAlign w:val="center"/>
            <w:hideMark/>
          </w:tcPr>
          <w:p w14:paraId="2E227228"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boilers, electric motors, cogeneration</w:t>
            </w:r>
          </w:p>
        </w:tc>
        <w:tc>
          <w:tcPr>
            <w:tcW w:w="718" w:type="dxa"/>
            <w:shd w:val="clear" w:color="auto" w:fill="auto"/>
            <w:vAlign w:val="center"/>
            <w:hideMark/>
          </w:tcPr>
          <w:p w14:paraId="7A82248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513" w:type="dxa"/>
            <w:shd w:val="clear" w:color="auto" w:fill="auto"/>
            <w:vAlign w:val="center"/>
            <w:hideMark/>
          </w:tcPr>
          <w:p w14:paraId="6DC0FBA7"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1F832BFB"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25" w:type="dxa"/>
            <w:shd w:val="clear" w:color="auto" w:fill="auto"/>
            <w:vAlign w:val="center"/>
            <w:hideMark/>
          </w:tcPr>
          <w:p w14:paraId="063B0ED5"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567" w:type="dxa"/>
            <w:shd w:val="clear" w:color="auto" w:fill="auto"/>
            <w:vAlign w:val="center"/>
            <w:hideMark/>
          </w:tcPr>
          <w:p w14:paraId="22B4C245"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09" w:type="dxa"/>
            <w:shd w:val="clear" w:color="auto" w:fill="auto"/>
            <w:vAlign w:val="center"/>
            <w:hideMark/>
          </w:tcPr>
          <w:p w14:paraId="0B8D9016"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709" w:type="dxa"/>
            <w:shd w:val="clear" w:color="auto" w:fill="auto"/>
            <w:noWrap/>
            <w:vAlign w:val="center"/>
            <w:hideMark/>
          </w:tcPr>
          <w:p w14:paraId="50DD464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726" w:type="dxa"/>
            <w:shd w:val="clear" w:color="auto" w:fill="auto"/>
            <w:noWrap/>
            <w:vAlign w:val="center"/>
            <w:hideMark/>
          </w:tcPr>
          <w:p w14:paraId="53DCF02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08" w:type="dxa"/>
            <w:shd w:val="clear" w:color="auto" w:fill="auto"/>
            <w:noWrap/>
            <w:vAlign w:val="center"/>
            <w:hideMark/>
          </w:tcPr>
          <w:p w14:paraId="5DF6A98A"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1417" w:type="dxa"/>
            <w:shd w:val="clear" w:color="auto" w:fill="auto"/>
            <w:vAlign w:val="center"/>
            <w:hideMark/>
          </w:tcPr>
          <w:p w14:paraId="5AD30001"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81%</w:t>
            </w:r>
          </w:p>
        </w:tc>
      </w:tr>
      <w:tr w:rsidR="00956604" w:rsidRPr="00340346" w14:paraId="03ABCD95" w14:textId="77777777" w:rsidTr="00464928">
        <w:trPr>
          <w:trHeight w:val="89"/>
        </w:trPr>
        <w:tc>
          <w:tcPr>
            <w:tcW w:w="440" w:type="dxa"/>
            <w:shd w:val="clear" w:color="auto" w:fill="auto"/>
            <w:vAlign w:val="center"/>
            <w:hideMark/>
          </w:tcPr>
          <w:p w14:paraId="7308819A"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10</w:t>
            </w:r>
          </w:p>
        </w:tc>
        <w:tc>
          <w:tcPr>
            <w:tcW w:w="1985" w:type="dxa"/>
            <w:shd w:val="clear" w:color="auto" w:fill="auto"/>
            <w:vAlign w:val="center"/>
            <w:hideMark/>
          </w:tcPr>
          <w:p w14:paraId="2860F80B"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Pork industry</w:t>
            </w:r>
          </w:p>
        </w:tc>
        <w:tc>
          <w:tcPr>
            <w:tcW w:w="5230" w:type="dxa"/>
            <w:shd w:val="clear" w:color="auto" w:fill="auto"/>
            <w:vAlign w:val="center"/>
            <w:hideMark/>
          </w:tcPr>
          <w:p w14:paraId="2B1884A8"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biogas plants</w:t>
            </w:r>
          </w:p>
        </w:tc>
        <w:tc>
          <w:tcPr>
            <w:tcW w:w="718" w:type="dxa"/>
            <w:shd w:val="clear" w:color="auto" w:fill="auto"/>
            <w:vAlign w:val="center"/>
            <w:hideMark/>
          </w:tcPr>
          <w:p w14:paraId="66A5DF85"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513" w:type="dxa"/>
            <w:shd w:val="clear" w:color="auto" w:fill="auto"/>
            <w:vAlign w:val="center"/>
            <w:hideMark/>
          </w:tcPr>
          <w:p w14:paraId="047CDDE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45592EDF"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425" w:type="dxa"/>
            <w:shd w:val="clear" w:color="auto" w:fill="auto"/>
            <w:vAlign w:val="center"/>
            <w:hideMark/>
          </w:tcPr>
          <w:p w14:paraId="0967FFF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567" w:type="dxa"/>
            <w:shd w:val="clear" w:color="auto" w:fill="auto"/>
            <w:vAlign w:val="center"/>
            <w:hideMark/>
          </w:tcPr>
          <w:p w14:paraId="75D2C61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09" w:type="dxa"/>
            <w:shd w:val="clear" w:color="auto" w:fill="auto"/>
            <w:vAlign w:val="center"/>
            <w:hideMark/>
          </w:tcPr>
          <w:p w14:paraId="3205949B"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709" w:type="dxa"/>
            <w:shd w:val="clear" w:color="auto" w:fill="auto"/>
            <w:noWrap/>
            <w:vAlign w:val="center"/>
            <w:hideMark/>
          </w:tcPr>
          <w:p w14:paraId="1B22BFB9"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726" w:type="dxa"/>
            <w:shd w:val="clear" w:color="auto" w:fill="auto"/>
            <w:noWrap/>
            <w:vAlign w:val="center"/>
            <w:hideMark/>
          </w:tcPr>
          <w:p w14:paraId="1F21E5A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08" w:type="dxa"/>
            <w:shd w:val="clear" w:color="auto" w:fill="auto"/>
            <w:noWrap/>
            <w:vAlign w:val="center"/>
            <w:hideMark/>
          </w:tcPr>
          <w:p w14:paraId="7273785A"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1417" w:type="dxa"/>
            <w:shd w:val="clear" w:color="auto" w:fill="auto"/>
            <w:vAlign w:val="center"/>
            <w:hideMark/>
          </w:tcPr>
          <w:p w14:paraId="52DD023D"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87%</w:t>
            </w:r>
          </w:p>
        </w:tc>
      </w:tr>
      <w:tr w:rsidR="00956604" w:rsidRPr="00340346" w14:paraId="071A2E22" w14:textId="77777777" w:rsidTr="00464928">
        <w:trPr>
          <w:trHeight w:val="74"/>
        </w:trPr>
        <w:tc>
          <w:tcPr>
            <w:tcW w:w="440" w:type="dxa"/>
            <w:shd w:val="clear" w:color="auto" w:fill="auto"/>
            <w:vAlign w:val="center"/>
            <w:hideMark/>
          </w:tcPr>
          <w:p w14:paraId="70FA846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lastRenderedPageBreak/>
              <w:t>11</w:t>
            </w:r>
          </w:p>
        </w:tc>
        <w:tc>
          <w:tcPr>
            <w:tcW w:w="1985" w:type="dxa"/>
            <w:shd w:val="clear" w:color="auto" w:fill="auto"/>
            <w:vAlign w:val="center"/>
            <w:hideMark/>
          </w:tcPr>
          <w:p w14:paraId="55B72562"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Livestock industry (feedlot)</w:t>
            </w:r>
          </w:p>
        </w:tc>
        <w:tc>
          <w:tcPr>
            <w:tcW w:w="5230" w:type="dxa"/>
            <w:shd w:val="clear" w:color="auto" w:fill="auto"/>
            <w:vAlign w:val="center"/>
            <w:hideMark/>
          </w:tcPr>
          <w:p w14:paraId="6E220E12"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biogas plants</w:t>
            </w:r>
          </w:p>
        </w:tc>
        <w:tc>
          <w:tcPr>
            <w:tcW w:w="718" w:type="dxa"/>
            <w:shd w:val="clear" w:color="auto" w:fill="auto"/>
            <w:vAlign w:val="center"/>
            <w:hideMark/>
          </w:tcPr>
          <w:p w14:paraId="2B82B0D7"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13" w:type="dxa"/>
            <w:shd w:val="clear" w:color="auto" w:fill="auto"/>
            <w:vAlign w:val="center"/>
            <w:hideMark/>
          </w:tcPr>
          <w:p w14:paraId="4FC6FBF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1FBC7CEF"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425" w:type="dxa"/>
            <w:shd w:val="clear" w:color="auto" w:fill="auto"/>
            <w:vAlign w:val="center"/>
            <w:hideMark/>
          </w:tcPr>
          <w:p w14:paraId="1D11A6A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567" w:type="dxa"/>
            <w:shd w:val="clear" w:color="auto" w:fill="auto"/>
            <w:vAlign w:val="center"/>
            <w:hideMark/>
          </w:tcPr>
          <w:p w14:paraId="4932451B"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09" w:type="dxa"/>
            <w:shd w:val="clear" w:color="auto" w:fill="auto"/>
            <w:vAlign w:val="center"/>
            <w:hideMark/>
          </w:tcPr>
          <w:p w14:paraId="2891F5C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709" w:type="dxa"/>
            <w:shd w:val="clear" w:color="auto" w:fill="auto"/>
            <w:noWrap/>
            <w:vAlign w:val="center"/>
            <w:hideMark/>
          </w:tcPr>
          <w:p w14:paraId="028D9188"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26" w:type="dxa"/>
            <w:shd w:val="clear" w:color="auto" w:fill="auto"/>
            <w:noWrap/>
            <w:vAlign w:val="center"/>
            <w:hideMark/>
          </w:tcPr>
          <w:p w14:paraId="0C14CC86"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08" w:type="dxa"/>
            <w:shd w:val="clear" w:color="auto" w:fill="auto"/>
            <w:noWrap/>
            <w:vAlign w:val="center"/>
            <w:hideMark/>
          </w:tcPr>
          <w:p w14:paraId="14F6FA6A"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1417" w:type="dxa"/>
            <w:shd w:val="clear" w:color="auto" w:fill="auto"/>
            <w:vAlign w:val="center"/>
            <w:hideMark/>
          </w:tcPr>
          <w:p w14:paraId="61F174C9"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83%</w:t>
            </w:r>
          </w:p>
        </w:tc>
      </w:tr>
      <w:tr w:rsidR="00956604" w:rsidRPr="00340346" w14:paraId="1A432169" w14:textId="77777777" w:rsidTr="00464928">
        <w:trPr>
          <w:trHeight w:val="74"/>
        </w:trPr>
        <w:tc>
          <w:tcPr>
            <w:tcW w:w="440" w:type="dxa"/>
            <w:shd w:val="clear" w:color="auto" w:fill="auto"/>
            <w:vAlign w:val="center"/>
            <w:hideMark/>
          </w:tcPr>
          <w:p w14:paraId="126887C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12</w:t>
            </w:r>
          </w:p>
        </w:tc>
        <w:tc>
          <w:tcPr>
            <w:tcW w:w="1985" w:type="dxa"/>
            <w:shd w:val="clear" w:color="auto" w:fill="auto"/>
            <w:vAlign w:val="center"/>
            <w:hideMark/>
          </w:tcPr>
          <w:p w14:paraId="4F2C8978"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Poultry Industry</w:t>
            </w:r>
          </w:p>
        </w:tc>
        <w:tc>
          <w:tcPr>
            <w:tcW w:w="5230" w:type="dxa"/>
            <w:shd w:val="clear" w:color="auto" w:fill="auto"/>
            <w:vAlign w:val="center"/>
            <w:hideMark/>
          </w:tcPr>
          <w:p w14:paraId="7AA2ADB0"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biogas plants</w:t>
            </w:r>
          </w:p>
        </w:tc>
        <w:tc>
          <w:tcPr>
            <w:tcW w:w="718" w:type="dxa"/>
            <w:shd w:val="clear" w:color="auto" w:fill="auto"/>
            <w:vAlign w:val="center"/>
            <w:hideMark/>
          </w:tcPr>
          <w:p w14:paraId="4DEE24C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13" w:type="dxa"/>
            <w:shd w:val="clear" w:color="auto" w:fill="auto"/>
            <w:vAlign w:val="center"/>
            <w:hideMark/>
          </w:tcPr>
          <w:p w14:paraId="44050F0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111D5BC1"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425" w:type="dxa"/>
            <w:shd w:val="clear" w:color="auto" w:fill="auto"/>
            <w:vAlign w:val="center"/>
            <w:hideMark/>
          </w:tcPr>
          <w:p w14:paraId="2E55AC0B"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567" w:type="dxa"/>
            <w:shd w:val="clear" w:color="auto" w:fill="auto"/>
            <w:vAlign w:val="center"/>
            <w:hideMark/>
          </w:tcPr>
          <w:p w14:paraId="27B5ECED"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709" w:type="dxa"/>
            <w:shd w:val="clear" w:color="auto" w:fill="auto"/>
            <w:vAlign w:val="center"/>
            <w:hideMark/>
          </w:tcPr>
          <w:p w14:paraId="094F0C27"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709" w:type="dxa"/>
            <w:shd w:val="clear" w:color="auto" w:fill="auto"/>
            <w:noWrap/>
            <w:vAlign w:val="center"/>
            <w:hideMark/>
          </w:tcPr>
          <w:p w14:paraId="3891F5A8"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726" w:type="dxa"/>
            <w:shd w:val="clear" w:color="auto" w:fill="auto"/>
            <w:noWrap/>
            <w:vAlign w:val="center"/>
            <w:hideMark/>
          </w:tcPr>
          <w:p w14:paraId="5289FE6E"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08" w:type="dxa"/>
            <w:shd w:val="clear" w:color="auto" w:fill="auto"/>
            <w:noWrap/>
            <w:vAlign w:val="center"/>
            <w:hideMark/>
          </w:tcPr>
          <w:p w14:paraId="12F297FB"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1417" w:type="dxa"/>
            <w:shd w:val="clear" w:color="auto" w:fill="auto"/>
            <w:vAlign w:val="center"/>
            <w:hideMark/>
          </w:tcPr>
          <w:p w14:paraId="7FBD3FBD"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82%</w:t>
            </w:r>
          </w:p>
        </w:tc>
      </w:tr>
      <w:tr w:rsidR="00956604" w:rsidRPr="00340346" w14:paraId="2292D106" w14:textId="77777777" w:rsidTr="00464928">
        <w:trPr>
          <w:trHeight w:val="280"/>
        </w:trPr>
        <w:tc>
          <w:tcPr>
            <w:tcW w:w="440" w:type="dxa"/>
            <w:shd w:val="clear" w:color="auto" w:fill="auto"/>
            <w:vAlign w:val="center"/>
            <w:hideMark/>
          </w:tcPr>
          <w:p w14:paraId="1C65746A"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13</w:t>
            </w:r>
          </w:p>
        </w:tc>
        <w:tc>
          <w:tcPr>
            <w:tcW w:w="1985" w:type="dxa"/>
            <w:shd w:val="clear" w:color="auto" w:fill="auto"/>
            <w:vAlign w:val="center"/>
            <w:hideMark/>
          </w:tcPr>
          <w:p w14:paraId="7B2FD3FB"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 xml:space="preserve">Agriculture Industry </w:t>
            </w:r>
          </w:p>
        </w:tc>
        <w:tc>
          <w:tcPr>
            <w:tcW w:w="5230" w:type="dxa"/>
            <w:shd w:val="clear" w:color="auto" w:fill="auto"/>
            <w:vAlign w:val="center"/>
            <w:hideMark/>
          </w:tcPr>
          <w:p w14:paraId="74E43D57"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biomass plants</w:t>
            </w:r>
          </w:p>
        </w:tc>
        <w:tc>
          <w:tcPr>
            <w:tcW w:w="718" w:type="dxa"/>
            <w:shd w:val="clear" w:color="auto" w:fill="auto"/>
            <w:vAlign w:val="center"/>
            <w:hideMark/>
          </w:tcPr>
          <w:p w14:paraId="731227DE"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13" w:type="dxa"/>
            <w:shd w:val="clear" w:color="auto" w:fill="auto"/>
            <w:vAlign w:val="center"/>
            <w:hideMark/>
          </w:tcPr>
          <w:p w14:paraId="1A9053D5"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67" w:type="dxa"/>
            <w:shd w:val="clear" w:color="auto" w:fill="auto"/>
            <w:vAlign w:val="center"/>
            <w:hideMark/>
          </w:tcPr>
          <w:p w14:paraId="2DECC05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425" w:type="dxa"/>
            <w:shd w:val="clear" w:color="auto" w:fill="auto"/>
            <w:vAlign w:val="center"/>
            <w:hideMark/>
          </w:tcPr>
          <w:p w14:paraId="6E9A7DC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567" w:type="dxa"/>
            <w:shd w:val="clear" w:color="auto" w:fill="auto"/>
            <w:vAlign w:val="center"/>
            <w:hideMark/>
          </w:tcPr>
          <w:p w14:paraId="37D8F8EA"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709" w:type="dxa"/>
            <w:shd w:val="clear" w:color="auto" w:fill="auto"/>
            <w:vAlign w:val="center"/>
            <w:hideMark/>
          </w:tcPr>
          <w:p w14:paraId="19D201F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2</w:t>
            </w:r>
          </w:p>
        </w:tc>
        <w:tc>
          <w:tcPr>
            <w:tcW w:w="709" w:type="dxa"/>
            <w:shd w:val="clear" w:color="auto" w:fill="auto"/>
            <w:noWrap/>
            <w:vAlign w:val="center"/>
            <w:hideMark/>
          </w:tcPr>
          <w:p w14:paraId="28A1920F"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726" w:type="dxa"/>
            <w:shd w:val="clear" w:color="auto" w:fill="auto"/>
            <w:noWrap/>
            <w:vAlign w:val="center"/>
            <w:hideMark/>
          </w:tcPr>
          <w:p w14:paraId="596D079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408" w:type="dxa"/>
            <w:shd w:val="clear" w:color="auto" w:fill="auto"/>
            <w:noWrap/>
            <w:vAlign w:val="center"/>
            <w:hideMark/>
          </w:tcPr>
          <w:p w14:paraId="46C80F68"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1417" w:type="dxa"/>
            <w:shd w:val="clear" w:color="auto" w:fill="auto"/>
            <w:vAlign w:val="center"/>
            <w:hideMark/>
          </w:tcPr>
          <w:p w14:paraId="0403D86F"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80%</w:t>
            </w:r>
          </w:p>
        </w:tc>
      </w:tr>
      <w:tr w:rsidR="00956604" w:rsidRPr="00340346" w14:paraId="6FCF4520" w14:textId="77777777" w:rsidTr="00956604">
        <w:trPr>
          <w:trHeight w:val="74"/>
        </w:trPr>
        <w:tc>
          <w:tcPr>
            <w:tcW w:w="14414" w:type="dxa"/>
            <w:gridSpan w:val="13"/>
            <w:shd w:val="clear" w:color="000000" w:fill="8DB4E2"/>
            <w:noWrap/>
            <w:vAlign w:val="center"/>
            <w:hideMark/>
          </w:tcPr>
          <w:p w14:paraId="75699D95" w14:textId="77777777" w:rsidR="00956604" w:rsidRPr="00340346" w:rsidRDefault="00956604"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Residential</w:t>
            </w:r>
          </w:p>
        </w:tc>
      </w:tr>
      <w:tr w:rsidR="00956604" w:rsidRPr="00340346" w14:paraId="29EDA0F8" w14:textId="77777777" w:rsidTr="00464928">
        <w:trPr>
          <w:trHeight w:val="74"/>
        </w:trPr>
        <w:tc>
          <w:tcPr>
            <w:tcW w:w="440" w:type="dxa"/>
            <w:shd w:val="clear" w:color="auto" w:fill="auto"/>
            <w:vAlign w:val="center"/>
            <w:hideMark/>
          </w:tcPr>
          <w:p w14:paraId="7D9BE15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14</w:t>
            </w:r>
          </w:p>
        </w:tc>
        <w:tc>
          <w:tcPr>
            <w:tcW w:w="1985" w:type="dxa"/>
            <w:shd w:val="clear" w:color="auto" w:fill="auto"/>
            <w:vAlign w:val="center"/>
            <w:hideMark/>
          </w:tcPr>
          <w:p w14:paraId="601FFB00"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Houses</w:t>
            </w:r>
          </w:p>
        </w:tc>
        <w:tc>
          <w:tcPr>
            <w:tcW w:w="5230" w:type="dxa"/>
            <w:shd w:val="clear" w:color="auto" w:fill="auto"/>
            <w:vAlign w:val="center"/>
            <w:hideMark/>
          </w:tcPr>
          <w:p w14:paraId="45ED24B6"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air conditioning, lighting</w:t>
            </w:r>
          </w:p>
        </w:tc>
        <w:tc>
          <w:tcPr>
            <w:tcW w:w="718" w:type="dxa"/>
            <w:shd w:val="clear" w:color="auto" w:fill="auto"/>
            <w:vAlign w:val="center"/>
            <w:hideMark/>
          </w:tcPr>
          <w:p w14:paraId="35A641AB"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13" w:type="dxa"/>
            <w:shd w:val="clear" w:color="auto" w:fill="auto"/>
            <w:vAlign w:val="center"/>
            <w:hideMark/>
          </w:tcPr>
          <w:p w14:paraId="4632180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567" w:type="dxa"/>
            <w:shd w:val="clear" w:color="auto" w:fill="auto"/>
            <w:vAlign w:val="center"/>
            <w:hideMark/>
          </w:tcPr>
          <w:p w14:paraId="0ACFEB3B"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425" w:type="dxa"/>
            <w:shd w:val="clear" w:color="auto" w:fill="auto"/>
            <w:vAlign w:val="center"/>
            <w:hideMark/>
          </w:tcPr>
          <w:p w14:paraId="657FFC7D"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567" w:type="dxa"/>
            <w:shd w:val="clear" w:color="auto" w:fill="auto"/>
            <w:vAlign w:val="center"/>
            <w:hideMark/>
          </w:tcPr>
          <w:p w14:paraId="7A06413E"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2</w:t>
            </w:r>
          </w:p>
        </w:tc>
        <w:tc>
          <w:tcPr>
            <w:tcW w:w="709" w:type="dxa"/>
            <w:shd w:val="clear" w:color="auto" w:fill="auto"/>
            <w:vAlign w:val="center"/>
            <w:hideMark/>
          </w:tcPr>
          <w:p w14:paraId="5D01CEB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709" w:type="dxa"/>
            <w:shd w:val="clear" w:color="auto" w:fill="auto"/>
            <w:noWrap/>
            <w:vAlign w:val="center"/>
            <w:hideMark/>
          </w:tcPr>
          <w:p w14:paraId="2963878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726" w:type="dxa"/>
            <w:shd w:val="clear" w:color="auto" w:fill="auto"/>
            <w:noWrap/>
            <w:vAlign w:val="center"/>
            <w:hideMark/>
          </w:tcPr>
          <w:p w14:paraId="6A52884D"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408" w:type="dxa"/>
            <w:shd w:val="clear" w:color="auto" w:fill="auto"/>
            <w:noWrap/>
            <w:vAlign w:val="center"/>
            <w:hideMark/>
          </w:tcPr>
          <w:p w14:paraId="7B43D865"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1417" w:type="dxa"/>
            <w:shd w:val="clear" w:color="auto" w:fill="auto"/>
            <w:vAlign w:val="center"/>
            <w:hideMark/>
          </w:tcPr>
          <w:p w14:paraId="74D1A681"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57%</w:t>
            </w:r>
          </w:p>
        </w:tc>
      </w:tr>
      <w:tr w:rsidR="00956604" w:rsidRPr="00340346" w14:paraId="27D7C00A" w14:textId="77777777" w:rsidTr="00464928">
        <w:trPr>
          <w:trHeight w:val="74"/>
        </w:trPr>
        <w:tc>
          <w:tcPr>
            <w:tcW w:w="440" w:type="dxa"/>
            <w:shd w:val="clear" w:color="auto" w:fill="auto"/>
            <w:vAlign w:val="center"/>
            <w:hideMark/>
          </w:tcPr>
          <w:p w14:paraId="1C45188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15</w:t>
            </w:r>
          </w:p>
        </w:tc>
        <w:tc>
          <w:tcPr>
            <w:tcW w:w="1985" w:type="dxa"/>
            <w:shd w:val="clear" w:color="auto" w:fill="auto"/>
            <w:vAlign w:val="center"/>
            <w:hideMark/>
          </w:tcPr>
          <w:p w14:paraId="21CB6D28" w14:textId="77777777" w:rsidR="002D3E66" w:rsidRPr="00340346" w:rsidRDefault="002D3E66"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Buildings (apartments)</w:t>
            </w:r>
          </w:p>
        </w:tc>
        <w:tc>
          <w:tcPr>
            <w:tcW w:w="5230" w:type="dxa"/>
            <w:shd w:val="clear" w:color="auto" w:fill="auto"/>
            <w:vAlign w:val="center"/>
            <w:hideMark/>
          </w:tcPr>
          <w:p w14:paraId="14275726" w14:textId="77777777" w:rsidR="002D3E66" w:rsidRPr="00340346" w:rsidRDefault="00836BC0" w:rsidP="00C80112">
            <w:pPr>
              <w:spacing w:before="0" w:after="0" w:line="240" w:lineRule="auto"/>
              <w:ind w:firstLine="220"/>
              <w:jc w:val="left"/>
              <w:rPr>
                <w:rFonts w:ascii="Arial" w:hAnsi="Arial" w:cs="Arial"/>
                <w:noProof/>
                <w:sz w:val="22"/>
                <w:szCs w:val="22"/>
                <w:lang w:val="en-US"/>
              </w:rPr>
            </w:pPr>
            <w:r w:rsidRPr="00340346">
              <w:rPr>
                <w:rFonts w:ascii="Arial" w:hAnsi="Arial" w:cs="Arial"/>
                <w:noProof/>
                <w:sz w:val="22"/>
                <w:szCs w:val="22"/>
                <w:lang w:val="en-US"/>
              </w:rPr>
              <w:t>air conditioning, lighting</w:t>
            </w:r>
          </w:p>
        </w:tc>
        <w:tc>
          <w:tcPr>
            <w:tcW w:w="718" w:type="dxa"/>
            <w:shd w:val="clear" w:color="auto" w:fill="auto"/>
            <w:vAlign w:val="center"/>
            <w:hideMark/>
          </w:tcPr>
          <w:p w14:paraId="44470873"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513" w:type="dxa"/>
            <w:shd w:val="clear" w:color="auto" w:fill="auto"/>
            <w:vAlign w:val="center"/>
            <w:hideMark/>
          </w:tcPr>
          <w:p w14:paraId="741BEDBB"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2</w:t>
            </w:r>
          </w:p>
        </w:tc>
        <w:tc>
          <w:tcPr>
            <w:tcW w:w="567" w:type="dxa"/>
            <w:shd w:val="clear" w:color="auto" w:fill="auto"/>
            <w:vAlign w:val="center"/>
            <w:hideMark/>
          </w:tcPr>
          <w:p w14:paraId="6E7C037C"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425" w:type="dxa"/>
            <w:shd w:val="clear" w:color="auto" w:fill="auto"/>
            <w:vAlign w:val="center"/>
            <w:hideMark/>
          </w:tcPr>
          <w:p w14:paraId="269EA342"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3</w:t>
            </w:r>
          </w:p>
        </w:tc>
        <w:tc>
          <w:tcPr>
            <w:tcW w:w="567" w:type="dxa"/>
            <w:shd w:val="clear" w:color="auto" w:fill="auto"/>
            <w:vAlign w:val="center"/>
            <w:hideMark/>
          </w:tcPr>
          <w:p w14:paraId="2EE9F484"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709" w:type="dxa"/>
            <w:shd w:val="clear" w:color="auto" w:fill="auto"/>
            <w:vAlign w:val="center"/>
            <w:hideMark/>
          </w:tcPr>
          <w:p w14:paraId="6056481D"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709" w:type="dxa"/>
            <w:shd w:val="clear" w:color="auto" w:fill="auto"/>
            <w:noWrap/>
            <w:vAlign w:val="center"/>
            <w:hideMark/>
          </w:tcPr>
          <w:p w14:paraId="69196A68"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w:t>
            </w:r>
          </w:p>
        </w:tc>
        <w:tc>
          <w:tcPr>
            <w:tcW w:w="726" w:type="dxa"/>
            <w:shd w:val="clear" w:color="auto" w:fill="auto"/>
            <w:noWrap/>
            <w:vAlign w:val="center"/>
            <w:hideMark/>
          </w:tcPr>
          <w:p w14:paraId="0F140AE0"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1</w:t>
            </w:r>
          </w:p>
        </w:tc>
        <w:tc>
          <w:tcPr>
            <w:tcW w:w="408" w:type="dxa"/>
            <w:shd w:val="clear" w:color="auto" w:fill="auto"/>
            <w:noWrap/>
            <w:vAlign w:val="center"/>
            <w:hideMark/>
          </w:tcPr>
          <w:p w14:paraId="0EF1E6DB"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4</w:t>
            </w:r>
          </w:p>
        </w:tc>
        <w:tc>
          <w:tcPr>
            <w:tcW w:w="1417" w:type="dxa"/>
            <w:shd w:val="clear" w:color="auto" w:fill="auto"/>
            <w:vAlign w:val="center"/>
            <w:hideMark/>
          </w:tcPr>
          <w:p w14:paraId="71320ADD" w14:textId="77777777" w:rsidR="002D3E66" w:rsidRPr="00340346" w:rsidRDefault="002D3E66"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60%</w:t>
            </w:r>
          </w:p>
        </w:tc>
      </w:tr>
    </w:tbl>
    <w:p w14:paraId="1AEF0DEF" w14:textId="77777777" w:rsidR="002A180E" w:rsidRPr="00340346" w:rsidRDefault="002A180E">
      <w:pPr>
        <w:rPr>
          <w:rFonts w:ascii="Arial" w:hAnsi="Arial" w:cs="Arial"/>
          <w:noProof/>
          <w:sz w:val="22"/>
          <w:szCs w:val="22"/>
          <w:lang w:val="en-US"/>
        </w:rPr>
      </w:pPr>
    </w:p>
    <w:p w14:paraId="5FF65C8B" w14:textId="77777777" w:rsidR="0022747C" w:rsidRPr="00340346" w:rsidRDefault="0022747C">
      <w:pPr>
        <w:rPr>
          <w:rFonts w:ascii="Arial" w:hAnsi="Arial" w:cs="Arial"/>
          <w:noProof/>
          <w:sz w:val="22"/>
          <w:szCs w:val="22"/>
          <w:lang w:val="en-US"/>
        </w:rPr>
        <w:sectPr w:rsidR="0022747C" w:rsidRPr="00340346" w:rsidSect="007E063B">
          <w:pgSz w:w="16840" w:h="11900" w:orient="landscape"/>
          <w:pgMar w:top="1417" w:right="1134" w:bottom="1417" w:left="1985" w:header="708" w:footer="708" w:gutter="0"/>
          <w:cols w:space="708"/>
          <w:docGrid w:linePitch="360"/>
        </w:sectPr>
      </w:pPr>
    </w:p>
    <w:p w14:paraId="09492EB8" w14:textId="77777777" w:rsidR="003A35B7" w:rsidRPr="00340346" w:rsidRDefault="00740308" w:rsidP="00C80112">
      <w:pPr>
        <w:pStyle w:val="SecHeading"/>
        <w:rPr>
          <w:rFonts w:ascii="Arial" w:hAnsi="Arial" w:cs="Arial"/>
          <w:noProof/>
          <w:sz w:val="22"/>
          <w:szCs w:val="22"/>
          <w:lang w:val="en-US"/>
        </w:rPr>
      </w:pPr>
      <w:bookmarkStart w:id="602" w:name="_Toc504671077"/>
      <w:r w:rsidRPr="00340346">
        <w:rPr>
          <w:rFonts w:ascii="Arial" w:hAnsi="Arial" w:cs="Arial"/>
          <w:noProof/>
          <w:sz w:val="22"/>
          <w:szCs w:val="22"/>
          <w:lang w:val="en-US"/>
        </w:rPr>
        <w:lastRenderedPageBreak/>
        <w:t>GCF Conditions</w:t>
      </w:r>
      <w:bookmarkEnd w:id="602"/>
    </w:p>
    <w:p w14:paraId="579203BC" w14:textId="77777777" w:rsidR="003A35B7" w:rsidRPr="00340346" w:rsidRDefault="003A35B7">
      <w:pPr>
        <w:rPr>
          <w:rFonts w:ascii="Arial" w:hAnsi="Arial" w:cs="Arial"/>
          <w:noProof/>
          <w:sz w:val="22"/>
          <w:szCs w:val="22"/>
          <w:lang w:val="en-US"/>
        </w:rPr>
      </w:pPr>
      <w:r w:rsidRPr="00340346">
        <w:rPr>
          <w:rFonts w:ascii="Arial" w:hAnsi="Arial" w:cs="Arial"/>
          <w:noProof/>
          <w:sz w:val="22"/>
          <w:szCs w:val="22"/>
          <w:lang w:val="en-US"/>
        </w:rPr>
        <w:t>The following table describes some of the financial conditions established by the Green Climate Fund for projects with sovereign guarantee.</w:t>
      </w:r>
    </w:p>
    <w:tbl>
      <w:tblPr>
        <w:tblW w:w="9087" w:type="dxa"/>
        <w:tblLayout w:type="fixed"/>
        <w:tblCellMar>
          <w:left w:w="0" w:type="dxa"/>
          <w:right w:w="0" w:type="dxa"/>
        </w:tblCellMar>
        <w:tblLook w:val="0600" w:firstRow="0" w:lastRow="0" w:firstColumn="0" w:lastColumn="0" w:noHBand="1" w:noVBand="1"/>
      </w:tblPr>
      <w:tblGrid>
        <w:gridCol w:w="2850"/>
        <w:gridCol w:w="6237"/>
      </w:tblGrid>
      <w:tr w:rsidR="003A35B7" w:rsidRPr="00340346" w14:paraId="2F403D47" w14:textId="77777777" w:rsidTr="005C25F6">
        <w:trPr>
          <w:trHeight w:val="304"/>
        </w:trPr>
        <w:tc>
          <w:tcPr>
            <w:tcW w:w="2850" w:type="dxa"/>
            <w:tcBorders>
              <w:top w:val="single" w:sz="8" w:space="0" w:color="000000"/>
              <w:left w:val="single" w:sz="8" w:space="0" w:color="000000"/>
              <w:bottom w:val="single" w:sz="8" w:space="0" w:color="000000"/>
              <w:right w:val="single" w:sz="8" w:space="0" w:color="000000"/>
            </w:tcBorders>
            <w:shd w:val="clear" w:color="auto" w:fill="B8CCE4"/>
            <w:tcMar>
              <w:top w:w="15" w:type="dxa"/>
              <w:left w:w="15" w:type="dxa"/>
              <w:bottom w:w="0" w:type="dxa"/>
              <w:right w:w="15" w:type="dxa"/>
            </w:tcMar>
            <w:vAlign w:val="center"/>
            <w:hideMark/>
          </w:tcPr>
          <w:p w14:paraId="17A63AA9"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 xml:space="preserve"> Description</w:t>
            </w:r>
          </w:p>
        </w:tc>
        <w:tc>
          <w:tcPr>
            <w:tcW w:w="6237" w:type="dxa"/>
            <w:tcBorders>
              <w:top w:val="single" w:sz="8" w:space="0" w:color="000000"/>
              <w:left w:val="single" w:sz="8" w:space="0" w:color="000000"/>
              <w:bottom w:val="single" w:sz="8" w:space="0" w:color="000000"/>
              <w:right w:val="single" w:sz="8" w:space="0" w:color="000000"/>
            </w:tcBorders>
            <w:shd w:val="clear" w:color="auto" w:fill="B8CCE4"/>
            <w:tcMar>
              <w:top w:w="15" w:type="dxa"/>
              <w:left w:w="15" w:type="dxa"/>
              <w:bottom w:w="0" w:type="dxa"/>
              <w:right w:w="15" w:type="dxa"/>
            </w:tcMar>
            <w:vAlign w:val="center"/>
            <w:hideMark/>
          </w:tcPr>
          <w:p w14:paraId="5F25266E"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Terms</w:t>
            </w:r>
          </w:p>
        </w:tc>
      </w:tr>
      <w:tr w:rsidR="003A35B7" w:rsidRPr="00340346" w14:paraId="5DB79B8B" w14:textId="77777777" w:rsidTr="005C25F6">
        <w:trPr>
          <w:trHeight w:val="304"/>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E7B952C"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Currency</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616A4A7"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US</w:t>
            </w:r>
            <w:r w:rsidR="0049762E" w:rsidRPr="00340346">
              <w:rPr>
                <w:rFonts w:ascii="Arial" w:hAnsi="Arial" w:cs="Arial"/>
                <w:noProof/>
                <w:sz w:val="22"/>
                <w:szCs w:val="22"/>
                <w:lang w:val="en-US"/>
              </w:rPr>
              <w:t>$</w:t>
            </w:r>
          </w:p>
        </w:tc>
      </w:tr>
      <w:tr w:rsidR="003A35B7" w:rsidRPr="00BD21C6" w14:paraId="533D4BC8" w14:textId="77777777" w:rsidTr="005C25F6">
        <w:trPr>
          <w:trHeight w:val="390"/>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7D70D84"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Maturity</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02E81FB"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20 years from the date of effectiveness of the loan contract.</w:t>
            </w:r>
          </w:p>
        </w:tc>
      </w:tr>
      <w:tr w:rsidR="003A35B7" w:rsidRPr="00BD21C6" w14:paraId="7E2C197C" w14:textId="77777777" w:rsidTr="005C25F6">
        <w:trPr>
          <w:trHeight w:val="304"/>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1910A13"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Disbursement Period</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43C739C"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 years from the date of effectiveness of the loan contract.</w:t>
            </w:r>
          </w:p>
        </w:tc>
      </w:tr>
      <w:tr w:rsidR="003A35B7" w:rsidRPr="00BD21C6" w14:paraId="309A9BDD" w14:textId="77777777" w:rsidTr="005C25F6">
        <w:trPr>
          <w:trHeight w:val="350"/>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CDAA6E0"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Grace Period</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B40D0E4"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 years from the date of effectiveness of the loan contract.</w:t>
            </w:r>
          </w:p>
        </w:tc>
      </w:tr>
      <w:tr w:rsidR="003A35B7" w:rsidRPr="00BD21C6" w14:paraId="452D384C" w14:textId="77777777" w:rsidTr="005C25F6">
        <w:trPr>
          <w:trHeight w:val="528"/>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65A2974"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Repayment of Principal </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BF51B83"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 xml:space="preserve">After the end of the grace period, biannually, </w:t>
            </w:r>
            <w:r w:rsidR="00193C6E" w:rsidRPr="00340346">
              <w:rPr>
                <w:rFonts w:ascii="Arial" w:hAnsi="Arial" w:cs="Arial"/>
                <w:noProof/>
                <w:sz w:val="22"/>
                <w:szCs w:val="22"/>
                <w:lang w:val="en-US"/>
              </w:rPr>
              <w:t>within the fifteen (15) day</w:t>
            </w:r>
            <w:r w:rsidRPr="00340346">
              <w:rPr>
                <w:rFonts w:ascii="Arial" w:hAnsi="Arial" w:cs="Arial"/>
                <w:noProof/>
                <w:sz w:val="22"/>
                <w:szCs w:val="22"/>
                <w:lang w:val="en-US"/>
              </w:rPr>
              <w:t xml:space="preserve"> </w:t>
            </w:r>
            <w:r w:rsidR="00193C6E" w:rsidRPr="00340346">
              <w:rPr>
                <w:rFonts w:ascii="Arial" w:hAnsi="Arial" w:cs="Arial"/>
                <w:noProof/>
                <w:sz w:val="22"/>
                <w:szCs w:val="22"/>
                <w:lang w:val="en-US"/>
              </w:rPr>
              <w:t xml:space="preserve">period </w:t>
            </w:r>
            <w:r w:rsidRPr="00340346">
              <w:rPr>
                <w:rFonts w:ascii="Arial" w:hAnsi="Arial" w:cs="Arial"/>
                <w:noProof/>
                <w:sz w:val="22"/>
                <w:szCs w:val="22"/>
                <w:lang w:val="en-US"/>
              </w:rPr>
              <w:t>after June 30 and December 31 of each year.</w:t>
            </w:r>
          </w:p>
        </w:tc>
      </w:tr>
      <w:tr w:rsidR="003A35B7" w:rsidRPr="00BD21C6" w14:paraId="74BBCEC0" w14:textId="77777777" w:rsidTr="005C25F6">
        <w:trPr>
          <w:trHeight w:val="480"/>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2D58EED"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Amount of repayment of Principal</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5D919B4"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A thirtieth (1/30) of the total amount disbursed to BICE during the disbursement period.</w:t>
            </w:r>
          </w:p>
        </w:tc>
      </w:tr>
      <w:tr w:rsidR="003A35B7" w:rsidRPr="00BD21C6" w14:paraId="3693178E" w14:textId="77777777" w:rsidTr="005C25F6">
        <w:trPr>
          <w:trHeight w:val="285"/>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3F79D13"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Interest Type and Rate</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D51CF86"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Fixed. 75 basic points per year.</w:t>
            </w:r>
          </w:p>
        </w:tc>
      </w:tr>
      <w:tr w:rsidR="003A35B7" w:rsidRPr="00BD21C6" w14:paraId="7F36203A" w14:textId="77777777" w:rsidTr="005C25F6">
        <w:trPr>
          <w:trHeight w:val="508"/>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3FB6E30"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Accrual of Interest</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FBF0BD8"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Interest is accrued biannually, from the date of disbursement from the IDB to BICE and shall be calculated on the amount of the pending principal of the loan.</w:t>
            </w:r>
          </w:p>
        </w:tc>
      </w:tr>
      <w:tr w:rsidR="003A35B7" w:rsidRPr="00BD21C6" w14:paraId="7FC4496E" w14:textId="77777777" w:rsidTr="005C25F6">
        <w:trPr>
          <w:trHeight w:val="480"/>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A7F4B34"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Interest Payment</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074E6BA"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Interest shall be paid biannually within fifteen (15) days following June 30 and December 31 of each year.</w:t>
            </w:r>
          </w:p>
        </w:tc>
      </w:tr>
      <w:tr w:rsidR="003A35B7" w:rsidRPr="00BD21C6" w14:paraId="4D66FDFF" w14:textId="77777777" w:rsidTr="005C25F6">
        <w:trPr>
          <w:trHeight w:val="608"/>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841F554"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Commitment Fee</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56D4E71" w14:textId="77777777" w:rsidR="003A35B7" w:rsidRPr="00340346" w:rsidRDefault="004B120E" w:rsidP="00192CC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 xml:space="preserve">Up to </w:t>
            </w:r>
            <w:r w:rsidR="003A35B7" w:rsidRPr="00340346">
              <w:rPr>
                <w:rFonts w:ascii="Arial" w:hAnsi="Arial" w:cs="Arial"/>
                <w:noProof/>
                <w:sz w:val="22"/>
                <w:szCs w:val="22"/>
                <w:lang w:val="en-US"/>
              </w:rPr>
              <w:t>75 basi</w:t>
            </w:r>
            <w:r w:rsidR="00192CC2" w:rsidRPr="00340346">
              <w:rPr>
                <w:rFonts w:ascii="Arial" w:hAnsi="Arial" w:cs="Arial"/>
                <w:noProof/>
                <w:sz w:val="22"/>
                <w:szCs w:val="22"/>
                <w:lang w:val="en-US"/>
              </w:rPr>
              <w:t>s</w:t>
            </w:r>
            <w:r w:rsidR="003A35B7" w:rsidRPr="00340346">
              <w:rPr>
                <w:rFonts w:ascii="Arial" w:hAnsi="Arial" w:cs="Arial"/>
                <w:noProof/>
                <w:sz w:val="22"/>
                <w:szCs w:val="22"/>
                <w:lang w:val="en-US"/>
              </w:rPr>
              <w:t xml:space="preserve"> points per year.</w:t>
            </w:r>
          </w:p>
        </w:tc>
      </w:tr>
      <w:tr w:rsidR="003A35B7" w:rsidRPr="00BD21C6" w14:paraId="67616D0A" w14:textId="77777777" w:rsidTr="005C25F6">
        <w:trPr>
          <w:trHeight w:val="1215"/>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32AFB47" w14:textId="77777777" w:rsidR="003A35B7" w:rsidRPr="00340346" w:rsidRDefault="003A35B7" w:rsidP="00C80112">
            <w:pPr>
              <w:spacing w:before="0" w:after="0" w:line="240" w:lineRule="auto"/>
              <w:jc w:val="left"/>
              <w:rPr>
                <w:rFonts w:ascii="Arial" w:hAnsi="Arial" w:cs="Arial"/>
                <w:noProof/>
                <w:sz w:val="22"/>
                <w:szCs w:val="22"/>
                <w:lang w:val="en-US"/>
              </w:rPr>
            </w:pPr>
            <w:r w:rsidRPr="00340346">
              <w:rPr>
                <w:rFonts w:ascii="Arial" w:hAnsi="Arial" w:cs="Arial"/>
                <w:noProof/>
                <w:sz w:val="22"/>
                <w:szCs w:val="22"/>
                <w:lang w:val="en-US"/>
              </w:rPr>
              <w:t>Payment of Commitment Fee</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2F68BE4"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The commitment fee shall be paid biannually within fifteen (15) days after June 30 and December 31 of each year and shall be calculated on the amount of reimbursable non-disbursed funds from GCF to the IDB. The commitment fee shall apply from the date of effectiveness of the loan contract. </w:t>
            </w:r>
          </w:p>
        </w:tc>
      </w:tr>
      <w:tr w:rsidR="003A35B7" w:rsidRPr="00340346" w14:paraId="6E4DC523" w14:textId="77777777" w:rsidTr="005C25F6">
        <w:trPr>
          <w:trHeight w:val="304"/>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FA106DB"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Service Fee</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F90BA73" w14:textId="77777777" w:rsidR="003A35B7" w:rsidRPr="00340346" w:rsidRDefault="003A35B7" w:rsidP="00192CC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50 basi</w:t>
            </w:r>
            <w:r w:rsidR="00192CC2" w:rsidRPr="00340346">
              <w:rPr>
                <w:rFonts w:ascii="Arial" w:hAnsi="Arial" w:cs="Arial"/>
                <w:noProof/>
                <w:sz w:val="22"/>
                <w:szCs w:val="22"/>
                <w:lang w:val="en-US"/>
              </w:rPr>
              <w:t>s</w:t>
            </w:r>
            <w:r w:rsidRPr="00340346">
              <w:rPr>
                <w:rFonts w:ascii="Arial" w:hAnsi="Arial" w:cs="Arial"/>
                <w:noProof/>
                <w:sz w:val="22"/>
                <w:szCs w:val="22"/>
                <w:lang w:val="en-US"/>
              </w:rPr>
              <w:t xml:space="preserve"> points per year.</w:t>
            </w:r>
          </w:p>
        </w:tc>
      </w:tr>
      <w:tr w:rsidR="003A35B7" w:rsidRPr="00BD21C6" w14:paraId="399BAB57" w14:textId="77777777" w:rsidTr="005C25F6">
        <w:trPr>
          <w:trHeight w:val="1215"/>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890B731"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 xml:space="preserve">Payment of Service Fee </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2D0A6CC"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The service fee shall be paid biannually within fifteen (15) days after June 30 and December 31 of each year and shall be calculated on the pending principal amount. The service fee shall apply from the date of each disbursement from the IDB to BICE. </w:t>
            </w:r>
          </w:p>
        </w:tc>
      </w:tr>
      <w:tr w:rsidR="003A35B7" w:rsidRPr="00BD21C6" w14:paraId="43A59DCF" w14:textId="77777777" w:rsidTr="005C25F6">
        <w:trPr>
          <w:trHeight w:val="608"/>
        </w:trPr>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408EA2B"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Final Payments</w:t>
            </w:r>
          </w:p>
        </w:tc>
        <w:tc>
          <w:tcPr>
            <w:tcW w:w="623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50C4AFE" w14:textId="77777777" w:rsidR="003A35B7" w:rsidRPr="00340346" w:rsidRDefault="003A35B7" w:rsidP="00C80112">
            <w:pPr>
              <w:spacing w:before="0" w:after="0" w:line="240" w:lineRule="auto"/>
              <w:rPr>
                <w:rFonts w:ascii="Arial" w:hAnsi="Arial" w:cs="Arial"/>
                <w:noProof/>
                <w:sz w:val="22"/>
                <w:szCs w:val="22"/>
                <w:lang w:val="en-US"/>
              </w:rPr>
            </w:pPr>
            <w:r w:rsidRPr="00340346">
              <w:rPr>
                <w:rFonts w:ascii="Arial" w:hAnsi="Arial" w:cs="Arial"/>
                <w:noProof/>
                <w:sz w:val="22"/>
                <w:szCs w:val="22"/>
                <w:lang w:val="en-US"/>
              </w:rPr>
              <w:t>At the end of the loan contract, the pending principal amount, interest, and fees shall be immediately paid to the IDB.</w:t>
            </w:r>
          </w:p>
        </w:tc>
      </w:tr>
      <w:bookmarkEnd w:id="598"/>
    </w:tbl>
    <w:p w14:paraId="43A3D621" w14:textId="77777777" w:rsidR="003A35B7" w:rsidRPr="00340346" w:rsidRDefault="003A35B7">
      <w:pPr>
        <w:rPr>
          <w:rFonts w:ascii="Arial" w:hAnsi="Arial" w:cs="Arial"/>
          <w:noProof/>
          <w:sz w:val="22"/>
          <w:szCs w:val="22"/>
          <w:lang w:val="en-US"/>
        </w:rPr>
      </w:pPr>
    </w:p>
    <w:sectPr w:rsidR="003A35B7" w:rsidRPr="00340346" w:rsidSect="007E063B">
      <w:pgSz w:w="11900" w:h="16840"/>
      <w:pgMar w:top="1985"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7A109" w14:textId="77777777" w:rsidR="00B6029F" w:rsidRDefault="00B6029F" w:rsidP="00B2440C">
      <w:pPr>
        <w:rPr>
          <w:rFonts w:cs="Times New Roman"/>
        </w:rPr>
      </w:pPr>
      <w:r>
        <w:rPr>
          <w:rFonts w:cs="Times New Roman"/>
        </w:rPr>
        <w:separator/>
      </w:r>
    </w:p>
  </w:endnote>
  <w:endnote w:type="continuationSeparator" w:id="0">
    <w:p w14:paraId="49E9931C" w14:textId="77777777" w:rsidR="00B6029F" w:rsidRDefault="00B6029F" w:rsidP="00B2440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Helvetica Condensed">
    <w:altName w:val="Cambria"/>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A9836" w14:textId="77777777" w:rsidR="00B6029F" w:rsidRDefault="00B6029F" w:rsidP="00B2440C">
      <w:pPr>
        <w:rPr>
          <w:rFonts w:cs="Times New Roman"/>
        </w:rPr>
      </w:pPr>
      <w:r>
        <w:rPr>
          <w:rFonts w:cs="Times New Roman"/>
        </w:rPr>
        <w:separator/>
      </w:r>
    </w:p>
  </w:footnote>
  <w:footnote w:type="continuationSeparator" w:id="0">
    <w:p w14:paraId="518E42DB" w14:textId="77777777" w:rsidR="00B6029F" w:rsidRPr="0049762E" w:rsidRDefault="00B6029F" w:rsidP="00B2440C">
      <w:pPr>
        <w:rPr>
          <w:rFonts w:cs="Times New Roman"/>
          <w:lang w:val="en-US"/>
        </w:rPr>
      </w:pPr>
      <w:r>
        <w:rPr>
          <w:rFonts w:cs="Times New Roman"/>
          <w:lang w:val="en-US"/>
        </w:rPr>
        <w:t>________________________</w:t>
      </w:r>
    </w:p>
  </w:footnote>
  <w:footnote w:id="1">
    <w:p w14:paraId="59A7B37C" w14:textId="77777777" w:rsidR="00810CDB" w:rsidRPr="0087236D" w:rsidRDefault="00810CDB" w:rsidP="008475A1">
      <w:pPr>
        <w:pStyle w:val="FootnoteText"/>
        <w:spacing w:after="0"/>
        <w:rPr>
          <w:rFonts w:ascii="Arial" w:hAnsi="Arial" w:cs="Arial"/>
          <w:sz w:val="18"/>
          <w:szCs w:val="18"/>
          <w:lang w:val="en-US"/>
        </w:rPr>
      </w:pPr>
      <w:r w:rsidRPr="0087236D">
        <w:rPr>
          <w:rStyle w:val="FootnoteReference"/>
          <w:rFonts w:ascii="Arial" w:hAnsi="Arial" w:cs="Arial"/>
          <w:sz w:val="18"/>
          <w:szCs w:val="18"/>
          <w:lang w:val="en"/>
        </w:rPr>
        <w:footnoteRef/>
      </w:r>
      <w:r w:rsidR="0087236D" w:rsidRPr="0087236D">
        <w:rPr>
          <w:rFonts w:ascii="Arial" w:hAnsi="Arial" w:cs="Arial"/>
          <w:sz w:val="18"/>
          <w:szCs w:val="18"/>
          <w:lang w:val="en-US"/>
        </w:rPr>
        <w:tab/>
      </w:r>
      <w:r w:rsidRPr="0087236D">
        <w:rPr>
          <w:rFonts w:ascii="Arial" w:hAnsi="Arial" w:cs="Arial"/>
          <w:sz w:val="18"/>
          <w:szCs w:val="18"/>
          <w:lang w:val="en"/>
        </w:rPr>
        <w:t xml:space="preserve">In this </w:t>
      </w:r>
      <w:r w:rsidR="00340346" w:rsidRPr="0087236D">
        <w:rPr>
          <w:rFonts w:ascii="Arial" w:hAnsi="Arial" w:cs="Arial"/>
          <w:sz w:val="18"/>
          <w:szCs w:val="18"/>
          <w:lang w:val="en"/>
        </w:rPr>
        <w:t>report,</w:t>
      </w:r>
      <w:r w:rsidRPr="0087236D">
        <w:rPr>
          <w:rFonts w:ascii="Arial" w:hAnsi="Arial" w:cs="Arial"/>
          <w:sz w:val="18"/>
          <w:szCs w:val="18"/>
          <w:lang w:val="en"/>
        </w:rPr>
        <w:t xml:space="preserve"> sustainable energy is defined as renewable energy and energy efficiency. </w:t>
      </w:r>
      <w:r w:rsidR="008475A1" w:rsidRPr="008475A1">
        <w:rPr>
          <w:rFonts w:ascii="Arial" w:hAnsi="Arial" w:cs="Arial"/>
          <w:sz w:val="18"/>
          <w:szCs w:val="18"/>
          <w:lang w:val="en"/>
        </w:rPr>
        <w:t xml:space="preserve">For a background document on the national context in Argentina, please see </w:t>
      </w:r>
      <w:hyperlink r:id="rId1" w:history="1">
        <w:r w:rsidR="008475A1" w:rsidRPr="008475A1">
          <w:rPr>
            <w:rStyle w:val="Hyperlink"/>
            <w:rFonts w:ascii="Arial" w:hAnsi="Arial" w:cs="Arial"/>
            <w:sz w:val="18"/>
            <w:szCs w:val="18"/>
            <w:lang w:val="en"/>
          </w:rPr>
          <w:t>Appendix Feasibility Analysis</w:t>
        </w:r>
      </w:hyperlink>
      <w:r w:rsidR="008475A1">
        <w:rPr>
          <w:rFonts w:ascii="Arial" w:hAnsi="Arial" w:cs="Arial"/>
          <w:sz w:val="18"/>
          <w:szCs w:val="18"/>
          <w:lang w:val="en"/>
        </w:rPr>
        <w:t>.</w:t>
      </w:r>
    </w:p>
  </w:footnote>
  <w:footnote w:id="2">
    <w:p w14:paraId="119D736B" w14:textId="77777777" w:rsidR="00810CDB" w:rsidRPr="0087236D" w:rsidRDefault="00810CDB" w:rsidP="00810CDB">
      <w:pPr>
        <w:pStyle w:val="FootnoteText"/>
        <w:spacing w:after="0"/>
        <w:ind w:left="180" w:hanging="180"/>
        <w:jc w:val="left"/>
        <w:rPr>
          <w:rFonts w:ascii="Arial" w:hAnsi="Arial" w:cs="Arial"/>
          <w:sz w:val="18"/>
          <w:szCs w:val="18"/>
          <w:lang w:val="en-US"/>
        </w:rPr>
      </w:pPr>
      <w:r w:rsidRPr="0087236D">
        <w:rPr>
          <w:rStyle w:val="FootnoteReference"/>
          <w:rFonts w:ascii="Arial" w:hAnsi="Arial" w:cs="Arial"/>
          <w:sz w:val="18"/>
          <w:szCs w:val="18"/>
          <w:lang w:val="en"/>
        </w:rPr>
        <w:footnoteRef/>
      </w:r>
      <w:r w:rsidRPr="0087236D">
        <w:rPr>
          <w:rFonts w:ascii="Arial" w:hAnsi="Arial" w:cs="Arial"/>
          <w:sz w:val="18"/>
          <w:szCs w:val="18"/>
          <w:lang w:val="en-US"/>
        </w:rPr>
        <w:tab/>
      </w:r>
      <w:r w:rsidRPr="0087236D">
        <w:rPr>
          <w:rFonts w:ascii="Arial" w:hAnsi="Arial" w:cs="Arial"/>
          <w:sz w:val="18"/>
          <w:szCs w:val="18"/>
          <w:lang w:val="en"/>
        </w:rPr>
        <w:t>Feedlot emerged from the need to intensify production, and consists in holding the animals in pens where they are fed in troughs.</w:t>
      </w:r>
    </w:p>
  </w:footnote>
  <w:footnote w:id="3">
    <w:p w14:paraId="60617B67" w14:textId="77777777" w:rsidR="00810CDB" w:rsidRPr="0087236D" w:rsidRDefault="00810CDB" w:rsidP="00810CDB">
      <w:pPr>
        <w:pStyle w:val="FootnoteText"/>
        <w:spacing w:after="0"/>
        <w:ind w:left="180" w:hanging="180"/>
        <w:rPr>
          <w:rFonts w:ascii="Arial" w:hAnsi="Arial" w:cs="Arial"/>
          <w:sz w:val="18"/>
          <w:szCs w:val="18"/>
          <w:lang w:val="en-US"/>
        </w:rPr>
      </w:pPr>
      <w:r w:rsidRPr="0087236D">
        <w:rPr>
          <w:rStyle w:val="FootnoteReference"/>
          <w:rFonts w:ascii="Arial" w:hAnsi="Arial" w:cs="Arial"/>
          <w:sz w:val="18"/>
          <w:szCs w:val="18"/>
          <w:lang w:val="en"/>
        </w:rPr>
        <w:footnoteRef/>
      </w:r>
      <w:r w:rsidRPr="0087236D">
        <w:rPr>
          <w:rFonts w:ascii="Arial" w:hAnsi="Arial" w:cs="Arial"/>
          <w:sz w:val="18"/>
          <w:szCs w:val="18"/>
          <w:lang w:val="en-US"/>
        </w:rPr>
        <w:tab/>
      </w:r>
      <w:r w:rsidRPr="0087236D">
        <w:rPr>
          <w:rFonts w:ascii="Arial" w:hAnsi="Arial" w:cs="Arial"/>
          <w:sz w:val="18"/>
          <w:szCs w:val="18"/>
          <w:lang w:val="en"/>
        </w:rPr>
        <w:t>The line is based on a total financing amount of US$160 million and additional counterpart funds amounting to 30% capital from investors (companies). Financing resources may be a combination of international resources and co-financing from BICE.</w:t>
      </w:r>
    </w:p>
  </w:footnote>
  <w:footnote w:id="4">
    <w:p w14:paraId="16C80CB7" w14:textId="77777777" w:rsidR="00810CDB" w:rsidRPr="0087236D" w:rsidRDefault="00810CDB" w:rsidP="00810CDB">
      <w:pPr>
        <w:pStyle w:val="FootnoteText"/>
        <w:spacing w:after="0"/>
        <w:ind w:left="180" w:hanging="180"/>
        <w:rPr>
          <w:rFonts w:ascii="Arial" w:hAnsi="Arial" w:cs="Arial"/>
          <w:sz w:val="18"/>
          <w:szCs w:val="18"/>
          <w:lang w:val="en-US"/>
        </w:rPr>
      </w:pPr>
      <w:r w:rsidRPr="0087236D">
        <w:rPr>
          <w:rStyle w:val="FootnoteReference"/>
          <w:rFonts w:ascii="Arial" w:hAnsi="Arial" w:cs="Arial"/>
          <w:sz w:val="18"/>
          <w:szCs w:val="18"/>
          <w:lang w:val="en"/>
        </w:rPr>
        <w:footnoteRef/>
      </w:r>
      <w:r w:rsidRPr="0087236D">
        <w:rPr>
          <w:rFonts w:ascii="Arial" w:hAnsi="Arial" w:cs="Arial"/>
          <w:sz w:val="18"/>
          <w:szCs w:val="18"/>
          <w:lang w:val="en-US"/>
        </w:rPr>
        <w:tab/>
      </w:r>
      <w:hyperlink r:id="rId2" w:history="1">
        <w:r w:rsidRPr="0087236D">
          <w:rPr>
            <w:rStyle w:val="Hyperlink"/>
            <w:rFonts w:ascii="Arial" w:hAnsi="Arial" w:cs="Arial"/>
            <w:sz w:val="18"/>
            <w:szCs w:val="18"/>
            <w:lang w:val="en"/>
          </w:rPr>
          <w:t>http://www.equiposylaboratorio.com/sitio/contenidos_mo.php?it=2756</w:t>
        </w:r>
      </w:hyperlink>
      <w:r w:rsidRPr="0087236D">
        <w:rPr>
          <w:rFonts w:ascii="Arial" w:hAnsi="Arial" w:cs="Arial"/>
          <w:sz w:val="18"/>
          <w:szCs w:val="18"/>
          <w:lang w:val="en"/>
        </w:rPr>
        <w:t>.</w:t>
      </w:r>
    </w:p>
  </w:footnote>
  <w:footnote w:id="5">
    <w:p w14:paraId="139C8A58" w14:textId="77777777" w:rsidR="00810CDB" w:rsidRPr="0087236D" w:rsidRDefault="00810CDB" w:rsidP="00810CDB">
      <w:pPr>
        <w:pStyle w:val="FootnoteText"/>
        <w:spacing w:after="0"/>
        <w:ind w:left="180" w:hanging="180"/>
        <w:rPr>
          <w:rFonts w:ascii="Arial" w:hAnsi="Arial" w:cs="Arial"/>
          <w:sz w:val="18"/>
          <w:szCs w:val="18"/>
          <w:lang w:val="en-US"/>
        </w:rPr>
      </w:pPr>
      <w:r w:rsidRPr="0087236D">
        <w:rPr>
          <w:rFonts w:ascii="Arial" w:hAnsi="Arial" w:cs="Arial"/>
          <w:sz w:val="18"/>
          <w:szCs w:val="18"/>
          <w:vertAlign w:val="superscript"/>
          <w:lang w:val="en-US"/>
        </w:rPr>
        <w:footnoteRef/>
      </w:r>
      <w:r w:rsidRPr="0087236D">
        <w:rPr>
          <w:rFonts w:ascii="Arial" w:hAnsi="Arial" w:cs="Arial"/>
          <w:sz w:val="18"/>
          <w:szCs w:val="18"/>
          <w:lang w:val="en-US"/>
        </w:rPr>
        <w:t xml:space="preserve"> </w:t>
      </w:r>
      <w:r w:rsidRPr="0087236D">
        <w:rPr>
          <w:rFonts w:ascii="Arial" w:hAnsi="Arial" w:cs="Arial"/>
          <w:sz w:val="18"/>
          <w:szCs w:val="18"/>
          <w:lang w:val="en-US"/>
        </w:rPr>
        <w:tab/>
      </w:r>
      <w:hyperlink r:id="rId3" w:history="1">
        <w:r w:rsidRPr="0087236D">
          <w:rPr>
            <w:rStyle w:val="Hyperlink"/>
            <w:rFonts w:ascii="Arial" w:hAnsi="Arial" w:cs="Arial"/>
            <w:sz w:val="18"/>
            <w:szCs w:val="18"/>
            <w:lang w:val="en-US"/>
          </w:rPr>
          <w:t>http://www.energiaestrategica.com/biomasa-biogas-las-tecnologias-rezagadas-esta-primera-licitacion-del-programa-renovar/</w:t>
        </w:r>
      </w:hyperlink>
      <w:r w:rsidRPr="0087236D">
        <w:rPr>
          <w:rFonts w:ascii="Arial" w:hAnsi="Arial" w:cs="Arial"/>
          <w:sz w:val="18"/>
          <w:szCs w:val="18"/>
          <w:lang w:val="en-US"/>
        </w:rPr>
        <w:t>.</w:t>
      </w:r>
    </w:p>
  </w:footnote>
  <w:footnote w:id="6">
    <w:p w14:paraId="77741ED8" w14:textId="77777777" w:rsidR="00810CDB" w:rsidRPr="0087236D" w:rsidRDefault="00810CDB" w:rsidP="00810CDB">
      <w:pPr>
        <w:pStyle w:val="FootnoteText"/>
        <w:spacing w:after="0"/>
        <w:ind w:left="180" w:hanging="180"/>
        <w:rPr>
          <w:rFonts w:ascii="Arial" w:hAnsi="Arial" w:cs="Arial"/>
          <w:sz w:val="18"/>
          <w:szCs w:val="18"/>
          <w:lang w:val="en-US"/>
        </w:rPr>
      </w:pPr>
      <w:r w:rsidRPr="0087236D">
        <w:rPr>
          <w:rFonts w:ascii="Arial" w:hAnsi="Arial" w:cs="Arial"/>
          <w:sz w:val="18"/>
          <w:szCs w:val="18"/>
          <w:vertAlign w:val="superscript"/>
          <w:lang w:val="en-US"/>
        </w:rPr>
        <w:footnoteRef/>
      </w:r>
      <w:r w:rsidRPr="0087236D">
        <w:rPr>
          <w:rFonts w:ascii="Arial" w:hAnsi="Arial" w:cs="Arial"/>
          <w:sz w:val="18"/>
          <w:szCs w:val="18"/>
          <w:lang w:val="en-US"/>
        </w:rPr>
        <w:t xml:space="preserve"> </w:t>
      </w:r>
      <w:r w:rsidRPr="0087236D">
        <w:rPr>
          <w:rFonts w:ascii="Arial" w:hAnsi="Arial" w:cs="Arial"/>
          <w:sz w:val="18"/>
          <w:szCs w:val="18"/>
          <w:lang w:val="en-US"/>
        </w:rPr>
        <w:tab/>
      </w:r>
      <w:hyperlink r:id="rId4" w:history="1">
        <w:r w:rsidRPr="0087236D">
          <w:rPr>
            <w:rStyle w:val="Hyperlink"/>
            <w:rFonts w:ascii="Arial" w:hAnsi="Arial" w:cs="Arial"/>
            <w:sz w:val="18"/>
            <w:szCs w:val="18"/>
            <w:lang w:val="en-US"/>
          </w:rPr>
          <w:t>http://www.clarin.com/rural/ganaderia/produccion-porcina-alcanzo-maximo-historico_0_EkXKTcaix.html</w:t>
        </w:r>
      </w:hyperlink>
      <w:r w:rsidRPr="0087236D">
        <w:rPr>
          <w:rFonts w:ascii="Arial" w:hAnsi="Arial" w:cs="Arial"/>
          <w:sz w:val="18"/>
          <w:szCs w:val="18"/>
          <w:lang w:val="en-US"/>
        </w:rPr>
        <w:t>.</w:t>
      </w:r>
    </w:p>
  </w:footnote>
  <w:footnote w:id="7">
    <w:p w14:paraId="3CD02C3F" w14:textId="77777777" w:rsidR="00810CDB" w:rsidRPr="0087236D" w:rsidRDefault="00810CDB" w:rsidP="00810CDB">
      <w:pPr>
        <w:pStyle w:val="FootnoteText"/>
        <w:spacing w:after="0"/>
        <w:ind w:left="180" w:hanging="180"/>
        <w:rPr>
          <w:rFonts w:ascii="Arial" w:hAnsi="Arial" w:cs="Arial"/>
          <w:sz w:val="18"/>
          <w:szCs w:val="18"/>
          <w:lang w:val="en-US"/>
        </w:rPr>
      </w:pPr>
      <w:r w:rsidRPr="0087236D">
        <w:rPr>
          <w:rFonts w:ascii="Arial" w:hAnsi="Arial" w:cs="Arial"/>
          <w:sz w:val="18"/>
          <w:szCs w:val="18"/>
          <w:vertAlign w:val="superscript"/>
          <w:lang w:val="en-US"/>
        </w:rPr>
        <w:footnoteRef/>
      </w:r>
      <w:r w:rsidRPr="0087236D">
        <w:rPr>
          <w:rFonts w:ascii="Arial" w:hAnsi="Arial" w:cs="Arial"/>
          <w:sz w:val="18"/>
          <w:szCs w:val="18"/>
          <w:vertAlign w:val="superscript"/>
          <w:lang w:val="en-US"/>
        </w:rPr>
        <w:t xml:space="preserve"> </w:t>
      </w:r>
      <w:r w:rsidRPr="0087236D">
        <w:rPr>
          <w:rFonts w:ascii="Arial" w:hAnsi="Arial" w:cs="Arial"/>
          <w:sz w:val="18"/>
          <w:szCs w:val="18"/>
          <w:lang w:val="en-US"/>
        </w:rPr>
        <w:tab/>
      </w:r>
      <w:hyperlink r:id="rId5" w:history="1">
        <w:r w:rsidRPr="0087236D">
          <w:rPr>
            <w:rStyle w:val="Hyperlink"/>
            <w:rFonts w:ascii="Arial" w:hAnsi="Arial" w:cs="Arial"/>
            <w:sz w:val="18"/>
            <w:szCs w:val="18"/>
            <w:lang w:val="en-US"/>
          </w:rPr>
          <w:t>http://www.senasa.gov.ar/cadena-animal/porcinos</w:t>
        </w:r>
      </w:hyperlink>
      <w:r w:rsidRPr="0087236D">
        <w:rPr>
          <w:rFonts w:ascii="Arial" w:hAnsi="Arial" w:cs="Arial"/>
          <w:sz w:val="18"/>
          <w:szCs w:val="18"/>
          <w:lang w:val="en-US"/>
        </w:rPr>
        <w:t>.</w:t>
      </w:r>
    </w:p>
  </w:footnote>
  <w:footnote w:id="8">
    <w:p w14:paraId="193E3665" w14:textId="77777777" w:rsidR="00810CDB" w:rsidRPr="0087236D" w:rsidRDefault="00810CDB" w:rsidP="00192CC2">
      <w:pPr>
        <w:pStyle w:val="FootnoteText"/>
        <w:spacing w:after="0"/>
        <w:jc w:val="left"/>
        <w:rPr>
          <w:rFonts w:ascii="Arial" w:hAnsi="Arial" w:cs="Arial"/>
          <w:sz w:val="18"/>
          <w:szCs w:val="18"/>
          <w:lang w:val="en-US"/>
        </w:rPr>
      </w:pPr>
      <w:r w:rsidRPr="0087236D">
        <w:rPr>
          <w:rStyle w:val="FootnoteReference"/>
          <w:rFonts w:ascii="Arial" w:hAnsi="Arial" w:cs="Arial"/>
          <w:sz w:val="18"/>
          <w:szCs w:val="18"/>
          <w:lang w:val="en"/>
        </w:rPr>
        <w:footnoteRef/>
      </w:r>
      <w:r w:rsidRPr="0087236D">
        <w:rPr>
          <w:rFonts w:ascii="Arial" w:hAnsi="Arial" w:cs="Arial"/>
          <w:sz w:val="18"/>
          <w:szCs w:val="18"/>
          <w:lang w:val="en"/>
        </w:rPr>
        <w:t xml:space="preserve"> Data provided by suppliers</w:t>
      </w:r>
      <w:r w:rsidR="006D6077" w:rsidRPr="0087236D">
        <w:rPr>
          <w:rFonts w:ascii="Arial" w:hAnsi="Arial" w:cs="Arial"/>
          <w:sz w:val="18"/>
          <w:szCs w:val="18"/>
          <w:lang w:val="en"/>
        </w:rPr>
        <w:t>.</w:t>
      </w:r>
    </w:p>
  </w:footnote>
  <w:footnote w:id="9">
    <w:p w14:paraId="02B97B70" w14:textId="77777777" w:rsidR="00810CDB" w:rsidRPr="0087236D" w:rsidRDefault="00810CDB" w:rsidP="006D6077">
      <w:pPr>
        <w:pStyle w:val="Default"/>
        <w:tabs>
          <w:tab w:val="left" w:pos="180"/>
        </w:tabs>
        <w:ind w:left="180" w:hanging="180"/>
        <w:jc w:val="both"/>
        <w:rPr>
          <w:sz w:val="18"/>
          <w:szCs w:val="18"/>
        </w:rPr>
      </w:pPr>
      <w:r w:rsidRPr="0087236D">
        <w:rPr>
          <w:rStyle w:val="FootnoteReference"/>
          <w:rFonts w:ascii="Arial" w:hAnsi="Arial"/>
          <w:sz w:val="18"/>
          <w:szCs w:val="18"/>
        </w:rPr>
        <w:footnoteRef/>
      </w:r>
      <w:r w:rsidR="006D6077" w:rsidRPr="008475A1">
        <w:rPr>
          <w:sz w:val="18"/>
          <w:szCs w:val="18"/>
        </w:rPr>
        <w:tab/>
      </w:r>
      <w:r w:rsidRPr="0087236D">
        <w:rPr>
          <w:sz w:val="18"/>
          <w:szCs w:val="18"/>
        </w:rPr>
        <w:t xml:space="preserve">Please see the following reports on the availability of agricultural waste sources in different regions and provinces in Argentina. German-Argentinean Chamber of Commerce (2015). </w:t>
      </w:r>
      <w:hyperlink r:id="rId6" w:history="1">
        <w:r w:rsidRPr="0087236D">
          <w:rPr>
            <w:rStyle w:val="Hyperlink"/>
            <w:sz w:val="18"/>
            <w:szCs w:val="18"/>
          </w:rPr>
          <w:t>Zielmarktanalyse Argentinien 2015 - Biomasse und Biogas mit Profilen der Marktakteure</w:t>
        </w:r>
      </w:hyperlink>
      <w:r w:rsidRPr="0087236D">
        <w:rPr>
          <w:sz w:val="18"/>
          <w:szCs w:val="18"/>
        </w:rPr>
        <w:t xml:space="preserve"> (page 48), Argentinean Ministry of Energy and Mines (2009) </w:t>
      </w:r>
      <w:hyperlink r:id="rId7" w:history="1">
        <w:r w:rsidRPr="0087236D">
          <w:rPr>
            <w:rStyle w:val="Hyperlink"/>
            <w:sz w:val="18"/>
            <w:szCs w:val="18"/>
          </w:rPr>
          <w:t>Analysis of the Energy Balance derived from biomass energy in Argentina [</w:t>
        </w:r>
        <w:r w:rsidRPr="00340346">
          <w:rPr>
            <w:rStyle w:val="Hyperlink"/>
            <w:i/>
            <w:sz w:val="18"/>
            <w:szCs w:val="18"/>
          </w:rPr>
          <w:t>An</w:t>
        </w:r>
        <w:r w:rsidR="00340346" w:rsidRPr="00340346">
          <w:rPr>
            <w:rStyle w:val="Hyperlink"/>
            <w:i/>
            <w:sz w:val="18"/>
            <w:szCs w:val="18"/>
          </w:rPr>
          <w:t>á</w:t>
        </w:r>
        <w:r w:rsidRPr="00340346">
          <w:rPr>
            <w:rStyle w:val="Hyperlink"/>
            <w:i/>
            <w:sz w:val="18"/>
            <w:szCs w:val="18"/>
          </w:rPr>
          <w:t>lisis del Balance de Energia</w:t>
        </w:r>
        <w:r w:rsidR="006D6077" w:rsidRPr="00340346">
          <w:rPr>
            <w:rStyle w:val="Hyperlink"/>
            <w:i/>
            <w:sz w:val="18"/>
            <w:szCs w:val="18"/>
          </w:rPr>
          <w:t>.</w:t>
        </w:r>
        <w:r w:rsidRPr="00340346">
          <w:rPr>
            <w:rStyle w:val="Hyperlink"/>
            <w:i/>
            <w:sz w:val="18"/>
            <w:szCs w:val="18"/>
          </w:rPr>
          <w:t xml:space="preserve"> derivada de Biomasa en Argentina</w:t>
        </w:r>
        <w:r w:rsidRPr="0087236D">
          <w:rPr>
            <w:rStyle w:val="Hyperlink"/>
            <w:sz w:val="18"/>
            <w:szCs w:val="18"/>
          </w:rPr>
          <w:t>]</w:t>
        </w:r>
      </w:hyperlink>
      <w:r w:rsidRPr="0087236D">
        <w:rPr>
          <w:sz w:val="18"/>
          <w:szCs w:val="18"/>
        </w:rPr>
        <w:t xml:space="preserve"> FAO (2016) </w:t>
      </w:r>
      <w:hyperlink r:id="rId8" w:history="1">
        <w:r w:rsidRPr="0087236D">
          <w:rPr>
            <w:rStyle w:val="Hyperlink"/>
            <w:sz w:val="18"/>
            <w:szCs w:val="18"/>
          </w:rPr>
          <w:t>Spacial analysis of the energy balance derived from biomass for the Argentinean province of Salta [</w:t>
        </w:r>
        <w:r w:rsidRPr="00340346">
          <w:rPr>
            <w:rStyle w:val="Hyperlink"/>
            <w:i/>
            <w:sz w:val="18"/>
            <w:szCs w:val="18"/>
          </w:rPr>
          <w:t>Análisis espacial del balance energético derivado de biomasa</w:t>
        </w:r>
        <w:r w:rsidRPr="0087236D">
          <w:rPr>
            <w:rStyle w:val="Hyperlink"/>
            <w:sz w:val="18"/>
            <w:szCs w:val="18"/>
          </w:rPr>
          <w:t xml:space="preserve">]. </w:t>
        </w:r>
      </w:hyperlink>
      <w:r w:rsidRPr="0087236D">
        <w:rPr>
          <w:sz w:val="18"/>
          <w:szCs w:val="18"/>
        </w:rPr>
        <w:t xml:space="preserve"> </w:t>
      </w:r>
    </w:p>
  </w:footnote>
  <w:footnote w:id="10">
    <w:p w14:paraId="20C13AC0" w14:textId="77777777" w:rsidR="00810CDB" w:rsidRPr="001322F5" w:rsidRDefault="00810CDB" w:rsidP="0087236D">
      <w:pPr>
        <w:pStyle w:val="FootnoteText"/>
        <w:spacing w:after="0"/>
        <w:rPr>
          <w:rFonts w:ascii="Arial" w:hAnsi="Arial" w:cs="Arial"/>
          <w:szCs w:val="18"/>
          <w:lang w:val="en-US"/>
        </w:rPr>
      </w:pPr>
      <w:r w:rsidRPr="0087236D">
        <w:rPr>
          <w:rStyle w:val="FootnoteReference"/>
          <w:rFonts w:ascii="Arial" w:hAnsi="Arial" w:cs="Arial"/>
          <w:sz w:val="18"/>
          <w:szCs w:val="18"/>
          <w:lang w:val="en"/>
        </w:rPr>
        <w:footnoteRef/>
      </w:r>
      <w:r w:rsidR="0087236D" w:rsidRPr="0087236D">
        <w:rPr>
          <w:rFonts w:ascii="Arial" w:hAnsi="Arial" w:cs="Arial"/>
          <w:sz w:val="18"/>
          <w:szCs w:val="18"/>
          <w:lang w:val="en-US"/>
        </w:rPr>
        <w:tab/>
      </w:r>
      <w:r w:rsidRPr="0087236D">
        <w:rPr>
          <w:rFonts w:ascii="Arial" w:hAnsi="Arial" w:cs="Arial"/>
          <w:sz w:val="18"/>
          <w:szCs w:val="18"/>
          <w:lang w:val="en"/>
        </w:rPr>
        <w:t>The line is based on a total financing amount of US</w:t>
      </w:r>
      <w:r w:rsidR="0049762E">
        <w:rPr>
          <w:rFonts w:ascii="Arial" w:hAnsi="Arial" w:cs="Arial"/>
          <w:sz w:val="18"/>
          <w:szCs w:val="18"/>
          <w:lang w:val="en"/>
        </w:rPr>
        <w:t>$</w:t>
      </w:r>
      <w:r w:rsidRPr="0087236D">
        <w:rPr>
          <w:rFonts w:ascii="Arial" w:hAnsi="Arial" w:cs="Arial"/>
          <w:sz w:val="18"/>
          <w:szCs w:val="18"/>
          <w:lang w:val="en"/>
        </w:rPr>
        <w:t>160 million and additional counterpart funds amounting to 30% capital from investors (companies). Financing resources may be a combination of international resources and co-financing from BICE.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9940523"/>
      <w:docPartObj>
        <w:docPartGallery w:val="Page Numbers (Top of Page)"/>
        <w:docPartUnique/>
      </w:docPartObj>
    </w:sdtPr>
    <w:sdtEndPr>
      <w:rPr>
        <w:noProof/>
      </w:rPr>
    </w:sdtEndPr>
    <w:sdtContent>
      <w:p w14:paraId="18FDE116" w14:textId="4F5E4C50" w:rsidR="00810CDB" w:rsidRDefault="00810CDB" w:rsidP="00C80112">
        <w:pPr>
          <w:pStyle w:val="Header"/>
          <w:jc w:val="center"/>
        </w:pPr>
        <w:r>
          <w:t xml:space="preserve">- </w:t>
        </w:r>
        <w:r>
          <w:fldChar w:fldCharType="begin"/>
        </w:r>
        <w:r>
          <w:instrText xml:space="preserve"> PAGE   \* MERGEFORMAT </w:instrText>
        </w:r>
        <w:r>
          <w:fldChar w:fldCharType="separate"/>
        </w:r>
        <w:r w:rsidR="00BD21C6">
          <w:rPr>
            <w:noProof/>
          </w:rPr>
          <w:t>2</w:t>
        </w:r>
        <w:r>
          <w:rPr>
            <w:noProof/>
          </w:rPr>
          <w:fldChar w:fldCharType="end"/>
        </w:r>
        <w:r>
          <w:rPr>
            <w:noProof/>
          </w:rPr>
          <w:t xml:space="preserve">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92378"/>
    <w:multiLevelType w:val="multilevel"/>
    <w:tmpl w:val="EB92DB2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15:restartNumberingAfterBreak="0">
    <w:nsid w:val="07740EB2"/>
    <w:multiLevelType w:val="hybridMultilevel"/>
    <w:tmpl w:val="D0BC46E4"/>
    <w:lvl w:ilvl="0" w:tplc="BF3879C0">
      <w:start w:val="1"/>
      <w:numFmt w:val="decimal"/>
      <w:lvlText w:val="%1."/>
      <w:lvlJc w:val="left"/>
      <w:pPr>
        <w:ind w:left="720" w:hanging="360"/>
      </w:pPr>
      <w:rPr>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61FA3"/>
    <w:multiLevelType w:val="multilevel"/>
    <w:tmpl w:val="70225256"/>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3" w15:restartNumberingAfterBreak="0">
    <w:nsid w:val="0DAB7FC9"/>
    <w:multiLevelType w:val="multilevel"/>
    <w:tmpl w:val="F1223A46"/>
    <w:lvl w:ilvl="0">
      <w:start w:val="1"/>
      <w:numFmt w:val="upperRoman"/>
      <w:lvlText w:val="%1."/>
      <w:lvlJc w:val="center"/>
      <w:pPr>
        <w:tabs>
          <w:tab w:val="num" w:pos="648"/>
        </w:tabs>
        <w:ind w:firstLine="288"/>
      </w:pPr>
      <w:rPr>
        <w:rFonts w:cs="Times New Roman" w:hint="default"/>
        <w:b/>
        <w:bCs/>
        <w:i w:val="0"/>
        <w:iCs w:val="0"/>
      </w:rPr>
    </w:lvl>
    <w:lvl w:ilvl="1">
      <w:start w:val="1"/>
      <w:numFmt w:val="decimal"/>
      <w:isLgl/>
      <w:lvlText w:val="%1.%2"/>
      <w:lvlJc w:val="left"/>
      <w:pPr>
        <w:tabs>
          <w:tab w:val="num" w:pos="720"/>
        </w:tabs>
        <w:ind w:left="720" w:hanging="720"/>
      </w:pPr>
      <w:rPr>
        <w:rFonts w:cs="Times New Roman" w:hint="default"/>
        <w:color w:val="auto"/>
      </w:rPr>
    </w:lvl>
    <w:lvl w:ilvl="2">
      <w:start w:val="1"/>
      <w:numFmt w:val="lowerLetter"/>
      <w:lvlText w:val="%3."/>
      <w:lvlJc w:val="left"/>
      <w:pPr>
        <w:tabs>
          <w:tab w:val="num" w:pos="1152"/>
        </w:tabs>
        <w:ind w:left="1152" w:hanging="432"/>
      </w:pPr>
      <w:rPr>
        <w:rFonts w:cs="Times New Roman" w:hint="default"/>
      </w:rPr>
    </w:lvl>
    <w:lvl w:ilvl="3">
      <w:start w:val="1"/>
      <w:numFmt w:val="lowerRoman"/>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4" w15:restartNumberingAfterBreak="0">
    <w:nsid w:val="0EF90917"/>
    <w:multiLevelType w:val="hybridMultilevel"/>
    <w:tmpl w:val="B24A32A6"/>
    <w:lvl w:ilvl="0" w:tplc="7CD6AA2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C00E3C"/>
    <w:multiLevelType w:val="multilevel"/>
    <w:tmpl w:val="D012EF2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77F2B92"/>
    <w:multiLevelType w:val="hybridMultilevel"/>
    <w:tmpl w:val="8DE88BAA"/>
    <w:lvl w:ilvl="0" w:tplc="62AE0F6E">
      <w:start w:val="1"/>
      <w:numFmt w:val="bullet"/>
      <w:lvlText w:val=""/>
      <w:lvlJc w:val="left"/>
      <w:pPr>
        <w:tabs>
          <w:tab w:val="num" w:pos="720"/>
        </w:tabs>
        <w:ind w:left="720" w:hanging="360"/>
      </w:pPr>
      <w:rPr>
        <w:rFonts w:ascii="Symbol" w:hAnsi="Symbol" w:hint="default"/>
      </w:rPr>
    </w:lvl>
    <w:lvl w:ilvl="1" w:tplc="2C3C4D1E" w:tentative="1">
      <w:start w:val="1"/>
      <w:numFmt w:val="bullet"/>
      <w:lvlText w:val=""/>
      <w:lvlJc w:val="left"/>
      <w:pPr>
        <w:tabs>
          <w:tab w:val="num" w:pos="1440"/>
        </w:tabs>
        <w:ind w:left="1440" w:hanging="360"/>
      </w:pPr>
      <w:rPr>
        <w:rFonts w:ascii="Symbol" w:hAnsi="Symbol" w:hint="default"/>
      </w:rPr>
    </w:lvl>
    <w:lvl w:ilvl="2" w:tplc="0D444F8A" w:tentative="1">
      <w:start w:val="1"/>
      <w:numFmt w:val="bullet"/>
      <w:lvlText w:val=""/>
      <w:lvlJc w:val="left"/>
      <w:pPr>
        <w:tabs>
          <w:tab w:val="num" w:pos="2160"/>
        </w:tabs>
        <w:ind w:left="2160" w:hanging="360"/>
      </w:pPr>
      <w:rPr>
        <w:rFonts w:ascii="Symbol" w:hAnsi="Symbol" w:hint="default"/>
      </w:rPr>
    </w:lvl>
    <w:lvl w:ilvl="3" w:tplc="F7484130" w:tentative="1">
      <w:start w:val="1"/>
      <w:numFmt w:val="bullet"/>
      <w:lvlText w:val=""/>
      <w:lvlJc w:val="left"/>
      <w:pPr>
        <w:tabs>
          <w:tab w:val="num" w:pos="2880"/>
        </w:tabs>
        <w:ind w:left="2880" w:hanging="360"/>
      </w:pPr>
      <w:rPr>
        <w:rFonts w:ascii="Symbol" w:hAnsi="Symbol" w:hint="default"/>
      </w:rPr>
    </w:lvl>
    <w:lvl w:ilvl="4" w:tplc="281AEC6E" w:tentative="1">
      <w:start w:val="1"/>
      <w:numFmt w:val="bullet"/>
      <w:lvlText w:val=""/>
      <w:lvlJc w:val="left"/>
      <w:pPr>
        <w:tabs>
          <w:tab w:val="num" w:pos="3600"/>
        </w:tabs>
        <w:ind w:left="3600" w:hanging="360"/>
      </w:pPr>
      <w:rPr>
        <w:rFonts w:ascii="Symbol" w:hAnsi="Symbol" w:hint="default"/>
      </w:rPr>
    </w:lvl>
    <w:lvl w:ilvl="5" w:tplc="CD62C124" w:tentative="1">
      <w:start w:val="1"/>
      <w:numFmt w:val="bullet"/>
      <w:lvlText w:val=""/>
      <w:lvlJc w:val="left"/>
      <w:pPr>
        <w:tabs>
          <w:tab w:val="num" w:pos="4320"/>
        </w:tabs>
        <w:ind w:left="4320" w:hanging="360"/>
      </w:pPr>
      <w:rPr>
        <w:rFonts w:ascii="Symbol" w:hAnsi="Symbol" w:hint="default"/>
      </w:rPr>
    </w:lvl>
    <w:lvl w:ilvl="6" w:tplc="1A5EC6EC" w:tentative="1">
      <w:start w:val="1"/>
      <w:numFmt w:val="bullet"/>
      <w:lvlText w:val=""/>
      <w:lvlJc w:val="left"/>
      <w:pPr>
        <w:tabs>
          <w:tab w:val="num" w:pos="5040"/>
        </w:tabs>
        <w:ind w:left="5040" w:hanging="360"/>
      </w:pPr>
      <w:rPr>
        <w:rFonts w:ascii="Symbol" w:hAnsi="Symbol" w:hint="default"/>
      </w:rPr>
    </w:lvl>
    <w:lvl w:ilvl="7" w:tplc="CD4A175A" w:tentative="1">
      <w:start w:val="1"/>
      <w:numFmt w:val="bullet"/>
      <w:lvlText w:val=""/>
      <w:lvlJc w:val="left"/>
      <w:pPr>
        <w:tabs>
          <w:tab w:val="num" w:pos="5760"/>
        </w:tabs>
        <w:ind w:left="5760" w:hanging="360"/>
      </w:pPr>
      <w:rPr>
        <w:rFonts w:ascii="Symbol" w:hAnsi="Symbol" w:hint="default"/>
      </w:rPr>
    </w:lvl>
    <w:lvl w:ilvl="8" w:tplc="46EC420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327541E"/>
    <w:multiLevelType w:val="hybridMultilevel"/>
    <w:tmpl w:val="795C641A"/>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8" w15:restartNumberingAfterBreak="0">
    <w:nsid w:val="23B21BC8"/>
    <w:multiLevelType w:val="multilevel"/>
    <w:tmpl w:val="442CDF1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9" w15:restartNumberingAfterBreak="0">
    <w:nsid w:val="25D52093"/>
    <w:multiLevelType w:val="hybridMultilevel"/>
    <w:tmpl w:val="120499F4"/>
    <w:lvl w:ilvl="0" w:tplc="63DA1F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B8780D"/>
    <w:multiLevelType w:val="hybridMultilevel"/>
    <w:tmpl w:val="A5B6B3DC"/>
    <w:lvl w:ilvl="0" w:tplc="7CD6AA2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03293"/>
    <w:multiLevelType w:val="multilevel"/>
    <w:tmpl w:val="DAFC6D98"/>
    <w:lvl w:ilvl="0">
      <w:start w:val="1"/>
      <w:numFmt w:val="lowerRoman"/>
      <w:lvlText w:val="%1."/>
      <w:lvlJc w:val="right"/>
      <w:pPr>
        <w:ind w:left="144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520" w:hanging="1440"/>
      </w:pPr>
      <w:rPr>
        <w:rFonts w:hint="default"/>
      </w:rPr>
    </w:lvl>
    <w:lvl w:ilvl="8">
      <w:start w:val="1"/>
      <w:numFmt w:val="decimal"/>
      <w:lvlText w:val="%1.%2.%3.%4.%5.%6.%7.%8.%9"/>
      <w:lvlJc w:val="left"/>
      <w:pPr>
        <w:ind w:left="2880" w:hanging="1800"/>
      </w:pPr>
      <w:rPr>
        <w:rFonts w:hint="default"/>
      </w:rPr>
    </w:lvl>
  </w:abstractNum>
  <w:abstractNum w:abstractNumId="12" w15:restartNumberingAfterBreak="0">
    <w:nsid w:val="2DBD798F"/>
    <w:multiLevelType w:val="multilevel"/>
    <w:tmpl w:val="D492A2F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314850B4"/>
    <w:multiLevelType w:val="multilevel"/>
    <w:tmpl w:val="91BA0D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1E6C30"/>
    <w:multiLevelType w:val="hybridMultilevel"/>
    <w:tmpl w:val="9C9ED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623A7E"/>
    <w:multiLevelType w:val="hybridMultilevel"/>
    <w:tmpl w:val="86EA5B86"/>
    <w:lvl w:ilvl="0" w:tplc="7CD6AA2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998310D"/>
    <w:multiLevelType w:val="hybridMultilevel"/>
    <w:tmpl w:val="E416B046"/>
    <w:lvl w:ilvl="0" w:tplc="BE1482AE">
      <w:numFmt w:val="bullet"/>
      <w:lvlText w:val="-"/>
      <w:lvlJc w:val="left"/>
      <w:pPr>
        <w:ind w:left="720" w:hanging="360"/>
      </w:pPr>
      <w:rPr>
        <w:rFonts w:ascii="Calibri" w:eastAsia="MS ??"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61E3812"/>
    <w:multiLevelType w:val="multilevel"/>
    <w:tmpl w:val="356859F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8C3135C"/>
    <w:multiLevelType w:val="hybridMultilevel"/>
    <w:tmpl w:val="A8B23BFA"/>
    <w:lvl w:ilvl="0" w:tplc="E53CCEA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8772D8"/>
    <w:multiLevelType w:val="hybridMultilevel"/>
    <w:tmpl w:val="27684504"/>
    <w:lvl w:ilvl="0" w:tplc="7CD6AA2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6703CD"/>
    <w:multiLevelType w:val="multilevel"/>
    <w:tmpl w:val="8598953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022770E"/>
    <w:multiLevelType w:val="multilevel"/>
    <w:tmpl w:val="399EBF70"/>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504E0D56"/>
    <w:multiLevelType w:val="hybridMultilevel"/>
    <w:tmpl w:val="C080820A"/>
    <w:lvl w:ilvl="0" w:tplc="7CD6AA2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29B535F"/>
    <w:multiLevelType w:val="multilevel"/>
    <w:tmpl w:val="B5484000"/>
    <w:lvl w:ilvl="0">
      <w:start w:val="1"/>
      <w:numFmt w:val="upperRoman"/>
      <w:lvlRestart w:val="0"/>
      <w:lvlText w:val="%1."/>
      <w:lvlJc w:val="center"/>
      <w:pPr>
        <w:tabs>
          <w:tab w:val="num" w:pos="1656"/>
        </w:tabs>
        <w:ind w:left="1008" w:firstLine="288"/>
      </w:pPr>
      <w:rPr>
        <w:b/>
        <w:i w:val="0"/>
      </w:rPr>
    </w:lvl>
    <w:lvl w:ilvl="1">
      <w:start w:val="1"/>
      <w:numFmt w:val="decimal"/>
      <w:isLgl/>
      <w:lvlText w:val="%1.%2"/>
      <w:lvlJc w:val="left"/>
      <w:pPr>
        <w:tabs>
          <w:tab w:val="num" w:pos="2304"/>
        </w:tabs>
        <w:ind w:left="2304" w:hanging="1296"/>
      </w:pPr>
    </w:lvl>
    <w:lvl w:ilvl="2">
      <w:start w:val="1"/>
      <w:numFmt w:val="lowerLetter"/>
      <w:lvlText w:val="%3."/>
      <w:lvlJc w:val="left"/>
      <w:pPr>
        <w:tabs>
          <w:tab w:val="num" w:pos="2160"/>
        </w:tabs>
        <w:ind w:left="2160" w:hanging="432"/>
      </w:pPr>
    </w:lvl>
    <w:lvl w:ilvl="3">
      <w:start w:val="1"/>
      <w:numFmt w:val="decimal"/>
      <w:lvlText w:val="%1.%2.%3.%4"/>
      <w:lvlJc w:val="left"/>
      <w:pPr>
        <w:ind w:left="1872" w:hanging="864"/>
      </w:pPr>
    </w:lvl>
    <w:lvl w:ilvl="4">
      <w:start w:val="1"/>
      <w:numFmt w:val="decimal"/>
      <w:lvlText w:val="%1.%2.%3.%4.%5"/>
      <w:lvlJc w:val="left"/>
      <w:pPr>
        <w:ind w:left="2016" w:hanging="1008"/>
      </w:pPr>
    </w:lvl>
    <w:lvl w:ilvl="5">
      <w:start w:val="1"/>
      <w:numFmt w:val="decimal"/>
      <w:lvlText w:val="%1.%2.%3.%4.%5.%6"/>
      <w:lvlJc w:val="left"/>
      <w:pPr>
        <w:ind w:left="2160" w:hanging="1152"/>
      </w:pPr>
    </w:lvl>
    <w:lvl w:ilvl="6">
      <w:start w:val="1"/>
      <w:numFmt w:val="decimal"/>
      <w:lvlText w:val="%1.%2.%3.%4.%5.%6.%7"/>
      <w:lvlJc w:val="left"/>
      <w:pPr>
        <w:ind w:left="2304" w:hanging="1296"/>
      </w:pPr>
    </w:lvl>
    <w:lvl w:ilvl="7">
      <w:start w:val="1"/>
      <w:numFmt w:val="decimal"/>
      <w:lvlText w:val="%1.%2.%3.%4.%5.%6.%7.%8"/>
      <w:lvlJc w:val="left"/>
      <w:pPr>
        <w:ind w:left="2448" w:hanging="1440"/>
      </w:pPr>
    </w:lvl>
    <w:lvl w:ilvl="8">
      <w:start w:val="1"/>
      <w:numFmt w:val="decimal"/>
      <w:lvlText w:val="%1.%2.%3.%4.%5.%6.%7.%8.%9"/>
      <w:lvlJc w:val="left"/>
      <w:pPr>
        <w:ind w:left="2592" w:hanging="1584"/>
      </w:pPr>
    </w:lvl>
  </w:abstractNum>
  <w:abstractNum w:abstractNumId="24" w15:restartNumberingAfterBreak="0">
    <w:nsid w:val="56CF1E8E"/>
    <w:multiLevelType w:val="hybridMultilevel"/>
    <w:tmpl w:val="7C043F04"/>
    <w:lvl w:ilvl="0" w:tplc="3D30E8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DE3A61"/>
    <w:multiLevelType w:val="multilevel"/>
    <w:tmpl w:val="DB90D4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6B1B56"/>
    <w:multiLevelType w:val="hybridMultilevel"/>
    <w:tmpl w:val="AC20F27C"/>
    <w:lvl w:ilvl="0" w:tplc="63DA1F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E90843"/>
    <w:multiLevelType w:val="multilevel"/>
    <w:tmpl w:val="A350D5E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603D5365"/>
    <w:multiLevelType w:val="multilevel"/>
    <w:tmpl w:val="63AC29A2"/>
    <w:lvl w:ilvl="0">
      <w:start w:val="2"/>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val="0"/>
        <w:i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0EA3385"/>
    <w:multiLevelType w:val="hybridMultilevel"/>
    <w:tmpl w:val="7C205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A82735"/>
    <w:multiLevelType w:val="multilevel"/>
    <w:tmpl w:val="9D2E95E8"/>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1" w15:restartNumberingAfterBreak="0">
    <w:nsid w:val="65A2569B"/>
    <w:multiLevelType w:val="multilevel"/>
    <w:tmpl w:val="6D32921C"/>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67D11192"/>
    <w:multiLevelType w:val="hybridMultilevel"/>
    <w:tmpl w:val="C16AB410"/>
    <w:lvl w:ilvl="0" w:tplc="63DA1F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C179EF"/>
    <w:multiLevelType w:val="hybridMultilevel"/>
    <w:tmpl w:val="3670F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2C49DA"/>
    <w:multiLevelType w:val="hybridMultilevel"/>
    <w:tmpl w:val="DECCB988"/>
    <w:lvl w:ilvl="0" w:tplc="7CD6AA2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2B56610"/>
    <w:multiLevelType w:val="hybridMultilevel"/>
    <w:tmpl w:val="6C4E51D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DA78B5"/>
    <w:multiLevelType w:val="hybridMultilevel"/>
    <w:tmpl w:val="07000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9"/>
  </w:num>
  <w:num w:numId="4">
    <w:abstractNumId w:val="16"/>
  </w:num>
  <w:num w:numId="5">
    <w:abstractNumId w:val="6"/>
  </w:num>
  <w:num w:numId="6">
    <w:abstractNumId w:val="34"/>
  </w:num>
  <w:num w:numId="7">
    <w:abstractNumId w:val="4"/>
  </w:num>
  <w:num w:numId="8">
    <w:abstractNumId w:val="22"/>
  </w:num>
  <w:num w:numId="9">
    <w:abstractNumId w:val="15"/>
  </w:num>
  <w:num w:numId="10">
    <w:abstractNumId w:val="36"/>
  </w:num>
  <w:num w:numId="11">
    <w:abstractNumId w:val="7"/>
  </w:num>
  <w:num w:numId="12">
    <w:abstractNumId w:val="33"/>
  </w:num>
  <w:num w:numId="13">
    <w:abstractNumId w:val="29"/>
  </w:num>
  <w:num w:numId="14">
    <w:abstractNumId w:val="32"/>
  </w:num>
  <w:num w:numId="15">
    <w:abstractNumId w:val="1"/>
  </w:num>
  <w:num w:numId="16">
    <w:abstractNumId w:val="0"/>
  </w:num>
  <w:num w:numId="17">
    <w:abstractNumId w:val="13"/>
  </w:num>
  <w:num w:numId="18">
    <w:abstractNumId w:val="11"/>
  </w:num>
  <w:num w:numId="19">
    <w:abstractNumId w:val="26"/>
  </w:num>
  <w:num w:numId="20">
    <w:abstractNumId w:val="28"/>
  </w:num>
  <w:num w:numId="21">
    <w:abstractNumId w:val="35"/>
  </w:num>
  <w:num w:numId="22">
    <w:abstractNumId w:val="9"/>
  </w:num>
  <w:num w:numId="23">
    <w:abstractNumId w:val="18"/>
  </w:num>
  <w:num w:numId="24">
    <w:abstractNumId w:val="25"/>
  </w:num>
  <w:num w:numId="25">
    <w:abstractNumId w:val="2"/>
  </w:num>
  <w:num w:numId="26">
    <w:abstractNumId w:val="31"/>
  </w:num>
  <w:num w:numId="27">
    <w:abstractNumId w:val="17"/>
  </w:num>
  <w:num w:numId="28">
    <w:abstractNumId w:val="23"/>
  </w:num>
  <w:num w:numId="29">
    <w:abstractNumId w:val="27"/>
  </w:num>
  <w:num w:numId="30">
    <w:abstractNumId w:val="21"/>
  </w:num>
  <w:num w:numId="31">
    <w:abstractNumId w:val="20"/>
  </w:num>
  <w:num w:numId="32">
    <w:abstractNumId w:val="12"/>
  </w:num>
  <w:num w:numId="33">
    <w:abstractNumId w:val="30"/>
  </w:num>
  <w:num w:numId="34">
    <w:abstractNumId w:val="8"/>
  </w:num>
  <w:num w:numId="35">
    <w:abstractNumId w:val="24"/>
  </w:num>
  <w:num w:numId="36">
    <w:abstractNumId w:val="14"/>
  </w:num>
  <w:num w:numId="3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SystemFonts/>
  <w:activeWritingStyle w:appName="MSWord" w:lang="en-GB" w:vendorID="64" w:dllVersion="0" w:nlCheck="1" w:checkStyle="1"/>
  <w:activeWritingStyle w:appName="MSWord" w:lang="en-US" w:vendorID="64" w:dllVersion="0" w:nlCheck="1" w:checkStyle="1"/>
  <w:activeWritingStyle w:appName="MSWord" w:lang="de-DE" w:vendorID="64" w:dllVersion="0" w:nlCheck="1" w:checkStyle="1"/>
  <w:activeWritingStyle w:appName="MSWord" w:lang="de-CH" w:vendorID="64" w:dllVersion="0" w:nlCheck="1" w:checkStyle="1"/>
  <w:activeWritingStyle w:appName="MSWord" w:lang="es-ES_tradnl" w:vendorID="64" w:dllVersion="0" w:nlCheck="1" w:checkStyle="0"/>
  <w:activeWritingStyle w:appName="MSWord" w:lang="es-MX" w:vendorID="64" w:dllVersion="0" w:nlCheck="1" w:checkStyle="1"/>
  <w:activeWritingStyle w:appName="MSWord" w:lang="es-ES" w:vendorID="64" w:dllVersion="0" w:nlCheck="1" w:checkStyle="0"/>
  <w:activeWritingStyle w:appName="MSWord" w:lang="pt-BR" w:vendorID="64" w:dllVersion="0" w:nlCheck="1" w:checkStyle="0"/>
  <w:activeWritingStyle w:appName="MSWord" w:lang="es-AR" w:vendorID="64" w:dllVersion="0" w:nlCheck="1" w:checkStyle="1"/>
  <w:activeWritingStyle w:appName="MSWord" w:lang="fr-FR" w:vendorID="64" w:dllVersion="0" w:nlCheck="1" w:checkStyle="1"/>
  <w:defaultTabStop w:val="708"/>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40C"/>
    <w:rsid w:val="000028A1"/>
    <w:rsid w:val="00003006"/>
    <w:rsid w:val="00003814"/>
    <w:rsid w:val="00005A55"/>
    <w:rsid w:val="000063EE"/>
    <w:rsid w:val="00006407"/>
    <w:rsid w:val="0000662D"/>
    <w:rsid w:val="00011425"/>
    <w:rsid w:val="00015DD5"/>
    <w:rsid w:val="00015F83"/>
    <w:rsid w:val="00017D01"/>
    <w:rsid w:val="000200F0"/>
    <w:rsid w:val="0002055D"/>
    <w:rsid w:val="00026AE3"/>
    <w:rsid w:val="00026E3D"/>
    <w:rsid w:val="00027F38"/>
    <w:rsid w:val="0003181F"/>
    <w:rsid w:val="0003607B"/>
    <w:rsid w:val="000376F3"/>
    <w:rsid w:val="000379CD"/>
    <w:rsid w:val="000407F7"/>
    <w:rsid w:val="00040F4C"/>
    <w:rsid w:val="00042890"/>
    <w:rsid w:val="00042B03"/>
    <w:rsid w:val="000430DD"/>
    <w:rsid w:val="00044516"/>
    <w:rsid w:val="00044808"/>
    <w:rsid w:val="000449A4"/>
    <w:rsid w:val="00046DC9"/>
    <w:rsid w:val="00047A7D"/>
    <w:rsid w:val="00052F24"/>
    <w:rsid w:val="00054158"/>
    <w:rsid w:val="00054544"/>
    <w:rsid w:val="00055E41"/>
    <w:rsid w:val="000562C7"/>
    <w:rsid w:val="00056486"/>
    <w:rsid w:val="00056CCD"/>
    <w:rsid w:val="00057550"/>
    <w:rsid w:val="00060318"/>
    <w:rsid w:val="00061008"/>
    <w:rsid w:val="00061D14"/>
    <w:rsid w:val="0006317A"/>
    <w:rsid w:val="000636C8"/>
    <w:rsid w:val="000641AF"/>
    <w:rsid w:val="000641D2"/>
    <w:rsid w:val="00065421"/>
    <w:rsid w:val="00065D6D"/>
    <w:rsid w:val="000671D5"/>
    <w:rsid w:val="00071AF1"/>
    <w:rsid w:val="00072216"/>
    <w:rsid w:val="00074ED4"/>
    <w:rsid w:val="00075D71"/>
    <w:rsid w:val="000770FA"/>
    <w:rsid w:val="00080D8D"/>
    <w:rsid w:val="00081675"/>
    <w:rsid w:val="00083CC7"/>
    <w:rsid w:val="00084951"/>
    <w:rsid w:val="000879D7"/>
    <w:rsid w:val="00090091"/>
    <w:rsid w:val="00091CFF"/>
    <w:rsid w:val="0009209F"/>
    <w:rsid w:val="0009233C"/>
    <w:rsid w:val="00092DAD"/>
    <w:rsid w:val="00092E4A"/>
    <w:rsid w:val="000943A7"/>
    <w:rsid w:val="0009522E"/>
    <w:rsid w:val="000957D8"/>
    <w:rsid w:val="0009782B"/>
    <w:rsid w:val="000A1E7F"/>
    <w:rsid w:val="000A3806"/>
    <w:rsid w:val="000A394E"/>
    <w:rsid w:val="000A3C57"/>
    <w:rsid w:val="000A4F5F"/>
    <w:rsid w:val="000A561E"/>
    <w:rsid w:val="000A6D64"/>
    <w:rsid w:val="000B1F5A"/>
    <w:rsid w:val="000B2798"/>
    <w:rsid w:val="000B45B4"/>
    <w:rsid w:val="000B4E64"/>
    <w:rsid w:val="000B7E42"/>
    <w:rsid w:val="000C014F"/>
    <w:rsid w:val="000C0FF2"/>
    <w:rsid w:val="000C1787"/>
    <w:rsid w:val="000C2365"/>
    <w:rsid w:val="000C2B0F"/>
    <w:rsid w:val="000C327C"/>
    <w:rsid w:val="000C3D1E"/>
    <w:rsid w:val="000C5386"/>
    <w:rsid w:val="000C546D"/>
    <w:rsid w:val="000C6F94"/>
    <w:rsid w:val="000C723E"/>
    <w:rsid w:val="000D0183"/>
    <w:rsid w:val="000D13DA"/>
    <w:rsid w:val="000D20AE"/>
    <w:rsid w:val="000D2434"/>
    <w:rsid w:val="000D3FF8"/>
    <w:rsid w:val="000D4769"/>
    <w:rsid w:val="000E19AC"/>
    <w:rsid w:val="000E28BB"/>
    <w:rsid w:val="000E401E"/>
    <w:rsid w:val="000E4B4B"/>
    <w:rsid w:val="000E4CB7"/>
    <w:rsid w:val="000E4F24"/>
    <w:rsid w:val="000E5F62"/>
    <w:rsid w:val="000E689F"/>
    <w:rsid w:val="000E7363"/>
    <w:rsid w:val="000F21CD"/>
    <w:rsid w:val="000F2399"/>
    <w:rsid w:val="000F23F1"/>
    <w:rsid w:val="000F25FF"/>
    <w:rsid w:val="000F2827"/>
    <w:rsid w:val="000F3D1B"/>
    <w:rsid w:val="000F4B8E"/>
    <w:rsid w:val="000F57C7"/>
    <w:rsid w:val="000F7B79"/>
    <w:rsid w:val="0010255D"/>
    <w:rsid w:val="00104C0D"/>
    <w:rsid w:val="00104CB9"/>
    <w:rsid w:val="00112182"/>
    <w:rsid w:val="00112222"/>
    <w:rsid w:val="0011253B"/>
    <w:rsid w:val="0011397A"/>
    <w:rsid w:val="00113E95"/>
    <w:rsid w:val="0011553D"/>
    <w:rsid w:val="0011587F"/>
    <w:rsid w:val="00115BF5"/>
    <w:rsid w:val="00117199"/>
    <w:rsid w:val="00123DDD"/>
    <w:rsid w:val="0012449F"/>
    <w:rsid w:val="00127404"/>
    <w:rsid w:val="00127C9F"/>
    <w:rsid w:val="001312D0"/>
    <w:rsid w:val="00132D24"/>
    <w:rsid w:val="001339A0"/>
    <w:rsid w:val="00133BBA"/>
    <w:rsid w:val="00135D86"/>
    <w:rsid w:val="001374E3"/>
    <w:rsid w:val="00140843"/>
    <w:rsid w:val="001409D5"/>
    <w:rsid w:val="00140B69"/>
    <w:rsid w:val="0014241A"/>
    <w:rsid w:val="00145D63"/>
    <w:rsid w:val="001462C9"/>
    <w:rsid w:val="001469D5"/>
    <w:rsid w:val="00147B2F"/>
    <w:rsid w:val="00150167"/>
    <w:rsid w:val="00150987"/>
    <w:rsid w:val="00150998"/>
    <w:rsid w:val="001549C3"/>
    <w:rsid w:val="00154DF0"/>
    <w:rsid w:val="00157122"/>
    <w:rsid w:val="00157F83"/>
    <w:rsid w:val="001601E8"/>
    <w:rsid w:val="00160A54"/>
    <w:rsid w:val="00160FAE"/>
    <w:rsid w:val="001635CF"/>
    <w:rsid w:val="0016463C"/>
    <w:rsid w:val="0016506F"/>
    <w:rsid w:val="00165309"/>
    <w:rsid w:val="001655D3"/>
    <w:rsid w:val="00166AA9"/>
    <w:rsid w:val="00166FD3"/>
    <w:rsid w:val="00167DD3"/>
    <w:rsid w:val="0017018E"/>
    <w:rsid w:val="001704D0"/>
    <w:rsid w:val="001711BB"/>
    <w:rsid w:val="00171507"/>
    <w:rsid w:val="00171E87"/>
    <w:rsid w:val="0017393E"/>
    <w:rsid w:val="0017588B"/>
    <w:rsid w:val="00176E4A"/>
    <w:rsid w:val="001779CE"/>
    <w:rsid w:val="00180D9C"/>
    <w:rsid w:val="00180DD7"/>
    <w:rsid w:val="0018121E"/>
    <w:rsid w:val="00183AE7"/>
    <w:rsid w:val="00183D65"/>
    <w:rsid w:val="001842E1"/>
    <w:rsid w:val="0018465B"/>
    <w:rsid w:val="001862E9"/>
    <w:rsid w:val="0018747A"/>
    <w:rsid w:val="00190420"/>
    <w:rsid w:val="00191192"/>
    <w:rsid w:val="001917FC"/>
    <w:rsid w:val="00192CC2"/>
    <w:rsid w:val="00192F72"/>
    <w:rsid w:val="0019384E"/>
    <w:rsid w:val="00193C6E"/>
    <w:rsid w:val="0019441F"/>
    <w:rsid w:val="001A1A23"/>
    <w:rsid w:val="001A1C06"/>
    <w:rsid w:val="001A3957"/>
    <w:rsid w:val="001A4801"/>
    <w:rsid w:val="001A52B5"/>
    <w:rsid w:val="001A554B"/>
    <w:rsid w:val="001A55CD"/>
    <w:rsid w:val="001A5DDC"/>
    <w:rsid w:val="001A5FD9"/>
    <w:rsid w:val="001A7EBA"/>
    <w:rsid w:val="001B2839"/>
    <w:rsid w:val="001B6E00"/>
    <w:rsid w:val="001C01B9"/>
    <w:rsid w:val="001C02E7"/>
    <w:rsid w:val="001C0B07"/>
    <w:rsid w:val="001C0B21"/>
    <w:rsid w:val="001C250C"/>
    <w:rsid w:val="001C4730"/>
    <w:rsid w:val="001C4D47"/>
    <w:rsid w:val="001C627A"/>
    <w:rsid w:val="001C65F6"/>
    <w:rsid w:val="001C72DF"/>
    <w:rsid w:val="001C77F9"/>
    <w:rsid w:val="001C7F57"/>
    <w:rsid w:val="001D055B"/>
    <w:rsid w:val="001D26A0"/>
    <w:rsid w:val="001D40A8"/>
    <w:rsid w:val="001D5BBF"/>
    <w:rsid w:val="001D656C"/>
    <w:rsid w:val="001E2561"/>
    <w:rsid w:val="001E3AE8"/>
    <w:rsid w:val="001E4FA4"/>
    <w:rsid w:val="001E52C1"/>
    <w:rsid w:val="001F0BEB"/>
    <w:rsid w:val="001F0F91"/>
    <w:rsid w:val="001F22B6"/>
    <w:rsid w:val="001F58AF"/>
    <w:rsid w:val="001F66CC"/>
    <w:rsid w:val="001F71D6"/>
    <w:rsid w:val="001F7C70"/>
    <w:rsid w:val="002005DD"/>
    <w:rsid w:val="00200C3B"/>
    <w:rsid w:val="0020169A"/>
    <w:rsid w:val="00201F1C"/>
    <w:rsid w:val="0020306B"/>
    <w:rsid w:val="002035A1"/>
    <w:rsid w:val="00204167"/>
    <w:rsid w:val="002043F6"/>
    <w:rsid w:val="00206A21"/>
    <w:rsid w:val="0020797B"/>
    <w:rsid w:val="00207FE2"/>
    <w:rsid w:val="00210BE9"/>
    <w:rsid w:val="00212282"/>
    <w:rsid w:val="002143C1"/>
    <w:rsid w:val="002145A7"/>
    <w:rsid w:val="00215575"/>
    <w:rsid w:val="00215CB8"/>
    <w:rsid w:val="00216426"/>
    <w:rsid w:val="0021648A"/>
    <w:rsid w:val="00217666"/>
    <w:rsid w:val="002177F2"/>
    <w:rsid w:val="002214DA"/>
    <w:rsid w:val="00221B3F"/>
    <w:rsid w:val="0022747C"/>
    <w:rsid w:val="0023288D"/>
    <w:rsid w:val="00232AFC"/>
    <w:rsid w:val="0023407C"/>
    <w:rsid w:val="002340A8"/>
    <w:rsid w:val="00234BCE"/>
    <w:rsid w:val="00234F4D"/>
    <w:rsid w:val="002352FD"/>
    <w:rsid w:val="00235A3E"/>
    <w:rsid w:val="00235CEC"/>
    <w:rsid w:val="00243AF0"/>
    <w:rsid w:val="00243EE7"/>
    <w:rsid w:val="00244EBA"/>
    <w:rsid w:val="00247B9C"/>
    <w:rsid w:val="00251D5B"/>
    <w:rsid w:val="002528CF"/>
    <w:rsid w:val="00252E57"/>
    <w:rsid w:val="0025347D"/>
    <w:rsid w:val="00253C64"/>
    <w:rsid w:val="002574E5"/>
    <w:rsid w:val="002577AC"/>
    <w:rsid w:val="002606DA"/>
    <w:rsid w:val="00260E78"/>
    <w:rsid w:val="00260F2D"/>
    <w:rsid w:val="002610E3"/>
    <w:rsid w:val="00261CCE"/>
    <w:rsid w:val="00262C13"/>
    <w:rsid w:val="002634F2"/>
    <w:rsid w:val="0026369B"/>
    <w:rsid w:val="002647CD"/>
    <w:rsid w:val="00271598"/>
    <w:rsid w:val="00272A13"/>
    <w:rsid w:val="0027477A"/>
    <w:rsid w:val="002751F6"/>
    <w:rsid w:val="0027635B"/>
    <w:rsid w:val="0027683A"/>
    <w:rsid w:val="0028262E"/>
    <w:rsid w:val="00283D25"/>
    <w:rsid w:val="00285051"/>
    <w:rsid w:val="00286273"/>
    <w:rsid w:val="00287192"/>
    <w:rsid w:val="002900BA"/>
    <w:rsid w:val="00292C02"/>
    <w:rsid w:val="00295ADE"/>
    <w:rsid w:val="002A1490"/>
    <w:rsid w:val="002A180E"/>
    <w:rsid w:val="002A3C62"/>
    <w:rsid w:val="002A4B5A"/>
    <w:rsid w:val="002A53B9"/>
    <w:rsid w:val="002A58FE"/>
    <w:rsid w:val="002A5E0C"/>
    <w:rsid w:val="002A6186"/>
    <w:rsid w:val="002A6E14"/>
    <w:rsid w:val="002A7E19"/>
    <w:rsid w:val="002B0242"/>
    <w:rsid w:val="002B0400"/>
    <w:rsid w:val="002B24BE"/>
    <w:rsid w:val="002B370C"/>
    <w:rsid w:val="002B78B2"/>
    <w:rsid w:val="002C05A4"/>
    <w:rsid w:val="002C5DFD"/>
    <w:rsid w:val="002C5E54"/>
    <w:rsid w:val="002C7AE2"/>
    <w:rsid w:val="002D18D7"/>
    <w:rsid w:val="002D2067"/>
    <w:rsid w:val="002D3E66"/>
    <w:rsid w:val="002D538C"/>
    <w:rsid w:val="002D5594"/>
    <w:rsid w:val="002D78D1"/>
    <w:rsid w:val="002E154C"/>
    <w:rsid w:val="002E1BE8"/>
    <w:rsid w:val="002E314C"/>
    <w:rsid w:val="002E4EC9"/>
    <w:rsid w:val="002E4FED"/>
    <w:rsid w:val="002E644C"/>
    <w:rsid w:val="002E66F0"/>
    <w:rsid w:val="002E7332"/>
    <w:rsid w:val="002E79D3"/>
    <w:rsid w:val="002F08B3"/>
    <w:rsid w:val="002F2376"/>
    <w:rsid w:val="002F2F73"/>
    <w:rsid w:val="002F36A8"/>
    <w:rsid w:val="002F4CDC"/>
    <w:rsid w:val="003001CC"/>
    <w:rsid w:val="003005A0"/>
    <w:rsid w:val="0030112B"/>
    <w:rsid w:val="003015B1"/>
    <w:rsid w:val="00301CDC"/>
    <w:rsid w:val="00302452"/>
    <w:rsid w:val="0030336B"/>
    <w:rsid w:val="00303836"/>
    <w:rsid w:val="003052DF"/>
    <w:rsid w:val="0030595F"/>
    <w:rsid w:val="00307B84"/>
    <w:rsid w:val="003113E2"/>
    <w:rsid w:val="00313AFE"/>
    <w:rsid w:val="00313F4C"/>
    <w:rsid w:val="00313FE6"/>
    <w:rsid w:val="00314120"/>
    <w:rsid w:val="0031453C"/>
    <w:rsid w:val="00314E5C"/>
    <w:rsid w:val="00315470"/>
    <w:rsid w:val="003178BB"/>
    <w:rsid w:val="003204FD"/>
    <w:rsid w:val="0032086A"/>
    <w:rsid w:val="003223CB"/>
    <w:rsid w:val="003254FC"/>
    <w:rsid w:val="00325BE5"/>
    <w:rsid w:val="003260D2"/>
    <w:rsid w:val="00326568"/>
    <w:rsid w:val="003273AD"/>
    <w:rsid w:val="003316D4"/>
    <w:rsid w:val="00331AF1"/>
    <w:rsid w:val="00333F8E"/>
    <w:rsid w:val="00335C93"/>
    <w:rsid w:val="0033678C"/>
    <w:rsid w:val="003400BB"/>
    <w:rsid w:val="00340346"/>
    <w:rsid w:val="0034045B"/>
    <w:rsid w:val="0034101A"/>
    <w:rsid w:val="00342142"/>
    <w:rsid w:val="0034265A"/>
    <w:rsid w:val="00342CA6"/>
    <w:rsid w:val="003430FB"/>
    <w:rsid w:val="003473BD"/>
    <w:rsid w:val="003515F3"/>
    <w:rsid w:val="003519A6"/>
    <w:rsid w:val="003529D5"/>
    <w:rsid w:val="0035544A"/>
    <w:rsid w:val="00356DC7"/>
    <w:rsid w:val="00356EC1"/>
    <w:rsid w:val="0035755D"/>
    <w:rsid w:val="0035765D"/>
    <w:rsid w:val="00360655"/>
    <w:rsid w:val="00361E68"/>
    <w:rsid w:val="003629C3"/>
    <w:rsid w:val="00363093"/>
    <w:rsid w:val="0037188B"/>
    <w:rsid w:val="00371DF0"/>
    <w:rsid w:val="00374C13"/>
    <w:rsid w:val="00375521"/>
    <w:rsid w:val="00375CFA"/>
    <w:rsid w:val="00376090"/>
    <w:rsid w:val="00376259"/>
    <w:rsid w:val="003774CC"/>
    <w:rsid w:val="0038020C"/>
    <w:rsid w:val="0038072B"/>
    <w:rsid w:val="00380EBF"/>
    <w:rsid w:val="00382190"/>
    <w:rsid w:val="0038661B"/>
    <w:rsid w:val="00390B18"/>
    <w:rsid w:val="00393870"/>
    <w:rsid w:val="00393C07"/>
    <w:rsid w:val="003941C1"/>
    <w:rsid w:val="0039428D"/>
    <w:rsid w:val="003966A0"/>
    <w:rsid w:val="00397521"/>
    <w:rsid w:val="003A1A12"/>
    <w:rsid w:val="003A1F50"/>
    <w:rsid w:val="003A2311"/>
    <w:rsid w:val="003A35B7"/>
    <w:rsid w:val="003A541B"/>
    <w:rsid w:val="003A68AA"/>
    <w:rsid w:val="003B04B9"/>
    <w:rsid w:val="003B311D"/>
    <w:rsid w:val="003B3413"/>
    <w:rsid w:val="003B4F36"/>
    <w:rsid w:val="003B59AD"/>
    <w:rsid w:val="003B5AC0"/>
    <w:rsid w:val="003B7BE8"/>
    <w:rsid w:val="003C0A7A"/>
    <w:rsid w:val="003C26B2"/>
    <w:rsid w:val="003C328C"/>
    <w:rsid w:val="003C6534"/>
    <w:rsid w:val="003C66DA"/>
    <w:rsid w:val="003D1A1E"/>
    <w:rsid w:val="003D2AB7"/>
    <w:rsid w:val="003D2F8B"/>
    <w:rsid w:val="003D3397"/>
    <w:rsid w:val="003D480D"/>
    <w:rsid w:val="003D5924"/>
    <w:rsid w:val="003D6E67"/>
    <w:rsid w:val="003D7AA3"/>
    <w:rsid w:val="003E0D82"/>
    <w:rsid w:val="003E1CF4"/>
    <w:rsid w:val="003E2404"/>
    <w:rsid w:val="003E2E25"/>
    <w:rsid w:val="003E6227"/>
    <w:rsid w:val="003F1A49"/>
    <w:rsid w:val="003F1D4D"/>
    <w:rsid w:val="003F1DF7"/>
    <w:rsid w:val="003F3240"/>
    <w:rsid w:val="003F60A5"/>
    <w:rsid w:val="003F610D"/>
    <w:rsid w:val="00400885"/>
    <w:rsid w:val="00401233"/>
    <w:rsid w:val="00402A92"/>
    <w:rsid w:val="00404657"/>
    <w:rsid w:val="0040470E"/>
    <w:rsid w:val="004067D9"/>
    <w:rsid w:val="0041131C"/>
    <w:rsid w:val="00411B15"/>
    <w:rsid w:val="00412688"/>
    <w:rsid w:val="00413E4B"/>
    <w:rsid w:val="00414505"/>
    <w:rsid w:val="0041530F"/>
    <w:rsid w:val="00415BB3"/>
    <w:rsid w:val="00415E56"/>
    <w:rsid w:val="0041689F"/>
    <w:rsid w:val="00420C6C"/>
    <w:rsid w:val="0042279C"/>
    <w:rsid w:val="00422A25"/>
    <w:rsid w:val="00423DC3"/>
    <w:rsid w:val="00424A8D"/>
    <w:rsid w:val="004255C5"/>
    <w:rsid w:val="004256D8"/>
    <w:rsid w:val="004264E1"/>
    <w:rsid w:val="00427483"/>
    <w:rsid w:val="0043034C"/>
    <w:rsid w:val="0043064A"/>
    <w:rsid w:val="00430B83"/>
    <w:rsid w:val="00434170"/>
    <w:rsid w:val="00437F27"/>
    <w:rsid w:val="0044131D"/>
    <w:rsid w:val="00441415"/>
    <w:rsid w:val="004419EB"/>
    <w:rsid w:val="00442A2F"/>
    <w:rsid w:val="0044525E"/>
    <w:rsid w:val="00452443"/>
    <w:rsid w:val="00452B8F"/>
    <w:rsid w:val="00460637"/>
    <w:rsid w:val="00461740"/>
    <w:rsid w:val="004629AE"/>
    <w:rsid w:val="00462C8D"/>
    <w:rsid w:val="00462E5D"/>
    <w:rsid w:val="00462EAF"/>
    <w:rsid w:val="00463325"/>
    <w:rsid w:val="004637F2"/>
    <w:rsid w:val="00464928"/>
    <w:rsid w:val="00464D7F"/>
    <w:rsid w:val="00465B80"/>
    <w:rsid w:val="00465C15"/>
    <w:rsid w:val="00465FD6"/>
    <w:rsid w:val="00466CC5"/>
    <w:rsid w:val="0047094F"/>
    <w:rsid w:val="00470A9D"/>
    <w:rsid w:val="004716CA"/>
    <w:rsid w:val="0047185E"/>
    <w:rsid w:val="00471FC3"/>
    <w:rsid w:val="004735BE"/>
    <w:rsid w:val="004758BA"/>
    <w:rsid w:val="004774A4"/>
    <w:rsid w:val="00480C9C"/>
    <w:rsid w:val="004839F3"/>
    <w:rsid w:val="004846AD"/>
    <w:rsid w:val="00484DA9"/>
    <w:rsid w:val="0048595A"/>
    <w:rsid w:val="004865D8"/>
    <w:rsid w:val="004868C0"/>
    <w:rsid w:val="00486CA0"/>
    <w:rsid w:val="00486E97"/>
    <w:rsid w:val="00487ADF"/>
    <w:rsid w:val="00487B48"/>
    <w:rsid w:val="00487BC4"/>
    <w:rsid w:val="00487C78"/>
    <w:rsid w:val="00493D32"/>
    <w:rsid w:val="00494EB9"/>
    <w:rsid w:val="0049574F"/>
    <w:rsid w:val="0049642B"/>
    <w:rsid w:val="0049762E"/>
    <w:rsid w:val="004976FB"/>
    <w:rsid w:val="00497D1E"/>
    <w:rsid w:val="004A2F08"/>
    <w:rsid w:val="004A3AE4"/>
    <w:rsid w:val="004A45C2"/>
    <w:rsid w:val="004A5321"/>
    <w:rsid w:val="004A576C"/>
    <w:rsid w:val="004A6426"/>
    <w:rsid w:val="004B120E"/>
    <w:rsid w:val="004B1F15"/>
    <w:rsid w:val="004B7B7D"/>
    <w:rsid w:val="004B7BD1"/>
    <w:rsid w:val="004B7FC7"/>
    <w:rsid w:val="004C0279"/>
    <w:rsid w:val="004C028C"/>
    <w:rsid w:val="004C07E4"/>
    <w:rsid w:val="004C11D1"/>
    <w:rsid w:val="004C1A1E"/>
    <w:rsid w:val="004C36E1"/>
    <w:rsid w:val="004C5F9C"/>
    <w:rsid w:val="004C688F"/>
    <w:rsid w:val="004C797B"/>
    <w:rsid w:val="004D1023"/>
    <w:rsid w:val="004D14D4"/>
    <w:rsid w:val="004D18A7"/>
    <w:rsid w:val="004D1C8B"/>
    <w:rsid w:val="004D3745"/>
    <w:rsid w:val="004D6EA2"/>
    <w:rsid w:val="004D6F6B"/>
    <w:rsid w:val="004D7B85"/>
    <w:rsid w:val="004E117E"/>
    <w:rsid w:val="004E1633"/>
    <w:rsid w:val="004E212E"/>
    <w:rsid w:val="004E277C"/>
    <w:rsid w:val="004E39AF"/>
    <w:rsid w:val="004E5844"/>
    <w:rsid w:val="004E695D"/>
    <w:rsid w:val="004F23AE"/>
    <w:rsid w:val="004F2516"/>
    <w:rsid w:val="004F2808"/>
    <w:rsid w:val="004F2A08"/>
    <w:rsid w:val="004F2A7D"/>
    <w:rsid w:val="004F2FC6"/>
    <w:rsid w:val="004F370C"/>
    <w:rsid w:val="004F4E68"/>
    <w:rsid w:val="004F691D"/>
    <w:rsid w:val="004F6C6C"/>
    <w:rsid w:val="004F73F8"/>
    <w:rsid w:val="00500E6D"/>
    <w:rsid w:val="00503D49"/>
    <w:rsid w:val="005048D6"/>
    <w:rsid w:val="00504A9D"/>
    <w:rsid w:val="00506B5A"/>
    <w:rsid w:val="00511CA6"/>
    <w:rsid w:val="00513D81"/>
    <w:rsid w:val="005164B8"/>
    <w:rsid w:val="0051763E"/>
    <w:rsid w:val="005207E2"/>
    <w:rsid w:val="00520B11"/>
    <w:rsid w:val="00521402"/>
    <w:rsid w:val="0052297D"/>
    <w:rsid w:val="00526EFD"/>
    <w:rsid w:val="005273F9"/>
    <w:rsid w:val="00527CBB"/>
    <w:rsid w:val="00530968"/>
    <w:rsid w:val="00530D6F"/>
    <w:rsid w:val="00531045"/>
    <w:rsid w:val="005315FB"/>
    <w:rsid w:val="00532891"/>
    <w:rsid w:val="005352BC"/>
    <w:rsid w:val="00540F3B"/>
    <w:rsid w:val="0054104B"/>
    <w:rsid w:val="005469EC"/>
    <w:rsid w:val="0055100A"/>
    <w:rsid w:val="00552616"/>
    <w:rsid w:val="00552C82"/>
    <w:rsid w:val="00552F13"/>
    <w:rsid w:val="00557DEF"/>
    <w:rsid w:val="00560806"/>
    <w:rsid w:val="005619A3"/>
    <w:rsid w:val="005625AC"/>
    <w:rsid w:val="00563BCC"/>
    <w:rsid w:val="00564B31"/>
    <w:rsid w:val="0056523B"/>
    <w:rsid w:val="00565F8F"/>
    <w:rsid w:val="005678E9"/>
    <w:rsid w:val="00567A70"/>
    <w:rsid w:val="0057010C"/>
    <w:rsid w:val="0057082A"/>
    <w:rsid w:val="00570C14"/>
    <w:rsid w:val="00571112"/>
    <w:rsid w:val="00572BDD"/>
    <w:rsid w:val="005730BF"/>
    <w:rsid w:val="00575C11"/>
    <w:rsid w:val="005821F1"/>
    <w:rsid w:val="00582914"/>
    <w:rsid w:val="00583D95"/>
    <w:rsid w:val="00584531"/>
    <w:rsid w:val="0058521D"/>
    <w:rsid w:val="005852A7"/>
    <w:rsid w:val="00586058"/>
    <w:rsid w:val="00586D8E"/>
    <w:rsid w:val="00586DED"/>
    <w:rsid w:val="005870CE"/>
    <w:rsid w:val="005923FC"/>
    <w:rsid w:val="00595103"/>
    <w:rsid w:val="0059661B"/>
    <w:rsid w:val="005A04FB"/>
    <w:rsid w:val="005A1946"/>
    <w:rsid w:val="005A237E"/>
    <w:rsid w:val="005A2F60"/>
    <w:rsid w:val="005A4AAE"/>
    <w:rsid w:val="005A4B7F"/>
    <w:rsid w:val="005A67AA"/>
    <w:rsid w:val="005A7283"/>
    <w:rsid w:val="005A7475"/>
    <w:rsid w:val="005A7CA2"/>
    <w:rsid w:val="005B0EEF"/>
    <w:rsid w:val="005B114B"/>
    <w:rsid w:val="005B1E04"/>
    <w:rsid w:val="005B1EE3"/>
    <w:rsid w:val="005B569B"/>
    <w:rsid w:val="005B5C2C"/>
    <w:rsid w:val="005B60BF"/>
    <w:rsid w:val="005B7657"/>
    <w:rsid w:val="005C0350"/>
    <w:rsid w:val="005C1DAC"/>
    <w:rsid w:val="005C25AC"/>
    <w:rsid w:val="005C25F6"/>
    <w:rsid w:val="005C2C8E"/>
    <w:rsid w:val="005C3569"/>
    <w:rsid w:val="005C63F0"/>
    <w:rsid w:val="005C7CB3"/>
    <w:rsid w:val="005D0D75"/>
    <w:rsid w:val="005D13E9"/>
    <w:rsid w:val="005D2BAC"/>
    <w:rsid w:val="005D2FA8"/>
    <w:rsid w:val="005D3438"/>
    <w:rsid w:val="005D4233"/>
    <w:rsid w:val="005D4A72"/>
    <w:rsid w:val="005D4FBD"/>
    <w:rsid w:val="005D7666"/>
    <w:rsid w:val="005D7E0A"/>
    <w:rsid w:val="005E0891"/>
    <w:rsid w:val="005E2A5F"/>
    <w:rsid w:val="005E7460"/>
    <w:rsid w:val="005E7B48"/>
    <w:rsid w:val="005E7F80"/>
    <w:rsid w:val="005F0920"/>
    <w:rsid w:val="005F2C2B"/>
    <w:rsid w:val="005F3FBB"/>
    <w:rsid w:val="005F7024"/>
    <w:rsid w:val="005F7EEA"/>
    <w:rsid w:val="00600A19"/>
    <w:rsid w:val="00602901"/>
    <w:rsid w:val="0060398B"/>
    <w:rsid w:val="00604836"/>
    <w:rsid w:val="006053A8"/>
    <w:rsid w:val="00610BF8"/>
    <w:rsid w:val="00614483"/>
    <w:rsid w:val="006156AC"/>
    <w:rsid w:val="00615732"/>
    <w:rsid w:val="00616B8A"/>
    <w:rsid w:val="00617310"/>
    <w:rsid w:val="0061732B"/>
    <w:rsid w:val="00620150"/>
    <w:rsid w:val="006214A1"/>
    <w:rsid w:val="00622DB2"/>
    <w:rsid w:val="0062616E"/>
    <w:rsid w:val="0062678C"/>
    <w:rsid w:val="00626BC1"/>
    <w:rsid w:val="00631040"/>
    <w:rsid w:val="00633640"/>
    <w:rsid w:val="00634FC3"/>
    <w:rsid w:val="0063595E"/>
    <w:rsid w:val="006370A4"/>
    <w:rsid w:val="00637298"/>
    <w:rsid w:val="00637497"/>
    <w:rsid w:val="0063769B"/>
    <w:rsid w:val="006456D2"/>
    <w:rsid w:val="00651D61"/>
    <w:rsid w:val="00651E63"/>
    <w:rsid w:val="00652BE1"/>
    <w:rsid w:val="00653475"/>
    <w:rsid w:val="006541EC"/>
    <w:rsid w:val="0065630A"/>
    <w:rsid w:val="0065705E"/>
    <w:rsid w:val="006646BF"/>
    <w:rsid w:val="00665129"/>
    <w:rsid w:val="00665390"/>
    <w:rsid w:val="0066632A"/>
    <w:rsid w:val="00670F87"/>
    <w:rsid w:val="0067289D"/>
    <w:rsid w:val="006728F4"/>
    <w:rsid w:val="006729DD"/>
    <w:rsid w:val="0067316D"/>
    <w:rsid w:val="006757D4"/>
    <w:rsid w:val="00675B73"/>
    <w:rsid w:val="00681607"/>
    <w:rsid w:val="006837EB"/>
    <w:rsid w:val="0068495A"/>
    <w:rsid w:val="006860C6"/>
    <w:rsid w:val="00692EAE"/>
    <w:rsid w:val="00693707"/>
    <w:rsid w:val="00695E8F"/>
    <w:rsid w:val="00696256"/>
    <w:rsid w:val="00697436"/>
    <w:rsid w:val="006A0384"/>
    <w:rsid w:val="006A1134"/>
    <w:rsid w:val="006A14DA"/>
    <w:rsid w:val="006A2F7A"/>
    <w:rsid w:val="006A3730"/>
    <w:rsid w:val="006A76D5"/>
    <w:rsid w:val="006B075C"/>
    <w:rsid w:val="006B0F0E"/>
    <w:rsid w:val="006B20CE"/>
    <w:rsid w:val="006B3187"/>
    <w:rsid w:val="006B399F"/>
    <w:rsid w:val="006B4379"/>
    <w:rsid w:val="006C0612"/>
    <w:rsid w:val="006C1533"/>
    <w:rsid w:val="006C238A"/>
    <w:rsid w:val="006C3477"/>
    <w:rsid w:val="006C521B"/>
    <w:rsid w:val="006C5981"/>
    <w:rsid w:val="006C5EA4"/>
    <w:rsid w:val="006C607E"/>
    <w:rsid w:val="006C6CC0"/>
    <w:rsid w:val="006D021C"/>
    <w:rsid w:val="006D0263"/>
    <w:rsid w:val="006D02DE"/>
    <w:rsid w:val="006D0A66"/>
    <w:rsid w:val="006D3FE2"/>
    <w:rsid w:val="006D41EA"/>
    <w:rsid w:val="006D5F71"/>
    <w:rsid w:val="006D6077"/>
    <w:rsid w:val="006D60D4"/>
    <w:rsid w:val="006D61F1"/>
    <w:rsid w:val="006D647C"/>
    <w:rsid w:val="006D70F0"/>
    <w:rsid w:val="006E177B"/>
    <w:rsid w:val="006E25AA"/>
    <w:rsid w:val="006E44B7"/>
    <w:rsid w:val="006E53DC"/>
    <w:rsid w:val="006E5D0E"/>
    <w:rsid w:val="006E6663"/>
    <w:rsid w:val="006E6991"/>
    <w:rsid w:val="006E774D"/>
    <w:rsid w:val="006E7E83"/>
    <w:rsid w:val="006F2ED6"/>
    <w:rsid w:val="006F36E7"/>
    <w:rsid w:val="006F3C4E"/>
    <w:rsid w:val="006F3EA6"/>
    <w:rsid w:val="006F3EF1"/>
    <w:rsid w:val="006F4A41"/>
    <w:rsid w:val="006F4BB8"/>
    <w:rsid w:val="006F4CB8"/>
    <w:rsid w:val="006F5E1B"/>
    <w:rsid w:val="00701156"/>
    <w:rsid w:val="00702AD1"/>
    <w:rsid w:val="007056C3"/>
    <w:rsid w:val="007057A7"/>
    <w:rsid w:val="007059A6"/>
    <w:rsid w:val="00706783"/>
    <w:rsid w:val="00707F61"/>
    <w:rsid w:val="00714AF0"/>
    <w:rsid w:val="00714C43"/>
    <w:rsid w:val="00714D40"/>
    <w:rsid w:val="00716C78"/>
    <w:rsid w:val="00716ED3"/>
    <w:rsid w:val="0071722D"/>
    <w:rsid w:val="00720283"/>
    <w:rsid w:val="0072187A"/>
    <w:rsid w:val="00721F36"/>
    <w:rsid w:val="00722B5C"/>
    <w:rsid w:val="007239B2"/>
    <w:rsid w:val="00724E72"/>
    <w:rsid w:val="007261B3"/>
    <w:rsid w:val="00727924"/>
    <w:rsid w:val="00727CA7"/>
    <w:rsid w:val="007309A1"/>
    <w:rsid w:val="00731DEB"/>
    <w:rsid w:val="00733809"/>
    <w:rsid w:val="00734C69"/>
    <w:rsid w:val="007355B6"/>
    <w:rsid w:val="0073695D"/>
    <w:rsid w:val="00737D2D"/>
    <w:rsid w:val="00740308"/>
    <w:rsid w:val="00740D16"/>
    <w:rsid w:val="00742902"/>
    <w:rsid w:val="007466CB"/>
    <w:rsid w:val="0074733C"/>
    <w:rsid w:val="00750020"/>
    <w:rsid w:val="007500B5"/>
    <w:rsid w:val="00750A12"/>
    <w:rsid w:val="00752D27"/>
    <w:rsid w:val="00753F33"/>
    <w:rsid w:val="00757C48"/>
    <w:rsid w:val="00760429"/>
    <w:rsid w:val="00760675"/>
    <w:rsid w:val="0076077C"/>
    <w:rsid w:val="00760ACC"/>
    <w:rsid w:val="00761282"/>
    <w:rsid w:val="007629E7"/>
    <w:rsid w:val="0076355C"/>
    <w:rsid w:val="00764C35"/>
    <w:rsid w:val="007658BD"/>
    <w:rsid w:val="00770642"/>
    <w:rsid w:val="00770A6F"/>
    <w:rsid w:val="00774245"/>
    <w:rsid w:val="007753B4"/>
    <w:rsid w:val="007800E3"/>
    <w:rsid w:val="00780487"/>
    <w:rsid w:val="00780BDC"/>
    <w:rsid w:val="007814DA"/>
    <w:rsid w:val="00781F60"/>
    <w:rsid w:val="0078213F"/>
    <w:rsid w:val="0078265F"/>
    <w:rsid w:val="00784ADA"/>
    <w:rsid w:val="0078521E"/>
    <w:rsid w:val="007868AA"/>
    <w:rsid w:val="007914A7"/>
    <w:rsid w:val="007918B5"/>
    <w:rsid w:val="00791A19"/>
    <w:rsid w:val="00791BCA"/>
    <w:rsid w:val="00794A06"/>
    <w:rsid w:val="00794E64"/>
    <w:rsid w:val="00796698"/>
    <w:rsid w:val="00796C94"/>
    <w:rsid w:val="00797566"/>
    <w:rsid w:val="007A0880"/>
    <w:rsid w:val="007A101A"/>
    <w:rsid w:val="007A1B51"/>
    <w:rsid w:val="007A4912"/>
    <w:rsid w:val="007A59DD"/>
    <w:rsid w:val="007A6A26"/>
    <w:rsid w:val="007A6F08"/>
    <w:rsid w:val="007A76AB"/>
    <w:rsid w:val="007A7EFF"/>
    <w:rsid w:val="007B000B"/>
    <w:rsid w:val="007B105F"/>
    <w:rsid w:val="007B1B5C"/>
    <w:rsid w:val="007B3F59"/>
    <w:rsid w:val="007B49DE"/>
    <w:rsid w:val="007B60B0"/>
    <w:rsid w:val="007B65B3"/>
    <w:rsid w:val="007B7420"/>
    <w:rsid w:val="007B7CF5"/>
    <w:rsid w:val="007C06C8"/>
    <w:rsid w:val="007C0DF8"/>
    <w:rsid w:val="007C1F19"/>
    <w:rsid w:val="007C279C"/>
    <w:rsid w:val="007C2EB7"/>
    <w:rsid w:val="007C3037"/>
    <w:rsid w:val="007C3A6D"/>
    <w:rsid w:val="007C3BA2"/>
    <w:rsid w:val="007C5BC0"/>
    <w:rsid w:val="007C6414"/>
    <w:rsid w:val="007C73F0"/>
    <w:rsid w:val="007C7CF8"/>
    <w:rsid w:val="007D03ED"/>
    <w:rsid w:val="007D0975"/>
    <w:rsid w:val="007D1327"/>
    <w:rsid w:val="007D38E6"/>
    <w:rsid w:val="007D463D"/>
    <w:rsid w:val="007D4F31"/>
    <w:rsid w:val="007D6C45"/>
    <w:rsid w:val="007D737C"/>
    <w:rsid w:val="007E02A5"/>
    <w:rsid w:val="007E03D2"/>
    <w:rsid w:val="007E063B"/>
    <w:rsid w:val="007E186A"/>
    <w:rsid w:val="007E24E9"/>
    <w:rsid w:val="007E2E00"/>
    <w:rsid w:val="007E5198"/>
    <w:rsid w:val="007E5C7E"/>
    <w:rsid w:val="007E659F"/>
    <w:rsid w:val="007E6897"/>
    <w:rsid w:val="007E73BA"/>
    <w:rsid w:val="007E7BCB"/>
    <w:rsid w:val="007E7DB4"/>
    <w:rsid w:val="007E7EB6"/>
    <w:rsid w:val="007F2B69"/>
    <w:rsid w:val="007F2D14"/>
    <w:rsid w:val="007F6E95"/>
    <w:rsid w:val="007F7A43"/>
    <w:rsid w:val="0080170E"/>
    <w:rsid w:val="008072DB"/>
    <w:rsid w:val="0080776F"/>
    <w:rsid w:val="00807F1B"/>
    <w:rsid w:val="00810CDB"/>
    <w:rsid w:val="008143B9"/>
    <w:rsid w:val="00815846"/>
    <w:rsid w:val="00817CEE"/>
    <w:rsid w:val="008208C9"/>
    <w:rsid w:val="008225B4"/>
    <w:rsid w:val="008250A6"/>
    <w:rsid w:val="00831534"/>
    <w:rsid w:val="00831D89"/>
    <w:rsid w:val="00832F11"/>
    <w:rsid w:val="0083450A"/>
    <w:rsid w:val="00834747"/>
    <w:rsid w:val="00834BD8"/>
    <w:rsid w:val="00835921"/>
    <w:rsid w:val="00836BC0"/>
    <w:rsid w:val="008413D0"/>
    <w:rsid w:val="00842CBC"/>
    <w:rsid w:val="00842D74"/>
    <w:rsid w:val="00843FC2"/>
    <w:rsid w:val="00846310"/>
    <w:rsid w:val="00846A32"/>
    <w:rsid w:val="00846B08"/>
    <w:rsid w:val="00846E04"/>
    <w:rsid w:val="008475A1"/>
    <w:rsid w:val="00851DFB"/>
    <w:rsid w:val="0085467E"/>
    <w:rsid w:val="00857C3F"/>
    <w:rsid w:val="00861FB2"/>
    <w:rsid w:val="008645ED"/>
    <w:rsid w:val="008700AA"/>
    <w:rsid w:val="00870B33"/>
    <w:rsid w:val="00871864"/>
    <w:rsid w:val="00871BA0"/>
    <w:rsid w:val="0087236D"/>
    <w:rsid w:val="00874648"/>
    <w:rsid w:val="00874656"/>
    <w:rsid w:val="00875248"/>
    <w:rsid w:val="00876CA3"/>
    <w:rsid w:val="00877642"/>
    <w:rsid w:val="00880BBE"/>
    <w:rsid w:val="00882A42"/>
    <w:rsid w:val="00882C85"/>
    <w:rsid w:val="008833E6"/>
    <w:rsid w:val="00884DE6"/>
    <w:rsid w:val="00886764"/>
    <w:rsid w:val="008907F7"/>
    <w:rsid w:val="00890AC7"/>
    <w:rsid w:val="00891EB8"/>
    <w:rsid w:val="008932D4"/>
    <w:rsid w:val="00893EBA"/>
    <w:rsid w:val="00894E5B"/>
    <w:rsid w:val="00895530"/>
    <w:rsid w:val="00895721"/>
    <w:rsid w:val="0089572D"/>
    <w:rsid w:val="008957DF"/>
    <w:rsid w:val="00895A58"/>
    <w:rsid w:val="008A07D4"/>
    <w:rsid w:val="008A1FE4"/>
    <w:rsid w:val="008A328E"/>
    <w:rsid w:val="008A4E4D"/>
    <w:rsid w:val="008A51CE"/>
    <w:rsid w:val="008A6536"/>
    <w:rsid w:val="008B1415"/>
    <w:rsid w:val="008B16FE"/>
    <w:rsid w:val="008B204E"/>
    <w:rsid w:val="008B247A"/>
    <w:rsid w:val="008B3862"/>
    <w:rsid w:val="008B5DE6"/>
    <w:rsid w:val="008B6BD8"/>
    <w:rsid w:val="008B6DA4"/>
    <w:rsid w:val="008C02D3"/>
    <w:rsid w:val="008C3246"/>
    <w:rsid w:val="008C4E3D"/>
    <w:rsid w:val="008C697E"/>
    <w:rsid w:val="008C7972"/>
    <w:rsid w:val="008D1A90"/>
    <w:rsid w:val="008D2AB6"/>
    <w:rsid w:val="008D2E0C"/>
    <w:rsid w:val="008D31D0"/>
    <w:rsid w:val="008D4172"/>
    <w:rsid w:val="008D6D74"/>
    <w:rsid w:val="008D6DDD"/>
    <w:rsid w:val="008D7131"/>
    <w:rsid w:val="008E2EDA"/>
    <w:rsid w:val="008E44C4"/>
    <w:rsid w:val="008E4DAB"/>
    <w:rsid w:val="008E7FAD"/>
    <w:rsid w:val="008F224B"/>
    <w:rsid w:val="008F3770"/>
    <w:rsid w:val="008F4C95"/>
    <w:rsid w:val="008F5BDA"/>
    <w:rsid w:val="008F5CF7"/>
    <w:rsid w:val="008F66A8"/>
    <w:rsid w:val="00902DC5"/>
    <w:rsid w:val="00903301"/>
    <w:rsid w:val="00903A8D"/>
    <w:rsid w:val="0090563D"/>
    <w:rsid w:val="00906EF4"/>
    <w:rsid w:val="00907084"/>
    <w:rsid w:val="009118A9"/>
    <w:rsid w:val="009134C6"/>
    <w:rsid w:val="00913B06"/>
    <w:rsid w:val="00913FCA"/>
    <w:rsid w:val="00914C61"/>
    <w:rsid w:val="00916AB5"/>
    <w:rsid w:val="00921C1C"/>
    <w:rsid w:val="009238A7"/>
    <w:rsid w:val="00923D40"/>
    <w:rsid w:val="009248E7"/>
    <w:rsid w:val="00924E76"/>
    <w:rsid w:val="00925A99"/>
    <w:rsid w:val="00931142"/>
    <w:rsid w:val="009312F0"/>
    <w:rsid w:val="00931C88"/>
    <w:rsid w:val="00932AC9"/>
    <w:rsid w:val="00933128"/>
    <w:rsid w:val="00934020"/>
    <w:rsid w:val="009374F9"/>
    <w:rsid w:val="00937596"/>
    <w:rsid w:val="009377F6"/>
    <w:rsid w:val="00940AA5"/>
    <w:rsid w:val="0094338C"/>
    <w:rsid w:val="009452DB"/>
    <w:rsid w:val="00946050"/>
    <w:rsid w:val="00946519"/>
    <w:rsid w:val="009473DD"/>
    <w:rsid w:val="00950C84"/>
    <w:rsid w:val="00950FE8"/>
    <w:rsid w:val="009517A1"/>
    <w:rsid w:val="00951DE8"/>
    <w:rsid w:val="00952769"/>
    <w:rsid w:val="00952ABC"/>
    <w:rsid w:val="00952F3E"/>
    <w:rsid w:val="00954ECF"/>
    <w:rsid w:val="00956604"/>
    <w:rsid w:val="0096009A"/>
    <w:rsid w:val="00962CA2"/>
    <w:rsid w:val="00970502"/>
    <w:rsid w:val="00970AA0"/>
    <w:rsid w:val="0097234F"/>
    <w:rsid w:val="00972787"/>
    <w:rsid w:val="00974017"/>
    <w:rsid w:val="00974AFA"/>
    <w:rsid w:val="009760E0"/>
    <w:rsid w:val="0097627F"/>
    <w:rsid w:val="009762A8"/>
    <w:rsid w:val="0097735A"/>
    <w:rsid w:val="00977ED9"/>
    <w:rsid w:val="009803EA"/>
    <w:rsid w:val="00981212"/>
    <w:rsid w:val="0098273E"/>
    <w:rsid w:val="00983DCA"/>
    <w:rsid w:val="00983F48"/>
    <w:rsid w:val="00985EE2"/>
    <w:rsid w:val="0098649B"/>
    <w:rsid w:val="00987004"/>
    <w:rsid w:val="0099088D"/>
    <w:rsid w:val="00990B51"/>
    <w:rsid w:val="009915CE"/>
    <w:rsid w:val="00992874"/>
    <w:rsid w:val="0099460D"/>
    <w:rsid w:val="00995DD3"/>
    <w:rsid w:val="00996896"/>
    <w:rsid w:val="00997AAB"/>
    <w:rsid w:val="009A23B7"/>
    <w:rsid w:val="009A246F"/>
    <w:rsid w:val="009A3E02"/>
    <w:rsid w:val="009A4D95"/>
    <w:rsid w:val="009A57E7"/>
    <w:rsid w:val="009A6FFF"/>
    <w:rsid w:val="009B19B3"/>
    <w:rsid w:val="009B2415"/>
    <w:rsid w:val="009B2724"/>
    <w:rsid w:val="009B38CB"/>
    <w:rsid w:val="009B40EE"/>
    <w:rsid w:val="009B5B29"/>
    <w:rsid w:val="009B7A8F"/>
    <w:rsid w:val="009C0A4B"/>
    <w:rsid w:val="009C0FA3"/>
    <w:rsid w:val="009C159A"/>
    <w:rsid w:val="009C2E98"/>
    <w:rsid w:val="009C2FFE"/>
    <w:rsid w:val="009C42C8"/>
    <w:rsid w:val="009C4C03"/>
    <w:rsid w:val="009C6357"/>
    <w:rsid w:val="009C657B"/>
    <w:rsid w:val="009C6812"/>
    <w:rsid w:val="009D059B"/>
    <w:rsid w:val="009D7181"/>
    <w:rsid w:val="009D7AC8"/>
    <w:rsid w:val="009E2809"/>
    <w:rsid w:val="009E2D24"/>
    <w:rsid w:val="009E36FC"/>
    <w:rsid w:val="009E5250"/>
    <w:rsid w:val="009E5F21"/>
    <w:rsid w:val="009E71DA"/>
    <w:rsid w:val="009F0089"/>
    <w:rsid w:val="009F00FB"/>
    <w:rsid w:val="009F32F3"/>
    <w:rsid w:val="009F54BA"/>
    <w:rsid w:val="00A00589"/>
    <w:rsid w:val="00A02A76"/>
    <w:rsid w:val="00A02A77"/>
    <w:rsid w:val="00A02FD9"/>
    <w:rsid w:val="00A03859"/>
    <w:rsid w:val="00A04480"/>
    <w:rsid w:val="00A048D4"/>
    <w:rsid w:val="00A06025"/>
    <w:rsid w:val="00A064A1"/>
    <w:rsid w:val="00A10896"/>
    <w:rsid w:val="00A1248E"/>
    <w:rsid w:val="00A12798"/>
    <w:rsid w:val="00A12BB9"/>
    <w:rsid w:val="00A12C48"/>
    <w:rsid w:val="00A13087"/>
    <w:rsid w:val="00A163DA"/>
    <w:rsid w:val="00A166A2"/>
    <w:rsid w:val="00A16DB0"/>
    <w:rsid w:val="00A20562"/>
    <w:rsid w:val="00A22E9C"/>
    <w:rsid w:val="00A240F8"/>
    <w:rsid w:val="00A2537A"/>
    <w:rsid w:val="00A25A01"/>
    <w:rsid w:val="00A3230E"/>
    <w:rsid w:val="00A325BF"/>
    <w:rsid w:val="00A41BF2"/>
    <w:rsid w:val="00A423FD"/>
    <w:rsid w:val="00A42B2A"/>
    <w:rsid w:val="00A44DC2"/>
    <w:rsid w:val="00A45C51"/>
    <w:rsid w:val="00A473ED"/>
    <w:rsid w:val="00A4768A"/>
    <w:rsid w:val="00A52C59"/>
    <w:rsid w:val="00A533E1"/>
    <w:rsid w:val="00A56380"/>
    <w:rsid w:val="00A5729D"/>
    <w:rsid w:val="00A573A6"/>
    <w:rsid w:val="00A6317F"/>
    <w:rsid w:val="00A6353A"/>
    <w:rsid w:val="00A65ABD"/>
    <w:rsid w:val="00A66963"/>
    <w:rsid w:val="00A7329D"/>
    <w:rsid w:val="00A740D0"/>
    <w:rsid w:val="00A74B3B"/>
    <w:rsid w:val="00A74C16"/>
    <w:rsid w:val="00A756D4"/>
    <w:rsid w:val="00A8138E"/>
    <w:rsid w:val="00A81E0D"/>
    <w:rsid w:val="00A82865"/>
    <w:rsid w:val="00A83B80"/>
    <w:rsid w:val="00A8407E"/>
    <w:rsid w:val="00A84F27"/>
    <w:rsid w:val="00A864ED"/>
    <w:rsid w:val="00A874D6"/>
    <w:rsid w:val="00A90433"/>
    <w:rsid w:val="00A90879"/>
    <w:rsid w:val="00A90E6A"/>
    <w:rsid w:val="00A91564"/>
    <w:rsid w:val="00A932B3"/>
    <w:rsid w:val="00A94695"/>
    <w:rsid w:val="00A94A8B"/>
    <w:rsid w:val="00AA1AE6"/>
    <w:rsid w:val="00AA433C"/>
    <w:rsid w:val="00AB0459"/>
    <w:rsid w:val="00AB5586"/>
    <w:rsid w:val="00AB6E14"/>
    <w:rsid w:val="00AB7F9F"/>
    <w:rsid w:val="00AC5275"/>
    <w:rsid w:val="00AC566D"/>
    <w:rsid w:val="00AD0141"/>
    <w:rsid w:val="00AD0523"/>
    <w:rsid w:val="00AD1CA0"/>
    <w:rsid w:val="00AD245A"/>
    <w:rsid w:val="00AD414F"/>
    <w:rsid w:val="00AD5BCB"/>
    <w:rsid w:val="00AD657F"/>
    <w:rsid w:val="00AD7A84"/>
    <w:rsid w:val="00AE27EA"/>
    <w:rsid w:val="00AE4BA7"/>
    <w:rsid w:val="00AE7D1D"/>
    <w:rsid w:val="00AF11CA"/>
    <w:rsid w:val="00AF2B8B"/>
    <w:rsid w:val="00AF35FC"/>
    <w:rsid w:val="00AF4452"/>
    <w:rsid w:val="00AF482A"/>
    <w:rsid w:val="00AF5C26"/>
    <w:rsid w:val="00AF7725"/>
    <w:rsid w:val="00AF785E"/>
    <w:rsid w:val="00AF7CC3"/>
    <w:rsid w:val="00B0060B"/>
    <w:rsid w:val="00B00CE0"/>
    <w:rsid w:val="00B00D4A"/>
    <w:rsid w:val="00B00E4D"/>
    <w:rsid w:val="00B00EB1"/>
    <w:rsid w:val="00B023BB"/>
    <w:rsid w:val="00B10425"/>
    <w:rsid w:val="00B1244D"/>
    <w:rsid w:val="00B13371"/>
    <w:rsid w:val="00B13676"/>
    <w:rsid w:val="00B14275"/>
    <w:rsid w:val="00B1506E"/>
    <w:rsid w:val="00B200B8"/>
    <w:rsid w:val="00B20720"/>
    <w:rsid w:val="00B225AF"/>
    <w:rsid w:val="00B236EA"/>
    <w:rsid w:val="00B2440C"/>
    <w:rsid w:val="00B27A99"/>
    <w:rsid w:val="00B3051C"/>
    <w:rsid w:val="00B30733"/>
    <w:rsid w:val="00B31AD8"/>
    <w:rsid w:val="00B32AF6"/>
    <w:rsid w:val="00B33347"/>
    <w:rsid w:val="00B3389F"/>
    <w:rsid w:val="00B33B6A"/>
    <w:rsid w:val="00B352C9"/>
    <w:rsid w:val="00B35C83"/>
    <w:rsid w:val="00B4092F"/>
    <w:rsid w:val="00B40BA6"/>
    <w:rsid w:val="00B41972"/>
    <w:rsid w:val="00B448FB"/>
    <w:rsid w:val="00B4796A"/>
    <w:rsid w:val="00B500C3"/>
    <w:rsid w:val="00B5036C"/>
    <w:rsid w:val="00B506EF"/>
    <w:rsid w:val="00B53E65"/>
    <w:rsid w:val="00B6029F"/>
    <w:rsid w:val="00B608CB"/>
    <w:rsid w:val="00B61AB0"/>
    <w:rsid w:val="00B622A9"/>
    <w:rsid w:val="00B62BF0"/>
    <w:rsid w:val="00B6396E"/>
    <w:rsid w:val="00B63AE1"/>
    <w:rsid w:val="00B65CEF"/>
    <w:rsid w:val="00B6609E"/>
    <w:rsid w:val="00B7179F"/>
    <w:rsid w:val="00B728FE"/>
    <w:rsid w:val="00B72CFD"/>
    <w:rsid w:val="00B80BFE"/>
    <w:rsid w:val="00B81898"/>
    <w:rsid w:val="00B81A6C"/>
    <w:rsid w:val="00B83B11"/>
    <w:rsid w:val="00B85E92"/>
    <w:rsid w:val="00B867E1"/>
    <w:rsid w:val="00B90ACB"/>
    <w:rsid w:val="00B91282"/>
    <w:rsid w:val="00B914F4"/>
    <w:rsid w:val="00B9294D"/>
    <w:rsid w:val="00B92D3F"/>
    <w:rsid w:val="00B93107"/>
    <w:rsid w:val="00B9416B"/>
    <w:rsid w:val="00B9435B"/>
    <w:rsid w:val="00B96CDC"/>
    <w:rsid w:val="00BA19FB"/>
    <w:rsid w:val="00BA2297"/>
    <w:rsid w:val="00BA24D7"/>
    <w:rsid w:val="00BA3E3B"/>
    <w:rsid w:val="00BA4789"/>
    <w:rsid w:val="00BA5CE2"/>
    <w:rsid w:val="00BA661C"/>
    <w:rsid w:val="00BA75AB"/>
    <w:rsid w:val="00BA7D14"/>
    <w:rsid w:val="00BB010F"/>
    <w:rsid w:val="00BB25E5"/>
    <w:rsid w:val="00BB29F4"/>
    <w:rsid w:val="00BB3694"/>
    <w:rsid w:val="00BB413E"/>
    <w:rsid w:val="00BB5A06"/>
    <w:rsid w:val="00BC0B22"/>
    <w:rsid w:val="00BC101B"/>
    <w:rsid w:val="00BC1B79"/>
    <w:rsid w:val="00BC35BB"/>
    <w:rsid w:val="00BC3934"/>
    <w:rsid w:val="00BC3BD3"/>
    <w:rsid w:val="00BC59C9"/>
    <w:rsid w:val="00BC67E7"/>
    <w:rsid w:val="00BD0A3E"/>
    <w:rsid w:val="00BD127D"/>
    <w:rsid w:val="00BD218D"/>
    <w:rsid w:val="00BD21C6"/>
    <w:rsid w:val="00BD2FCB"/>
    <w:rsid w:val="00BD308F"/>
    <w:rsid w:val="00BD430E"/>
    <w:rsid w:val="00BD6994"/>
    <w:rsid w:val="00BD737B"/>
    <w:rsid w:val="00BE0244"/>
    <w:rsid w:val="00BE1D84"/>
    <w:rsid w:val="00BE22AF"/>
    <w:rsid w:val="00BE277E"/>
    <w:rsid w:val="00BE4CB5"/>
    <w:rsid w:val="00BE600D"/>
    <w:rsid w:val="00BE721D"/>
    <w:rsid w:val="00BE77D0"/>
    <w:rsid w:val="00BF1856"/>
    <w:rsid w:val="00BF1B11"/>
    <w:rsid w:val="00BF20F7"/>
    <w:rsid w:val="00BF278A"/>
    <w:rsid w:val="00BF3087"/>
    <w:rsid w:val="00BF35B8"/>
    <w:rsid w:val="00BF56EC"/>
    <w:rsid w:val="00BF6AB6"/>
    <w:rsid w:val="00BF7745"/>
    <w:rsid w:val="00C002CD"/>
    <w:rsid w:val="00C00895"/>
    <w:rsid w:val="00C01C1B"/>
    <w:rsid w:val="00C03BC0"/>
    <w:rsid w:val="00C03F1A"/>
    <w:rsid w:val="00C04D20"/>
    <w:rsid w:val="00C04E0A"/>
    <w:rsid w:val="00C05C34"/>
    <w:rsid w:val="00C0605B"/>
    <w:rsid w:val="00C076BC"/>
    <w:rsid w:val="00C07E0F"/>
    <w:rsid w:val="00C10FC7"/>
    <w:rsid w:val="00C113E5"/>
    <w:rsid w:val="00C1148A"/>
    <w:rsid w:val="00C133FC"/>
    <w:rsid w:val="00C13DA0"/>
    <w:rsid w:val="00C14772"/>
    <w:rsid w:val="00C14DBC"/>
    <w:rsid w:val="00C20B35"/>
    <w:rsid w:val="00C21A6C"/>
    <w:rsid w:val="00C22197"/>
    <w:rsid w:val="00C229D7"/>
    <w:rsid w:val="00C2325F"/>
    <w:rsid w:val="00C24041"/>
    <w:rsid w:val="00C25924"/>
    <w:rsid w:val="00C25FBA"/>
    <w:rsid w:val="00C274EA"/>
    <w:rsid w:val="00C320D9"/>
    <w:rsid w:val="00C33EB7"/>
    <w:rsid w:val="00C363A1"/>
    <w:rsid w:val="00C379D7"/>
    <w:rsid w:val="00C37C47"/>
    <w:rsid w:val="00C4145B"/>
    <w:rsid w:val="00C462CB"/>
    <w:rsid w:val="00C466A1"/>
    <w:rsid w:val="00C47B1A"/>
    <w:rsid w:val="00C50FEB"/>
    <w:rsid w:val="00C518D6"/>
    <w:rsid w:val="00C525A8"/>
    <w:rsid w:val="00C5334F"/>
    <w:rsid w:val="00C53806"/>
    <w:rsid w:val="00C53C98"/>
    <w:rsid w:val="00C54BA5"/>
    <w:rsid w:val="00C55613"/>
    <w:rsid w:val="00C55647"/>
    <w:rsid w:val="00C55803"/>
    <w:rsid w:val="00C55A51"/>
    <w:rsid w:val="00C56D69"/>
    <w:rsid w:val="00C575B5"/>
    <w:rsid w:val="00C575FF"/>
    <w:rsid w:val="00C578A7"/>
    <w:rsid w:val="00C62035"/>
    <w:rsid w:val="00C6223A"/>
    <w:rsid w:val="00C6226D"/>
    <w:rsid w:val="00C62F3C"/>
    <w:rsid w:val="00C63B20"/>
    <w:rsid w:val="00C63E88"/>
    <w:rsid w:val="00C64B87"/>
    <w:rsid w:val="00C72667"/>
    <w:rsid w:val="00C72A9B"/>
    <w:rsid w:val="00C72F0C"/>
    <w:rsid w:val="00C742CD"/>
    <w:rsid w:val="00C75377"/>
    <w:rsid w:val="00C77EB4"/>
    <w:rsid w:val="00C80112"/>
    <w:rsid w:val="00C825A4"/>
    <w:rsid w:val="00C84906"/>
    <w:rsid w:val="00C86381"/>
    <w:rsid w:val="00C87F3F"/>
    <w:rsid w:val="00C90BEE"/>
    <w:rsid w:val="00C929C1"/>
    <w:rsid w:val="00C92E84"/>
    <w:rsid w:val="00C95AD1"/>
    <w:rsid w:val="00C96F24"/>
    <w:rsid w:val="00C971CA"/>
    <w:rsid w:val="00CA1AD0"/>
    <w:rsid w:val="00CA2870"/>
    <w:rsid w:val="00CA3A22"/>
    <w:rsid w:val="00CA692E"/>
    <w:rsid w:val="00CA7160"/>
    <w:rsid w:val="00CA744F"/>
    <w:rsid w:val="00CA75C1"/>
    <w:rsid w:val="00CB1887"/>
    <w:rsid w:val="00CB2D2E"/>
    <w:rsid w:val="00CB43B6"/>
    <w:rsid w:val="00CB466B"/>
    <w:rsid w:val="00CB4937"/>
    <w:rsid w:val="00CB66BB"/>
    <w:rsid w:val="00CB6DD8"/>
    <w:rsid w:val="00CB7512"/>
    <w:rsid w:val="00CB75D9"/>
    <w:rsid w:val="00CB7A9F"/>
    <w:rsid w:val="00CB7FE4"/>
    <w:rsid w:val="00CC3233"/>
    <w:rsid w:val="00CC3824"/>
    <w:rsid w:val="00CC3E04"/>
    <w:rsid w:val="00CC51F4"/>
    <w:rsid w:val="00CC634D"/>
    <w:rsid w:val="00CC6F83"/>
    <w:rsid w:val="00CC79D7"/>
    <w:rsid w:val="00CD0BEB"/>
    <w:rsid w:val="00CD0CB2"/>
    <w:rsid w:val="00CD24C9"/>
    <w:rsid w:val="00CD2FB0"/>
    <w:rsid w:val="00CD421D"/>
    <w:rsid w:val="00CD5AB4"/>
    <w:rsid w:val="00CD5FC1"/>
    <w:rsid w:val="00CD7EF5"/>
    <w:rsid w:val="00CE05CA"/>
    <w:rsid w:val="00CE5F0C"/>
    <w:rsid w:val="00CE6E8E"/>
    <w:rsid w:val="00CE7E5D"/>
    <w:rsid w:val="00CF218D"/>
    <w:rsid w:val="00CF2555"/>
    <w:rsid w:val="00CF2826"/>
    <w:rsid w:val="00CF3178"/>
    <w:rsid w:val="00CF75FC"/>
    <w:rsid w:val="00D02571"/>
    <w:rsid w:val="00D02A5C"/>
    <w:rsid w:val="00D0560C"/>
    <w:rsid w:val="00D06841"/>
    <w:rsid w:val="00D1001F"/>
    <w:rsid w:val="00D1025D"/>
    <w:rsid w:val="00D103F1"/>
    <w:rsid w:val="00D134ED"/>
    <w:rsid w:val="00D13895"/>
    <w:rsid w:val="00D1473E"/>
    <w:rsid w:val="00D15156"/>
    <w:rsid w:val="00D157E9"/>
    <w:rsid w:val="00D16243"/>
    <w:rsid w:val="00D16F25"/>
    <w:rsid w:val="00D2033A"/>
    <w:rsid w:val="00D20DB8"/>
    <w:rsid w:val="00D22E42"/>
    <w:rsid w:val="00D24F6E"/>
    <w:rsid w:val="00D251D3"/>
    <w:rsid w:val="00D2654C"/>
    <w:rsid w:val="00D314BF"/>
    <w:rsid w:val="00D318D4"/>
    <w:rsid w:val="00D31B02"/>
    <w:rsid w:val="00D322FC"/>
    <w:rsid w:val="00D33758"/>
    <w:rsid w:val="00D354D0"/>
    <w:rsid w:val="00D3664D"/>
    <w:rsid w:val="00D37231"/>
    <w:rsid w:val="00D37C74"/>
    <w:rsid w:val="00D4081C"/>
    <w:rsid w:val="00D40981"/>
    <w:rsid w:val="00D40B94"/>
    <w:rsid w:val="00D412E4"/>
    <w:rsid w:val="00D4327F"/>
    <w:rsid w:val="00D43961"/>
    <w:rsid w:val="00D440CB"/>
    <w:rsid w:val="00D456AC"/>
    <w:rsid w:val="00D45989"/>
    <w:rsid w:val="00D46487"/>
    <w:rsid w:val="00D46DC2"/>
    <w:rsid w:val="00D50653"/>
    <w:rsid w:val="00D550C7"/>
    <w:rsid w:val="00D552CE"/>
    <w:rsid w:val="00D556A9"/>
    <w:rsid w:val="00D558DB"/>
    <w:rsid w:val="00D562D2"/>
    <w:rsid w:val="00D565B0"/>
    <w:rsid w:val="00D64FCE"/>
    <w:rsid w:val="00D66A45"/>
    <w:rsid w:val="00D67C97"/>
    <w:rsid w:val="00D73E5C"/>
    <w:rsid w:val="00D74CFB"/>
    <w:rsid w:val="00D754EB"/>
    <w:rsid w:val="00D75531"/>
    <w:rsid w:val="00D774D9"/>
    <w:rsid w:val="00D80B3F"/>
    <w:rsid w:val="00D824CE"/>
    <w:rsid w:val="00D83B77"/>
    <w:rsid w:val="00D84138"/>
    <w:rsid w:val="00D84A25"/>
    <w:rsid w:val="00D85778"/>
    <w:rsid w:val="00D8617E"/>
    <w:rsid w:val="00D86198"/>
    <w:rsid w:val="00D925F6"/>
    <w:rsid w:val="00D94143"/>
    <w:rsid w:val="00D95DC2"/>
    <w:rsid w:val="00D9747E"/>
    <w:rsid w:val="00D97A72"/>
    <w:rsid w:val="00DA04D5"/>
    <w:rsid w:val="00DA098F"/>
    <w:rsid w:val="00DA0A26"/>
    <w:rsid w:val="00DA19F8"/>
    <w:rsid w:val="00DA1C00"/>
    <w:rsid w:val="00DA25E3"/>
    <w:rsid w:val="00DA3B5D"/>
    <w:rsid w:val="00DA5F04"/>
    <w:rsid w:val="00DB1013"/>
    <w:rsid w:val="00DB231B"/>
    <w:rsid w:val="00DB5E05"/>
    <w:rsid w:val="00DB6BB8"/>
    <w:rsid w:val="00DC07E7"/>
    <w:rsid w:val="00DC1354"/>
    <w:rsid w:val="00DC379A"/>
    <w:rsid w:val="00DC42AA"/>
    <w:rsid w:val="00DC554D"/>
    <w:rsid w:val="00DC5BBC"/>
    <w:rsid w:val="00DD19A7"/>
    <w:rsid w:val="00DD2735"/>
    <w:rsid w:val="00DD2FEF"/>
    <w:rsid w:val="00DD3E09"/>
    <w:rsid w:val="00DD5F7A"/>
    <w:rsid w:val="00DD65A9"/>
    <w:rsid w:val="00DD6AF8"/>
    <w:rsid w:val="00DD7E0D"/>
    <w:rsid w:val="00DE19F8"/>
    <w:rsid w:val="00DE2AEC"/>
    <w:rsid w:val="00DE6018"/>
    <w:rsid w:val="00DF0C9F"/>
    <w:rsid w:val="00DF1DE2"/>
    <w:rsid w:val="00DF2577"/>
    <w:rsid w:val="00DF3099"/>
    <w:rsid w:val="00DF318D"/>
    <w:rsid w:val="00DF3DE7"/>
    <w:rsid w:val="00DF5578"/>
    <w:rsid w:val="00DF5F28"/>
    <w:rsid w:val="00DF6B46"/>
    <w:rsid w:val="00DF715A"/>
    <w:rsid w:val="00E00917"/>
    <w:rsid w:val="00E019DF"/>
    <w:rsid w:val="00E031F7"/>
    <w:rsid w:val="00E040D7"/>
    <w:rsid w:val="00E04206"/>
    <w:rsid w:val="00E05954"/>
    <w:rsid w:val="00E06B0B"/>
    <w:rsid w:val="00E074A0"/>
    <w:rsid w:val="00E145C6"/>
    <w:rsid w:val="00E154D2"/>
    <w:rsid w:val="00E16F58"/>
    <w:rsid w:val="00E20C17"/>
    <w:rsid w:val="00E21896"/>
    <w:rsid w:val="00E22799"/>
    <w:rsid w:val="00E23320"/>
    <w:rsid w:val="00E2420B"/>
    <w:rsid w:val="00E24A26"/>
    <w:rsid w:val="00E25255"/>
    <w:rsid w:val="00E254A3"/>
    <w:rsid w:val="00E25DA2"/>
    <w:rsid w:val="00E26C47"/>
    <w:rsid w:val="00E27B30"/>
    <w:rsid w:val="00E30760"/>
    <w:rsid w:val="00E314CA"/>
    <w:rsid w:val="00E327A1"/>
    <w:rsid w:val="00E3506E"/>
    <w:rsid w:val="00E35710"/>
    <w:rsid w:val="00E3618F"/>
    <w:rsid w:val="00E37FEB"/>
    <w:rsid w:val="00E408E2"/>
    <w:rsid w:val="00E41BC7"/>
    <w:rsid w:val="00E41C58"/>
    <w:rsid w:val="00E41EA5"/>
    <w:rsid w:val="00E4229F"/>
    <w:rsid w:val="00E43281"/>
    <w:rsid w:val="00E50E6B"/>
    <w:rsid w:val="00E5227A"/>
    <w:rsid w:val="00E529BE"/>
    <w:rsid w:val="00E52E63"/>
    <w:rsid w:val="00E53657"/>
    <w:rsid w:val="00E55EA3"/>
    <w:rsid w:val="00E5617F"/>
    <w:rsid w:val="00E62FE4"/>
    <w:rsid w:val="00E63148"/>
    <w:rsid w:val="00E633F6"/>
    <w:rsid w:val="00E649F6"/>
    <w:rsid w:val="00E6590E"/>
    <w:rsid w:val="00E666DC"/>
    <w:rsid w:val="00E67300"/>
    <w:rsid w:val="00E674B9"/>
    <w:rsid w:val="00E67D41"/>
    <w:rsid w:val="00E70405"/>
    <w:rsid w:val="00E7087C"/>
    <w:rsid w:val="00E70A24"/>
    <w:rsid w:val="00E7138B"/>
    <w:rsid w:val="00E72C70"/>
    <w:rsid w:val="00E740F7"/>
    <w:rsid w:val="00E7563A"/>
    <w:rsid w:val="00E759C1"/>
    <w:rsid w:val="00E81C0F"/>
    <w:rsid w:val="00E81E49"/>
    <w:rsid w:val="00E82C4A"/>
    <w:rsid w:val="00E84F6E"/>
    <w:rsid w:val="00E868FC"/>
    <w:rsid w:val="00E87928"/>
    <w:rsid w:val="00E87ACC"/>
    <w:rsid w:val="00E9048B"/>
    <w:rsid w:val="00E90D72"/>
    <w:rsid w:val="00E91886"/>
    <w:rsid w:val="00E932FF"/>
    <w:rsid w:val="00E93EDC"/>
    <w:rsid w:val="00E94088"/>
    <w:rsid w:val="00E97C48"/>
    <w:rsid w:val="00EA11F2"/>
    <w:rsid w:val="00EA186D"/>
    <w:rsid w:val="00EA1E79"/>
    <w:rsid w:val="00EA3D60"/>
    <w:rsid w:val="00EA4AA9"/>
    <w:rsid w:val="00EA4F41"/>
    <w:rsid w:val="00EA5618"/>
    <w:rsid w:val="00EA6081"/>
    <w:rsid w:val="00EA64F9"/>
    <w:rsid w:val="00EA6BA3"/>
    <w:rsid w:val="00EB1912"/>
    <w:rsid w:val="00EB1AAD"/>
    <w:rsid w:val="00EB49E6"/>
    <w:rsid w:val="00EB663D"/>
    <w:rsid w:val="00EC0570"/>
    <w:rsid w:val="00EC0A83"/>
    <w:rsid w:val="00EC0F3A"/>
    <w:rsid w:val="00EC2A53"/>
    <w:rsid w:val="00EC38F3"/>
    <w:rsid w:val="00EC4322"/>
    <w:rsid w:val="00EC4628"/>
    <w:rsid w:val="00EC5310"/>
    <w:rsid w:val="00EC5CF1"/>
    <w:rsid w:val="00ED0559"/>
    <w:rsid w:val="00ED1265"/>
    <w:rsid w:val="00ED3876"/>
    <w:rsid w:val="00ED450A"/>
    <w:rsid w:val="00ED623F"/>
    <w:rsid w:val="00ED789E"/>
    <w:rsid w:val="00EE04B3"/>
    <w:rsid w:val="00EE17ED"/>
    <w:rsid w:val="00EE2687"/>
    <w:rsid w:val="00EE28EF"/>
    <w:rsid w:val="00EE3196"/>
    <w:rsid w:val="00EE5A1F"/>
    <w:rsid w:val="00EE7536"/>
    <w:rsid w:val="00EF13D7"/>
    <w:rsid w:val="00EF15DB"/>
    <w:rsid w:val="00EF2027"/>
    <w:rsid w:val="00EF332A"/>
    <w:rsid w:val="00EF4160"/>
    <w:rsid w:val="00EF6FE4"/>
    <w:rsid w:val="00F036C9"/>
    <w:rsid w:val="00F04D60"/>
    <w:rsid w:val="00F05911"/>
    <w:rsid w:val="00F05A8A"/>
    <w:rsid w:val="00F06286"/>
    <w:rsid w:val="00F06D57"/>
    <w:rsid w:val="00F07D16"/>
    <w:rsid w:val="00F11E04"/>
    <w:rsid w:val="00F12329"/>
    <w:rsid w:val="00F12358"/>
    <w:rsid w:val="00F13CB6"/>
    <w:rsid w:val="00F15221"/>
    <w:rsid w:val="00F15800"/>
    <w:rsid w:val="00F15AA5"/>
    <w:rsid w:val="00F16732"/>
    <w:rsid w:val="00F17C07"/>
    <w:rsid w:val="00F20E78"/>
    <w:rsid w:val="00F22447"/>
    <w:rsid w:val="00F232A2"/>
    <w:rsid w:val="00F23348"/>
    <w:rsid w:val="00F239CC"/>
    <w:rsid w:val="00F24046"/>
    <w:rsid w:val="00F2453B"/>
    <w:rsid w:val="00F24808"/>
    <w:rsid w:val="00F24A06"/>
    <w:rsid w:val="00F24B38"/>
    <w:rsid w:val="00F267CB"/>
    <w:rsid w:val="00F30A47"/>
    <w:rsid w:val="00F30B8A"/>
    <w:rsid w:val="00F30CB6"/>
    <w:rsid w:val="00F31321"/>
    <w:rsid w:val="00F32FBB"/>
    <w:rsid w:val="00F33F26"/>
    <w:rsid w:val="00F346D7"/>
    <w:rsid w:val="00F3513A"/>
    <w:rsid w:val="00F37323"/>
    <w:rsid w:val="00F40444"/>
    <w:rsid w:val="00F4050F"/>
    <w:rsid w:val="00F4263B"/>
    <w:rsid w:val="00F42CDB"/>
    <w:rsid w:val="00F43387"/>
    <w:rsid w:val="00F440FD"/>
    <w:rsid w:val="00F4461E"/>
    <w:rsid w:val="00F44F7B"/>
    <w:rsid w:val="00F4567A"/>
    <w:rsid w:val="00F46A6C"/>
    <w:rsid w:val="00F46E6A"/>
    <w:rsid w:val="00F47F5E"/>
    <w:rsid w:val="00F50223"/>
    <w:rsid w:val="00F50F2B"/>
    <w:rsid w:val="00F530B8"/>
    <w:rsid w:val="00F538F6"/>
    <w:rsid w:val="00F539F8"/>
    <w:rsid w:val="00F53CC0"/>
    <w:rsid w:val="00F54393"/>
    <w:rsid w:val="00F56849"/>
    <w:rsid w:val="00F568E3"/>
    <w:rsid w:val="00F600E1"/>
    <w:rsid w:val="00F61899"/>
    <w:rsid w:val="00F623FB"/>
    <w:rsid w:val="00F62538"/>
    <w:rsid w:val="00F62998"/>
    <w:rsid w:val="00F64338"/>
    <w:rsid w:val="00F657DA"/>
    <w:rsid w:val="00F66452"/>
    <w:rsid w:val="00F728D8"/>
    <w:rsid w:val="00F72C62"/>
    <w:rsid w:val="00F75238"/>
    <w:rsid w:val="00F752B5"/>
    <w:rsid w:val="00F76484"/>
    <w:rsid w:val="00F77F8C"/>
    <w:rsid w:val="00F80266"/>
    <w:rsid w:val="00F817E9"/>
    <w:rsid w:val="00F833A0"/>
    <w:rsid w:val="00F83BA4"/>
    <w:rsid w:val="00F84041"/>
    <w:rsid w:val="00F848CF"/>
    <w:rsid w:val="00F86C6A"/>
    <w:rsid w:val="00F90A69"/>
    <w:rsid w:val="00F92907"/>
    <w:rsid w:val="00F97109"/>
    <w:rsid w:val="00FA1340"/>
    <w:rsid w:val="00FA1D39"/>
    <w:rsid w:val="00FA47F4"/>
    <w:rsid w:val="00FA674B"/>
    <w:rsid w:val="00FA718E"/>
    <w:rsid w:val="00FA7E8D"/>
    <w:rsid w:val="00FB03C7"/>
    <w:rsid w:val="00FB35DF"/>
    <w:rsid w:val="00FB4742"/>
    <w:rsid w:val="00FB48D5"/>
    <w:rsid w:val="00FB4FBD"/>
    <w:rsid w:val="00FB713E"/>
    <w:rsid w:val="00FB7432"/>
    <w:rsid w:val="00FB779A"/>
    <w:rsid w:val="00FC0A31"/>
    <w:rsid w:val="00FC1DDF"/>
    <w:rsid w:val="00FC20A0"/>
    <w:rsid w:val="00FC7DFE"/>
    <w:rsid w:val="00FD0C42"/>
    <w:rsid w:val="00FD14CD"/>
    <w:rsid w:val="00FD6686"/>
    <w:rsid w:val="00FE022E"/>
    <w:rsid w:val="00FE090A"/>
    <w:rsid w:val="00FE14F2"/>
    <w:rsid w:val="00FE2851"/>
    <w:rsid w:val="00FE3344"/>
    <w:rsid w:val="00FE33A8"/>
    <w:rsid w:val="00FE34E8"/>
    <w:rsid w:val="00FE43C8"/>
    <w:rsid w:val="00FE6BF3"/>
    <w:rsid w:val="00FE7095"/>
    <w:rsid w:val="00FF076F"/>
    <w:rsid w:val="00FF1046"/>
    <w:rsid w:val="00FF29B9"/>
    <w:rsid w:val="00FF441F"/>
    <w:rsid w:val="00FF5BDB"/>
    <w:rsid w:val="00FF6AB3"/>
    <w:rsid w:val="00FF6AE0"/>
    <w:rsid w:val="00FF777D"/>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82D0B1"/>
  <w15:docId w15:val="{B8BE5DFF-FF7D-4890-93F3-1754EB29D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 w:hAnsi="Cambria" w:cs="Times New Roman"/>
        <w:sz w:val="24"/>
        <w:szCs w:val="24"/>
        <w:lang w:val="en-US" w:eastAsia="de-DE" w:bidi="ar-SA"/>
      </w:rPr>
    </w:rPrDefault>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uiPriority="35"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uiPriority="6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47B9C"/>
    <w:pPr>
      <w:spacing w:before="120" w:after="120" w:line="360" w:lineRule="auto"/>
      <w:jc w:val="both"/>
    </w:pPr>
    <w:rPr>
      <w:rFonts w:ascii="Calibri" w:hAnsi="Calibri" w:cs="Cambria"/>
      <w:lang w:val="es-ES_tradnl"/>
    </w:rPr>
  </w:style>
  <w:style w:type="paragraph" w:styleId="Heading1">
    <w:name w:val="heading 1"/>
    <w:basedOn w:val="Normal"/>
    <w:next w:val="Normal"/>
    <w:link w:val="Heading1Char"/>
    <w:uiPriority w:val="9"/>
    <w:qFormat/>
    <w:rsid w:val="00D314BF"/>
    <w:pPr>
      <w:keepNext/>
      <w:keepLines/>
      <w:numPr>
        <w:numId w:val="1"/>
      </w:numPr>
      <w:spacing w:before="480"/>
      <w:outlineLvl w:val="0"/>
    </w:pPr>
    <w:rPr>
      <w:rFonts w:eastAsia="MS ????" w:cs="Calibri"/>
      <w:b/>
      <w:bCs/>
      <w:smallCaps/>
      <w:color w:val="404040" w:themeColor="text1" w:themeTint="BF"/>
      <w:sz w:val="32"/>
      <w:szCs w:val="28"/>
    </w:rPr>
  </w:style>
  <w:style w:type="paragraph" w:styleId="Heading2">
    <w:name w:val="heading 2"/>
    <w:basedOn w:val="Normal"/>
    <w:next w:val="Normal"/>
    <w:link w:val="Heading2Char"/>
    <w:uiPriority w:val="9"/>
    <w:qFormat/>
    <w:rsid w:val="00D314BF"/>
    <w:pPr>
      <w:keepNext/>
      <w:keepLines/>
      <w:numPr>
        <w:ilvl w:val="1"/>
        <w:numId w:val="1"/>
      </w:numPr>
      <w:spacing w:before="200"/>
      <w:outlineLvl w:val="1"/>
    </w:pPr>
    <w:rPr>
      <w:rFonts w:asciiTheme="majorHAnsi" w:eastAsia="MS Gothic" w:hAnsiTheme="majorHAnsi" w:cs="Times New Roman"/>
      <w:b/>
      <w:bCs/>
      <w:color w:val="365F91" w:themeColor="accent1" w:themeShade="BF"/>
      <w:szCs w:val="26"/>
    </w:rPr>
  </w:style>
  <w:style w:type="paragraph" w:styleId="Heading3">
    <w:name w:val="heading 3"/>
    <w:basedOn w:val="Normal"/>
    <w:next w:val="Normal"/>
    <w:link w:val="Heading3Char"/>
    <w:uiPriority w:val="9"/>
    <w:qFormat/>
    <w:rsid w:val="002A7E19"/>
    <w:pPr>
      <w:outlineLvl w:val="2"/>
    </w:pPr>
    <w:rPr>
      <w:b/>
      <w:bCs/>
    </w:rPr>
  </w:style>
  <w:style w:type="paragraph" w:styleId="Heading4">
    <w:name w:val="heading 4"/>
    <w:basedOn w:val="Normal"/>
    <w:next w:val="Normal"/>
    <w:link w:val="Heading4Char"/>
    <w:unhideWhenUsed/>
    <w:qFormat/>
    <w:rsid w:val="00D314B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22747C"/>
    <w:pPr>
      <w:keepNext/>
      <w:keepLines/>
      <w:numPr>
        <w:ilvl w:val="4"/>
        <w:numId w:val="3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22747C"/>
    <w:pPr>
      <w:keepNext/>
      <w:keepLines/>
      <w:numPr>
        <w:ilvl w:val="5"/>
        <w:numId w:val="3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22747C"/>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22747C"/>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22747C"/>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314BF"/>
    <w:rPr>
      <w:rFonts w:ascii="Calibri" w:eastAsia="MS ????" w:hAnsi="Calibri" w:cs="Calibri"/>
      <w:b/>
      <w:bCs/>
      <w:smallCaps/>
      <w:color w:val="404040" w:themeColor="text1" w:themeTint="BF"/>
      <w:sz w:val="32"/>
      <w:szCs w:val="28"/>
      <w:lang w:val="es-ES_tradnl"/>
    </w:rPr>
  </w:style>
  <w:style w:type="character" w:customStyle="1" w:styleId="Heading2Char">
    <w:name w:val="Heading 2 Char"/>
    <w:link w:val="Heading2"/>
    <w:uiPriority w:val="9"/>
    <w:rsid w:val="00D314BF"/>
    <w:rPr>
      <w:rFonts w:asciiTheme="majorHAnsi" w:eastAsia="MS Gothic" w:hAnsiTheme="majorHAnsi"/>
      <w:b/>
      <w:bCs/>
      <w:color w:val="365F91" w:themeColor="accent1" w:themeShade="BF"/>
      <w:szCs w:val="26"/>
      <w:lang w:val="es-ES_tradnl"/>
    </w:rPr>
  </w:style>
  <w:style w:type="paragraph" w:styleId="Header">
    <w:name w:val="header"/>
    <w:basedOn w:val="Normal"/>
    <w:link w:val="HeaderChar"/>
    <w:uiPriority w:val="99"/>
    <w:rsid w:val="00B2440C"/>
    <w:pPr>
      <w:tabs>
        <w:tab w:val="center" w:pos="4536"/>
        <w:tab w:val="right" w:pos="9072"/>
      </w:tabs>
    </w:pPr>
  </w:style>
  <w:style w:type="character" w:customStyle="1" w:styleId="HeaderChar">
    <w:name w:val="Header Char"/>
    <w:link w:val="Header"/>
    <w:uiPriority w:val="99"/>
    <w:rsid w:val="00B2440C"/>
    <w:rPr>
      <w:lang w:val="en-GB"/>
    </w:rPr>
  </w:style>
  <w:style w:type="paragraph" w:styleId="Footer">
    <w:name w:val="footer"/>
    <w:basedOn w:val="Normal"/>
    <w:link w:val="FooterChar"/>
    <w:uiPriority w:val="99"/>
    <w:rsid w:val="00B2440C"/>
    <w:pPr>
      <w:tabs>
        <w:tab w:val="center" w:pos="4536"/>
        <w:tab w:val="right" w:pos="9072"/>
      </w:tabs>
    </w:pPr>
  </w:style>
  <w:style w:type="character" w:customStyle="1" w:styleId="FooterChar">
    <w:name w:val="Footer Char"/>
    <w:link w:val="Footer"/>
    <w:uiPriority w:val="99"/>
    <w:rsid w:val="00B2440C"/>
    <w:rPr>
      <w:lang w:val="en-GB"/>
    </w:rPr>
  </w:style>
  <w:style w:type="paragraph" w:styleId="BalloonText">
    <w:name w:val="Balloon Text"/>
    <w:basedOn w:val="Normal"/>
    <w:link w:val="BalloonTextChar"/>
    <w:uiPriority w:val="99"/>
    <w:semiHidden/>
    <w:rsid w:val="00B2440C"/>
    <w:rPr>
      <w:rFonts w:ascii="Lucida Grande" w:hAnsi="Lucida Grande" w:cs="Lucida Grande"/>
      <w:sz w:val="18"/>
      <w:szCs w:val="18"/>
    </w:rPr>
  </w:style>
  <w:style w:type="character" w:customStyle="1" w:styleId="BalloonTextChar">
    <w:name w:val="Balloon Text Char"/>
    <w:link w:val="BalloonText"/>
    <w:uiPriority w:val="99"/>
    <w:semiHidden/>
    <w:rsid w:val="00B2440C"/>
    <w:rPr>
      <w:rFonts w:ascii="Lucida Grande" w:hAnsi="Lucida Grande" w:cs="Lucida Grande"/>
      <w:sz w:val="18"/>
      <w:szCs w:val="18"/>
      <w:lang w:val="en-GB"/>
    </w:rPr>
  </w:style>
  <w:style w:type="paragraph" w:styleId="TOCHeading">
    <w:name w:val="TOC Heading"/>
    <w:basedOn w:val="Heading1"/>
    <w:next w:val="Normal"/>
    <w:uiPriority w:val="39"/>
    <w:qFormat/>
    <w:rsid w:val="003966A0"/>
    <w:pPr>
      <w:spacing w:line="276" w:lineRule="auto"/>
      <w:outlineLvl w:val="9"/>
    </w:pPr>
    <w:rPr>
      <w:color w:val="365F91"/>
      <w:sz w:val="28"/>
      <w:lang w:val="de-DE"/>
    </w:rPr>
  </w:style>
  <w:style w:type="paragraph" w:styleId="TOC1">
    <w:name w:val="toc 1"/>
    <w:basedOn w:val="Normal"/>
    <w:next w:val="Normal"/>
    <w:autoRedefine/>
    <w:uiPriority w:val="39"/>
    <w:rsid w:val="00857C3F"/>
    <w:pPr>
      <w:jc w:val="left"/>
    </w:pPr>
    <w:rPr>
      <w:rFonts w:asciiTheme="minorHAnsi" w:hAnsiTheme="minorHAnsi"/>
      <w:b/>
      <w:caps/>
      <w:sz w:val="22"/>
      <w:szCs w:val="22"/>
    </w:rPr>
  </w:style>
  <w:style w:type="paragraph" w:styleId="TOC2">
    <w:name w:val="toc 2"/>
    <w:basedOn w:val="Normal"/>
    <w:next w:val="Normal"/>
    <w:autoRedefine/>
    <w:uiPriority w:val="39"/>
    <w:rsid w:val="005C3569"/>
    <w:pPr>
      <w:ind w:left="240"/>
      <w:jc w:val="left"/>
    </w:pPr>
    <w:rPr>
      <w:rFonts w:asciiTheme="minorHAnsi" w:hAnsiTheme="minorHAnsi"/>
      <w:smallCaps/>
      <w:sz w:val="22"/>
      <w:szCs w:val="22"/>
    </w:rPr>
  </w:style>
  <w:style w:type="paragraph" w:styleId="TOC3">
    <w:name w:val="toc 3"/>
    <w:basedOn w:val="Normal"/>
    <w:next w:val="Normal"/>
    <w:autoRedefine/>
    <w:uiPriority w:val="39"/>
    <w:rsid w:val="005C3569"/>
    <w:pPr>
      <w:ind w:left="480"/>
      <w:jc w:val="left"/>
    </w:pPr>
    <w:rPr>
      <w:rFonts w:asciiTheme="minorHAnsi" w:hAnsiTheme="minorHAnsi"/>
      <w:i/>
      <w:sz w:val="22"/>
      <w:szCs w:val="22"/>
    </w:rPr>
  </w:style>
  <w:style w:type="paragraph" w:styleId="TOC4">
    <w:name w:val="toc 4"/>
    <w:basedOn w:val="Normal"/>
    <w:next w:val="Normal"/>
    <w:autoRedefine/>
    <w:uiPriority w:val="39"/>
    <w:rsid w:val="003966A0"/>
    <w:pPr>
      <w:ind w:left="720"/>
      <w:jc w:val="left"/>
    </w:pPr>
    <w:rPr>
      <w:rFonts w:asciiTheme="minorHAnsi" w:hAnsiTheme="minorHAnsi"/>
      <w:sz w:val="18"/>
      <w:szCs w:val="18"/>
    </w:rPr>
  </w:style>
  <w:style w:type="paragraph" w:styleId="TOC5">
    <w:name w:val="toc 5"/>
    <w:basedOn w:val="Normal"/>
    <w:next w:val="Normal"/>
    <w:autoRedefine/>
    <w:uiPriority w:val="39"/>
    <w:rsid w:val="003966A0"/>
    <w:pPr>
      <w:ind w:left="960"/>
      <w:jc w:val="left"/>
    </w:pPr>
    <w:rPr>
      <w:rFonts w:asciiTheme="minorHAnsi" w:hAnsiTheme="minorHAnsi"/>
      <w:sz w:val="18"/>
      <w:szCs w:val="18"/>
    </w:rPr>
  </w:style>
  <w:style w:type="paragraph" w:styleId="TOC6">
    <w:name w:val="toc 6"/>
    <w:basedOn w:val="Normal"/>
    <w:next w:val="Normal"/>
    <w:autoRedefine/>
    <w:uiPriority w:val="39"/>
    <w:rsid w:val="003966A0"/>
    <w:pPr>
      <w:ind w:left="1200"/>
      <w:jc w:val="left"/>
    </w:pPr>
    <w:rPr>
      <w:rFonts w:asciiTheme="minorHAnsi" w:hAnsiTheme="minorHAnsi"/>
      <w:sz w:val="18"/>
      <w:szCs w:val="18"/>
    </w:rPr>
  </w:style>
  <w:style w:type="paragraph" w:styleId="TOC7">
    <w:name w:val="toc 7"/>
    <w:basedOn w:val="Normal"/>
    <w:next w:val="Normal"/>
    <w:autoRedefine/>
    <w:uiPriority w:val="39"/>
    <w:rsid w:val="003966A0"/>
    <w:pPr>
      <w:ind w:left="1440"/>
      <w:jc w:val="left"/>
    </w:pPr>
    <w:rPr>
      <w:rFonts w:asciiTheme="minorHAnsi" w:hAnsiTheme="minorHAnsi"/>
      <w:sz w:val="18"/>
      <w:szCs w:val="18"/>
    </w:rPr>
  </w:style>
  <w:style w:type="paragraph" w:styleId="TOC8">
    <w:name w:val="toc 8"/>
    <w:basedOn w:val="Normal"/>
    <w:next w:val="Normal"/>
    <w:autoRedefine/>
    <w:uiPriority w:val="39"/>
    <w:rsid w:val="003966A0"/>
    <w:pPr>
      <w:ind w:left="1680"/>
      <w:jc w:val="left"/>
    </w:pPr>
    <w:rPr>
      <w:rFonts w:asciiTheme="minorHAnsi" w:hAnsiTheme="minorHAnsi"/>
      <w:sz w:val="18"/>
      <w:szCs w:val="18"/>
    </w:rPr>
  </w:style>
  <w:style w:type="paragraph" w:styleId="TOC9">
    <w:name w:val="toc 9"/>
    <w:basedOn w:val="Normal"/>
    <w:next w:val="Normal"/>
    <w:autoRedefine/>
    <w:uiPriority w:val="39"/>
    <w:rsid w:val="003966A0"/>
    <w:pPr>
      <w:ind w:left="1920"/>
      <w:jc w:val="left"/>
    </w:pPr>
    <w:rPr>
      <w:rFonts w:asciiTheme="minorHAnsi" w:hAnsiTheme="minorHAnsi"/>
      <w:sz w:val="18"/>
      <w:szCs w:val="18"/>
    </w:rPr>
  </w:style>
  <w:style w:type="paragraph" w:customStyle="1" w:styleId="Formatvorlage1">
    <w:name w:val="Formatvorlage1"/>
    <w:basedOn w:val="Normal"/>
    <w:uiPriority w:val="99"/>
    <w:rsid w:val="003966A0"/>
    <w:rPr>
      <w:rFonts w:cs="Calibri"/>
    </w:rPr>
  </w:style>
  <w:style w:type="character" w:styleId="PageNumber">
    <w:name w:val="page number"/>
    <w:basedOn w:val="DefaultParagraphFont"/>
    <w:uiPriority w:val="99"/>
    <w:semiHidden/>
    <w:rsid w:val="00A04480"/>
  </w:style>
  <w:style w:type="paragraph" w:customStyle="1" w:styleId="SECOHeading1">
    <w:name w:val="SECO Heading 1"/>
    <w:basedOn w:val="Normal"/>
    <w:uiPriority w:val="99"/>
    <w:rsid w:val="004C028C"/>
    <w:rPr>
      <w:rFonts w:cs="Calibri"/>
      <w:b/>
      <w:bCs/>
      <w:sz w:val="32"/>
      <w:szCs w:val="32"/>
    </w:rPr>
  </w:style>
  <w:style w:type="paragraph" w:customStyle="1" w:styleId="SECOHeading2">
    <w:name w:val="SECO Heading 2"/>
    <w:basedOn w:val="Formatvorlage1"/>
    <w:uiPriority w:val="99"/>
    <w:rsid w:val="004C028C"/>
    <w:rPr>
      <w:b/>
      <w:bCs/>
    </w:rPr>
  </w:style>
  <w:style w:type="paragraph" w:customStyle="1" w:styleId="SECOHeading3">
    <w:name w:val="SECO Heading 3"/>
    <w:basedOn w:val="Formatvorlage1"/>
    <w:rsid w:val="004C028C"/>
    <w:rPr>
      <w:i/>
      <w:iCs/>
    </w:rPr>
  </w:style>
  <w:style w:type="paragraph" w:customStyle="1" w:styleId="SECOContents1">
    <w:name w:val="SECO Contents 1"/>
    <w:basedOn w:val="TOC1"/>
    <w:uiPriority w:val="99"/>
    <w:rsid w:val="005C3569"/>
    <w:rPr>
      <w:noProof/>
    </w:rPr>
  </w:style>
  <w:style w:type="paragraph" w:customStyle="1" w:styleId="FarbigeListe-Akzent11">
    <w:name w:val="Farbige Liste - Akzent 11"/>
    <w:basedOn w:val="Normal"/>
    <w:uiPriority w:val="34"/>
    <w:qFormat/>
    <w:rsid w:val="00E759C1"/>
    <w:pPr>
      <w:ind w:left="720"/>
      <w:contextualSpacing/>
    </w:pPr>
  </w:style>
  <w:style w:type="paragraph" w:styleId="FootnoteText">
    <w:name w:val="footnote text"/>
    <w:basedOn w:val="Normal"/>
    <w:link w:val="FootnoteTextChar"/>
    <w:uiPriority w:val="99"/>
    <w:qFormat/>
    <w:rsid w:val="006D021C"/>
    <w:pPr>
      <w:keepNext/>
      <w:keepLines/>
      <w:spacing w:before="0" w:line="240" w:lineRule="auto"/>
      <w:ind w:left="288" w:hanging="288"/>
    </w:pPr>
    <w:rPr>
      <w:rFonts w:ascii="Times New Roman" w:hAnsi="Times New Roman" w:cs="Times New Roman"/>
      <w:spacing w:val="-3"/>
      <w:sz w:val="20"/>
    </w:rPr>
  </w:style>
  <w:style w:type="character" w:customStyle="1" w:styleId="FootnoteTextChar">
    <w:name w:val="Footnote Text Char"/>
    <w:link w:val="FootnoteText"/>
    <w:uiPriority w:val="99"/>
    <w:rsid w:val="006D021C"/>
    <w:rPr>
      <w:rFonts w:ascii="Times New Roman" w:hAnsi="Times New Roman"/>
      <w:spacing w:val="-3"/>
      <w:sz w:val="20"/>
      <w:lang w:val="es-ES_tradnl"/>
    </w:rPr>
  </w:style>
  <w:style w:type="character" w:styleId="FootnoteReference">
    <w:name w:val="footnote reference"/>
    <w:aliases w:val="referencia nota al pie,Ref,de nota al pie,Nota de pie,Ref. de nota al pie2,Massilia Footnote Reference,Nota al pie info 1,Footnote,ftref,16 Point,Superscript 6 Point,Char Char Char Char Car Char,Superscript 6 Point + 11 pt,titulo 2,FC"/>
    <w:uiPriority w:val="99"/>
    <w:rsid w:val="006D021C"/>
    <w:rPr>
      <w:rFonts w:ascii="Calibri" w:hAnsi="Calibri"/>
      <w:sz w:val="24"/>
      <w:vertAlign w:val="superscript"/>
    </w:rPr>
  </w:style>
  <w:style w:type="character" w:styleId="Hyperlink">
    <w:name w:val="Hyperlink"/>
    <w:uiPriority w:val="99"/>
    <w:rsid w:val="00F46A6C"/>
    <w:rPr>
      <w:color w:val="0000FF"/>
      <w:u w:val="single"/>
    </w:rPr>
  </w:style>
  <w:style w:type="paragraph" w:styleId="NormalWeb">
    <w:name w:val="Normal (Web)"/>
    <w:basedOn w:val="Normal"/>
    <w:uiPriority w:val="99"/>
    <w:rsid w:val="007466CB"/>
    <w:pPr>
      <w:spacing w:before="100" w:beforeAutospacing="1" w:after="100" w:afterAutospacing="1"/>
    </w:pPr>
    <w:rPr>
      <w:rFonts w:ascii="Times" w:hAnsi="Times" w:cs="Times"/>
      <w:sz w:val="20"/>
      <w:szCs w:val="20"/>
      <w:lang w:val="de-DE"/>
    </w:rPr>
  </w:style>
  <w:style w:type="character" w:styleId="FollowedHyperlink">
    <w:name w:val="FollowedHyperlink"/>
    <w:uiPriority w:val="99"/>
    <w:rsid w:val="00925A99"/>
    <w:rPr>
      <w:color w:val="800080"/>
      <w:u w:val="single"/>
    </w:rPr>
  </w:style>
  <w:style w:type="table" w:styleId="TableGrid">
    <w:name w:val="Table Grid"/>
    <w:basedOn w:val="TableNormal"/>
    <w:uiPriority w:val="39"/>
    <w:rsid w:val="00060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4735BE"/>
    <w:pPr>
      <w:spacing w:before="0" w:after="0"/>
      <w:jc w:val="left"/>
    </w:pPr>
    <w:rPr>
      <w:rFonts w:asciiTheme="minorHAnsi" w:hAnsiTheme="minorHAnsi"/>
      <w:i/>
      <w:sz w:val="20"/>
      <w:szCs w:val="20"/>
    </w:rPr>
  </w:style>
  <w:style w:type="paragraph" w:customStyle="1" w:styleId="SECObodytext">
    <w:name w:val="SECO body text"/>
    <w:basedOn w:val="SECOHeading3"/>
    <w:qFormat/>
    <w:rsid w:val="00CD0CB2"/>
    <w:rPr>
      <w:rFonts w:cs="Times New Roman"/>
      <w:i w:val="0"/>
      <w:iCs w:val="0"/>
    </w:rPr>
  </w:style>
  <w:style w:type="paragraph" w:customStyle="1" w:styleId="SECOFigure">
    <w:name w:val="SECO Figure"/>
    <w:basedOn w:val="Formatvorlage1"/>
    <w:qFormat/>
    <w:rsid w:val="0063595E"/>
    <w:rPr>
      <w:i/>
      <w:iCs/>
    </w:rPr>
  </w:style>
  <w:style w:type="paragraph" w:styleId="Caption">
    <w:name w:val="caption"/>
    <w:basedOn w:val="Normal"/>
    <w:next w:val="Normal"/>
    <w:uiPriority w:val="35"/>
    <w:qFormat/>
    <w:rsid w:val="00C379D7"/>
    <w:pPr>
      <w:spacing w:after="200"/>
    </w:pPr>
    <w:rPr>
      <w:bCs/>
      <w:i/>
      <w:szCs w:val="18"/>
    </w:rPr>
  </w:style>
  <w:style w:type="paragraph" w:customStyle="1" w:styleId="Formatvorlage2">
    <w:name w:val="Formatvorlage2"/>
    <w:basedOn w:val="TableofFigures"/>
    <w:qFormat/>
    <w:rsid w:val="004735BE"/>
    <w:pPr>
      <w:tabs>
        <w:tab w:val="right" w:leader="dot" w:pos="9056"/>
      </w:tabs>
    </w:pPr>
    <w:rPr>
      <w:rFonts w:cs="Times New Roman"/>
    </w:rPr>
  </w:style>
  <w:style w:type="paragraph" w:customStyle="1" w:styleId="SECOtable">
    <w:name w:val="SECO table"/>
    <w:basedOn w:val="Normal"/>
    <w:qFormat/>
    <w:rsid w:val="00946050"/>
    <w:rPr>
      <w:rFonts w:cs="Calibri"/>
      <w:i/>
      <w:iCs/>
    </w:rPr>
  </w:style>
  <w:style w:type="paragraph" w:customStyle="1" w:styleId="Appendix">
    <w:name w:val="Appendix"/>
    <w:basedOn w:val="Normal"/>
    <w:qFormat/>
    <w:rsid w:val="009E2809"/>
    <w:rPr>
      <w:b/>
    </w:rPr>
  </w:style>
  <w:style w:type="character" w:styleId="CommentReference">
    <w:name w:val="annotation reference"/>
    <w:uiPriority w:val="99"/>
    <w:semiHidden/>
    <w:unhideWhenUsed/>
    <w:rsid w:val="00EF332A"/>
    <w:rPr>
      <w:sz w:val="18"/>
      <w:szCs w:val="18"/>
    </w:rPr>
  </w:style>
  <w:style w:type="paragraph" w:styleId="CommentText">
    <w:name w:val="annotation text"/>
    <w:basedOn w:val="Normal"/>
    <w:link w:val="CommentTextChar"/>
    <w:uiPriority w:val="99"/>
    <w:semiHidden/>
    <w:unhideWhenUsed/>
    <w:rsid w:val="00EF332A"/>
  </w:style>
  <w:style w:type="character" w:customStyle="1" w:styleId="CommentTextChar">
    <w:name w:val="Comment Text Char"/>
    <w:link w:val="CommentText"/>
    <w:uiPriority w:val="99"/>
    <w:semiHidden/>
    <w:rsid w:val="00EF332A"/>
    <w:rPr>
      <w:rFonts w:ascii="Calibri" w:hAnsi="Calibri" w:cs="Cambria"/>
      <w:sz w:val="24"/>
      <w:szCs w:val="24"/>
      <w:lang w:val="en-GB"/>
    </w:rPr>
  </w:style>
  <w:style w:type="paragraph" w:styleId="CommentSubject">
    <w:name w:val="annotation subject"/>
    <w:basedOn w:val="CommentText"/>
    <w:next w:val="CommentText"/>
    <w:link w:val="CommentSubjectChar"/>
    <w:uiPriority w:val="99"/>
    <w:semiHidden/>
    <w:unhideWhenUsed/>
    <w:rsid w:val="00742902"/>
    <w:rPr>
      <w:b/>
      <w:bCs/>
      <w:sz w:val="20"/>
      <w:szCs w:val="20"/>
    </w:rPr>
  </w:style>
  <w:style w:type="character" w:customStyle="1" w:styleId="CommentSubjectChar">
    <w:name w:val="Comment Subject Char"/>
    <w:link w:val="CommentSubject"/>
    <w:uiPriority w:val="99"/>
    <w:semiHidden/>
    <w:rsid w:val="00742902"/>
    <w:rPr>
      <w:rFonts w:ascii="Calibri" w:hAnsi="Calibri" w:cs="Cambria"/>
      <w:b/>
      <w:bCs/>
      <w:sz w:val="20"/>
      <w:szCs w:val="20"/>
      <w:lang w:val="en-GB"/>
    </w:rPr>
  </w:style>
  <w:style w:type="paragraph" w:styleId="BodyText">
    <w:name w:val="Body Text"/>
    <w:basedOn w:val="Normal"/>
    <w:link w:val="BodyTextChar"/>
    <w:uiPriority w:val="99"/>
    <w:rsid w:val="0041530F"/>
    <w:pPr>
      <w:spacing w:line="276" w:lineRule="auto"/>
    </w:pPr>
    <w:rPr>
      <w:rFonts w:ascii="Cambria" w:eastAsia="Cambria" w:hAnsi="Cambria" w:cs="Times New Roman"/>
      <w:sz w:val="22"/>
      <w:lang w:val="es-MX" w:eastAsia="en-US"/>
    </w:rPr>
  </w:style>
  <w:style w:type="character" w:customStyle="1" w:styleId="BodyTextChar">
    <w:name w:val="Body Text Char"/>
    <w:link w:val="BodyText"/>
    <w:uiPriority w:val="99"/>
    <w:rsid w:val="0041530F"/>
    <w:rPr>
      <w:rFonts w:ascii="Cambria" w:eastAsia="Cambria" w:hAnsi="Cambria"/>
      <w:szCs w:val="24"/>
      <w:lang w:val="es-MX" w:eastAsia="en-US"/>
    </w:rPr>
  </w:style>
  <w:style w:type="table" w:customStyle="1" w:styleId="Tabladecuadrcula4-nfasis11">
    <w:name w:val="Tabla de cuadrícula 4 - Énfasis 11"/>
    <w:basedOn w:val="TableNormal"/>
    <w:uiPriority w:val="49"/>
    <w:rsid w:val="00796698"/>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Figures">
    <w:name w:val="Figures"/>
    <w:basedOn w:val="TableofFigures"/>
    <w:next w:val="TableofFigures"/>
    <w:link w:val="FiguresChar"/>
    <w:qFormat/>
    <w:rsid w:val="00796698"/>
    <w:pPr>
      <w:spacing w:after="240" w:line="259" w:lineRule="auto"/>
      <w:jc w:val="center"/>
    </w:pPr>
    <w:rPr>
      <w:rFonts w:ascii="Helvetica Condensed" w:eastAsia="Calibri" w:hAnsi="Helvetica Condensed" w:cs="Times New Roman"/>
      <w:b/>
      <w:sz w:val="22"/>
      <w:szCs w:val="22"/>
      <w:lang w:val="es-MX" w:eastAsia="en-US"/>
    </w:rPr>
  </w:style>
  <w:style w:type="character" w:customStyle="1" w:styleId="FiguresChar">
    <w:name w:val="Figures Char"/>
    <w:link w:val="Figures"/>
    <w:rsid w:val="00796698"/>
    <w:rPr>
      <w:rFonts w:ascii="Helvetica Condensed" w:eastAsia="Calibri" w:hAnsi="Helvetica Condensed"/>
      <w:b/>
      <w:lang w:val="es-MX" w:eastAsia="en-US"/>
    </w:rPr>
  </w:style>
  <w:style w:type="table" w:customStyle="1" w:styleId="Tabladecuadrcula4-nfasis51">
    <w:name w:val="Tabla de cuadrícula 4 - Énfasis 51"/>
    <w:basedOn w:val="TableNormal"/>
    <w:uiPriority w:val="49"/>
    <w:rsid w:val="00F62538"/>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Tables">
    <w:name w:val="Tables"/>
    <w:basedOn w:val="Figures"/>
    <w:link w:val="TablesChar"/>
    <w:qFormat/>
    <w:rsid w:val="0097627F"/>
  </w:style>
  <w:style w:type="character" w:customStyle="1" w:styleId="TablesChar">
    <w:name w:val="Tables Char"/>
    <w:link w:val="Tables"/>
    <w:rsid w:val="0097627F"/>
    <w:rPr>
      <w:rFonts w:ascii="Helvetica Condensed" w:eastAsia="Calibri" w:hAnsi="Helvetica Condensed"/>
      <w:b/>
      <w:lang w:val="es-MX" w:eastAsia="en-US"/>
    </w:rPr>
  </w:style>
  <w:style w:type="paragraph" w:customStyle="1" w:styleId="FarbigesRaster-Akzent11">
    <w:name w:val="Farbiges Raster - Akzent 11"/>
    <w:basedOn w:val="Normal"/>
    <w:next w:val="Normal"/>
    <w:link w:val="FarbigesRaster-Akzent1Zeichen"/>
    <w:uiPriority w:val="29"/>
    <w:qFormat/>
    <w:rsid w:val="001601E8"/>
    <w:pPr>
      <w:spacing w:after="200" w:line="288" w:lineRule="auto"/>
    </w:pPr>
    <w:rPr>
      <w:rFonts w:eastAsia="MS Mincho" w:cs="Times New Roman"/>
      <w:color w:val="943634"/>
      <w:sz w:val="22"/>
      <w:szCs w:val="20"/>
      <w:lang w:val="es-ES" w:eastAsia="en-US"/>
    </w:rPr>
  </w:style>
  <w:style w:type="character" w:customStyle="1" w:styleId="FarbigesRaster-Akzent1Zeichen">
    <w:name w:val="Farbiges Raster - Akzent 1 Zeichen"/>
    <w:link w:val="FarbigesRaster-Akzent11"/>
    <w:uiPriority w:val="29"/>
    <w:rsid w:val="001601E8"/>
    <w:rPr>
      <w:rFonts w:ascii="Calibri" w:eastAsia="MS Mincho" w:hAnsi="Calibri" w:cs="Times New Roman"/>
      <w:color w:val="943634"/>
      <w:szCs w:val="20"/>
      <w:lang w:val="es-ES" w:eastAsia="en-US"/>
    </w:rPr>
  </w:style>
  <w:style w:type="table" w:styleId="MediumList2-Accent1">
    <w:name w:val="Medium List 2 Accent 1"/>
    <w:basedOn w:val="TableNormal"/>
    <w:uiPriority w:val="61"/>
    <w:rsid w:val="001601E8"/>
    <w:rPr>
      <w:rFonts w:ascii="Calibri" w:eastAsia="MS Mincho" w:hAnsi="Calibri"/>
      <w:lang w:val="es-ES_tradnl"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aclara-nfasis11">
    <w:name w:val="Lista clara - Énfasis 11"/>
    <w:basedOn w:val="TableNormal"/>
    <w:next w:val="MediumList2-Accent1"/>
    <w:uiPriority w:val="61"/>
    <w:rsid w:val="007D0975"/>
    <w:rPr>
      <w:rFonts w:ascii="Calibri" w:eastAsia="MS Mincho" w:hAnsi="Calibri"/>
      <w:lang w:val="es-ES_tradnl"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MittleresRaster21">
    <w:name w:val="Mittleres Raster 21"/>
    <w:basedOn w:val="Normal"/>
    <w:uiPriority w:val="1"/>
    <w:qFormat/>
    <w:rsid w:val="00631040"/>
    <w:rPr>
      <w:rFonts w:eastAsia="MS Mincho" w:cs="Times New Roman"/>
      <w:i/>
      <w:iCs/>
      <w:sz w:val="22"/>
      <w:szCs w:val="20"/>
      <w:lang w:val="es-ES" w:eastAsia="en-US"/>
    </w:rPr>
  </w:style>
  <w:style w:type="character" w:customStyle="1" w:styleId="apple-converted-space">
    <w:name w:val="apple-converted-space"/>
    <w:basedOn w:val="DefaultParagraphFont"/>
    <w:rsid w:val="00631040"/>
  </w:style>
  <w:style w:type="character" w:customStyle="1" w:styleId="special-font">
    <w:name w:val="special-font"/>
    <w:basedOn w:val="DefaultParagraphFont"/>
    <w:rsid w:val="00631040"/>
  </w:style>
  <w:style w:type="character" w:customStyle="1" w:styleId="Heading3Char">
    <w:name w:val="Heading 3 Char"/>
    <w:link w:val="Heading3"/>
    <w:uiPriority w:val="9"/>
    <w:rsid w:val="002A7E19"/>
    <w:rPr>
      <w:rFonts w:ascii="Calibri" w:hAnsi="Calibri" w:cs="Cambria"/>
      <w:b/>
      <w:bCs/>
      <w:sz w:val="24"/>
      <w:szCs w:val="24"/>
      <w:lang w:val="es-ES_tradnl"/>
    </w:rPr>
  </w:style>
  <w:style w:type="table" w:customStyle="1" w:styleId="CMM">
    <w:name w:val="CMM"/>
    <w:basedOn w:val="TableNormal"/>
    <w:uiPriority w:val="99"/>
    <w:rsid w:val="00B81898"/>
    <w:pPr>
      <w:jc w:val="center"/>
    </w:pPr>
    <w:rPr>
      <w:rFonts w:ascii="Calibri" w:eastAsia="Calibri" w:hAnsi="Calibri"/>
      <w:b/>
      <w:sz w:val="18"/>
      <w:lang w:val="es-MX" w:eastAsia="en-US"/>
    </w:rPr>
    <w:tblPr>
      <w:tblStyleRowBandSize w:val="1"/>
      <w:tblStyleColBandSize w:val="1"/>
    </w:tblPr>
    <w:tcPr>
      <w:shd w:val="clear" w:color="auto" w:fill="D6E3BC"/>
      <w:vAlign w:val="center"/>
    </w:tcPr>
    <w:tblStylePr w:type="firstRow">
      <w:pPr>
        <w:jc w:val="center"/>
      </w:pPr>
      <w:rPr>
        <w:rFonts w:ascii="Calibri" w:hAnsi="Calibri"/>
        <w:b/>
        <w:color w:val="FFFFFF"/>
        <w:sz w:val="18"/>
      </w:rPr>
      <w:tblPr/>
      <w:tcPr>
        <w:shd w:val="clear" w:color="auto" w:fill="76923C"/>
        <w:vAlign w:val="center"/>
      </w:tcPr>
    </w:tblStylePr>
    <w:tblStylePr w:type="lastRow">
      <w:tblPr/>
      <w:tcPr>
        <w:shd w:val="clear" w:color="auto" w:fill="D6E3BC"/>
      </w:tcPr>
    </w:tblStylePr>
    <w:tblStylePr w:type="band1Vert">
      <w:tblPr/>
      <w:tcPr>
        <w:shd w:val="clear" w:color="auto" w:fill="D6E3BC"/>
      </w:tcPr>
    </w:tblStylePr>
    <w:tblStylePr w:type="band2Horz">
      <w:tblPr/>
      <w:tcPr>
        <w:shd w:val="clear" w:color="auto" w:fill="D6E3BC"/>
      </w:tcPr>
    </w:tblStylePr>
  </w:style>
  <w:style w:type="table" w:customStyle="1" w:styleId="Tabladecuadrcula4-nfasis510">
    <w:name w:val="Tabla de cuadrícula 4 - Énfasis 51"/>
    <w:basedOn w:val="TableNormal"/>
    <w:uiPriority w:val="49"/>
    <w:rsid w:val="0038661B"/>
    <w:rPr>
      <w:rFonts w:ascii="Calibri" w:eastAsia="Calibri" w:hAnsi="Calibri"/>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styleId="Bibliography">
    <w:name w:val="Bibliography"/>
    <w:basedOn w:val="Normal"/>
    <w:next w:val="Normal"/>
    <w:unhideWhenUsed/>
    <w:rsid w:val="00046DC9"/>
  </w:style>
  <w:style w:type="paragraph" w:styleId="Subtitle">
    <w:name w:val="Subtitle"/>
    <w:basedOn w:val="Normal"/>
    <w:next w:val="Normal"/>
    <w:link w:val="SubtitleChar"/>
    <w:uiPriority w:val="11"/>
    <w:qFormat/>
    <w:rsid w:val="0062678C"/>
    <w:pPr>
      <w:numPr>
        <w:ilvl w:val="1"/>
      </w:numPr>
      <w:spacing w:after="160" w:line="259" w:lineRule="auto"/>
    </w:pPr>
    <w:rPr>
      <w:rFonts w:eastAsia="MS Mincho" w:cs="Times New Roman"/>
      <w:color w:val="5A5A5A"/>
      <w:spacing w:val="15"/>
      <w:sz w:val="22"/>
      <w:szCs w:val="22"/>
      <w:lang w:val="es-ES" w:eastAsia="en-US"/>
    </w:rPr>
  </w:style>
  <w:style w:type="character" w:customStyle="1" w:styleId="SubtitleChar">
    <w:name w:val="Subtitle Char"/>
    <w:link w:val="Subtitle"/>
    <w:uiPriority w:val="11"/>
    <w:rsid w:val="0062678C"/>
    <w:rPr>
      <w:rFonts w:ascii="Calibri" w:eastAsia="MS Mincho" w:hAnsi="Calibri" w:cs="Times New Roman"/>
      <w:color w:val="5A5A5A"/>
      <w:spacing w:val="15"/>
      <w:lang w:val="es-ES" w:eastAsia="en-US"/>
    </w:rPr>
  </w:style>
  <w:style w:type="paragraph" w:customStyle="1" w:styleId="FarbigeListe-Akzent110">
    <w:name w:val="Farbige Liste - Akzent 11"/>
    <w:basedOn w:val="Normal"/>
    <w:uiPriority w:val="34"/>
    <w:qFormat/>
    <w:rsid w:val="001A1C06"/>
    <w:pPr>
      <w:ind w:left="720"/>
      <w:contextualSpacing/>
    </w:pPr>
    <w:rPr>
      <w:rFonts w:ascii="Cambria" w:hAnsi="Cambria"/>
      <w:lang w:val="en-GB"/>
    </w:rPr>
  </w:style>
  <w:style w:type="paragraph" w:styleId="ListParagraph">
    <w:name w:val="List Paragraph"/>
    <w:basedOn w:val="Normal"/>
    <w:uiPriority w:val="34"/>
    <w:qFormat/>
    <w:rsid w:val="009915CE"/>
    <w:pPr>
      <w:ind w:left="720"/>
      <w:contextualSpacing/>
    </w:pPr>
  </w:style>
  <w:style w:type="character" w:customStyle="1" w:styleId="Heading4Char">
    <w:name w:val="Heading 4 Char"/>
    <w:basedOn w:val="DefaultParagraphFont"/>
    <w:link w:val="Heading4"/>
    <w:rsid w:val="00D314BF"/>
    <w:rPr>
      <w:rFonts w:asciiTheme="majorHAnsi" w:eastAsiaTheme="majorEastAsia" w:hAnsiTheme="majorHAnsi" w:cstheme="majorBidi"/>
      <w:b/>
      <w:bCs/>
      <w:i/>
      <w:iCs/>
      <w:color w:val="4F81BD" w:themeColor="accent1"/>
      <w:lang w:val="es-ES_tradnl"/>
    </w:rPr>
  </w:style>
  <w:style w:type="character" w:customStyle="1" w:styleId="Heading5Char">
    <w:name w:val="Heading 5 Char"/>
    <w:basedOn w:val="DefaultParagraphFont"/>
    <w:link w:val="Heading5"/>
    <w:rsid w:val="0022747C"/>
    <w:rPr>
      <w:rFonts w:asciiTheme="majorHAnsi" w:eastAsiaTheme="majorEastAsia" w:hAnsiTheme="majorHAnsi" w:cstheme="majorBidi"/>
      <w:color w:val="243F60" w:themeColor="accent1" w:themeShade="7F"/>
      <w:lang w:val="es-ES_tradnl"/>
    </w:rPr>
  </w:style>
  <w:style w:type="character" w:customStyle="1" w:styleId="Heading6Char">
    <w:name w:val="Heading 6 Char"/>
    <w:basedOn w:val="DefaultParagraphFont"/>
    <w:link w:val="Heading6"/>
    <w:rsid w:val="0022747C"/>
    <w:rPr>
      <w:rFonts w:asciiTheme="majorHAnsi" w:eastAsiaTheme="majorEastAsia" w:hAnsiTheme="majorHAnsi" w:cstheme="majorBidi"/>
      <w:i/>
      <w:iCs/>
      <w:color w:val="243F60" w:themeColor="accent1" w:themeShade="7F"/>
      <w:lang w:val="es-ES_tradnl"/>
    </w:rPr>
  </w:style>
  <w:style w:type="character" w:customStyle="1" w:styleId="Heading7Char">
    <w:name w:val="Heading 7 Char"/>
    <w:basedOn w:val="DefaultParagraphFont"/>
    <w:link w:val="Heading7"/>
    <w:rsid w:val="0022747C"/>
    <w:rPr>
      <w:rFonts w:asciiTheme="majorHAnsi" w:eastAsiaTheme="majorEastAsia" w:hAnsiTheme="majorHAnsi" w:cstheme="majorBidi"/>
      <w:i/>
      <w:iCs/>
      <w:color w:val="404040" w:themeColor="text1" w:themeTint="BF"/>
      <w:lang w:val="es-ES_tradnl"/>
    </w:rPr>
  </w:style>
  <w:style w:type="character" w:customStyle="1" w:styleId="Heading8Char">
    <w:name w:val="Heading 8 Char"/>
    <w:basedOn w:val="DefaultParagraphFont"/>
    <w:link w:val="Heading8"/>
    <w:rsid w:val="0022747C"/>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22747C"/>
    <w:rPr>
      <w:rFonts w:asciiTheme="majorHAnsi" w:eastAsiaTheme="majorEastAsia" w:hAnsiTheme="majorHAnsi" w:cstheme="majorBidi"/>
      <w:i/>
      <w:iCs/>
      <w:color w:val="404040" w:themeColor="text1" w:themeTint="BF"/>
      <w:sz w:val="20"/>
      <w:szCs w:val="20"/>
      <w:lang w:val="es-ES_tradnl"/>
    </w:rPr>
  </w:style>
  <w:style w:type="character" w:customStyle="1" w:styleId="st">
    <w:name w:val="st"/>
    <w:basedOn w:val="DefaultParagraphFont"/>
    <w:rsid w:val="00BD127D"/>
  </w:style>
  <w:style w:type="character" w:styleId="Emphasis">
    <w:name w:val="Emphasis"/>
    <w:basedOn w:val="DefaultParagraphFont"/>
    <w:uiPriority w:val="20"/>
    <w:qFormat/>
    <w:rsid w:val="00BD127D"/>
    <w:rPr>
      <w:i/>
      <w:iCs/>
    </w:rPr>
  </w:style>
  <w:style w:type="character" w:customStyle="1" w:styleId="Mention1">
    <w:name w:val="Mention1"/>
    <w:basedOn w:val="DefaultParagraphFont"/>
    <w:uiPriority w:val="99"/>
    <w:semiHidden/>
    <w:unhideWhenUsed/>
    <w:rsid w:val="00F07D16"/>
    <w:rPr>
      <w:color w:val="2B579A"/>
      <w:shd w:val="clear" w:color="auto" w:fill="E6E6E6"/>
    </w:rPr>
  </w:style>
  <w:style w:type="paragraph" w:customStyle="1" w:styleId="SubSubPar">
    <w:name w:val="SubSubPar"/>
    <w:basedOn w:val="subpar"/>
    <w:link w:val="SubSubParChar"/>
    <w:uiPriority w:val="99"/>
    <w:rsid w:val="002A5E0C"/>
    <w:pPr>
      <w:numPr>
        <w:ilvl w:val="3"/>
      </w:numPr>
      <w:tabs>
        <w:tab w:val="clear" w:pos="2304"/>
        <w:tab w:val="left" w:pos="0"/>
        <w:tab w:val="num" w:pos="1296"/>
      </w:tabs>
      <w:ind w:left="1296"/>
    </w:pPr>
    <w:rPr>
      <w:rFonts w:eastAsiaTheme="minorEastAsia"/>
      <w:lang w:val="en-US" w:eastAsia="en-US"/>
    </w:rPr>
  </w:style>
  <w:style w:type="character" w:customStyle="1" w:styleId="SubSubParChar">
    <w:name w:val="SubSubPar Char"/>
    <w:basedOn w:val="DefaultParagraphFont"/>
    <w:link w:val="SubSubPar"/>
    <w:uiPriority w:val="99"/>
    <w:rsid w:val="002A5E0C"/>
    <w:rPr>
      <w:rFonts w:ascii="Times New Roman" w:eastAsiaTheme="minorEastAsia" w:hAnsi="Times New Roman"/>
      <w:bCs/>
      <w:szCs w:val="16"/>
      <w:lang w:eastAsia="en-US"/>
    </w:rPr>
  </w:style>
  <w:style w:type="character" w:styleId="BookTitle">
    <w:name w:val="Book Title"/>
    <w:basedOn w:val="DefaultParagraphFont"/>
    <w:uiPriority w:val="33"/>
    <w:qFormat/>
    <w:rsid w:val="002A5E0C"/>
    <w:rPr>
      <w:b/>
      <w:bCs/>
      <w:smallCaps/>
      <w:spacing w:val="5"/>
    </w:rPr>
  </w:style>
  <w:style w:type="paragraph" w:styleId="Revision">
    <w:name w:val="Revision"/>
    <w:hidden/>
    <w:semiHidden/>
    <w:rsid w:val="00314120"/>
    <w:rPr>
      <w:rFonts w:ascii="Calibri" w:hAnsi="Calibri" w:cs="Cambria"/>
      <w:lang w:val="es-ES_tradnl"/>
    </w:rPr>
  </w:style>
  <w:style w:type="paragraph" w:customStyle="1" w:styleId="Chapter">
    <w:name w:val="Chapter"/>
    <w:basedOn w:val="Normal"/>
    <w:next w:val="Normal"/>
    <w:link w:val="ChapterChar"/>
    <w:rsid w:val="0022747C"/>
    <w:pPr>
      <w:keepNext/>
      <w:numPr>
        <w:numId w:val="33"/>
      </w:numPr>
      <w:tabs>
        <w:tab w:val="clear" w:pos="1368"/>
        <w:tab w:val="num" w:pos="648"/>
        <w:tab w:val="left" w:pos="1440"/>
      </w:tabs>
      <w:spacing w:before="240" w:after="240" w:line="240" w:lineRule="auto"/>
      <w:ind w:left="0"/>
      <w:jc w:val="center"/>
    </w:pPr>
    <w:rPr>
      <w:rFonts w:ascii="Times New Roman" w:eastAsiaTheme="minorEastAsia" w:hAnsi="Times New Roman" w:cs="Times New Roman"/>
      <w:b/>
      <w:smallCaps/>
      <w:szCs w:val="22"/>
      <w:lang w:val="en-US" w:eastAsia="en-US"/>
    </w:rPr>
  </w:style>
  <w:style w:type="character" w:customStyle="1" w:styleId="ChapterChar">
    <w:name w:val="Chapter Char"/>
    <w:basedOn w:val="DefaultParagraphFont"/>
    <w:link w:val="Chapter"/>
    <w:rsid w:val="0022747C"/>
    <w:rPr>
      <w:rFonts w:ascii="Times New Roman" w:eastAsiaTheme="minorEastAsia" w:hAnsi="Times New Roman"/>
      <w:b/>
      <w:smallCaps/>
      <w:szCs w:val="22"/>
      <w:lang w:eastAsia="en-US"/>
    </w:rPr>
  </w:style>
  <w:style w:type="paragraph" w:customStyle="1" w:styleId="Paragraph">
    <w:name w:val="Paragraph"/>
    <w:aliases w:val="paragraph,p,PARAGRAPH,PG,pa,at"/>
    <w:basedOn w:val="BodyTextIndent"/>
    <w:link w:val="ParagraphChar"/>
    <w:qFormat/>
    <w:rsid w:val="0022747C"/>
    <w:pPr>
      <w:numPr>
        <w:ilvl w:val="1"/>
        <w:numId w:val="33"/>
      </w:numPr>
      <w:tabs>
        <w:tab w:val="clear" w:pos="2016"/>
        <w:tab w:val="num" w:pos="720"/>
      </w:tabs>
      <w:spacing w:before="120"/>
      <w:ind w:left="720" w:hanging="720"/>
      <w:jc w:val="both"/>
      <w:outlineLvl w:val="1"/>
    </w:pPr>
    <w:rPr>
      <w:rFonts w:eastAsiaTheme="minorEastAsia"/>
      <w:szCs w:val="22"/>
      <w:lang w:val="en-US" w:eastAsia="en-US"/>
    </w:rPr>
  </w:style>
  <w:style w:type="character" w:customStyle="1" w:styleId="ParagraphChar">
    <w:name w:val="Paragraph Char"/>
    <w:basedOn w:val="DefaultParagraphFont"/>
    <w:link w:val="Paragraph"/>
    <w:rsid w:val="0022747C"/>
    <w:rPr>
      <w:rFonts w:ascii="Times New Roman" w:eastAsiaTheme="minorEastAsia" w:hAnsi="Times New Roman"/>
      <w:szCs w:val="22"/>
      <w:lang w:eastAsia="en-US"/>
    </w:rPr>
  </w:style>
  <w:style w:type="paragraph" w:styleId="BodyTextIndent">
    <w:name w:val="Body Text Indent"/>
    <w:basedOn w:val="Normal"/>
    <w:link w:val="BodyTextIndentChar"/>
    <w:semiHidden/>
    <w:unhideWhenUsed/>
    <w:rsid w:val="00834BD8"/>
    <w:pPr>
      <w:spacing w:before="0" w:line="240" w:lineRule="auto"/>
      <w:ind w:left="360"/>
      <w:jc w:val="left"/>
    </w:pPr>
    <w:rPr>
      <w:rFonts w:ascii="Times New Roman" w:hAnsi="Times New Roman" w:cs="Times New Roman"/>
    </w:rPr>
  </w:style>
  <w:style w:type="character" w:customStyle="1" w:styleId="BodyTextIndentChar">
    <w:name w:val="Body Text Indent Char"/>
    <w:basedOn w:val="DefaultParagraphFont"/>
    <w:link w:val="BodyTextIndent"/>
    <w:semiHidden/>
    <w:rsid w:val="00834BD8"/>
    <w:rPr>
      <w:rFonts w:ascii="Times New Roman" w:hAnsi="Times New Roman"/>
      <w:lang w:val="es-ES_tradnl"/>
    </w:rPr>
  </w:style>
  <w:style w:type="paragraph" w:customStyle="1" w:styleId="Default">
    <w:name w:val="Default"/>
    <w:rsid w:val="00877642"/>
    <w:pPr>
      <w:autoSpaceDE w:val="0"/>
      <w:autoSpaceDN w:val="0"/>
      <w:adjustRightInd w:val="0"/>
    </w:pPr>
    <w:rPr>
      <w:rFonts w:ascii="Arial" w:eastAsiaTheme="minorHAnsi" w:hAnsi="Arial" w:cs="Arial"/>
      <w:color w:val="000000"/>
      <w:lang w:eastAsia="en-US"/>
    </w:rPr>
  </w:style>
  <w:style w:type="paragraph" w:customStyle="1" w:styleId="FirstHeading">
    <w:name w:val="FirstHeading"/>
    <w:basedOn w:val="Normal"/>
    <w:next w:val="Normal"/>
    <w:link w:val="FirstHeadingChar"/>
    <w:rsid w:val="0022747C"/>
    <w:pPr>
      <w:keepNext/>
      <w:numPr>
        <w:numId w:val="34"/>
      </w:numPr>
      <w:tabs>
        <w:tab w:val="left" w:pos="0"/>
        <w:tab w:val="left" w:pos="86"/>
      </w:tabs>
      <w:spacing w:line="240" w:lineRule="auto"/>
      <w:ind w:left="720"/>
      <w:jc w:val="left"/>
    </w:pPr>
    <w:rPr>
      <w:rFonts w:ascii="Times New Roman" w:hAnsi="Times New Roman" w:cs="Times New Roman"/>
      <w:b/>
      <w:bCs/>
    </w:rPr>
  </w:style>
  <w:style w:type="character" w:customStyle="1" w:styleId="FirstHeadingChar">
    <w:name w:val="FirstHeading Char"/>
    <w:basedOn w:val="DefaultParagraphFont"/>
    <w:link w:val="FirstHeading"/>
    <w:rsid w:val="0022747C"/>
    <w:rPr>
      <w:rFonts w:ascii="Times New Roman" w:hAnsi="Times New Roman"/>
      <w:b/>
      <w:bCs/>
      <w:lang w:val="es-ES_tradnl"/>
    </w:rPr>
  </w:style>
  <w:style w:type="paragraph" w:customStyle="1" w:styleId="SecHeading">
    <w:name w:val="SecHeading"/>
    <w:basedOn w:val="Normal"/>
    <w:next w:val="Paragraph"/>
    <w:link w:val="SecHeadingChar"/>
    <w:rsid w:val="0022747C"/>
    <w:pPr>
      <w:keepNext/>
      <w:numPr>
        <w:ilvl w:val="1"/>
        <w:numId w:val="34"/>
      </w:numPr>
      <w:tabs>
        <w:tab w:val="clear" w:pos="5400"/>
        <w:tab w:val="num" w:pos="1296"/>
      </w:tabs>
      <w:spacing w:line="240" w:lineRule="auto"/>
      <w:ind w:left="1296"/>
      <w:jc w:val="left"/>
    </w:pPr>
    <w:rPr>
      <w:rFonts w:ascii="Times New Roman" w:hAnsi="Times New Roman" w:cs="Times New Roman"/>
      <w:b/>
      <w:bCs/>
    </w:rPr>
  </w:style>
  <w:style w:type="character" w:customStyle="1" w:styleId="SecHeadingChar">
    <w:name w:val="SecHeading Char"/>
    <w:basedOn w:val="DefaultParagraphFont"/>
    <w:link w:val="SecHeading"/>
    <w:rsid w:val="0022747C"/>
    <w:rPr>
      <w:rFonts w:ascii="Times New Roman" w:hAnsi="Times New Roman"/>
      <w:b/>
      <w:bCs/>
      <w:lang w:val="es-ES_tradnl"/>
    </w:rPr>
  </w:style>
  <w:style w:type="paragraph" w:customStyle="1" w:styleId="SubHeading1">
    <w:name w:val="SubHeading1"/>
    <w:basedOn w:val="SecHeading"/>
    <w:link w:val="SubHeading1Char"/>
    <w:rsid w:val="0022747C"/>
    <w:pPr>
      <w:numPr>
        <w:ilvl w:val="2"/>
      </w:numPr>
      <w:tabs>
        <w:tab w:val="clear" w:pos="5976"/>
        <w:tab w:val="num" w:pos="1872"/>
      </w:tabs>
      <w:ind w:left="1872"/>
    </w:pPr>
    <w:rPr>
      <w:bCs w:val="0"/>
    </w:rPr>
  </w:style>
  <w:style w:type="character" w:customStyle="1" w:styleId="SubHeading1Char">
    <w:name w:val="SubHeading1 Char"/>
    <w:basedOn w:val="DefaultParagraphFont"/>
    <w:link w:val="SubHeading1"/>
    <w:rsid w:val="0022747C"/>
    <w:rPr>
      <w:rFonts w:ascii="Times New Roman" w:hAnsi="Times New Roman"/>
      <w:b/>
      <w:lang w:val="es-ES_tradnl"/>
    </w:rPr>
  </w:style>
  <w:style w:type="paragraph" w:customStyle="1" w:styleId="Subheading2">
    <w:name w:val="Subheading2"/>
    <w:basedOn w:val="SecHeading"/>
    <w:link w:val="Subheading2Char"/>
    <w:rsid w:val="0022747C"/>
    <w:pPr>
      <w:numPr>
        <w:ilvl w:val="3"/>
      </w:numPr>
      <w:tabs>
        <w:tab w:val="clear" w:pos="6480"/>
        <w:tab w:val="num" w:pos="2376"/>
      </w:tabs>
      <w:ind w:left="2376"/>
    </w:pPr>
    <w:rPr>
      <w:bCs w:val="0"/>
    </w:rPr>
  </w:style>
  <w:style w:type="character" w:customStyle="1" w:styleId="Subheading2Char">
    <w:name w:val="Subheading2 Char"/>
    <w:basedOn w:val="DefaultParagraphFont"/>
    <w:link w:val="Subheading2"/>
    <w:rsid w:val="0022747C"/>
    <w:rPr>
      <w:rFonts w:ascii="Times New Roman" w:hAnsi="Times New Roman"/>
      <w:b/>
      <w:lang w:val="es-ES_tradnl"/>
    </w:rPr>
  </w:style>
  <w:style w:type="paragraph" w:customStyle="1" w:styleId="subpar">
    <w:name w:val="subpar"/>
    <w:basedOn w:val="BodyTextIndent3"/>
    <w:link w:val="subparChar"/>
    <w:rsid w:val="0022747C"/>
    <w:pPr>
      <w:numPr>
        <w:ilvl w:val="2"/>
        <w:numId w:val="33"/>
      </w:numPr>
      <w:tabs>
        <w:tab w:val="clear" w:pos="1872"/>
        <w:tab w:val="num" w:pos="1152"/>
      </w:tabs>
      <w:spacing w:before="120"/>
      <w:ind w:left="1152"/>
      <w:jc w:val="both"/>
      <w:outlineLvl w:val="2"/>
    </w:pPr>
    <w:rPr>
      <w:bCs/>
    </w:rPr>
  </w:style>
  <w:style w:type="character" w:customStyle="1" w:styleId="subparChar">
    <w:name w:val="subpar Char"/>
    <w:basedOn w:val="DefaultParagraphFont"/>
    <w:link w:val="subpar"/>
    <w:rsid w:val="0022747C"/>
    <w:rPr>
      <w:rFonts w:ascii="Times New Roman" w:hAnsi="Times New Roman"/>
      <w:bCs/>
      <w:szCs w:val="16"/>
      <w:lang w:val="es-ES_tradnl"/>
    </w:rPr>
  </w:style>
  <w:style w:type="paragraph" w:customStyle="1" w:styleId="Regtable">
    <w:name w:val="Regtable"/>
    <w:basedOn w:val="Normal"/>
    <w:link w:val="RegtableChar"/>
    <w:rsid w:val="0022747C"/>
    <w:pPr>
      <w:keepLines/>
      <w:framePr w:wrap="around" w:vAnchor="text" w:hAnchor="text" w:y="1"/>
      <w:spacing w:before="20" w:after="20" w:line="240" w:lineRule="auto"/>
      <w:jc w:val="left"/>
    </w:pPr>
    <w:rPr>
      <w:rFonts w:ascii="Times New Roman" w:hAnsi="Times New Roman" w:cs="Times New Roman"/>
      <w:bCs/>
      <w:sz w:val="20"/>
    </w:rPr>
  </w:style>
  <w:style w:type="character" w:customStyle="1" w:styleId="RegtableChar">
    <w:name w:val="Regtable Char"/>
    <w:basedOn w:val="DefaultParagraphFont"/>
    <w:link w:val="Regtable"/>
    <w:rsid w:val="0022747C"/>
    <w:rPr>
      <w:rFonts w:ascii="Times New Roman" w:hAnsi="Times New Roman"/>
      <w:bCs/>
      <w:sz w:val="20"/>
      <w:lang w:val="es-ES_tradnl"/>
    </w:rPr>
  </w:style>
  <w:style w:type="paragraph" w:customStyle="1" w:styleId="TableTitle">
    <w:name w:val="TableTitle"/>
    <w:basedOn w:val="Normal"/>
    <w:link w:val="TableTitleChar"/>
    <w:rsid w:val="0022747C"/>
    <w:pPr>
      <w:keepNext/>
      <w:framePr w:wrap="around" w:vAnchor="text" w:hAnchor="text" w:y="1"/>
      <w:spacing w:before="20" w:after="20" w:line="240" w:lineRule="auto"/>
      <w:jc w:val="center"/>
    </w:pPr>
    <w:rPr>
      <w:rFonts w:ascii="Times New Roman Bold" w:hAnsi="Times New Roman Bold"/>
      <w:b/>
      <w:bCs/>
      <w:spacing w:val="-3"/>
      <w:sz w:val="20"/>
    </w:rPr>
  </w:style>
  <w:style w:type="character" w:customStyle="1" w:styleId="TableTitleChar">
    <w:name w:val="TableTitle Char"/>
    <w:basedOn w:val="DefaultParagraphFont"/>
    <w:link w:val="TableTitle"/>
    <w:rsid w:val="0022747C"/>
    <w:rPr>
      <w:rFonts w:ascii="Times New Roman Bold" w:hAnsi="Times New Roman Bold" w:cs="Cambria"/>
      <w:b/>
      <w:bCs/>
      <w:spacing w:val="-3"/>
      <w:sz w:val="20"/>
      <w:lang w:val="es-ES_tradnl"/>
    </w:rPr>
  </w:style>
  <w:style w:type="paragraph" w:styleId="BodyTextIndent3">
    <w:name w:val="Body Text Indent 3"/>
    <w:basedOn w:val="Normal"/>
    <w:link w:val="BodyTextIndent3Char"/>
    <w:rsid w:val="00F80266"/>
    <w:pPr>
      <w:spacing w:before="0" w:line="240" w:lineRule="auto"/>
      <w:ind w:left="360"/>
      <w:jc w:val="left"/>
    </w:pPr>
    <w:rPr>
      <w:rFonts w:ascii="Times New Roman" w:hAnsi="Times New Roman" w:cs="Times New Roman"/>
      <w:szCs w:val="16"/>
    </w:rPr>
  </w:style>
  <w:style w:type="character" w:customStyle="1" w:styleId="BodyTextIndent3Char">
    <w:name w:val="Body Text Indent 3 Char"/>
    <w:basedOn w:val="DefaultParagraphFont"/>
    <w:link w:val="BodyTextIndent3"/>
    <w:rsid w:val="00F80266"/>
    <w:rPr>
      <w:rFonts w:ascii="Times New Roman" w:hAnsi="Times New Roman"/>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067">
      <w:bodyDiv w:val="1"/>
      <w:marLeft w:val="0"/>
      <w:marRight w:val="0"/>
      <w:marTop w:val="0"/>
      <w:marBottom w:val="0"/>
      <w:divBdr>
        <w:top w:val="none" w:sz="0" w:space="0" w:color="auto"/>
        <w:left w:val="none" w:sz="0" w:space="0" w:color="auto"/>
        <w:bottom w:val="none" w:sz="0" w:space="0" w:color="auto"/>
        <w:right w:val="none" w:sz="0" w:space="0" w:color="auto"/>
      </w:divBdr>
    </w:div>
    <w:div w:id="27797125">
      <w:bodyDiv w:val="1"/>
      <w:marLeft w:val="0"/>
      <w:marRight w:val="0"/>
      <w:marTop w:val="0"/>
      <w:marBottom w:val="0"/>
      <w:divBdr>
        <w:top w:val="none" w:sz="0" w:space="0" w:color="auto"/>
        <w:left w:val="none" w:sz="0" w:space="0" w:color="auto"/>
        <w:bottom w:val="none" w:sz="0" w:space="0" w:color="auto"/>
        <w:right w:val="none" w:sz="0" w:space="0" w:color="auto"/>
      </w:divBdr>
    </w:div>
    <w:div w:id="36664214">
      <w:bodyDiv w:val="1"/>
      <w:marLeft w:val="0"/>
      <w:marRight w:val="0"/>
      <w:marTop w:val="0"/>
      <w:marBottom w:val="0"/>
      <w:divBdr>
        <w:top w:val="none" w:sz="0" w:space="0" w:color="auto"/>
        <w:left w:val="none" w:sz="0" w:space="0" w:color="auto"/>
        <w:bottom w:val="none" w:sz="0" w:space="0" w:color="auto"/>
        <w:right w:val="none" w:sz="0" w:space="0" w:color="auto"/>
      </w:divBdr>
    </w:div>
    <w:div w:id="75052260">
      <w:bodyDiv w:val="1"/>
      <w:marLeft w:val="0"/>
      <w:marRight w:val="0"/>
      <w:marTop w:val="0"/>
      <w:marBottom w:val="0"/>
      <w:divBdr>
        <w:top w:val="none" w:sz="0" w:space="0" w:color="auto"/>
        <w:left w:val="none" w:sz="0" w:space="0" w:color="auto"/>
        <w:bottom w:val="none" w:sz="0" w:space="0" w:color="auto"/>
        <w:right w:val="none" w:sz="0" w:space="0" w:color="auto"/>
      </w:divBdr>
      <w:divsChild>
        <w:div w:id="610816803">
          <w:marLeft w:val="274"/>
          <w:marRight w:val="0"/>
          <w:marTop w:val="0"/>
          <w:marBottom w:val="0"/>
          <w:divBdr>
            <w:top w:val="none" w:sz="0" w:space="0" w:color="auto"/>
            <w:left w:val="none" w:sz="0" w:space="0" w:color="auto"/>
            <w:bottom w:val="none" w:sz="0" w:space="0" w:color="auto"/>
            <w:right w:val="none" w:sz="0" w:space="0" w:color="auto"/>
          </w:divBdr>
        </w:div>
        <w:div w:id="908148388">
          <w:marLeft w:val="274"/>
          <w:marRight w:val="0"/>
          <w:marTop w:val="0"/>
          <w:marBottom w:val="0"/>
          <w:divBdr>
            <w:top w:val="none" w:sz="0" w:space="0" w:color="auto"/>
            <w:left w:val="none" w:sz="0" w:space="0" w:color="auto"/>
            <w:bottom w:val="none" w:sz="0" w:space="0" w:color="auto"/>
            <w:right w:val="none" w:sz="0" w:space="0" w:color="auto"/>
          </w:divBdr>
        </w:div>
        <w:div w:id="997264895">
          <w:marLeft w:val="274"/>
          <w:marRight w:val="0"/>
          <w:marTop w:val="0"/>
          <w:marBottom w:val="0"/>
          <w:divBdr>
            <w:top w:val="none" w:sz="0" w:space="0" w:color="auto"/>
            <w:left w:val="none" w:sz="0" w:space="0" w:color="auto"/>
            <w:bottom w:val="none" w:sz="0" w:space="0" w:color="auto"/>
            <w:right w:val="none" w:sz="0" w:space="0" w:color="auto"/>
          </w:divBdr>
        </w:div>
      </w:divsChild>
    </w:div>
    <w:div w:id="95951804">
      <w:bodyDiv w:val="1"/>
      <w:marLeft w:val="0"/>
      <w:marRight w:val="0"/>
      <w:marTop w:val="0"/>
      <w:marBottom w:val="0"/>
      <w:divBdr>
        <w:top w:val="none" w:sz="0" w:space="0" w:color="auto"/>
        <w:left w:val="none" w:sz="0" w:space="0" w:color="auto"/>
        <w:bottom w:val="none" w:sz="0" w:space="0" w:color="auto"/>
        <w:right w:val="none" w:sz="0" w:space="0" w:color="auto"/>
      </w:divBdr>
      <w:divsChild>
        <w:div w:id="188840460">
          <w:marLeft w:val="446"/>
          <w:marRight w:val="0"/>
          <w:marTop w:val="0"/>
          <w:marBottom w:val="0"/>
          <w:divBdr>
            <w:top w:val="none" w:sz="0" w:space="0" w:color="auto"/>
            <w:left w:val="none" w:sz="0" w:space="0" w:color="auto"/>
            <w:bottom w:val="none" w:sz="0" w:space="0" w:color="auto"/>
            <w:right w:val="none" w:sz="0" w:space="0" w:color="auto"/>
          </w:divBdr>
        </w:div>
        <w:div w:id="268894284">
          <w:marLeft w:val="446"/>
          <w:marRight w:val="0"/>
          <w:marTop w:val="0"/>
          <w:marBottom w:val="0"/>
          <w:divBdr>
            <w:top w:val="none" w:sz="0" w:space="0" w:color="auto"/>
            <w:left w:val="none" w:sz="0" w:space="0" w:color="auto"/>
            <w:bottom w:val="none" w:sz="0" w:space="0" w:color="auto"/>
            <w:right w:val="none" w:sz="0" w:space="0" w:color="auto"/>
          </w:divBdr>
        </w:div>
        <w:div w:id="437993761">
          <w:marLeft w:val="446"/>
          <w:marRight w:val="0"/>
          <w:marTop w:val="0"/>
          <w:marBottom w:val="0"/>
          <w:divBdr>
            <w:top w:val="none" w:sz="0" w:space="0" w:color="auto"/>
            <w:left w:val="none" w:sz="0" w:space="0" w:color="auto"/>
            <w:bottom w:val="none" w:sz="0" w:space="0" w:color="auto"/>
            <w:right w:val="none" w:sz="0" w:space="0" w:color="auto"/>
          </w:divBdr>
        </w:div>
        <w:div w:id="1031303010">
          <w:marLeft w:val="446"/>
          <w:marRight w:val="0"/>
          <w:marTop w:val="0"/>
          <w:marBottom w:val="0"/>
          <w:divBdr>
            <w:top w:val="none" w:sz="0" w:space="0" w:color="auto"/>
            <w:left w:val="none" w:sz="0" w:space="0" w:color="auto"/>
            <w:bottom w:val="none" w:sz="0" w:space="0" w:color="auto"/>
            <w:right w:val="none" w:sz="0" w:space="0" w:color="auto"/>
          </w:divBdr>
        </w:div>
        <w:div w:id="1113744295">
          <w:marLeft w:val="446"/>
          <w:marRight w:val="0"/>
          <w:marTop w:val="0"/>
          <w:marBottom w:val="0"/>
          <w:divBdr>
            <w:top w:val="none" w:sz="0" w:space="0" w:color="auto"/>
            <w:left w:val="none" w:sz="0" w:space="0" w:color="auto"/>
            <w:bottom w:val="none" w:sz="0" w:space="0" w:color="auto"/>
            <w:right w:val="none" w:sz="0" w:space="0" w:color="auto"/>
          </w:divBdr>
        </w:div>
        <w:div w:id="1206602885">
          <w:marLeft w:val="446"/>
          <w:marRight w:val="0"/>
          <w:marTop w:val="0"/>
          <w:marBottom w:val="0"/>
          <w:divBdr>
            <w:top w:val="none" w:sz="0" w:space="0" w:color="auto"/>
            <w:left w:val="none" w:sz="0" w:space="0" w:color="auto"/>
            <w:bottom w:val="none" w:sz="0" w:space="0" w:color="auto"/>
            <w:right w:val="none" w:sz="0" w:space="0" w:color="auto"/>
          </w:divBdr>
        </w:div>
        <w:div w:id="1569346015">
          <w:marLeft w:val="446"/>
          <w:marRight w:val="0"/>
          <w:marTop w:val="0"/>
          <w:marBottom w:val="0"/>
          <w:divBdr>
            <w:top w:val="none" w:sz="0" w:space="0" w:color="auto"/>
            <w:left w:val="none" w:sz="0" w:space="0" w:color="auto"/>
            <w:bottom w:val="none" w:sz="0" w:space="0" w:color="auto"/>
            <w:right w:val="none" w:sz="0" w:space="0" w:color="auto"/>
          </w:divBdr>
        </w:div>
        <w:div w:id="1682317116">
          <w:marLeft w:val="446"/>
          <w:marRight w:val="0"/>
          <w:marTop w:val="0"/>
          <w:marBottom w:val="0"/>
          <w:divBdr>
            <w:top w:val="none" w:sz="0" w:space="0" w:color="auto"/>
            <w:left w:val="none" w:sz="0" w:space="0" w:color="auto"/>
            <w:bottom w:val="none" w:sz="0" w:space="0" w:color="auto"/>
            <w:right w:val="none" w:sz="0" w:space="0" w:color="auto"/>
          </w:divBdr>
        </w:div>
        <w:div w:id="1690058124">
          <w:marLeft w:val="446"/>
          <w:marRight w:val="0"/>
          <w:marTop w:val="0"/>
          <w:marBottom w:val="0"/>
          <w:divBdr>
            <w:top w:val="none" w:sz="0" w:space="0" w:color="auto"/>
            <w:left w:val="none" w:sz="0" w:space="0" w:color="auto"/>
            <w:bottom w:val="none" w:sz="0" w:space="0" w:color="auto"/>
            <w:right w:val="none" w:sz="0" w:space="0" w:color="auto"/>
          </w:divBdr>
        </w:div>
        <w:div w:id="1800413016">
          <w:marLeft w:val="446"/>
          <w:marRight w:val="0"/>
          <w:marTop w:val="0"/>
          <w:marBottom w:val="0"/>
          <w:divBdr>
            <w:top w:val="none" w:sz="0" w:space="0" w:color="auto"/>
            <w:left w:val="none" w:sz="0" w:space="0" w:color="auto"/>
            <w:bottom w:val="none" w:sz="0" w:space="0" w:color="auto"/>
            <w:right w:val="none" w:sz="0" w:space="0" w:color="auto"/>
          </w:divBdr>
        </w:div>
        <w:div w:id="2077504754">
          <w:marLeft w:val="446"/>
          <w:marRight w:val="0"/>
          <w:marTop w:val="0"/>
          <w:marBottom w:val="0"/>
          <w:divBdr>
            <w:top w:val="none" w:sz="0" w:space="0" w:color="auto"/>
            <w:left w:val="none" w:sz="0" w:space="0" w:color="auto"/>
            <w:bottom w:val="none" w:sz="0" w:space="0" w:color="auto"/>
            <w:right w:val="none" w:sz="0" w:space="0" w:color="auto"/>
          </w:divBdr>
        </w:div>
      </w:divsChild>
    </w:div>
    <w:div w:id="148979248">
      <w:bodyDiv w:val="1"/>
      <w:marLeft w:val="0"/>
      <w:marRight w:val="0"/>
      <w:marTop w:val="0"/>
      <w:marBottom w:val="0"/>
      <w:divBdr>
        <w:top w:val="none" w:sz="0" w:space="0" w:color="auto"/>
        <w:left w:val="none" w:sz="0" w:space="0" w:color="auto"/>
        <w:bottom w:val="none" w:sz="0" w:space="0" w:color="auto"/>
        <w:right w:val="none" w:sz="0" w:space="0" w:color="auto"/>
      </w:divBdr>
      <w:divsChild>
        <w:div w:id="603266736">
          <w:marLeft w:val="446"/>
          <w:marRight w:val="0"/>
          <w:marTop w:val="0"/>
          <w:marBottom w:val="0"/>
          <w:divBdr>
            <w:top w:val="none" w:sz="0" w:space="0" w:color="auto"/>
            <w:left w:val="none" w:sz="0" w:space="0" w:color="auto"/>
            <w:bottom w:val="none" w:sz="0" w:space="0" w:color="auto"/>
            <w:right w:val="none" w:sz="0" w:space="0" w:color="auto"/>
          </w:divBdr>
        </w:div>
        <w:div w:id="606932833">
          <w:marLeft w:val="446"/>
          <w:marRight w:val="0"/>
          <w:marTop w:val="0"/>
          <w:marBottom w:val="0"/>
          <w:divBdr>
            <w:top w:val="none" w:sz="0" w:space="0" w:color="auto"/>
            <w:left w:val="none" w:sz="0" w:space="0" w:color="auto"/>
            <w:bottom w:val="none" w:sz="0" w:space="0" w:color="auto"/>
            <w:right w:val="none" w:sz="0" w:space="0" w:color="auto"/>
          </w:divBdr>
        </w:div>
        <w:div w:id="663701189">
          <w:marLeft w:val="446"/>
          <w:marRight w:val="0"/>
          <w:marTop w:val="0"/>
          <w:marBottom w:val="0"/>
          <w:divBdr>
            <w:top w:val="none" w:sz="0" w:space="0" w:color="auto"/>
            <w:left w:val="none" w:sz="0" w:space="0" w:color="auto"/>
            <w:bottom w:val="none" w:sz="0" w:space="0" w:color="auto"/>
            <w:right w:val="none" w:sz="0" w:space="0" w:color="auto"/>
          </w:divBdr>
        </w:div>
        <w:div w:id="1692098319">
          <w:marLeft w:val="446"/>
          <w:marRight w:val="0"/>
          <w:marTop w:val="0"/>
          <w:marBottom w:val="0"/>
          <w:divBdr>
            <w:top w:val="none" w:sz="0" w:space="0" w:color="auto"/>
            <w:left w:val="none" w:sz="0" w:space="0" w:color="auto"/>
            <w:bottom w:val="none" w:sz="0" w:space="0" w:color="auto"/>
            <w:right w:val="none" w:sz="0" w:space="0" w:color="auto"/>
          </w:divBdr>
        </w:div>
        <w:div w:id="1883397395">
          <w:marLeft w:val="446"/>
          <w:marRight w:val="0"/>
          <w:marTop w:val="0"/>
          <w:marBottom w:val="0"/>
          <w:divBdr>
            <w:top w:val="none" w:sz="0" w:space="0" w:color="auto"/>
            <w:left w:val="none" w:sz="0" w:space="0" w:color="auto"/>
            <w:bottom w:val="none" w:sz="0" w:space="0" w:color="auto"/>
            <w:right w:val="none" w:sz="0" w:space="0" w:color="auto"/>
          </w:divBdr>
        </w:div>
      </w:divsChild>
    </w:div>
    <w:div w:id="181168416">
      <w:bodyDiv w:val="1"/>
      <w:marLeft w:val="0"/>
      <w:marRight w:val="0"/>
      <w:marTop w:val="0"/>
      <w:marBottom w:val="0"/>
      <w:divBdr>
        <w:top w:val="none" w:sz="0" w:space="0" w:color="auto"/>
        <w:left w:val="none" w:sz="0" w:space="0" w:color="auto"/>
        <w:bottom w:val="none" w:sz="0" w:space="0" w:color="auto"/>
        <w:right w:val="none" w:sz="0" w:space="0" w:color="auto"/>
      </w:divBdr>
    </w:div>
    <w:div w:id="195460676">
      <w:bodyDiv w:val="1"/>
      <w:marLeft w:val="0"/>
      <w:marRight w:val="0"/>
      <w:marTop w:val="0"/>
      <w:marBottom w:val="0"/>
      <w:divBdr>
        <w:top w:val="none" w:sz="0" w:space="0" w:color="auto"/>
        <w:left w:val="none" w:sz="0" w:space="0" w:color="auto"/>
        <w:bottom w:val="none" w:sz="0" w:space="0" w:color="auto"/>
        <w:right w:val="none" w:sz="0" w:space="0" w:color="auto"/>
      </w:divBdr>
    </w:div>
    <w:div w:id="200090584">
      <w:bodyDiv w:val="1"/>
      <w:marLeft w:val="0"/>
      <w:marRight w:val="0"/>
      <w:marTop w:val="0"/>
      <w:marBottom w:val="0"/>
      <w:divBdr>
        <w:top w:val="none" w:sz="0" w:space="0" w:color="auto"/>
        <w:left w:val="none" w:sz="0" w:space="0" w:color="auto"/>
        <w:bottom w:val="none" w:sz="0" w:space="0" w:color="auto"/>
        <w:right w:val="none" w:sz="0" w:space="0" w:color="auto"/>
      </w:divBdr>
    </w:div>
    <w:div w:id="208762719">
      <w:bodyDiv w:val="1"/>
      <w:marLeft w:val="0"/>
      <w:marRight w:val="0"/>
      <w:marTop w:val="0"/>
      <w:marBottom w:val="0"/>
      <w:divBdr>
        <w:top w:val="none" w:sz="0" w:space="0" w:color="auto"/>
        <w:left w:val="none" w:sz="0" w:space="0" w:color="auto"/>
        <w:bottom w:val="none" w:sz="0" w:space="0" w:color="auto"/>
        <w:right w:val="none" w:sz="0" w:space="0" w:color="auto"/>
      </w:divBdr>
    </w:div>
    <w:div w:id="287779896">
      <w:bodyDiv w:val="1"/>
      <w:marLeft w:val="0"/>
      <w:marRight w:val="0"/>
      <w:marTop w:val="0"/>
      <w:marBottom w:val="0"/>
      <w:divBdr>
        <w:top w:val="none" w:sz="0" w:space="0" w:color="auto"/>
        <w:left w:val="none" w:sz="0" w:space="0" w:color="auto"/>
        <w:bottom w:val="none" w:sz="0" w:space="0" w:color="auto"/>
        <w:right w:val="none" w:sz="0" w:space="0" w:color="auto"/>
      </w:divBdr>
    </w:div>
    <w:div w:id="310910484">
      <w:bodyDiv w:val="1"/>
      <w:marLeft w:val="0"/>
      <w:marRight w:val="0"/>
      <w:marTop w:val="0"/>
      <w:marBottom w:val="0"/>
      <w:divBdr>
        <w:top w:val="none" w:sz="0" w:space="0" w:color="auto"/>
        <w:left w:val="none" w:sz="0" w:space="0" w:color="auto"/>
        <w:bottom w:val="none" w:sz="0" w:space="0" w:color="auto"/>
        <w:right w:val="none" w:sz="0" w:space="0" w:color="auto"/>
      </w:divBdr>
      <w:divsChild>
        <w:div w:id="1794523064">
          <w:marLeft w:val="446"/>
          <w:marRight w:val="0"/>
          <w:marTop w:val="120"/>
          <w:marBottom w:val="0"/>
          <w:divBdr>
            <w:top w:val="none" w:sz="0" w:space="0" w:color="auto"/>
            <w:left w:val="none" w:sz="0" w:space="0" w:color="auto"/>
            <w:bottom w:val="none" w:sz="0" w:space="0" w:color="auto"/>
            <w:right w:val="none" w:sz="0" w:space="0" w:color="auto"/>
          </w:divBdr>
        </w:div>
        <w:div w:id="1872841431">
          <w:marLeft w:val="446"/>
          <w:marRight w:val="0"/>
          <w:marTop w:val="120"/>
          <w:marBottom w:val="0"/>
          <w:divBdr>
            <w:top w:val="none" w:sz="0" w:space="0" w:color="auto"/>
            <w:left w:val="none" w:sz="0" w:space="0" w:color="auto"/>
            <w:bottom w:val="none" w:sz="0" w:space="0" w:color="auto"/>
            <w:right w:val="none" w:sz="0" w:space="0" w:color="auto"/>
          </w:divBdr>
        </w:div>
        <w:div w:id="221989898">
          <w:marLeft w:val="446"/>
          <w:marRight w:val="0"/>
          <w:marTop w:val="120"/>
          <w:marBottom w:val="0"/>
          <w:divBdr>
            <w:top w:val="none" w:sz="0" w:space="0" w:color="auto"/>
            <w:left w:val="none" w:sz="0" w:space="0" w:color="auto"/>
            <w:bottom w:val="none" w:sz="0" w:space="0" w:color="auto"/>
            <w:right w:val="none" w:sz="0" w:space="0" w:color="auto"/>
          </w:divBdr>
        </w:div>
        <w:div w:id="2047871624">
          <w:marLeft w:val="446"/>
          <w:marRight w:val="0"/>
          <w:marTop w:val="120"/>
          <w:marBottom w:val="0"/>
          <w:divBdr>
            <w:top w:val="none" w:sz="0" w:space="0" w:color="auto"/>
            <w:left w:val="none" w:sz="0" w:space="0" w:color="auto"/>
            <w:bottom w:val="none" w:sz="0" w:space="0" w:color="auto"/>
            <w:right w:val="none" w:sz="0" w:space="0" w:color="auto"/>
          </w:divBdr>
        </w:div>
      </w:divsChild>
    </w:div>
    <w:div w:id="316961662">
      <w:bodyDiv w:val="1"/>
      <w:marLeft w:val="0"/>
      <w:marRight w:val="0"/>
      <w:marTop w:val="0"/>
      <w:marBottom w:val="0"/>
      <w:divBdr>
        <w:top w:val="none" w:sz="0" w:space="0" w:color="auto"/>
        <w:left w:val="none" w:sz="0" w:space="0" w:color="auto"/>
        <w:bottom w:val="none" w:sz="0" w:space="0" w:color="auto"/>
        <w:right w:val="none" w:sz="0" w:space="0" w:color="auto"/>
      </w:divBdr>
    </w:div>
    <w:div w:id="361514202">
      <w:bodyDiv w:val="1"/>
      <w:marLeft w:val="0"/>
      <w:marRight w:val="0"/>
      <w:marTop w:val="0"/>
      <w:marBottom w:val="0"/>
      <w:divBdr>
        <w:top w:val="none" w:sz="0" w:space="0" w:color="auto"/>
        <w:left w:val="none" w:sz="0" w:space="0" w:color="auto"/>
        <w:bottom w:val="none" w:sz="0" w:space="0" w:color="auto"/>
        <w:right w:val="none" w:sz="0" w:space="0" w:color="auto"/>
      </w:divBdr>
    </w:div>
    <w:div w:id="392586542">
      <w:bodyDiv w:val="1"/>
      <w:marLeft w:val="0"/>
      <w:marRight w:val="0"/>
      <w:marTop w:val="0"/>
      <w:marBottom w:val="0"/>
      <w:divBdr>
        <w:top w:val="none" w:sz="0" w:space="0" w:color="auto"/>
        <w:left w:val="none" w:sz="0" w:space="0" w:color="auto"/>
        <w:bottom w:val="none" w:sz="0" w:space="0" w:color="auto"/>
        <w:right w:val="none" w:sz="0" w:space="0" w:color="auto"/>
      </w:divBdr>
    </w:div>
    <w:div w:id="401297299">
      <w:bodyDiv w:val="1"/>
      <w:marLeft w:val="0"/>
      <w:marRight w:val="0"/>
      <w:marTop w:val="0"/>
      <w:marBottom w:val="0"/>
      <w:divBdr>
        <w:top w:val="none" w:sz="0" w:space="0" w:color="auto"/>
        <w:left w:val="none" w:sz="0" w:space="0" w:color="auto"/>
        <w:bottom w:val="none" w:sz="0" w:space="0" w:color="auto"/>
        <w:right w:val="none" w:sz="0" w:space="0" w:color="auto"/>
      </w:divBdr>
    </w:div>
    <w:div w:id="404189044">
      <w:bodyDiv w:val="1"/>
      <w:marLeft w:val="0"/>
      <w:marRight w:val="0"/>
      <w:marTop w:val="0"/>
      <w:marBottom w:val="0"/>
      <w:divBdr>
        <w:top w:val="none" w:sz="0" w:space="0" w:color="auto"/>
        <w:left w:val="none" w:sz="0" w:space="0" w:color="auto"/>
        <w:bottom w:val="none" w:sz="0" w:space="0" w:color="auto"/>
        <w:right w:val="none" w:sz="0" w:space="0" w:color="auto"/>
      </w:divBdr>
    </w:div>
    <w:div w:id="457918072">
      <w:bodyDiv w:val="1"/>
      <w:marLeft w:val="0"/>
      <w:marRight w:val="0"/>
      <w:marTop w:val="0"/>
      <w:marBottom w:val="0"/>
      <w:divBdr>
        <w:top w:val="none" w:sz="0" w:space="0" w:color="auto"/>
        <w:left w:val="none" w:sz="0" w:space="0" w:color="auto"/>
        <w:bottom w:val="none" w:sz="0" w:space="0" w:color="auto"/>
        <w:right w:val="none" w:sz="0" w:space="0" w:color="auto"/>
      </w:divBdr>
    </w:div>
    <w:div w:id="460854026">
      <w:bodyDiv w:val="1"/>
      <w:marLeft w:val="0"/>
      <w:marRight w:val="0"/>
      <w:marTop w:val="0"/>
      <w:marBottom w:val="0"/>
      <w:divBdr>
        <w:top w:val="none" w:sz="0" w:space="0" w:color="auto"/>
        <w:left w:val="none" w:sz="0" w:space="0" w:color="auto"/>
        <w:bottom w:val="none" w:sz="0" w:space="0" w:color="auto"/>
        <w:right w:val="none" w:sz="0" w:space="0" w:color="auto"/>
      </w:divBdr>
    </w:div>
    <w:div w:id="496698653">
      <w:bodyDiv w:val="1"/>
      <w:marLeft w:val="0"/>
      <w:marRight w:val="0"/>
      <w:marTop w:val="0"/>
      <w:marBottom w:val="0"/>
      <w:divBdr>
        <w:top w:val="none" w:sz="0" w:space="0" w:color="auto"/>
        <w:left w:val="none" w:sz="0" w:space="0" w:color="auto"/>
        <w:bottom w:val="none" w:sz="0" w:space="0" w:color="auto"/>
        <w:right w:val="none" w:sz="0" w:space="0" w:color="auto"/>
      </w:divBdr>
    </w:div>
    <w:div w:id="507331664">
      <w:bodyDiv w:val="1"/>
      <w:marLeft w:val="0"/>
      <w:marRight w:val="0"/>
      <w:marTop w:val="0"/>
      <w:marBottom w:val="0"/>
      <w:divBdr>
        <w:top w:val="none" w:sz="0" w:space="0" w:color="auto"/>
        <w:left w:val="none" w:sz="0" w:space="0" w:color="auto"/>
        <w:bottom w:val="none" w:sz="0" w:space="0" w:color="auto"/>
        <w:right w:val="none" w:sz="0" w:space="0" w:color="auto"/>
      </w:divBdr>
    </w:div>
    <w:div w:id="521632984">
      <w:bodyDiv w:val="1"/>
      <w:marLeft w:val="0"/>
      <w:marRight w:val="0"/>
      <w:marTop w:val="0"/>
      <w:marBottom w:val="0"/>
      <w:divBdr>
        <w:top w:val="none" w:sz="0" w:space="0" w:color="auto"/>
        <w:left w:val="none" w:sz="0" w:space="0" w:color="auto"/>
        <w:bottom w:val="none" w:sz="0" w:space="0" w:color="auto"/>
        <w:right w:val="none" w:sz="0" w:space="0" w:color="auto"/>
      </w:divBdr>
    </w:div>
    <w:div w:id="525994102">
      <w:bodyDiv w:val="1"/>
      <w:marLeft w:val="0"/>
      <w:marRight w:val="0"/>
      <w:marTop w:val="0"/>
      <w:marBottom w:val="0"/>
      <w:divBdr>
        <w:top w:val="none" w:sz="0" w:space="0" w:color="auto"/>
        <w:left w:val="none" w:sz="0" w:space="0" w:color="auto"/>
        <w:bottom w:val="none" w:sz="0" w:space="0" w:color="auto"/>
        <w:right w:val="none" w:sz="0" w:space="0" w:color="auto"/>
      </w:divBdr>
    </w:div>
    <w:div w:id="574822262">
      <w:bodyDiv w:val="1"/>
      <w:marLeft w:val="0"/>
      <w:marRight w:val="0"/>
      <w:marTop w:val="0"/>
      <w:marBottom w:val="0"/>
      <w:divBdr>
        <w:top w:val="none" w:sz="0" w:space="0" w:color="auto"/>
        <w:left w:val="none" w:sz="0" w:space="0" w:color="auto"/>
        <w:bottom w:val="none" w:sz="0" w:space="0" w:color="auto"/>
        <w:right w:val="none" w:sz="0" w:space="0" w:color="auto"/>
      </w:divBdr>
    </w:div>
    <w:div w:id="597907066">
      <w:bodyDiv w:val="1"/>
      <w:marLeft w:val="0"/>
      <w:marRight w:val="0"/>
      <w:marTop w:val="0"/>
      <w:marBottom w:val="0"/>
      <w:divBdr>
        <w:top w:val="none" w:sz="0" w:space="0" w:color="auto"/>
        <w:left w:val="none" w:sz="0" w:space="0" w:color="auto"/>
        <w:bottom w:val="none" w:sz="0" w:space="0" w:color="auto"/>
        <w:right w:val="none" w:sz="0" w:space="0" w:color="auto"/>
      </w:divBdr>
      <w:divsChild>
        <w:div w:id="10647865">
          <w:marLeft w:val="274"/>
          <w:marRight w:val="0"/>
          <w:marTop w:val="0"/>
          <w:marBottom w:val="0"/>
          <w:divBdr>
            <w:top w:val="none" w:sz="0" w:space="0" w:color="auto"/>
            <w:left w:val="none" w:sz="0" w:space="0" w:color="auto"/>
            <w:bottom w:val="none" w:sz="0" w:space="0" w:color="auto"/>
            <w:right w:val="none" w:sz="0" w:space="0" w:color="auto"/>
          </w:divBdr>
        </w:div>
        <w:div w:id="1010061383">
          <w:marLeft w:val="274"/>
          <w:marRight w:val="0"/>
          <w:marTop w:val="0"/>
          <w:marBottom w:val="0"/>
          <w:divBdr>
            <w:top w:val="none" w:sz="0" w:space="0" w:color="auto"/>
            <w:left w:val="none" w:sz="0" w:space="0" w:color="auto"/>
            <w:bottom w:val="none" w:sz="0" w:space="0" w:color="auto"/>
            <w:right w:val="none" w:sz="0" w:space="0" w:color="auto"/>
          </w:divBdr>
        </w:div>
        <w:div w:id="1664965926">
          <w:marLeft w:val="274"/>
          <w:marRight w:val="0"/>
          <w:marTop w:val="0"/>
          <w:marBottom w:val="0"/>
          <w:divBdr>
            <w:top w:val="none" w:sz="0" w:space="0" w:color="auto"/>
            <w:left w:val="none" w:sz="0" w:space="0" w:color="auto"/>
            <w:bottom w:val="none" w:sz="0" w:space="0" w:color="auto"/>
            <w:right w:val="none" w:sz="0" w:space="0" w:color="auto"/>
          </w:divBdr>
        </w:div>
        <w:div w:id="2081781679">
          <w:marLeft w:val="274"/>
          <w:marRight w:val="0"/>
          <w:marTop w:val="0"/>
          <w:marBottom w:val="0"/>
          <w:divBdr>
            <w:top w:val="none" w:sz="0" w:space="0" w:color="auto"/>
            <w:left w:val="none" w:sz="0" w:space="0" w:color="auto"/>
            <w:bottom w:val="none" w:sz="0" w:space="0" w:color="auto"/>
            <w:right w:val="none" w:sz="0" w:space="0" w:color="auto"/>
          </w:divBdr>
        </w:div>
      </w:divsChild>
    </w:div>
    <w:div w:id="624890210">
      <w:bodyDiv w:val="1"/>
      <w:marLeft w:val="0"/>
      <w:marRight w:val="0"/>
      <w:marTop w:val="0"/>
      <w:marBottom w:val="0"/>
      <w:divBdr>
        <w:top w:val="none" w:sz="0" w:space="0" w:color="auto"/>
        <w:left w:val="none" w:sz="0" w:space="0" w:color="auto"/>
        <w:bottom w:val="none" w:sz="0" w:space="0" w:color="auto"/>
        <w:right w:val="none" w:sz="0" w:space="0" w:color="auto"/>
      </w:divBdr>
    </w:div>
    <w:div w:id="629281672">
      <w:bodyDiv w:val="1"/>
      <w:marLeft w:val="0"/>
      <w:marRight w:val="0"/>
      <w:marTop w:val="0"/>
      <w:marBottom w:val="0"/>
      <w:divBdr>
        <w:top w:val="none" w:sz="0" w:space="0" w:color="auto"/>
        <w:left w:val="none" w:sz="0" w:space="0" w:color="auto"/>
        <w:bottom w:val="none" w:sz="0" w:space="0" w:color="auto"/>
        <w:right w:val="none" w:sz="0" w:space="0" w:color="auto"/>
      </w:divBdr>
    </w:div>
    <w:div w:id="748356452">
      <w:bodyDiv w:val="1"/>
      <w:marLeft w:val="0"/>
      <w:marRight w:val="0"/>
      <w:marTop w:val="0"/>
      <w:marBottom w:val="0"/>
      <w:divBdr>
        <w:top w:val="none" w:sz="0" w:space="0" w:color="auto"/>
        <w:left w:val="none" w:sz="0" w:space="0" w:color="auto"/>
        <w:bottom w:val="none" w:sz="0" w:space="0" w:color="auto"/>
        <w:right w:val="none" w:sz="0" w:space="0" w:color="auto"/>
      </w:divBdr>
    </w:div>
    <w:div w:id="757604032">
      <w:bodyDiv w:val="1"/>
      <w:marLeft w:val="0"/>
      <w:marRight w:val="0"/>
      <w:marTop w:val="0"/>
      <w:marBottom w:val="0"/>
      <w:divBdr>
        <w:top w:val="none" w:sz="0" w:space="0" w:color="auto"/>
        <w:left w:val="none" w:sz="0" w:space="0" w:color="auto"/>
        <w:bottom w:val="none" w:sz="0" w:space="0" w:color="auto"/>
        <w:right w:val="none" w:sz="0" w:space="0" w:color="auto"/>
      </w:divBdr>
    </w:div>
    <w:div w:id="767313976">
      <w:bodyDiv w:val="1"/>
      <w:marLeft w:val="0"/>
      <w:marRight w:val="0"/>
      <w:marTop w:val="0"/>
      <w:marBottom w:val="0"/>
      <w:divBdr>
        <w:top w:val="none" w:sz="0" w:space="0" w:color="auto"/>
        <w:left w:val="none" w:sz="0" w:space="0" w:color="auto"/>
        <w:bottom w:val="none" w:sz="0" w:space="0" w:color="auto"/>
        <w:right w:val="none" w:sz="0" w:space="0" w:color="auto"/>
      </w:divBdr>
    </w:div>
    <w:div w:id="854656871">
      <w:bodyDiv w:val="1"/>
      <w:marLeft w:val="0"/>
      <w:marRight w:val="0"/>
      <w:marTop w:val="0"/>
      <w:marBottom w:val="0"/>
      <w:divBdr>
        <w:top w:val="none" w:sz="0" w:space="0" w:color="auto"/>
        <w:left w:val="none" w:sz="0" w:space="0" w:color="auto"/>
        <w:bottom w:val="none" w:sz="0" w:space="0" w:color="auto"/>
        <w:right w:val="none" w:sz="0" w:space="0" w:color="auto"/>
      </w:divBdr>
    </w:div>
    <w:div w:id="866482994">
      <w:bodyDiv w:val="1"/>
      <w:marLeft w:val="0"/>
      <w:marRight w:val="0"/>
      <w:marTop w:val="0"/>
      <w:marBottom w:val="0"/>
      <w:divBdr>
        <w:top w:val="none" w:sz="0" w:space="0" w:color="auto"/>
        <w:left w:val="none" w:sz="0" w:space="0" w:color="auto"/>
        <w:bottom w:val="none" w:sz="0" w:space="0" w:color="auto"/>
        <w:right w:val="none" w:sz="0" w:space="0" w:color="auto"/>
      </w:divBdr>
    </w:div>
    <w:div w:id="875233598">
      <w:bodyDiv w:val="1"/>
      <w:marLeft w:val="0"/>
      <w:marRight w:val="0"/>
      <w:marTop w:val="0"/>
      <w:marBottom w:val="0"/>
      <w:divBdr>
        <w:top w:val="none" w:sz="0" w:space="0" w:color="auto"/>
        <w:left w:val="none" w:sz="0" w:space="0" w:color="auto"/>
        <w:bottom w:val="none" w:sz="0" w:space="0" w:color="auto"/>
        <w:right w:val="none" w:sz="0" w:space="0" w:color="auto"/>
      </w:divBdr>
    </w:div>
    <w:div w:id="936517602">
      <w:bodyDiv w:val="1"/>
      <w:marLeft w:val="0"/>
      <w:marRight w:val="0"/>
      <w:marTop w:val="0"/>
      <w:marBottom w:val="0"/>
      <w:divBdr>
        <w:top w:val="none" w:sz="0" w:space="0" w:color="auto"/>
        <w:left w:val="none" w:sz="0" w:space="0" w:color="auto"/>
        <w:bottom w:val="none" w:sz="0" w:space="0" w:color="auto"/>
        <w:right w:val="none" w:sz="0" w:space="0" w:color="auto"/>
      </w:divBdr>
      <w:divsChild>
        <w:div w:id="204148889">
          <w:marLeft w:val="274"/>
          <w:marRight w:val="0"/>
          <w:marTop w:val="0"/>
          <w:marBottom w:val="0"/>
          <w:divBdr>
            <w:top w:val="none" w:sz="0" w:space="0" w:color="auto"/>
            <w:left w:val="none" w:sz="0" w:space="0" w:color="auto"/>
            <w:bottom w:val="none" w:sz="0" w:space="0" w:color="auto"/>
            <w:right w:val="none" w:sz="0" w:space="0" w:color="auto"/>
          </w:divBdr>
        </w:div>
        <w:div w:id="682561099">
          <w:marLeft w:val="274"/>
          <w:marRight w:val="0"/>
          <w:marTop w:val="0"/>
          <w:marBottom w:val="0"/>
          <w:divBdr>
            <w:top w:val="none" w:sz="0" w:space="0" w:color="auto"/>
            <w:left w:val="none" w:sz="0" w:space="0" w:color="auto"/>
            <w:bottom w:val="none" w:sz="0" w:space="0" w:color="auto"/>
            <w:right w:val="none" w:sz="0" w:space="0" w:color="auto"/>
          </w:divBdr>
        </w:div>
        <w:div w:id="860779346">
          <w:marLeft w:val="274"/>
          <w:marRight w:val="0"/>
          <w:marTop w:val="0"/>
          <w:marBottom w:val="0"/>
          <w:divBdr>
            <w:top w:val="none" w:sz="0" w:space="0" w:color="auto"/>
            <w:left w:val="none" w:sz="0" w:space="0" w:color="auto"/>
            <w:bottom w:val="none" w:sz="0" w:space="0" w:color="auto"/>
            <w:right w:val="none" w:sz="0" w:space="0" w:color="auto"/>
          </w:divBdr>
        </w:div>
        <w:div w:id="1948270626">
          <w:marLeft w:val="274"/>
          <w:marRight w:val="0"/>
          <w:marTop w:val="0"/>
          <w:marBottom w:val="0"/>
          <w:divBdr>
            <w:top w:val="none" w:sz="0" w:space="0" w:color="auto"/>
            <w:left w:val="none" w:sz="0" w:space="0" w:color="auto"/>
            <w:bottom w:val="none" w:sz="0" w:space="0" w:color="auto"/>
            <w:right w:val="none" w:sz="0" w:space="0" w:color="auto"/>
          </w:divBdr>
        </w:div>
        <w:div w:id="2049597503">
          <w:marLeft w:val="274"/>
          <w:marRight w:val="0"/>
          <w:marTop w:val="0"/>
          <w:marBottom w:val="0"/>
          <w:divBdr>
            <w:top w:val="none" w:sz="0" w:space="0" w:color="auto"/>
            <w:left w:val="none" w:sz="0" w:space="0" w:color="auto"/>
            <w:bottom w:val="none" w:sz="0" w:space="0" w:color="auto"/>
            <w:right w:val="none" w:sz="0" w:space="0" w:color="auto"/>
          </w:divBdr>
        </w:div>
      </w:divsChild>
    </w:div>
    <w:div w:id="1008874899">
      <w:bodyDiv w:val="1"/>
      <w:marLeft w:val="0"/>
      <w:marRight w:val="0"/>
      <w:marTop w:val="0"/>
      <w:marBottom w:val="0"/>
      <w:divBdr>
        <w:top w:val="none" w:sz="0" w:space="0" w:color="auto"/>
        <w:left w:val="none" w:sz="0" w:space="0" w:color="auto"/>
        <w:bottom w:val="none" w:sz="0" w:space="0" w:color="auto"/>
        <w:right w:val="none" w:sz="0" w:space="0" w:color="auto"/>
      </w:divBdr>
    </w:div>
    <w:div w:id="1037006061">
      <w:bodyDiv w:val="1"/>
      <w:marLeft w:val="0"/>
      <w:marRight w:val="0"/>
      <w:marTop w:val="0"/>
      <w:marBottom w:val="0"/>
      <w:divBdr>
        <w:top w:val="none" w:sz="0" w:space="0" w:color="auto"/>
        <w:left w:val="none" w:sz="0" w:space="0" w:color="auto"/>
        <w:bottom w:val="none" w:sz="0" w:space="0" w:color="auto"/>
        <w:right w:val="none" w:sz="0" w:space="0" w:color="auto"/>
      </w:divBdr>
    </w:div>
    <w:div w:id="1077436421">
      <w:bodyDiv w:val="1"/>
      <w:marLeft w:val="0"/>
      <w:marRight w:val="0"/>
      <w:marTop w:val="0"/>
      <w:marBottom w:val="0"/>
      <w:divBdr>
        <w:top w:val="none" w:sz="0" w:space="0" w:color="auto"/>
        <w:left w:val="none" w:sz="0" w:space="0" w:color="auto"/>
        <w:bottom w:val="none" w:sz="0" w:space="0" w:color="auto"/>
        <w:right w:val="none" w:sz="0" w:space="0" w:color="auto"/>
      </w:divBdr>
    </w:div>
    <w:div w:id="1079063160">
      <w:bodyDiv w:val="1"/>
      <w:marLeft w:val="0"/>
      <w:marRight w:val="0"/>
      <w:marTop w:val="0"/>
      <w:marBottom w:val="0"/>
      <w:divBdr>
        <w:top w:val="none" w:sz="0" w:space="0" w:color="auto"/>
        <w:left w:val="none" w:sz="0" w:space="0" w:color="auto"/>
        <w:bottom w:val="none" w:sz="0" w:space="0" w:color="auto"/>
        <w:right w:val="none" w:sz="0" w:space="0" w:color="auto"/>
      </w:divBdr>
    </w:div>
    <w:div w:id="1123622456">
      <w:bodyDiv w:val="1"/>
      <w:marLeft w:val="0"/>
      <w:marRight w:val="0"/>
      <w:marTop w:val="0"/>
      <w:marBottom w:val="0"/>
      <w:divBdr>
        <w:top w:val="none" w:sz="0" w:space="0" w:color="auto"/>
        <w:left w:val="none" w:sz="0" w:space="0" w:color="auto"/>
        <w:bottom w:val="none" w:sz="0" w:space="0" w:color="auto"/>
        <w:right w:val="none" w:sz="0" w:space="0" w:color="auto"/>
      </w:divBdr>
      <w:divsChild>
        <w:div w:id="14161609">
          <w:marLeft w:val="274"/>
          <w:marRight w:val="0"/>
          <w:marTop w:val="0"/>
          <w:marBottom w:val="0"/>
          <w:divBdr>
            <w:top w:val="none" w:sz="0" w:space="0" w:color="auto"/>
            <w:left w:val="none" w:sz="0" w:space="0" w:color="auto"/>
            <w:bottom w:val="none" w:sz="0" w:space="0" w:color="auto"/>
            <w:right w:val="none" w:sz="0" w:space="0" w:color="auto"/>
          </w:divBdr>
        </w:div>
        <w:div w:id="68698113">
          <w:marLeft w:val="274"/>
          <w:marRight w:val="0"/>
          <w:marTop w:val="0"/>
          <w:marBottom w:val="0"/>
          <w:divBdr>
            <w:top w:val="none" w:sz="0" w:space="0" w:color="auto"/>
            <w:left w:val="none" w:sz="0" w:space="0" w:color="auto"/>
            <w:bottom w:val="none" w:sz="0" w:space="0" w:color="auto"/>
            <w:right w:val="none" w:sz="0" w:space="0" w:color="auto"/>
          </w:divBdr>
        </w:div>
        <w:div w:id="77488090">
          <w:marLeft w:val="274"/>
          <w:marRight w:val="0"/>
          <w:marTop w:val="0"/>
          <w:marBottom w:val="0"/>
          <w:divBdr>
            <w:top w:val="none" w:sz="0" w:space="0" w:color="auto"/>
            <w:left w:val="none" w:sz="0" w:space="0" w:color="auto"/>
            <w:bottom w:val="none" w:sz="0" w:space="0" w:color="auto"/>
            <w:right w:val="none" w:sz="0" w:space="0" w:color="auto"/>
          </w:divBdr>
        </w:div>
        <w:div w:id="153423354">
          <w:marLeft w:val="274"/>
          <w:marRight w:val="0"/>
          <w:marTop w:val="0"/>
          <w:marBottom w:val="0"/>
          <w:divBdr>
            <w:top w:val="none" w:sz="0" w:space="0" w:color="auto"/>
            <w:left w:val="none" w:sz="0" w:space="0" w:color="auto"/>
            <w:bottom w:val="none" w:sz="0" w:space="0" w:color="auto"/>
            <w:right w:val="none" w:sz="0" w:space="0" w:color="auto"/>
          </w:divBdr>
        </w:div>
        <w:div w:id="244384429">
          <w:marLeft w:val="274"/>
          <w:marRight w:val="0"/>
          <w:marTop w:val="0"/>
          <w:marBottom w:val="0"/>
          <w:divBdr>
            <w:top w:val="none" w:sz="0" w:space="0" w:color="auto"/>
            <w:left w:val="none" w:sz="0" w:space="0" w:color="auto"/>
            <w:bottom w:val="none" w:sz="0" w:space="0" w:color="auto"/>
            <w:right w:val="none" w:sz="0" w:space="0" w:color="auto"/>
          </w:divBdr>
        </w:div>
        <w:div w:id="323045059">
          <w:marLeft w:val="274"/>
          <w:marRight w:val="0"/>
          <w:marTop w:val="0"/>
          <w:marBottom w:val="0"/>
          <w:divBdr>
            <w:top w:val="none" w:sz="0" w:space="0" w:color="auto"/>
            <w:left w:val="none" w:sz="0" w:space="0" w:color="auto"/>
            <w:bottom w:val="none" w:sz="0" w:space="0" w:color="auto"/>
            <w:right w:val="none" w:sz="0" w:space="0" w:color="auto"/>
          </w:divBdr>
        </w:div>
        <w:div w:id="382101593">
          <w:marLeft w:val="274"/>
          <w:marRight w:val="0"/>
          <w:marTop w:val="0"/>
          <w:marBottom w:val="0"/>
          <w:divBdr>
            <w:top w:val="none" w:sz="0" w:space="0" w:color="auto"/>
            <w:left w:val="none" w:sz="0" w:space="0" w:color="auto"/>
            <w:bottom w:val="none" w:sz="0" w:space="0" w:color="auto"/>
            <w:right w:val="none" w:sz="0" w:space="0" w:color="auto"/>
          </w:divBdr>
        </w:div>
        <w:div w:id="473764405">
          <w:marLeft w:val="274"/>
          <w:marRight w:val="0"/>
          <w:marTop w:val="0"/>
          <w:marBottom w:val="0"/>
          <w:divBdr>
            <w:top w:val="none" w:sz="0" w:space="0" w:color="auto"/>
            <w:left w:val="none" w:sz="0" w:space="0" w:color="auto"/>
            <w:bottom w:val="none" w:sz="0" w:space="0" w:color="auto"/>
            <w:right w:val="none" w:sz="0" w:space="0" w:color="auto"/>
          </w:divBdr>
        </w:div>
        <w:div w:id="487090015">
          <w:marLeft w:val="274"/>
          <w:marRight w:val="0"/>
          <w:marTop w:val="0"/>
          <w:marBottom w:val="0"/>
          <w:divBdr>
            <w:top w:val="none" w:sz="0" w:space="0" w:color="auto"/>
            <w:left w:val="none" w:sz="0" w:space="0" w:color="auto"/>
            <w:bottom w:val="none" w:sz="0" w:space="0" w:color="auto"/>
            <w:right w:val="none" w:sz="0" w:space="0" w:color="auto"/>
          </w:divBdr>
        </w:div>
        <w:div w:id="515770992">
          <w:marLeft w:val="274"/>
          <w:marRight w:val="0"/>
          <w:marTop w:val="0"/>
          <w:marBottom w:val="0"/>
          <w:divBdr>
            <w:top w:val="none" w:sz="0" w:space="0" w:color="auto"/>
            <w:left w:val="none" w:sz="0" w:space="0" w:color="auto"/>
            <w:bottom w:val="none" w:sz="0" w:space="0" w:color="auto"/>
            <w:right w:val="none" w:sz="0" w:space="0" w:color="auto"/>
          </w:divBdr>
        </w:div>
        <w:div w:id="517819535">
          <w:marLeft w:val="274"/>
          <w:marRight w:val="0"/>
          <w:marTop w:val="0"/>
          <w:marBottom w:val="0"/>
          <w:divBdr>
            <w:top w:val="none" w:sz="0" w:space="0" w:color="auto"/>
            <w:left w:val="none" w:sz="0" w:space="0" w:color="auto"/>
            <w:bottom w:val="none" w:sz="0" w:space="0" w:color="auto"/>
            <w:right w:val="none" w:sz="0" w:space="0" w:color="auto"/>
          </w:divBdr>
        </w:div>
        <w:div w:id="538392584">
          <w:marLeft w:val="274"/>
          <w:marRight w:val="0"/>
          <w:marTop w:val="0"/>
          <w:marBottom w:val="0"/>
          <w:divBdr>
            <w:top w:val="none" w:sz="0" w:space="0" w:color="auto"/>
            <w:left w:val="none" w:sz="0" w:space="0" w:color="auto"/>
            <w:bottom w:val="none" w:sz="0" w:space="0" w:color="auto"/>
            <w:right w:val="none" w:sz="0" w:space="0" w:color="auto"/>
          </w:divBdr>
        </w:div>
        <w:div w:id="611865377">
          <w:marLeft w:val="274"/>
          <w:marRight w:val="0"/>
          <w:marTop w:val="0"/>
          <w:marBottom w:val="0"/>
          <w:divBdr>
            <w:top w:val="none" w:sz="0" w:space="0" w:color="auto"/>
            <w:left w:val="none" w:sz="0" w:space="0" w:color="auto"/>
            <w:bottom w:val="none" w:sz="0" w:space="0" w:color="auto"/>
            <w:right w:val="none" w:sz="0" w:space="0" w:color="auto"/>
          </w:divBdr>
        </w:div>
        <w:div w:id="829902843">
          <w:marLeft w:val="274"/>
          <w:marRight w:val="0"/>
          <w:marTop w:val="0"/>
          <w:marBottom w:val="0"/>
          <w:divBdr>
            <w:top w:val="none" w:sz="0" w:space="0" w:color="auto"/>
            <w:left w:val="none" w:sz="0" w:space="0" w:color="auto"/>
            <w:bottom w:val="none" w:sz="0" w:space="0" w:color="auto"/>
            <w:right w:val="none" w:sz="0" w:space="0" w:color="auto"/>
          </w:divBdr>
        </w:div>
        <w:div w:id="862060921">
          <w:marLeft w:val="274"/>
          <w:marRight w:val="0"/>
          <w:marTop w:val="0"/>
          <w:marBottom w:val="0"/>
          <w:divBdr>
            <w:top w:val="none" w:sz="0" w:space="0" w:color="auto"/>
            <w:left w:val="none" w:sz="0" w:space="0" w:color="auto"/>
            <w:bottom w:val="none" w:sz="0" w:space="0" w:color="auto"/>
            <w:right w:val="none" w:sz="0" w:space="0" w:color="auto"/>
          </w:divBdr>
        </w:div>
        <w:div w:id="958218539">
          <w:marLeft w:val="274"/>
          <w:marRight w:val="0"/>
          <w:marTop w:val="0"/>
          <w:marBottom w:val="0"/>
          <w:divBdr>
            <w:top w:val="none" w:sz="0" w:space="0" w:color="auto"/>
            <w:left w:val="none" w:sz="0" w:space="0" w:color="auto"/>
            <w:bottom w:val="none" w:sz="0" w:space="0" w:color="auto"/>
            <w:right w:val="none" w:sz="0" w:space="0" w:color="auto"/>
          </w:divBdr>
        </w:div>
        <w:div w:id="1053889197">
          <w:marLeft w:val="274"/>
          <w:marRight w:val="0"/>
          <w:marTop w:val="0"/>
          <w:marBottom w:val="0"/>
          <w:divBdr>
            <w:top w:val="none" w:sz="0" w:space="0" w:color="auto"/>
            <w:left w:val="none" w:sz="0" w:space="0" w:color="auto"/>
            <w:bottom w:val="none" w:sz="0" w:space="0" w:color="auto"/>
            <w:right w:val="none" w:sz="0" w:space="0" w:color="auto"/>
          </w:divBdr>
        </w:div>
        <w:div w:id="1110515270">
          <w:marLeft w:val="274"/>
          <w:marRight w:val="0"/>
          <w:marTop w:val="0"/>
          <w:marBottom w:val="0"/>
          <w:divBdr>
            <w:top w:val="none" w:sz="0" w:space="0" w:color="auto"/>
            <w:left w:val="none" w:sz="0" w:space="0" w:color="auto"/>
            <w:bottom w:val="none" w:sz="0" w:space="0" w:color="auto"/>
            <w:right w:val="none" w:sz="0" w:space="0" w:color="auto"/>
          </w:divBdr>
        </w:div>
        <w:div w:id="1149708222">
          <w:marLeft w:val="274"/>
          <w:marRight w:val="0"/>
          <w:marTop w:val="0"/>
          <w:marBottom w:val="0"/>
          <w:divBdr>
            <w:top w:val="none" w:sz="0" w:space="0" w:color="auto"/>
            <w:left w:val="none" w:sz="0" w:space="0" w:color="auto"/>
            <w:bottom w:val="none" w:sz="0" w:space="0" w:color="auto"/>
            <w:right w:val="none" w:sz="0" w:space="0" w:color="auto"/>
          </w:divBdr>
        </w:div>
        <w:div w:id="1356073605">
          <w:marLeft w:val="274"/>
          <w:marRight w:val="0"/>
          <w:marTop w:val="0"/>
          <w:marBottom w:val="0"/>
          <w:divBdr>
            <w:top w:val="none" w:sz="0" w:space="0" w:color="auto"/>
            <w:left w:val="none" w:sz="0" w:space="0" w:color="auto"/>
            <w:bottom w:val="none" w:sz="0" w:space="0" w:color="auto"/>
            <w:right w:val="none" w:sz="0" w:space="0" w:color="auto"/>
          </w:divBdr>
        </w:div>
        <w:div w:id="1688829927">
          <w:marLeft w:val="274"/>
          <w:marRight w:val="0"/>
          <w:marTop w:val="0"/>
          <w:marBottom w:val="0"/>
          <w:divBdr>
            <w:top w:val="none" w:sz="0" w:space="0" w:color="auto"/>
            <w:left w:val="none" w:sz="0" w:space="0" w:color="auto"/>
            <w:bottom w:val="none" w:sz="0" w:space="0" w:color="auto"/>
            <w:right w:val="none" w:sz="0" w:space="0" w:color="auto"/>
          </w:divBdr>
        </w:div>
        <w:div w:id="1713461143">
          <w:marLeft w:val="274"/>
          <w:marRight w:val="0"/>
          <w:marTop w:val="0"/>
          <w:marBottom w:val="0"/>
          <w:divBdr>
            <w:top w:val="none" w:sz="0" w:space="0" w:color="auto"/>
            <w:left w:val="none" w:sz="0" w:space="0" w:color="auto"/>
            <w:bottom w:val="none" w:sz="0" w:space="0" w:color="auto"/>
            <w:right w:val="none" w:sz="0" w:space="0" w:color="auto"/>
          </w:divBdr>
        </w:div>
        <w:div w:id="1755973122">
          <w:marLeft w:val="274"/>
          <w:marRight w:val="0"/>
          <w:marTop w:val="0"/>
          <w:marBottom w:val="0"/>
          <w:divBdr>
            <w:top w:val="none" w:sz="0" w:space="0" w:color="auto"/>
            <w:left w:val="none" w:sz="0" w:space="0" w:color="auto"/>
            <w:bottom w:val="none" w:sz="0" w:space="0" w:color="auto"/>
            <w:right w:val="none" w:sz="0" w:space="0" w:color="auto"/>
          </w:divBdr>
        </w:div>
        <w:div w:id="1919096681">
          <w:marLeft w:val="274"/>
          <w:marRight w:val="0"/>
          <w:marTop w:val="0"/>
          <w:marBottom w:val="0"/>
          <w:divBdr>
            <w:top w:val="none" w:sz="0" w:space="0" w:color="auto"/>
            <w:left w:val="none" w:sz="0" w:space="0" w:color="auto"/>
            <w:bottom w:val="none" w:sz="0" w:space="0" w:color="auto"/>
            <w:right w:val="none" w:sz="0" w:space="0" w:color="auto"/>
          </w:divBdr>
        </w:div>
      </w:divsChild>
    </w:div>
    <w:div w:id="1158501531">
      <w:bodyDiv w:val="1"/>
      <w:marLeft w:val="0"/>
      <w:marRight w:val="0"/>
      <w:marTop w:val="0"/>
      <w:marBottom w:val="0"/>
      <w:divBdr>
        <w:top w:val="none" w:sz="0" w:space="0" w:color="auto"/>
        <w:left w:val="none" w:sz="0" w:space="0" w:color="auto"/>
        <w:bottom w:val="none" w:sz="0" w:space="0" w:color="auto"/>
        <w:right w:val="none" w:sz="0" w:space="0" w:color="auto"/>
      </w:divBdr>
    </w:div>
    <w:div w:id="1219051205">
      <w:bodyDiv w:val="1"/>
      <w:marLeft w:val="0"/>
      <w:marRight w:val="0"/>
      <w:marTop w:val="0"/>
      <w:marBottom w:val="0"/>
      <w:divBdr>
        <w:top w:val="none" w:sz="0" w:space="0" w:color="auto"/>
        <w:left w:val="none" w:sz="0" w:space="0" w:color="auto"/>
        <w:bottom w:val="none" w:sz="0" w:space="0" w:color="auto"/>
        <w:right w:val="none" w:sz="0" w:space="0" w:color="auto"/>
      </w:divBdr>
    </w:div>
    <w:div w:id="1221481950">
      <w:bodyDiv w:val="1"/>
      <w:marLeft w:val="0"/>
      <w:marRight w:val="0"/>
      <w:marTop w:val="0"/>
      <w:marBottom w:val="0"/>
      <w:divBdr>
        <w:top w:val="none" w:sz="0" w:space="0" w:color="auto"/>
        <w:left w:val="none" w:sz="0" w:space="0" w:color="auto"/>
        <w:bottom w:val="none" w:sz="0" w:space="0" w:color="auto"/>
        <w:right w:val="none" w:sz="0" w:space="0" w:color="auto"/>
      </w:divBdr>
    </w:div>
    <w:div w:id="1247881565">
      <w:marLeft w:val="0"/>
      <w:marRight w:val="0"/>
      <w:marTop w:val="0"/>
      <w:marBottom w:val="0"/>
      <w:divBdr>
        <w:top w:val="none" w:sz="0" w:space="0" w:color="auto"/>
        <w:left w:val="none" w:sz="0" w:space="0" w:color="auto"/>
        <w:bottom w:val="none" w:sz="0" w:space="0" w:color="auto"/>
        <w:right w:val="none" w:sz="0" w:space="0" w:color="auto"/>
      </w:divBdr>
      <w:divsChild>
        <w:div w:id="1247881572">
          <w:marLeft w:val="0"/>
          <w:marRight w:val="0"/>
          <w:marTop w:val="0"/>
          <w:marBottom w:val="0"/>
          <w:divBdr>
            <w:top w:val="none" w:sz="0" w:space="0" w:color="auto"/>
            <w:left w:val="none" w:sz="0" w:space="0" w:color="auto"/>
            <w:bottom w:val="none" w:sz="0" w:space="0" w:color="auto"/>
            <w:right w:val="none" w:sz="0" w:space="0" w:color="auto"/>
          </w:divBdr>
          <w:divsChild>
            <w:div w:id="1247881564">
              <w:marLeft w:val="0"/>
              <w:marRight w:val="0"/>
              <w:marTop w:val="0"/>
              <w:marBottom w:val="0"/>
              <w:divBdr>
                <w:top w:val="none" w:sz="0" w:space="0" w:color="auto"/>
                <w:left w:val="none" w:sz="0" w:space="0" w:color="auto"/>
                <w:bottom w:val="none" w:sz="0" w:space="0" w:color="auto"/>
                <w:right w:val="none" w:sz="0" w:space="0" w:color="auto"/>
              </w:divBdr>
            </w:div>
            <w:div w:id="1247881566">
              <w:marLeft w:val="0"/>
              <w:marRight w:val="0"/>
              <w:marTop w:val="0"/>
              <w:marBottom w:val="0"/>
              <w:divBdr>
                <w:top w:val="none" w:sz="0" w:space="0" w:color="auto"/>
                <w:left w:val="none" w:sz="0" w:space="0" w:color="auto"/>
                <w:bottom w:val="none" w:sz="0" w:space="0" w:color="auto"/>
                <w:right w:val="none" w:sz="0" w:space="0" w:color="auto"/>
              </w:divBdr>
            </w:div>
            <w:div w:id="1247881567">
              <w:marLeft w:val="0"/>
              <w:marRight w:val="0"/>
              <w:marTop w:val="0"/>
              <w:marBottom w:val="0"/>
              <w:divBdr>
                <w:top w:val="none" w:sz="0" w:space="0" w:color="auto"/>
                <w:left w:val="none" w:sz="0" w:space="0" w:color="auto"/>
                <w:bottom w:val="none" w:sz="0" w:space="0" w:color="auto"/>
                <w:right w:val="none" w:sz="0" w:space="0" w:color="auto"/>
              </w:divBdr>
            </w:div>
            <w:div w:id="1247881568">
              <w:marLeft w:val="0"/>
              <w:marRight w:val="0"/>
              <w:marTop w:val="0"/>
              <w:marBottom w:val="0"/>
              <w:divBdr>
                <w:top w:val="none" w:sz="0" w:space="0" w:color="auto"/>
                <w:left w:val="none" w:sz="0" w:space="0" w:color="auto"/>
                <w:bottom w:val="none" w:sz="0" w:space="0" w:color="auto"/>
                <w:right w:val="none" w:sz="0" w:space="0" w:color="auto"/>
              </w:divBdr>
            </w:div>
            <w:div w:id="1247881569">
              <w:marLeft w:val="0"/>
              <w:marRight w:val="0"/>
              <w:marTop w:val="0"/>
              <w:marBottom w:val="0"/>
              <w:divBdr>
                <w:top w:val="none" w:sz="0" w:space="0" w:color="auto"/>
                <w:left w:val="none" w:sz="0" w:space="0" w:color="auto"/>
                <w:bottom w:val="none" w:sz="0" w:space="0" w:color="auto"/>
                <w:right w:val="none" w:sz="0" w:space="0" w:color="auto"/>
              </w:divBdr>
            </w:div>
            <w:div w:id="1247881570">
              <w:marLeft w:val="0"/>
              <w:marRight w:val="0"/>
              <w:marTop w:val="0"/>
              <w:marBottom w:val="0"/>
              <w:divBdr>
                <w:top w:val="none" w:sz="0" w:space="0" w:color="auto"/>
                <w:left w:val="none" w:sz="0" w:space="0" w:color="auto"/>
                <w:bottom w:val="none" w:sz="0" w:space="0" w:color="auto"/>
                <w:right w:val="none" w:sz="0" w:space="0" w:color="auto"/>
              </w:divBdr>
            </w:div>
            <w:div w:id="1247881571">
              <w:marLeft w:val="0"/>
              <w:marRight w:val="0"/>
              <w:marTop w:val="0"/>
              <w:marBottom w:val="0"/>
              <w:divBdr>
                <w:top w:val="none" w:sz="0" w:space="0" w:color="auto"/>
                <w:left w:val="none" w:sz="0" w:space="0" w:color="auto"/>
                <w:bottom w:val="none" w:sz="0" w:space="0" w:color="auto"/>
                <w:right w:val="none" w:sz="0" w:space="0" w:color="auto"/>
              </w:divBdr>
            </w:div>
            <w:div w:id="1247881573">
              <w:marLeft w:val="0"/>
              <w:marRight w:val="0"/>
              <w:marTop w:val="0"/>
              <w:marBottom w:val="0"/>
              <w:divBdr>
                <w:top w:val="none" w:sz="0" w:space="0" w:color="auto"/>
                <w:left w:val="none" w:sz="0" w:space="0" w:color="auto"/>
                <w:bottom w:val="none" w:sz="0" w:space="0" w:color="auto"/>
                <w:right w:val="none" w:sz="0" w:space="0" w:color="auto"/>
              </w:divBdr>
            </w:div>
            <w:div w:id="1247881574">
              <w:marLeft w:val="0"/>
              <w:marRight w:val="0"/>
              <w:marTop w:val="0"/>
              <w:marBottom w:val="0"/>
              <w:divBdr>
                <w:top w:val="none" w:sz="0" w:space="0" w:color="auto"/>
                <w:left w:val="none" w:sz="0" w:space="0" w:color="auto"/>
                <w:bottom w:val="none" w:sz="0" w:space="0" w:color="auto"/>
                <w:right w:val="none" w:sz="0" w:space="0" w:color="auto"/>
              </w:divBdr>
            </w:div>
            <w:div w:id="1247881575">
              <w:marLeft w:val="0"/>
              <w:marRight w:val="0"/>
              <w:marTop w:val="0"/>
              <w:marBottom w:val="0"/>
              <w:divBdr>
                <w:top w:val="none" w:sz="0" w:space="0" w:color="auto"/>
                <w:left w:val="none" w:sz="0" w:space="0" w:color="auto"/>
                <w:bottom w:val="none" w:sz="0" w:space="0" w:color="auto"/>
                <w:right w:val="none" w:sz="0" w:space="0" w:color="auto"/>
              </w:divBdr>
            </w:div>
            <w:div w:id="1247881576">
              <w:marLeft w:val="0"/>
              <w:marRight w:val="0"/>
              <w:marTop w:val="0"/>
              <w:marBottom w:val="0"/>
              <w:divBdr>
                <w:top w:val="none" w:sz="0" w:space="0" w:color="auto"/>
                <w:left w:val="none" w:sz="0" w:space="0" w:color="auto"/>
                <w:bottom w:val="none" w:sz="0" w:space="0" w:color="auto"/>
                <w:right w:val="none" w:sz="0" w:space="0" w:color="auto"/>
              </w:divBdr>
            </w:div>
            <w:div w:id="124788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881578">
      <w:marLeft w:val="0"/>
      <w:marRight w:val="0"/>
      <w:marTop w:val="0"/>
      <w:marBottom w:val="0"/>
      <w:divBdr>
        <w:top w:val="none" w:sz="0" w:space="0" w:color="auto"/>
        <w:left w:val="none" w:sz="0" w:space="0" w:color="auto"/>
        <w:bottom w:val="none" w:sz="0" w:space="0" w:color="auto"/>
        <w:right w:val="none" w:sz="0" w:space="0" w:color="auto"/>
      </w:divBdr>
    </w:div>
    <w:div w:id="1247881579">
      <w:marLeft w:val="0"/>
      <w:marRight w:val="0"/>
      <w:marTop w:val="0"/>
      <w:marBottom w:val="0"/>
      <w:divBdr>
        <w:top w:val="none" w:sz="0" w:space="0" w:color="auto"/>
        <w:left w:val="none" w:sz="0" w:space="0" w:color="auto"/>
        <w:bottom w:val="none" w:sz="0" w:space="0" w:color="auto"/>
        <w:right w:val="none" w:sz="0" w:space="0" w:color="auto"/>
      </w:divBdr>
    </w:div>
    <w:div w:id="1282952893">
      <w:bodyDiv w:val="1"/>
      <w:marLeft w:val="0"/>
      <w:marRight w:val="0"/>
      <w:marTop w:val="0"/>
      <w:marBottom w:val="0"/>
      <w:divBdr>
        <w:top w:val="none" w:sz="0" w:space="0" w:color="auto"/>
        <w:left w:val="none" w:sz="0" w:space="0" w:color="auto"/>
        <w:bottom w:val="none" w:sz="0" w:space="0" w:color="auto"/>
        <w:right w:val="none" w:sz="0" w:space="0" w:color="auto"/>
      </w:divBdr>
    </w:div>
    <w:div w:id="1340035831">
      <w:bodyDiv w:val="1"/>
      <w:marLeft w:val="0"/>
      <w:marRight w:val="0"/>
      <w:marTop w:val="0"/>
      <w:marBottom w:val="0"/>
      <w:divBdr>
        <w:top w:val="none" w:sz="0" w:space="0" w:color="auto"/>
        <w:left w:val="none" w:sz="0" w:space="0" w:color="auto"/>
        <w:bottom w:val="none" w:sz="0" w:space="0" w:color="auto"/>
        <w:right w:val="none" w:sz="0" w:space="0" w:color="auto"/>
      </w:divBdr>
    </w:div>
    <w:div w:id="1376466792">
      <w:bodyDiv w:val="1"/>
      <w:marLeft w:val="0"/>
      <w:marRight w:val="0"/>
      <w:marTop w:val="0"/>
      <w:marBottom w:val="0"/>
      <w:divBdr>
        <w:top w:val="none" w:sz="0" w:space="0" w:color="auto"/>
        <w:left w:val="none" w:sz="0" w:space="0" w:color="auto"/>
        <w:bottom w:val="none" w:sz="0" w:space="0" w:color="auto"/>
        <w:right w:val="none" w:sz="0" w:space="0" w:color="auto"/>
      </w:divBdr>
      <w:divsChild>
        <w:div w:id="97918966">
          <w:marLeft w:val="0"/>
          <w:marRight w:val="0"/>
          <w:marTop w:val="60"/>
          <w:marBottom w:val="0"/>
          <w:divBdr>
            <w:top w:val="none" w:sz="0" w:space="0" w:color="auto"/>
            <w:left w:val="none" w:sz="0" w:space="0" w:color="auto"/>
            <w:bottom w:val="none" w:sz="0" w:space="0" w:color="auto"/>
            <w:right w:val="none" w:sz="0" w:space="0" w:color="auto"/>
          </w:divBdr>
        </w:div>
        <w:div w:id="305165249">
          <w:marLeft w:val="0"/>
          <w:marRight w:val="0"/>
          <w:marTop w:val="60"/>
          <w:marBottom w:val="0"/>
          <w:divBdr>
            <w:top w:val="none" w:sz="0" w:space="0" w:color="auto"/>
            <w:left w:val="none" w:sz="0" w:space="0" w:color="auto"/>
            <w:bottom w:val="none" w:sz="0" w:space="0" w:color="auto"/>
            <w:right w:val="none" w:sz="0" w:space="0" w:color="auto"/>
          </w:divBdr>
        </w:div>
        <w:div w:id="434986084">
          <w:marLeft w:val="0"/>
          <w:marRight w:val="0"/>
          <w:marTop w:val="60"/>
          <w:marBottom w:val="0"/>
          <w:divBdr>
            <w:top w:val="none" w:sz="0" w:space="0" w:color="auto"/>
            <w:left w:val="none" w:sz="0" w:space="0" w:color="auto"/>
            <w:bottom w:val="none" w:sz="0" w:space="0" w:color="auto"/>
            <w:right w:val="none" w:sz="0" w:space="0" w:color="auto"/>
          </w:divBdr>
        </w:div>
        <w:div w:id="579754841">
          <w:marLeft w:val="0"/>
          <w:marRight w:val="0"/>
          <w:marTop w:val="60"/>
          <w:marBottom w:val="0"/>
          <w:divBdr>
            <w:top w:val="none" w:sz="0" w:space="0" w:color="auto"/>
            <w:left w:val="none" w:sz="0" w:space="0" w:color="auto"/>
            <w:bottom w:val="none" w:sz="0" w:space="0" w:color="auto"/>
            <w:right w:val="none" w:sz="0" w:space="0" w:color="auto"/>
          </w:divBdr>
        </w:div>
        <w:div w:id="720178896">
          <w:marLeft w:val="0"/>
          <w:marRight w:val="0"/>
          <w:marTop w:val="60"/>
          <w:marBottom w:val="0"/>
          <w:divBdr>
            <w:top w:val="none" w:sz="0" w:space="0" w:color="auto"/>
            <w:left w:val="none" w:sz="0" w:space="0" w:color="auto"/>
            <w:bottom w:val="none" w:sz="0" w:space="0" w:color="auto"/>
            <w:right w:val="none" w:sz="0" w:space="0" w:color="auto"/>
          </w:divBdr>
        </w:div>
        <w:div w:id="801965975">
          <w:marLeft w:val="0"/>
          <w:marRight w:val="0"/>
          <w:marTop w:val="60"/>
          <w:marBottom w:val="0"/>
          <w:divBdr>
            <w:top w:val="none" w:sz="0" w:space="0" w:color="auto"/>
            <w:left w:val="none" w:sz="0" w:space="0" w:color="auto"/>
            <w:bottom w:val="none" w:sz="0" w:space="0" w:color="auto"/>
            <w:right w:val="none" w:sz="0" w:space="0" w:color="auto"/>
          </w:divBdr>
        </w:div>
        <w:div w:id="1249117522">
          <w:marLeft w:val="0"/>
          <w:marRight w:val="0"/>
          <w:marTop w:val="60"/>
          <w:marBottom w:val="0"/>
          <w:divBdr>
            <w:top w:val="none" w:sz="0" w:space="0" w:color="auto"/>
            <w:left w:val="none" w:sz="0" w:space="0" w:color="auto"/>
            <w:bottom w:val="none" w:sz="0" w:space="0" w:color="auto"/>
            <w:right w:val="none" w:sz="0" w:space="0" w:color="auto"/>
          </w:divBdr>
        </w:div>
        <w:div w:id="1260336763">
          <w:marLeft w:val="0"/>
          <w:marRight w:val="0"/>
          <w:marTop w:val="60"/>
          <w:marBottom w:val="0"/>
          <w:divBdr>
            <w:top w:val="none" w:sz="0" w:space="0" w:color="auto"/>
            <w:left w:val="none" w:sz="0" w:space="0" w:color="auto"/>
            <w:bottom w:val="none" w:sz="0" w:space="0" w:color="auto"/>
            <w:right w:val="none" w:sz="0" w:space="0" w:color="auto"/>
          </w:divBdr>
        </w:div>
        <w:div w:id="1293754099">
          <w:marLeft w:val="0"/>
          <w:marRight w:val="0"/>
          <w:marTop w:val="60"/>
          <w:marBottom w:val="0"/>
          <w:divBdr>
            <w:top w:val="none" w:sz="0" w:space="0" w:color="auto"/>
            <w:left w:val="none" w:sz="0" w:space="0" w:color="auto"/>
            <w:bottom w:val="none" w:sz="0" w:space="0" w:color="auto"/>
            <w:right w:val="none" w:sz="0" w:space="0" w:color="auto"/>
          </w:divBdr>
        </w:div>
        <w:div w:id="1650864914">
          <w:marLeft w:val="0"/>
          <w:marRight w:val="0"/>
          <w:marTop w:val="60"/>
          <w:marBottom w:val="0"/>
          <w:divBdr>
            <w:top w:val="none" w:sz="0" w:space="0" w:color="auto"/>
            <w:left w:val="none" w:sz="0" w:space="0" w:color="auto"/>
            <w:bottom w:val="none" w:sz="0" w:space="0" w:color="auto"/>
            <w:right w:val="none" w:sz="0" w:space="0" w:color="auto"/>
          </w:divBdr>
        </w:div>
        <w:div w:id="1674600109">
          <w:marLeft w:val="0"/>
          <w:marRight w:val="0"/>
          <w:marTop w:val="60"/>
          <w:marBottom w:val="0"/>
          <w:divBdr>
            <w:top w:val="none" w:sz="0" w:space="0" w:color="auto"/>
            <w:left w:val="none" w:sz="0" w:space="0" w:color="auto"/>
            <w:bottom w:val="none" w:sz="0" w:space="0" w:color="auto"/>
            <w:right w:val="none" w:sz="0" w:space="0" w:color="auto"/>
          </w:divBdr>
        </w:div>
      </w:divsChild>
    </w:div>
    <w:div w:id="1390224062">
      <w:bodyDiv w:val="1"/>
      <w:marLeft w:val="0"/>
      <w:marRight w:val="0"/>
      <w:marTop w:val="0"/>
      <w:marBottom w:val="0"/>
      <w:divBdr>
        <w:top w:val="none" w:sz="0" w:space="0" w:color="auto"/>
        <w:left w:val="none" w:sz="0" w:space="0" w:color="auto"/>
        <w:bottom w:val="none" w:sz="0" w:space="0" w:color="auto"/>
        <w:right w:val="none" w:sz="0" w:space="0" w:color="auto"/>
      </w:divBdr>
      <w:divsChild>
        <w:div w:id="344093970">
          <w:marLeft w:val="0"/>
          <w:marRight w:val="0"/>
          <w:marTop w:val="0"/>
          <w:marBottom w:val="0"/>
          <w:divBdr>
            <w:top w:val="none" w:sz="0" w:space="0" w:color="auto"/>
            <w:left w:val="none" w:sz="0" w:space="0" w:color="auto"/>
            <w:bottom w:val="none" w:sz="0" w:space="0" w:color="auto"/>
            <w:right w:val="none" w:sz="0" w:space="0" w:color="auto"/>
          </w:divBdr>
          <w:divsChild>
            <w:div w:id="53242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857244">
      <w:bodyDiv w:val="1"/>
      <w:marLeft w:val="0"/>
      <w:marRight w:val="0"/>
      <w:marTop w:val="0"/>
      <w:marBottom w:val="0"/>
      <w:divBdr>
        <w:top w:val="none" w:sz="0" w:space="0" w:color="auto"/>
        <w:left w:val="none" w:sz="0" w:space="0" w:color="auto"/>
        <w:bottom w:val="none" w:sz="0" w:space="0" w:color="auto"/>
        <w:right w:val="none" w:sz="0" w:space="0" w:color="auto"/>
      </w:divBdr>
    </w:div>
    <w:div w:id="1442644141">
      <w:bodyDiv w:val="1"/>
      <w:marLeft w:val="0"/>
      <w:marRight w:val="0"/>
      <w:marTop w:val="0"/>
      <w:marBottom w:val="0"/>
      <w:divBdr>
        <w:top w:val="none" w:sz="0" w:space="0" w:color="auto"/>
        <w:left w:val="none" w:sz="0" w:space="0" w:color="auto"/>
        <w:bottom w:val="none" w:sz="0" w:space="0" w:color="auto"/>
        <w:right w:val="none" w:sz="0" w:space="0" w:color="auto"/>
      </w:divBdr>
    </w:div>
    <w:div w:id="1493639448">
      <w:bodyDiv w:val="1"/>
      <w:marLeft w:val="0"/>
      <w:marRight w:val="0"/>
      <w:marTop w:val="0"/>
      <w:marBottom w:val="0"/>
      <w:divBdr>
        <w:top w:val="none" w:sz="0" w:space="0" w:color="auto"/>
        <w:left w:val="none" w:sz="0" w:space="0" w:color="auto"/>
        <w:bottom w:val="none" w:sz="0" w:space="0" w:color="auto"/>
        <w:right w:val="none" w:sz="0" w:space="0" w:color="auto"/>
      </w:divBdr>
    </w:div>
    <w:div w:id="1615550794">
      <w:bodyDiv w:val="1"/>
      <w:marLeft w:val="0"/>
      <w:marRight w:val="0"/>
      <w:marTop w:val="0"/>
      <w:marBottom w:val="0"/>
      <w:divBdr>
        <w:top w:val="none" w:sz="0" w:space="0" w:color="auto"/>
        <w:left w:val="none" w:sz="0" w:space="0" w:color="auto"/>
        <w:bottom w:val="none" w:sz="0" w:space="0" w:color="auto"/>
        <w:right w:val="none" w:sz="0" w:space="0" w:color="auto"/>
      </w:divBdr>
    </w:div>
    <w:div w:id="1624731957">
      <w:bodyDiv w:val="1"/>
      <w:marLeft w:val="0"/>
      <w:marRight w:val="0"/>
      <w:marTop w:val="0"/>
      <w:marBottom w:val="0"/>
      <w:divBdr>
        <w:top w:val="none" w:sz="0" w:space="0" w:color="auto"/>
        <w:left w:val="none" w:sz="0" w:space="0" w:color="auto"/>
        <w:bottom w:val="none" w:sz="0" w:space="0" w:color="auto"/>
        <w:right w:val="none" w:sz="0" w:space="0" w:color="auto"/>
      </w:divBdr>
    </w:div>
    <w:div w:id="1648820840">
      <w:bodyDiv w:val="1"/>
      <w:marLeft w:val="0"/>
      <w:marRight w:val="0"/>
      <w:marTop w:val="0"/>
      <w:marBottom w:val="0"/>
      <w:divBdr>
        <w:top w:val="none" w:sz="0" w:space="0" w:color="auto"/>
        <w:left w:val="none" w:sz="0" w:space="0" w:color="auto"/>
        <w:bottom w:val="none" w:sz="0" w:space="0" w:color="auto"/>
        <w:right w:val="none" w:sz="0" w:space="0" w:color="auto"/>
      </w:divBdr>
    </w:div>
    <w:div w:id="1731995639">
      <w:bodyDiv w:val="1"/>
      <w:marLeft w:val="0"/>
      <w:marRight w:val="0"/>
      <w:marTop w:val="0"/>
      <w:marBottom w:val="0"/>
      <w:divBdr>
        <w:top w:val="none" w:sz="0" w:space="0" w:color="auto"/>
        <w:left w:val="none" w:sz="0" w:space="0" w:color="auto"/>
        <w:bottom w:val="none" w:sz="0" w:space="0" w:color="auto"/>
        <w:right w:val="none" w:sz="0" w:space="0" w:color="auto"/>
      </w:divBdr>
    </w:div>
    <w:div w:id="1816215014">
      <w:bodyDiv w:val="1"/>
      <w:marLeft w:val="0"/>
      <w:marRight w:val="0"/>
      <w:marTop w:val="0"/>
      <w:marBottom w:val="0"/>
      <w:divBdr>
        <w:top w:val="none" w:sz="0" w:space="0" w:color="auto"/>
        <w:left w:val="none" w:sz="0" w:space="0" w:color="auto"/>
        <w:bottom w:val="none" w:sz="0" w:space="0" w:color="auto"/>
        <w:right w:val="none" w:sz="0" w:space="0" w:color="auto"/>
      </w:divBdr>
    </w:div>
    <w:div w:id="1828010104">
      <w:bodyDiv w:val="1"/>
      <w:marLeft w:val="0"/>
      <w:marRight w:val="0"/>
      <w:marTop w:val="0"/>
      <w:marBottom w:val="0"/>
      <w:divBdr>
        <w:top w:val="none" w:sz="0" w:space="0" w:color="auto"/>
        <w:left w:val="none" w:sz="0" w:space="0" w:color="auto"/>
        <w:bottom w:val="none" w:sz="0" w:space="0" w:color="auto"/>
        <w:right w:val="none" w:sz="0" w:space="0" w:color="auto"/>
      </w:divBdr>
    </w:div>
    <w:div w:id="1853294777">
      <w:bodyDiv w:val="1"/>
      <w:marLeft w:val="0"/>
      <w:marRight w:val="0"/>
      <w:marTop w:val="0"/>
      <w:marBottom w:val="0"/>
      <w:divBdr>
        <w:top w:val="none" w:sz="0" w:space="0" w:color="auto"/>
        <w:left w:val="none" w:sz="0" w:space="0" w:color="auto"/>
        <w:bottom w:val="none" w:sz="0" w:space="0" w:color="auto"/>
        <w:right w:val="none" w:sz="0" w:space="0" w:color="auto"/>
      </w:divBdr>
    </w:div>
    <w:div w:id="1858344156">
      <w:bodyDiv w:val="1"/>
      <w:marLeft w:val="0"/>
      <w:marRight w:val="0"/>
      <w:marTop w:val="0"/>
      <w:marBottom w:val="0"/>
      <w:divBdr>
        <w:top w:val="none" w:sz="0" w:space="0" w:color="auto"/>
        <w:left w:val="none" w:sz="0" w:space="0" w:color="auto"/>
        <w:bottom w:val="none" w:sz="0" w:space="0" w:color="auto"/>
        <w:right w:val="none" w:sz="0" w:space="0" w:color="auto"/>
      </w:divBdr>
      <w:divsChild>
        <w:div w:id="762185789">
          <w:marLeft w:val="0"/>
          <w:marRight w:val="0"/>
          <w:marTop w:val="120"/>
          <w:marBottom w:val="120"/>
          <w:divBdr>
            <w:top w:val="none" w:sz="0" w:space="0" w:color="auto"/>
            <w:left w:val="none" w:sz="0" w:space="0" w:color="auto"/>
            <w:bottom w:val="none" w:sz="0" w:space="0" w:color="auto"/>
            <w:right w:val="none" w:sz="0" w:space="0" w:color="auto"/>
          </w:divBdr>
        </w:div>
        <w:div w:id="172650398">
          <w:marLeft w:val="0"/>
          <w:marRight w:val="0"/>
          <w:marTop w:val="120"/>
          <w:marBottom w:val="120"/>
          <w:divBdr>
            <w:top w:val="none" w:sz="0" w:space="0" w:color="auto"/>
            <w:left w:val="none" w:sz="0" w:space="0" w:color="auto"/>
            <w:bottom w:val="none" w:sz="0" w:space="0" w:color="auto"/>
            <w:right w:val="none" w:sz="0" w:space="0" w:color="auto"/>
          </w:divBdr>
        </w:div>
        <w:div w:id="248273617">
          <w:marLeft w:val="720"/>
          <w:marRight w:val="0"/>
          <w:marTop w:val="120"/>
          <w:marBottom w:val="120"/>
          <w:divBdr>
            <w:top w:val="none" w:sz="0" w:space="0" w:color="auto"/>
            <w:left w:val="none" w:sz="0" w:space="0" w:color="auto"/>
            <w:bottom w:val="none" w:sz="0" w:space="0" w:color="auto"/>
            <w:right w:val="none" w:sz="0" w:space="0" w:color="auto"/>
          </w:divBdr>
        </w:div>
        <w:div w:id="613444615">
          <w:marLeft w:val="720"/>
          <w:marRight w:val="0"/>
          <w:marTop w:val="0"/>
          <w:marBottom w:val="0"/>
          <w:divBdr>
            <w:top w:val="none" w:sz="0" w:space="0" w:color="auto"/>
            <w:left w:val="none" w:sz="0" w:space="0" w:color="auto"/>
            <w:bottom w:val="none" w:sz="0" w:space="0" w:color="auto"/>
            <w:right w:val="none" w:sz="0" w:space="0" w:color="auto"/>
          </w:divBdr>
        </w:div>
        <w:div w:id="901059527">
          <w:marLeft w:val="720"/>
          <w:marRight w:val="0"/>
          <w:marTop w:val="0"/>
          <w:marBottom w:val="0"/>
          <w:divBdr>
            <w:top w:val="none" w:sz="0" w:space="0" w:color="auto"/>
            <w:left w:val="none" w:sz="0" w:space="0" w:color="auto"/>
            <w:bottom w:val="none" w:sz="0" w:space="0" w:color="auto"/>
            <w:right w:val="none" w:sz="0" w:space="0" w:color="auto"/>
          </w:divBdr>
        </w:div>
        <w:div w:id="726147913">
          <w:marLeft w:val="720"/>
          <w:marRight w:val="0"/>
          <w:marTop w:val="0"/>
          <w:marBottom w:val="0"/>
          <w:divBdr>
            <w:top w:val="none" w:sz="0" w:space="0" w:color="auto"/>
            <w:left w:val="none" w:sz="0" w:space="0" w:color="auto"/>
            <w:bottom w:val="none" w:sz="0" w:space="0" w:color="auto"/>
            <w:right w:val="none" w:sz="0" w:space="0" w:color="auto"/>
          </w:divBdr>
        </w:div>
        <w:div w:id="92627029">
          <w:marLeft w:val="720"/>
          <w:marRight w:val="0"/>
          <w:marTop w:val="0"/>
          <w:marBottom w:val="0"/>
          <w:divBdr>
            <w:top w:val="none" w:sz="0" w:space="0" w:color="auto"/>
            <w:left w:val="none" w:sz="0" w:space="0" w:color="auto"/>
            <w:bottom w:val="none" w:sz="0" w:space="0" w:color="auto"/>
            <w:right w:val="none" w:sz="0" w:space="0" w:color="auto"/>
          </w:divBdr>
        </w:div>
        <w:div w:id="399445152">
          <w:marLeft w:val="720"/>
          <w:marRight w:val="0"/>
          <w:marTop w:val="0"/>
          <w:marBottom w:val="0"/>
          <w:divBdr>
            <w:top w:val="none" w:sz="0" w:space="0" w:color="auto"/>
            <w:left w:val="none" w:sz="0" w:space="0" w:color="auto"/>
            <w:bottom w:val="none" w:sz="0" w:space="0" w:color="auto"/>
            <w:right w:val="none" w:sz="0" w:space="0" w:color="auto"/>
          </w:divBdr>
        </w:div>
        <w:div w:id="632296344">
          <w:marLeft w:val="0"/>
          <w:marRight w:val="0"/>
          <w:marTop w:val="120"/>
          <w:marBottom w:val="120"/>
          <w:divBdr>
            <w:top w:val="none" w:sz="0" w:space="0" w:color="auto"/>
            <w:left w:val="none" w:sz="0" w:space="0" w:color="auto"/>
            <w:bottom w:val="none" w:sz="0" w:space="0" w:color="auto"/>
            <w:right w:val="none" w:sz="0" w:space="0" w:color="auto"/>
          </w:divBdr>
        </w:div>
        <w:div w:id="188687856">
          <w:marLeft w:val="0"/>
          <w:marRight w:val="0"/>
          <w:marTop w:val="120"/>
          <w:marBottom w:val="120"/>
          <w:divBdr>
            <w:top w:val="none" w:sz="0" w:space="0" w:color="auto"/>
            <w:left w:val="none" w:sz="0" w:space="0" w:color="auto"/>
            <w:bottom w:val="none" w:sz="0" w:space="0" w:color="auto"/>
            <w:right w:val="none" w:sz="0" w:space="0" w:color="auto"/>
          </w:divBdr>
        </w:div>
      </w:divsChild>
    </w:div>
    <w:div w:id="1932663612">
      <w:bodyDiv w:val="1"/>
      <w:marLeft w:val="0"/>
      <w:marRight w:val="0"/>
      <w:marTop w:val="0"/>
      <w:marBottom w:val="0"/>
      <w:divBdr>
        <w:top w:val="none" w:sz="0" w:space="0" w:color="auto"/>
        <w:left w:val="none" w:sz="0" w:space="0" w:color="auto"/>
        <w:bottom w:val="none" w:sz="0" w:space="0" w:color="auto"/>
        <w:right w:val="none" w:sz="0" w:space="0" w:color="auto"/>
      </w:divBdr>
    </w:div>
    <w:div w:id="2011562891">
      <w:bodyDiv w:val="1"/>
      <w:marLeft w:val="0"/>
      <w:marRight w:val="0"/>
      <w:marTop w:val="0"/>
      <w:marBottom w:val="0"/>
      <w:divBdr>
        <w:top w:val="none" w:sz="0" w:space="0" w:color="auto"/>
        <w:left w:val="none" w:sz="0" w:space="0" w:color="auto"/>
        <w:bottom w:val="none" w:sz="0" w:space="0" w:color="auto"/>
        <w:right w:val="none" w:sz="0" w:space="0" w:color="auto"/>
      </w:divBdr>
    </w:div>
    <w:div w:id="2044088571">
      <w:bodyDiv w:val="1"/>
      <w:marLeft w:val="0"/>
      <w:marRight w:val="0"/>
      <w:marTop w:val="0"/>
      <w:marBottom w:val="0"/>
      <w:divBdr>
        <w:top w:val="none" w:sz="0" w:space="0" w:color="auto"/>
        <w:left w:val="none" w:sz="0" w:space="0" w:color="auto"/>
        <w:bottom w:val="none" w:sz="0" w:space="0" w:color="auto"/>
        <w:right w:val="none" w:sz="0" w:space="0" w:color="auto"/>
      </w:divBdr>
    </w:div>
    <w:div w:id="2048530530">
      <w:bodyDiv w:val="1"/>
      <w:marLeft w:val="0"/>
      <w:marRight w:val="0"/>
      <w:marTop w:val="0"/>
      <w:marBottom w:val="0"/>
      <w:divBdr>
        <w:top w:val="none" w:sz="0" w:space="0" w:color="auto"/>
        <w:left w:val="none" w:sz="0" w:space="0" w:color="auto"/>
        <w:bottom w:val="none" w:sz="0" w:space="0" w:color="auto"/>
        <w:right w:val="none" w:sz="0" w:space="0" w:color="auto"/>
      </w:divBdr>
      <w:divsChild>
        <w:div w:id="314073616">
          <w:marLeft w:val="446"/>
          <w:marRight w:val="0"/>
          <w:marTop w:val="0"/>
          <w:marBottom w:val="0"/>
          <w:divBdr>
            <w:top w:val="none" w:sz="0" w:space="0" w:color="auto"/>
            <w:left w:val="none" w:sz="0" w:space="0" w:color="auto"/>
            <w:bottom w:val="none" w:sz="0" w:space="0" w:color="auto"/>
            <w:right w:val="none" w:sz="0" w:space="0" w:color="auto"/>
          </w:divBdr>
        </w:div>
        <w:div w:id="322005199">
          <w:marLeft w:val="446"/>
          <w:marRight w:val="0"/>
          <w:marTop w:val="0"/>
          <w:marBottom w:val="0"/>
          <w:divBdr>
            <w:top w:val="none" w:sz="0" w:space="0" w:color="auto"/>
            <w:left w:val="none" w:sz="0" w:space="0" w:color="auto"/>
            <w:bottom w:val="none" w:sz="0" w:space="0" w:color="auto"/>
            <w:right w:val="none" w:sz="0" w:space="0" w:color="auto"/>
          </w:divBdr>
        </w:div>
        <w:div w:id="682362335">
          <w:marLeft w:val="446"/>
          <w:marRight w:val="0"/>
          <w:marTop w:val="0"/>
          <w:marBottom w:val="0"/>
          <w:divBdr>
            <w:top w:val="none" w:sz="0" w:space="0" w:color="auto"/>
            <w:left w:val="none" w:sz="0" w:space="0" w:color="auto"/>
            <w:bottom w:val="none" w:sz="0" w:space="0" w:color="auto"/>
            <w:right w:val="none" w:sz="0" w:space="0" w:color="auto"/>
          </w:divBdr>
        </w:div>
        <w:div w:id="755976199">
          <w:marLeft w:val="446"/>
          <w:marRight w:val="0"/>
          <w:marTop w:val="0"/>
          <w:marBottom w:val="0"/>
          <w:divBdr>
            <w:top w:val="none" w:sz="0" w:space="0" w:color="auto"/>
            <w:left w:val="none" w:sz="0" w:space="0" w:color="auto"/>
            <w:bottom w:val="none" w:sz="0" w:space="0" w:color="auto"/>
            <w:right w:val="none" w:sz="0" w:space="0" w:color="auto"/>
          </w:divBdr>
        </w:div>
        <w:div w:id="866990347">
          <w:marLeft w:val="446"/>
          <w:marRight w:val="0"/>
          <w:marTop w:val="0"/>
          <w:marBottom w:val="0"/>
          <w:divBdr>
            <w:top w:val="none" w:sz="0" w:space="0" w:color="auto"/>
            <w:left w:val="none" w:sz="0" w:space="0" w:color="auto"/>
            <w:bottom w:val="none" w:sz="0" w:space="0" w:color="auto"/>
            <w:right w:val="none" w:sz="0" w:space="0" w:color="auto"/>
          </w:divBdr>
        </w:div>
        <w:div w:id="1075590932">
          <w:marLeft w:val="446"/>
          <w:marRight w:val="0"/>
          <w:marTop w:val="0"/>
          <w:marBottom w:val="0"/>
          <w:divBdr>
            <w:top w:val="none" w:sz="0" w:space="0" w:color="auto"/>
            <w:left w:val="none" w:sz="0" w:space="0" w:color="auto"/>
            <w:bottom w:val="none" w:sz="0" w:space="0" w:color="auto"/>
            <w:right w:val="none" w:sz="0" w:space="0" w:color="auto"/>
          </w:divBdr>
        </w:div>
        <w:div w:id="1075786364">
          <w:marLeft w:val="446"/>
          <w:marRight w:val="0"/>
          <w:marTop w:val="0"/>
          <w:marBottom w:val="0"/>
          <w:divBdr>
            <w:top w:val="none" w:sz="0" w:space="0" w:color="auto"/>
            <w:left w:val="none" w:sz="0" w:space="0" w:color="auto"/>
            <w:bottom w:val="none" w:sz="0" w:space="0" w:color="auto"/>
            <w:right w:val="none" w:sz="0" w:space="0" w:color="auto"/>
          </w:divBdr>
        </w:div>
        <w:div w:id="1091700038">
          <w:marLeft w:val="446"/>
          <w:marRight w:val="0"/>
          <w:marTop w:val="0"/>
          <w:marBottom w:val="0"/>
          <w:divBdr>
            <w:top w:val="none" w:sz="0" w:space="0" w:color="auto"/>
            <w:left w:val="none" w:sz="0" w:space="0" w:color="auto"/>
            <w:bottom w:val="none" w:sz="0" w:space="0" w:color="auto"/>
            <w:right w:val="none" w:sz="0" w:space="0" w:color="auto"/>
          </w:divBdr>
        </w:div>
        <w:div w:id="1195385763">
          <w:marLeft w:val="446"/>
          <w:marRight w:val="0"/>
          <w:marTop w:val="0"/>
          <w:marBottom w:val="0"/>
          <w:divBdr>
            <w:top w:val="none" w:sz="0" w:space="0" w:color="auto"/>
            <w:left w:val="none" w:sz="0" w:space="0" w:color="auto"/>
            <w:bottom w:val="none" w:sz="0" w:space="0" w:color="auto"/>
            <w:right w:val="none" w:sz="0" w:space="0" w:color="auto"/>
          </w:divBdr>
        </w:div>
        <w:div w:id="1862548253">
          <w:marLeft w:val="446"/>
          <w:marRight w:val="0"/>
          <w:marTop w:val="0"/>
          <w:marBottom w:val="0"/>
          <w:divBdr>
            <w:top w:val="none" w:sz="0" w:space="0" w:color="auto"/>
            <w:left w:val="none" w:sz="0" w:space="0" w:color="auto"/>
            <w:bottom w:val="none" w:sz="0" w:space="0" w:color="auto"/>
            <w:right w:val="none" w:sz="0" w:space="0" w:color="auto"/>
          </w:divBdr>
        </w:div>
        <w:div w:id="1953703802">
          <w:marLeft w:val="446"/>
          <w:marRight w:val="0"/>
          <w:marTop w:val="0"/>
          <w:marBottom w:val="0"/>
          <w:divBdr>
            <w:top w:val="none" w:sz="0" w:space="0" w:color="auto"/>
            <w:left w:val="none" w:sz="0" w:space="0" w:color="auto"/>
            <w:bottom w:val="none" w:sz="0" w:space="0" w:color="auto"/>
            <w:right w:val="none" w:sz="0" w:space="0" w:color="auto"/>
          </w:divBdr>
        </w:div>
      </w:divsChild>
    </w:div>
    <w:div w:id="2071538168">
      <w:bodyDiv w:val="1"/>
      <w:marLeft w:val="0"/>
      <w:marRight w:val="0"/>
      <w:marTop w:val="0"/>
      <w:marBottom w:val="0"/>
      <w:divBdr>
        <w:top w:val="none" w:sz="0" w:space="0" w:color="auto"/>
        <w:left w:val="none" w:sz="0" w:space="0" w:color="auto"/>
        <w:bottom w:val="none" w:sz="0" w:space="0" w:color="auto"/>
        <w:right w:val="none" w:sz="0" w:space="0" w:color="auto"/>
      </w:divBdr>
    </w:div>
    <w:div w:id="2096513896">
      <w:bodyDiv w:val="1"/>
      <w:marLeft w:val="0"/>
      <w:marRight w:val="0"/>
      <w:marTop w:val="0"/>
      <w:marBottom w:val="0"/>
      <w:divBdr>
        <w:top w:val="none" w:sz="0" w:space="0" w:color="auto"/>
        <w:left w:val="none" w:sz="0" w:space="0" w:color="auto"/>
        <w:bottom w:val="none" w:sz="0" w:space="0" w:color="auto"/>
        <w:right w:val="none" w:sz="0" w:space="0" w:color="auto"/>
      </w:divBdr>
      <w:divsChild>
        <w:div w:id="26951539">
          <w:marLeft w:val="274"/>
          <w:marRight w:val="0"/>
          <w:marTop w:val="0"/>
          <w:marBottom w:val="0"/>
          <w:divBdr>
            <w:top w:val="none" w:sz="0" w:space="0" w:color="auto"/>
            <w:left w:val="none" w:sz="0" w:space="0" w:color="auto"/>
            <w:bottom w:val="none" w:sz="0" w:space="0" w:color="auto"/>
            <w:right w:val="none" w:sz="0" w:space="0" w:color="auto"/>
          </w:divBdr>
        </w:div>
        <w:div w:id="385419071">
          <w:marLeft w:val="274"/>
          <w:marRight w:val="0"/>
          <w:marTop w:val="0"/>
          <w:marBottom w:val="0"/>
          <w:divBdr>
            <w:top w:val="none" w:sz="0" w:space="0" w:color="auto"/>
            <w:left w:val="none" w:sz="0" w:space="0" w:color="auto"/>
            <w:bottom w:val="none" w:sz="0" w:space="0" w:color="auto"/>
            <w:right w:val="none" w:sz="0" w:space="0" w:color="auto"/>
          </w:divBdr>
        </w:div>
        <w:div w:id="386998034">
          <w:marLeft w:val="274"/>
          <w:marRight w:val="0"/>
          <w:marTop w:val="0"/>
          <w:marBottom w:val="0"/>
          <w:divBdr>
            <w:top w:val="none" w:sz="0" w:space="0" w:color="auto"/>
            <w:left w:val="none" w:sz="0" w:space="0" w:color="auto"/>
            <w:bottom w:val="none" w:sz="0" w:space="0" w:color="auto"/>
            <w:right w:val="none" w:sz="0" w:space="0" w:color="auto"/>
          </w:divBdr>
        </w:div>
        <w:div w:id="545676075">
          <w:marLeft w:val="274"/>
          <w:marRight w:val="0"/>
          <w:marTop w:val="0"/>
          <w:marBottom w:val="0"/>
          <w:divBdr>
            <w:top w:val="none" w:sz="0" w:space="0" w:color="auto"/>
            <w:left w:val="none" w:sz="0" w:space="0" w:color="auto"/>
            <w:bottom w:val="none" w:sz="0" w:space="0" w:color="auto"/>
            <w:right w:val="none" w:sz="0" w:space="0" w:color="auto"/>
          </w:divBdr>
        </w:div>
        <w:div w:id="562183470">
          <w:marLeft w:val="274"/>
          <w:marRight w:val="0"/>
          <w:marTop w:val="0"/>
          <w:marBottom w:val="0"/>
          <w:divBdr>
            <w:top w:val="none" w:sz="0" w:space="0" w:color="auto"/>
            <w:left w:val="none" w:sz="0" w:space="0" w:color="auto"/>
            <w:bottom w:val="none" w:sz="0" w:space="0" w:color="auto"/>
            <w:right w:val="none" w:sz="0" w:space="0" w:color="auto"/>
          </w:divBdr>
        </w:div>
        <w:div w:id="609435679">
          <w:marLeft w:val="274"/>
          <w:marRight w:val="0"/>
          <w:marTop w:val="0"/>
          <w:marBottom w:val="0"/>
          <w:divBdr>
            <w:top w:val="none" w:sz="0" w:space="0" w:color="auto"/>
            <w:left w:val="none" w:sz="0" w:space="0" w:color="auto"/>
            <w:bottom w:val="none" w:sz="0" w:space="0" w:color="auto"/>
            <w:right w:val="none" w:sz="0" w:space="0" w:color="auto"/>
          </w:divBdr>
        </w:div>
        <w:div w:id="764110638">
          <w:marLeft w:val="274"/>
          <w:marRight w:val="0"/>
          <w:marTop w:val="0"/>
          <w:marBottom w:val="0"/>
          <w:divBdr>
            <w:top w:val="none" w:sz="0" w:space="0" w:color="auto"/>
            <w:left w:val="none" w:sz="0" w:space="0" w:color="auto"/>
            <w:bottom w:val="none" w:sz="0" w:space="0" w:color="auto"/>
            <w:right w:val="none" w:sz="0" w:space="0" w:color="auto"/>
          </w:divBdr>
        </w:div>
        <w:div w:id="785808622">
          <w:marLeft w:val="274"/>
          <w:marRight w:val="0"/>
          <w:marTop w:val="0"/>
          <w:marBottom w:val="0"/>
          <w:divBdr>
            <w:top w:val="none" w:sz="0" w:space="0" w:color="auto"/>
            <w:left w:val="none" w:sz="0" w:space="0" w:color="auto"/>
            <w:bottom w:val="none" w:sz="0" w:space="0" w:color="auto"/>
            <w:right w:val="none" w:sz="0" w:space="0" w:color="auto"/>
          </w:divBdr>
        </w:div>
        <w:div w:id="812796982">
          <w:marLeft w:val="274"/>
          <w:marRight w:val="0"/>
          <w:marTop w:val="0"/>
          <w:marBottom w:val="0"/>
          <w:divBdr>
            <w:top w:val="none" w:sz="0" w:space="0" w:color="auto"/>
            <w:left w:val="none" w:sz="0" w:space="0" w:color="auto"/>
            <w:bottom w:val="none" w:sz="0" w:space="0" w:color="auto"/>
            <w:right w:val="none" w:sz="0" w:space="0" w:color="auto"/>
          </w:divBdr>
        </w:div>
        <w:div w:id="934023935">
          <w:marLeft w:val="274"/>
          <w:marRight w:val="0"/>
          <w:marTop w:val="0"/>
          <w:marBottom w:val="0"/>
          <w:divBdr>
            <w:top w:val="none" w:sz="0" w:space="0" w:color="auto"/>
            <w:left w:val="none" w:sz="0" w:space="0" w:color="auto"/>
            <w:bottom w:val="none" w:sz="0" w:space="0" w:color="auto"/>
            <w:right w:val="none" w:sz="0" w:space="0" w:color="auto"/>
          </w:divBdr>
        </w:div>
        <w:div w:id="1036924661">
          <w:marLeft w:val="274"/>
          <w:marRight w:val="0"/>
          <w:marTop w:val="0"/>
          <w:marBottom w:val="0"/>
          <w:divBdr>
            <w:top w:val="none" w:sz="0" w:space="0" w:color="auto"/>
            <w:left w:val="none" w:sz="0" w:space="0" w:color="auto"/>
            <w:bottom w:val="none" w:sz="0" w:space="0" w:color="auto"/>
            <w:right w:val="none" w:sz="0" w:space="0" w:color="auto"/>
          </w:divBdr>
        </w:div>
        <w:div w:id="1050610005">
          <w:marLeft w:val="274"/>
          <w:marRight w:val="0"/>
          <w:marTop w:val="0"/>
          <w:marBottom w:val="0"/>
          <w:divBdr>
            <w:top w:val="none" w:sz="0" w:space="0" w:color="auto"/>
            <w:left w:val="none" w:sz="0" w:space="0" w:color="auto"/>
            <w:bottom w:val="none" w:sz="0" w:space="0" w:color="auto"/>
            <w:right w:val="none" w:sz="0" w:space="0" w:color="auto"/>
          </w:divBdr>
        </w:div>
        <w:div w:id="1085103965">
          <w:marLeft w:val="274"/>
          <w:marRight w:val="0"/>
          <w:marTop w:val="0"/>
          <w:marBottom w:val="0"/>
          <w:divBdr>
            <w:top w:val="none" w:sz="0" w:space="0" w:color="auto"/>
            <w:left w:val="none" w:sz="0" w:space="0" w:color="auto"/>
            <w:bottom w:val="none" w:sz="0" w:space="0" w:color="auto"/>
            <w:right w:val="none" w:sz="0" w:space="0" w:color="auto"/>
          </w:divBdr>
        </w:div>
        <w:div w:id="1091006481">
          <w:marLeft w:val="274"/>
          <w:marRight w:val="0"/>
          <w:marTop w:val="0"/>
          <w:marBottom w:val="0"/>
          <w:divBdr>
            <w:top w:val="none" w:sz="0" w:space="0" w:color="auto"/>
            <w:left w:val="none" w:sz="0" w:space="0" w:color="auto"/>
            <w:bottom w:val="none" w:sz="0" w:space="0" w:color="auto"/>
            <w:right w:val="none" w:sz="0" w:space="0" w:color="auto"/>
          </w:divBdr>
        </w:div>
        <w:div w:id="1213494532">
          <w:marLeft w:val="274"/>
          <w:marRight w:val="0"/>
          <w:marTop w:val="0"/>
          <w:marBottom w:val="0"/>
          <w:divBdr>
            <w:top w:val="none" w:sz="0" w:space="0" w:color="auto"/>
            <w:left w:val="none" w:sz="0" w:space="0" w:color="auto"/>
            <w:bottom w:val="none" w:sz="0" w:space="0" w:color="auto"/>
            <w:right w:val="none" w:sz="0" w:space="0" w:color="auto"/>
          </w:divBdr>
        </w:div>
        <w:div w:id="1320236131">
          <w:marLeft w:val="274"/>
          <w:marRight w:val="0"/>
          <w:marTop w:val="0"/>
          <w:marBottom w:val="0"/>
          <w:divBdr>
            <w:top w:val="none" w:sz="0" w:space="0" w:color="auto"/>
            <w:left w:val="none" w:sz="0" w:space="0" w:color="auto"/>
            <w:bottom w:val="none" w:sz="0" w:space="0" w:color="auto"/>
            <w:right w:val="none" w:sz="0" w:space="0" w:color="auto"/>
          </w:divBdr>
        </w:div>
        <w:div w:id="1497988275">
          <w:marLeft w:val="274"/>
          <w:marRight w:val="0"/>
          <w:marTop w:val="0"/>
          <w:marBottom w:val="0"/>
          <w:divBdr>
            <w:top w:val="none" w:sz="0" w:space="0" w:color="auto"/>
            <w:left w:val="none" w:sz="0" w:space="0" w:color="auto"/>
            <w:bottom w:val="none" w:sz="0" w:space="0" w:color="auto"/>
            <w:right w:val="none" w:sz="0" w:space="0" w:color="auto"/>
          </w:divBdr>
        </w:div>
        <w:div w:id="1503937579">
          <w:marLeft w:val="274"/>
          <w:marRight w:val="0"/>
          <w:marTop w:val="0"/>
          <w:marBottom w:val="0"/>
          <w:divBdr>
            <w:top w:val="none" w:sz="0" w:space="0" w:color="auto"/>
            <w:left w:val="none" w:sz="0" w:space="0" w:color="auto"/>
            <w:bottom w:val="none" w:sz="0" w:space="0" w:color="auto"/>
            <w:right w:val="none" w:sz="0" w:space="0" w:color="auto"/>
          </w:divBdr>
        </w:div>
        <w:div w:id="1602449294">
          <w:marLeft w:val="274"/>
          <w:marRight w:val="0"/>
          <w:marTop w:val="0"/>
          <w:marBottom w:val="0"/>
          <w:divBdr>
            <w:top w:val="none" w:sz="0" w:space="0" w:color="auto"/>
            <w:left w:val="none" w:sz="0" w:space="0" w:color="auto"/>
            <w:bottom w:val="none" w:sz="0" w:space="0" w:color="auto"/>
            <w:right w:val="none" w:sz="0" w:space="0" w:color="auto"/>
          </w:divBdr>
        </w:div>
        <w:div w:id="1652251396">
          <w:marLeft w:val="274"/>
          <w:marRight w:val="0"/>
          <w:marTop w:val="0"/>
          <w:marBottom w:val="0"/>
          <w:divBdr>
            <w:top w:val="none" w:sz="0" w:space="0" w:color="auto"/>
            <w:left w:val="none" w:sz="0" w:space="0" w:color="auto"/>
            <w:bottom w:val="none" w:sz="0" w:space="0" w:color="auto"/>
            <w:right w:val="none" w:sz="0" w:space="0" w:color="auto"/>
          </w:divBdr>
        </w:div>
        <w:div w:id="1791050524">
          <w:marLeft w:val="274"/>
          <w:marRight w:val="0"/>
          <w:marTop w:val="0"/>
          <w:marBottom w:val="0"/>
          <w:divBdr>
            <w:top w:val="none" w:sz="0" w:space="0" w:color="auto"/>
            <w:left w:val="none" w:sz="0" w:space="0" w:color="auto"/>
            <w:bottom w:val="none" w:sz="0" w:space="0" w:color="auto"/>
            <w:right w:val="none" w:sz="0" w:space="0" w:color="auto"/>
          </w:divBdr>
        </w:div>
        <w:div w:id="1907034921">
          <w:marLeft w:val="274"/>
          <w:marRight w:val="0"/>
          <w:marTop w:val="0"/>
          <w:marBottom w:val="0"/>
          <w:divBdr>
            <w:top w:val="none" w:sz="0" w:space="0" w:color="auto"/>
            <w:left w:val="none" w:sz="0" w:space="0" w:color="auto"/>
            <w:bottom w:val="none" w:sz="0" w:space="0" w:color="auto"/>
            <w:right w:val="none" w:sz="0" w:space="0" w:color="auto"/>
          </w:divBdr>
        </w:div>
        <w:div w:id="1995836404">
          <w:marLeft w:val="274"/>
          <w:marRight w:val="0"/>
          <w:marTop w:val="0"/>
          <w:marBottom w:val="0"/>
          <w:divBdr>
            <w:top w:val="none" w:sz="0" w:space="0" w:color="auto"/>
            <w:left w:val="none" w:sz="0" w:space="0" w:color="auto"/>
            <w:bottom w:val="none" w:sz="0" w:space="0" w:color="auto"/>
            <w:right w:val="none" w:sz="0" w:space="0" w:color="auto"/>
          </w:divBdr>
        </w:div>
        <w:div w:id="2136676475">
          <w:marLeft w:val="274"/>
          <w:marRight w:val="0"/>
          <w:marTop w:val="0"/>
          <w:marBottom w:val="0"/>
          <w:divBdr>
            <w:top w:val="none" w:sz="0" w:space="0" w:color="auto"/>
            <w:left w:val="none" w:sz="0" w:space="0" w:color="auto"/>
            <w:bottom w:val="none" w:sz="0" w:space="0" w:color="auto"/>
            <w:right w:val="none" w:sz="0" w:space="0" w:color="auto"/>
          </w:divBdr>
        </w:div>
      </w:divsChild>
    </w:div>
    <w:div w:id="2100976891">
      <w:bodyDiv w:val="1"/>
      <w:marLeft w:val="0"/>
      <w:marRight w:val="0"/>
      <w:marTop w:val="0"/>
      <w:marBottom w:val="0"/>
      <w:divBdr>
        <w:top w:val="none" w:sz="0" w:space="0" w:color="auto"/>
        <w:left w:val="none" w:sz="0" w:space="0" w:color="auto"/>
        <w:bottom w:val="none" w:sz="0" w:space="0" w:color="auto"/>
        <w:right w:val="none" w:sz="0" w:space="0" w:color="auto"/>
      </w:divBdr>
    </w:div>
    <w:div w:id="2115174494">
      <w:bodyDiv w:val="1"/>
      <w:marLeft w:val="0"/>
      <w:marRight w:val="0"/>
      <w:marTop w:val="0"/>
      <w:marBottom w:val="0"/>
      <w:divBdr>
        <w:top w:val="none" w:sz="0" w:space="0" w:color="auto"/>
        <w:left w:val="none" w:sz="0" w:space="0" w:color="auto"/>
        <w:bottom w:val="none" w:sz="0" w:space="0" w:color="auto"/>
        <w:right w:val="none" w:sz="0" w:space="0" w:color="auto"/>
      </w:divBdr>
    </w:div>
    <w:div w:id="2116711650">
      <w:bodyDiv w:val="1"/>
      <w:marLeft w:val="0"/>
      <w:marRight w:val="0"/>
      <w:marTop w:val="0"/>
      <w:marBottom w:val="0"/>
      <w:divBdr>
        <w:top w:val="none" w:sz="0" w:space="0" w:color="auto"/>
        <w:left w:val="none" w:sz="0" w:space="0" w:color="auto"/>
        <w:bottom w:val="none" w:sz="0" w:space="0" w:color="auto"/>
        <w:right w:val="none" w:sz="0" w:space="0" w:color="auto"/>
      </w:divBdr>
    </w:div>
    <w:div w:id="2126190461">
      <w:bodyDiv w:val="1"/>
      <w:marLeft w:val="0"/>
      <w:marRight w:val="0"/>
      <w:marTop w:val="0"/>
      <w:marBottom w:val="0"/>
      <w:divBdr>
        <w:top w:val="none" w:sz="0" w:space="0" w:color="auto"/>
        <w:left w:val="none" w:sz="0" w:space="0" w:color="auto"/>
        <w:bottom w:val="none" w:sz="0" w:space="0" w:color="auto"/>
        <w:right w:val="none" w:sz="0" w:space="0" w:color="auto"/>
      </w:divBdr>
    </w:div>
    <w:div w:id="21412236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2.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hart" Target="charts/chart2.xml"/><Relationship Id="rId20" Type="http://schemas.openxmlformats.org/officeDocument/2006/relationships/image" Target="media/image4.png"/><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jpeg"/><Relationship Id="rId10" Type="http://schemas.openxmlformats.org/officeDocument/2006/relationships/settings" Target="setting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fao.org/3/a-i6456s.pdf" TargetMode="External"/><Relationship Id="rId3" Type="http://schemas.openxmlformats.org/officeDocument/2006/relationships/hyperlink" Target="http://www.energiaestrategica.com/biomasa-biogas-las-tecnologias-rezagadas-esta-primera-licitacion-del-programa-renovar/" TargetMode="External"/><Relationship Id="rId7" Type="http://schemas.openxmlformats.org/officeDocument/2006/relationships/hyperlink" Target="https://www.minem.gob.ar/archivos/Reorganizacion/probiomasa/WISDOM_Arg_Informe_Final.pdf" TargetMode="External"/><Relationship Id="rId2" Type="http://schemas.openxmlformats.org/officeDocument/2006/relationships/hyperlink" Target="http://www.equiposylaboratorio.com/sitio/contenidos_mo.php?it=2756" TargetMode="External"/><Relationship Id="rId1" Type="http://schemas.openxmlformats.org/officeDocument/2006/relationships/hyperlink" Target="https://idbg.sharepoint.com/teams/EZ-AR-LON/AR-L1280/_layouts/15/DocIdRedir.aspx?ID=EZSHARE-972212929-23" TargetMode="External"/><Relationship Id="rId6" Type="http://schemas.openxmlformats.org/officeDocument/2006/relationships/hyperlink" Target="http://www.ahkargentina.com.ar/fileadmin/ahk_argentinien/Descargas/Publicaciones/ZMA/Zielmarktanalyse_Argentinien_20150622.pdf" TargetMode="External"/><Relationship Id="rId5" Type="http://schemas.openxmlformats.org/officeDocument/2006/relationships/hyperlink" Target="http://www.senasa.gov.ar/cadena-animal/porcinos" TargetMode="External"/><Relationship Id="rId4" Type="http://schemas.openxmlformats.org/officeDocument/2006/relationships/hyperlink" Target="http://www.clarin.com/rural/ganaderia/produccion-porcina-alcanzo-maximo-historico_0_EkXKTcaix.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daniel:Desktop:Argentina:Estratificacion_Porcina.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daniel:Desktop:Argentina:Estratificacion_Bovina.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c:style val="18"/>
  <c:chart>
    <c:autoTitleDeleted val="1"/>
    <c:plotArea>
      <c:layout>
        <c:manualLayout>
          <c:layoutTarget val="inner"/>
          <c:xMode val="edge"/>
          <c:yMode val="edge"/>
          <c:x val="0.14654046369203799"/>
          <c:y val="0.13569819819819801"/>
          <c:w val="0.44555555555555598"/>
          <c:h val="0.86430180180180205"/>
        </c:manualLayout>
      </c:layout>
      <c:pieChart>
        <c:varyColors val="1"/>
        <c:ser>
          <c:idx val="0"/>
          <c:order val="0"/>
          <c:spPr>
            <a:ln>
              <a:solidFill>
                <a:schemeClr val="bg1"/>
              </a:solidFill>
            </a:ln>
            <a:effectLst/>
          </c:spPr>
          <c:dPt>
            <c:idx val="0"/>
            <c:bubble3D val="0"/>
            <c:spPr>
              <a:solidFill>
                <a:schemeClr val="accent1">
                  <a:lumMod val="60000"/>
                  <a:lumOff val="40000"/>
                </a:schemeClr>
              </a:solidFill>
              <a:ln w="12700">
                <a:solidFill>
                  <a:schemeClr val="bg1"/>
                </a:solidFill>
              </a:ln>
              <a:effectLst/>
            </c:spPr>
            <c:extLst>
              <c:ext xmlns:c16="http://schemas.microsoft.com/office/drawing/2014/chart" uri="{C3380CC4-5D6E-409C-BE32-E72D297353CC}">
                <c16:uniqueId val="{00000001-2C64-497E-B7B4-6050A93576E4}"/>
              </c:ext>
            </c:extLst>
          </c:dPt>
          <c:dPt>
            <c:idx val="1"/>
            <c:bubble3D val="0"/>
            <c:spPr>
              <a:ln w="12700">
                <a:solidFill>
                  <a:schemeClr val="bg1"/>
                </a:solidFill>
              </a:ln>
              <a:effectLst/>
            </c:spPr>
            <c:extLst>
              <c:ext xmlns:c16="http://schemas.microsoft.com/office/drawing/2014/chart" uri="{C3380CC4-5D6E-409C-BE32-E72D297353CC}">
                <c16:uniqueId val="{00000003-2C64-497E-B7B4-6050A93576E4}"/>
              </c:ext>
            </c:extLst>
          </c:dPt>
          <c:dPt>
            <c:idx val="2"/>
            <c:bubble3D val="0"/>
            <c:spPr>
              <a:solidFill>
                <a:srgbClr val="99CC33"/>
              </a:solidFill>
              <a:ln w="12700">
                <a:solidFill>
                  <a:schemeClr val="bg1"/>
                </a:solidFill>
              </a:ln>
              <a:effectLst/>
            </c:spPr>
            <c:extLst>
              <c:ext xmlns:c16="http://schemas.microsoft.com/office/drawing/2014/chart" uri="{C3380CC4-5D6E-409C-BE32-E72D297353CC}">
                <c16:uniqueId val="{00000005-2C64-497E-B7B4-6050A93576E4}"/>
              </c:ext>
            </c:extLst>
          </c:dPt>
          <c:dPt>
            <c:idx val="3"/>
            <c:bubble3D val="0"/>
            <c:spPr>
              <a:solidFill>
                <a:schemeClr val="accent6">
                  <a:lumMod val="75000"/>
                </a:schemeClr>
              </a:solidFill>
              <a:ln w="15875">
                <a:solidFill>
                  <a:schemeClr val="bg1"/>
                </a:solidFill>
              </a:ln>
              <a:effectLst/>
            </c:spPr>
            <c:extLst>
              <c:ext xmlns:c16="http://schemas.microsoft.com/office/drawing/2014/chart" uri="{C3380CC4-5D6E-409C-BE32-E72D297353CC}">
                <c16:uniqueId val="{00000007-2C64-497E-B7B4-6050A93576E4}"/>
              </c:ext>
            </c:extLst>
          </c:dPt>
          <c:dPt>
            <c:idx val="4"/>
            <c:bubble3D val="0"/>
            <c:spPr>
              <a:solidFill>
                <a:schemeClr val="tx1"/>
              </a:solidFill>
              <a:ln w="12700">
                <a:solidFill>
                  <a:schemeClr val="bg1"/>
                </a:solidFill>
              </a:ln>
              <a:effectLst/>
            </c:spPr>
            <c:extLst>
              <c:ext xmlns:c16="http://schemas.microsoft.com/office/drawing/2014/chart" uri="{C3380CC4-5D6E-409C-BE32-E72D297353CC}">
                <c16:uniqueId val="{00000009-2C64-497E-B7B4-6050A93576E4}"/>
              </c:ext>
            </c:extLst>
          </c:dPt>
          <c:dLbls>
            <c:dLbl>
              <c:idx val="3"/>
              <c:layout>
                <c:manualLayout>
                  <c:x val="3.5384951881014901E-3"/>
                  <c:y val="-1.54053659959172E-2"/>
                </c:manualLayout>
              </c:layout>
              <c:dLblPos val="bestFi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C64-497E-B7B4-6050A93576E4}"/>
                </c:ext>
              </c:extLst>
            </c:dLbl>
            <c:dLbl>
              <c:idx val="4"/>
              <c:layout>
                <c:manualLayout>
                  <c:x val="0.13775612423447101"/>
                  <c:y val="2.2033756197141999E-2"/>
                </c:manualLayout>
              </c:layout>
              <c:dLblPos val="bestFit"/>
              <c:showLegendKey val="1"/>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2C64-497E-B7B4-6050A93576E4}"/>
                </c:ext>
              </c:extLst>
            </c:dLbl>
            <c:numFmt formatCode="0.00%" sourceLinked="0"/>
            <c:spPr>
              <a:noFill/>
              <a:ln>
                <a:noFill/>
              </a:ln>
              <a:effectLst/>
            </c:spPr>
            <c:dLblPos val="bestFit"/>
            <c:showLegendKey val="1"/>
            <c:showVal val="0"/>
            <c:showCatName val="0"/>
            <c:showSerName val="0"/>
            <c:showPercent val="1"/>
            <c:showBubbleSize val="0"/>
            <c:showLeaderLines val="1"/>
            <c:extLst>
              <c:ext xmlns:c15="http://schemas.microsoft.com/office/drawing/2012/chart" uri="{CE6537A1-D6FC-4f65-9D91-7224C49458BB}"/>
            </c:extLst>
          </c:dLbls>
          <c:cat>
            <c:strRef>
              <c:f>Cuadro!$I$62:$I$66</c:f>
              <c:strCache>
                <c:ptCount val="5"/>
                <c:pt idx="0">
                  <c:v>&lt;10</c:v>
                </c:pt>
                <c:pt idx="1">
                  <c:v>11-50</c:v>
                </c:pt>
                <c:pt idx="2">
                  <c:v>51-100</c:v>
                </c:pt>
                <c:pt idx="3">
                  <c:v>101-500</c:v>
                </c:pt>
                <c:pt idx="4">
                  <c:v>&gt;500</c:v>
                </c:pt>
              </c:strCache>
            </c:strRef>
          </c:cat>
          <c:val>
            <c:numRef>
              <c:f>Cuadro!$J$62:$J$66</c:f>
              <c:numCache>
                <c:formatCode>#,##0</c:formatCode>
                <c:ptCount val="5"/>
                <c:pt idx="0">
                  <c:v>-59870</c:v>
                </c:pt>
                <c:pt idx="1">
                  <c:v>-13412</c:v>
                </c:pt>
                <c:pt idx="2">
                  <c:v>1989</c:v>
                </c:pt>
                <c:pt idx="3" formatCode="General">
                  <c:v>910</c:v>
                </c:pt>
                <c:pt idx="4" formatCode="General">
                  <c:v>97</c:v>
                </c:pt>
              </c:numCache>
            </c:numRef>
          </c:val>
          <c:extLst>
            <c:ext xmlns:c16="http://schemas.microsoft.com/office/drawing/2014/chart" uri="{C3380CC4-5D6E-409C-BE32-E72D297353CC}">
              <c16:uniqueId val="{0000000A-2C64-497E-B7B4-6050A93576E4}"/>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c:style val="18"/>
  <c:chart>
    <c:autoTitleDeleted val="1"/>
    <c:plotArea>
      <c:layout>
        <c:manualLayout>
          <c:layoutTarget val="inner"/>
          <c:xMode val="edge"/>
          <c:yMode val="edge"/>
          <c:x val="0.20138888888888901"/>
          <c:y val="2.3148148148148099E-3"/>
          <c:w val="0.52500000000000002"/>
          <c:h val="0.875"/>
        </c:manualLayout>
      </c:layout>
      <c:pieChart>
        <c:varyColors val="1"/>
        <c:ser>
          <c:idx val="0"/>
          <c:order val="0"/>
          <c:spPr>
            <a:ln w="12700">
              <a:solidFill>
                <a:schemeClr val="bg1"/>
              </a:solidFill>
            </a:ln>
            <a:effectLst/>
          </c:spPr>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Cuadro!$B$49:$B$53</c:f>
              <c:strCache>
                <c:ptCount val="5"/>
                <c:pt idx="0">
                  <c:v>1-750</c:v>
                </c:pt>
                <c:pt idx="1">
                  <c:v>751-1,500</c:v>
                </c:pt>
                <c:pt idx="2">
                  <c:v>1501-3,000</c:v>
                </c:pt>
                <c:pt idx="3">
                  <c:v>3,000-6,000</c:v>
                </c:pt>
                <c:pt idx="4">
                  <c:v>&gt; 6001</c:v>
                </c:pt>
              </c:strCache>
            </c:strRef>
          </c:cat>
          <c:val>
            <c:numRef>
              <c:f>Cuadro!$C$49:$C$53</c:f>
              <c:numCache>
                <c:formatCode>0.00</c:formatCode>
                <c:ptCount val="5"/>
                <c:pt idx="0">
                  <c:v>1075.8487084870851</c:v>
                </c:pt>
                <c:pt idx="1">
                  <c:v>476.86961869618699</c:v>
                </c:pt>
                <c:pt idx="2">
                  <c:v>299.489544895449</c:v>
                </c:pt>
                <c:pt idx="3">
                  <c:v>159.3849938499385</c:v>
                </c:pt>
                <c:pt idx="4">
                  <c:v>78.407134071340707</c:v>
                </c:pt>
              </c:numCache>
            </c:numRef>
          </c:val>
          <c:extLst>
            <c:ext xmlns:c16="http://schemas.microsoft.com/office/drawing/2014/chart" uri="{C3380CC4-5D6E-409C-BE32-E72D297353CC}">
              <c16:uniqueId val="{00000000-5CC6-44D4-BFAD-F661CF7B6CFA}"/>
            </c:ext>
          </c:extLst>
        </c:ser>
        <c:dLbls>
          <c:showLegendKey val="0"/>
          <c:showVal val="0"/>
          <c:showCatName val="0"/>
          <c:showSerName val="0"/>
          <c:showPercent val="1"/>
          <c:showBubbleSize val="0"/>
          <c:showLeaderLines val="1"/>
        </c:dLbls>
        <c:firstSliceAng val="0"/>
      </c:pieChart>
    </c:plotArea>
    <c:legend>
      <c:legendPos val="r"/>
      <c:overlay val="1"/>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FormUrls xmlns="http://schemas.microsoft.com/sharepoint/v3/contenttype/forms/url">
  <Display>_catalogs/masterpage/ECMForms/OperationsCT/View.aspx</Display>
  <Edit>_catalogs/masterpage/ECMForms/OperationsCT/Edit.aspx</Edit>
</FormUrl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368E198F79B945A0289C0879D02CB5" ma:contentTypeVersion="581" ma:contentTypeDescription="A content type to manage public (operations) IDB documents" ma:contentTypeScope="" ma:versionID="cc09a2b6e526c113a859946b22d10332">
  <xsd:schema xmlns:xsd="http://www.w3.org/2001/XMLSchema" xmlns:xs="http://www.w3.org/2001/XMLSchema" xmlns:p="http://schemas.microsoft.com/office/2006/metadata/properties" xmlns:ns2="cdc7663a-08f0-4737-9e8c-148ce897a09c" targetNamespace="http://schemas.microsoft.com/office/2006/metadata/properties" ma:root="true" ma:fieldsID="e0933ac9152951f1134b8747c4b45f8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R0001972004</Record_x0020_Number>
    <Key_x0020_Document xmlns="cdc7663a-08f0-4737-9e8c-148ce897a09c">false</Key_x0020_Document>
    <Other_x0020_Author xmlns="cdc7663a-08f0-4737-9e8c-148ce897a09c" xsi:nil="true"/>
    <Division_x0020_or_x0020_Unit xmlns="cdc7663a-08f0-4737-9e8c-148ce897a09c">IFD/CMF</Division_x0020_or_x0020_Unit>
    <IDBDocs_x0020_Number xmlns="cdc7663a-08f0-4737-9e8c-148ce897a09c" xsi:nil="true"/>
    <Document_x0020_Author xmlns="cdc7663a-08f0-4737-9e8c-148ce897a09c">Bernedo, Cecilia</Document_x0020_Author>
    <_dlc_DocId xmlns="cdc7663a-08f0-4737-9e8c-148ce897a09c">EZSHARE-972212929-11</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260</Value>
      <Value>5</Value>
      <Value>84</Value>
      <Value>1</Value>
      <Value>287</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AR-L1280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Document_x0020_Language_x0020_IDB xmlns="cdc7663a-08f0-4737-9e8c-148ce897a09c">English</Document_x0020_Language_x0020_IDB>
    <_dlc_DocIdUrl xmlns="cdc7663a-08f0-4737-9e8c-148ce897a09c">
      <Url>https://idbg.sharepoint.com/teams/EZ-AR-LON/AR-L1280/_layouts/15/DocIdRedir.aspx?ID=EZSHARE-972212929-11</Url>
      <Description>EZSHARE-972212929-11</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HarvardAnglia2008OfficeOnline.xsl" StyleName="Harvard - Anglia" Version="2008">
  <b:Source>
    <b:Tag>Ins15</b:Tag>
    <b:SourceType>Report</b:SourceType>
    <b:Guid>{3FB505DD-8760-48C9-B614-A5C3616E2DA6}</b:Guid>
    <b:Title>Micro, pequeña, mediana y gran empresa: Estratificación de las empresas. Censos Económicos 2014.</b:Title>
    <b:Year>2015</b:Year>
    <b:Publisher>INEGI</b:Publisher>
    <b:Author>
      <b:Author>
        <b:Corporate>Instituto Nacional de Estadística y Geografía (INEGI).</b:Corporate>
      </b:Author>
    </b:Author>
    <b:RefOrder>1</b:RefOrder>
  </b:Source>
</b:Source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5FB32C76-0A39-46D6-96A8-CA11EDEC8B3C}"/>
</file>

<file path=customXml/itemProps10.xml><?xml version="1.0" encoding="utf-8"?>
<ds:datastoreItem xmlns:ds="http://schemas.openxmlformats.org/officeDocument/2006/customXml" ds:itemID="{4F7D7B53-EE00-4BEA-A139-BA97F732963A}"/>
</file>

<file path=customXml/itemProps2.xml><?xml version="1.0" encoding="utf-8"?>
<ds:datastoreItem xmlns:ds="http://schemas.openxmlformats.org/officeDocument/2006/customXml" ds:itemID="{0D46CC24-0CF3-4F9C-B739-DF6DA08E759B}">
  <ds:schemaRefs>
    <ds:schemaRef ds:uri="http://schemas.microsoft.com/sharepoint/v3/contenttype/forms/url"/>
  </ds:schemaRefs>
</ds:datastoreItem>
</file>

<file path=customXml/itemProps3.xml><?xml version="1.0" encoding="utf-8"?>
<ds:datastoreItem xmlns:ds="http://schemas.openxmlformats.org/officeDocument/2006/customXml" ds:itemID="{9B591D5B-0788-448F-A86A-98E0B13597C8}"/>
</file>

<file path=customXml/itemProps4.xml><?xml version="1.0" encoding="utf-8"?>
<ds:datastoreItem xmlns:ds="http://schemas.openxmlformats.org/officeDocument/2006/customXml" ds:itemID="{19B901A7-3E66-490D-AB76-14FFBDBB6753}">
  <ds:schemaRefs>
    <ds:schemaRef ds:uri="http://schemas.microsoft.com/sharepoint/v3/contenttype/forms"/>
  </ds:schemaRefs>
</ds:datastoreItem>
</file>

<file path=customXml/itemProps5.xml><?xml version="1.0" encoding="utf-8"?>
<ds:datastoreItem xmlns:ds="http://schemas.openxmlformats.org/officeDocument/2006/customXml" ds:itemID="{D1ED382D-6269-4E37-8E3F-67CC69E7E3AC}">
  <ds:schemaRefs>
    <ds:schemaRef ds:uri="http://schemas.microsoft.com/sharepoint/events"/>
  </ds:schemaRefs>
</ds:datastoreItem>
</file>

<file path=customXml/itemProps6.xml><?xml version="1.0" encoding="utf-8"?>
<ds:datastoreItem xmlns:ds="http://schemas.openxmlformats.org/officeDocument/2006/customXml" ds:itemID="{4E6BFB61-58C1-4F41-92C8-ABF7526B23AA}">
  <ds:schemaRefs>
    <ds:schemaRef ds:uri="http://www.w3.org/XML/1998/namespace"/>
    <ds:schemaRef ds:uri="http://purl.org/dc/dcmitype/"/>
    <ds:schemaRef ds:uri="http://purl.org/dc/elements/1.1/"/>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cdc7663a-08f0-4737-9e8c-148ce897a09c"/>
  </ds:schemaRefs>
</ds:datastoreItem>
</file>

<file path=customXml/itemProps7.xml><?xml version="1.0" encoding="utf-8"?>
<ds:datastoreItem xmlns:ds="http://schemas.openxmlformats.org/officeDocument/2006/customXml" ds:itemID="{9DB53D0E-984B-4CD0-BAD5-8D1B726E150E}">
  <ds:schemaRefs>
    <ds:schemaRef ds:uri="http://schemas.openxmlformats.org/officeDocument/2006/bibliography"/>
  </ds:schemaRefs>
</ds:datastoreItem>
</file>

<file path=customXml/itemProps8.xml><?xml version="1.0" encoding="utf-8"?>
<ds:datastoreItem xmlns:ds="http://schemas.openxmlformats.org/officeDocument/2006/customXml" ds:itemID="{E287DAE0-66BD-4B81-9B47-B167980FF928}"/>
</file>

<file path=customXml/itemProps9.xml><?xml version="1.0" encoding="utf-8"?>
<ds:datastoreItem xmlns:ds="http://schemas.openxmlformats.org/officeDocument/2006/customXml" ds:itemID="{0F980D4E-0BF1-463C-BF58-308F7C6D6F5B}"/>
</file>

<file path=docProps/app.xml><?xml version="1.0" encoding="utf-8"?>
<Properties xmlns="http://schemas.openxmlformats.org/officeDocument/2006/extended-properties" xmlns:vt="http://schemas.openxmlformats.org/officeDocument/2006/docPropsVTypes">
  <Template>Normal.dotm</Template>
  <TotalTime>3</TotalTime>
  <Pages>25</Pages>
  <Words>7426</Words>
  <Characters>42329</Characters>
  <Application>Microsoft Office Word</Application>
  <DocSecurity>0</DocSecurity>
  <Lines>352</Lines>
  <Paragraphs>99</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Financing sustainable energy through remittance flows in Tajikistan and Kyrgyzstan</vt:lpstr>
      <vt:lpstr>Financing sustainable energy through remittance flows in Tajikistan and Kyrgyzstan</vt:lpstr>
      <vt:lpstr>Financing sustainable energy through remittance flows in Tajikistan and Kyrgyzstan</vt:lpstr>
    </vt:vector>
  </TitlesOfParts>
  <Company>BASE</Company>
  <LinksUpToDate>false</LinksUpToDate>
  <CharactersWithSpaces>49656</CharactersWithSpaces>
  <SharedDoc>false</SharedDoc>
  <HLinks>
    <vt:vector size="204" baseType="variant">
      <vt:variant>
        <vt:i4>65569</vt:i4>
      </vt:variant>
      <vt:variant>
        <vt:i4>426</vt:i4>
      </vt:variant>
      <vt:variant>
        <vt:i4>0</vt:i4>
      </vt:variant>
      <vt:variant>
        <vt:i4>5</vt:i4>
      </vt:variant>
      <vt:variant>
        <vt:lpwstr>mailto:ventas@pegasocompresores.com</vt:lpwstr>
      </vt:variant>
      <vt:variant>
        <vt:lpwstr/>
      </vt:variant>
      <vt:variant>
        <vt:i4>5636137</vt:i4>
      </vt:variant>
      <vt:variant>
        <vt:i4>423</vt:i4>
      </vt:variant>
      <vt:variant>
        <vt:i4>0</vt:i4>
      </vt:variant>
      <vt:variant>
        <vt:i4>5</vt:i4>
      </vt:variant>
      <vt:variant>
        <vt:lpwstr>mailto:sales.mexico@kaeser.com</vt:lpwstr>
      </vt:variant>
      <vt:variant>
        <vt:lpwstr/>
      </vt:variant>
      <vt:variant>
        <vt:i4>6094887</vt:i4>
      </vt:variant>
      <vt:variant>
        <vt:i4>420</vt:i4>
      </vt:variant>
      <vt:variant>
        <vt:i4>0</vt:i4>
      </vt:variant>
      <vt:variant>
        <vt:i4>5</vt:i4>
      </vt:variant>
      <vt:variant>
        <vt:lpwstr>mailto:contacto@peea.com.mx</vt:lpwstr>
      </vt:variant>
      <vt:variant>
        <vt:lpwstr/>
      </vt:variant>
      <vt:variant>
        <vt:i4>7667794</vt:i4>
      </vt:variant>
      <vt:variant>
        <vt:i4>417</vt:i4>
      </vt:variant>
      <vt:variant>
        <vt:i4>0</vt:i4>
      </vt:variant>
      <vt:variant>
        <vt:i4>5</vt:i4>
      </vt:variant>
      <vt:variant>
        <vt:lpwstr>mailto:info@bombassumergibles.mx</vt:lpwstr>
      </vt:variant>
      <vt:variant>
        <vt:lpwstr/>
      </vt:variant>
      <vt:variant>
        <vt:i4>4456511</vt:i4>
      </vt:variant>
      <vt:variant>
        <vt:i4>414</vt:i4>
      </vt:variant>
      <vt:variant>
        <vt:i4>0</vt:i4>
      </vt:variant>
      <vt:variant>
        <vt:i4>5</vt:i4>
      </vt:variant>
      <vt:variant>
        <vt:lpwstr>mailto:ventas@aquaequip.com.mx</vt:lpwstr>
      </vt:variant>
      <vt:variant>
        <vt:lpwstr/>
      </vt:variant>
      <vt:variant>
        <vt:i4>2555916</vt:i4>
      </vt:variant>
      <vt:variant>
        <vt:i4>411</vt:i4>
      </vt:variant>
      <vt:variant>
        <vt:i4>0</vt:i4>
      </vt:variant>
      <vt:variant>
        <vt:i4>5</vt:i4>
      </vt:variant>
      <vt:variant>
        <vt:lpwstr>mailto:ventas@batrsa.com</vt:lpwstr>
      </vt:variant>
      <vt:variant>
        <vt:lpwstr/>
      </vt:variant>
      <vt:variant>
        <vt:i4>7209052</vt:i4>
      </vt:variant>
      <vt:variant>
        <vt:i4>408</vt:i4>
      </vt:variant>
      <vt:variant>
        <vt:i4>0</vt:i4>
      </vt:variant>
      <vt:variant>
        <vt:i4>5</vt:i4>
      </vt:variant>
      <vt:variant>
        <vt:lpwstr>mailto:direccion@tdesa.com</vt:lpwstr>
      </vt:variant>
      <vt:variant>
        <vt:lpwstr/>
      </vt:variant>
      <vt:variant>
        <vt:i4>2621507</vt:i4>
      </vt:variant>
      <vt:variant>
        <vt:i4>405</vt:i4>
      </vt:variant>
      <vt:variant>
        <vt:i4>0</vt:i4>
      </vt:variant>
      <vt:variant>
        <vt:i4>5</vt:i4>
      </vt:variant>
      <vt:variant>
        <vt:lpwstr>mailto:tyaisa@prodigy.net.mx</vt:lpwstr>
      </vt:variant>
      <vt:variant>
        <vt:lpwstr/>
      </vt:variant>
      <vt:variant>
        <vt:i4>1769594</vt:i4>
      </vt:variant>
      <vt:variant>
        <vt:i4>402</vt:i4>
      </vt:variant>
      <vt:variant>
        <vt:i4>0</vt:i4>
      </vt:variant>
      <vt:variant>
        <vt:i4>5</vt:i4>
      </vt:variant>
      <vt:variant>
        <vt:lpwstr>mailto:saltamirano@seisamx.com.mx</vt:lpwstr>
      </vt:variant>
      <vt:variant>
        <vt:lpwstr/>
      </vt:variant>
      <vt:variant>
        <vt:i4>3342404</vt:i4>
      </vt:variant>
      <vt:variant>
        <vt:i4>399</vt:i4>
      </vt:variant>
      <vt:variant>
        <vt:i4>0</vt:i4>
      </vt:variant>
      <vt:variant>
        <vt:i4>5</vt:i4>
      </vt:variant>
      <vt:variant>
        <vt:lpwstr>mailto:saitec@entropia.com.mx</vt:lpwstr>
      </vt:variant>
      <vt:variant>
        <vt:lpwstr/>
      </vt:variant>
      <vt:variant>
        <vt:i4>7733328</vt:i4>
      </vt:variant>
      <vt:variant>
        <vt:i4>396</vt:i4>
      </vt:variant>
      <vt:variant>
        <vt:i4>0</vt:i4>
      </vt:variant>
      <vt:variant>
        <vt:i4>5</vt:i4>
      </vt:variant>
      <vt:variant>
        <vt:lpwstr>mailto:josebrito@terra.com</vt:lpwstr>
      </vt:variant>
      <vt:variant>
        <vt:lpwstr/>
      </vt:variant>
      <vt:variant>
        <vt:i4>6684753</vt:i4>
      </vt:variant>
      <vt:variant>
        <vt:i4>393</vt:i4>
      </vt:variant>
      <vt:variant>
        <vt:i4>0</vt:i4>
      </vt:variant>
      <vt:variant>
        <vt:i4>5</vt:i4>
      </vt:variant>
      <vt:variant>
        <vt:lpwstr>mailto:emonzon@potenciaelectromecanica.com</vt:lpwstr>
      </vt:variant>
      <vt:variant>
        <vt:lpwstr/>
      </vt:variant>
      <vt:variant>
        <vt:i4>4390972</vt:i4>
      </vt:variant>
      <vt:variant>
        <vt:i4>390</vt:i4>
      </vt:variant>
      <vt:variant>
        <vt:i4>0</vt:i4>
      </vt:variant>
      <vt:variant>
        <vt:i4>5</vt:i4>
      </vt:variant>
      <vt:variant>
        <vt:lpwstr>mailto:arivielo@prodigy.net.mx</vt:lpwstr>
      </vt:variant>
      <vt:variant>
        <vt:lpwstr/>
      </vt:variant>
      <vt:variant>
        <vt:i4>3342428</vt:i4>
      </vt:variant>
      <vt:variant>
        <vt:i4>387</vt:i4>
      </vt:variant>
      <vt:variant>
        <vt:i4>0</vt:i4>
      </vt:variant>
      <vt:variant>
        <vt:i4>5</vt:i4>
      </vt:variant>
      <vt:variant>
        <vt:lpwstr>mailto:mat_elec_rendon@prodigy.net.mx</vt:lpwstr>
      </vt:variant>
      <vt:variant>
        <vt:lpwstr/>
      </vt:variant>
      <vt:variant>
        <vt:i4>4259879</vt:i4>
      </vt:variant>
      <vt:variant>
        <vt:i4>384</vt:i4>
      </vt:variant>
      <vt:variant>
        <vt:i4>0</vt:i4>
      </vt:variant>
      <vt:variant>
        <vt:i4>5</vt:i4>
      </vt:variant>
      <vt:variant>
        <vt:lpwstr>mailto:ohmpablo@prodigy.net.mx</vt:lpwstr>
      </vt:variant>
      <vt:variant>
        <vt:lpwstr/>
      </vt:variant>
      <vt:variant>
        <vt:i4>2228319</vt:i4>
      </vt:variant>
      <vt:variant>
        <vt:i4>381</vt:i4>
      </vt:variant>
      <vt:variant>
        <vt:i4>0</vt:i4>
      </vt:variant>
      <vt:variant>
        <vt:i4>5</vt:i4>
      </vt:variant>
      <vt:variant>
        <vt:lpwstr>mailto:goblin@prodigy.net.mx</vt:lpwstr>
      </vt:variant>
      <vt:variant>
        <vt:lpwstr/>
      </vt:variant>
      <vt:variant>
        <vt:i4>5373990</vt:i4>
      </vt:variant>
      <vt:variant>
        <vt:i4>378</vt:i4>
      </vt:variant>
      <vt:variant>
        <vt:i4>0</vt:i4>
      </vt:variant>
      <vt:variant>
        <vt:i4>5</vt:i4>
      </vt:variant>
      <vt:variant>
        <vt:lpwstr>mailto:ventas@emisa.com.mx</vt:lpwstr>
      </vt:variant>
      <vt:variant>
        <vt:lpwstr/>
      </vt:variant>
      <vt:variant>
        <vt:i4>720941</vt:i4>
      </vt:variant>
      <vt:variant>
        <vt:i4>375</vt:i4>
      </vt:variant>
      <vt:variant>
        <vt:i4>0</vt:i4>
      </vt:variant>
      <vt:variant>
        <vt:i4>5</vt:i4>
      </vt:variant>
      <vt:variant>
        <vt:lpwstr>mailto:electroequipos@gmail.com</vt:lpwstr>
      </vt:variant>
      <vt:variant>
        <vt:lpwstr/>
      </vt:variant>
      <vt:variant>
        <vt:i4>5374004</vt:i4>
      </vt:variant>
      <vt:variant>
        <vt:i4>372</vt:i4>
      </vt:variant>
      <vt:variant>
        <vt:i4>0</vt:i4>
      </vt:variant>
      <vt:variant>
        <vt:i4>5</vt:i4>
      </vt:variant>
      <vt:variant>
        <vt:lpwstr>mailto:etrejo@riopisuena.com.mx</vt:lpwstr>
      </vt:variant>
      <vt:variant>
        <vt:lpwstr/>
      </vt:variant>
      <vt:variant>
        <vt:i4>5963886</vt:i4>
      </vt:variant>
      <vt:variant>
        <vt:i4>369</vt:i4>
      </vt:variant>
      <vt:variant>
        <vt:i4>0</vt:i4>
      </vt:variant>
      <vt:variant>
        <vt:i4>5</vt:i4>
      </vt:variant>
      <vt:variant>
        <vt:lpwstr>mailto:elcon12@axtel.net</vt:lpwstr>
      </vt:variant>
      <vt:variant>
        <vt:lpwstr/>
      </vt:variant>
      <vt:variant>
        <vt:i4>1966138</vt:i4>
      </vt:variant>
      <vt:variant>
        <vt:i4>366</vt:i4>
      </vt:variant>
      <vt:variant>
        <vt:i4>0</vt:i4>
      </vt:variant>
      <vt:variant>
        <vt:i4>5</vt:i4>
      </vt:variant>
      <vt:variant>
        <vt:lpwstr>mailto:elecycon@hotmail.com</vt:lpwstr>
      </vt:variant>
      <vt:variant>
        <vt:lpwstr/>
      </vt:variant>
      <vt:variant>
        <vt:i4>2293853</vt:i4>
      </vt:variant>
      <vt:variant>
        <vt:i4>363</vt:i4>
      </vt:variant>
      <vt:variant>
        <vt:i4>0</vt:i4>
      </vt:variant>
      <vt:variant>
        <vt:i4>5</vt:i4>
      </vt:variant>
      <vt:variant>
        <vt:lpwstr>mailto:dmp.-@prodigy.net.mx</vt:lpwstr>
      </vt:variant>
      <vt:variant>
        <vt:lpwstr/>
      </vt:variant>
      <vt:variant>
        <vt:i4>458860</vt:i4>
      </vt:variant>
      <vt:variant>
        <vt:i4>360</vt:i4>
      </vt:variant>
      <vt:variant>
        <vt:i4>0</vt:i4>
      </vt:variant>
      <vt:variant>
        <vt:i4>5</vt:i4>
      </vt:variant>
      <vt:variant>
        <vt:lpwstr>mailto:juanrdz@dielesa.com.mx</vt:lpwstr>
      </vt:variant>
      <vt:variant>
        <vt:lpwstr/>
      </vt:variant>
      <vt:variant>
        <vt:i4>589948</vt:i4>
      </vt:variant>
      <vt:variant>
        <vt:i4>357</vt:i4>
      </vt:variant>
      <vt:variant>
        <vt:i4>0</vt:i4>
      </vt:variant>
      <vt:variant>
        <vt:i4>5</vt:i4>
      </vt:variant>
      <vt:variant>
        <vt:lpwstr>mailto:controlmexico@infinitum.com.mx</vt:lpwstr>
      </vt:variant>
      <vt:variant>
        <vt:lpwstr/>
      </vt:variant>
      <vt:variant>
        <vt:i4>5242923</vt:i4>
      </vt:variant>
      <vt:variant>
        <vt:i4>354</vt:i4>
      </vt:variant>
      <vt:variant>
        <vt:i4>0</vt:i4>
      </vt:variant>
      <vt:variant>
        <vt:i4>5</vt:i4>
      </vt:variant>
      <vt:variant>
        <vt:lpwstr>mailto:camosacv@prodigy.net.mx</vt:lpwstr>
      </vt:variant>
      <vt:variant>
        <vt:lpwstr/>
      </vt:variant>
      <vt:variant>
        <vt:i4>524404</vt:i4>
      </vt:variant>
      <vt:variant>
        <vt:i4>351</vt:i4>
      </vt:variant>
      <vt:variant>
        <vt:i4>0</vt:i4>
      </vt:variant>
      <vt:variant>
        <vt:i4>5</vt:i4>
      </vt:variant>
      <vt:variant>
        <vt:lpwstr>mailto:cmarcus@prodigy.net.mx</vt:lpwstr>
      </vt:variant>
      <vt:variant>
        <vt:lpwstr/>
      </vt:variant>
      <vt:variant>
        <vt:i4>5242929</vt:i4>
      </vt:variant>
      <vt:variant>
        <vt:i4>348</vt:i4>
      </vt:variant>
      <vt:variant>
        <vt:i4>0</vt:i4>
      </vt:variant>
      <vt:variant>
        <vt:i4>5</vt:i4>
      </vt:variant>
      <vt:variant>
        <vt:lpwstr>mailto:bombasymotores@cerro.com.mx</vt:lpwstr>
      </vt:variant>
      <vt:variant>
        <vt:lpwstr/>
      </vt:variant>
      <vt:variant>
        <vt:i4>786470</vt:i4>
      </vt:variant>
      <vt:variant>
        <vt:i4>345</vt:i4>
      </vt:variant>
      <vt:variant>
        <vt:i4>0</vt:i4>
      </vt:variant>
      <vt:variant>
        <vt:i4>5</vt:i4>
      </vt:variant>
      <vt:variant>
        <vt:lpwstr>mailto:jcardenas@acesadrives.com</vt:lpwstr>
      </vt:variant>
      <vt:variant>
        <vt:lpwstr/>
      </vt:variant>
      <vt:variant>
        <vt:i4>5701676</vt:i4>
      </vt:variant>
      <vt:variant>
        <vt:i4>342</vt:i4>
      </vt:variant>
      <vt:variant>
        <vt:i4>0</vt:i4>
      </vt:variant>
      <vt:variant>
        <vt:i4>5</vt:i4>
      </vt:variant>
      <vt:variant>
        <vt:lpwstr>mailto:areurmot@prodigy.net.mx</vt:lpwstr>
      </vt:variant>
      <vt:variant>
        <vt:lpwstr/>
      </vt:variant>
      <vt:variant>
        <vt:i4>1376358</vt:i4>
      </vt:variant>
      <vt:variant>
        <vt:i4>339</vt:i4>
      </vt:variant>
      <vt:variant>
        <vt:i4>0</vt:i4>
      </vt:variant>
      <vt:variant>
        <vt:i4>5</vt:i4>
      </vt:variant>
      <vt:variant>
        <vt:lpwstr>mailto:almotor@datanet.net.mx</vt:lpwstr>
      </vt:variant>
      <vt:variant>
        <vt:lpwstr/>
      </vt:variant>
      <vt:variant>
        <vt:i4>5832826</vt:i4>
      </vt:variant>
      <vt:variant>
        <vt:i4>336</vt:i4>
      </vt:variant>
      <vt:variant>
        <vt:i4>0</vt:i4>
      </vt:variant>
      <vt:variant>
        <vt:i4>5</vt:i4>
      </vt:variant>
      <vt:variant>
        <vt:lpwstr>mailto:ventas@abraelec.com</vt:lpwstr>
      </vt:variant>
      <vt:variant>
        <vt:lpwstr/>
      </vt:variant>
      <vt:variant>
        <vt:i4>4980849</vt:i4>
      </vt:variant>
      <vt:variant>
        <vt:i4>6</vt:i4>
      </vt:variant>
      <vt:variant>
        <vt:i4>0</vt:i4>
      </vt:variant>
      <vt:variant>
        <vt:i4>5</vt:i4>
      </vt:variant>
      <vt:variant>
        <vt:lpwstr>http://www.fide.org.mx/index.php?option=com_content&amp;view=article&amp;id=342&amp;Itemid=224</vt:lpwstr>
      </vt:variant>
      <vt:variant>
        <vt:lpwstr/>
      </vt:variant>
      <vt:variant>
        <vt:i4>2228344</vt:i4>
      </vt:variant>
      <vt:variant>
        <vt:i4>3</vt:i4>
      </vt:variant>
      <vt:variant>
        <vt:i4>0</vt:i4>
      </vt:variant>
      <vt:variant>
        <vt:i4>5</vt:i4>
      </vt:variant>
      <vt:variant>
        <vt:lpwstr>http://www.nafin.com/portalnf/content/productos-y-servicios/programas-empresariales/proyectos-sustentables.html</vt:lpwstr>
      </vt:variant>
      <vt:variant>
        <vt:lpwstr/>
      </vt:variant>
      <vt:variant>
        <vt:i4>3080290</vt:i4>
      </vt:variant>
      <vt:variant>
        <vt:i4>0</vt:i4>
      </vt:variant>
      <vt:variant>
        <vt:i4>0</vt:i4>
      </vt:variant>
      <vt:variant>
        <vt:i4>5</vt:i4>
      </vt:variant>
      <vt:variant>
        <vt:lpwstr>http://www.nafin.com/portalnf/content/capacitacion-empresarial/cursos-presenciales/ahorro_de_energia.html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Financing sustainable energy through remittance flows in Tajikistan and Kyrgyzstan</dc:title>
  <dc:creator>Jane Kern</dc:creator>
  <cp:keywords/>
  <cp:lastModifiedBy>Bernedo, Cecilia</cp:lastModifiedBy>
  <cp:revision>5</cp:revision>
  <cp:lastPrinted>2017-03-03T16:30:00Z</cp:lastPrinted>
  <dcterms:created xsi:type="dcterms:W3CDTF">2018-02-20T22:59:00Z</dcterms:created>
  <dcterms:modified xsi:type="dcterms:W3CDTF">2018-02-27T19:04:00Z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260;#FINANCING FOR ENVIRONMENTAL SUSTAINABILITY|dcc8718d-dd7c-4b5d-bcc4-86a6a708df42</vt:lpwstr>
  </property>
  <property fmtid="{D5CDD505-2E9C-101B-9397-08002B2CF9AE}" pid="7" name="Country">
    <vt:lpwstr>5;#Argentina|eb1b705c-195f-4c3b-9661-b201f2fee3c5</vt:lpwstr>
  </property>
  <property fmtid="{D5CDD505-2E9C-101B-9397-08002B2CF9AE}" pid="8" name="Fund IDB">
    <vt:lpwstr>287;#GRN|d0f1dc7f-e162-4a9c-9421-b7d8c382a710</vt:lpwstr>
  </property>
  <property fmtid="{D5CDD505-2E9C-101B-9397-08002B2CF9AE}" pid="9" name="_dlc_DocIdItemGuid">
    <vt:lpwstr>cb31cff3-e02a-40a3-a7ec-a1d6a06cfcc6</vt:lpwstr>
  </property>
  <property fmtid="{D5CDD505-2E9C-101B-9397-08002B2CF9AE}" pid="10" name="Sector IDB">
    <vt:lpwstr>84;#FINANCIAL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/teams/EZ-AR-LON/AR-L1280/15 LifeCycle Milestones/Draft Area/POD - 4. ELink Optional - Feasibility Analysis - AR-L1280.docx</vt:lpwstr>
  </property>
  <property fmtid="{D5CDD505-2E9C-101B-9397-08002B2CF9AE}" pid="13" name="RecordStorageActiveId">
    <vt:lpwstr>9f807811-c8ad-4278-b49d-efae54aa2150</vt:lpwstr>
  </property>
  <property fmtid="{D5CDD505-2E9C-101B-9397-08002B2CF9AE}" pid="14" name="Disclosure Activity">
    <vt:lpwstr>Loan Proposal</vt:lpwstr>
  </property>
  <property fmtid="{D5CDD505-2E9C-101B-9397-08002B2CF9AE}" pid="15" name="ContentTypeId">
    <vt:lpwstr>0x0101001A458A224826124E8B45B1D613300CFC007A368E198F79B945A0289C0879D02CB5</vt:lpwstr>
  </property>
</Properties>
</file>