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B88A6" w14:textId="77777777" w:rsidR="001C7A81" w:rsidRPr="00D40A40" w:rsidRDefault="001C7A81" w:rsidP="001C7A81">
      <w:pPr>
        <w:spacing w:line="360" w:lineRule="auto"/>
        <w:jc w:val="center"/>
        <w:rPr>
          <w:rFonts w:ascii="Arial" w:eastAsia="Times New Roman" w:hAnsi="Arial" w:cs="Arial"/>
          <w:b/>
          <w:bCs/>
          <w:smallCaps/>
          <w:szCs w:val="20"/>
        </w:rPr>
      </w:pPr>
      <w:r w:rsidRPr="00D40A40">
        <w:rPr>
          <w:rFonts w:ascii="Arial" w:eastAsia="Times New Roman" w:hAnsi="Arial" w:cs="Arial"/>
          <w:b/>
          <w:bCs/>
          <w:smallCaps/>
          <w:szCs w:val="20"/>
        </w:rPr>
        <w:t xml:space="preserve">Survey Evidence on Lending </w:t>
      </w:r>
      <w:r w:rsidR="006C71C3" w:rsidRPr="00D40A40">
        <w:rPr>
          <w:rFonts w:ascii="Arial" w:eastAsia="Times New Roman" w:hAnsi="Arial" w:cs="Arial"/>
          <w:b/>
          <w:bCs/>
          <w:smallCaps/>
          <w:szCs w:val="20"/>
        </w:rPr>
        <w:t>t</w:t>
      </w:r>
      <w:r w:rsidRPr="00D40A40">
        <w:rPr>
          <w:rFonts w:ascii="Arial" w:eastAsia="Times New Roman" w:hAnsi="Arial" w:cs="Arial"/>
          <w:b/>
          <w:bCs/>
          <w:smallCaps/>
          <w:szCs w:val="20"/>
        </w:rPr>
        <w:t xml:space="preserve">o Small and Medium Enterprises (SME) in </w:t>
      </w:r>
      <w:r w:rsidR="009026A6" w:rsidRPr="00D40A40">
        <w:rPr>
          <w:rFonts w:ascii="Arial" w:eastAsia="Times New Roman" w:hAnsi="Arial" w:cs="Arial"/>
          <w:b/>
          <w:bCs/>
          <w:smallCaps/>
          <w:szCs w:val="20"/>
        </w:rPr>
        <w:t>Argentina</w:t>
      </w:r>
    </w:p>
    <w:p w14:paraId="76060E96" w14:textId="77777777" w:rsidR="006F0FE4" w:rsidRPr="00D40A40" w:rsidRDefault="006F0FE4" w:rsidP="006F0FE4">
      <w:pPr>
        <w:spacing w:before="240" w:line="360" w:lineRule="auto"/>
        <w:jc w:val="both"/>
        <w:rPr>
          <w:rFonts w:ascii="Arial" w:eastAsia="Times New Roman" w:hAnsi="Arial" w:cs="Arial"/>
          <w:b/>
          <w:szCs w:val="20"/>
        </w:rPr>
      </w:pPr>
      <w:r w:rsidRPr="00D40A40">
        <w:rPr>
          <w:rFonts w:ascii="Arial" w:eastAsia="Times New Roman" w:hAnsi="Arial" w:cs="Arial"/>
          <w:b/>
          <w:szCs w:val="20"/>
        </w:rPr>
        <w:t>Introduction</w:t>
      </w:r>
    </w:p>
    <w:p w14:paraId="616A78DE" w14:textId="77777777" w:rsidR="006F0FE4" w:rsidRPr="00D40A40" w:rsidRDefault="006F0FE4" w:rsidP="006F0FE4">
      <w:pPr>
        <w:spacing w:before="240" w:line="360" w:lineRule="auto"/>
        <w:jc w:val="both"/>
        <w:rPr>
          <w:rFonts w:ascii="Arial" w:eastAsia="Times New Roman" w:hAnsi="Arial" w:cs="Arial"/>
          <w:szCs w:val="20"/>
        </w:rPr>
      </w:pPr>
      <w:r w:rsidRPr="00D40A40">
        <w:rPr>
          <w:rFonts w:ascii="Arial" w:eastAsia="Times New Roman" w:hAnsi="Arial" w:cs="Arial"/>
          <w:szCs w:val="20"/>
        </w:rPr>
        <w:t xml:space="preserve">Between </w:t>
      </w:r>
      <w:r w:rsidR="005A34BC" w:rsidRPr="00D40A40">
        <w:rPr>
          <w:rFonts w:ascii="Arial" w:eastAsia="Times New Roman" w:hAnsi="Arial" w:cs="Arial"/>
          <w:szCs w:val="20"/>
        </w:rPr>
        <w:t>December</w:t>
      </w:r>
      <w:r w:rsidRPr="00D40A40">
        <w:rPr>
          <w:rFonts w:ascii="Arial" w:eastAsia="Times New Roman" w:hAnsi="Arial" w:cs="Arial"/>
          <w:szCs w:val="20"/>
        </w:rPr>
        <w:t xml:space="preserve"> 2017 and </w:t>
      </w:r>
      <w:r w:rsidR="005A34BC" w:rsidRPr="00D40A40">
        <w:rPr>
          <w:rFonts w:ascii="Arial" w:eastAsia="Times New Roman" w:hAnsi="Arial" w:cs="Arial"/>
          <w:szCs w:val="20"/>
        </w:rPr>
        <w:t>February</w:t>
      </w:r>
      <w:r w:rsidRPr="00D40A40">
        <w:rPr>
          <w:rFonts w:ascii="Arial" w:eastAsia="Times New Roman" w:hAnsi="Arial" w:cs="Arial"/>
          <w:szCs w:val="20"/>
        </w:rPr>
        <w:t xml:space="preserve"> 2018, the IDB and the </w:t>
      </w:r>
      <w:r w:rsidR="005A34BC" w:rsidRPr="00D40A40">
        <w:rPr>
          <w:rFonts w:ascii="Arial" w:eastAsia="Times New Roman" w:hAnsi="Arial" w:cs="Arial"/>
          <w:i/>
          <w:szCs w:val="20"/>
        </w:rPr>
        <w:t xml:space="preserve">Banco de Inversion y </w:t>
      </w:r>
      <w:proofErr w:type="spellStart"/>
      <w:r w:rsidR="005A34BC" w:rsidRPr="00D40A40">
        <w:rPr>
          <w:rFonts w:ascii="Arial" w:eastAsia="Times New Roman" w:hAnsi="Arial" w:cs="Arial"/>
          <w:i/>
          <w:szCs w:val="20"/>
        </w:rPr>
        <w:t>Comercio</w:t>
      </w:r>
      <w:proofErr w:type="spellEnd"/>
      <w:r w:rsidR="005A34BC" w:rsidRPr="00D40A40">
        <w:rPr>
          <w:rFonts w:ascii="Arial" w:eastAsia="Times New Roman" w:hAnsi="Arial" w:cs="Arial"/>
          <w:i/>
          <w:szCs w:val="20"/>
        </w:rPr>
        <w:t xml:space="preserve"> Exterior </w:t>
      </w:r>
      <w:r w:rsidRPr="00D40A40">
        <w:rPr>
          <w:rFonts w:ascii="Arial" w:eastAsia="Times New Roman" w:hAnsi="Arial" w:cs="Arial"/>
          <w:szCs w:val="20"/>
        </w:rPr>
        <w:t>(</w:t>
      </w:r>
      <w:r w:rsidR="005A34BC" w:rsidRPr="00D40A40">
        <w:rPr>
          <w:rFonts w:ascii="Arial" w:eastAsia="Times New Roman" w:hAnsi="Arial" w:cs="Arial"/>
          <w:szCs w:val="20"/>
        </w:rPr>
        <w:t>BICE</w:t>
      </w:r>
      <w:r w:rsidRPr="00D40A40">
        <w:rPr>
          <w:rFonts w:ascii="Arial" w:eastAsia="Times New Roman" w:hAnsi="Arial" w:cs="Arial"/>
          <w:szCs w:val="20"/>
        </w:rPr>
        <w:t xml:space="preserve">) jointly carried out a survey among </w:t>
      </w:r>
      <w:r w:rsidR="005A34BC" w:rsidRPr="00D40A40">
        <w:rPr>
          <w:rFonts w:ascii="Arial" w:eastAsia="Times New Roman" w:hAnsi="Arial" w:cs="Arial"/>
          <w:szCs w:val="20"/>
        </w:rPr>
        <w:t xml:space="preserve">BICE’s top </w:t>
      </w:r>
      <w:r w:rsidRPr="00D40A40">
        <w:rPr>
          <w:rFonts w:ascii="Arial" w:eastAsia="Times New Roman" w:hAnsi="Arial" w:cs="Arial"/>
          <w:szCs w:val="20"/>
        </w:rPr>
        <w:t xml:space="preserve">credit institutions </w:t>
      </w:r>
      <w:r w:rsidR="0027779B" w:rsidRPr="00D40A40">
        <w:rPr>
          <w:rFonts w:ascii="Arial" w:eastAsia="Times New Roman" w:hAnsi="Arial" w:cs="Arial"/>
          <w:szCs w:val="20"/>
        </w:rPr>
        <w:t>with</w:t>
      </w:r>
      <w:r w:rsidRPr="00D40A40">
        <w:rPr>
          <w:rFonts w:ascii="Arial" w:eastAsia="Times New Roman" w:hAnsi="Arial" w:cs="Arial"/>
          <w:szCs w:val="20"/>
        </w:rPr>
        <w:t>in the network of intermediary financial institutions (FI)</w:t>
      </w:r>
      <w:r w:rsidR="005A34BC" w:rsidRPr="00D40A40">
        <w:rPr>
          <w:rFonts w:ascii="Arial" w:eastAsia="Times New Roman" w:hAnsi="Arial" w:cs="Arial"/>
          <w:szCs w:val="20"/>
        </w:rPr>
        <w:t xml:space="preserve"> (those that concentrate the bulk of their second-tier operation)</w:t>
      </w:r>
      <w:r w:rsidRPr="00D40A40">
        <w:rPr>
          <w:rFonts w:ascii="Arial" w:eastAsia="Times New Roman" w:hAnsi="Arial" w:cs="Arial"/>
          <w:szCs w:val="20"/>
        </w:rPr>
        <w:t xml:space="preserve">, with a view to charting </w:t>
      </w:r>
      <w:r w:rsidR="005A34BC" w:rsidRPr="00D40A40">
        <w:rPr>
          <w:rFonts w:ascii="Arial" w:eastAsia="Times New Roman" w:hAnsi="Arial" w:cs="Arial"/>
          <w:szCs w:val="20"/>
        </w:rPr>
        <w:t>their</w:t>
      </w:r>
      <w:r w:rsidR="0027779B" w:rsidRPr="00D40A40">
        <w:rPr>
          <w:rFonts w:ascii="Arial" w:eastAsia="Times New Roman" w:hAnsi="Arial" w:cs="Arial"/>
          <w:szCs w:val="20"/>
        </w:rPr>
        <w:t xml:space="preserve"> perspectives on an</w:t>
      </w:r>
      <w:r w:rsidRPr="00D40A40">
        <w:rPr>
          <w:rFonts w:ascii="Arial" w:eastAsia="Times New Roman" w:hAnsi="Arial" w:cs="Arial"/>
          <w:szCs w:val="20"/>
        </w:rPr>
        <w:t xml:space="preserve">d prospects for SME lending. This survey was </w:t>
      </w:r>
      <w:r w:rsidR="0027779B" w:rsidRPr="00D40A40">
        <w:rPr>
          <w:rFonts w:ascii="Arial" w:eastAsia="Times New Roman" w:hAnsi="Arial" w:cs="Arial"/>
          <w:szCs w:val="20"/>
        </w:rPr>
        <w:t xml:space="preserve">performed as </w:t>
      </w:r>
      <w:r w:rsidRPr="00D40A40">
        <w:rPr>
          <w:rFonts w:ascii="Arial" w:eastAsia="Times New Roman" w:hAnsi="Arial" w:cs="Arial"/>
          <w:szCs w:val="20"/>
        </w:rPr>
        <w:t xml:space="preserve">part of the preparation activities </w:t>
      </w:r>
      <w:r w:rsidR="0027779B" w:rsidRPr="00D40A40">
        <w:rPr>
          <w:rFonts w:ascii="Arial" w:eastAsia="Times New Roman" w:hAnsi="Arial" w:cs="Arial"/>
          <w:szCs w:val="20"/>
        </w:rPr>
        <w:t>for</w:t>
      </w:r>
      <w:r w:rsidRPr="00D40A40">
        <w:rPr>
          <w:rFonts w:ascii="Arial" w:eastAsia="Times New Roman" w:hAnsi="Arial" w:cs="Arial"/>
          <w:szCs w:val="20"/>
        </w:rPr>
        <w:t xml:space="preserve"> the program </w:t>
      </w:r>
      <w:r w:rsidR="005A34BC" w:rsidRPr="00D40A40">
        <w:rPr>
          <w:rFonts w:ascii="Arial" w:eastAsia="Times New Roman" w:hAnsi="Arial" w:cs="Arial"/>
          <w:szCs w:val="20"/>
        </w:rPr>
        <w:t>Promoting Risk Mitigation Instruments and Finance for Renewable Energy and Energy Efficiency Investments (A</w:t>
      </w:r>
      <w:r w:rsidRPr="00D40A40">
        <w:rPr>
          <w:rFonts w:ascii="Arial" w:eastAsia="Times New Roman" w:hAnsi="Arial" w:cs="Arial"/>
          <w:szCs w:val="20"/>
        </w:rPr>
        <w:t>R-L1</w:t>
      </w:r>
      <w:r w:rsidR="005A34BC" w:rsidRPr="00D40A40">
        <w:rPr>
          <w:rFonts w:ascii="Arial" w:eastAsia="Times New Roman" w:hAnsi="Arial" w:cs="Arial"/>
          <w:szCs w:val="20"/>
        </w:rPr>
        <w:t>280</w:t>
      </w:r>
      <w:r w:rsidRPr="00D40A40">
        <w:rPr>
          <w:rFonts w:ascii="Arial" w:eastAsia="Times New Roman" w:hAnsi="Arial" w:cs="Arial"/>
          <w:szCs w:val="20"/>
        </w:rPr>
        <w:t xml:space="preserve">). </w:t>
      </w:r>
      <w:r w:rsidR="005A34BC" w:rsidRPr="00D40A40">
        <w:rPr>
          <w:rFonts w:ascii="Arial" w:eastAsia="Times New Roman" w:hAnsi="Arial" w:cs="Arial"/>
          <w:szCs w:val="20"/>
        </w:rPr>
        <w:t>The seven largest FIs</w:t>
      </w:r>
      <w:r w:rsidR="00345B2D" w:rsidRPr="00D40A40">
        <w:rPr>
          <w:rStyle w:val="FootnoteReference"/>
          <w:rFonts w:ascii="Arial" w:eastAsia="Times New Roman" w:hAnsi="Arial" w:cs="Arial"/>
          <w:szCs w:val="20"/>
        </w:rPr>
        <w:footnoteReference w:id="1"/>
      </w:r>
      <w:r w:rsidR="005A34BC" w:rsidRPr="00D40A40">
        <w:rPr>
          <w:rFonts w:ascii="Arial" w:eastAsia="Times New Roman" w:hAnsi="Arial" w:cs="Arial"/>
          <w:szCs w:val="20"/>
        </w:rPr>
        <w:t xml:space="preserve"> were provided with 16 questions (most of them multiple choice) on topics related to their current operation with SMEs, their views on the risks and benefits of working in this segment and their opinion on programs to promote SME financing. </w:t>
      </w:r>
      <w:r w:rsidRPr="00D40A40">
        <w:rPr>
          <w:rFonts w:ascii="Arial" w:eastAsia="Times New Roman" w:hAnsi="Arial" w:cs="Arial"/>
          <w:szCs w:val="20"/>
        </w:rPr>
        <w:t xml:space="preserve">Following is a </w:t>
      </w:r>
      <w:proofErr w:type="gramStart"/>
      <w:r w:rsidRPr="00D40A40">
        <w:rPr>
          <w:rFonts w:ascii="Arial" w:eastAsia="Times New Roman" w:hAnsi="Arial" w:cs="Arial"/>
          <w:szCs w:val="20"/>
        </w:rPr>
        <w:t>brief summary</w:t>
      </w:r>
      <w:proofErr w:type="gramEnd"/>
      <w:r w:rsidRPr="00D40A40">
        <w:rPr>
          <w:rFonts w:ascii="Arial" w:eastAsia="Times New Roman" w:hAnsi="Arial" w:cs="Arial"/>
          <w:szCs w:val="20"/>
        </w:rPr>
        <w:t xml:space="preserve"> of the analysis of the responses received and the main </w:t>
      </w:r>
      <w:r w:rsidR="00345B2D" w:rsidRPr="00D40A40">
        <w:rPr>
          <w:rFonts w:ascii="Arial" w:eastAsia="Times New Roman" w:hAnsi="Arial" w:cs="Arial"/>
          <w:szCs w:val="20"/>
        </w:rPr>
        <w:t xml:space="preserve">resulting </w:t>
      </w:r>
      <w:r w:rsidRPr="00D40A40">
        <w:rPr>
          <w:rFonts w:ascii="Arial" w:eastAsia="Times New Roman" w:hAnsi="Arial" w:cs="Arial"/>
          <w:szCs w:val="20"/>
        </w:rPr>
        <w:t>arguments.</w:t>
      </w:r>
    </w:p>
    <w:p w14:paraId="4CABB789" w14:textId="77777777" w:rsidR="00B42AAC" w:rsidRPr="00D40A40" w:rsidRDefault="00B42AAC" w:rsidP="00C11CCE">
      <w:pPr>
        <w:spacing w:before="240" w:line="360" w:lineRule="auto"/>
        <w:jc w:val="both"/>
        <w:rPr>
          <w:rFonts w:ascii="Arial" w:eastAsia="Times New Roman" w:hAnsi="Arial" w:cs="Arial"/>
          <w:b/>
          <w:szCs w:val="20"/>
        </w:rPr>
      </w:pPr>
      <w:r w:rsidRPr="00D40A40">
        <w:rPr>
          <w:rFonts w:ascii="Arial" w:eastAsia="Times New Roman" w:hAnsi="Arial" w:cs="Arial"/>
          <w:b/>
          <w:szCs w:val="20"/>
        </w:rPr>
        <w:t xml:space="preserve">Tabulation </w:t>
      </w:r>
      <w:r w:rsidR="00345B2D" w:rsidRPr="00D40A40">
        <w:rPr>
          <w:rFonts w:ascii="Arial" w:eastAsia="Times New Roman" w:hAnsi="Arial" w:cs="Arial"/>
          <w:b/>
          <w:szCs w:val="20"/>
        </w:rPr>
        <w:t xml:space="preserve">and analysis </w:t>
      </w:r>
      <w:r w:rsidRPr="00D40A40">
        <w:rPr>
          <w:rFonts w:ascii="Arial" w:eastAsia="Times New Roman" w:hAnsi="Arial" w:cs="Arial"/>
          <w:b/>
          <w:szCs w:val="20"/>
        </w:rPr>
        <w:t>of results</w:t>
      </w:r>
    </w:p>
    <w:p w14:paraId="72ACE945" w14:textId="77777777" w:rsidR="00E716E9" w:rsidRPr="00D40A40" w:rsidRDefault="00C11CCE" w:rsidP="00C11CCE">
      <w:pPr>
        <w:spacing w:before="240" w:line="360" w:lineRule="auto"/>
        <w:jc w:val="both"/>
        <w:rPr>
          <w:rFonts w:ascii="Arial" w:eastAsia="Times New Roman" w:hAnsi="Arial" w:cs="Arial"/>
          <w:szCs w:val="20"/>
        </w:rPr>
      </w:pPr>
      <w:r w:rsidRPr="00D40A40">
        <w:rPr>
          <w:rFonts w:ascii="Arial" w:eastAsia="Times New Roman" w:hAnsi="Arial" w:cs="Arial"/>
          <w:szCs w:val="20"/>
        </w:rPr>
        <w:t xml:space="preserve">The survey </w:t>
      </w:r>
      <w:r w:rsidR="00E716E9" w:rsidRPr="00D40A40">
        <w:rPr>
          <w:rFonts w:ascii="Arial" w:eastAsia="Times New Roman" w:hAnsi="Arial" w:cs="Arial"/>
          <w:szCs w:val="20"/>
        </w:rPr>
        <w:t>intend</w:t>
      </w:r>
      <w:r w:rsidR="0027779B" w:rsidRPr="00D40A40">
        <w:rPr>
          <w:rFonts w:ascii="Arial" w:eastAsia="Times New Roman" w:hAnsi="Arial" w:cs="Arial"/>
          <w:szCs w:val="20"/>
        </w:rPr>
        <w:t>s</w:t>
      </w:r>
      <w:r w:rsidR="00E716E9" w:rsidRPr="00D40A40">
        <w:rPr>
          <w:rFonts w:ascii="Arial" w:eastAsia="Times New Roman" w:hAnsi="Arial" w:cs="Arial"/>
          <w:szCs w:val="20"/>
        </w:rPr>
        <w:t xml:space="preserve"> to provide insight</w:t>
      </w:r>
      <w:r w:rsidR="002A62ED" w:rsidRPr="00D40A40">
        <w:rPr>
          <w:rFonts w:ascii="Arial" w:eastAsia="Times New Roman" w:hAnsi="Arial" w:cs="Arial"/>
          <w:szCs w:val="20"/>
        </w:rPr>
        <w:t xml:space="preserve"> </w:t>
      </w:r>
      <w:r w:rsidR="00E716E9" w:rsidRPr="00D40A40">
        <w:rPr>
          <w:rFonts w:ascii="Arial" w:eastAsia="Times New Roman" w:hAnsi="Arial" w:cs="Arial"/>
          <w:szCs w:val="20"/>
        </w:rPr>
        <w:t>on</w:t>
      </w:r>
      <w:r w:rsidR="002A62ED" w:rsidRPr="00D40A40">
        <w:rPr>
          <w:rFonts w:ascii="Arial" w:eastAsia="Times New Roman" w:hAnsi="Arial" w:cs="Arial"/>
          <w:szCs w:val="20"/>
        </w:rPr>
        <w:t xml:space="preserve"> </w:t>
      </w:r>
      <w:r w:rsidR="00C12141" w:rsidRPr="00D40A40">
        <w:rPr>
          <w:rFonts w:ascii="Arial" w:eastAsia="Times New Roman" w:hAnsi="Arial" w:cs="Arial"/>
          <w:szCs w:val="20"/>
        </w:rPr>
        <w:t xml:space="preserve">the scope of SME credit restrictions in Argentina, </w:t>
      </w:r>
      <w:r w:rsidR="002A62ED" w:rsidRPr="00D40A40">
        <w:rPr>
          <w:rFonts w:ascii="Arial" w:eastAsia="Times New Roman" w:hAnsi="Arial" w:cs="Arial"/>
          <w:szCs w:val="20"/>
        </w:rPr>
        <w:t>the need for better access of SME</w:t>
      </w:r>
      <w:r w:rsidR="00E716E9" w:rsidRPr="00D40A40">
        <w:rPr>
          <w:rFonts w:ascii="Arial" w:eastAsia="Times New Roman" w:hAnsi="Arial" w:cs="Arial"/>
          <w:szCs w:val="20"/>
        </w:rPr>
        <w:t xml:space="preserve"> t</w:t>
      </w:r>
      <w:r w:rsidR="00C12141" w:rsidRPr="00D40A40">
        <w:rPr>
          <w:rFonts w:ascii="Arial" w:eastAsia="Times New Roman" w:hAnsi="Arial" w:cs="Arial"/>
          <w:szCs w:val="20"/>
        </w:rPr>
        <w:t>o sources of financing and the nature of the SME business operation for local FIs</w:t>
      </w:r>
      <w:r w:rsidR="00E716E9" w:rsidRPr="00D40A40">
        <w:rPr>
          <w:rFonts w:ascii="Arial" w:eastAsia="Times New Roman" w:hAnsi="Arial" w:cs="Arial"/>
          <w:szCs w:val="20"/>
        </w:rPr>
        <w:t>.</w:t>
      </w:r>
      <w:r w:rsidRPr="00D40A40">
        <w:rPr>
          <w:rFonts w:ascii="Arial" w:eastAsia="Times New Roman" w:hAnsi="Arial" w:cs="Arial"/>
          <w:szCs w:val="20"/>
        </w:rPr>
        <w:t xml:space="preserve"> </w:t>
      </w:r>
      <w:r w:rsidR="00E716E9" w:rsidRPr="00D40A40">
        <w:rPr>
          <w:rFonts w:ascii="Arial" w:eastAsia="Times New Roman" w:hAnsi="Arial" w:cs="Arial"/>
          <w:szCs w:val="20"/>
        </w:rPr>
        <w:t>Following is a summary of the main results obtained from the survey (</w:t>
      </w:r>
      <w:r w:rsidR="00345B2D" w:rsidRPr="00D40A40">
        <w:rPr>
          <w:rFonts w:ascii="Arial" w:eastAsia="Times New Roman" w:hAnsi="Arial" w:cs="Arial"/>
          <w:szCs w:val="20"/>
        </w:rPr>
        <w:t>a</w:t>
      </w:r>
      <w:r w:rsidR="00C12141" w:rsidRPr="00D40A40">
        <w:rPr>
          <w:rFonts w:ascii="Arial" w:eastAsia="Times New Roman" w:hAnsi="Arial" w:cs="Arial"/>
          <w:szCs w:val="20"/>
        </w:rPr>
        <w:t xml:space="preserve"> model of</w:t>
      </w:r>
      <w:r w:rsidR="00E716E9" w:rsidRPr="00D40A40">
        <w:rPr>
          <w:rFonts w:ascii="Arial" w:eastAsia="Times New Roman" w:hAnsi="Arial" w:cs="Arial"/>
          <w:szCs w:val="20"/>
        </w:rPr>
        <w:t xml:space="preserve"> the Questionnaire </w:t>
      </w:r>
      <w:r w:rsidR="00C12141" w:rsidRPr="00D40A40">
        <w:rPr>
          <w:rFonts w:ascii="Arial" w:eastAsia="Times New Roman" w:hAnsi="Arial" w:cs="Arial"/>
          <w:szCs w:val="20"/>
        </w:rPr>
        <w:t>can be found</w:t>
      </w:r>
      <w:r w:rsidR="00E716E9" w:rsidRPr="00D40A40">
        <w:rPr>
          <w:rFonts w:ascii="Arial" w:eastAsia="Times New Roman" w:hAnsi="Arial" w:cs="Arial"/>
          <w:szCs w:val="20"/>
        </w:rPr>
        <w:t xml:space="preserve"> in Annex I</w:t>
      </w:r>
      <w:r w:rsidR="00345B2D" w:rsidRPr="00D40A40">
        <w:rPr>
          <w:rFonts w:ascii="Arial" w:eastAsia="Times New Roman" w:hAnsi="Arial" w:cs="Arial"/>
          <w:szCs w:val="20"/>
        </w:rPr>
        <w:t>I</w:t>
      </w:r>
      <w:r w:rsidR="00E716E9" w:rsidRPr="00D40A40">
        <w:rPr>
          <w:rFonts w:ascii="Arial" w:eastAsia="Times New Roman" w:hAnsi="Arial" w:cs="Arial"/>
          <w:szCs w:val="20"/>
        </w:rPr>
        <w:t xml:space="preserve">). </w:t>
      </w:r>
    </w:p>
    <w:p w14:paraId="6E7DE87C" w14:textId="77777777" w:rsidR="00832814" w:rsidRPr="00D40A40" w:rsidRDefault="00C12141" w:rsidP="00C11CCE">
      <w:pPr>
        <w:spacing w:before="240" w:line="360" w:lineRule="auto"/>
        <w:jc w:val="both"/>
        <w:rPr>
          <w:rFonts w:ascii="Arial" w:eastAsia="Times New Roman" w:hAnsi="Arial" w:cs="Arial"/>
          <w:szCs w:val="20"/>
        </w:rPr>
      </w:pPr>
      <w:r w:rsidRPr="00D40A40">
        <w:rPr>
          <w:rFonts w:ascii="Arial" w:eastAsia="Times New Roman" w:hAnsi="Arial" w:cs="Arial"/>
          <w:szCs w:val="20"/>
        </w:rPr>
        <w:t xml:space="preserve">All </w:t>
      </w:r>
      <w:r w:rsidR="00202BD1" w:rsidRPr="00D40A40">
        <w:rPr>
          <w:rFonts w:ascii="Arial" w:eastAsia="Times New Roman" w:hAnsi="Arial" w:cs="Arial"/>
          <w:szCs w:val="20"/>
        </w:rPr>
        <w:t xml:space="preserve">participating FIs </w:t>
      </w:r>
      <w:r w:rsidRPr="00D40A40">
        <w:rPr>
          <w:rFonts w:ascii="Arial" w:eastAsia="Times New Roman" w:hAnsi="Arial" w:cs="Arial"/>
          <w:szCs w:val="20"/>
        </w:rPr>
        <w:t>report they</w:t>
      </w:r>
      <w:r w:rsidR="00202BD1" w:rsidRPr="00D40A40">
        <w:rPr>
          <w:rFonts w:ascii="Arial" w:eastAsia="Times New Roman" w:hAnsi="Arial" w:cs="Arial"/>
          <w:szCs w:val="20"/>
        </w:rPr>
        <w:t xml:space="preserve"> have a special unit within the organization responsible for SME operations</w:t>
      </w:r>
      <w:r w:rsidRPr="00D40A40">
        <w:rPr>
          <w:rFonts w:ascii="Arial" w:eastAsia="Times New Roman" w:hAnsi="Arial" w:cs="Arial"/>
          <w:szCs w:val="20"/>
        </w:rPr>
        <w:t>, which they all classify based on their volume of sales</w:t>
      </w:r>
      <w:r w:rsidR="00202BD1" w:rsidRPr="00D40A40">
        <w:rPr>
          <w:rFonts w:ascii="Arial" w:eastAsia="Times New Roman" w:hAnsi="Arial" w:cs="Arial"/>
          <w:szCs w:val="20"/>
        </w:rPr>
        <w:t>.</w:t>
      </w:r>
      <w:r w:rsidRPr="00D40A40">
        <w:rPr>
          <w:rStyle w:val="FootnoteReference"/>
          <w:rFonts w:ascii="Arial" w:eastAsia="Times New Roman" w:hAnsi="Arial" w:cs="Arial"/>
          <w:szCs w:val="20"/>
        </w:rPr>
        <w:footnoteReference w:id="2"/>
      </w:r>
      <w:r w:rsidRPr="00D40A40">
        <w:rPr>
          <w:rFonts w:ascii="Arial" w:eastAsia="Times New Roman" w:hAnsi="Arial" w:cs="Arial"/>
          <w:szCs w:val="20"/>
        </w:rPr>
        <w:t xml:space="preserve"> </w:t>
      </w:r>
      <w:r w:rsidR="00832814" w:rsidRPr="00D40A40">
        <w:rPr>
          <w:rFonts w:ascii="Arial" w:eastAsia="Times New Roman" w:hAnsi="Arial" w:cs="Arial"/>
          <w:szCs w:val="20"/>
        </w:rPr>
        <w:t xml:space="preserve">All respondents </w:t>
      </w:r>
      <w:r w:rsidR="002E1493" w:rsidRPr="00D40A40">
        <w:rPr>
          <w:rFonts w:ascii="Arial" w:eastAsia="Times New Roman" w:hAnsi="Arial" w:cs="Arial"/>
          <w:szCs w:val="20"/>
        </w:rPr>
        <w:t>offer</w:t>
      </w:r>
      <w:r w:rsidR="00832814" w:rsidRPr="00D40A40">
        <w:rPr>
          <w:rFonts w:ascii="Arial" w:eastAsia="Times New Roman" w:hAnsi="Arial" w:cs="Arial"/>
          <w:szCs w:val="20"/>
        </w:rPr>
        <w:t xml:space="preserve"> </w:t>
      </w:r>
      <w:r w:rsidRPr="00D40A40">
        <w:rPr>
          <w:rFonts w:ascii="Arial" w:eastAsia="Times New Roman" w:hAnsi="Arial" w:cs="Arial"/>
          <w:szCs w:val="20"/>
        </w:rPr>
        <w:t xml:space="preserve">both deposit and </w:t>
      </w:r>
      <w:r w:rsidR="00832814" w:rsidRPr="00D40A40">
        <w:rPr>
          <w:rFonts w:ascii="Arial" w:eastAsia="Times New Roman" w:hAnsi="Arial" w:cs="Arial"/>
          <w:szCs w:val="20"/>
        </w:rPr>
        <w:t>loan products.</w:t>
      </w:r>
      <w:r w:rsidRPr="00D40A40">
        <w:rPr>
          <w:rFonts w:ascii="Arial" w:eastAsia="Times New Roman" w:hAnsi="Arial" w:cs="Arial"/>
          <w:szCs w:val="20"/>
        </w:rPr>
        <w:t xml:space="preserve"> </w:t>
      </w:r>
      <w:r w:rsidR="00E042F6" w:rsidRPr="00D40A40">
        <w:rPr>
          <w:rFonts w:ascii="Arial" w:eastAsia="Times New Roman" w:hAnsi="Arial" w:cs="Arial"/>
          <w:szCs w:val="20"/>
        </w:rPr>
        <w:t xml:space="preserve">When </w:t>
      </w:r>
      <w:proofErr w:type="gramStart"/>
      <w:r w:rsidR="00E042F6" w:rsidRPr="00D40A40">
        <w:rPr>
          <w:rFonts w:ascii="Arial" w:eastAsia="Times New Roman" w:hAnsi="Arial" w:cs="Arial"/>
          <w:szCs w:val="20"/>
        </w:rPr>
        <w:t>looking into</w:t>
      </w:r>
      <w:proofErr w:type="gramEnd"/>
      <w:r w:rsidR="00E042F6" w:rsidRPr="00D40A40">
        <w:rPr>
          <w:rFonts w:ascii="Arial" w:eastAsia="Times New Roman" w:hAnsi="Arial" w:cs="Arial"/>
          <w:szCs w:val="20"/>
        </w:rPr>
        <w:t xml:space="preserve"> the standard conditions offered by these FIs to SMEs for investment loans, it</w:t>
      </w:r>
      <w:r w:rsidR="000E6DA9" w:rsidRPr="00D40A40">
        <w:rPr>
          <w:rFonts w:ascii="Arial" w:eastAsia="Times New Roman" w:hAnsi="Arial" w:cs="Arial"/>
          <w:szCs w:val="20"/>
        </w:rPr>
        <w:t xml:space="preserve"> is interesting to note the differences between </w:t>
      </w:r>
      <w:r w:rsidR="00E042F6" w:rsidRPr="00D40A40">
        <w:rPr>
          <w:rFonts w:ascii="Arial" w:eastAsia="Times New Roman" w:hAnsi="Arial" w:cs="Arial"/>
          <w:szCs w:val="20"/>
        </w:rPr>
        <w:t>financing in local currency and foreign currency: the average rate for local currency loans is 26.3% while the rate for foreign currency is well below, at 6.4%. No significant difference is found between tenors in local and foreign currency (US Dollars).</w:t>
      </w:r>
      <w:r w:rsidR="00832814" w:rsidRPr="00D40A40">
        <w:rPr>
          <w:rFonts w:ascii="Arial" w:eastAsia="Times New Roman" w:hAnsi="Arial" w:cs="Arial"/>
          <w:szCs w:val="20"/>
        </w:rPr>
        <w:t xml:space="preserve"> </w:t>
      </w:r>
      <w:r w:rsidR="0057530C" w:rsidRPr="00D40A40">
        <w:rPr>
          <w:rFonts w:ascii="Arial" w:eastAsia="Times New Roman" w:hAnsi="Arial" w:cs="Arial"/>
          <w:szCs w:val="20"/>
        </w:rPr>
        <w:t>It appears that</w:t>
      </w:r>
      <w:r w:rsidR="008C0B0E" w:rsidRPr="00D40A40">
        <w:rPr>
          <w:rFonts w:ascii="Arial" w:eastAsia="Times New Roman" w:hAnsi="Arial" w:cs="Arial"/>
          <w:szCs w:val="20"/>
        </w:rPr>
        <w:t xml:space="preserve">, while there is not a </w:t>
      </w:r>
      <w:proofErr w:type="gramStart"/>
      <w:r w:rsidR="008C0B0E" w:rsidRPr="00D40A40">
        <w:rPr>
          <w:rFonts w:ascii="Arial" w:eastAsia="Times New Roman" w:hAnsi="Arial" w:cs="Arial"/>
          <w:szCs w:val="20"/>
        </w:rPr>
        <w:t>particular focus</w:t>
      </w:r>
      <w:proofErr w:type="gramEnd"/>
      <w:r w:rsidR="008C0B0E" w:rsidRPr="00D40A40">
        <w:rPr>
          <w:rFonts w:ascii="Arial" w:eastAsia="Times New Roman" w:hAnsi="Arial" w:cs="Arial"/>
          <w:szCs w:val="20"/>
        </w:rPr>
        <w:t xml:space="preserve"> on SMEs in specific sectors (6 out of 7 respondents), they do seem to take a significant share of their operation, with 2 having over 40% of their portfolio share in SMEs and other 2 having over 20% of their portfolio share. Moreover, </w:t>
      </w:r>
      <w:r w:rsidR="008C0B0E" w:rsidRPr="00D40A40">
        <w:rPr>
          <w:rFonts w:ascii="Arial" w:eastAsia="Times New Roman" w:hAnsi="Arial" w:cs="Arial"/>
          <w:szCs w:val="20"/>
        </w:rPr>
        <w:lastRenderedPageBreak/>
        <w:t>they mostly find it “very important” to develop business lines related to SMEs based on reasons related to profitability, diversification and client reach.</w:t>
      </w:r>
    </w:p>
    <w:p w14:paraId="6F4CD6F4" w14:textId="77777777" w:rsidR="009A4E72" w:rsidRPr="00D40A40" w:rsidRDefault="002E1493" w:rsidP="007C2342">
      <w:pPr>
        <w:spacing w:before="240" w:line="360" w:lineRule="auto"/>
        <w:jc w:val="both"/>
        <w:rPr>
          <w:rFonts w:ascii="Arial" w:eastAsia="Times New Roman" w:hAnsi="Arial" w:cs="Arial"/>
          <w:szCs w:val="20"/>
        </w:rPr>
      </w:pPr>
      <w:r w:rsidRPr="00D40A40">
        <w:rPr>
          <w:rFonts w:ascii="Arial" w:eastAsia="Times New Roman" w:hAnsi="Arial" w:cs="Arial"/>
          <w:szCs w:val="20"/>
        </w:rPr>
        <w:t xml:space="preserve">Information regarding </w:t>
      </w:r>
      <w:r w:rsidR="008C0B0E" w:rsidRPr="00D40A40">
        <w:rPr>
          <w:rFonts w:ascii="Arial" w:eastAsia="Times New Roman" w:hAnsi="Arial" w:cs="Arial"/>
          <w:szCs w:val="20"/>
        </w:rPr>
        <w:t xml:space="preserve">the main </w:t>
      </w:r>
      <w:r w:rsidR="004D38BF" w:rsidRPr="00D40A40">
        <w:rPr>
          <w:rFonts w:ascii="Arial" w:eastAsia="Times New Roman" w:hAnsi="Arial" w:cs="Arial"/>
          <w:szCs w:val="20"/>
        </w:rPr>
        <w:t xml:space="preserve">obstacles </w:t>
      </w:r>
      <w:r w:rsidR="008C0B0E" w:rsidRPr="00D40A40">
        <w:rPr>
          <w:rFonts w:ascii="Arial" w:eastAsia="Times New Roman" w:hAnsi="Arial" w:cs="Arial"/>
          <w:szCs w:val="20"/>
        </w:rPr>
        <w:t>for their SME business growth</w:t>
      </w:r>
      <w:r w:rsidR="004D38BF" w:rsidRPr="00D40A40">
        <w:rPr>
          <w:rFonts w:ascii="Arial" w:eastAsia="Times New Roman" w:hAnsi="Arial" w:cs="Arial"/>
          <w:szCs w:val="20"/>
        </w:rPr>
        <w:t xml:space="preserve">, the </w:t>
      </w:r>
      <w:r w:rsidR="00AA4A77" w:rsidRPr="00D40A40">
        <w:rPr>
          <w:rFonts w:ascii="Arial" w:eastAsia="Times New Roman" w:hAnsi="Arial" w:cs="Arial"/>
          <w:szCs w:val="20"/>
        </w:rPr>
        <w:t xml:space="preserve">two main elements considered as “very important” are macroeconomic conditions (including exchange rate risks) and </w:t>
      </w:r>
      <w:r w:rsidR="008C0B0E" w:rsidRPr="00D40A40">
        <w:rPr>
          <w:rFonts w:ascii="Arial" w:eastAsia="Times New Roman" w:hAnsi="Arial" w:cs="Arial"/>
          <w:szCs w:val="20"/>
        </w:rPr>
        <w:t>competition</w:t>
      </w:r>
      <w:r w:rsidR="009A4E72" w:rsidRPr="00D40A40">
        <w:rPr>
          <w:rFonts w:ascii="Arial" w:eastAsia="Times New Roman" w:hAnsi="Arial" w:cs="Arial"/>
          <w:szCs w:val="20"/>
        </w:rPr>
        <w:t xml:space="preserve"> in the sector</w:t>
      </w:r>
      <w:r w:rsidR="00AA4A77" w:rsidRPr="00D40A40">
        <w:rPr>
          <w:rFonts w:ascii="Arial" w:eastAsia="Times New Roman" w:hAnsi="Arial" w:cs="Arial"/>
          <w:szCs w:val="20"/>
        </w:rPr>
        <w:t xml:space="preserve"> (</w:t>
      </w:r>
      <w:r w:rsidR="009A4E72" w:rsidRPr="00D40A40">
        <w:rPr>
          <w:rFonts w:ascii="Arial" w:eastAsia="Times New Roman" w:hAnsi="Arial" w:cs="Arial"/>
          <w:szCs w:val="20"/>
        </w:rPr>
        <w:t>other actors such as public banks of specialized FIs</w:t>
      </w:r>
      <w:r w:rsidR="00AA4A77" w:rsidRPr="00D40A40">
        <w:rPr>
          <w:rFonts w:ascii="Arial" w:eastAsia="Times New Roman" w:hAnsi="Arial" w:cs="Arial"/>
          <w:szCs w:val="20"/>
        </w:rPr>
        <w:t>).</w:t>
      </w:r>
      <w:r w:rsidR="009A4E72" w:rsidRPr="00D40A40">
        <w:rPr>
          <w:rFonts w:ascii="Arial" w:eastAsia="Times New Roman" w:hAnsi="Arial" w:cs="Arial"/>
          <w:szCs w:val="20"/>
        </w:rPr>
        <w:t xml:space="preserve"> This is relevant as it may indicate respondents feel institutions capable of providing better conditions – due to their market focus or their preferential conditions from, for example, public programs –, may be contributing to them being left behind in this sector. This may be supported also by the fact that the element they consider “less important” is factors related to their own institution (organizational structure, lack of incentives or expertise, lack of management drive). In other words, they see obstacles to the growth of their SME business more as external (and not necessarily related to the SME itself) than internal.</w:t>
      </w:r>
    </w:p>
    <w:p w14:paraId="71DF3CDC" w14:textId="77777777" w:rsidR="00D52FEE" w:rsidRPr="00D40A40" w:rsidRDefault="009A4E72" w:rsidP="007C2342">
      <w:pPr>
        <w:spacing w:before="240" w:line="360" w:lineRule="auto"/>
        <w:jc w:val="both"/>
        <w:rPr>
          <w:rFonts w:ascii="Arial" w:eastAsia="Times New Roman" w:hAnsi="Arial" w:cs="Arial"/>
          <w:szCs w:val="20"/>
        </w:rPr>
      </w:pPr>
      <w:r w:rsidRPr="00D40A40">
        <w:rPr>
          <w:noProof/>
        </w:rPr>
        <w:drawing>
          <wp:inline distT="0" distB="0" distL="0" distR="0" wp14:anchorId="0DB8EEBD" wp14:editId="0AAB8D86">
            <wp:extent cx="5943600" cy="2187465"/>
            <wp:effectExtent l="0" t="0" r="9525" b="3810"/>
            <wp:docPr id="1" name="Chart 1">
              <a:extLst xmlns:a="http://schemas.openxmlformats.org/drawingml/2006/main">
                <a:ext uri="{FF2B5EF4-FFF2-40B4-BE49-F238E27FC236}">
                  <a16:creationId xmlns:a16="http://schemas.microsoft.com/office/drawing/2014/main" id="{3E4AEB1C-D713-42BE-BE61-98081396BD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D40A40">
        <w:rPr>
          <w:rFonts w:ascii="Arial" w:eastAsia="Times New Roman" w:hAnsi="Arial" w:cs="Arial"/>
          <w:szCs w:val="20"/>
        </w:rPr>
        <w:t>All r</w:t>
      </w:r>
      <w:r w:rsidR="00A52485" w:rsidRPr="00D40A40">
        <w:rPr>
          <w:rFonts w:ascii="Arial" w:eastAsia="Times New Roman" w:hAnsi="Arial" w:cs="Arial"/>
          <w:szCs w:val="20"/>
        </w:rPr>
        <w:t>espondents coincide on the</w:t>
      </w:r>
      <w:r w:rsidR="006741F6" w:rsidRPr="00D40A40">
        <w:rPr>
          <w:rFonts w:ascii="Arial" w:eastAsia="Times New Roman" w:hAnsi="Arial" w:cs="Arial"/>
          <w:szCs w:val="20"/>
        </w:rPr>
        <w:t xml:space="preserve">ir observation </w:t>
      </w:r>
      <w:r w:rsidRPr="00D40A40">
        <w:rPr>
          <w:rFonts w:ascii="Arial" w:eastAsia="Times New Roman" w:hAnsi="Arial" w:cs="Arial"/>
          <w:szCs w:val="20"/>
        </w:rPr>
        <w:t>that</w:t>
      </w:r>
      <w:r w:rsidR="006741F6" w:rsidRPr="00D40A40">
        <w:rPr>
          <w:rFonts w:ascii="Arial" w:eastAsia="Times New Roman" w:hAnsi="Arial" w:cs="Arial"/>
          <w:szCs w:val="20"/>
        </w:rPr>
        <w:t xml:space="preserve"> the</w:t>
      </w:r>
      <w:r w:rsidR="00A52485" w:rsidRPr="00D40A40">
        <w:rPr>
          <w:rFonts w:ascii="Arial" w:eastAsia="Times New Roman" w:hAnsi="Arial" w:cs="Arial"/>
          <w:szCs w:val="20"/>
        </w:rPr>
        <w:t xml:space="preserve"> main reason</w:t>
      </w:r>
      <w:r w:rsidRPr="00D40A40">
        <w:rPr>
          <w:rFonts w:ascii="Arial" w:eastAsia="Times New Roman" w:hAnsi="Arial" w:cs="Arial"/>
          <w:szCs w:val="20"/>
        </w:rPr>
        <w:t xml:space="preserve"> for which</w:t>
      </w:r>
      <w:r w:rsidR="00A52485" w:rsidRPr="00D40A40">
        <w:rPr>
          <w:rFonts w:ascii="Arial" w:eastAsia="Times New Roman" w:hAnsi="Arial" w:cs="Arial"/>
          <w:szCs w:val="20"/>
        </w:rPr>
        <w:t xml:space="preserve"> SMEs request a loan </w:t>
      </w:r>
      <w:r w:rsidRPr="00D40A40">
        <w:rPr>
          <w:rFonts w:ascii="Arial" w:eastAsia="Times New Roman" w:hAnsi="Arial" w:cs="Arial"/>
          <w:szCs w:val="20"/>
        </w:rPr>
        <w:t xml:space="preserve">is </w:t>
      </w:r>
      <w:r w:rsidR="00A52485" w:rsidRPr="00D40A40">
        <w:rPr>
          <w:rFonts w:ascii="Arial" w:eastAsia="Times New Roman" w:hAnsi="Arial" w:cs="Arial"/>
          <w:szCs w:val="20"/>
        </w:rPr>
        <w:t xml:space="preserve">to expand business or invest in capital assets </w:t>
      </w:r>
      <w:r w:rsidRPr="00D40A40">
        <w:rPr>
          <w:rFonts w:ascii="Arial" w:eastAsia="Times New Roman" w:hAnsi="Arial" w:cs="Arial"/>
          <w:szCs w:val="20"/>
        </w:rPr>
        <w:t>(</w:t>
      </w:r>
      <w:r w:rsidR="00A52485" w:rsidRPr="00D40A40">
        <w:rPr>
          <w:rFonts w:ascii="Arial" w:eastAsia="Times New Roman" w:hAnsi="Arial" w:cs="Arial"/>
          <w:szCs w:val="20"/>
        </w:rPr>
        <w:t>such as vehicles, equipment or buildings)</w:t>
      </w:r>
      <w:r w:rsidR="00D52FEE" w:rsidRPr="00D40A40">
        <w:rPr>
          <w:rFonts w:ascii="Arial" w:eastAsia="Times New Roman" w:hAnsi="Arial" w:cs="Arial"/>
          <w:szCs w:val="20"/>
        </w:rPr>
        <w:t>.</w:t>
      </w:r>
      <w:r w:rsidRPr="00D40A40">
        <w:rPr>
          <w:rFonts w:ascii="Arial" w:eastAsia="Times New Roman" w:hAnsi="Arial" w:cs="Arial"/>
          <w:szCs w:val="20"/>
        </w:rPr>
        <w:t xml:space="preserve"> The survey shows t</w:t>
      </w:r>
      <w:r w:rsidR="00D52FEE" w:rsidRPr="00D40A40">
        <w:rPr>
          <w:rFonts w:ascii="Arial" w:eastAsia="Times New Roman" w:hAnsi="Arial" w:cs="Arial"/>
          <w:szCs w:val="20"/>
        </w:rPr>
        <w:t xml:space="preserve">hat, on average, </w:t>
      </w:r>
      <w:r w:rsidRPr="00D40A40">
        <w:rPr>
          <w:rFonts w:ascii="Arial" w:eastAsia="Times New Roman" w:hAnsi="Arial" w:cs="Arial"/>
          <w:szCs w:val="20"/>
        </w:rPr>
        <w:t>some 20</w:t>
      </w:r>
      <w:r w:rsidR="00D52FEE" w:rsidRPr="00D40A40">
        <w:rPr>
          <w:rFonts w:ascii="Arial" w:eastAsia="Times New Roman" w:hAnsi="Arial" w:cs="Arial"/>
          <w:szCs w:val="20"/>
        </w:rPr>
        <w:t xml:space="preserve">% of loan applications by SMEs are rejected. FIs report that the </w:t>
      </w:r>
      <w:r w:rsidRPr="00D40A40">
        <w:rPr>
          <w:rFonts w:ascii="Arial" w:eastAsia="Times New Roman" w:hAnsi="Arial" w:cs="Arial"/>
          <w:szCs w:val="20"/>
        </w:rPr>
        <w:t xml:space="preserve">most common </w:t>
      </w:r>
      <w:r w:rsidR="00BA5F9E" w:rsidRPr="00D40A40">
        <w:rPr>
          <w:rFonts w:ascii="Arial" w:eastAsia="Times New Roman" w:hAnsi="Arial" w:cs="Arial"/>
          <w:szCs w:val="20"/>
        </w:rPr>
        <w:t>reason for rejecting</w:t>
      </w:r>
      <w:r w:rsidR="00D52FEE" w:rsidRPr="00D40A40">
        <w:rPr>
          <w:rFonts w:ascii="Arial" w:eastAsia="Times New Roman" w:hAnsi="Arial" w:cs="Arial"/>
          <w:szCs w:val="20"/>
        </w:rPr>
        <w:t xml:space="preserve"> SMEs</w:t>
      </w:r>
      <w:r w:rsidR="00BA5F9E" w:rsidRPr="00D40A40">
        <w:rPr>
          <w:rFonts w:ascii="Arial" w:eastAsia="Times New Roman" w:hAnsi="Arial" w:cs="Arial"/>
          <w:szCs w:val="20"/>
        </w:rPr>
        <w:t xml:space="preserve"> applications for loans</w:t>
      </w:r>
      <w:r w:rsidR="00D52FEE" w:rsidRPr="00D40A40">
        <w:rPr>
          <w:rFonts w:ascii="Arial" w:eastAsia="Times New Roman" w:hAnsi="Arial" w:cs="Arial"/>
          <w:szCs w:val="20"/>
        </w:rPr>
        <w:t xml:space="preserve"> is th</w:t>
      </w:r>
      <w:r w:rsidR="00BA5F9E" w:rsidRPr="00D40A40">
        <w:rPr>
          <w:rFonts w:ascii="Arial" w:eastAsia="Times New Roman" w:hAnsi="Arial" w:cs="Arial"/>
          <w:szCs w:val="20"/>
        </w:rPr>
        <w:t>at they do not submit the regulatory documentation required, followed by the weak financial condition of the applicant.</w:t>
      </w:r>
    </w:p>
    <w:p w14:paraId="1C2EA542" w14:textId="77777777" w:rsidR="00A52485" w:rsidRPr="00D40A40" w:rsidRDefault="00BA5F9E" w:rsidP="007C2342">
      <w:pPr>
        <w:spacing w:before="240" w:line="360" w:lineRule="auto"/>
        <w:jc w:val="both"/>
        <w:rPr>
          <w:rFonts w:ascii="Arial" w:eastAsia="Times New Roman" w:hAnsi="Arial" w:cs="Arial"/>
          <w:szCs w:val="20"/>
        </w:rPr>
      </w:pPr>
      <w:r w:rsidRPr="00D40A40">
        <w:rPr>
          <w:noProof/>
        </w:rPr>
        <w:lastRenderedPageBreak/>
        <w:drawing>
          <wp:inline distT="0" distB="0" distL="0" distR="0" wp14:anchorId="7260FE61" wp14:editId="0E0BD1FE">
            <wp:extent cx="5943600" cy="1505607"/>
            <wp:effectExtent l="0" t="0" r="0" b="18415"/>
            <wp:docPr id="8" name="Chart 8">
              <a:extLst xmlns:a="http://schemas.openxmlformats.org/drawingml/2006/main">
                <a:ext uri="{FF2B5EF4-FFF2-40B4-BE49-F238E27FC236}">
                  <a16:creationId xmlns:a16="http://schemas.microsoft.com/office/drawing/2014/main" id="{E58E6A50-8616-4905-8242-F1C71F7034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D40A40">
        <w:rPr>
          <w:rFonts w:ascii="Arial" w:eastAsia="Times New Roman" w:hAnsi="Arial" w:cs="Arial"/>
          <w:szCs w:val="20"/>
        </w:rPr>
        <w:t xml:space="preserve">All except for one </w:t>
      </w:r>
      <w:r w:rsidR="00A52485" w:rsidRPr="00D40A40">
        <w:rPr>
          <w:rFonts w:ascii="Arial" w:eastAsia="Times New Roman" w:hAnsi="Arial" w:cs="Arial"/>
          <w:szCs w:val="20"/>
        </w:rPr>
        <w:t xml:space="preserve">FI declare they </w:t>
      </w:r>
      <w:proofErr w:type="gramStart"/>
      <w:r w:rsidR="00A52485" w:rsidRPr="00D40A40">
        <w:rPr>
          <w:rFonts w:ascii="Arial" w:eastAsia="Times New Roman" w:hAnsi="Arial" w:cs="Arial"/>
          <w:szCs w:val="20"/>
        </w:rPr>
        <w:t>are able to</w:t>
      </w:r>
      <w:proofErr w:type="gramEnd"/>
      <w:r w:rsidR="00A52485" w:rsidRPr="00D40A40">
        <w:rPr>
          <w:rFonts w:ascii="Arial" w:eastAsia="Times New Roman" w:hAnsi="Arial" w:cs="Arial"/>
          <w:szCs w:val="20"/>
        </w:rPr>
        <w:t xml:space="preserve"> evaluate and approve credits based not only on the collateral but also on the project cash flows</w:t>
      </w:r>
      <w:r w:rsidRPr="00D40A40">
        <w:rPr>
          <w:rFonts w:ascii="Arial" w:eastAsia="Times New Roman" w:hAnsi="Arial" w:cs="Arial"/>
          <w:szCs w:val="20"/>
        </w:rPr>
        <w:t xml:space="preserve"> and most of them (5 out of 7) report they do have an </w:t>
      </w:r>
      <w:r w:rsidR="00A52485" w:rsidRPr="00D40A40">
        <w:rPr>
          <w:rFonts w:ascii="Arial" w:eastAsia="Times New Roman" w:hAnsi="Arial" w:cs="Arial"/>
          <w:szCs w:val="20"/>
        </w:rPr>
        <w:t xml:space="preserve">established mechanism to mitigate risks specific to SMEs, </w:t>
      </w:r>
      <w:r w:rsidRPr="00D40A40">
        <w:rPr>
          <w:rFonts w:ascii="Arial" w:eastAsia="Times New Roman" w:hAnsi="Arial" w:cs="Arial"/>
          <w:szCs w:val="20"/>
        </w:rPr>
        <w:t xml:space="preserve">mainly consisting of </w:t>
      </w:r>
      <w:r w:rsidR="00A52485" w:rsidRPr="00D40A40">
        <w:rPr>
          <w:rFonts w:ascii="Arial" w:eastAsia="Times New Roman" w:hAnsi="Arial" w:cs="Arial"/>
          <w:szCs w:val="20"/>
        </w:rPr>
        <w:t>guarantees</w:t>
      </w:r>
      <w:r w:rsidRPr="00D40A40">
        <w:rPr>
          <w:rFonts w:ascii="Arial" w:eastAsia="Times New Roman" w:hAnsi="Arial" w:cs="Arial"/>
          <w:szCs w:val="20"/>
        </w:rPr>
        <w:t xml:space="preserve"> (</w:t>
      </w:r>
      <w:proofErr w:type="spellStart"/>
      <w:r w:rsidRPr="00D40A40">
        <w:rPr>
          <w:rFonts w:ascii="Arial" w:eastAsia="Times New Roman" w:hAnsi="Arial" w:cs="Arial"/>
          <w:i/>
          <w:szCs w:val="20"/>
        </w:rPr>
        <w:t>sociedades</w:t>
      </w:r>
      <w:proofErr w:type="spellEnd"/>
      <w:r w:rsidRPr="00D40A40">
        <w:rPr>
          <w:rFonts w:ascii="Arial" w:eastAsia="Times New Roman" w:hAnsi="Arial" w:cs="Arial"/>
          <w:i/>
          <w:szCs w:val="20"/>
        </w:rPr>
        <w:t xml:space="preserve"> de </w:t>
      </w:r>
      <w:proofErr w:type="spellStart"/>
      <w:r w:rsidRPr="00D40A40">
        <w:rPr>
          <w:rFonts w:ascii="Arial" w:eastAsia="Times New Roman" w:hAnsi="Arial" w:cs="Arial"/>
          <w:i/>
          <w:szCs w:val="20"/>
        </w:rPr>
        <w:t>garantia</w:t>
      </w:r>
      <w:proofErr w:type="spellEnd"/>
      <w:r w:rsidRPr="00D40A40">
        <w:rPr>
          <w:rFonts w:ascii="Arial" w:eastAsia="Times New Roman" w:hAnsi="Arial" w:cs="Arial"/>
          <w:i/>
          <w:szCs w:val="20"/>
        </w:rPr>
        <w:t xml:space="preserve"> </w:t>
      </w:r>
      <w:proofErr w:type="spellStart"/>
      <w:r w:rsidRPr="00D40A40">
        <w:rPr>
          <w:rFonts w:ascii="Arial" w:eastAsia="Times New Roman" w:hAnsi="Arial" w:cs="Arial"/>
          <w:i/>
          <w:szCs w:val="20"/>
        </w:rPr>
        <w:t>reciproca</w:t>
      </w:r>
      <w:proofErr w:type="spellEnd"/>
      <w:r w:rsidRPr="00D40A40">
        <w:rPr>
          <w:rFonts w:ascii="Arial" w:eastAsia="Times New Roman" w:hAnsi="Arial" w:cs="Arial"/>
          <w:szCs w:val="20"/>
        </w:rPr>
        <w:t>, SGR)</w:t>
      </w:r>
      <w:r w:rsidR="00A52485" w:rsidRPr="00D40A40">
        <w:rPr>
          <w:rFonts w:ascii="Arial" w:eastAsia="Times New Roman" w:hAnsi="Arial" w:cs="Arial"/>
          <w:szCs w:val="20"/>
        </w:rPr>
        <w:t xml:space="preserve">. </w:t>
      </w:r>
      <w:r w:rsidR="008279F3" w:rsidRPr="00D40A40">
        <w:rPr>
          <w:rFonts w:ascii="Arial" w:eastAsia="Times New Roman" w:hAnsi="Arial" w:cs="Arial"/>
          <w:szCs w:val="20"/>
        </w:rPr>
        <w:t>However</w:t>
      </w:r>
      <w:r w:rsidR="00A52485" w:rsidRPr="00D40A40">
        <w:rPr>
          <w:rFonts w:ascii="Arial" w:eastAsia="Times New Roman" w:hAnsi="Arial" w:cs="Arial"/>
          <w:szCs w:val="20"/>
        </w:rPr>
        <w:t xml:space="preserve">, when asked about their perception of SME in relation with other types of clients, </w:t>
      </w:r>
      <w:proofErr w:type="gramStart"/>
      <w:r w:rsidR="00A52485" w:rsidRPr="00D40A40">
        <w:rPr>
          <w:rFonts w:ascii="Arial" w:eastAsia="Times New Roman" w:hAnsi="Arial" w:cs="Arial"/>
          <w:szCs w:val="20"/>
        </w:rPr>
        <w:t>the majority of</w:t>
      </w:r>
      <w:proofErr w:type="gramEnd"/>
      <w:r w:rsidR="00A52485" w:rsidRPr="00D40A40">
        <w:rPr>
          <w:rFonts w:ascii="Arial" w:eastAsia="Times New Roman" w:hAnsi="Arial" w:cs="Arial"/>
          <w:szCs w:val="20"/>
        </w:rPr>
        <w:t xml:space="preserve"> respondents coincide on </w:t>
      </w:r>
      <w:r w:rsidR="009D6DDF" w:rsidRPr="00D40A40">
        <w:rPr>
          <w:rFonts w:ascii="Arial" w:eastAsia="Times New Roman" w:hAnsi="Arial" w:cs="Arial"/>
          <w:szCs w:val="20"/>
        </w:rPr>
        <w:t>the idea that</w:t>
      </w:r>
      <w:r w:rsidR="00A52485" w:rsidRPr="00D40A40">
        <w:rPr>
          <w:rFonts w:ascii="Arial" w:eastAsia="Times New Roman" w:hAnsi="Arial" w:cs="Arial"/>
          <w:szCs w:val="20"/>
        </w:rPr>
        <w:t>, while SMEs represent a more profitable business, the</w:t>
      </w:r>
      <w:r w:rsidR="008279F3" w:rsidRPr="00D40A40">
        <w:rPr>
          <w:rFonts w:ascii="Arial" w:eastAsia="Times New Roman" w:hAnsi="Arial" w:cs="Arial"/>
          <w:szCs w:val="20"/>
        </w:rPr>
        <w:t xml:space="preserve"> level of </w:t>
      </w:r>
      <w:r w:rsidR="00A52485" w:rsidRPr="00D40A40">
        <w:rPr>
          <w:rFonts w:ascii="Arial" w:eastAsia="Times New Roman" w:hAnsi="Arial" w:cs="Arial"/>
          <w:szCs w:val="20"/>
        </w:rPr>
        <w:t>risks</w:t>
      </w:r>
      <w:r w:rsidR="008279F3" w:rsidRPr="00D40A40">
        <w:rPr>
          <w:rFonts w:ascii="Arial" w:eastAsia="Times New Roman" w:hAnsi="Arial" w:cs="Arial"/>
          <w:szCs w:val="20"/>
        </w:rPr>
        <w:t xml:space="preserve"> and administrative </w:t>
      </w:r>
      <w:r w:rsidR="00A52485" w:rsidRPr="00D40A40">
        <w:rPr>
          <w:rFonts w:ascii="Arial" w:eastAsia="Times New Roman" w:hAnsi="Arial" w:cs="Arial"/>
          <w:szCs w:val="20"/>
        </w:rPr>
        <w:t xml:space="preserve">costs </w:t>
      </w:r>
      <w:r w:rsidR="008279F3" w:rsidRPr="00D40A40">
        <w:rPr>
          <w:rFonts w:ascii="Arial" w:eastAsia="Times New Roman" w:hAnsi="Arial" w:cs="Arial"/>
          <w:szCs w:val="20"/>
        </w:rPr>
        <w:t>these entail is</w:t>
      </w:r>
      <w:r w:rsidR="00A52485" w:rsidRPr="00D40A40">
        <w:rPr>
          <w:rFonts w:ascii="Arial" w:eastAsia="Times New Roman" w:hAnsi="Arial" w:cs="Arial"/>
          <w:szCs w:val="20"/>
        </w:rPr>
        <w:t xml:space="preserve"> </w:t>
      </w:r>
      <w:r w:rsidR="009D6DDF" w:rsidRPr="00D40A40">
        <w:rPr>
          <w:rFonts w:ascii="Arial" w:eastAsia="Times New Roman" w:hAnsi="Arial" w:cs="Arial"/>
          <w:szCs w:val="20"/>
        </w:rPr>
        <w:t>equal to</w:t>
      </w:r>
      <w:r w:rsidR="00A52485" w:rsidRPr="00D40A40">
        <w:rPr>
          <w:rFonts w:ascii="Arial" w:eastAsia="Times New Roman" w:hAnsi="Arial" w:cs="Arial"/>
          <w:szCs w:val="20"/>
        </w:rPr>
        <w:t xml:space="preserve"> </w:t>
      </w:r>
      <w:r w:rsidR="008279F3" w:rsidRPr="00D40A40">
        <w:rPr>
          <w:rFonts w:ascii="Arial" w:eastAsia="Times New Roman" w:hAnsi="Arial" w:cs="Arial"/>
          <w:szCs w:val="20"/>
        </w:rPr>
        <w:t xml:space="preserve">that of </w:t>
      </w:r>
      <w:r w:rsidR="00A52485" w:rsidRPr="00D40A40">
        <w:rPr>
          <w:rFonts w:ascii="Arial" w:eastAsia="Times New Roman" w:hAnsi="Arial" w:cs="Arial"/>
          <w:szCs w:val="20"/>
        </w:rPr>
        <w:t>other types of clients.</w:t>
      </w:r>
    </w:p>
    <w:p w14:paraId="448686A7" w14:textId="77777777" w:rsidR="008279F3" w:rsidRPr="00D40A40" w:rsidRDefault="008279F3" w:rsidP="008279F3">
      <w:pPr>
        <w:spacing w:before="240" w:line="360" w:lineRule="auto"/>
        <w:jc w:val="center"/>
        <w:rPr>
          <w:rFonts w:ascii="Arial" w:eastAsia="Times New Roman" w:hAnsi="Arial" w:cs="Arial"/>
          <w:szCs w:val="20"/>
        </w:rPr>
      </w:pPr>
      <w:r w:rsidRPr="00D40A40">
        <w:rPr>
          <w:noProof/>
        </w:rPr>
        <w:drawing>
          <wp:inline distT="0" distB="0" distL="0" distR="0" wp14:anchorId="7683AF66" wp14:editId="34ECC9C0">
            <wp:extent cx="5833110" cy="1994338"/>
            <wp:effectExtent l="0" t="0" r="15240" b="6350"/>
            <wp:docPr id="9" name="Chart 9">
              <a:extLst xmlns:a="http://schemas.openxmlformats.org/drawingml/2006/main">
                <a:ext uri="{FF2B5EF4-FFF2-40B4-BE49-F238E27FC236}">
                  <a16:creationId xmlns:a16="http://schemas.microsoft.com/office/drawing/2014/main" id="{C476F9E4-83ED-47A2-ADF9-0E1DFFC7ED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7E89EEA" w14:textId="77777777" w:rsidR="00C11CCE" w:rsidRPr="00D40A40" w:rsidRDefault="00C25128" w:rsidP="007C2342">
      <w:pPr>
        <w:spacing w:before="240" w:line="360" w:lineRule="auto"/>
        <w:jc w:val="both"/>
        <w:rPr>
          <w:rFonts w:ascii="Arial" w:eastAsia="Times New Roman" w:hAnsi="Arial" w:cs="Arial"/>
          <w:szCs w:val="20"/>
        </w:rPr>
      </w:pPr>
      <w:r w:rsidRPr="00D40A40">
        <w:rPr>
          <w:rFonts w:ascii="Arial" w:eastAsia="Times New Roman" w:hAnsi="Arial" w:cs="Arial"/>
          <w:szCs w:val="20"/>
        </w:rPr>
        <w:t>Lastly</w:t>
      </w:r>
      <w:r w:rsidR="00A52485" w:rsidRPr="00D40A40">
        <w:rPr>
          <w:rFonts w:ascii="Arial" w:eastAsia="Times New Roman" w:hAnsi="Arial" w:cs="Arial"/>
          <w:szCs w:val="20"/>
        </w:rPr>
        <w:t xml:space="preserve">, </w:t>
      </w:r>
      <w:r w:rsidR="00460A0E" w:rsidRPr="00D40A40">
        <w:rPr>
          <w:rFonts w:ascii="Arial" w:eastAsia="Times New Roman" w:hAnsi="Arial" w:cs="Arial"/>
          <w:szCs w:val="20"/>
        </w:rPr>
        <w:t xml:space="preserve">the survey shows that FIs </w:t>
      </w:r>
      <w:r w:rsidR="00345B2D" w:rsidRPr="00D40A40">
        <w:rPr>
          <w:rFonts w:ascii="Arial" w:eastAsia="Times New Roman" w:hAnsi="Arial" w:cs="Arial"/>
          <w:szCs w:val="20"/>
        </w:rPr>
        <w:t>care strongly about p</w:t>
      </w:r>
      <w:r w:rsidR="00460A0E" w:rsidRPr="00D40A40">
        <w:rPr>
          <w:rFonts w:ascii="Arial" w:eastAsia="Times New Roman" w:hAnsi="Arial" w:cs="Arial"/>
          <w:szCs w:val="20"/>
        </w:rPr>
        <w:t xml:space="preserve">ublic programs </w:t>
      </w:r>
      <w:r w:rsidR="00345B2D" w:rsidRPr="00D40A40">
        <w:rPr>
          <w:rFonts w:ascii="Arial" w:eastAsia="Times New Roman" w:hAnsi="Arial" w:cs="Arial"/>
          <w:szCs w:val="20"/>
        </w:rPr>
        <w:t>related to preferential financial conditions (rates or tenors) to</w:t>
      </w:r>
      <w:r w:rsidR="00460A0E" w:rsidRPr="00D40A40">
        <w:rPr>
          <w:rFonts w:ascii="Arial" w:eastAsia="Times New Roman" w:hAnsi="Arial" w:cs="Arial"/>
          <w:szCs w:val="20"/>
        </w:rPr>
        <w:t xml:space="preserve"> support SME financing</w:t>
      </w:r>
      <w:r w:rsidR="00345B2D" w:rsidRPr="00D40A40">
        <w:rPr>
          <w:rFonts w:ascii="Arial" w:eastAsia="Times New Roman" w:hAnsi="Arial" w:cs="Arial"/>
          <w:szCs w:val="20"/>
        </w:rPr>
        <w:t>. This is in line with the idea that they find the competition with public financing as the main obstacle for the development of this sector within their organizations</w:t>
      </w:r>
      <w:r w:rsidR="00460A0E" w:rsidRPr="00D40A40">
        <w:rPr>
          <w:rFonts w:ascii="Arial" w:eastAsia="Times New Roman" w:hAnsi="Arial" w:cs="Arial"/>
          <w:szCs w:val="20"/>
        </w:rPr>
        <w:t xml:space="preserve">. Still, </w:t>
      </w:r>
      <w:r w:rsidR="008279F3" w:rsidRPr="00D40A40">
        <w:rPr>
          <w:rFonts w:ascii="Arial" w:eastAsia="Times New Roman" w:hAnsi="Arial" w:cs="Arial"/>
          <w:szCs w:val="20"/>
        </w:rPr>
        <w:t>only 67</w:t>
      </w:r>
      <w:r w:rsidR="00460A0E" w:rsidRPr="00D40A40">
        <w:rPr>
          <w:rFonts w:ascii="Arial" w:eastAsia="Times New Roman" w:hAnsi="Arial" w:cs="Arial"/>
          <w:szCs w:val="20"/>
        </w:rPr>
        <w:t xml:space="preserve">% </w:t>
      </w:r>
      <w:r w:rsidR="00956B57" w:rsidRPr="00D40A40">
        <w:rPr>
          <w:rFonts w:ascii="Arial" w:eastAsia="Times New Roman" w:hAnsi="Arial" w:cs="Arial"/>
          <w:szCs w:val="20"/>
        </w:rPr>
        <w:t xml:space="preserve">believe </w:t>
      </w:r>
      <w:r w:rsidR="008279F3" w:rsidRPr="00D40A40">
        <w:rPr>
          <w:rFonts w:ascii="Arial" w:eastAsia="Times New Roman" w:hAnsi="Arial" w:cs="Arial"/>
          <w:szCs w:val="20"/>
        </w:rPr>
        <w:t>that</w:t>
      </w:r>
      <w:r w:rsidR="00956B57" w:rsidRPr="00D40A40">
        <w:rPr>
          <w:rFonts w:ascii="Arial" w:eastAsia="Times New Roman" w:hAnsi="Arial" w:cs="Arial"/>
          <w:szCs w:val="20"/>
        </w:rPr>
        <w:t xml:space="preserve"> FIs lending </w:t>
      </w:r>
      <w:r w:rsidR="008279F3" w:rsidRPr="00D40A40">
        <w:rPr>
          <w:rFonts w:ascii="Arial" w:eastAsia="Times New Roman" w:hAnsi="Arial" w:cs="Arial"/>
          <w:szCs w:val="20"/>
        </w:rPr>
        <w:t xml:space="preserve">to SMEs can be encouraged by </w:t>
      </w:r>
      <w:r w:rsidR="00956B57" w:rsidRPr="00D40A40">
        <w:rPr>
          <w:rFonts w:ascii="Arial" w:eastAsia="Times New Roman" w:hAnsi="Arial" w:cs="Arial"/>
          <w:szCs w:val="20"/>
        </w:rPr>
        <w:t>peers</w:t>
      </w:r>
      <w:r w:rsidR="008279F3" w:rsidRPr="00D40A40">
        <w:rPr>
          <w:rFonts w:ascii="Arial" w:eastAsia="Times New Roman" w:hAnsi="Arial" w:cs="Arial"/>
          <w:szCs w:val="20"/>
        </w:rPr>
        <w:t xml:space="preserve"> already working in the sector</w:t>
      </w:r>
      <w:r w:rsidR="00956B57" w:rsidRPr="00D40A40">
        <w:rPr>
          <w:rFonts w:ascii="Arial" w:eastAsia="Times New Roman" w:hAnsi="Arial" w:cs="Arial"/>
          <w:szCs w:val="20"/>
        </w:rPr>
        <w:t>.</w:t>
      </w:r>
    </w:p>
    <w:p w14:paraId="32256694" w14:textId="77777777" w:rsidR="00345B2D" w:rsidRPr="0011250D" w:rsidRDefault="008279F3" w:rsidP="00345B2D">
      <w:pPr>
        <w:spacing w:before="240" w:line="360" w:lineRule="auto"/>
        <w:jc w:val="both"/>
        <w:rPr>
          <w:rFonts w:ascii="Arial" w:eastAsia="Times New Roman" w:hAnsi="Arial" w:cs="Arial"/>
          <w:b/>
          <w:szCs w:val="20"/>
          <w:u w:val="single"/>
          <w:lang w:val="es-ES_tradnl"/>
        </w:rPr>
      </w:pPr>
      <w:r w:rsidRPr="0011250D">
        <w:rPr>
          <w:noProof/>
        </w:rPr>
        <w:lastRenderedPageBreak/>
        <w:drawing>
          <wp:inline distT="0" distB="0" distL="0" distR="0" wp14:anchorId="7B04A197" wp14:editId="7BB80BB2">
            <wp:extent cx="5872480" cy="2077107"/>
            <wp:effectExtent l="0" t="0" r="13970" b="18415"/>
            <wp:docPr id="10" name="Chart 10">
              <a:extLst xmlns:a="http://schemas.openxmlformats.org/drawingml/2006/main">
                <a:ext uri="{FF2B5EF4-FFF2-40B4-BE49-F238E27FC236}">
                  <a16:creationId xmlns:a16="http://schemas.microsoft.com/office/drawing/2014/main" id="{C0E55A4C-3603-4BAE-A89D-A17E0A6105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FDD0113" w14:textId="77777777" w:rsidR="00345B2D" w:rsidRPr="0011250D" w:rsidRDefault="00345B2D">
      <w:pPr>
        <w:rPr>
          <w:rFonts w:ascii="Arial" w:eastAsia="Times New Roman" w:hAnsi="Arial" w:cs="Arial"/>
          <w:b/>
          <w:szCs w:val="20"/>
          <w:u w:val="single"/>
          <w:lang w:val="es-ES_tradnl"/>
        </w:rPr>
      </w:pPr>
      <w:r w:rsidRPr="0011250D">
        <w:rPr>
          <w:rFonts w:ascii="Arial" w:eastAsia="Times New Roman" w:hAnsi="Arial" w:cs="Arial"/>
          <w:b/>
          <w:szCs w:val="20"/>
          <w:u w:val="single"/>
          <w:lang w:val="es-ES_tradnl"/>
        </w:rPr>
        <w:br w:type="page"/>
      </w:r>
    </w:p>
    <w:p w14:paraId="3C7F106B" w14:textId="77777777" w:rsidR="00345B2D" w:rsidRPr="00A40D7A" w:rsidRDefault="00345B2D" w:rsidP="00345B2D">
      <w:pPr>
        <w:spacing w:after="0" w:line="360" w:lineRule="auto"/>
        <w:jc w:val="center"/>
        <w:rPr>
          <w:rFonts w:ascii="Arial" w:eastAsia="Times New Roman" w:hAnsi="Arial" w:cs="Arial"/>
          <w:b/>
          <w:szCs w:val="20"/>
          <w:u w:val="single"/>
        </w:rPr>
      </w:pPr>
      <w:r w:rsidRPr="00A40D7A">
        <w:rPr>
          <w:rFonts w:ascii="Arial" w:eastAsia="Times New Roman" w:hAnsi="Arial" w:cs="Arial"/>
          <w:b/>
          <w:szCs w:val="20"/>
          <w:u w:val="single"/>
        </w:rPr>
        <w:lastRenderedPageBreak/>
        <w:t>Annex I</w:t>
      </w:r>
    </w:p>
    <w:p w14:paraId="71A59C87" w14:textId="77777777" w:rsidR="00345B2D" w:rsidRPr="00A40D7A" w:rsidRDefault="00345B2D" w:rsidP="00345B2D">
      <w:pPr>
        <w:spacing w:after="0" w:line="360" w:lineRule="auto"/>
        <w:jc w:val="center"/>
        <w:rPr>
          <w:rFonts w:ascii="Arial" w:eastAsia="Times New Roman" w:hAnsi="Arial" w:cs="Arial"/>
          <w:b/>
          <w:szCs w:val="20"/>
          <w:u w:val="single"/>
        </w:rPr>
      </w:pPr>
      <w:r w:rsidRPr="00A40D7A">
        <w:rPr>
          <w:rFonts w:ascii="Arial" w:eastAsia="Times New Roman" w:hAnsi="Arial" w:cs="Arial"/>
          <w:b/>
          <w:szCs w:val="20"/>
          <w:u w:val="single"/>
        </w:rPr>
        <w:t>List of participating financial institutions</w:t>
      </w:r>
    </w:p>
    <w:p w14:paraId="7972E811" w14:textId="77777777" w:rsidR="00345B2D" w:rsidRPr="00A40D7A" w:rsidRDefault="00345B2D" w:rsidP="00345B2D">
      <w:pPr>
        <w:spacing w:after="0" w:line="360" w:lineRule="auto"/>
        <w:rPr>
          <w:rFonts w:ascii="Arial" w:eastAsia="Times New Roman" w:hAnsi="Arial" w:cs="Arial"/>
          <w:b/>
          <w:szCs w:val="20"/>
          <w:u w:val="single"/>
        </w:rPr>
      </w:pPr>
    </w:p>
    <w:p w14:paraId="483DCC49"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Banco COMAFI</w:t>
      </w:r>
    </w:p>
    <w:p w14:paraId="05D2ECF5"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Banco Galicia</w:t>
      </w:r>
    </w:p>
    <w:p w14:paraId="07D91DB7"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Banco Patagonia</w:t>
      </w:r>
    </w:p>
    <w:p w14:paraId="2F55BD7D"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 xml:space="preserve">Banco </w:t>
      </w:r>
      <w:proofErr w:type="spellStart"/>
      <w:r w:rsidRPr="0011250D">
        <w:rPr>
          <w:rFonts w:ascii="Arial" w:hAnsi="Arial" w:cs="Arial"/>
          <w:sz w:val="20"/>
          <w:szCs w:val="20"/>
          <w:lang w:val="es-ES_tradnl"/>
        </w:rPr>
        <w:t>Supervielle</w:t>
      </w:r>
      <w:proofErr w:type="spellEnd"/>
    </w:p>
    <w:p w14:paraId="07532D3F"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BBVA – Banco Continental</w:t>
      </w:r>
    </w:p>
    <w:p w14:paraId="1CFB6C48"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HSBC</w:t>
      </w:r>
    </w:p>
    <w:p w14:paraId="7475C7F1" w14:textId="77777777" w:rsidR="00345B2D" w:rsidRPr="0011250D" w:rsidRDefault="00345B2D" w:rsidP="00345B2D">
      <w:pPr>
        <w:pStyle w:val="ListParagraph"/>
        <w:numPr>
          <w:ilvl w:val="0"/>
          <w:numId w:val="7"/>
        </w:numPr>
        <w:autoSpaceDE w:val="0"/>
        <w:autoSpaceDN w:val="0"/>
        <w:adjustRightInd w:val="0"/>
        <w:spacing w:after="0" w:line="360" w:lineRule="auto"/>
        <w:jc w:val="both"/>
        <w:rPr>
          <w:rFonts w:ascii="Arial" w:hAnsi="Arial" w:cs="Arial"/>
          <w:sz w:val="20"/>
          <w:szCs w:val="20"/>
          <w:lang w:val="es-ES_tradnl"/>
        </w:rPr>
      </w:pPr>
      <w:r w:rsidRPr="0011250D">
        <w:rPr>
          <w:rFonts w:ascii="Arial" w:hAnsi="Arial" w:cs="Arial"/>
          <w:sz w:val="20"/>
          <w:szCs w:val="20"/>
          <w:lang w:val="es-ES_tradnl"/>
        </w:rPr>
        <w:t>ICBC</w:t>
      </w:r>
    </w:p>
    <w:p w14:paraId="658454D2" w14:textId="77777777" w:rsidR="001C7A81" w:rsidRPr="0011250D" w:rsidRDefault="001C7A81" w:rsidP="00345B2D">
      <w:pPr>
        <w:spacing w:before="240" w:line="360" w:lineRule="auto"/>
        <w:jc w:val="both"/>
        <w:rPr>
          <w:rFonts w:ascii="Arial" w:eastAsia="Times New Roman" w:hAnsi="Arial" w:cs="Arial"/>
          <w:szCs w:val="20"/>
          <w:lang w:val="es-ES_tradnl"/>
        </w:rPr>
      </w:pPr>
      <w:r w:rsidRPr="0011250D">
        <w:rPr>
          <w:rFonts w:ascii="Arial" w:eastAsia="Times New Roman" w:hAnsi="Arial" w:cs="Arial"/>
          <w:b/>
          <w:szCs w:val="20"/>
          <w:u w:val="single"/>
          <w:lang w:val="es-ES_tradnl"/>
        </w:rPr>
        <w:br w:type="page"/>
      </w:r>
    </w:p>
    <w:p w14:paraId="20B6E843" w14:textId="77777777" w:rsidR="001C7A81" w:rsidRPr="0011250D" w:rsidRDefault="001C7A81" w:rsidP="007C2342">
      <w:pPr>
        <w:spacing w:after="0" w:line="360" w:lineRule="auto"/>
        <w:jc w:val="center"/>
        <w:rPr>
          <w:rFonts w:ascii="Arial" w:eastAsia="Times New Roman" w:hAnsi="Arial" w:cs="Arial"/>
          <w:b/>
          <w:szCs w:val="20"/>
          <w:u w:val="single"/>
          <w:lang w:val="es-ES_tradnl"/>
        </w:rPr>
      </w:pPr>
      <w:proofErr w:type="spellStart"/>
      <w:r w:rsidRPr="0011250D">
        <w:rPr>
          <w:rFonts w:ascii="Arial" w:eastAsia="Times New Roman" w:hAnsi="Arial" w:cs="Arial"/>
          <w:b/>
          <w:szCs w:val="20"/>
          <w:u w:val="single"/>
          <w:lang w:val="es-ES_tradnl"/>
        </w:rPr>
        <w:lastRenderedPageBreak/>
        <w:t>An</w:t>
      </w:r>
      <w:r w:rsidR="007C2342" w:rsidRPr="0011250D">
        <w:rPr>
          <w:rFonts w:ascii="Arial" w:eastAsia="Times New Roman" w:hAnsi="Arial" w:cs="Arial"/>
          <w:b/>
          <w:szCs w:val="20"/>
          <w:u w:val="single"/>
          <w:lang w:val="es-ES_tradnl"/>
        </w:rPr>
        <w:t>n</w:t>
      </w:r>
      <w:r w:rsidRPr="0011250D">
        <w:rPr>
          <w:rFonts w:ascii="Arial" w:eastAsia="Times New Roman" w:hAnsi="Arial" w:cs="Arial"/>
          <w:b/>
          <w:szCs w:val="20"/>
          <w:u w:val="single"/>
          <w:lang w:val="es-ES_tradnl"/>
        </w:rPr>
        <w:t>ex</w:t>
      </w:r>
      <w:proofErr w:type="spellEnd"/>
      <w:r w:rsidRPr="0011250D">
        <w:rPr>
          <w:rFonts w:ascii="Arial" w:eastAsia="Times New Roman" w:hAnsi="Arial" w:cs="Arial"/>
          <w:b/>
          <w:szCs w:val="20"/>
          <w:u w:val="single"/>
          <w:lang w:val="es-ES_tradnl"/>
        </w:rPr>
        <w:t xml:space="preserve"> I</w:t>
      </w:r>
      <w:r w:rsidR="00345B2D" w:rsidRPr="0011250D">
        <w:rPr>
          <w:rFonts w:ascii="Arial" w:eastAsia="Times New Roman" w:hAnsi="Arial" w:cs="Arial"/>
          <w:b/>
          <w:szCs w:val="20"/>
          <w:u w:val="single"/>
          <w:lang w:val="es-ES_tradnl"/>
        </w:rPr>
        <w:t>I</w:t>
      </w:r>
    </w:p>
    <w:p w14:paraId="23F9225E" w14:textId="77777777" w:rsidR="001C7A81" w:rsidRPr="0011250D" w:rsidRDefault="007C2342" w:rsidP="007C2342">
      <w:pPr>
        <w:spacing w:after="0" w:line="360" w:lineRule="auto"/>
        <w:jc w:val="center"/>
        <w:rPr>
          <w:rFonts w:ascii="Arial" w:eastAsia="Times New Roman" w:hAnsi="Arial" w:cs="Arial"/>
          <w:b/>
          <w:szCs w:val="20"/>
          <w:u w:val="single"/>
          <w:lang w:val="es-ES_tradnl"/>
        </w:rPr>
      </w:pPr>
      <w:proofErr w:type="spellStart"/>
      <w:r w:rsidRPr="0011250D">
        <w:rPr>
          <w:rFonts w:ascii="Arial" w:eastAsia="Times New Roman" w:hAnsi="Arial" w:cs="Arial"/>
          <w:b/>
          <w:szCs w:val="20"/>
          <w:u w:val="single"/>
          <w:lang w:val="es-ES_tradnl"/>
        </w:rPr>
        <w:t>Question</w:t>
      </w:r>
      <w:r w:rsidR="00E716E9" w:rsidRPr="0011250D">
        <w:rPr>
          <w:rFonts w:ascii="Arial" w:eastAsia="Times New Roman" w:hAnsi="Arial" w:cs="Arial"/>
          <w:b/>
          <w:szCs w:val="20"/>
          <w:u w:val="single"/>
          <w:lang w:val="es-ES_tradnl"/>
        </w:rPr>
        <w:t>n</w:t>
      </w:r>
      <w:r w:rsidRPr="0011250D">
        <w:rPr>
          <w:rFonts w:ascii="Arial" w:eastAsia="Times New Roman" w:hAnsi="Arial" w:cs="Arial"/>
          <w:b/>
          <w:szCs w:val="20"/>
          <w:u w:val="single"/>
          <w:lang w:val="es-ES_tradnl"/>
        </w:rPr>
        <w:t>a</w:t>
      </w:r>
      <w:r w:rsidR="00E716E9" w:rsidRPr="0011250D">
        <w:rPr>
          <w:rFonts w:ascii="Arial" w:eastAsia="Times New Roman" w:hAnsi="Arial" w:cs="Arial"/>
          <w:b/>
          <w:szCs w:val="20"/>
          <w:u w:val="single"/>
          <w:lang w:val="es-ES_tradnl"/>
        </w:rPr>
        <w:t>ire</w:t>
      </w:r>
      <w:proofErr w:type="spellEnd"/>
      <w:r w:rsidRPr="0011250D">
        <w:rPr>
          <w:rFonts w:ascii="Arial" w:eastAsia="Times New Roman" w:hAnsi="Arial" w:cs="Arial"/>
          <w:b/>
          <w:szCs w:val="20"/>
          <w:u w:val="single"/>
          <w:lang w:val="es-ES_tradnl"/>
        </w:rPr>
        <w:t xml:space="preserve"> </w:t>
      </w:r>
      <w:proofErr w:type="spellStart"/>
      <w:r w:rsidRPr="0011250D">
        <w:rPr>
          <w:rFonts w:ascii="Arial" w:eastAsia="Times New Roman" w:hAnsi="Arial" w:cs="Arial"/>
          <w:b/>
          <w:szCs w:val="20"/>
          <w:u w:val="single"/>
          <w:lang w:val="es-ES_tradnl"/>
        </w:rPr>
        <w:t>model</w:t>
      </w:r>
      <w:proofErr w:type="spellEnd"/>
    </w:p>
    <w:p w14:paraId="27A82354" w14:textId="77777777" w:rsidR="001C7A81" w:rsidRPr="0011250D" w:rsidRDefault="001C7A81" w:rsidP="001C7A81">
      <w:pPr>
        <w:spacing w:after="0" w:line="360" w:lineRule="auto"/>
        <w:jc w:val="both"/>
        <w:rPr>
          <w:rFonts w:ascii="Arial" w:eastAsia="Times New Roman" w:hAnsi="Arial" w:cs="Arial"/>
          <w:sz w:val="20"/>
          <w:szCs w:val="20"/>
          <w:lang w:val="es-ES_tradnl"/>
        </w:rPr>
      </w:pPr>
    </w:p>
    <w:p w14:paraId="78600350" w14:textId="77777777" w:rsidR="00116EA2" w:rsidRPr="0011250D" w:rsidRDefault="00A37F63" w:rsidP="001C7A81">
      <w:pPr>
        <w:spacing w:after="0" w:line="360" w:lineRule="auto"/>
        <w:jc w:val="both"/>
        <w:rPr>
          <w:rFonts w:ascii="Arial" w:eastAsia="Times New Roman" w:hAnsi="Arial" w:cs="Arial"/>
          <w:i/>
          <w:vanish/>
          <w:sz w:val="20"/>
          <w:szCs w:val="20"/>
          <w:lang w:val="es-ES_tradnl"/>
        </w:rPr>
      </w:pPr>
      <w:r w:rsidRPr="0011250D">
        <w:rPr>
          <w:rFonts w:ascii="Arial" w:eastAsia="Times New Roman" w:hAnsi="Arial" w:cs="Arial"/>
          <w:i/>
          <w:color w:val="555555"/>
          <w:sz w:val="20"/>
          <w:szCs w:val="20"/>
          <w:lang w:val="es-ES_tradnl"/>
        </w:rPr>
        <w:t xml:space="preserve">Como parte de la red de intermediarios financieros de </w:t>
      </w:r>
      <w:r w:rsidR="00642C0D" w:rsidRPr="0011250D">
        <w:rPr>
          <w:rFonts w:ascii="Arial" w:eastAsia="Times New Roman" w:hAnsi="Arial" w:cs="Arial"/>
          <w:i/>
          <w:color w:val="555555"/>
          <w:sz w:val="20"/>
          <w:szCs w:val="20"/>
          <w:lang w:val="es-ES_tradnl"/>
        </w:rPr>
        <w:t>BICE</w:t>
      </w:r>
      <w:r w:rsidRPr="0011250D">
        <w:rPr>
          <w:rFonts w:ascii="Arial" w:eastAsia="Times New Roman" w:hAnsi="Arial" w:cs="Arial"/>
          <w:i/>
          <w:color w:val="555555"/>
          <w:sz w:val="20"/>
          <w:szCs w:val="20"/>
          <w:lang w:val="es-ES_tradnl"/>
        </w:rPr>
        <w:t>, le pedimos nos asista en generar una línea de base de información, especifica a</w:t>
      </w:r>
      <w:r w:rsidR="00642C0D" w:rsidRPr="0011250D">
        <w:rPr>
          <w:rFonts w:ascii="Arial" w:eastAsia="Times New Roman" w:hAnsi="Arial" w:cs="Arial"/>
          <w:i/>
          <w:color w:val="555555"/>
          <w:sz w:val="20"/>
          <w:szCs w:val="20"/>
          <w:lang w:val="es-ES_tradnl"/>
        </w:rPr>
        <w:t xml:space="preserve"> la </w:t>
      </w:r>
      <w:r w:rsidR="0011250D" w:rsidRPr="0011250D">
        <w:rPr>
          <w:rFonts w:ascii="Arial" w:eastAsia="Times New Roman" w:hAnsi="Arial" w:cs="Arial"/>
          <w:i/>
          <w:color w:val="555555"/>
          <w:sz w:val="20"/>
          <w:szCs w:val="20"/>
          <w:lang w:val="es-ES_tradnl"/>
        </w:rPr>
        <w:t>República</w:t>
      </w:r>
      <w:r w:rsidR="00642C0D" w:rsidRPr="0011250D">
        <w:rPr>
          <w:rFonts w:ascii="Arial" w:eastAsia="Times New Roman" w:hAnsi="Arial" w:cs="Arial"/>
          <w:i/>
          <w:color w:val="555555"/>
          <w:sz w:val="20"/>
          <w:szCs w:val="20"/>
          <w:lang w:val="es-ES_tradnl"/>
        </w:rPr>
        <w:t xml:space="preserve"> Argentina</w:t>
      </w:r>
      <w:r w:rsidRPr="0011250D">
        <w:rPr>
          <w:rFonts w:ascii="Arial" w:eastAsia="Times New Roman" w:hAnsi="Arial" w:cs="Arial"/>
          <w:i/>
          <w:color w:val="555555"/>
          <w:sz w:val="20"/>
          <w:szCs w:val="20"/>
          <w:lang w:val="es-ES_tradnl"/>
        </w:rPr>
        <w:t>, por medio de su atención a este cuestionario.</w:t>
      </w:r>
      <w:r w:rsidR="001C7A81" w:rsidRPr="0011250D">
        <w:rPr>
          <w:rStyle w:val="FootnoteReference"/>
          <w:rFonts w:ascii="Arial" w:eastAsia="Times New Roman" w:hAnsi="Arial" w:cs="Arial"/>
          <w:i/>
          <w:color w:val="555555"/>
          <w:sz w:val="20"/>
          <w:szCs w:val="20"/>
          <w:lang w:val="es-ES_tradnl"/>
        </w:rPr>
        <w:footnoteReference w:id="3"/>
      </w:r>
      <w:r w:rsidRPr="0011250D">
        <w:rPr>
          <w:rFonts w:ascii="Arial" w:eastAsia="Times New Roman" w:hAnsi="Arial" w:cs="Arial"/>
          <w:i/>
          <w:color w:val="555555"/>
          <w:sz w:val="20"/>
          <w:szCs w:val="20"/>
          <w:lang w:val="es-ES_tradnl"/>
        </w:rPr>
        <w:t xml:space="preserve"> </w:t>
      </w:r>
      <w:r w:rsidR="00116EA2" w:rsidRPr="0011250D">
        <w:rPr>
          <w:rFonts w:ascii="Arial" w:eastAsia="Times New Roman" w:hAnsi="Arial" w:cs="Arial"/>
          <w:i/>
          <w:vanish/>
          <w:sz w:val="20"/>
          <w:szCs w:val="20"/>
          <w:lang w:val="es-ES_tradnl"/>
        </w:rPr>
        <w:t xml:space="preserve">Top of </w:t>
      </w:r>
      <w:proofErr w:type="spellStart"/>
      <w:r w:rsidR="00116EA2" w:rsidRPr="0011250D">
        <w:rPr>
          <w:rFonts w:ascii="Arial" w:eastAsia="Times New Roman" w:hAnsi="Arial" w:cs="Arial"/>
          <w:i/>
          <w:vanish/>
          <w:sz w:val="20"/>
          <w:szCs w:val="20"/>
          <w:lang w:val="es-ES_tradnl"/>
        </w:rPr>
        <w:t>Form</w:t>
      </w:r>
      <w:proofErr w:type="spellEnd"/>
    </w:p>
    <w:p w14:paraId="166BFDF0" w14:textId="77777777" w:rsidR="00116EA2" w:rsidRPr="0011250D" w:rsidRDefault="00116EA2" w:rsidP="001C7A81">
      <w:pPr>
        <w:spacing w:after="0" w:line="360" w:lineRule="auto"/>
        <w:jc w:val="both"/>
        <w:rPr>
          <w:rFonts w:ascii="Arial" w:eastAsia="Times New Roman" w:hAnsi="Arial" w:cs="Arial"/>
          <w:i/>
          <w:vanish/>
          <w:color w:val="555555"/>
          <w:sz w:val="20"/>
          <w:szCs w:val="20"/>
          <w:lang w:val="es-ES_tradnl"/>
        </w:rPr>
      </w:pPr>
      <w:r w:rsidRPr="0011250D">
        <w:rPr>
          <w:rFonts w:ascii="Arial" w:eastAsia="Times New Roman" w:hAnsi="Arial" w:cs="Arial"/>
          <w:i/>
          <w:vanish/>
          <w:color w:val="555555"/>
          <w:sz w:val="20"/>
          <w:szCs w:val="20"/>
          <w:lang w:val="es-ES_tradnl"/>
        </w:rPr>
        <w:object w:dxaOrig="1440" w:dyaOrig="1440" w14:anchorId="5EA5B6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in;height:18pt" o:ole="">
            <v:imagedata r:id="rId18" o:title=""/>
          </v:shape>
          <w:control r:id="rId19" w:name="DefaultOcxName" w:shapeid="_x0000_i1036"/>
        </w:object>
      </w:r>
      <w:r w:rsidRPr="0011250D">
        <w:rPr>
          <w:rFonts w:ascii="Arial" w:eastAsia="Times New Roman" w:hAnsi="Arial" w:cs="Arial"/>
          <w:i/>
          <w:vanish/>
          <w:color w:val="555555"/>
          <w:sz w:val="20"/>
          <w:szCs w:val="20"/>
          <w:lang w:val="es-ES_tradnl"/>
        </w:rPr>
        <w:object w:dxaOrig="1440" w:dyaOrig="1440" w14:anchorId="1668A242">
          <v:shape id="_x0000_i1039" type="#_x0000_t75" style="width:1in;height:18pt" o:ole="">
            <v:imagedata r:id="rId20" o:title=""/>
          </v:shape>
          <w:control r:id="rId21" w:name="DefaultOcxName1" w:shapeid="_x0000_i1039"/>
        </w:object>
      </w:r>
      <w:r w:rsidRPr="0011250D">
        <w:rPr>
          <w:rFonts w:ascii="Arial" w:eastAsia="Times New Roman" w:hAnsi="Arial" w:cs="Arial"/>
          <w:i/>
          <w:vanish/>
          <w:color w:val="555555"/>
          <w:sz w:val="20"/>
          <w:szCs w:val="20"/>
          <w:lang w:val="es-ES_tradnl"/>
        </w:rPr>
        <w:object w:dxaOrig="1440" w:dyaOrig="1440" w14:anchorId="47257BDE">
          <v:shape id="_x0000_i1042" type="#_x0000_t75" style="width:1in;height:18pt" o:ole="">
            <v:imagedata r:id="rId22" o:title=""/>
          </v:shape>
          <w:control r:id="rId23" w:name="DefaultOcxName2" w:shapeid="_x0000_i1042"/>
        </w:object>
      </w:r>
      <w:r w:rsidRPr="0011250D">
        <w:rPr>
          <w:rFonts w:ascii="Arial" w:eastAsia="Times New Roman" w:hAnsi="Arial" w:cs="Arial"/>
          <w:i/>
          <w:vanish/>
          <w:color w:val="555555"/>
          <w:sz w:val="20"/>
          <w:szCs w:val="20"/>
          <w:lang w:val="es-ES_tradnl"/>
        </w:rPr>
        <w:object w:dxaOrig="1440" w:dyaOrig="1440" w14:anchorId="040DCED7">
          <v:shape id="_x0000_i1045" type="#_x0000_t75" style="width:1in;height:18pt" o:ole="">
            <v:imagedata r:id="rId24" o:title=""/>
          </v:shape>
          <w:control r:id="rId25" w:name="DefaultOcxName3" w:shapeid="_x0000_i1045"/>
        </w:object>
      </w:r>
      <w:r w:rsidRPr="0011250D">
        <w:rPr>
          <w:rFonts w:ascii="Arial" w:eastAsia="Times New Roman" w:hAnsi="Arial" w:cs="Arial"/>
          <w:i/>
          <w:vanish/>
          <w:color w:val="555555"/>
          <w:sz w:val="20"/>
          <w:szCs w:val="20"/>
          <w:lang w:val="es-ES_tradnl"/>
        </w:rPr>
        <w:object w:dxaOrig="1440" w:dyaOrig="1440" w14:anchorId="20C4C3C2">
          <v:shape id="_x0000_i1048" type="#_x0000_t75" style="width:1in;height:18pt" o:ole="">
            <v:imagedata r:id="rId26" o:title=""/>
          </v:shape>
          <w:control r:id="rId27" w:name="DefaultOcxName4" w:shapeid="_x0000_i1048"/>
        </w:object>
      </w:r>
    </w:p>
    <w:p w14:paraId="47F9ACFD" w14:textId="77777777" w:rsidR="00273927" w:rsidRPr="0011250D" w:rsidRDefault="00A37F63" w:rsidP="001C7A81">
      <w:pPr>
        <w:spacing w:after="240" w:line="360" w:lineRule="auto"/>
        <w:jc w:val="both"/>
        <w:rPr>
          <w:rFonts w:ascii="Arial" w:eastAsia="Times New Roman" w:hAnsi="Arial" w:cs="Arial"/>
          <w:i/>
          <w:iCs/>
          <w:color w:val="555555"/>
          <w:sz w:val="20"/>
          <w:szCs w:val="20"/>
          <w:lang w:val="es-ES_tradnl"/>
        </w:rPr>
      </w:pPr>
      <w:r w:rsidRPr="0011250D">
        <w:rPr>
          <w:rFonts w:ascii="Arial" w:eastAsia="Times New Roman" w:hAnsi="Arial" w:cs="Arial"/>
          <w:i/>
          <w:iCs/>
          <w:color w:val="555555"/>
          <w:sz w:val="20"/>
          <w:szCs w:val="20"/>
          <w:lang w:val="es-ES_tradnl"/>
        </w:rPr>
        <w:t xml:space="preserve">Le agradeceremos nos </w:t>
      </w:r>
      <w:r w:rsidR="00655CC6" w:rsidRPr="0011250D">
        <w:rPr>
          <w:rFonts w:ascii="Arial" w:eastAsia="Times New Roman" w:hAnsi="Arial" w:cs="Arial"/>
          <w:i/>
          <w:iCs/>
          <w:color w:val="555555"/>
          <w:sz w:val="20"/>
          <w:szCs w:val="20"/>
          <w:lang w:val="es-ES_tradnl"/>
        </w:rPr>
        <w:t>envíe</w:t>
      </w:r>
      <w:r w:rsidRPr="0011250D">
        <w:rPr>
          <w:rFonts w:ascii="Arial" w:eastAsia="Times New Roman" w:hAnsi="Arial" w:cs="Arial"/>
          <w:i/>
          <w:iCs/>
          <w:color w:val="555555"/>
          <w:sz w:val="20"/>
          <w:szCs w:val="20"/>
          <w:lang w:val="es-ES_tradnl"/>
        </w:rPr>
        <w:t xml:space="preserve"> el cuestionario completo ant</w:t>
      </w:r>
      <w:r w:rsidR="00B157F6" w:rsidRPr="0011250D">
        <w:rPr>
          <w:rFonts w:ascii="Arial" w:eastAsia="Times New Roman" w:hAnsi="Arial" w:cs="Arial"/>
          <w:i/>
          <w:iCs/>
          <w:color w:val="555555"/>
          <w:sz w:val="20"/>
          <w:szCs w:val="20"/>
          <w:lang w:val="es-ES_tradnl"/>
        </w:rPr>
        <w:t xml:space="preserve">es del </w:t>
      </w:r>
      <w:r w:rsidR="00642C0D" w:rsidRPr="0011250D">
        <w:rPr>
          <w:rFonts w:ascii="Arial" w:eastAsia="Times New Roman" w:hAnsi="Arial" w:cs="Arial"/>
          <w:i/>
          <w:iCs/>
          <w:color w:val="555555"/>
          <w:sz w:val="20"/>
          <w:szCs w:val="20"/>
          <w:lang w:val="es-ES_tradnl"/>
        </w:rPr>
        <w:t>15</w:t>
      </w:r>
      <w:r w:rsidR="00B157F6" w:rsidRPr="0011250D">
        <w:rPr>
          <w:rFonts w:ascii="Arial" w:eastAsia="Times New Roman" w:hAnsi="Arial" w:cs="Arial"/>
          <w:i/>
          <w:iCs/>
          <w:color w:val="555555"/>
          <w:sz w:val="20"/>
          <w:szCs w:val="20"/>
          <w:lang w:val="es-ES_tradnl"/>
        </w:rPr>
        <w:t xml:space="preserve"> de </w:t>
      </w:r>
      <w:r w:rsidR="00642C0D" w:rsidRPr="0011250D">
        <w:rPr>
          <w:rFonts w:ascii="Arial" w:eastAsia="Times New Roman" w:hAnsi="Arial" w:cs="Arial"/>
          <w:i/>
          <w:iCs/>
          <w:color w:val="555555"/>
          <w:sz w:val="20"/>
          <w:szCs w:val="20"/>
          <w:lang w:val="es-ES_tradnl"/>
        </w:rPr>
        <w:t>febrero</w:t>
      </w:r>
      <w:r w:rsidR="00B157F6" w:rsidRPr="0011250D">
        <w:rPr>
          <w:rFonts w:ascii="Arial" w:eastAsia="Times New Roman" w:hAnsi="Arial" w:cs="Arial"/>
          <w:i/>
          <w:iCs/>
          <w:color w:val="555555"/>
          <w:sz w:val="20"/>
          <w:szCs w:val="20"/>
          <w:lang w:val="es-ES_tradnl"/>
        </w:rPr>
        <w:t xml:space="preserve"> de 201</w:t>
      </w:r>
      <w:r w:rsidR="00642C0D" w:rsidRPr="0011250D">
        <w:rPr>
          <w:rFonts w:ascii="Arial" w:eastAsia="Times New Roman" w:hAnsi="Arial" w:cs="Arial"/>
          <w:i/>
          <w:iCs/>
          <w:color w:val="555555"/>
          <w:sz w:val="20"/>
          <w:szCs w:val="20"/>
          <w:lang w:val="es-ES_tradnl"/>
        </w:rPr>
        <w:t>8</w:t>
      </w:r>
      <w:r w:rsidR="00B157F6" w:rsidRPr="0011250D">
        <w:rPr>
          <w:rFonts w:ascii="Arial" w:eastAsia="Times New Roman" w:hAnsi="Arial" w:cs="Arial"/>
          <w:i/>
          <w:iCs/>
          <w:color w:val="555555"/>
          <w:sz w:val="20"/>
          <w:szCs w:val="20"/>
          <w:lang w:val="es-ES_tradnl"/>
        </w:rPr>
        <w:t>.</w:t>
      </w:r>
    </w:p>
    <w:p w14:paraId="506E46B8" w14:textId="77777777" w:rsidR="00655CC6" w:rsidRPr="0011250D" w:rsidRDefault="00655CC6" w:rsidP="001C7A81">
      <w:pPr>
        <w:spacing w:after="240" w:line="360" w:lineRule="auto"/>
        <w:jc w:val="both"/>
        <w:rPr>
          <w:rFonts w:ascii="Arial" w:eastAsia="Times New Roman" w:hAnsi="Arial" w:cs="Arial"/>
          <w:b/>
          <w:color w:val="555555"/>
          <w:sz w:val="20"/>
          <w:szCs w:val="20"/>
          <w:lang w:val="es-ES_tradnl"/>
        </w:rPr>
      </w:pPr>
      <w:r w:rsidRPr="0011250D">
        <w:rPr>
          <w:rFonts w:ascii="Arial" w:eastAsia="Times New Roman" w:hAnsi="Arial" w:cs="Arial"/>
          <w:b/>
          <w:color w:val="555555"/>
          <w:sz w:val="20"/>
          <w:szCs w:val="20"/>
          <w:lang w:val="es-ES_tradnl"/>
        </w:rPr>
        <w:t xml:space="preserve">CUESTIONARIO PARA CONOCIMIENTO DE FINANCIAMIENTO DE PYMES EN </w:t>
      </w:r>
      <w:r w:rsidR="00642C0D" w:rsidRPr="0011250D">
        <w:rPr>
          <w:rFonts w:ascii="Arial" w:eastAsia="Times New Roman" w:hAnsi="Arial" w:cs="Arial"/>
          <w:b/>
          <w:color w:val="555555"/>
          <w:sz w:val="20"/>
          <w:szCs w:val="20"/>
          <w:lang w:val="es-ES_tradnl"/>
        </w:rPr>
        <w:t>ARGENTINA</w:t>
      </w:r>
    </w:p>
    <w:p w14:paraId="319BCE65" w14:textId="77777777" w:rsidR="004B384E" w:rsidRPr="0011250D" w:rsidRDefault="004B384E"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¿Cuenta su institución con una unidad específicamente asignada para atender a PYMES?</w:t>
      </w:r>
    </w:p>
    <w:p w14:paraId="4149D275" w14:textId="77777777" w:rsidR="004B384E" w:rsidRPr="0011250D" w:rsidRDefault="0011250D"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Sí</w:t>
      </w:r>
      <w:r w:rsidR="00F70683" w:rsidRPr="0011250D">
        <w:rPr>
          <w:rFonts w:ascii="Arial" w:hAnsi="Arial" w:cs="Arial"/>
          <w:sz w:val="20"/>
          <w:szCs w:val="20"/>
          <w:lang w:val="es-ES_tradnl"/>
        </w:rPr>
        <w:t>____</w:t>
      </w:r>
      <w:r w:rsidR="00F70683" w:rsidRPr="0011250D">
        <w:rPr>
          <w:rFonts w:ascii="Arial" w:hAnsi="Arial" w:cs="Arial"/>
          <w:sz w:val="20"/>
          <w:szCs w:val="20"/>
          <w:lang w:val="es-ES_tradnl"/>
        </w:rPr>
        <w:tab/>
      </w:r>
      <w:r w:rsidR="00F70683" w:rsidRPr="0011250D">
        <w:rPr>
          <w:rFonts w:ascii="Arial" w:hAnsi="Arial" w:cs="Arial"/>
          <w:sz w:val="20"/>
          <w:szCs w:val="20"/>
          <w:lang w:val="es-ES_tradnl"/>
        </w:rPr>
        <w:tab/>
      </w:r>
      <w:r w:rsidR="004B384E" w:rsidRPr="0011250D">
        <w:rPr>
          <w:rFonts w:ascii="Arial" w:hAnsi="Arial" w:cs="Arial"/>
          <w:sz w:val="20"/>
          <w:szCs w:val="20"/>
          <w:lang w:val="es-ES_tradnl"/>
        </w:rPr>
        <w:t>No</w:t>
      </w:r>
      <w:r w:rsidR="00F70683" w:rsidRPr="0011250D">
        <w:rPr>
          <w:rFonts w:ascii="Arial" w:hAnsi="Arial" w:cs="Arial"/>
          <w:sz w:val="20"/>
          <w:szCs w:val="20"/>
          <w:lang w:val="es-ES_tradnl"/>
        </w:rPr>
        <w:t>_____</w:t>
      </w:r>
    </w:p>
    <w:p w14:paraId="481B9D35" w14:textId="77777777" w:rsidR="004B384E" w:rsidRPr="0011250D" w:rsidRDefault="004B384E"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666AD7C3" w14:textId="77777777" w:rsidR="00D23F64" w:rsidRPr="0011250D" w:rsidRDefault="00F70683"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¿Qué criterio utiliza su institución para definir Pequeña y Mediana empresa? Rellenar solo el o los criterios que apliquen.</w:t>
      </w:r>
    </w:p>
    <w:tbl>
      <w:tblPr>
        <w:tblStyle w:val="TableGrid"/>
        <w:tblW w:w="8635" w:type="dxa"/>
        <w:tblInd w:w="355" w:type="dxa"/>
        <w:tblLook w:val="04A0" w:firstRow="1" w:lastRow="0" w:firstColumn="1" w:lastColumn="0" w:noHBand="0" w:noVBand="1"/>
      </w:tblPr>
      <w:tblGrid>
        <w:gridCol w:w="3055"/>
        <w:gridCol w:w="2834"/>
        <w:gridCol w:w="2746"/>
      </w:tblGrid>
      <w:tr w:rsidR="00F70683" w:rsidRPr="0011250D" w14:paraId="4CAA5772" w14:textId="77777777" w:rsidTr="00655CC6">
        <w:tc>
          <w:tcPr>
            <w:tcW w:w="3055" w:type="dxa"/>
          </w:tcPr>
          <w:p w14:paraId="2BE4480E"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b/>
                <w:sz w:val="18"/>
                <w:szCs w:val="18"/>
                <w:lang w:val="es-ES_tradnl"/>
              </w:rPr>
            </w:pPr>
            <w:r w:rsidRPr="0011250D">
              <w:rPr>
                <w:rFonts w:ascii="Arial" w:hAnsi="Arial" w:cs="Arial"/>
                <w:b/>
                <w:sz w:val="18"/>
                <w:szCs w:val="18"/>
                <w:lang w:val="es-ES_tradnl"/>
              </w:rPr>
              <w:t>Tamaño en términos de…</w:t>
            </w:r>
          </w:p>
        </w:tc>
        <w:tc>
          <w:tcPr>
            <w:tcW w:w="2834" w:type="dxa"/>
          </w:tcPr>
          <w:p w14:paraId="6FAD105C"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b/>
                <w:sz w:val="18"/>
                <w:szCs w:val="18"/>
                <w:lang w:val="es-ES_tradnl"/>
              </w:rPr>
            </w:pPr>
            <w:r w:rsidRPr="0011250D">
              <w:rPr>
                <w:rFonts w:ascii="Arial" w:hAnsi="Arial" w:cs="Arial"/>
                <w:b/>
                <w:sz w:val="18"/>
                <w:szCs w:val="18"/>
                <w:lang w:val="es-ES_tradnl"/>
              </w:rPr>
              <w:t>Pequeña empresa</w:t>
            </w:r>
          </w:p>
        </w:tc>
        <w:tc>
          <w:tcPr>
            <w:tcW w:w="2746" w:type="dxa"/>
          </w:tcPr>
          <w:p w14:paraId="5D597A01"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b/>
                <w:sz w:val="18"/>
                <w:szCs w:val="18"/>
                <w:lang w:val="es-ES_tradnl"/>
              </w:rPr>
            </w:pPr>
            <w:r w:rsidRPr="0011250D">
              <w:rPr>
                <w:rFonts w:ascii="Arial" w:hAnsi="Arial" w:cs="Arial"/>
                <w:b/>
                <w:sz w:val="18"/>
                <w:szCs w:val="18"/>
                <w:lang w:val="es-ES_tradnl"/>
              </w:rPr>
              <w:t>Mediana empresa</w:t>
            </w:r>
          </w:p>
        </w:tc>
      </w:tr>
      <w:tr w:rsidR="00F70683" w:rsidRPr="0011250D" w14:paraId="4EEF3AFB" w14:textId="77777777" w:rsidTr="00655CC6">
        <w:tc>
          <w:tcPr>
            <w:tcW w:w="3055" w:type="dxa"/>
          </w:tcPr>
          <w:p w14:paraId="3DE99D83"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Ventas</w:t>
            </w:r>
          </w:p>
        </w:tc>
        <w:tc>
          <w:tcPr>
            <w:tcW w:w="2834" w:type="dxa"/>
          </w:tcPr>
          <w:p w14:paraId="464C700C"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Entre ______  y _______</w:t>
            </w:r>
            <w:r w:rsidR="00BA1818" w:rsidRPr="0011250D">
              <w:rPr>
                <w:rFonts w:ascii="Arial" w:hAnsi="Arial" w:cs="Arial"/>
                <w:sz w:val="18"/>
                <w:szCs w:val="18"/>
                <w:lang w:val="es-ES_tradnl"/>
              </w:rPr>
              <w:t xml:space="preserve"> </w:t>
            </w:r>
            <w:r w:rsidR="001209C1" w:rsidRPr="0011250D">
              <w:rPr>
                <w:rFonts w:ascii="Arial" w:hAnsi="Arial" w:cs="Arial"/>
                <w:sz w:val="18"/>
                <w:szCs w:val="18"/>
                <w:lang w:val="es-ES_tradnl"/>
              </w:rPr>
              <w:t>$$</w:t>
            </w:r>
          </w:p>
        </w:tc>
        <w:tc>
          <w:tcPr>
            <w:tcW w:w="2746" w:type="dxa"/>
          </w:tcPr>
          <w:p w14:paraId="7D7364CE"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Entre ______  y _______</w:t>
            </w:r>
            <w:r w:rsidR="00BA1818" w:rsidRPr="0011250D">
              <w:rPr>
                <w:rFonts w:ascii="Arial" w:hAnsi="Arial" w:cs="Arial"/>
                <w:sz w:val="18"/>
                <w:szCs w:val="18"/>
                <w:lang w:val="es-ES_tradnl"/>
              </w:rPr>
              <w:t xml:space="preserve"> </w:t>
            </w:r>
            <w:r w:rsidR="001209C1" w:rsidRPr="0011250D">
              <w:rPr>
                <w:rFonts w:ascii="Arial" w:hAnsi="Arial" w:cs="Arial"/>
                <w:sz w:val="18"/>
                <w:szCs w:val="18"/>
                <w:lang w:val="es-ES_tradnl"/>
              </w:rPr>
              <w:t>$$</w:t>
            </w:r>
          </w:p>
        </w:tc>
      </w:tr>
      <w:tr w:rsidR="00F70683" w:rsidRPr="0011250D" w14:paraId="674B7D2D" w14:textId="77777777" w:rsidTr="00655CC6">
        <w:tc>
          <w:tcPr>
            <w:tcW w:w="3055" w:type="dxa"/>
          </w:tcPr>
          <w:p w14:paraId="4AB68AAC"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Activos</w:t>
            </w:r>
          </w:p>
        </w:tc>
        <w:tc>
          <w:tcPr>
            <w:tcW w:w="2834" w:type="dxa"/>
          </w:tcPr>
          <w:p w14:paraId="57F2BA01"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Entre ______  y _______</w:t>
            </w:r>
            <w:r w:rsidR="00BA1818" w:rsidRPr="0011250D">
              <w:rPr>
                <w:rFonts w:ascii="Arial" w:hAnsi="Arial" w:cs="Arial"/>
                <w:sz w:val="18"/>
                <w:szCs w:val="18"/>
                <w:lang w:val="es-ES_tradnl"/>
              </w:rPr>
              <w:t xml:space="preserve"> </w:t>
            </w:r>
            <w:r w:rsidRPr="0011250D">
              <w:rPr>
                <w:rFonts w:ascii="Arial" w:hAnsi="Arial" w:cs="Arial"/>
                <w:sz w:val="18"/>
                <w:szCs w:val="18"/>
                <w:lang w:val="es-ES_tradnl"/>
              </w:rPr>
              <w:t>$$</w:t>
            </w:r>
          </w:p>
        </w:tc>
        <w:tc>
          <w:tcPr>
            <w:tcW w:w="2746" w:type="dxa"/>
          </w:tcPr>
          <w:p w14:paraId="15D6AA2F"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Entre ______  y _______</w:t>
            </w:r>
            <w:r w:rsidR="00BA1818" w:rsidRPr="0011250D">
              <w:rPr>
                <w:rFonts w:ascii="Arial" w:hAnsi="Arial" w:cs="Arial"/>
                <w:sz w:val="18"/>
                <w:szCs w:val="18"/>
                <w:lang w:val="es-ES_tradnl"/>
              </w:rPr>
              <w:t xml:space="preserve"> </w:t>
            </w:r>
            <w:r w:rsidRPr="0011250D">
              <w:rPr>
                <w:rFonts w:ascii="Arial" w:hAnsi="Arial" w:cs="Arial"/>
                <w:sz w:val="18"/>
                <w:szCs w:val="18"/>
                <w:lang w:val="es-ES_tradnl"/>
              </w:rPr>
              <w:t>$$</w:t>
            </w:r>
          </w:p>
        </w:tc>
      </w:tr>
      <w:tr w:rsidR="00F70683" w:rsidRPr="0011250D" w14:paraId="3B8B2148" w14:textId="77777777" w:rsidTr="00655CC6">
        <w:tc>
          <w:tcPr>
            <w:tcW w:w="3055" w:type="dxa"/>
          </w:tcPr>
          <w:p w14:paraId="560E18B7"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Número de empleados</w:t>
            </w:r>
          </w:p>
        </w:tc>
        <w:tc>
          <w:tcPr>
            <w:tcW w:w="2834" w:type="dxa"/>
          </w:tcPr>
          <w:p w14:paraId="75D6F780"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Entre ______  y _______</w:t>
            </w:r>
          </w:p>
        </w:tc>
        <w:tc>
          <w:tcPr>
            <w:tcW w:w="2746" w:type="dxa"/>
          </w:tcPr>
          <w:p w14:paraId="52E1CD3B"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Entre ______  y _______</w:t>
            </w:r>
          </w:p>
        </w:tc>
      </w:tr>
      <w:tr w:rsidR="00F70683" w:rsidRPr="0011250D" w14:paraId="1B4F0792" w14:textId="77777777" w:rsidTr="00655CC6">
        <w:trPr>
          <w:trHeight w:val="530"/>
        </w:trPr>
        <w:tc>
          <w:tcPr>
            <w:tcW w:w="3055" w:type="dxa"/>
          </w:tcPr>
          <w:p w14:paraId="6388A09E"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r w:rsidRPr="0011250D">
              <w:rPr>
                <w:rFonts w:ascii="Arial" w:hAnsi="Arial" w:cs="Arial"/>
                <w:sz w:val="18"/>
                <w:szCs w:val="18"/>
                <w:lang w:val="es-ES_tradnl"/>
              </w:rPr>
              <w:t>Otro criterio (especificar): ___________________________</w:t>
            </w:r>
          </w:p>
        </w:tc>
        <w:tc>
          <w:tcPr>
            <w:tcW w:w="2834" w:type="dxa"/>
          </w:tcPr>
          <w:p w14:paraId="0B86C8F5"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p>
        </w:tc>
        <w:tc>
          <w:tcPr>
            <w:tcW w:w="2746" w:type="dxa"/>
          </w:tcPr>
          <w:p w14:paraId="4CD826A3" w14:textId="77777777" w:rsidR="00F70683" w:rsidRPr="0011250D" w:rsidRDefault="00F70683" w:rsidP="001C7A81">
            <w:pPr>
              <w:pStyle w:val="ListParagraph"/>
              <w:autoSpaceDE w:val="0"/>
              <w:autoSpaceDN w:val="0"/>
              <w:adjustRightInd w:val="0"/>
              <w:spacing w:line="360" w:lineRule="auto"/>
              <w:ind w:left="0"/>
              <w:jc w:val="both"/>
              <w:rPr>
                <w:rFonts w:ascii="Arial" w:hAnsi="Arial" w:cs="Arial"/>
                <w:sz w:val="18"/>
                <w:szCs w:val="18"/>
                <w:lang w:val="es-ES_tradnl"/>
              </w:rPr>
            </w:pPr>
          </w:p>
        </w:tc>
      </w:tr>
    </w:tbl>
    <w:p w14:paraId="41E22309" w14:textId="77777777" w:rsidR="004B384E" w:rsidRPr="0011250D" w:rsidRDefault="004B384E" w:rsidP="001C7A81">
      <w:pPr>
        <w:pStyle w:val="ListParagraph"/>
        <w:autoSpaceDE w:val="0"/>
        <w:autoSpaceDN w:val="0"/>
        <w:adjustRightInd w:val="0"/>
        <w:spacing w:after="0" w:line="360" w:lineRule="auto"/>
        <w:jc w:val="both"/>
        <w:rPr>
          <w:rFonts w:ascii="Arial" w:hAnsi="Arial" w:cs="Arial"/>
          <w:sz w:val="20"/>
          <w:szCs w:val="20"/>
          <w:lang w:val="es-ES_tradnl"/>
        </w:rPr>
      </w:pPr>
    </w:p>
    <w:p w14:paraId="1B66F68D" w14:textId="77777777" w:rsidR="004B384E" w:rsidRPr="0011250D" w:rsidRDefault="00215847"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¿Qué servicios brinda su institución a PYMES?</w:t>
      </w:r>
    </w:p>
    <w:p w14:paraId="580D3060" w14:textId="77777777" w:rsidR="00F70683" w:rsidRPr="0011250D" w:rsidRDefault="00E57C57"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Depósitos</w:t>
      </w:r>
      <w:r w:rsidR="00215847" w:rsidRPr="0011250D">
        <w:rPr>
          <w:rFonts w:ascii="Arial" w:hAnsi="Arial" w:cs="Arial"/>
          <w:sz w:val="20"/>
          <w:szCs w:val="20"/>
          <w:lang w:val="es-ES_tradnl"/>
        </w:rPr>
        <w:t xml:space="preserve"> y </w:t>
      </w:r>
      <w:r w:rsidR="00F70683" w:rsidRPr="0011250D">
        <w:rPr>
          <w:rFonts w:ascii="Arial" w:hAnsi="Arial" w:cs="Arial"/>
          <w:sz w:val="20"/>
          <w:szCs w:val="20"/>
          <w:lang w:val="es-ES_tradnl"/>
        </w:rPr>
        <w:t>manejo de efectivo</w:t>
      </w:r>
      <w:r w:rsidR="00655CC6" w:rsidRPr="0011250D">
        <w:rPr>
          <w:rFonts w:ascii="Arial" w:hAnsi="Arial" w:cs="Arial"/>
          <w:sz w:val="20"/>
          <w:szCs w:val="20"/>
          <w:lang w:val="es-ES_tradnl"/>
        </w:rPr>
        <w:tab/>
      </w:r>
      <w:r w:rsidR="00BA1818" w:rsidRPr="0011250D">
        <w:rPr>
          <w:rFonts w:ascii="Arial" w:hAnsi="Arial" w:cs="Arial"/>
          <w:sz w:val="20"/>
          <w:szCs w:val="20"/>
          <w:lang w:val="es-ES_tradnl"/>
        </w:rPr>
        <w:t>______</w:t>
      </w:r>
    </w:p>
    <w:p w14:paraId="0D05B2B6" w14:textId="77777777" w:rsidR="00BA1818" w:rsidRPr="0011250D" w:rsidRDefault="00F70683"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Prestamos</w:t>
      </w:r>
      <w:r w:rsidR="00655CC6" w:rsidRPr="0011250D">
        <w:rPr>
          <w:rFonts w:ascii="Arial" w:hAnsi="Arial" w:cs="Arial"/>
          <w:sz w:val="20"/>
          <w:szCs w:val="20"/>
          <w:lang w:val="es-ES_tradnl"/>
        </w:rPr>
        <w:tab/>
      </w:r>
      <w:r w:rsidR="00655CC6" w:rsidRPr="0011250D">
        <w:rPr>
          <w:rFonts w:ascii="Arial" w:hAnsi="Arial" w:cs="Arial"/>
          <w:sz w:val="20"/>
          <w:szCs w:val="20"/>
          <w:lang w:val="es-ES_tradnl"/>
        </w:rPr>
        <w:tab/>
      </w:r>
      <w:r w:rsidR="00655CC6" w:rsidRPr="0011250D">
        <w:rPr>
          <w:rFonts w:ascii="Arial" w:hAnsi="Arial" w:cs="Arial"/>
          <w:sz w:val="20"/>
          <w:szCs w:val="20"/>
          <w:lang w:val="es-ES_tradnl"/>
        </w:rPr>
        <w:tab/>
      </w:r>
      <w:r w:rsidR="00655CC6" w:rsidRPr="0011250D">
        <w:rPr>
          <w:rFonts w:ascii="Arial" w:hAnsi="Arial" w:cs="Arial"/>
          <w:sz w:val="20"/>
          <w:szCs w:val="20"/>
          <w:lang w:val="es-ES_tradnl"/>
        </w:rPr>
        <w:tab/>
        <w:t>_</w:t>
      </w:r>
      <w:r w:rsidR="00BA1818" w:rsidRPr="0011250D">
        <w:rPr>
          <w:rFonts w:ascii="Arial" w:hAnsi="Arial" w:cs="Arial"/>
          <w:sz w:val="20"/>
          <w:szCs w:val="20"/>
          <w:lang w:val="es-ES_tradnl"/>
        </w:rPr>
        <w:t>_____</w:t>
      </w:r>
    </w:p>
    <w:p w14:paraId="2EA5AFCF" w14:textId="77777777" w:rsidR="00655CC6" w:rsidRPr="0011250D" w:rsidRDefault="004B384E"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Otro</w:t>
      </w:r>
      <w:r w:rsidR="00215847" w:rsidRPr="0011250D">
        <w:rPr>
          <w:rFonts w:ascii="Arial" w:hAnsi="Arial" w:cs="Arial"/>
          <w:sz w:val="20"/>
          <w:szCs w:val="20"/>
          <w:lang w:val="es-ES_tradnl"/>
        </w:rPr>
        <w:t>s productos</w:t>
      </w:r>
      <w:r w:rsidRPr="0011250D">
        <w:rPr>
          <w:rFonts w:ascii="Arial" w:hAnsi="Arial" w:cs="Arial"/>
          <w:sz w:val="20"/>
          <w:szCs w:val="20"/>
          <w:lang w:val="es-ES_tradnl"/>
        </w:rPr>
        <w:t xml:space="preserve"> (especificar):</w:t>
      </w:r>
      <w:r w:rsidR="00655CC6" w:rsidRPr="0011250D">
        <w:rPr>
          <w:rFonts w:ascii="Arial" w:hAnsi="Arial" w:cs="Arial"/>
          <w:sz w:val="20"/>
          <w:szCs w:val="20"/>
          <w:lang w:val="es-ES_tradnl"/>
        </w:rPr>
        <w:tab/>
        <w:t>______</w:t>
      </w:r>
    </w:p>
    <w:p w14:paraId="25565AD0" w14:textId="77777777" w:rsidR="004B384E" w:rsidRPr="0011250D" w:rsidRDefault="004B384E"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____________________________</w:t>
      </w:r>
      <w:r w:rsidR="00655CC6" w:rsidRPr="0011250D">
        <w:rPr>
          <w:rFonts w:ascii="Arial" w:hAnsi="Arial" w:cs="Arial"/>
          <w:sz w:val="20"/>
          <w:szCs w:val="20"/>
          <w:lang w:val="es-ES_tradnl"/>
        </w:rPr>
        <w:t>____________________________</w:t>
      </w:r>
    </w:p>
    <w:p w14:paraId="7CE6A364" w14:textId="77777777" w:rsidR="004B384E" w:rsidRPr="0011250D" w:rsidRDefault="004B384E"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37173E9F" w14:textId="77777777" w:rsidR="0072176E" w:rsidRPr="0011250D" w:rsidRDefault="00D71A66"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Con relación a los</w:t>
      </w:r>
      <w:r w:rsidR="0072176E" w:rsidRPr="0011250D">
        <w:rPr>
          <w:rFonts w:ascii="Arial" w:hAnsi="Arial" w:cs="Arial"/>
          <w:sz w:val="20"/>
          <w:szCs w:val="20"/>
          <w:lang w:val="es-ES_tradnl"/>
        </w:rPr>
        <w:t xml:space="preserve"> préstamo</w:t>
      </w:r>
      <w:r w:rsidRPr="0011250D">
        <w:rPr>
          <w:rFonts w:ascii="Arial" w:hAnsi="Arial" w:cs="Arial"/>
          <w:sz w:val="20"/>
          <w:szCs w:val="20"/>
          <w:lang w:val="es-ES_tradnl"/>
        </w:rPr>
        <w:t>s</w:t>
      </w:r>
      <w:r w:rsidR="0072176E" w:rsidRPr="0011250D">
        <w:rPr>
          <w:rFonts w:ascii="Arial" w:hAnsi="Arial" w:cs="Arial"/>
          <w:sz w:val="20"/>
          <w:szCs w:val="20"/>
          <w:lang w:val="es-ES_tradnl"/>
        </w:rPr>
        <w:t xml:space="preserve"> a PYMES, indique los términos y condiciones a los que su institución ofrece dichos productos</w:t>
      </w:r>
      <w:r w:rsidRPr="0011250D">
        <w:rPr>
          <w:rFonts w:ascii="Arial" w:hAnsi="Arial" w:cs="Arial"/>
          <w:sz w:val="20"/>
          <w:szCs w:val="20"/>
          <w:lang w:val="es-ES_tradnl"/>
        </w:rPr>
        <w:t xml:space="preserve"> (si no ofrece el producto, marque con una X la columna N/A)</w:t>
      </w:r>
    </w:p>
    <w:tbl>
      <w:tblPr>
        <w:tblStyle w:val="TableGrid"/>
        <w:tblW w:w="8502" w:type="dxa"/>
        <w:tblInd w:w="355" w:type="dxa"/>
        <w:tblLook w:val="04A0" w:firstRow="1" w:lastRow="0" w:firstColumn="1" w:lastColumn="0" w:noHBand="0" w:noVBand="1"/>
      </w:tblPr>
      <w:tblGrid>
        <w:gridCol w:w="3299"/>
        <w:gridCol w:w="1471"/>
        <w:gridCol w:w="1440"/>
        <w:gridCol w:w="1800"/>
        <w:gridCol w:w="492"/>
      </w:tblGrid>
      <w:tr w:rsidR="00D71A66" w:rsidRPr="0011250D" w14:paraId="7D02EA4A" w14:textId="77777777" w:rsidTr="00655CC6">
        <w:tc>
          <w:tcPr>
            <w:tcW w:w="3299" w:type="dxa"/>
          </w:tcPr>
          <w:p w14:paraId="11CA2704"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b/>
                <w:sz w:val="20"/>
                <w:szCs w:val="20"/>
                <w:lang w:val="es-ES_tradnl"/>
              </w:rPr>
            </w:pPr>
          </w:p>
        </w:tc>
        <w:tc>
          <w:tcPr>
            <w:tcW w:w="1471" w:type="dxa"/>
          </w:tcPr>
          <w:p w14:paraId="13478259"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Plazo promedio</w:t>
            </w:r>
          </w:p>
        </w:tc>
        <w:tc>
          <w:tcPr>
            <w:tcW w:w="1440" w:type="dxa"/>
          </w:tcPr>
          <w:p w14:paraId="39604528"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Tasa de interés promedio</w:t>
            </w:r>
          </w:p>
        </w:tc>
        <w:tc>
          <w:tcPr>
            <w:tcW w:w="1800" w:type="dxa"/>
          </w:tcPr>
          <w:p w14:paraId="3D49EB8B"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Monto promedio</w:t>
            </w:r>
          </w:p>
        </w:tc>
        <w:tc>
          <w:tcPr>
            <w:tcW w:w="492" w:type="dxa"/>
          </w:tcPr>
          <w:p w14:paraId="57DE0F6F"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N/A</w:t>
            </w:r>
          </w:p>
        </w:tc>
      </w:tr>
      <w:tr w:rsidR="00D71A66" w:rsidRPr="0011250D" w14:paraId="45E8E0E1" w14:textId="77777777" w:rsidTr="00655CC6">
        <w:tc>
          <w:tcPr>
            <w:tcW w:w="3299" w:type="dxa"/>
          </w:tcPr>
          <w:p w14:paraId="73E31855"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Préstamo de capital de trabajo – M.N.</w:t>
            </w:r>
          </w:p>
        </w:tc>
        <w:tc>
          <w:tcPr>
            <w:tcW w:w="1471" w:type="dxa"/>
          </w:tcPr>
          <w:p w14:paraId="6A297408"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 meses</w:t>
            </w:r>
          </w:p>
        </w:tc>
        <w:tc>
          <w:tcPr>
            <w:tcW w:w="1440" w:type="dxa"/>
          </w:tcPr>
          <w:p w14:paraId="53553A2F"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_______ %</w:t>
            </w:r>
          </w:p>
        </w:tc>
        <w:tc>
          <w:tcPr>
            <w:tcW w:w="1800" w:type="dxa"/>
          </w:tcPr>
          <w:p w14:paraId="07A610C4" w14:textId="77777777" w:rsidR="00D71A66" w:rsidRPr="0011250D" w:rsidRDefault="00642C0D"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ARS</w:t>
            </w:r>
            <w:r w:rsidR="008D68D4" w:rsidRPr="0011250D">
              <w:rPr>
                <w:rFonts w:ascii="Arial" w:hAnsi="Arial" w:cs="Arial"/>
                <w:sz w:val="18"/>
                <w:szCs w:val="20"/>
                <w:lang w:val="es-ES_tradnl"/>
              </w:rPr>
              <w:t xml:space="preserve"> </w:t>
            </w:r>
            <w:r w:rsidR="00D71A66" w:rsidRPr="0011250D">
              <w:rPr>
                <w:rFonts w:ascii="Arial" w:hAnsi="Arial" w:cs="Arial"/>
                <w:sz w:val="18"/>
                <w:szCs w:val="20"/>
                <w:lang w:val="es-ES_tradnl"/>
              </w:rPr>
              <w:t>___</w:t>
            </w:r>
            <w:r w:rsidR="00655CC6" w:rsidRPr="0011250D">
              <w:rPr>
                <w:rFonts w:ascii="Arial" w:hAnsi="Arial" w:cs="Arial"/>
                <w:sz w:val="18"/>
                <w:szCs w:val="20"/>
                <w:lang w:val="es-ES_tradnl"/>
              </w:rPr>
              <w:t>__</w:t>
            </w:r>
            <w:r w:rsidR="00D71A66" w:rsidRPr="0011250D">
              <w:rPr>
                <w:rFonts w:ascii="Arial" w:hAnsi="Arial" w:cs="Arial"/>
                <w:sz w:val="18"/>
                <w:szCs w:val="20"/>
                <w:lang w:val="es-ES_tradnl"/>
              </w:rPr>
              <w:t>_____</w:t>
            </w:r>
          </w:p>
        </w:tc>
        <w:tc>
          <w:tcPr>
            <w:tcW w:w="492" w:type="dxa"/>
          </w:tcPr>
          <w:p w14:paraId="08DDF411"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D71A66" w:rsidRPr="0011250D" w14:paraId="484C2DD7" w14:textId="77777777" w:rsidTr="00655CC6">
        <w:tc>
          <w:tcPr>
            <w:tcW w:w="3299" w:type="dxa"/>
          </w:tcPr>
          <w:p w14:paraId="1207F421"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Préstamo de capital de trabajo – M.E.</w:t>
            </w:r>
          </w:p>
        </w:tc>
        <w:tc>
          <w:tcPr>
            <w:tcW w:w="1471" w:type="dxa"/>
          </w:tcPr>
          <w:p w14:paraId="562D480A"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 meses</w:t>
            </w:r>
          </w:p>
        </w:tc>
        <w:tc>
          <w:tcPr>
            <w:tcW w:w="1440" w:type="dxa"/>
          </w:tcPr>
          <w:p w14:paraId="22318E5D"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_______ %</w:t>
            </w:r>
          </w:p>
        </w:tc>
        <w:tc>
          <w:tcPr>
            <w:tcW w:w="1800" w:type="dxa"/>
          </w:tcPr>
          <w:p w14:paraId="622F3A62" w14:textId="77777777" w:rsidR="00D71A66" w:rsidRPr="0011250D" w:rsidRDefault="008D68D4"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USD ____</w:t>
            </w:r>
            <w:r w:rsidR="00655CC6" w:rsidRPr="0011250D">
              <w:rPr>
                <w:rFonts w:ascii="Arial" w:hAnsi="Arial" w:cs="Arial"/>
                <w:sz w:val="18"/>
                <w:szCs w:val="20"/>
                <w:lang w:val="es-ES_tradnl"/>
              </w:rPr>
              <w:t>__</w:t>
            </w:r>
            <w:r w:rsidRPr="0011250D">
              <w:rPr>
                <w:rFonts w:ascii="Arial" w:hAnsi="Arial" w:cs="Arial"/>
                <w:sz w:val="18"/>
                <w:szCs w:val="20"/>
                <w:lang w:val="es-ES_tradnl"/>
              </w:rPr>
              <w:t>____</w:t>
            </w:r>
          </w:p>
        </w:tc>
        <w:tc>
          <w:tcPr>
            <w:tcW w:w="492" w:type="dxa"/>
          </w:tcPr>
          <w:p w14:paraId="48DFAF12"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D71A66" w:rsidRPr="0011250D" w14:paraId="78CAC69A" w14:textId="77777777" w:rsidTr="00655CC6">
        <w:tc>
          <w:tcPr>
            <w:tcW w:w="3299" w:type="dxa"/>
          </w:tcPr>
          <w:p w14:paraId="2D8764F4"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lastRenderedPageBreak/>
              <w:t>Préstamo de inversión – M.N.</w:t>
            </w:r>
          </w:p>
        </w:tc>
        <w:tc>
          <w:tcPr>
            <w:tcW w:w="1471" w:type="dxa"/>
          </w:tcPr>
          <w:p w14:paraId="3E38A1EF"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 meses</w:t>
            </w:r>
          </w:p>
        </w:tc>
        <w:tc>
          <w:tcPr>
            <w:tcW w:w="1440" w:type="dxa"/>
          </w:tcPr>
          <w:p w14:paraId="1DA917A2"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_______ %</w:t>
            </w:r>
          </w:p>
        </w:tc>
        <w:tc>
          <w:tcPr>
            <w:tcW w:w="1800" w:type="dxa"/>
          </w:tcPr>
          <w:p w14:paraId="7AFC521A" w14:textId="77777777" w:rsidR="00D71A66" w:rsidRPr="0011250D" w:rsidRDefault="00642C0D"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ARS</w:t>
            </w:r>
            <w:r w:rsidR="008D68D4" w:rsidRPr="0011250D">
              <w:rPr>
                <w:rFonts w:ascii="Arial" w:hAnsi="Arial" w:cs="Arial"/>
                <w:sz w:val="18"/>
                <w:szCs w:val="20"/>
                <w:lang w:val="es-ES_tradnl"/>
              </w:rPr>
              <w:t xml:space="preserve"> _____</w:t>
            </w:r>
            <w:r w:rsidR="00655CC6" w:rsidRPr="0011250D">
              <w:rPr>
                <w:rFonts w:ascii="Arial" w:hAnsi="Arial" w:cs="Arial"/>
                <w:sz w:val="18"/>
                <w:szCs w:val="20"/>
                <w:lang w:val="es-ES_tradnl"/>
              </w:rPr>
              <w:t>__</w:t>
            </w:r>
            <w:r w:rsidR="008D68D4" w:rsidRPr="0011250D">
              <w:rPr>
                <w:rFonts w:ascii="Arial" w:hAnsi="Arial" w:cs="Arial"/>
                <w:sz w:val="18"/>
                <w:szCs w:val="20"/>
                <w:lang w:val="es-ES_tradnl"/>
              </w:rPr>
              <w:t>___</w:t>
            </w:r>
          </w:p>
        </w:tc>
        <w:tc>
          <w:tcPr>
            <w:tcW w:w="492" w:type="dxa"/>
          </w:tcPr>
          <w:p w14:paraId="3CE6AEC0" w14:textId="77777777" w:rsidR="00D71A66" w:rsidRPr="0011250D" w:rsidRDefault="00D71A66"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8D68D4" w:rsidRPr="0011250D" w14:paraId="75AB23D6" w14:textId="77777777" w:rsidTr="00655CC6">
        <w:tc>
          <w:tcPr>
            <w:tcW w:w="3299" w:type="dxa"/>
          </w:tcPr>
          <w:p w14:paraId="1631ED65" w14:textId="77777777" w:rsidR="008D68D4" w:rsidRPr="0011250D" w:rsidRDefault="008D68D4"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Préstamo de inversión – M.E.</w:t>
            </w:r>
          </w:p>
        </w:tc>
        <w:tc>
          <w:tcPr>
            <w:tcW w:w="1471" w:type="dxa"/>
          </w:tcPr>
          <w:p w14:paraId="146D0174" w14:textId="77777777" w:rsidR="008D68D4" w:rsidRPr="0011250D" w:rsidRDefault="008D68D4"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 meses</w:t>
            </w:r>
          </w:p>
        </w:tc>
        <w:tc>
          <w:tcPr>
            <w:tcW w:w="1440" w:type="dxa"/>
          </w:tcPr>
          <w:p w14:paraId="34DD76BD" w14:textId="77777777" w:rsidR="008D68D4" w:rsidRPr="0011250D" w:rsidRDefault="008D68D4"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_______ %</w:t>
            </w:r>
          </w:p>
        </w:tc>
        <w:tc>
          <w:tcPr>
            <w:tcW w:w="1800" w:type="dxa"/>
          </w:tcPr>
          <w:p w14:paraId="2F2101F5" w14:textId="77777777" w:rsidR="008D68D4" w:rsidRPr="0011250D" w:rsidRDefault="008D68D4"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USD ______</w:t>
            </w:r>
            <w:r w:rsidR="00655CC6" w:rsidRPr="0011250D">
              <w:rPr>
                <w:rFonts w:ascii="Arial" w:hAnsi="Arial" w:cs="Arial"/>
                <w:sz w:val="18"/>
                <w:szCs w:val="20"/>
                <w:lang w:val="es-ES_tradnl"/>
              </w:rPr>
              <w:t>__</w:t>
            </w:r>
            <w:r w:rsidRPr="0011250D">
              <w:rPr>
                <w:rFonts w:ascii="Arial" w:hAnsi="Arial" w:cs="Arial"/>
                <w:sz w:val="18"/>
                <w:szCs w:val="20"/>
                <w:lang w:val="es-ES_tradnl"/>
              </w:rPr>
              <w:t>__</w:t>
            </w:r>
          </w:p>
        </w:tc>
        <w:tc>
          <w:tcPr>
            <w:tcW w:w="492" w:type="dxa"/>
          </w:tcPr>
          <w:p w14:paraId="2054F0EB" w14:textId="77777777" w:rsidR="008D68D4" w:rsidRPr="0011250D" w:rsidRDefault="008D68D4" w:rsidP="001C7A81">
            <w:pPr>
              <w:pStyle w:val="ListParagraph"/>
              <w:autoSpaceDE w:val="0"/>
              <w:autoSpaceDN w:val="0"/>
              <w:adjustRightInd w:val="0"/>
              <w:spacing w:line="360" w:lineRule="auto"/>
              <w:ind w:left="0"/>
              <w:jc w:val="both"/>
              <w:rPr>
                <w:rFonts w:ascii="Arial" w:hAnsi="Arial" w:cs="Arial"/>
                <w:sz w:val="18"/>
                <w:szCs w:val="20"/>
                <w:lang w:val="es-ES_tradnl"/>
              </w:rPr>
            </w:pPr>
          </w:p>
        </w:tc>
      </w:tr>
    </w:tbl>
    <w:p w14:paraId="418AB8FC" w14:textId="77777777" w:rsidR="00BB389E" w:rsidRPr="0011250D" w:rsidRDefault="00BB389E" w:rsidP="001C7A81">
      <w:pPr>
        <w:autoSpaceDE w:val="0"/>
        <w:autoSpaceDN w:val="0"/>
        <w:adjustRightInd w:val="0"/>
        <w:spacing w:after="0" w:line="360" w:lineRule="auto"/>
        <w:ind w:left="360"/>
        <w:jc w:val="both"/>
        <w:rPr>
          <w:rFonts w:ascii="Arial" w:hAnsi="Arial" w:cs="Arial"/>
          <w:sz w:val="20"/>
          <w:szCs w:val="20"/>
          <w:lang w:val="es-ES_tradnl"/>
        </w:rPr>
      </w:pPr>
    </w:p>
    <w:p w14:paraId="01E77949" w14:textId="77777777" w:rsidR="00BB389E" w:rsidRPr="0011250D" w:rsidRDefault="00E03B50"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 xml:space="preserve">¿Cuál es el tamaño relativo de las PYMES en su cartera </w:t>
      </w:r>
      <w:r w:rsidR="00605429" w:rsidRPr="0011250D">
        <w:rPr>
          <w:rFonts w:ascii="Arial" w:hAnsi="Arial" w:cs="Arial"/>
          <w:sz w:val="20"/>
          <w:szCs w:val="20"/>
          <w:lang w:val="es-ES_tradnl"/>
        </w:rPr>
        <w:t>total de préstamos</w:t>
      </w:r>
      <w:r w:rsidRPr="0011250D">
        <w:rPr>
          <w:rFonts w:ascii="Arial" w:hAnsi="Arial" w:cs="Arial"/>
          <w:sz w:val="20"/>
          <w:szCs w:val="20"/>
          <w:lang w:val="es-ES_tradnl"/>
        </w:rPr>
        <w:t>?</w:t>
      </w:r>
    </w:p>
    <w:tbl>
      <w:tblPr>
        <w:tblStyle w:val="TableGrid"/>
        <w:tblW w:w="7370" w:type="dxa"/>
        <w:tblInd w:w="355" w:type="dxa"/>
        <w:tblLook w:val="04A0" w:firstRow="1" w:lastRow="0" w:firstColumn="1" w:lastColumn="0" w:noHBand="0" w:noVBand="1"/>
      </w:tblPr>
      <w:tblGrid>
        <w:gridCol w:w="4770"/>
        <w:gridCol w:w="2600"/>
      </w:tblGrid>
      <w:tr w:rsidR="00E03B50" w:rsidRPr="0011250D" w14:paraId="43814015" w14:textId="77777777" w:rsidTr="0034425C">
        <w:tc>
          <w:tcPr>
            <w:tcW w:w="4770" w:type="dxa"/>
          </w:tcPr>
          <w:p w14:paraId="2824A1EA"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b/>
                <w:sz w:val="18"/>
                <w:szCs w:val="20"/>
                <w:lang w:val="es-ES_tradnl"/>
              </w:rPr>
            </w:pPr>
            <w:r w:rsidRPr="0011250D">
              <w:rPr>
                <w:rFonts w:ascii="Arial" w:hAnsi="Arial" w:cs="Arial"/>
                <w:b/>
                <w:sz w:val="18"/>
                <w:szCs w:val="20"/>
                <w:lang w:val="es-ES_tradnl"/>
              </w:rPr>
              <w:t>Porcentaje en términos de…</w:t>
            </w:r>
          </w:p>
        </w:tc>
        <w:tc>
          <w:tcPr>
            <w:tcW w:w="2600" w:type="dxa"/>
          </w:tcPr>
          <w:p w14:paraId="206450EC"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Cartera PYMES/Cartera total</w:t>
            </w:r>
          </w:p>
        </w:tc>
      </w:tr>
      <w:tr w:rsidR="00E03B50" w:rsidRPr="0011250D" w14:paraId="3FF82532" w14:textId="77777777" w:rsidTr="0034425C">
        <w:tc>
          <w:tcPr>
            <w:tcW w:w="4770" w:type="dxa"/>
          </w:tcPr>
          <w:p w14:paraId="50843102"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Valor de la cartera ($$$)</w:t>
            </w:r>
          </w:p>
        </w:tc>
        <w:tc>
          <w:tcPr>
            <w:tcW w:w="2600" w:type="dxa"/>
          </w:tcPr>
          <w:p w14:paraId="7A58E939" w14:textId="77777777" w:rsidR="00E03B50"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_______ %</w:t>
            </w:r>
          </w:p>
        </w:tc>
      </w:tr>
      <w:tr w:rsidR="00E03B50" w:rsidRPr="0011250D" w14:paraId="0CDE6629" w14:textId="77777777" w:rsidTr="0034425C">
        <w:tc>
          <w:tcPr>
            <w:tcW w:w="4770" w:type="dxa"/>
          </w:tcPr>
          <w:p w14:paraId="2DB7C1D0"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Numero de prestamos</w:t>
            </w:r>
          </w:p>
        </w:tc>
        <w:tc>
          <w:tcPr>
            <w:tcW w:w="2600" w:type="dxa"/>
          </w:tcPr>
          <w:p w14:paraId="7D930972" w14:textId="77777777" w:rsidR="00E03B50"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_______ %</w:t>
            </w:r>
          </w:p>
        </w:tc>
      </w:tr>
      <w:tr w:rsidR="00E03B50" w:rsidRPr="0011250D" w14:paraId="4FB919CD" w14:textId="77777777" w:rsidTr="0034425C">
        <w:trPr>
          <w:trHeight w:val="521"/>
        </w:trPr>
        <w:tc>
          <w:tcPr>
            <w:tcW w:w="4770" w:type="dxa"/>
          </w:tcPr>
          <w:p w14:paraId="4B01DD3B"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Otros productos (especificar): __________________________</w:t>
            </w:r>
            <w:r w:rsidR="0034425C" w:rsidRPr="0011250D">
              <w:rPr>
                <w:rFonts w:ascii="Arial" w:hAnsi="Arial" w:cs="Arial"/>
                <w:sz w:val="18"/>
                <w:szCs w:val="20"/>
                <w:lang w:val="es-ES_tradnl"/>
              </w:rPr>
              <w:t>_____</w:t>
            </w:r>
            <w:r w:rsidRPr="0011250D">
              <w:rPr>
                <w:rFonts w:ascii="Arial" w:hAnsi="Arial" w:cs="Arial"/>
                <w:sz w:val="18"/>
                <w:szCs w:val="20"/>
                <w:lang w:val="es-ES_tradnl"/>
              </w:rPr>
              <w:t>__</w:t>
            </w:r>
            <w:r w:rsidR="0034425C" w:rsidRPr="0011250D">
              <w:rPr>
                <w:rFonts w:ascii="Arial" w:hAnsi="Arial" w:cs="Arial"/>
                <w:sz w:val="18"/>
                <w:szCs w:val="20"/>
                <w:lang w:val="es-ES_tradnl"/>
              </w:rPr>
              <w:t>____________</w:t>
            </w:r>
          </w:p>
        </w:tc>
        <w:tc>
          <w:tcPr>
            <w:tcW w:w="2600" w:type="dxa"/>
          </w:tcPr>
          <w:p w14:paraId="2190EBF7"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r>
    </w:tbl>
    <w:p w14:paraId="0B1FBAB9" w14:textId="77777777" w:rsidR="00E03B50" w:rsidRPr="0011250D" w:rsidRDefault="00E03B50" w:rsidP="001C7A81">
      <w:pPr>
        <w:pStyle w:val="ListParagraph"/>
        <w:autoSpaceDE w:val="0"/>
        <w:autoSpaceDN w:val="0"/>
        <w:adjustRightInd w:val="0"/>
        <w:spacing w:after="0" w:line="360" w:lineRule="auto"/>
        <w:jc w:val="both"/>
        <w:rPr>
          <w:rFonts w:ascii="Arial" w:hAnsi="Arial" w:cs="Arial"/>
          <w:sz w:val="20"/>
          <w:szCs w:val="20"/>
          <w:lang w:val="es-ES_tradnl"/>
        </w:rPr>
      </w:pPr>
    </w:p>
    <w:p w14:paraId="5B4AF83D" w14:textId="77777777" w:rsidR="00BB389E" w:rsidRPr="0011250D" w:rsidRDefault="00E03B50"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Con relación a sus clientes PYMES, ¿se enfoca su institución en algún sector en particular?</w:t>
      </w:r>
    </w:p>
    <w:p w14:paraId="66221C5E" w14:textId="77777777" w:rsidR="00E03B50" w:rsidRPr="0011250D" w:rsidRDefault="00E03B50"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Si _____, los sectores prioritarios son: _____________________________________</w:t>
      </w:r>
      <w:r w:rsidR="0034425C" w:rsidRPr="0011250D">
        <w:rPr>
          <w:rFonts w:ascii="Arial" w:hAnsi="Arial" w:cs="Arial"/>
          <w:sz w:val="20"/>
          <w:szCs w:val="20"/>
          <w:lang w:val="es-ES_tradnl"/>
        </w:rPr>
        <w:t>_______</w:t>
      </w:r>
      <w:r w:rsidRPr="0011250D">
        <w:rPr>
          <w:rFonts w:ascii="Arial" w:hAnsi="Arial" w:cs="Arial"/>
          <w:sz w:val="20"/>
          <w:szCs w:val="20"/>
          <w:lang w:val="es-ES_tradnl"/>
        </w:rPr>
        <w:t>__</w:t>
      </w:r>
    </w:p>
    <w:p w14:paraId="45A724AE" w14:textId="77777777" w:rsidR="00E03B50" w:rsidRPr="0011250D" w:rsidRDefault="00E03B50"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No_____</w:t>
      </w:r>
    </w:p>
    <w:p w14:paraId="3836FB95" w14:textId="77777777" w:rsidR="00E03B50" w:rsidRPr="0011250D" w:rsidRDefault="00E03B50"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305E4AD6" w14:textId="77777777" w:rsidR="00BB389E" w:rsidRPr="0011250D" w:rsidRDefault="001209C1"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¿Qué tan importantes considera los siguientes factores en el desarrollo de sus líneas de negocio con PYMES? Marque con una X la columna que considere apropiada para cada factor.</w:t>
      </w:r>
    </w:p>
    <w:tbl>
      <w:tblPr>
        <w:tblStyle w:val="TableGrid"/>
        <w:tblW w:w="9360" w:type="dxa"/>
        <w:tblInd w:w="355" w:type="dxa"/>
        <w:tblLook w:val="04A0" w:firstRow="1" w:lastRow="0" w:firstColumn="1" w:lastColumn="0" w:noHBand="0" w:noVBand="1"/>
      </w:tblPr>
      <w:tblGrid>
        <w:gridCol w:w="5850"/>
        <w:gridCol w:w="1170"/>
        <w:gridCol w:w="1170"/>
        <w:gridCol w:w="1170"/>
      </w:tblGrid>
      <w:tr w:rsidR="00E03B50" w:rsidRPr="0011250D" w14:paraId="28E8A6FC" w14:textId="77777777" w:rsidTr="00016969">
        <w:tc>
          <w:tcPr>
            <w:tcW w:w="5850" w:type="dxa"/>
          </w:tcPr>
          <w:p w14:paraId="2C69C710"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b/>
                <w:sz w:val="20"/>
                <w:szCs w:val="20"/>
                <w:lang w:val="es-ES_tradnl"/>
              </w:rPr>
            </w:pPr>
          </w:p>
        </w:tc>
        <w:tc>
          <w:tcPr>
            <w:tcW w:w="1170" w:type="dxa"/>
          </w:tcPr>
          <w:p w14:paraId="71068A0D"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No significativo</w:t>
            </w:r>
          </w:p>
        </w:tc>
        <w:tc>
          <w:tcPr>
            <w:tcW w:w="1170" w:type="dxa"/>
          </w:tcPr>
          <w:p w14:paraId="22EAFB60" w14:textId="77777777" w:rsidR="00E03B50" w:rsidRPr="0011250D" w:rsidRDefault="00F9255D"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Poco</w:t>
            </w:r>
            <w:r w:rsidR="00E03B50" w:rsidRPr="0011250D">
              <w:rPr>
                <w:rFonts w:ascii="Arial" w:hAnsi="Arial" w:cs="Arial"/>
                <w:b/>
                <w:sz w:val="16"/>
                <w:szCs w:val="20"/>
                <w:lang w:val="es-ES_tradnl"/>
              </w:rPr>
              <w:t xml:space="preserve"> significativo</w:t>
            </w:r>
          </w:p>
        </w:tc>
        <w:tc>
          <w:tcPr>
            <w:tcW w:w="1170" w:type="dxa"/>
          </w:tcPr>
          <w:p w14:paraId="2BBA6605"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Muy significativo</w:t>
            </w:r>
          </w:p>
        </w:tc>
      </w:tr>
      <w:tr w:rsidR="00E03B50" w:rsidRPr="0011250D" w14:paraId="2A9E188D" w14:textId="77777777" w:rsidTr="00016969">
        <w:tc>
          <w:tcPr>
            <w:tcW w:w="5850" w:type="dxa"/>
          </w:tcPr>
          <w:p w14:paraId="005ACADF"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Rentabilidad del sector PYME</w:t>
            </w:r>
          </w:p>
        </w:tc>
        <w:tc>
          <w:tcPr>
            <w:tcW w:w="1170" w:type="dxa"/>
          </w:tcPr>
          <w:p w14:paraId="36257EC4"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577CF00F"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6F1242EB"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E03B50" w:rsidRPr="00A40D7A" w14:paraId="14575AB7" w14:textId="77777777" w:rsidTr="00016969">
        <w:tc>
          <w:tcPr>
            <w:tcW w:w="5850" w:type="dxa"/>
          </w:tcPr>
          <w:p w14:paraId="0E209159"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Diversificación (alta exposición a grandes empresas</w:t>
            </w:r>
            <w:r w:rsidR="001209C1" w:rsidRPr="0011250D">
              <w:rPr>
                <w:rFonts w:ascii="Arial" w:hAnsi="Arial" w:cs="Arial"/>
                <w:sz w:val="18"/>
                <w:szCs w:val="20"/>
                <w:lang w:val="es-ES_tradnl"/>
              </w:rPr>
              <w:t xml:space="preserve"> u otros negocios</w:t>
            </w:r>
            <w:r w:rsidRPr="0011250D">
              <w:rPr>
                <w:rFonts w:ascii="Arial" w:hAnsi="Arial" w:cs="Arial"/>
                <w:sz w:val="18"/>
                <w:szCs w:val="20"/>
                <w:lang w:val="es-ES_tradnl"/>
              </w:rPr>
              <w:t>)</w:t>
            </w:r>
          </w:p>
        </w:tc>
        <w:tc>
          <w:tcPr>
            <w:tcW w:w="1170" w:type="dxa"/>
          </w:tcPr>
          <w:p w14:paraId="1274B8AF"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22DDD1A4"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32C03FAB"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E03B50" w:rsidRPr="00A40D7A" w14:paraId="72003F71" w14:textId="77777777" w:rsidTr="00016969">
        <w:trPr>
          <w:trHeight w:val="278"/>
        </w:trPr>
        <w:tc>
          <w:tcPr>
            <w:tcW w:w="5850" w:type="dxa"/>
          </w:tcPr>
          <w:p w14:paraId="763FDEEA" w14:textId="77777777" w:rsidR="00E03B50"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F</w:t>
            </w:r>
            <w:r w:rsidR="00E03B50" w:rsidRPr="0011250D">
              <w:rPr>
                <w:rFonts w:ascii="Arial" w:hAnsi="Arial" w:cs="Arial"/>
                <w:sz w:val="18"/>
                <w:szCs w:val="20"/>
                <w:lang w:val="es-ES_tradnl"/>
              </w:rPr>
              <w:t xml:space="preserve">acilidad de llegada a clientes a través de </w:t>
            </w:r>
            <w:r w:rsidRPr="0011250D">
              <w:rPr>
                <w:rFonts w:ascii="Arial" w:hAnsi="Arial" w:cs="Arial"/>
                <w:sz w:val="18"/>
                <w:szCs w:val="20"/>
                <w:lang w:val="es-ES_tradnl"/>
              </w:rPr>
              <w:t xml:space="preserve">mis </w:t>
            </w:r>
            <w:r w:rsidR="00E03B50" w:rsidRPr="0011250D">
              <w:rPr>
                <w:rFonts w:ascii="Arial" w:hAnsi="Arial" w:cs="Arial"/>
                <w:sz w:val="18"/>
                <w:szCs w:val="20"/>
                <w:lang w:val="es-ES_tradnl"/>
              </w:rPr>
              <w:t xml:space="preserve">canales </w:t>
            </w:r>
          </w:p>
        </w:tc>
        <w:tc>
          <w:tcPr>
            <w:tcW w:w="1170" w:type="dxa"/>
          </w:tcPr>
          <w:p w14:paraId="0B57BF4E"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4052D666"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44F7D056"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E03B50" w:rsidRPr="0011250D" w14:paraId="60D12C8C" w14:textId="77777777" w:rsidTr="00016969">
        <w:trPr>
          <w:trHeight w:val="323"/>
        </w:trPr>
        <w:tc>
          <w:tcPr>
            <w:tcW w:w="5850" w:type="dxa"/>
          </w:tcPr>
          <w:p w14:paraId="0E8EC7D7"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 xml:space="preserve">Otros </w:t>
            </w:r>
            <w:r w:rsidR="001209C1" w:rsidRPr="0011250D">
              <w:rPr>
                <w:rFonts w:ascii="Arial" w:hAnsi="Arial" w:cs="Arial"/>
                <w:sz w:val="18"/>
                <w:szCs w:val="20"/>
                <w:lang w:val="es-ES_tradnl"/>
              </w:rPr>
              <w:t>factores</w:t>
            </w:r>
            <w:r w:rsidRPr="0011250D">
              <w:rPr>
                <w:rFonts w:ascii="Arial" w:hAnsi="Arial" w:cs="Arial"/>
                <w:sz w:val="18"/>
                <w:szCs w:val="20"/>
                <w:lang w:val="es-ES_tradnl"/>
              </w:rPr>
              <w:t xml:space="preserve"> (especificar): ____________</w:t>
            </w:r>
            <w:r w:rsidR="00016969" w:rsidRPr="0011250D">
              <w:rPr>
                <w:rFonts w:ascii="Arial" w:hAnsi="Arial" w:cs="Arial"/>
                <w:sz w:val="18"/>
                <w:szCs w:val="20"/>
                <w:lang w:val="es-ES_tradnl"/>
              </w:rPr>
              <w:t>_____</w:t>
            </w:r>
            <w:r w:rsidRPr="0011250D">
              <w:rPr>
                <w:rFonts w:ascii="Arial" w:hAnsi="Arial" w:cs="Arial"/>
                <w:sz w:val="18"/>
                <w:szCs w:val="20"/>
                <w:lang w:val="es-ES_tradnl"/>
              </w:rPr>
              <w:t>________________</w:t>
            </w:r>
          </w:p>
        </w:tc>
        <w:tc>
          <w:tcPr>
            <w:tcW w:w="1170" w:type="dxa"/>
          </w:tcPr>
          <w:p w14:paraId="16954B44"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7875201B"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70" w:type="dxa"/>
          </w:tcPr>
          <w:p w14:paraId="405D92AF" w14:textId="77777777" w:rsidR="00E03B50" w:rsidRPr="0011250D" w:rsidRDefault="00E03B50" w:rsidP="001C7A81">
            <w:pPr>
              <w:pStyle w:val="ListParagraph"/>
              <w:autoSpaceDE w:val="0"/>
              <w:autoSpaceDN w:val="0"/>
              <w:adjustRightInd w:val="0"/>
              <w:spacing w:line="360" w:lineRule="auto"/>
              <w:ind w:left="0"/>
              <w:jc w:val="both"/>
              <w:rPr>
                <w:rFonts w:ascii="Arial" w:hAnsi="Arial" w:cs="Arial"/>
                <w:sz w:val="18"/>
                <w:szCs w:val="20"/>
                <w:lang w:val="es-ES_tradnl"/>
              </w:rPr>
            </w:pPr>
          </w:p>
        </w:tc>
      </w:tr>
    </w:tbl>
    <w:p w14:paraId="53A6E30E" w14:textId="77777777" w:rsidR="00E03B50" w:rsidRPr="0011250D" w:rsidRDefault="00E03B50" w:rsidP="001C7A81">
      <w:pPr>
        <w:pStyle w:val="ListParagraph"/>
        <w:autoSpaceDE w:val="0"/>
        <w:autoSpaceDN w:val="0"/>
        <w:adjustRightInd w:val="0"/>
        <w:spacing w:after="0" w:line="360" w:lineRule="auto"/>
        <w:jc w:val="both"/>
        <w:rPr>
          <w:rFonts w:ascii="Arial" w:hAnsi="Arial" w:cs="Arial"/>
          <w:sz w:val="20"/>
          <w:szCs w:val="20"/>
          <w:lang w:val="es-ES_tradnl"/>
        </w:rPr>
      </w:pPr>
    </w:p>
    <w:p w14:paraId="44617504" w14:textId="77777777" w:rsidR="001209C1" w:rsidRPr="0011250D" w:rsidRDefault="001209C1"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¿Qué tan importantes considera los siguientes obstáculos para el crecimiento de su cartera de PYMES? Marque con una X la columna que considere apropiada para cada factor.</w:t>
      </w:r>
    </w:p>
    <w:tbl>
      <w:tblPr>
        <w:tblStyle w:val="TableGrid"/>
        <w:tblW w:w="9422" w:type="dxa"/>
        <w:tblInd w:w="355" w:type="dxa"/>
        <w:tblLook w:val="04A0" w:firstRow="1" w:lastRow="0" w:firstColumn="1" w:lastColumn="0" w:noHBand="0" w:noVBand="1"/>
      </w:tblPr>
      <w:tblGrid>
        <w:gridCol w:w="5940"/>
        <w:gridCol w:w="1166"/>
        <w:gridCol w:w="1166"/>
        <w:gridCol w:w="1150"/>
      </w:tblGrid>
      <w:tr w:rsidR="001209C1" w:rsidRPr="0011250D" w14:paraId="3C89BF92" w14:textId="77777777" w:rsidTr="0011250D">
        <w:trPr>
          <w:tblHeader/>
        </w:trPr>
        <w:tc>
          <w:tcPr>
            <w:tcW w:w="5940" w:type="dxa"/>
          </w:tcPr>
          <w:p w14:paraId="69D2E7A1"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b/>
                <w:sz w:val="20"/>
                <w:szCs w:val="20"/>
                <w:lang w:val="es-ES_tradnl"/>
              </w:rPr>
            </w:pPr>
          </w:p>
        </w:tc>
        <w:tc>
          <w:tcPr>
            <w:tcW w:w="1166" w:type="dxa"/>
          </w:tcPr>
          <w:p w14:paraId="5B0CE8C6"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No significativo</w:t>
            </w:r>
          </w:p>
        </w:tc>
        <w:tc>
          <w:tcPr>
            <w:tcW w:w="1166" w:type="dxa"/>
          </w:tcPr>
          <w:p w14:paraId="194AD33E" w14:textId="77777777" w:rsidR="001209C1" w:rsidRPr="0011250D" w:rsidRDefault="00F9255D"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Poco</w:t>
            </w:r>
            <w:r w:rsidR="001209C1" w:rsidRPr="0011250D">
              <w:rPr>
                <w:rFonts w:ascii="Arial" w:hAnsi="Arial" w:cs="Arial"/>
                <w:b/>
                <w:sz w:val="16"/>
                <w:szCs w:val="20"/>
                <w:lang w:val="es-ES_tradnl"/>
              </w:rPr>
              <w:t xml:space="preserve"> significativo</w:t>
            </w:r>
          </w:p>
        </w:tc>
        <w:tc>
          <w:tcPr>
            <w:tcW w:w="1150" w:type="dxa"/>
          </w:tcPr>
          <w:p w14:paraId="6696A6CC"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Muy significativo</w:t>
            </w:r>
          </w:p>
        </w:tc>
      </w:tr>
      <w:tr w:rsidR="001209C1" w:rsidRPr="00A40D7A" w14:paraId="598B28F4" w14:textId="77777777" w:rsidTr="00016969">
        <w:tc>
          <w:tcPr>
            <w:tcW w:w="5940" w:type="dxa"/>
          </w:tcPr>
          <w:p w14:paraId="0B870741" w14:textId="77777777" w:rsidR="001209C1" w:rsidRPr="0011250D" w:rsidRDefault="001209C1" w:rsidP="001C7A81">
            <w:pPr>
              <w:autoSpaceDE w:val="0"/>
              <w:autoSpaceDN w:val="0"/>
              <w:adjustRightInd w:val="0"/>
              <w:spacing w:line="360" w:lineRule="auto"/>
              <w:jc w:val="both"/>
              <w:rPr>
                <w:rFonts w:ascii="Arial" w:hAnsi="Arial" w:cs="Arial"/>
                <w:sz w:val="18"/>
                <w:szCs w:val="20"/>
                <w:lang w:val="es-ES_tradnl"/>
              </w:rPr>
            </w:pPr>
            <w:r w:rsidRPr="0011250D">
              <w:rPr>
                <w:rFonts w:ascii="Arial" w:hAnsi="Arial" w:cs="Arial"/>
                <w:sz w:val="18"/>
                <w:szCs w:val="20"/>
                <w:lang w:val="es-ES_tradnl"/>
              </w:rPr>
              <w:t>Macroeconómicos (inestabilidad económica, políticas de tasa de in</w:t>
            </w:r>
            <w:r w:rsidR="00016969" w:rsidRPr="0011250D">
              <w:rPr>
                <w:rFonts w:ascii="Arial" w:hAnsi="Arial" w:cs="Arial"/>
                <w:sz w:val="18"/>
                <w:szCs w:val="20"/>
                <w:lang w:val="es-ES_tradnl"/>
              </w:rPr>
              <w:t>terés, riesgo de tipo de cambio</w:t>
            </w:r>
            <w:r w:rsidRPr="0011250D">
              <w:rPr>
                <w:rFonts w:ascii="Arial" w:hAnsi="Arial" w:cs="Arial"/>
                <w:sz w:val="18"/>
                <w:szCs w:val="20"/>
                <w:lang w:val="es-ES_tradnl"/>
              </w:rPr>
              <w:t>)</w:t>
            </w:r>
          </w:p>
        </w:tc>
        <w:tc>
          <w:tcPr>
            <w:tcW w:w="1166" w:type="dxa"/>
          </w:tcPr>
          <w:p w14:paraId="562DF977"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3CC8348E"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6794FBC2"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1209C1" w:rsidRPr="00A40D7A" w14:paraId="05F54C0B" w14:textId="77777777" w:rsidTr="00016969">
        <w:tc>
          <w:tcPr>
            <w:tcW w:w="5940" w:type="dxa"/>
          </w:tcPr>
          <w:p w14:paraId="4AAEEC8F" w14:textId="77777777" w:rsidR="001209C1" w:rsidRPr="0011250D" w:rsidRDefault="001209C1" w:rsidP="001C7A81">
            <w:pPr>
              <w:autoSpaceDE w:val="0"/>
              <w:autoSpaceDN w:val="0"/>
              <w:adjustRightInd w:val="0"/>
              <w:spacing w:line="360" w:lineRule="auto"/>
              <w:jc w:val="both"/>
              <w:rPr>
                <w:rFonts w:ascii="Arial" w:hAnsi="Arial" w:cs="Arial"/>
                <w:sz w:val="18"/>
                <w:szCs w:val="20"/>
                <w:lang w:val="es-ES_tradnl"/>
              </w:rPr>
            </w:pPr>
            <w:r w:rsidRPr="0011250D">
              <w:rPr>
                <w:rFonts w:ascii="Arial" w:hAnsi="Arial" w:cs="Arial"/>
                <w:sz w:val="18"/>
                <w:szCs w:val="20"/>
                <w:lang w:val="es-ES_tradnl"/>
              </w:rPr>
              <w:t>Regulación (Basilea, anti lavado de dinero (AML), norma</w:t>
            </w:r>
            <w:r w:rsidR="00016969" w:rsidRPr="0011250D">
              <w:rPr>
                <w:rFonts w:ascii="Arial" w:hAnsi="Arial" w:cs="Arial"/>
                <w:sz w:val="18"/>
                <w:szCs w:val="20"/>
                <w:lang w:val="es-ES_tradnl"/>
              </w:rPr>
              <w:t>tiva local</w:t>
            </w:r>
            <w:r w:rsidRPr="0011250D">
              <w:rPr>
                <w:rFonts w:ascii="Arial" w:hAnsi="Arial" w:cs="Arial"/>
                <w:sz w:val="18"/>
                <w:szCs w:val="20"/>
                <w:lang w:val="es-ES_tradnl"/>
              </w:rPr>
              <w:t>)</w:t>
            </w:r>
          </w:p>
        </w:tc>
        <w:tc>
          <w:tcPr>
            <w:tcW w:w="1166" w:type="dxa"/>
          </w:tcPr>
          <w:p w14:paraId="33B61493"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6B401115"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13DC4FFD"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1209C1" w:rsidRPr="00A40D7A" w14:paraId="679EEC15" w14:textId="77777777" w:rsidTr="00016969">
        <w:trPr>
          <w:trHeight w:val="278"/>
        </w:trPr>
        <w:tc>
          <w:tcPr>
            <w:tcW w:w="5940" w:type="dxa"/>
          </w:tcPr>
          <w:p w14:paraId="2E72FF24" w14:textId="77777777" w:rsidR="001209C1" w:rsidRPr="0011250D" w:rsidRDefault="001209C1" w:rsidP="001C7A81">
            <w:pPr>
              <w:autoSpaceDE w:val="0"/>
              <w:autoSpaceDN w:val="0"/>
              <w:adjustRightInd w:val="0"/>
              <w:spacing w:line="360" w:lineRule="auto"/>
              <w:jc w:val="both"/>
              <w:rPr>
                <w:rFonts w:ascii="Arial" w:hAnsi="Arial" w:cs="Arial"/>
                <w:sz w:val="18"/>
                <w:szCs w:val="20"/>
                <w:lang w:val="es-ES_tradnl"/>
              </w:rPr>
            </w:pPr>
            <w:r w:rsidRPr="0011250D">
              <w:rPr>
                <w:rFonts w:ascii="Arial" w:hAnsi="Arial" w:cs="Arial"/>
                <w:sz w:val="18"/>
                <w:szCs w:val="20"/>
                <w:lang w:val="es-ES_tradnl"/>
              </w:rPr>
              <w:t>Ambiente legal y contractual (regímenes de garantías y bancarrota, aplicación de la ley (</w:t>
            </w:r>
            <w:r w:rsidRPr="00D40A40">
              <w:rPr>
                <w:rFonts w:ascii="Arial" w:hAnsi="Arial" w:cs="Arial"/>
                <w:i/>
                <w:sz w:val="18"/>
                <w:szCs w:val="20"/>
                <w:lang w:val="es-ES_tradnl"/>
              </w:rPr>
              <w:t>enforcement</w:t>
            </w:r>
            <w:r w:rsidRPr="0011250D">
              <w:rPr>
                <w:rFonts w:ascii="Arial" w:hAnsi="Arial" w:cs="Arial"/>
                <w:sz w:val="18"/>
                <w:szCs w:val="20"/>
                <w:lang w:val="es-ES_tradnl"/>
              </w:rPr>
              <w:t>)</w:t>
            </w:r>
            <w:r w:rsidR="00016969" w:rsidRPr="0011250D">
              <w:rPr>
                <w:rFonts w:ascii="Arial" w:hAnsi="Arial" w:cs="Arial"/>
                <w:sz w:val="18"/>
                <w:szCs w:val="20"/>
                <w:lang w:val="es-ES_tradnl"/>
              </w:rPr>
              <w:t>, eficiencia del poder judicial</w:t>
            </w:r>
            <w:r w:rsidRPr="0011250D">
              <w:rPr>
                <w:rFonts w:ascii="Arial" w:hAnsi="Arial" w:cs="Arial"/>
                <w:sz w:val="18"/>
                <w:szCs w:val="20"/>
                <w:lang w:val="es-ES_tradnl"/>
              </w:rPr>
              <w:t>)</w:t>
            </w:r>
          </w:p>
        </w:tc>
        <w:tc>
          <w:tcPr>
            <w:tcW w:w="1166" w:type="dxa"/>
          </w:tcPr>
          <w:p w14:paraId="0CB2C3F3"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4113F9C6"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3661F91F"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1209C1" w:rsidRPr="00A40D7A" w14:paraId="47B51216" w14:textId="77777777" w:rsidTr="0034425C">
        <w:trPr>
          <w:trHeight w:val="431"/>
        </w:trPr>
        <w:tc>
          <w:tcPr>
            <w:tcW w:w="5940" w:type="dxa"/>
          </w:tcPr>
          <w:p w14:paraId="56D3C8F4"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 xml:space="preserve">Factores específicos a mi institución (estructura organizacional, falta de incentivos, falta de </w:t>
            </w:r>
            <w:r w:rsidRPr="00D40A40">
              <w:rPr>
                <w:rFonts w:ascii="Arial" w:hAnsi="Arial" w:cs="Arial"/>
                <w:i/>
                <w:sz w:val="18"/>
                <w:szCs w:val="20"/>
                <w:lang w:val="es-ES_tradnl"/>
              </w:rPr>
              <w:t>expertise</w:t>
            </w:r>
            <w:r w:rsidRPr="0011250D">
              <w:rPr>
                <w:rFonts w:ascii="Arial" w:hAnsi="Arial" w:cs="Arial"/>
                <w:sz w:val="18"/>
                <w:szCs w:val="20"/>
                <w:lang w:val="es-ES_tradnl"/>
              </w:rPr>
              <w:t xml:space="preserve">, </w:t>
            </w:r>
            <w:r w:rsidR="00605429" w:rsidRPr="0011250D">
              <w:rPr>
                <w:rFonts w:ascii="Arial" w:hAnsi="Arial" w:cs="Arial"/>
                <w:sz w:val="18"/>
                <w:szCs w:val="20"/>
                <w:lang w:val="es-ES_tradnl"/>
              </w:rPr>
              <w:t>desinterés</w:t>
            </w:r>
            <w:r w:rsidR="00016969" w:rsidRPr="0011250D">
              <w:rPr>
                <w:rFonts w:ascii="Arial" w:hAnsi="Arial" w:cs="Arial"/>
                <w:sz w:val="18"/>
                <w:szCs w:val="20"/>
                <w:lang w:val="es-ES_tradnl"/>
              </w:rPr>
              <w:t xml:space="preserve"> por parte de alta dirección</w:t>
            </w:r>
            <w:r w:rsidR="00F9255D" w:rsidRPr="0011250D">
              <w:rPr>
                <w:rFonts w:ascii="Arial" w:hAnsi="Arial" w:cs="Arial"/>
                <w:sz w:val="18"/>
                <w:szCs w:val="20"/>
                <w:lang w:val="es-ES_tradnl"/>
              </w:rPr>
              <w:t>)</w:t>
            </w:r>
          </w:p>
        </w:tc>
        <w:tc>
          <w:tcPr>
            <w:tcW w:w="1166" w:type="dxa"/>
          </w:tcPr>
          <w:p w14:paraId="15D124FD"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1384CA6A"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68560971"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F9255D" w:rsidRPr="00A40D7A" w14:paraId="6183E3D7" w14:textId="77777777" w:rsidTr="0034425C">
        <w:trPr>
          <w:trHeight w:val="350"/>
        </w:trPr>
        <w:tc>
          <w:tcPr>
            <w:tcW w:w="5940" w:type="dxa"/>
          </w:tcPr>
          <w:p w14:paraId="0883AE43"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Factores específicos a las PYME (mala calidad de estados financieros, i</w:t>
            </w:r>
            <w:r w:rsidR="00016969" w:rsidRPr="0011250D">
              <w:rPr>
                <w:rFonts w:ascii="Arial" w:hAnsi="Arial" w:cs="Arial"/>
                <w:sz w:val="18"/>
                <w:szCs w:val="20"/>
                <w:lang w:val="es-ES_tradnl"/>
              </w:rPr>
              <w:t>nformalidad, falta de colateral</w:t>
            </w:r>
            <w:r w:rsidRPr="0011250D">
              <w:rPr>
                <w:rFonts w:ascii="Arial" w:hAnsi="Arial" w:cs="Arial"/>
                <w:sz w:val="18"/>
                <w:szCs w:val="20"/>
                <w:lang w:val="es-ES_tradnl"/>
              </w:rPr>
              <w:t>)</w:t>
            </w:r>
          </w:p>
        </w:tc>
        <w:tc>
          <w:tcPr>
            <w:tcW w:w="1166" w:type="dxa"/>
          </w:tcPr>
          <w:p w14:paraId="3EC0F2C4"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0B2E2C69"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056A7E82"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F9255D" w:rsidRPr="00A40D7A" w14:paraId="70B3C190" w14:textId="77777777" w:rsidTr="0034425C">
        <w:trPr>
          <w:trHeight w:val="368"/>
        </w:trPr>
        <w:tc>
          <w:tcPr>
            <w:tcW w:w="5940" w:type="dxa"/>
          </w:tcPr>
          <w:p w14:paraId="1BC8AC2A"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Naturaleza del negocio PYME (altos costes de transacción, dificultad para estandarizar productos y proceso</w:t>
            </w:r>
            <w:r w:rsidR="00016969" w:rsidRPr="0011250D">
              <w:rPr>
                <w:rFonts w:ascii="Arial" w:hAnsi="Arial" w:cs="Arial"/>
                <w:sz w:val="18"/>
                <w:szCs w:val="20"/>
                <w:lang w:val="es-ES_tradnl"/>
              </w:rPr>
              <w:t>s, falta de economías de escala</w:t>
            </w:r>
            <w:r w:rsidRPr="0011250D">
              <w:rPr>
                <w:rFonts w:ascii="Arial" w:hAnsi="Arial" w:cs="Arial"/>
                <w:sz w:val="18"/>
                <w:szCs w:val="20"/>
                <w:lang w:val="es-ES_tradnl"/>
              </w:rPr>
              <w:t>)</w:t>
            </w:r>
          </w:p>
        </w:tc>
        <w:tc>
          <w:tcPr>
            <w:tcW w:w="1166" w:type="dxa"/>
          </w:tcPr>
          <w:p w14:paraId="7C8180CD"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0F37257F"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51A637B3"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F9255D" w:rsidRPr="00A40D7A" w14:paraId="1E295AA4" w14:textId="77777777" w:rsidTr="0034425C">
        <w:trPr>
          <w:trHeight w:val="404"/>
        </w:trPr>
        <w:tc>
          <w:tcPr>
            <w:tcW w:w="5940" w:type="dxa"/>
          </w:tcPr>
          <w:p w14:paraId="3B15B4F6"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lastRenderedPageBreak/>
              <w:t>Competencia en el sector (otros actores como bancos públicos o bancos</w:t>
            </w:r>
            <w:r w:rsidR="00016969" w:rsidRPr="0011250D">
              <w:rPr>
                <w:rFonts w:ascii="Arial" w:hAnsi="Arial" w:cs="Arial"/>
                <w:sz w:val="18"/>
                <w:szCs w:val="20"/>
                <w:lang w:val="es-ES_tradnl"/>
              </w:rPr>
              <w:t xml:space="preserve"> especializados, bajos márgenes</w:t>
            </w:r>
            <w:r w:rsidRPr="0011250D">
              <w:rPr>
                <w:rFonts w:ascii="Arial" w:hAnsi="Arial" w:cs="Arial"/>
                <w:sz w:val="18"/>
                <w:szCs w:val="20"/>
                <w:lang w:val="es-ES_tradnl"/>
              </w:rPr>
              <w:t>)</w:t>
            </w:r>
          </w:p>
        </w:tc>
        <w:tc>
          <w:tcPr>
            <w:tcW w:w="1166" w:type="dxa"/>
          </w:tcPr>
          <w:p w14:paraId="4ACC20C0"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1411485C"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7611A665" w14:textId="77777777" w:rsidR="00F9255D" w:rsidRPr="0011250D" w:rsidRDefault="00F9255D"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1209C1" w:rsidRPr="0011250D" w14:paraId="27E5B489" w14:textId="77777777" w:rsidTr="0034425C">
        <w:trPr>
          <w:trHeight w:val="512"/>
        </w:trPr>
        <w:tc>
          <w:tcPr>
            <w:tcW w:w="5940" w:type="dxa"/>
          </w:tcPr>
          <w:p w14:paraId="3387196D"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 xml:space="preserve">Otros obstáculos (especificar): </w:t>
            </w:r>
            <w:r w:rsidR="0034425C" w:rsidRPr="0011250D">
              <w:rPr>
                <w:rFonts w:ascii="Arial" w:hAnsi="Arial" w:cs="Arial"/>
                <w:sz w:val="18"/>
                <w:szCs w:val="20"/>
                <w:lang w:val="es-ES_tradnl"/>
              </w:rPr>
              <w:t xml:space="preserve">_______________________________ </w:t>
            </w:r>
            <w:r w:rsidRPr="0011250D">
              <w:rPr>
                <w:rFonts w:ascii="Arial" w:hAnsi="Arial" w:cs="Arial"/>
                <w:sz w:val="18"/>
                <w:szCs w:val="20"/>
                <w:lang w:val="es-ES_tradnl"/>
              </w:rPr>
              <w:t>___________________________</w:t>
            </w:r>
            <w:r w:rsidR="0034425C" w:rsidRPr="0011250D">
              <w:rPr>
                <w:rFonts w:ascii="Arial" w:hAnsi="Arial" w:cs="Arial"/>
                <w:sz w:val="18"/>
                <w:szCs w:val="20"/>
                <w:lang w:val="es-ES_tradnl"/>
              </w:rPr>
              <w:t>_____________________________</w:t>
            </w:r>
          </w:p>
        </w:tc>
        <w:tc>
          <w:tcPr>
            <w:tcW w:w="1166" w:type="dxa"/>
          </w:tcPr>
          <w:p w14:paraId="60E727E3"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6" w:type="dxa"/>
          </w:tcPr>
          <w:p w14:paraId="1EF21FA3"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49B46078" w14:textId="77777777" w:rsidR="001209C1" w:rsidRPr="0011250D" w:rsidRDefault="001209C1" w:rsidP="001C7A81">
            <w:pPr>
              <w:pStyle w:val="ListParagraph"/>
              <w:autoSpaceDE w:val="0"/>
              <w:autoSpaceDN w:val="0"/>
              <w:adjustRightInd w:val="0"/>
              <w:spacing w:line="360" w:lineRule="auto"/>
              <w:ind w:left="0"/>
              <w:jc w:val="both"/>
              <w:rPr>
                <w:rFonts w:ascii="Arial" w:hAnsi="Arial" w:cs="Arial"/>
                <w:sz w:val="18"/>
                <w:szCs w:val="20"/>
                <w:lang w:val="es-ES_tradnl"/>
              </w:rPr>
            </w:pPr>
          </w:p>
        </w:tc>
      </w:tr>
    </w:tbl>
    <w:p w14:paraId="324BB68D" w14:textId="77777777" w:rsidR="001209C1" w:rsidRPr="0011250D" w:rsidRDefault="001209C1" w:rsidP="001C7A81">
      <w:pPr>
        <w:pStyle w:val="ListParagraph"/>
        <w:autoSpaceDE w:val="0"/>
        <w:autoSpaceDN w:val="0"/>
        <w:adjustRightInd w:val="0"/>
        <w:spacing w:after="0" w:line="360" w:lineRule="auto"/>
        <w:jc w:val="both"/>
        <w:rPr>
          <w:rFonts w:ascii="Arial" w:hAnsi="Arial" w:cs="Arial"/>
          <w:sz w:val="20"/>
          <w:szCs w:val="20"/>
          <w:lang w:val="es-ES_tradnl"/>
        </w:rPr>
      </w:pPr>
    </w:p>
    <w:p w14:paraId="1DA6FD57" w14:textId="77777777" w:rsidR="00605429" w:rsidRPr="0011250D" w:rsidRDefault="00605429"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Del total de créditos solicitados por PYMES ¿Qué porcentaje aproximado es…?</w:t>
      </w:r>
    </w:p>
    <w:p w14:paraId="2A51BC56"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Aprobado ______ %</w:t>
      </w:r>
      <w:r w:rsidRPr="0011250D">
        <w:rPr>
          <w:rFonts w:ascii="Arial" w:hAnsi="Arial" w:cs="Arial"/>
          <w:sz w:val="20"/>
          <w:szCs w:val="20"/>
          <w:lang w:val="es-ES_tradnl"/>
        </w:rPr>
        <w:tab/>
      </w:r>
      <w:r w:rsidRPr="0011250D">
        <w:rPr>
          <w:rFonts w:ascii="Arial" w:hAnsi="Arial" w:cs="Arial"/>
          <w:sz w:val="20"/>
          <w:szCs w:val="20"/>
          <w:lang w:val="es-ES_tradnl"/>
        </w:rPr>
        <w:tab/>
        <w:t>Rechazado _______ %</w:t>
      </w:r>
    </w:p>
    <w:p w14:paraId="1CB2FEE5"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19E94DE4" w14:textId="77777777" w:rsidR="00605429" w:rsidRPr="0011250D" w:rsidRDefault="00605429"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De las solicitudes de crédito rechazadas, ¿cuál es el motivo más común por el cual se rechazan?</w:t>
      </w:r>
    </w:p>
    <w:p w14:paraId="265DEE3C"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Viabilidad del proyecto a financiar</w:t>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t>_____</w:t>
      </w:r>
    </w:p>
    <w:p w14:paraId="7C89356E"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Condición financiera del prestamista</w:t>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t>_____</w:t>
      </w:r>
    </w:p>
    <w:p w14:paraId="36D3C1A9"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No presenta la documentación regulatoria requerida</w:t>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t>_____</w:t>
      </w:r>
    </w:p>
    <w:p w14:paraId="74B93E3E"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No cuentan con las garantías/colateral requeridos</w:t>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t>_____</w:t>
      </w:r>
    </w:p>
    <w:p w14:paraId="0195C62A"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No presentan estados financieros o plan de negocio aceptables</w:t>
      </w:r>
      <w:r w:rsidR="00016969" w:rsidRPr="0011250D">
        <w:rPr>
          <w:rFonts w:ascii="Arial" w:hAnsi="Arial" w:cs="Arial"/>
          <w:sz w:val="20"/>
          <w:szCs w:val="20"/>
          <w:lang w:val="es-ES_tradnl"/>
        </w:rPr>
        <w:tab/>
        <w:t>_____</w:t>
      </w:r>
    </w:p>
    <w:p w14:paraId="69DFF3A0"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Falta de capacidad técnica para evaluar la aplicación</w:t>
      </w:r>
      <w:r w:rsidR="00016969" w:rsidRPr="0011250D">
        <w:rPr>
          <w:rFonts w:ascii="Arial" w:hAnsi="Arial" w:cs="Arial"/>
          <w:sz w:val="20"/>
          <w:szCs w:val="20"/>
          <w:lang w:val="es-ES_tradnl"/>
        </w:rPr>
        <w:tab/>
      </w:r>
      <w:r w:rsidR="00016969" w:rsidRPr="0011250D">
        <w:rPr>
          <w:rFonts w:ascii="Arial" w:hAnsi="Arial" w:cs="Arial"/>
          <w:sz w:val="20"/>
          <w:szCs w:val="20"/>
          <w:lang w:val="es-ES_tradnl"/>
        </w:rPr>
        <w:tab/>
        <w:t>_____</w:t>
      </w:r>
    </w:p>
    <w:p w14:paraId="4F922E12" w14:textId="77777777" w:rsidR="00016969" w:rsidRPr="0011250D" w:rsidRDefault="0001696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Otro motivo (especificar)</w:t>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t>_____</w:t>
      </w:r>
    </w:p>
    <w:p w14:paraId="35FE51E4"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___________________________________________________</w:t>
      </w:r>
    </w:p>
    <w:p w14:paraId="78985A23"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07C6E768" w14:textId="77777777" w:rsidR="00605429" w:rsidRPr="0011250D" w:rsidRDefault="00605429"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 xml:space="preserve">¿Cuál es el motivo principal por el que las PYMES solicitan crédito a su institución? </w:t>
      </w:r>
    </w:p>
    <w:p w14:paraId="74A82977"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Para expandir el negocio</w:t>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t>_____</w:t>
      </w:r>
    </w:p>
    <w:p w14:paraId="724BAC45"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Para invertir en capital (compra de vehículos, equipo e inmuebles)</w:t>
      </w:r>
      <w:r w:rsidRPr="0011250D">
        <w:rPr>
          <w:rFonts w:ascii="Arial" w:hAnsi="Arial" w:cs="Arial"/>
          <w:sz w:val="20"/>
          <w:szCs w:val="20"/>
          <w:lang w:val="es-ES_tradnl"/>
        </w:rPr>
        <w:tab/>
        <w:t>_____</w:t>
      </w:r>
    </w:p>
    <w:p w14:paraId="5C1CBE96"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 xml:space="preserve">Para pagar deudas/pago de compromisos financieros </w:t>
      </w:r>
      <w:r w:rsidRPr="0011250D">
        <w:rPr>
          <w:rFonts w:ascii="Arial" w:hAnsi="Arial" w:cs="Arial"/>
          <w:sz w:val="20"/>
          <w:szCs w:val="20"/>
          <w:lang w:val="es-ES_tradnl"/>
        </w:rPr>
        <w:tab/>
      </w:r>
      <w:r w:rsidRPr="0011250D">
        <w:rPr>
          <w:rFonts w:ascii="Arial" w:hAnsi="Arial" w:cs="Arial"/>
          <w:sz w:val="20"/>
          <w:szCs w:val="20"/>
          <w:lang w:val="es-ES_tradnl"/>
        </w:rPr>
        <w:tab/>
        <w:t>_____</w:t>
      </w:r>
    </w:p>
    <w:p w14:paraId="55C87382"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En caso de ingresos insuficientes o pérdidas</w:t>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t>_____</w:t>
      </w:r>
    </w:p>
    <w:p w14:paraId="0604151A" w14:textId="77777777" w:rsidR="00016969" w:rsidRPr="0011250D" w:rsidRDefault="0001696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Otro motivo (especificar)</w:t>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t>_____</w:t>
      </w:r>
    </w:p>
    <w:p w14:paraId="65AA35DF"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_____________________________________________</w:t>
      </w:r>
    </w:p>
    <w:p w14:paraId="4DE1AB64" w14:textId="77777777" w:rsidR="00605429" w:rsidRPr="0011250D" w:rsidRDefault="00605429"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6578ED13" w14:textId="77777777" w:rsidR="00B157F6" w:rsidRPr="0011250D" w:rsidRDefault="00B157F6"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 xml:space="preserve">Su institución </w:t>
      </w:r>
      <w:r w:rsidR="00D40A40" w:rsidRPr="0011250D">
        <w:rPr>
          <w:rFonts w:ascii="Arial" w:hAnsi="Arial" w:cs="Arial"/>
          <w:sz w:val="20"/>
          <w:szCs w:val="20"/>
          <w:lang w:val="es-ES_tradnl"/>
        </w:rPr>
        <w:t>está</w:t>
      </w:r>
      <w:r w:rsidRPr="0011250D">
        <w:rPr>
          <w:rFonts w:ascii="Arial" w:hAnsi="Arial" w:cs="Arial"/>
          <w:sz w:val="20"/>
          <w:szCs w:val="20"/>
          <w:lang w:val="es-ES_tradnl"/>
        </w:rPr>
        <w:t xml:space="preserve"> en condiciones de evaluar y aprobar créditos a PYMES con base en:</w:t>
      </w:r>
    </w:p>
    <w:p w14:paraId="6B2BD242" w14:textId="77777777" w:rsidR="00B157F6" w:rsidRPr="0011250D" w:rsidRDefault="00016969"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Solo colateral</w:t>
      </w:r>
      <w:r w:rsidRPr="0011250D">
        <w:rPr>
          <w:rFonts w:ascii="Arial" w:hAnsi="Arial" w:cs="Arial"/>
          <w:sz w:val="20"/>
          <w:szCs w:val="20"/>
          <w:lang w:val="es-ES_tradnl"/>
        </w:rPr>
        <w:tab/>
      </w:r>
      <w:r w:rsidRPr="0011250D">
        <w:rPr>
          <w:rFonts w:ascii="Arial" w:hAnsi="Arial" w:cs="Arial"/>
          <w:sz w:val="20"/>
          <w:szCs w:val="20"/>
          <w:lang w:val="es-ES_tradnl"/>
        </w:rPr>
        <w:tab/>
      </w:r>
      <w:r w:rsidRPr="0011250D">
        <w:rPr>
          <w:rFonts w:ascii="Arial" w:hAnsi="Arial" w:cs="Arial"/>
          <w:sz w:val="20"/>
          <w:szCs w:val="20"/>
          <w:lang w:val="es-ES_tradnl"/>
        </w:rPr>
        <w:tab/>
      </w:r>
      <w:r w:rsidR="00B157F6" w:rsidRPr="0011250D">
        <w:rPr>
          <w:rFonts w:ascii="Arial" w:hAnsi="Arial" w:cs="Arial"/>
          <w:sz w:val="20"/>
          <w:szCs w:val="20"/>
          <w:lang w:val="es-ES_tradnl"/>
        </w:rPr>
        <w:t>_____</w:t>
      </w:r>
    </w:p>
    <w:p w14:paraId="0B2E1E73" w14:textId="77777777" w:rsidR="00B157F6" w:rsidRPr="0011250D" w:rsidRDefault="00B157F6"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 xml:space="preserve">Colateral y </w:t>
      </w:r>
      <w:r w:rsidRPr="0011250D">
        <w:rPr>
          <w:rFonts w:ascii="Arial" w:hAnsi="Arial" w:cs="Arial"/>
          <w:i/>
          <w:sz w:val="20"/>
          <w:szCs w:val="20"/>
          <w:lang w:val="es-ES_tradnl"/>
        </w:rPr>
        <w:t>cash flows</w:t>
      </w:r>
      <w:r w:rsidRPr="0011250D">
        <w:rPr>
          <w:rFonts w:ascii="Arial" w:hAnsi="Arial" w:cs="Arial"/>
          <w:sz w:val="20"/>
          <w:szCs w:val="20"/>
          <w:lang w:val="es-ES_tradnl"/>
        </w:rPr>
        <w:t xml:space="preserve"> del </w:t>
      </w:r>
      <w:r w:rsidR="00016969" w:rsidRPr="0011250D">
        <w:rPr>
          <w:rFonts w:ascii="Arial" w:hAnsi="Arial" w:cs="Arial"/>
          <w:sz w:val="20"/>
          <w:szCs w:val="20"/>
          <w:lang w:val="es-ES_tradnl"/>
        </w:rPr>
        <w:t>proyecto</w:t>
      </w:r>
      <w:r w:rsidR="00016969" w:rsidRPr="0011250D">
        <w:rPr>
          <w:rFonts w:ascii="Arial" w:hAnsi="Arial" w:cs="Arial"/>
          <w:sz w:val="20"/>
          <w:szCs w:val="20"/>
          <w:lang w:val="es-ES_tradnl"/>
        </w:rPr>
        <w:tab/>
      </w:r>
      <w:r w:rsidRPr="0011250D">
        <w:rPr>
          <w:rFonts w:ascii="Arial" w:hAnsi="Arial" w:cs="Arial"/>
          <w:sz w:val="20"/>
          <w:szCs w:val="20"/>
          <w:lang w:val="es-ES_tradnl"/>
        </w:rPr>
        <w:t>_____</w:t>
      </w:r>
    </w:p>
    <w:p w14:paraId="0352C79F" w14:textId="77777777" w:rsidR="00B157F6" w:rsidRPr="0011250D" w:rsidRDefault="00B157F6"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19C0C7D3" w14:textId="77777777" w:rsidR="00BB389E" w:rsidRPr="0011250D" w:rsidRDefault="00C96856"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¿Tiene su institución algún mecanismo establecido para mitigar los riesgos y costos incrementales de prestar a PYMES?</w:t>
      </w:r>
    </w:p>
    <w:p w14:paraId="13BEB1D0" w14:textId="77777777" w:rsidR="00F9255D" w:rsidRPr="0011250D" w:rsidRDefault="00A97838"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Si _____.</w:t>
      </w:r>
      <w:r w:rsidR="00C96856" w:rsidRPr="0011250D">
        <w:rPr>
          <w:rFonts w:ascii="Arial" w:hAnsi="Arial" w:cs="Arial"/>
          <w:sz w:val="20"/>
          <w:szCs w:val="20"/>
          <w:lang w:val="es-ES_tradnl"/>
        </w:rPr>
        <w:t xml:space="preserve"> </w:t>
      </w:r>
      <w:r w:rsidRPr="0011250D">
        <w:rPr>
          <w:rFonts w:ascii="Arial" w:hAnsi="Arial" w:cs="Arial"/>
          <w:sz w:val="20"/>
          <w:szCs w:val="20"/>
          <w:lang w:val="es-ES_tradnl"/>
        </w:rPr>
        <w:t>Especificar:</w:t>
      </w:r>
      <w:r w:rsidR="00F9255D" w:rsidRPr="0011250D">
        <w:rPr>
          <w:rFonts w:ascii="Arial" w:hAnsi="Arial" w:cs="Arial"/>
          <w:sz w:val="20"/>
          <w:szCs w:val="20"/>
          <w:lang w:val="es-ES_tradnl"/>
        </w:rPr>
        <w:t xml:space="preserve"> ______________</w:t>
      </w:r>
      <w:r w:rsidR="00016969" w:rsidRPr="0011250D">
        <w:rPr>
          <w:rFonts w:ascii="Arial" w:hAnsi="Arial" w:cs="Arial"/>
          <w:sz w:val="20"/>
          <w:szCs w:val="20"/>
          <w:lang w:val="es-ES_tradnl"/>
        </w:rPr>
        <w:t>___</w:t>
      </w:r>
      <w:r w:rsidR="00F9255D" w:rsidRPr="0011250D">
        <w:rPr>
          <w:rFonts w:ascii="Arial" w:hAnsi="Arial" w:cs="Arial"/>
          <w:sz w:val="20"/>
          <w:szCs w:val="20"/>
          <w:lang w:val="es-ES_tradnl"/>
        </w:rPr>
        <w:t>_________________________</w:t>
      </w:r>
    </w:p>
    <w:p w14:paraId="15B83FF9" w14:textId="77777777" w:rsidR="00F9255D" w:rsidRPr="0011250D" w:rsidRDefault="00F9255D"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No_____</w:t>
      </w:r>
    </w:p>
    <w:p w14:paraId="587AEAE7" w14:textId="77777777" w:rsidR="00F9255D" w:rsidRPr="0011250D" w:rsidRDefault="00F9255D" w:rsidP="001C7A81">
      <w:pPr>
        <w:pStyle w:val="ListParagraph"/>
        <w:autoSpaceDE w:val="0"/>
        <w:autoSpaceDN w:val="0"/>
        <w:adjustRightInd w:val="0"/>
        <w:spacing w:after="0" w:line="360" w:lineRule="auto"/>
        <w:ind w:left="360"/>
        <w:jc w:val="both"/>
        <w:rPr>
          <w:rFonts w:ascii="Arial" w:hAnsi="Arial" w:cs="Arial"/>
          <w:sz w:val="20"/>
          <w:szCs w:val="20"/>
          <w:lang w:val="es-ES_tradnl"/>
        </w:rPr>
      </w:pPr>
    </w:p>
    <w:p w14:paraId="7E9289A3" w14:textId="77777777" w:rsidR="00BB389E" w:rsidRPr="0011250D" w:rsidRDefault="00E20DAC"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lastRenderedPageBreak/>
        <w:t>¿Cuál es su valoración del riesgo, rentabilidad y costo de financiar PYMES, co</w:t>
      </w:r>
      <w:r w:rsidR="00016969" w:rsidRPr="0011250D">
        <w:rPr>
          <w:rFonts w:ascii="Arial" w:hAnsi="Arial" w:cs="Arial"/>
          <w:sz w:val="20"/>
          <w:szCs w:val="20"/>
          <w:lang w:val="es-ES_tradnl"/>
        </w:rPr>
        <w:t xml:space="preserve">n relación a </w:t>
      </w:r>
      <w:r w:rsidRPr="0011250D">
        <w:rPr>
          <w:rFonts w:ascii="Arial" w:hAnsi="Arial" w:cs="Arial"/>
          <w:sz w:val="20"/>
          <w:szCs w:val="20"/>
          <w:lang w:val="es-ES_tradnl"/>
        </w:rPr>
        <w:t>otro</w:t>
      </w:r>
      <w:r w:rsidR="00016969" w:rsidRPr="0011250D">
        <w:rPr>
          <w:rFonts w:ascii="Arial" w:hAnsi="Arial" w:cs="Arial"/>
          <w:sz w:val="20"/>
          <w:szCs w:val="20"/>
          <w:lang w:val="es-ES_tradnl"/>
        </w:rPr>
        <w:t xml:space="preserve"> tipo de</w:t>
      </w:r>
      <w:r w:rsidRPr="0011250D">
        <w:rPr>
          <w:rFonts w:ascii="Arial" w:hAnsi="Arial" w:cs="Arial"/>
          <w:sz w:val="20"/>
          <w:szCs w:val="20"/>
          <w:lang w:val="es-ES_tradnl"/>
        </w:rPr>
        <w:t xml:space="preserve"> clientes? Marque con una X la columna que considere apropiada para cada factor.</w:t>
      </w:r>
    </w:p>
    <w:tbl>
      <w:tblPr>
        <w:tblStyle w:val="TableGrid"/>
        <w:tblW w:w="8820" w:type="dxa"/>
        <w:tblInd w:w="355" w:type="dxa"/>
        <w:tblLook w:val="04A0" w:firstRow="1" w:lastRow="0" w:firstColumn="1" w:lastColumn="0" w:noHBand="0" w:noVBand="1"/>
      </w:tblPr>
      <w:tblGrid>
        <w:gridCol w:w="3150"/>
        <w:gridCol w:w="1890"/>
        <w:gridCol w:w="1890"/>
        <w:gridCol w:w="1890"/>
      </w:tblGrid>
      <w:tr w:rsidR="00E20DAC" w:rsidRPr="0011250D" w14:paraId="1B852E41" w14:textId="77777777" w:rsidTr="0034425C">
        <w:tc>
          <w:tcPr>
            <w:tcW w:w="3150" w:type="dxa"/>
          </w:tcPr>
          <w:p w14:paraId="56B73DBB"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b/>
                <w:sz w:val="20"/>
                <w:szCs w:val="20"/>
                <w:lang w:val="es-ES_tradnl"/>
              </w:rPr>
            </w:pPr>
          </w:p>
        </w:tc>
        <w:tc>
          <w:tcPr>
            <w:tcW w:w="1890" w:type="dxa"/>
          </w:tcPr>
          <w:p w14:paraId="4EC8112A"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Menor para PYMES que resto de clientes</w:t>
            </w:r>
          </w:p>
        </w:tc>
        <w:tc>
          <w:tcPr>
            <w:tcW w:w="1890" w:type="dxa"/>
          </w:tcPr>
          <w:p w14:paraId="6C47571D"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Igual para PYMES que resto de clientes</w:t>
            </w:r>
          </w:p>
        </w:tc>
        <w:tc>
          <w:tcPr>
            <w:tcW w:w="1890" w:type="dxa"/>
          </w:tcPr>
          <w:p w14:paraId="07E5F218"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Mayor para PYMES que resto de clientes</w:t>
            </w:r>
          </w:p>
        </w:tc>
      </w:tr>
      <w:tr w:rsidR="00E20DAC" w:rsidRPr="0011250D" w14:paraId="39202536" w14:textId="77777777" w:rsidTr="0034425C">
        <w:tc>
          <w:tcPr>
            <w:tcW w:w="3150" w:type="dxa"/>
          </w:tcPr>
          <w:p w14:paraId="5F4C3B8B"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Rentabilidad</w:t>
            </w:r>
          </w:p>
        </w:tc>
        <w:tc>
          <w:tcPr>
            <w:tcW w:w="1890" w:type="dxa"/>
          </w:tcPr>
          <w:p w14:paraId="0A952BBA"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890" w:type="dxa"/>
          </w:tcPr>
          <w:p w14:paraId="17BB2516"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890" w:type="dxa"/>
          </w:tcPr>
          <w:p w14:paraId="018A7E69"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E20DAC" w:rsidRPr="0011250D" w14:paraId="41C10FCB" w14:textId="77777777" w:rsidTr="0034425C">
        <w:tc>
          <w:tcPr>
            <w:tcW w:w="3150" w:type="dxa"/>
          </w:tcPr>
          <w:p w14:paraId="214062C2"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Riesgo (probabilidad de default)</w:t>
            </w:r>
          </w:p>
        </w:tc>
        <w:tc>
          <w:tcPr>
            <w:tcW w:w="1890" w:type="dxa"/>
          </w:tcPr>
          <w:p w14:paraId="3E197F1F"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890" w:type="dxa"/>
          </w:tcPr>
          <w:p w14:paraId="732EAF83"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890" w:type="dxa"/>
          </w:tcPr>
          <w:p w14:paraId="611019F7"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E20DAC" w:rsidRPr="0011250D" w14:paraId="2C25ABAF" w14:textId="77777777" w:rsidTr="0034425C">
        <w:trPr>
          <w:trHeight w:val="278"/>
        </w:trPr>
        <w:tc>
          <w:tcPr>
            <w:tcW w:w="3150" w:type="dxa"/>
          </w:tcPr>
          <w:p w14:paraId="2687AA47"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Costo administrativo</w:t>
            </w:r>
          </w:p>
        </w:tc>
        <w:tc>
          <w:tcPr>
            <w:tcW w:w="1890" w:type="dxa"/>
          </w:tcPr>
          <w:p w14:paraId="3D9C1CDE"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890" w:type="dxa"/>
          </w:tcPr>
          <w:p w14:paraId="290C3788"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890" w:type="dxa"/>
          </w:tcPr>
          <w:p w14:paraId="54BB2FCD" w14:textId="77777777" w:rsidR="00E20DAC" w:rsidRPr="0011250D" w:rsidRDefault="00E20DAC" w:rsidP="001C7A81">
            <w:pPr>
              <w:pStyle w:val="ListParagraph"/>
              <w:autoSpaceDE w:val="0"/>
              <w:autoSpaceDN w:val="0"/>
              <w:adjustRightInd w:val="0"/>
              <w:spacing w:line="360" w:lineRule="auto"/>
              <w:ind w:left="0"/>
              <w:jc w:val="both"/>
              <w:rPr>
                <w:rFonts w:ascii="Arial" w:hAnsi="Arial" w:cs="Arial"/>
                <w:sz w:val="18"/>
                <w:szCs w:val="20"/>
                <w:lang w:val="es-ES_tradnl"/>
              </w:rPr>
            </w:pPr>
          </w:p>
        </w:tc>
      </w:tr>
    </w:tbl>
    <w:p w14:paraId="3C3814BE" w14:textId="77777777" w:rsidR="00E20DAC" w:rsidRPr="0011250D" w:rsidRDefault="00E20DAC" w:rsidP="001C7A81">
      <w:pPr>
        <w:autoSpaceDE w:val="0"/>
        <w:autoSpaceDN w:val="0"/>
        <w:adjustRightInd w:val="0"/>
        <w:spacing w:after="0" w:line="360" w:lineRule="auto"/>
        <w:jc w:val="both"/>
        <w:rPr>
          <w:rFonts w:ascii="Arial" w:hAnsi="Arial" w:cs="Arial"/>
          <w:sz w:val="20"/>
          <w:szCs w:val="20"/>
          <w:lang w:val="es-ES_tradnl"/>
        </w:rPr>
      </w:pPr>
    </w:p>
    <w:p w14:paraId="4E809164" w14:textId="77777777" w:rsidR="00BB389E" w:rsidRPr="0011250D" w:rsidRDefault="002708B3"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¿Cuál es su percepción sobre el impacto que tienen los programas públicos de apoyo a financiamiento a PYMES sobre el negocio de su institución?</w:t>
      </w:r>
    </w:p>
    <w:tbl>
      <w:tblPr>
        <w:tblStyle w:val="TableGrid"/>
        <w:tblW w:w="8794" w:type="dxa"/>
        <w:tblInd w:w="355" w:type="dxa"/>
        <w:tblLook w:val="04A0" w:firstRow="1" w:lastRow="0" w:firstColumn="1" w:lastColumn="0" w:noHBand="0" w:noVBand="1"/>
      </w:tblPr>
      <w:tblGrid>
        <w:gridCol w:w="5310"/>
        <w:gridCol w:w="1167"/>
        <w:gridCol w:w="1167"/>
        <w:gridCol w:w="1150"/>
      </w:tblGrid>
      <w:tr w:rsidR="002708B3" w:rsidRPr="0011250D" w14:paraId="7B3ED76E" w14:textId="77777777" w:rsidTr="0034425C">
        <w:tc>
          <w:tcPr>
            <w:tcW w:w="5310" w:type="dxa"/>
          </w:tcPr>
          <w:p w14:paraId="35569766"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b/>
                <w:sz w:val="20"/>
                <w:szCs w:val="20"/>
                <w:lang w:val="es-ES_tradnl"/>
              </w:rPr>
            </w:pPr>
          </w:p>
        </w:tc>
        <w:tc>
          <w:tcPr>
            <w:tcW w:w="1167" w:type="dxa"/>
          </w:tcPr>
          <w:p w14:paraId="55FAF760"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No significativo</w:t>
            </w:r>
          </w:p>
        </w:tc>
        <w:tc>
          <w:tcPr>
            <w:tcW w:w="1167" w:type="dxa"/>
          </w:tcPr>
          <w:p w14:paraId="17F0F71E"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Poco significativo</w:t>
            </w:r>
          </w:p>
        </w:tc>
        <w:tc>
          <w:tcPr>
            <w:tcW w:w="1150" w:type="dxa"/>
          </w:tcPr>
          <w:p w14:paraId="1244FA31"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b/>
                <w:sz w:val="16"/>
                <w:szCs w:val="20"/>
                <w:lang w:val="es-ES_tradnl"/>
              </w:rPr>
            </w:pPr>
            <w:r w:rsidRPr="0011250D">
              <w:rPr>
                <w:rFonts w:ascii="Arial" w:hAnsi="Arial" w:cs="Arial"/>
                <w:b/>
                <w:sz w:val="16"/>
                <w:szCs w:val="20"/>
                <w:lang w:val="es-ES_tradnl"/>
              </w:rPr>
              <w:t>Muy significativo</w:t>
            </w:r>
          </w:p>
        </w:tc>
      </w:tr>
      <w:tr w:rsidR="002708B3" w:rsidRPr="00A40D7A" w14:paraId="7F289107" w14:textId="77777777" w:rsidTr="0034425C">
        <w:tc>
          <w:tcPr>
            <w:tcW w:w="5310" w:type="dxa"/>
          </w:tcPr>
          <w:p w14:paraId="34DB888E" w14:textId="77777777" w:rsidR="002708B3" w:rsidRPr="0011250D" w:rsidRDefault="002708B3" w:rsidP="001C7A81">
            <w:pPr>
              <w:autoSpaceDE w:val="0"/>
              <w:autoSpaceDN w:val="0"/>
              <w:adjustRightInd w:val="0"/>
              <w:spacing w:line="360" w:lineRule="auto"/>
              <w:jc w:val="both"/>
              <w:rPr>
                <w:rFonts w:ascii="Arial" w:hAnsi="Arial" w:cs="Arial"/>
                <w:sz w:val="18"/>
                <w:szCs w:val="20"/>
                <w:lang w:val="es-ES_tradnl"/>
              </w:rPr>
            </w:pPr>
            <w:r w:rsidRPr="0011250D">
              <w:rPr>
                <w:rFonts w:ascii="Arial" w:hAnsi="Arial" w:cs="Arial"/>
                <w:sz w:val="18"/>
                <w:szCs w:val="20"/>
                <w:lang w:val="es-ES_tradnl"/>
              </w:rPr>
              <w:t>Programas de financiamiento (cond</w:t>
            </w:r>
            <w:r w:rsidR="0034425C" w:rsidRPr="0011250D">
              <w:rPr>
                <w:rFonts w:ascii="Arial" w:hAnsi="Arial" w:cs="Arial"/>
                <w:sz w:val="18"/>
                <w:szCs w:val="20"/>
                <w:lang w:val="es-ES_tradnl"/>
              </w:rPr>
              <w:t xml:space="preserve">iciones preferenciales en tasas y/o </w:t>
            </w:r>
            <w:r w:rsidRPr="0011250D">
              <w:rPr>
                <w:rFonts w:ascii="Arial" w:hAnsi="Arial" w:cs="Arial"/>
                <w:sz w:val="18"/>
                <w:szCs w:val="20"/>
                <w:lang w:val="es-ES_tradnl"/>
              </w:rPr>
              <w:t>plazo</w:t>
            </w:r>
            <w:r w:rsidR="0034425C" w:rsidRPr="0011250D">
              <w:rPr>
                <w:rFonts w:ascii="Arial" w:hAnsi="Arial" w:cs="Arial"/>
                <w:sz w:val="18"/>
                <w:szCs w:val="20"/>
                <w:lang w:val="es-ES_tradnl"/>
              </w:rPr>
              <w:t>s</w:t>
            </w:r>
            <w:r w:rsidRPr="0011250D">
              <w:rPr>
                <w:rFonts w:ascii="Arial" w:hAnsi="Arial" w:cs="Arial"/>
                <w:sz w:val="18"/>
                <w:szCs w:val="20"/>
                <w:lang w:val="es-ES_tradnl"/>
              </w:rPr>
              <w:t>)</w:t>
            </w:r>
          </w:p>
        </w:tc>
        <w:tc>
          <w:tcPr>
            <w:tcW w:w="1167" w:type="dxa"/>
          </w:tcPr>
          <w:p w14:paraId="65127125"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7" w:type="dxa"/>
          </w:tcPr>
          <w:p w14:paraId="0F8B962D"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790CE7E1"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2708B3" w:rsidRPr="0011250D" w14:paraId="4A45B20C" w14:textId="77777777" w:rsidTr="0034425C">
        <w:trPr>
          <w:trHeight w:val="80"/>
        </w:trPr>
        <w:tc>
          <w:tcPr>
            <w:tcW w:w="5310" w:type="dxa"/>
          </w:tcPr>
          <w:p w14:paraId="5250C821" w14:textId="77777777" w:rsidR="002708B3" w:rsidRPr="0011250D" w:rsidRDefault="002708B3" w:rsidP="001C7A81">
            <w:pPr>
              <w:autoSpaceDE w:val="0"/>
              <w:autoSpaceDN w:val="0"/>
              <w:adjustRightInd w:val="0"/>
              <w:spacing w:line="360" w:lineRule="auto"/>
              <w:jc w:val="both"/>
              <w:rPr>
                <w:rFonts w:ascii="Arial" w:hAnsi="Arial" w:cs="Arial"/>
                <w:sz w:val="18"/>
                <w:szCs w:val="20"/>
                <w:lang w:val="es-ES_tradnl"/>
              </w:rPr>
            </w:pPr>
            <w:r w:rsidRPr="0011250D">
              <w:rPr>
                <w:rFonts w:ascii="Arial" w:hAnsi="Arial" w:cs="Arial"/>
                <w:sz w:val="18"/>
                <w:szCs w:val="20"/>
                <w:lang w:val="es-ES_tradnl"/>
              </w:rPr>
              <w:t>Programas de garantías</w:t>
            </w:r>
          </w:p>
        </w:tc>
        <w:tc>
          <w:tcPr>
            <w:tcW w:w="1167" w:type="dxa"/>
          </w:tcPr>
          <w:p w14:paraId="001A8D4F"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7" w:type="dxa"/>
          </w:tcPr>
          <w:p w14:paraId="15ABB1B8"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76CDA527"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2708B3" w:rsidRPr="0011250D" w14:paraId="5F5F5A89" w14:textId="77777777" w:rsidTr="0034425C">
        <w:trPr>
          <w:trHeight w:val="143"/>
        </w:trPr>
        <w:tc>
          <w:tcPr>
            <w:tcW w:w="5310" w:type="dxa"/>
          </w:tcPr>
          <w:p w14:paraId="6ECC6387"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Líneas dedicadas a través de banca publica</w:t>
            </w:r>
          </w:p>
        </w:tc>
        <w:tc>
          <w:tcPr>
            <w:tcW w:w="1167" w:type="dxa"/>
          </w:tcPr>
          <w:p w14:paraId="321324D6"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7" w:type="dxa"/>
          </w:tcPr>
          <w:p w14:paraId="2378E3B6"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6FC478E8"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2708B3" w:rsidRPr="0011250D" w14:paraId="3515AF9B" w14:textId="77777777" w:rsidTr="0034425C">
        <w:trPr>
          <w:trHeight w:val="40"/>
        </w:trPr>
        <w:tc>
          <w:tcPr>
            <w:tcW w:w="5310" w:type="dxa"/>
          </w:tcPr>
          <w:p w14:paraId="68211627"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Entrenamiento y capacitación</w:t>
            </w:r>
          </w:p>
        </w:tc>
        <w:tc>
          <w:tcPr>
            <w:tcW w:w="1167" w:type="dxa"/>
          </w:tcPr>
          <w:p w14:paraId="585BD4F2"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7" w:type="dxa"/>
          </w:tcPr>
          <w:p w14:paraId="56052EA4"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1FDB248B"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2708B3" w:rsidRPr="00A40D7A" w14:paraId="35CEB003" w14:textId="77777777" w:rsidTr="0034425C">
        <w:trPr>
          <w:trHeight w:val="80"/>
        </w:trPr>
        <w:tc>
          <w:tcPr>
            <w:tcW w:w="5310" w:type="dxa"/>
          </w:tcPr>
          <w:p w14:paraId="1BFE8F3F"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Creación/mejora de buros de crédito</w:t>
            </w:r>
          </w:p>
        </w:tc>
        <w:tc>
          <w:tcPr>
            <w:tcW w:w="1167" w:type="dxa"/>
          </w:tcPr>
          <w:p w14:paraId="0FCA37BC"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7" w:type="dxa"/>
          </w:tcPr>
          <w:p w14:paraId="5BC8E496"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44F63EA9"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r>
      <w:tr w:rsidR="002708B3" w:rsidRPr="0011250D" w14:paraId="5EF2B693" w14:textId="77777777" w:rsidTr="0034425C">
        <w:trPr>
          <w:trHeight w:val="521"/>
        </w:trPr>
        <w:tc>
          <w:tcPr>
            <w:tcW w:w="5310" w:type="dxa"/>
          </w:tcPr>
          <w:p w14:paraId="55433C07"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r w:rsidRPr="0011250D">
              <w:rPr>
                <w:rFonts w:ascii="Arial" w:hAnsi="Arial" w:cs="Arial"/>
                <w:sz w:val="18"/>
                <w:szCs w:val="20"/>
                <w:lang w:val="es-ES_tradnl"/>
              </w:rPr>
              <w:t>Otros incentivos (especificar): ____________________________</w:t>
            </w:r>
            <w:r w:rsidR="0034425C" w:rsidRPr="0011250D">
              <w:rPr>
                <w:rFonts w:ascii="Arial" w:hAnsi="Arial" w:cs="Arial"/>
                <w:sz w:val="18"/>
                <w:szCs w:val="20"/>
                <w:lang w:val="es-ES_tradnl"/>
              </w:rPr>
              <w:t>______________________</w:t>
            </w:r>
          </w:p>
        </w:tc>
        <w:tc>
          <w:tcPr>
            <w:tcW w:w="1167" w:type="dxa"/>
          </w:tcPr>
          <w:p w14:paraId="0F62C9B0"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67" w:type="dxa"/>
          </w:tcPr>
          <w:p w14:paraId="5BE0230D"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c>
          <w:tcPr>
            <w:tcW w:w="1150" w:type="dxa"/>
          </w:tcPr>
          <w:p w14:paraId="40AD99D1" w14:textId="77777777" w:rsidR="002708B3" w:rsidRPr="0011250D" w:rsidRDefault="002708B3" w:rsidP="001C7A81">
            <w:pPr>
              <w:pStyle w:val="ListParagraph"/>
              <w:autoSpaceDE w:val="0"/>
              <w:autoSpaceDN w:val="0"/>
              <w:adjustRightInd w:val="0"/>
              <w:spacing w:line="360" w:lineRule="auto"/>
              <w:ind w:left="0"/>
              <w:jc w:val="both"/>
              <w:rPr>
                <w:rFonts w:ascii="Arial" w:hAnsi="Arial" w:cs="Arial"/>
                <w:sz w:val="18"/>
                <w:szCs w:val="20"/>
                <w:lang w:val="es-ES_tradnl"/>
              </w:rPr>
            </w:pPr>
          </w:p>
        </w:tc>
      </w:tr>
    </w:tbl>
    <w:p w14:paraId="20530277" w14:textId="77777777" w:rsidR="002708B3" w:rsidRPr="0011250D" w:rsidRDefault="002708B3" w:rsidP="001C7A81">
      <w:pPr>
        <w:pStyle w:val="ListParagraph"/>
        <w:autoSpaceDE w:val="0"/>
        <w:autoSpaceDN w:val="0"/>
        <w:adjustRightInd w:val="0"/>
        <w:spacing w:after="0" w:line="360" w:lineRule="auto"/>
        <w:jc w:val="both"/>
        <w:rPr>
          <w:rFonts w:ascii="Arial" w:hAnsi="Arial" w:cs="Arial"/>
          <w:sz w:val="20"/>
          <w:szCs w:val="20"/>
          <w:lang w:val="es-ES_tradnl"/>
        </w:rPr>
      </w:pPr>
    </w:p>
    <w:p w14:paraId="2B9259A3" w14:textId="77777777" w:rsidR="002708B3" w:rsidRPr="0011250D" w:rsidRDefault="002708B3" w:rsidP="001C7A81">
      <w:pPr>
        <w:pStyle w:val="ListParagraph"/>
        <w:numPr>
          <w:ilvl w:val="0"/>
          <w:numId w:val="2"/>
        </w:numPr>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En su opinión, ¿más instituciones financieras prestarían más a clientes PYME si ven que otras instituciones o bancos también están prestando a PYMES?</w:t>
      </w:r>
    </w:p>
    <w:p w14:paraId="288583DB" w14:textId="77777777" w:rsidR="002708B3" w:rsidRPr="0011250D" w:rsidRDefault="00D40A40" w:rsidP="001C7A81">
      <w:pPr>
        <w:pStyle w:val="ListParagraph"/>
        <w:autoSpaceDE w:val="0"/>
        <w:autoSpaceDN w:val="0"/>
        <w:adjustRightInd w:val="0"/>
        <w:spacing w:after="0" w:line="360" w:lineRule="auto"/>
        <w:ind w:left="360"/>
        <w:jc w:val="both"/>
        <w:rPr>
          <w:rFonts w:ascii="Arial" w:hAnsi="Arial" w:cs="Arial"/>
          <w:sz w:val="20"/>
          <w:szCs w:val="20"/>
          <w:lang w:val="es-ES_tradnl"/>
        </w:rPr>
      </w:pPr>
      <w:r w:rsidRPr="0011250D">
        <w:rPr>
          <w:rFonts w:ascii="Arial" w:hAnsi="Arial" w:cs="Arial"/>
          <w:sz w:val="20"/>
          <w:szCs w:val="20"/>
          <w:lang w:val="es-ES_tradnl"/>
        </w:rPr>
        <w:t>Sí</w:t>
      </w:r>
      <w:r w:rsidR="002708B3" w:rsidRPr="0011250D">
        <w:rPr>
          <w:rFonts w:ascii="Arial" w:hAnsi="Arial" w:cs="Arial"/>
          <w:sz w:val="20"/>
          <w:szCs w:val="20"/>
          <w:lang w:val="es-ES_tradnl"/>
        </w:rPr>
        <w:t xml:space="preserve"> _______</w:t>
      </w:r>
      <w:r w:rsidR="002708B3" w:rsidRPr="0011250D">
        <w:rPr>
          <w:rFonts w:ascii="Arial" w:hAnsi="Arial" w:cs="Arial"/>
          <w:sz w:val="20"/>
          <w:szCs w:val="20"/>
          <w:lang w:val="es-ES_tradnl"/>
        </w:rPr>
        <w:tab/>
      </w:r>
      <w:r w:rsidR="002708B3" w:rsidRPr="0011250D">
        <w:rPr>
          <w:rFonts w:ascii="Arial" w:hAnsi="Arial" w:cs="Arial"/>
          <w:sz w:val="20"/>
          <w:szCs w:val="20"/>
          <w:lang w:val="es-ES_tradnl"/>
        </w:rPr>
        <w:tab/>
        <w:t>No ________</w:t>
      </w:r>
    </w:p>
    <w:p w14:paraId="25202088" w14:textId="77777777" w:rsidR="002708B3" w:rsidRPr="0011250D" w:rsidRDefault="002708B3" w:rsidP="001C7A81">
      <w:pPr>
        <w:pStyle w:val="ListParagraph"/>
        <w:autoSpaceDE w:val="0"/>
        <w:autoSpaceDN w:val="0"/>
        <w:adjustRightInd w:val="0"/>
        <w:spacing w:after="0" w:line="360" w:lineRule="auto"/>
        <w:jc w:val="both"/>
        <w:rPr>
          <w:rFonts w:ascii="Arial" w:hAnsi="Arial" w:cs="Arial"/>
          <w:sz w:val="20"/>
          <w:szCs w:val="20"/>
          <w:lang w:val="es-ES_tradnl"/>
        </w:rPr>
      </w:pPr>
    </w:p>
    <w:p w14:paraId="5C8CCF2E" w14:textId="77777777" w:rsidR="00BC0E43" w:rsidRPr="0011250D" w:rsidRDefault="00BC0E43" w:rsidP="001C7A81">
      <w:pPr>
        <w:pStyle w:val="ListParagraph"/>
        <w:autoSpaceDE w:val="0"/>
        <w:autoSpaceDN w:val="0"/>
        <w:adjustRightInd w:val="0"/>
        <w:spacing w:after="0" w:line="360" w:lineRule="auto"/>
        <w:jc w:val="both"/>
        <w:rPr>
          <w:rFonts w:ascii="Arial" w:hAnsi="Arial" w:cs="Arial"/>
          <w:sz w:val="20"/>
          <w:szCs w:val="20"/>
          <w:lang w:val="es-ES_tradnl"/>
        </w:rPr>
      </w:pPr>
    </w:p>
    <w:p w14:paraId="20F50662" w14:textId="77777777" w:rsidR="00B157F6" w:rsidRPr="0011250D" w:rsidRDefault="00B157F6" w:rsidP="001C7A81">
      <w:pPr>
        <w:spacing w:after="0" w:line="360" w:lineRule="auto"/>
        <w:jc w:val="both"/>
        <w:rPr>
          <w:rFonts w:ascii="Arial" w:eastAsia="Times New Roman" w:hAnsi="Arial" w:cs="Arial"/>
          <w:i/>
          <w:sz w:val="20"/>
          <w:szCs w:val="20"/>
          <w:lang w:val="es-ES_tradnl"/>
        </w:rPr>
      </w:pPr>
      <w:r w:rsidRPr="0011250D">
        <w:rPr>
          <w:rFonts w:ascii="Arial" w:eastAsia="Times New Roman" w:hAnsi="Arial" w:cs="Arial"/>
          <w:i/>
          <w:iCs/>
          <w:sz w:val="20"/>
          <w:szCs w:val="20"/>
          <w:lang w:val="es-ES_tradnl"/>
        </w:rPr>
        <w:t xml:space="preserve">Gracias por apoyar las iniciativas de </w:t>
      </w:r>
      <w:r w:rsidR="00642C0D" w:rsidRPr="0011250D">
        <w:rPr>
          <w:rFonts w:ascii="Arial" w:eastAsia="Times New Roman" w:hAnsi="Arial" w:cs="Arial"/>
          <w:i/>
          <w:iCs/>
          <w:sz w:val="20"/>
          <w:szCs w:val="20"/>
          <w:lang w:val="es-ES_tradnl"/>
        </w:rPr>
        <w:t xml:space="preserve">BICE </w:t>
      </w:r>
      <w:r w:rsidRPr="0011250D">
        <w:rPr>
          <w:rFonts w:ascii="Arial" w:eastAsia="Times New Roman" w:hAnsi="Arial" w:cs="Arial"/>
          <w:i/>
          <w:iCs/>
          <w:sz w:val="20"/>
          <w:szCs w:val="20"/>
          <w:lang w:val="es-ES_tradnl"/>
        </w:rPr>
        <w:t>y del BID.</w:t>
      </w:r>
      <w:r w:rsidRPr="0011250D">
        <w:rPr>
          <w:rFonts w:ascii="Arial" w:eastAsia="Times New Roman" w:hAnsi="Arial" w:cs="Arial"/>
          <w:i/>
          <w:sz w:val="20"/>
          <w:szCs w:val="20"/>
          <w:lang w:val="es-ES_tradnl"/>
        </w:rPr>
        <w:t xml:space="preserve"> Su colaboración nos </w:t>
      </w:r>
      <w:r w:rsidR="00655CC6" w:rsidRPr="0011250D">
        <w:rPr>
          <w:rFonts w:ascii="Arial" w:eastAsia="Times New Roman" w:hAnsi="Arial" w:cs="Arial"/>
          <w:i/>
          <w:sz w:val="20"/>
          <w:szCs w:val="20"/>
          <w:lang w:val="es-ES_tradnl"/>
        </w:rPr>
        <w:t>ayudará</w:t>
      </w:r>
      <w:r w:rsidRPr="0011250D">
        <w:rPr>
          <w:rFonts w:ascii="Arial" w:eastAsia="Times New Roman" w:hAnsi="Arial" w:cs="Arial"/>
          <w:i/>
          <w:sz w:val="20"/>
          <w:szCs w:val="20"/>
          <w:lang w:val="es-ES_tradnl"/>
        </w:rPr>
        <w:t xml:space="preserve"> a finalizar </w:t>
      </w:r>
      <w:r w:rsidR="00655CC6" w:rsidRPr="0011250D">
        <w:rPr>
          <w:rFonts w:ascii="Arial" w:eastAsia="Times New Roman" w:hAnsi="Arial" w:cs="Arial"/>
          <w:i/>
          <w:sz w:val="20"/>
          <w:szCs w:val="20"/>
          <w:lang w:val="es-ES_tradnl"/>
        </w:rPr>
        <w:t>los</w:t>
      </w:r>
      <w:r w:rsidRPr="0011250D">
        <w:rPr>
          <w:rFonts w:ascii="Arial" w:eastAsia="Times New Roman" w:hAnsi="Arial" w:cs="Arial"/>
          <w:i/>
          <w:sz w:val="20"/>
          <w:szCs w:val="20"/>
          <w:lang w:val="es-ES_tradnl"/>
        </w:rPr>
        <w:t xml:space="preserve"> documento</w:t>
      </w:r>
      <w:r w:rsidR="00655CC6" w:rsidRPr="0011250D">
        <w:rPr>
          <w:rFonts w:ascii="Arial" w:eastAsia="Times New Roman" w:hAnsi="Arial" w:cs="Arial"/>
          <w:i/>
          <w:sz w:val="20"/>
          <w:szCs w:val="20"/>
          <w:lang w:val="es-ES_tradnl"/>
        </w:rPr>
        <w:t xml:space="preserve">s </w:t>
      </w:r>
      <w:r w:rsidRPr="0011250D">
        <w:rPr>
          <w:rFonts w:ascii="Arial" w:eastAsia="Times New Roman" w:hAnsi="Arial" w:cs="Arial"/>
          <w:i/>
          <w:sz w:val="20"/>
          <w:szCs w:val="20"/>
          <w:lang w:val="es-ES_tradnl"/>
        </w:rPr>
        <w:t xml:space="preserve">que se </w:t>
      </w:r>
      <w:r w:rsidR="00655CC6" w:rsidRPr="0011250D">
        <w:rPr>
          <w:rFonts w:ascii="Arial" w:eastAsia="Times New Roman" w:hAnsi="Arial" w:cs="Arial"/>
          <w:i/>
          <w:sz w:val="20"/>
          <w:szCs w:val="20"/>
          <w:lang w:val="es-ES_tradnl"/>
        </w:rPr>
        <w:t>usarán</w:t>
      </w:r>
      <w:r w:rsidRPr="0011250D">
        <w:rPr>
          <w:rFonts w:ascii="Arial" w:eastAsia="Times New Roman" w:hAnsi="Arial" w:cs="Arial"/>
          <w:i/>
          <w:sz w:val="20"/>
          <w:szCs w:val="20"/>
          <w:lang w:val="es-ES_tradnl"/>
        </w:rPr>
        <w:t xml:space="preserve"> para la aplicación al uso de fondos concesionales y de donación</w:t>
      </w:r>
      <w:r w:rsidR="00655CC6" w:rsidRPr="0011250D">
        <w:rPr>
          <w:rFonts w:ascii="Arial" w:eastAsia="Times New Roman" w:hAnsi="Arial" w:cs="Arial"/>
          <w:i/>
          <w:sz w:val="20"/>
          <w:szCs w:val="20"/>
          <w:lang w:val="es-ES_tradnl"/>
        </w:rPr>
        <w:t xml:space="preserve"> del GCF</w:t>
      </w:r>
      <w:r w:rsidRPr="0011250D">
        <w:rPr>
          <w:rFonts w:ascii="Arial" w:eastAsia="Times New Roman" w:hAnsi="Arial" w:cs="Arial"/>
          <w:i/>
          <w:sz w:val="20"/>
          <w:szCs w:val="20"/>
          <w:lang w:val="es-ES_tradnl"/>
        </w:rPr>
        <w:t xml:space="preserve">. </w:t>
      </w:r>
    </w:p>
    <w:p w14:paraId="73029BF0" w14:textId="77777777" w:rsidR="00B157F6" w:rsidRPr="0011250D" w:rsidRDefault="00B157F6" w:rsidP="001C7A81">
      <w:pPr>
        <w:spacing w:after="0" w:line="360" w:lineRule="auto"/>
        <w:jc w:val="both"/>
        <w:rPr>
          <w:rFonts w:ascii="Arial" w:eastAsia="Times New Roman" w:hAnsi="Arial" w:cs="Arial"/>
          <w:sz w:val="20"/>
          <w:szCs w:val="20"/>
          <w:lang w:val="es-ES_tradnl"/>
        </w:rPr>
      </w:pPr>
    </w:p>
    <w:tbl>
      <w:tblPr>
        <w:tblStyle w:val="TableGrid"/>
        <w:tblW w:w="9355" w:type="dxa"/>
        <w:tblLook w:val="04A0" w:firstRow="1" w:lastRow="0" w:firstColumn="1" w:lastColumn="0" w:noHBand="0" w:noVBand="1"/>
      </w:tblPr>
      <w:tblGrid>
        <w:gridCol w:w="3415"/>
        <w:gridCol w:w="5940"/>
      </w:tblGrid>
      <w:tr w:rsidR="00655CC6" w:rsidRPr="00A40D7A" w14:paraId="7849FE42" w14:textId="77777777" w:rsidTr="0034425C">
        <w:tc>
          <w:tcPr>
            <w:tcW w:w="3415" w:type="dxa"/>
          </w:tcPr>
          <w:p w14:paraId="46254B2F" w14:textId="77777777" w:rsidR="00B157F6" w:rsidRPr="0011250D" w:rsidRDefault="00B157F6" w:rsidP="001C7A81">
            <w:pPr>
              <w:spacing w:line="360" w:lineRule="auto"/>
              <w:jc w:val="both"/>
              <w:rPr>
                <w:rFonts w:ascii="Arial" w:eastAsia="Times New Roman" w:hAnsi="Arial" w:cs="Arial"/>
                <w:i/>
                <w:sz w:val="20"/>
                <w:szCs w:val="20"/>
                <w:lang w:val="es-ES_tradnl"/>
              </w:rPr>
            </w:pPr>
            <w:r w:rsidRPr="0011250D">
              <w:rPr>
                <w:rFonts w:ascii="Arial" w:eastAsia="Times New Roman" w:hAnsi="Arial" w:cs="Arial"/>
                <w:i/>
                <w:sz w:val="20"/>
                <w:szCs w:val="20"/>
                <w:lang w:val="es-ES_tradnl"/>
              </w:rPr>
              <w:t>Nombre de la institución financiera:</w:t>
            </w:r>
          </w:p>
        </w:tc>
        <w:tc>
          <w:tcPr>
            <w:tcW w:w="5940" w:type="dxa"/>
          </w:tcPr>
          <w:p w14:paraId="1FC233CD" w14:textId="77777777" w:rsidR="00B157F6" w:rsidRPr="0011250D" w:rsidRDefault="00B157F6" w:rsidP="001C7A81">
            <w:pPr>
              <w:spacing w:line="360" w:lineRule="auto"/>
              <w:jc w:val="both"/>
              <w:rPr>
                <w:rFonts w:ascii="Arial" w:eastAsia="Times New Roman" w:hAnsi="Arial" w:cs="Arial"/>
                <w:i/>
                <w:sz w:val="20"/>
                <w:szCs w:val="20"/>
                <w:lang w:val="es-ES_tradnl"/>
              </w:rPr>
            </w:pPr>
          </w:p>
        </w:tc>
      </w:tr>
      <w:tr w:rsidR="00655CC6" w:rsidRPr="00A40D7A" w14:paraId="0C78DEB2" w14:textId="77777777" w:rsidTr="0034425C">
        <w:tc>
          <w:tcPr>
            <w:tcW w:w="3415" w:type="dxa"/>
          </w:tcPr>
          <w:p w14:paraId="49AC326C" w14:textId="77777777" w:rsidR="00B157F6" w:rsidRPr="0011250D" w:rsidRDefault="00B157F6" w:rsidP="001C7A81">
            <w:pPr>
              <w:spacing w:line="360" w:lineRule="auto"/>
              <w:jc w:val="both"/>
              <w:rPr>
                <w:rFonts w:ascii="Arial" w:eastAsia="Times New Roman" w:hAnsi="Arial" w:cs="Arial"/>
                <w:i/>
                <w:sz w:val="20"/>
                <w:szCs w:val="20"/>
                <w:lang w:val="es-ES_tradnl"/>
              </w:rPr>
            </w:pPr>
            <w:r w:rsidRPr="0011250D">
              <w:rPr>
                <w:rFonts w:ascii="Arial" w:eastAsia="Times New Roman" w:hAnsi="Arial" w:cs="Arial"/>
                <w:i/>
                <w:sz w:val="20"/>
                <w:szCs w:val="20"/>
                <w:lang w:val="es-ES_tradnl"/>
              </w:rPr>
              <w:t>Tipo de institución financiera</w:t>
            </w:r>
          </w:p>
          <w:p w14:paraId="6E172A3B" w14:textId="77777777" w:rsidR="00B157F6" w:rsidRPr="0011250D" w:rsidRDefault="00B157F6" w:rsidP="001C7A81">
            <w:pPr>
              <w:spacing w:line="360" w:lineRule="auto"/>
              <w:jc w:val="both"/>
              <w:rPr>
                <w:rFonts w:ascii="Arial" w:eastAsia="Times New Roman" w:hAnsi="Arial" w:cs="Arial"/>
                <w:i/>
                <w:sz w:val="18"/>
                <w:szCs w:val="20"/>
                <w:lang w:val="es-ES_tradnl"/>
              </w:rPr>
            </w:pPr>
            <w:r w:rsidRPr="0011250D">
              <w:rPr>
                <w:rFonts w:ascii="Arial" w:eastAsia="Times New Roman" w:hAnsi="Arial" w:cs="Arial"/>
                <w:i/>
                <w:sz w:val="16"/>
                <w:szCs w:val="20"/>
                <w:lang w:val="es-ES_tradnl"/>
              </w:rPr>
              <w:t>(banco comercial, cooperativa de ahorro y crédito, institución no bancaria (especificar)</w:t>
            </w:r>
          </w:p>
        </w:tc>
        <w:tc>
          <w:tcPr>
            <w:tcW w:w="5940" w:type="dxa"/>
          </w:tcPr>
          <w:p w14:paraId="09BC00D7" w14:textId="77777777" w:rsidR="00B157F6" w:rsidRPr="0011250D" w:rsidRDefault="00B157F6" w:rsidP="001C7A81">
            <w:pPr>
              <w:spacing w:line="360" w:lineRule="auto"/>
              <w:jc w:val="both"/>
              <w:rPr>
                <w:rFonts w:ascii="Arial" w:eastAsia="Times New Roman" w:hAnsi="Arial" w:cs="Arial"/>
                <w:i/>
                <w:sz w:val="20"/>
                <w:szCs w:val="20"/>
                <w:lang w:val="es-ES_tradnl"/>
              </w:rPr>
            </w:pPr>
          </w:p>
        </w:tc>
      </w:tr>
      <w:tr w:rsidR="00655CC6" w:rsidRPr="0011250D" w14:paraId="7D1F5AA2" w14:textId="77777777" w:rsidTr="0034425C">
        <w:tc>
          <w:tcPr>
            <w:tcW w:w="3415" w:type="dxa"/>
          </w:tcPr>
          <w:p w14:paraId="14041B0C" w14:textId="77777777" w:rsidR="00B157F6" w:rsidRPr="0011250D" w:rsidRDefault="00B157F6" w:rsidP="001C7A81">
            <w:pPr>
              <w:spacing w:line="360" w:lineRule="auto"/>
              <w:jc w:val="both"/>
              <w:rPr>
                <w:rFonts w:ascii="Arial" w:eastAsia="Times New Roman" w:hAnsi="Arial" w:cs="Arial"/>
                <w:i/>
                <w:sz w:val="20"/>
                <w:szCs w:val="20"/>
                <w:lang w:val="es-ES_tradnl"/>
              </w:rPr>
            </w:pPr>
            <w:r w:rsidRPr="0011250D">
              <w:rPr>
                <w:rFonts w:ascii="Arial" w:eastAsia="Times New Roman" w:hAnsi="Arial" w:cs="Arial"/>
                <w:i/>
                <w:sz w:val="20"/>
                <w:szCs w:val="20"/>
                <w:lang w:val="es-ES_tradnl"/>
              </w:rPr>
              <w:t>Nombre de quien responde:</w:t>
            </w:r>
          </w:p>
        </w:tc>
        <w:tc>
          <w:tcPr>
            <w:tcW w:w="5940" w:type="dxa"/>
          </w:tcPr>
          <w:p w14:paraId="7C8E60AA" w14:textId="77777777" w:rsidR="00B157F6" w:rsidRPr="0011250D" w:rsidRDefault="00B157F6" w:rsidP="001C7A81">
            <w:pPr>
              <w:spacing w:line="360" w:lineRule="auto"/>
              <w:jc w:val="both"/>
              <w:rPr>
                <w:rFonts w:ascii="Arial" w:eastAsia="Times New Roman" w:hAnsi="Arial" w:cs="Arial"/>
                <w:i/>
                <w:sz w:val="20"/>
                <w:szCs w:val="20"/>
                <w:lang w:val="es-ES_tradnl"/>
              </w:rPr>
            </w:pPr>
          </w:p>
        </w:tc>
      </w:tr>
      <w:tr w:rsidR="00655CC6" w:rsidRPr="0011250D" w14:paraId="1185DF1B" w14:textId="77777777" w:rsidTr="0034425C">
        <w:tc>
          <w:tcPr>
            <w:tcW w:w="3415" w:type="dxa"/>
          </w:tcPr>
          <w:p w14:paraId="36E4E2E0" w14:textId="77777777" w:rsidR="00B157F6" w:rsidRPr="0011250D" w:rsidRDefault="00B157F6" w:rsidP="001C7A81">
            <w:pPr>
              <w:spacing w:line="360" w:lineRule="auto"/>
              <w:jc w:val="both"/>
              <w:rPr>
                <w:rFonts w:ascii="Arial" w:eastAsia="Times New Roman" w:hAnsi="Arial" w:cs="Arial"/>
                <w:i/>
                <w:sz w:val="20"/>
                <w:szCs w:val="20"/>
                <w:lang w:val="es-ES_tradnl"/>
              </w:rPr>
            </w:pPr>
            <w:r w:rsidRPr="0011250D">
              <w:rPr>
                <w:rFonts w:ascii="Arial" w:eastAsia="Times New Roman" w:hAnsi="Arial" w:cs="Arial"/>
                <w:i/>
                <w:sz w:val="20"/>
                <w:szCs w:val="20"/>
                <w:lang w:val="es-ES_tradnl"/>
              </w:rPr>
              <w:t>Cargo:</w:t>
            </w:r>
          </w:p>
        </w:tc>
        <w:tc>
          <w:tcPr>
            <w:tcW w:w="5940" w:type="dxa"/>
          </w:tcPr>
          <w:p w14:paraId="05E0861E" w14:textId="77777777" w:rsidR="00B157F6" w:rsidRPr="0011250D" w:rsidRDefault="00B157F6" w:rsidP="001C7A81">
            <w:pPr>
              <w:spacing w:line="360" w:lineRule="auto"/>
              <w:jc w:val="both"/>
              <w:rPr>
                <w:rFonts w:ascii="Arial" w:eastAsia="Times New Roman" w:hAnsi="Arial" w:cs="Arial"/>
                <w:i/>
                <w:sz w:val="20"/>
                <w:szCs w:val="20"/>
                <w:lang w:val="es-ES_tradnl"/>
              </w:rPr>
            </w:pPr>
          </w:p>
        </w:tc>
      </w:tr>
      <w:tr w:rsidR="00655CC6" w:rsidRPr="0011250D" w14:paraId="7C244A06" w14:textId="77777777" w:rsidTr="0034425C">
        <w:tc>
          <w:tcPr>
            <w:tcW w:w="3415" w:type="dxa"/>
          </w:tcPr>
          <w:p w14:paraId="57CCB6BF" w14:textId="77777777" w:rsidR="00B157F6" w:rsidRPr="0011250D" w:rsidRDefault="00B157F6" w:rsidP="001C7A81">
            <w:pPr>
              <w:spacing w:line="360" w:lineRule="auto"/>
              <w:jc w:val="both"/>
              <w:rPr>
                <w:rFonts w:ascii="Arial" w:eastAsia="Times New Roman" w:hAnsi="Arial" w:cs="Arial"/>
                <w:i/>
                <w:sz w:val="20"/>
                <w:szCs w:val="20"/>
                <w:lang w:val="es-ES_tradnl"/>
              </w:rPr>
            </w:pPr>
            <w:r w:rsidRPr="0011250D">
              <w:rPr>
                <w:rFonts w:ascii="Arial" w:eastAsia="Times New Roman" w:hAnsi="Arial" w:cs="Arial"/>
                <w:i/>
                <w:sz w:val="20"/>
                <w:szCs w:val="20"/>
                <w:lang w:val="es-ES_tradnl"/>
              </w:rPr>
              <w:t>E-mail:</w:t>
            </w:r>
          </w:p>
        </w:tc>
        <w:tc>
          <w:tcPr>
            <w:tcW w:w="5940" w:type="dxa"/>
          </w:tcPr>
          <w:p w14:paraId="638B901B" w14:textId="77777777" w:rsidR="00B157F6" w:rsidRPr="0011250D" w:rsidRDefault="00B157F6" w:rsidP="001C7A81">
            <w:pPr>
              <w:spacing w:line="360" w:lineRule="auto"/>
              <w:jc w:val="both"/>
              <w:rPr>
                <w:rFonts w:ascii="Arial" w:eastAsia="Times New Roman" w:hAnsi="Arial" w:cs="Arial"/>
                <w:i/>
                <w:sz w:val="20"/>
                <w:szCs w:val="20"/>
                <w:lang w:val="es-ES_tradnl"/>
              </w:rPr>
            </w:pPr>
          </w:p>
        </w:tc>
      </w:tr>
    </w:tbl>
    <w:p w14:paraId="1738CFCD" w14:textId="77777777" w:rsidR="00B157F6" w:rsidRPr="0011250D" w:rsidRDefault="00B157F6" w:rsidP="001C7A81">
      <w:pPr>
        <w:spacing w:after="0" w:line="360" w:lineRule="auto"/>
        <w:jc w:val="both"/>
        <w:rPr>
          <w:rFonts w:ascii="Arial" w:eastAsia="Times New Roman" w:hAnsi="Arial" w:cs="Arial"/>
          <w:sz w:val="20"/>
          <w:szCs w:val="20"/>
          <w:lang w:val="es-ES_tradnl"/>
        </w:rPr>
      </w:pPr>
    </w:p>
    <w:p w14:paraId="7988BC9E" w14:textId="77777777" w:rsidR="002E1493" w:rsidRPr="0011250D" w:rsidRDefault="002E1493">
      <w:pPr>
        <w:rPr>
          <w:rFonts w:ascii="Arial" w:hAnsi="Arial" w:cs="Arial"/>
          <w:b/>
          <w:bCs/>
          <w:sz w:val="20"/>
          <w:szCs w:val="20"/>
          <w:lang w:val="es-ES_tradnl"/>
        </w:rPr>
      </w:pPr>
    </w:p>
    <w:sectPr w:rsidR="002E1493" w:rsidRPr="0011250D" w:rsidSect="00E57267">
      <w:headerReference w:type="even" r:id="rId28"/>
      <w:headerReference w:type="default" r:id="rId29"/>
      <w:footerReference w:type="even" r:id="rId30"/>
      <w:footerReference w:type="default" r:id="rId31"/>
      <w:headerReference w:type="first" r:id="rId32"/>
      <w:footerReference w:type="first" r:id="rId3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4358" w14:textId="77777777" w:rsidR="009A4E72" w:rsidRDefault="009A4E72" w:rsidP="00A37F63">
      <w:pPr>
        <w:spacing w:after="0" w:line="240" w:lineRule="auto"/>
      </w:pPr>
      <w:r>
        <w:separator/>
      </w:r>
    </w:p>
  </w:endnote>
  <w:endnote w:type="continuationSeparator" w:id="0">
    <w:p w14:paraId="63A69F04" w14:textId="77777777" w:rsidR="009A4E72" w:rsidRDefault="009A4E72" w:rsidP="00A37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1C16C" w14:textId="77777777" w:rsidR="00A40D7A" w:rsidRDefault="00A40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3FF3E" w14:textId="77777777" w:rsidR="00A40D7A" w:rsidRDefault="00A40D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D0391" w14:textId="77777777" w:rsidR="00A40D7A" w:rsidRDefault="00A40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1B20B" w14:textId="77777777" w:rsidR="009A4E72" w:rsidRDefault="009A4E72" w:rsidP="00A37F63">
      <w:pPr>
        <w:spacing w:after="0" w:line="240" w:lineRule="auto"/>
      </w:pPr>
      <w:r>
        <w:separator/>
      </w:r>
    </w:p>
  </w:footnote>
  <w:footnote w:type="continuationSeparator" w:id="0">
    <w:p w14:paraId="7C15C446" w14:textId="77777777" w:rsidR="009A4E72" w:rsidRDefault="009A4E72" w:rsidP="00A37F63">
      <w:pPr>
        <w:spacing w:after="0" w:line="240" w:lineRule="auto"/>
      </w:pPr>
      <w:r>
        <w:continuationSeparator/>
      </w:r>
    </w:p>
  </w:footnote>
  <w:footnote w:id="1">
    <w:p w14:paraId="51E918A3" w14:textId="77777777" w:rsidR="00345B2D" w:rsidRPr="00345B2D" w:rsidRDefault="00345B2D">
      <w:pPr>
        <w:pStyle w:val="FootnoteText"/>
        <w:rPr>
          <w:rFonts w:ascii="Arial" w:hAnsi="Arial" w:cs="Arial"/>
          <w:sz w:val="16"/>
        </w:rPr>
      </w:pPr>
      <w:r w:rsidRPr="00345B2D">
        <w:rPr>
          <w:rStyle w:val="FootnoteReference"/>
          <w:rFonts w:ascii="Arial" w:hAnsi="Arial" w:cs="Arial"/>
          <w:sz w:val="16"/>
        </w:rPr>
        <w:footnoteRef/>
      </w:r>
      <w:r w:rsidRPr="00345B2D">
        <w:rPr>
          <w:rFonts w:ascii="Arial" w:hAnsi="Arial" w:cs="Arial"/>
          <w:sz w:val="16"/>
        </w:rPr>
        <w:t xml:space="preserve"> For a list of respondents, please refer to Annex I.</w:t>
      </w:r>
    </w:p>
  </w:footnote>
  <w:footnote w:id="2">
    <w:p w14:paraId="76631575" w14:textId="77777777" w:rsidR="009A4E72" w:rsidRPr="00C12141" w:rsidRDefault="009A4E72">
      <w:pPr>
        <w:pStyle w:val="FootnoteText"/>
      </w:pPr>
      <w:r w:rsidRPr="00345B2D">
        <w:rPr>
          <w:rStyle w:val="FootnoteReference"/>
          <w:rFonts w:ascii="Arial" w:hAnsi="Arial" w:cs="Arial"/>
          <w:sz w:val="16"/>
        </w:rPr>
        <w:footnoteRef/>
      </w:r>
      <w:r w:rsidRPr="00345B2D">
        <w:rPr>
          <w:rFonts w:ascii="Arial" w:hAnsi="Arial" w:cs="Arial"/>
          <w:sz w:val="16"/>
        </w:rPr>
        <w:t xml:space="preserve"> Although all of them use the same criteria, the ranges they use for this classification vary widely. Only one of the respondents specified they follow the same criteria of the BCRA.</w:t>
      </w:r>
    </w:p>
  </w:footnote>
  <w:footnote w:id="3">
    <w:p w14:paraId="523B1E17" w14:textId="77777777" w:rsidR="009A4E72" w:rsidRPr="001C7A81" w:rsidRDefault="009A4E72" w:rsidP="001C7A81">
      <w:pPr>
        <w:autoSpaceDE w:val="0"/>
        <w:autoSpaceDN w:val="0"/>
        <w:adjustRightInd w:val="0"/>
        <w:spacing w:after="0" w:line="240" w:lineRule="auto"/>
        <w:jc w:val="both"/>
        <w:rPr>
          <w:sz w:val="16"/>
          <w:szCs w:val="18"/>
          <w:lang w:val="es-PE"/>
        </w:rPr>
      </w:pPr>
      <w:r w:rsidRPr="001C7A81">
        <w:rPr>
          <w:rStyle w:val="FootnoteReference"/>
          <w:rFonts w:ascii="Arial" w:hAnsi="Arial" w:cs="Arial"/>
          <w:sz w:val="16"/>
          <w:szCs w:val="18"/>
        </w:rPr>
        <w:footnoteRef/>
      </w:r>
      <w:r w:rsidRPr="001C7A81">
        <w:rPr>
          <w:rFonts w:ascii="Arial" w:hAnsi="Arial" w:cs="Arial"/>
          <w:sz w:val="16"/>
          <w:szCs w:val="18"/>
          <w:lang w:val="es-PE"/>
        </w:rPr>
        <w:t xml:space="preserve"> El objetivo de este cuestionario es obtener información sobre las fuentes del financiamiento, el uso y las necesidades de servicios financieros por parte de las empresas, que sirva como elemento para la generación de indicadores relacionados con estos temas, para un mejor diseño de programas de apoyo a incrementar el financiamiento al sector privado.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1ADE" w14:textId="77777777" w:rsidR="00A40D7A" w:rsidRDefault="00A40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218A" w14:textId="77777777" w:rsidR="00E57267" w:rsidRPr="00E57267" w:rsidRDefault="00A40D7A" w:rsidP="00E57267">
    <w:pPr>
      <w:pStyle w:val="Header"/>
      <w:jc w:val="right"/>
      <w:rPr>
        <w:rFonts w:ascii="Arial" w:hAnsi="Arial" w:cs="Arial"/>
        <w:sz w:val="18"/>
        <w:szCs w:val="18"/>
      </w:rPr>
    </w:pPr>
    <w:r>
      <w:rPr>
        <w:rFonts w:ascii="Arial" w:hAnsi="Arial" w:cs="Arial"/>
        <w:sz w:val="18"/>
        <w:szCs w:val="18"/>
      </w:rPr>
      <w:t>AR-L12</w:t>
    </w:r>
    <w:bookmarkStart w:id="0" w:name="_GoBack"/>
    <w:bookmarkEnd w:id="0"/>
    <w:r w:rsidR="00E57267" w:rsidRPr="00E57267">
      <w:rPr>
        <w:rFonts w:ascii="Arial" w:hAnsi="Arial" w:cs="Arial"/>
        <w:sz w:val="18"/>
        <w:szCs w:val="18"/>
      </w:rPr>
      <w:t>80</w:t>
    </w:r>
  </w:p>
  <w:p w14:paraId="6BBD62BA" w14:textId="77777777" w:rsidR="00E57267" w:rsidRPr="00E57267" w:rsidRDefault="00E57267" w:rsidP="00E57267">
    <w:pPr>
      <w:pStyle w:val="Header"/>
      <w:jc w:val="right"/>
      <w:rPr>
        <w:rFonts w:ascii="Arial" w:hAnsi="Arial" w:cs="Arial"/>
        <w:sz w:val="18"/>
        <w:szCs w:val="18"/>
      </w:rPr>
    </w:pPr>
    <w:r w:rsidRPr="00E57267">
      <w:rPr>
        <w:rFonts w:ascii="Arial" w:hAnsi="Arial" w:cs="Arial"/>
        <w:sz w:val="18"/>
        <w:szCs w:val="18"/>
      </w:rPr>
      <w:t xml:space="preserve">Page </w:t>
    </w:r>
    <w:r w:rsidRPr="00E57267">
      <w:rPr>
        <w:rFonts w:ascii="Arial" w:hAnsi="Arial" w:cs="Arial"/>
        <w:b/>
        <w:bCs/>
        <w:sz w:val="18"/>
        <w:szCs w:val="18"/>
      </w:rPr>
      <w:fldChar w:fldCharType="begin"/>
    </w:r>
    <w:r w:rsidRPr="00E57267">
      <w:rPr>
        <w:rFonts w:ascii="Arial" w:hAnsi="Arial" w:cs="Arial"/>
        <w:b/>
        <w:bCs/>
        <w:sz w:val="18"/>
        <w:szCs w:val="18"/>
      </w:rPr>
      <w:instrText xml:space="preserve"> PAGE  \* Arabic  \* MERGEFORMAT </w:instrText>
    </w:r>
    <w:r w:rsidRPr="00E57267">
      <w:rPr>
        <w:rFonts w:ascii="Arial" w:hAnsi="Arial" w:cs="Arial"/>
        <w:b/>
        <w:bCs/>
        <w:sz w:val="18"/>
        <w:szCs w:val="18"/>
      </w:rPr>
      <w:fldChar w:fldCharType="separate"/>
    </w:r>
    <w:r w:rsidR="00A40D7A">
      <w:rPr>
        <w:rFonts w:ascii="Arial" w:hAnsi="Arial" w:cs="Arial"/>
        <w:b/>
        <w:bCs/>
        <w:noProof/>
        <w:sz w:val="18"/>
        <w:szCs w:val="18"/>
      </w:rPr>
      <w:t>1</w:t>
    </w:r>
    <w:r w:rsidRPr="00E57267">
      <w:rPr>
        <w:rFonts w:ascii="Arial" w:hAnsi="Arial" w:cs="Arial"/>
        <w:b/>
        <w:bCs/>
        <w:sz w:val="18"/>
        <w:szCs w:val="18"/>
      </w:rPr>
      <w:fldChar w:fldCharType="end"/>
    </w:r>
    <w:r w:rsidRPr="00E57267">
      <w:rPr>
        <w:rFonts w:ascii="Arial" w:hAnsi="Arial" w:cs="Arial"/>
        <w:sz w:val="18"/>
        <w:szCs w:val="18"/>
      </w:rPr>
      <w:t xml:space="preserve"> of </w:t>
    </w:r>
    <w:r w:rsidRPr="00E57267">
      <w:rPr>
        <w:rFonts w:ascii="Arial" w:hAnsi="Arial" w:cs="Arial"/>
        <w:b/>
        <w:bCs/>
        <w:sz w:val="18"/>
        <w:szCs w:val="18"/>
      </w:rPr>
      <w:fldChar w:fldCharType="begin"/>
    </w:r>
    <w:r w:rsidRPr="00E57267">
      <w:rPr>
        <w:rFonts w:ascii="Arial" w:hAnsi="Arial" w:cs="Arial"/>
        <w:b/>
        <w:bCs/>
        <w:sz w:val="18"/>
        <w:szCs w:val="18"/>
      </w:rPr>
      <w:instrText xml:space="preserve"> NUMPAGES  \* Arabic  \* MERGEFORMAT </w:instrText>
    </w:r>
    <w:r w:rsidRPr="00E57267">
      <w:rPr>
        <w:rFonts w:ascii="Arial" w:hAnsi="Arial" w:cs="Arial"/>
        <w:b/>
        <w:bCs/>
        <w:sz w:val="18"/>
        <w:szCs w:val="18"/>
      </w:rPr>
      <w:fldChar w:fldCharType="separate"/>
    </w:r>
    <w:r w:rsidR="00A40D7A">
      <w:rPr>
        <w:rFonts w:ascii="Arial" w:hAnsi="Arial" w:cs="Arial"/>
        <w:b/>
        <w:bCs/>
        <w:noProof/>
        <w:sz w:val="18"/>
        <w:szCs w:val="18"/>
      </w:rPr>
      <w:t>9</w:t>
    </w:r>
    <w:r w:rsidRPr="00E57267">
      <w:rPr>
        <w:rFonts w:ascii="Arial" w:hAnsi="Arial" w:cs="Arial"/>
        <w:b/>
        <w:bCs/>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22557" w14:textId="77777777" w:rsidR="00A40D7A" w:rsidRDefault="00A40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C5449"/>
    <w:multiLevelType w:val="hybridMultilevel"/>
    <w:tmpl w:val="A2EEF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2032FA"/>
    <w:multiLevelType w:val="hybridMultilevel"/>
    <w:tmpl w:val="E45A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883DB8"/>
    <w:multiLevelType w:val="hybridMultilevel"/>
    <w:tmpl w:val="F4E23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0A796B"/>
    <w:multiLevelType w:val="hybridMultilevel"/>
    <w:tmpl w:val="16806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4817A5"/>
    <w:multiLevelType w:val="hybridMultilevel"/>
    <w:tmpl w:val="B7001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BA7CFD"/>
    <w:multiLevelType w:val="hybridMultilevel"/>
    <w:tmpl w:val="E45AD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CF1C7F"/>
    <w:multiLevelType w:val="hybridMultilevel"/>
    <w:tmpl w:val="7E7CE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EA2"/>
    <w:rsid w:val="00016969"/>
    <w:rsid w:val="0006252B"/>
    <w:rsid w:val="000C3FC7"/>
    <w:rsid w:val="000D498F"/>
    <w:rsid w:val="000E6DA9"/>
    <w:rsid w:val="0011250D"/>
    <w:rsid w:val="00116EA2"/>
    <w:rsid w:val="001209C1"/>
    <w:rsid w:val="00161E1F"/>
    <w:rsid w:val="001674D0"/>
    <w:rsid w:val="001B24DC"/>
    <w:rsid w:val="001C7A81"/>
    <w:rsid w:val="00202BD1"/>
    <w:rsid w:val="00215847"/>
    <w:rsid w:val="002708B3"/>
    <w:rsid w:val="00273927"/>
    <w:rsid w:val="0027779B"/>
    <w:rsid w:val="002A62ED"/>
    <w:rsid w:val="002B0661"/>
    <w:rsid w:val="002E1493"/>
    <w:rsid w:val="0034425C"/>
    <w:rsid w:val="00345B2D"/>
    <w:rsid w:val="00351C10"/>
    <w:rsid w:val="003F7C4F"/>
    <w:rsid w:val="004358D6"/>
    <w:rsid w:val="00460A0E"/>
    <w:rsid w:val="004937CF"/>
    <w:rsid w:val="004B384E"/>
    <w:rsid w:val="004C1235"/>
    <w:rsid w:val="004C3F56"/>
    <w:rsid w:val="004D38BF"/>
    <w:rsid w:val="004F5267"/>
    <w:rsid w:val="00560AE0"/>
    <w:rsid w:val="0057530C"/>
    <w:rsid w:val="005A34BC"/>
    <w:rsid w:val="00605429"/>
    <w:rsid w:val="00642C0D"/>
    <w:rsid w:val="00655CC6"/>
    <w:rsid w:val="006741F6"/>
    <w:rsid w:val="0069078F"/>
    <w:rsid w:val="006965D3"/>
    <w:rsid w:val="006C71C3"/>
    <w:rsid w:val="006F0FE4"/>
    <w:rsid w:val="0072176E"/>
    <w:rsid w:val="00750816"/>
    <w:rsid w:val="007C2342"/>
    <w:rsid w:val="007C2DC0"/>
    <w:rsid w:val="007F4886"/>
    <w:rsid w:val="007F6F92"/>
    <w:rsid w:val="008279F3"/>
    <w:rsid w:val="00832814"/>
    <w:rsid w:val="008516D9"/>
    <w:rsid w:val="008C0B0E"/>
    <w:rsid w:val="008C71F8"/>
    <w:rsid w:val="008D68D4"/>
    <w:rsid w:val="008D7C02"/>
    <w:rsid w:val="008E2D61"/>
    <w:rsid w:val="008F768A"/>
    <w:rsid w:val="009026A6"/>
    <w:rsid w:val="0093211F"/>
    <w:rsid w:val="00956B57"/>
    <w:rsid w:val="00996F8B"/>
    <w:rsid w:val="00997781"/>
    <w:rsid w:val="009A4E72"/>
    <w:rsid w:val="009D6DDF"/>
    <w:rsid w:val="00A25DBC"/>
    <w:rsid w:val="00A26640"/>
    <w:rsid w:val="00A37F63"/>
    <w:rsid w:val="00A40D7A"/>
    <w:rsid w:val="00A40E25"/>
    <w:rsid w:val="00A52485"/>
    <w:rsid w:val="00A75163"/>
    <w:rsid w:val="00A865E5"/>
    <w:rsid w:val="00A874DA"/>
    <w:rsid w:val="00A972E2"/>
    <w:rsid w:val="00A97838"/>
    <w:rsid w:val="00AA4A77"/>
    <w:rsid w:val="00AB0B52"/>
    <w:rsid w:val="00AD11AB"/>
    <w:rsid w:val="00AF5D6C"/>
    <w:rsid w:val="00B157F6"/>
    <w:rsid w:val="00B42AAC"/>
    <w:rsid w:val="00B566F3"/>
    <w:rsid w:val="00B7796E"/>
    <w:rsid w:val="00BA1818"/>
    <w:rsid w:val="00BA5F9E"/>
    <w:rsid w:val="00BB389E"/>
    <w:rsid w:val="00BC0E43"/>
    <w:rsid w:val="00C11CCE"/>
    <w:rsid w:val="00C12141"/>
    <w:rsid w:val="00C20E96"/>
    <w:rsid w:val="00C25128"/>
    <w:rsid w:val="00C33705"/>
    <w:rsid w:val="00C46F8D"/>
    <w:rsid w:val="00C85704"/>
    <w:rsid w:val="00C96856"/>
    <w:rsid w:val="00CB1AA9"/>
    <w:rsid w:val="00CE3272"/>
    <w:rsid w:val="00D23F64"/>
    <w:rsid w:val="00D40A40"/>
    <w:rsid w:val="00D52FEE"/>
    <w:rsid w:val="00D71A66"/>
    <w:rsid w:val="00D73EFA"/>
    <w:rsid w:val="00D74BD7"/>
    <w:rsid w:val="00DC688A"/>
    <w:rsid w:val="00DD0E87"/>
    <w:rsid w:val="00E00FC8"/>
    <w:rsid w:val="00E03B50"/>
    <w:rsid w:val="00E042F6"/>
    <w:rsid w:val="00E20DAC"/>
    <w:rsid w:val="00E21C02"/>
    <w:rsid w:val="00E36F25"/>
    <w:rsid w:val="00E57267"/>
    <w:rsid w:val="00E57C57"/>
    <w:rsid w:val="00E716E9"/>
    <w:rsid w:val="00E77928"/>
    <w:rsid w:val="00ED333E"/>
    <w:rsid w:val="00EF4729"/>
    <w:rsid w:val="00F06662"/>
    <w:rsid w:val="00F70683"/>
    <w:rsid w:val="00F9255D"/>
    <w:rsid w:val="00F95F48"/>
    <w:rsid w:val="00FD5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247AA42"/>
  <w15:chartTrackingRefBased/>
  <w15:docId w15:val="{47FF6283-28E8-49E7-8830-449A8D75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116EA2"/>
    <w:pPr>
      <w:spacing w:before="161" w:after="223" w:line="323" w:lineRule="atLeast"/>
      <w:outlineLvl w:val="0"/>
    </w:pPr>
    <w:rPr>
      <w:rFonts w:ascii="Times New Roman" w:eastAsia="Times New Roman" w:hAnsi="Times New Roman" w:cs="Times New Roman"/>
      <w:b/>
      <w:bCs/>
      <w:kern w:val="36"/>
      <w:sz w:val="43"/>
      <w:szCs w:val="43"/>
    </w:rPr>
  </w:style>
  <w:style w:type="paragraph" w:styleId="Heading4">
    <w:name w:val="heading 4"/>
    <w:basedOn w:val="Normal"/>
    <w:link w:val="Heading4Char"/>
    <w:uiPriority w:val="9"/>
    <w:qFormat/>
    <w:rsid w:val="00116E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EA2"/>
    <w:rPr>
      <w:rFonts w:ascii="Times New Roman" w:eastAsia="Times New Roman" w:hAnsi="Times New Roman" w:cs="Times New Roman"/>
      <w:b/>
      <w:bCs/>
      <w:kern w:val="36"/>
      <w:sz w:val="43"/>
      <w:szCs w:val="43"/>
    </w:rPr>
  </w:style>
  <w:style w:type="character" w:customStyle="1" w:styleId="Heading4Char">
    <w:name w:val="Heading 4 Char"/>
    <w:basedOn w:val="DefaultParagraphFont"/>
    <w:link w:val="Heading4"/>
    <w:uiPriority w:val="9"/>
    <w:rsid w:val="00116EA2"/>
    <w:rPr>
      <w:rFonts w:ascii="Times New Roman" w:eastAsia="Times New Roman" w:hAnsi="Times New Roman" w:cs="Times New Roman"/>
      <w:b/>
      <w:bCs/>
      <w:sz w:val="24"/>
      <w:szCs w:val="24"/>
    </w:rPr>
  </w:style>
  <w:style w:type="character" w:styleId="Emphasis">
    <w:name w:val="Emphasis"/>
    <w:basedOn w:val="DefaultParagraphFont"/>
    <w:uiPriority w:val="20"/>
    <w:qFormat/>
    <w:rsid w:val="00116EA2"/>
    <w:rPr>
      <w:i/>
      <w:iCs/>
    </w:rPr>
  </w:style>
  <w:style w:type="character" w:styleId="Strong">
    <w:name w:val="Strong"/>
    <w:basedOn w:val="DefaultParagraphFont"/>
    <w:uiPriority w:val="22"/>
    <w:qFormat/>
    <w:rsid w:val="00116EA2"/>
    <w:rPr>
      <w:b/>
      <w:bCs/>
    </w:rPr>
  </w:style>
  <w:style w:type="paragraph" w:styleId="NormalWeb">
    <w:name w:val="Normal (Web)"/>
    <w:basedOn w:val="Normal"/>
    <w:uiPriority w:val="99"/>
    <w:semiHidden/>
    <w:unhideWhenUsed/>
    <w:rsid w:val="00116EA2"/>
    <w:pPr>
      <w:spacing w:after="360" w:line="240" w:lineRule="auto"/>
    </w:pPr>
    <w:rPr>
      <w:rFonts w:ascii="Times New Roman" w:eastAsia="Times New Roman" w:hAnsi="Times New Roman" w:cs="Times New Roman"/>
      <w:sz w:val="24"/>
      <w:szCs w:val="24"/>
    </w:rPr>
  </w:style>
  <w:style w:type="character" w:customStyle="1" w:styleId="wpcf7-list-item">
    <w:name w:val="wpcf7-list-item"/>
    <w:basedOn w:val="DefaultParagraphFont"/>
    <w:rsid w:val="00116EA2"/>
  </w:style>
  <w:style w:type="paragraph" w:styleId="z-TopofForm">
    <w:name w:val="HTML Top of Form"/>
    <w:basedOn w:val="Normal"/>
    <w:next w:val="Normal"/>
    <w:link w:val="z-TopofFormChar"/>
    <w:hidden/>
    <w:uiPriority w:val="99"/>
    <w:semiHidden/>
    <w:unhideWhenUsed/>
    <w:rsid w:val="00116EA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16EA2"/>
    <w:rPr>
      <w:rFonts w:ascii="Arial" w:eastAsia="Times New Roman" w:hAnsi="Arial" w:cs="Arial"/>
      <w:vanish/>
      <w:sz w:val="16"/>
      <w:szCs w:val="16"/>
    </w:rPr>
  </w:style>
  <w:style w:type="character" w:customStyle="1" w:styleId="wpcf7-form-control-wrap">
    <w:name w:val="wpcf7-form-control-wrap"/>
    <w:basedOn w:val="DefaultParagraphFont"/>
    <w:rsid w:val="00116EA2"/>
  </w:style>
  <w:style w:type="character" w:customStyle="1" w:styleId="wpcf7-list-item-label">
    <w:name w:val="wpcf7-list-item-label"/>
    <w:basedOn w:val="DefaultParagraphFont"/>
    <w:rsid w:val="00116EA2"/>
  </w:style>
  <w:style w:type="paragraph" w:styleId="z-BottomofForm">
    <w:name w:val="HTML Bottom of Form"/>
    <w:basedOn w:val="Normal"/>
    <w:next w:val="Normal"/>
    <w:link w:val="z-BottomofFormChar"/>
    <w:hidden/>
    <w:uiPriority w:val="99"/>
    <w:semiHidden/>
    <w:unhideWhenUsed/>
    <w:rsid w:val="00116EA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16EA2"/>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A37F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7F63"/>
    <w:rPr>
      <w:rFonts w:ascii="Segoe UI" w:hAnsi="Segoe UI" w:cs="Segoe UI"/>
      <w:sz w:val="18"/>
      <w:szCs w:val="18"/>
    </w:rPr>
  </w:style>
  <w:style w:type="paragraph" w:styleId="Header">
    <w:name w:val="header"/>
    <w:basedOn w:val="Normal"/>
    <w:link w:val="HeaderChar"/>
    <w:uiPriority w:val="99"/>
    <w:unhideWhenUsed/>
    <w:rsid w:val="00A37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F63"/>
  </w:style>
  <w:style w:type="paragraph" w:styleId="Footer">
    <w:name w:val="footer"/>
    <w:basedOn w:val="Normal"/>
    <w:link w:val="FooterChar"/>
    <w:uiPriority w:val="99"/>
    <w:unhideWhenUsed/>
    <w:rsid w:val="00A37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F63"/>
  </w:style>
  <w:style w:type="paragraph" w:customStyle="1" w:styleId="Default">
    <w:name w:val="Default"/>
    <w:rsid w:val="00CB1AA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D23F64"/>
    <w:pPr>
      <w:ind w:left="720"/>
      <w:contextualSpacing/>
    </w:pPr>
  </w:style>
  <w:style w:type="table" w:styleId="TableGrid">
    <w:name w:val="Table Grid"/>
    <w:basedOn w:val="TableNormal"/>
    <w:uiPriority w:val="39"/>
    <w:rsid w:val="00721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7A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7A81"/>
    <w:rPr>
      <w:sz w:val="20"/>
      <w:szCs w:val="20"/>
    </w:rPr>
  </w:style>
  <w:style w:type="character" w:styleId="FootnoteReference">
    <w:name w:val="footnote reference"/>
    <w:basedOn w:val="DefaultParagraphFont"/>
    <w:uiPriority w:val="99"/>
    <w:semiHidden/>
    <w:unhideWhenUsed/>
    <w:rsid w:val="001C7A81"/>
    <w:rPr>
      <w:vertAlign w:val="superscript"/>
    </w:rPr>
  </w:style>
  <w:style w:type="character" w:styleId="Hyperlink">
    <w:name w:val="Hyperlink"/>
    <w:basedOn w:val="DefaultParagraphFont"/>
    <w:uiPriority w:val="99"/>
    <w:unhideWhenUsed/>
    <w:rsid w:val="006965D3"/>
    <w:rPr>
      <w:color w:val="0563C1" w:themeColor="hyperlink"/>
      <w:u w:val="single"/>
    </w:rPr>
  </w:style>
  <w:style w:type="character" w:customStyle="1" w:styleId="UnresolvedMention">
    <w:name w:val="Unresolved Mention"/>
    <w:basedOn w:val="DefaultParagraphFont"/>
    <w:uiPriority w:val="99"/>
    <w:semiHidden/>
    <w:unhideWhenUsed/>
    <w:rsid w:val="006965D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742645">
      <w:bodyDiv w:val="1"/>
      <w:marLeft w:val="0"/>
      <w:marRight w:val="0"/>
      <w:marTop w:val="0"/>
      <w:marBottom w:val="0"/>
      <w:divBdr>
        <w:top w:val="none" w:sz="0" w:space="0" w:color="auto"/>
        <w:left w:val="none" w:sz="0" w:space="0" w:color="auto"/>
        <w:bottom w:val="none" w:sz="0" w:space="0" w:color="auto"/>
        <w:right w:val="none" w:sz="0" w:space="0" w:color="auto"/>
      </w:divBdr>
      <w:divsChild>
        <w:div w:id="1523127007">
          <w:marLeft w:val="0"/>
          <w:marRight w:val="0"/>
          <w:marTop w:val="0"/>
          <w:marBottom w:val="0"/>
          <w:divBdr>
            <w:top w:val="none" w:sz="0" w:space="0" w:color="auto"/>
            <w:left w:val="none" w:sz="0" w:space="0" w:color="auto"/>
            <w:bottom w:val="none" w:sz="0" w:space="0" w:color="auto"/>
            <w:right w:val="none" w:sz="0" w:space="0" w:color="auto"/>
          </w:divBdr>
          <w:divsChild>
            <w:div w:id="476192349">
              <w:marLeft w:val="0"/>
              <w:marRight w:val="0"/>
              <w:marTop w:val="0"/>
              <w:marBottom w:val="0"/>
              <w:divBdr>
                <w:top w:val="none" w:sz="0" w:space="0" w:color="auto"/>
                <w:left w:val="none" w:sz="0" w:space="0" w:color="auto"/>
                <w:bottom w:val="none" w:sz="0" w:space="0" w:color="auto"/>
                <w:right w:val="none" w:sz="0" w:space="0" w:color="auto"/>
              </w:divBdr>
              <w:divsChild>
                <w:div w:id="800533244">
                  <w:marLeft w:val="0"/>
                  <w:marRight w:val="0"/>
                  <w:marTop w:val="0"/>
                  <w:marBottom w:val="0"/>
                  <w:divBdr>
                    <w:top w:val="single" w:sz="6" w:space="15" w:color="EEEEEE"/>
                    <w:left w:val="none" w:sz="0" w:space="0" w:color="auto"/>
                    <w:bottom w:val="none" w:sz="0" w:space="0" w:color="auto"/>
                    <w:right w:val="none" w:sz="0" w:space="0" w:color="auto"/>
                  </w:divBdr>
                  <w:divsChild>
                    <w:div w:id="1236470641">
                      <w:marLeft w:val="0"/>
                      <w:marRight w:val="0"/>
                      <w:marTop w:val="0"/>
                      <w:marBottom w:val="300"/>
                      <w:divBdr>
                        <w:top w:val="none" w:sz="0" w:space="0" w:color="auto"/>
                        <w:left w:val="none" w:sz="0" w:space="0" w:color="auto"/>
                        <w:bottom w:val="none" w:sz="0" w:space="0" w:color="auto"/>
                        <w:right w:val="none" w:sz="0" w:space="0" w:color="auto"/>
                      </w:divBdr>
                    </w:div>
                    <w:div w:id="810903530">
                      <w:marLeft w:val="0"/>
                      <w:marRight w:val="0"/>
                      <w:marTop w:val="0"/>
                      <w:marBottom w:val="0"/>
                      <w:divBdr>
                        <w:top w:val="none" w:sz="0" w:space="0" w:color="auto"/>
                        <w:left w:val="none" w:sz="0" w:space="0" w:color="auto"/>
                        <w:bottom w:val="none" w:sz="0" w:space="0" w:color="auto"/>
                        <w:right w:val="none" w:sz="0" w:space="0" w:color="auto"/>
                      </w:divBdr>
                      <w:divsChild>
                        <w:div w:id="1150829684">
                          <w:marLeft w:val="0"/>
                          <w:marRight w:val="0"/>
                          <w:marTop w:val="0"/>
                          <w:marBottom w:val="0"/>
                          <w:divBdr>
                            <w:top w:val="none" w:sz="0" w:space="0" w:color="auto"/>
                            <w:left w:val="none" w:sz="0" w:space="0" w:color="auto"/>
                            <w:bottom w:val="none" w:sz="0" w:space="0" w:color="auto"/>
                            <w:right w:val="none" w:sz="0" w:space="0" w:color="auto"/>
                          </w:divBdr>
                          <w:divsChild>
                            <w:div w:id="415324795">
                              <w:marLeft w:val="0"/>
                              <w:marRight w:val="0"/>
                              <w:marTop w:val="0"/>
                              <w:marBottom w:val="0"/>
                              <w:divBdr>
                                <w:top w:val="none" w:sz="0" w:space="0" w:color="auto"/>
                                <w:left w:val="none" w:sz="0" w:space="0" w:color="auto"/>
                                <w:bottom w:val="none" w:sz="0" w:space="0" w:color="auto"/>
                                <w:right w:val="none" w:sz="0" w:space="0" w:color="auto"/>
                              </w:divBdr>
                              <w:divsChild>
                                <w:div w:id="49885992">
                                  <w:marLeft w:val="0"/>
                                  <w:marRight w:val="0"/>
                                  <w:marTop w:val="0"/>
                                  <w:marBottom w:val="0"/>
                                  <w:divBdr>
                                    <w:top w:val="none" w:sz="0" w:space="0" w:color="auto"/>
                                    <w:left w:val="none" w:sz="0" w:space="0" w:color="auto"/>
                                    <w:bottom w:val="none" w:sz="0" w:space="0" w:color="auto"/>
                                    <w:right w:val="none" w:sz="0" w:space="0" w:color="auto"/>
                                  </w:divBdr>
                                </w:div>
                                <w:div w:id="569075580">
                                  <w:marLeft w:val="0"/>
                                  <w:marRight w:val="0"/>
                                  <w:marTop w:val="0"/>
                                  <w:marBottom w:val="0"/>
                                  <w:divBdr>
                                    <w:top w:val="none" w:sz="0" w:space="0" w:color="auto"/>
                                    <w:left w:val="none" w:sz="0" w:space="0" w:color="auto"/>
                                    <w:bottom w:val="none" w:sz="0" w:space="0" w:color="auto"/>
                                    <w:right w:val="none" w:sz="0" w:space="0" w:color="auto"/>
                                  </w:divBdr>
                                  <w:divsChild>
                                    <w:div w:id="682052396">
                                      <w:marLeft w:val="0"/>
                                      <w:marRight w:val="0"/>
                                      <w:marTop w:val="0"/>
                                      <w:marBottom w:val="0"/>
                                      <w:divBdr>
                                        <w:top w:val="none" w:sz="0" w:space="0" w:color="auto"/>
                                        <w:left w:val="none" w:sz="0" w:space="0" w:color="auto"/>
                                        <w:bottom w:val="none" w:sz="0" w:space="0" w:color="auto"/>
                                        <w:right w:val="none" w:sz="0" w:space="0" w:color="auto"/>
                                      </w:divBdr>
                                    </w:div>
                                    <w:div w:id="2020157894">
                                      <w:marLeft w:val="0"/>
                                      <w:marRight w:val="0"/>
                                      <w:marTop w:val="0"/>
                                      <w:marBottom w:val="0"/>
                                      <w:divBdr>
                                        <w:top w:val="none" w:sz="0" w:space="0" w:color="auto"/>
                                        <w:left w:val="none" w:sz="0" w:space="0" w:color="auto"/>
                                        <w:bottom w:val="none" w:sz="0" w:space="0" w:color="auto"/>
                                        <w:right w:val="none" w:sz="0" w:space="0" w:color="auto"/>
                                      </w:divBdr>
                                    </w:div>
                                    <w:div w:id="675426907">
                                      <w:marLeft w:val="0"/>
                                      <w:marRight w:val="0"/>
                                      <w:marTop w:val="0"/>
                                      <w:marBottom w:val="0"/>
                                      <w:divBdr>
                                        <w:top w:val="none" w:sz="0" w:space="0" w:color="auto"/>
                                        <w:left w:val="none" w:sz="0" w:space="0" w:color="auto"/>
                                        <w:bottom w:val="none" w:sz="0" w:space="0" w:color="auto"/>
                                        <w:right w:val="none" w:sz="0" w:space="0" w:color="auto"/>
                                      </w:divBdr>
                                    </w:div>
                                    <w:div w:id="1770462956">
                                      <w:marLeft w:val="0"/>
                                      <w:marRight w:val="0"/>
                                      <w:marTop w:val="0"/>
                                      <w:marBottom w:val="0"/>
                                      <w:divBdr>
                                        <w:top w:val="none" w:sz="0" w:space="0" w:color="auto"/>
                                        <w:left w:val="none" w:sz="0" w:space="0" w:color="auto"/>
                                        <w:bottom w:val="none" w:sz="0" w:space="0" w:color="auto"/>
                                        <w:right w:val="none" w:sz="0" w:space="0" w:color="auto"/>
                                      </w:divBdr>
                                    </w:div>
                                    <w:div w:id="1406566389">
                                      <w:marLeft w:val="0"/>
                                      <w:marRight w:val="0"/>
                                      <w:marTop w:val="0"/>
                                      <w:marBottom w:val="0"/>
                                      <w:divBdr>
                                        <w:top w:val="none" w:sz="0" w:space="0" w:color="auto"/>
                                        <w:left w:val="none" w:sz="0" w:space="0" w:color="auto"/>
                                        <w:bottom w:val="none" w:sz="0" w:space="0" w:color="auto"/>
                                        <w:right w:val="none" w:sz="0" w:space="0" w:color="auto"/>
                                      </w:divBdr>
                                    </w:div>
                                    <w:div w:id="196545269">
                                      <w:marLeft w:val="0"/>
                                      <w:marRight w:val="0"/>
                                      <w:marTop w:val="0"/>
                                      <w:marBottom w:val="0"/>
                                      <w:divBdr>
                                        <w:top w:val="none" w:sz="0" w:space="0" w:color="auto"/>
                                        <w:left w:val="none" w:sz="0" w:space="0" w:color="auto"/>
                                        <w:bottom w:val="none" w:sz="0" w:space="0" w:color="auto"/>
                                        <w:right w:val="none" w:sz="0" w:space="0" w:color="auto"/>
                                      </w:divBdr>
                                    </w:div>
                                    <w:div w:id="1731608507">
                                      <w:marLeft w:val="0"/>
                                      <w:marRight w:val="0"/>
                                      <w:marTop w:val="0"/>
                                      <w:marBottom w:val="0"/>
                                      <w:divBdr>
                                        <w:top w:val="none" w:sz="0" w:space="0" w:color="auto"/>
                                        <w:left w:val="none" w:sz="0" w:space="0" w:color="auto"/>
                                        <w:bottom w:val="none" w:sz="0" w:space="0" w:color="auto"/>
                                        <w:right w:val="none" w:sz="0" w:space="0" w:color="auto"/>
                                      </w:divBdr>
                                    </w:div>
                                    <w:div w:id="84813595">
                                      <w:marLeft w:val="0"/>
                                      <w:marRight w:val="0"/>
                                      <w:marTop w:val="0"/>
                                      <w:marBottom w:val="0"/>
                                      <w:divBdr>
                                        <w:top w:val="none" w:sz="0" w:space="0" w:color="auto"/>
                                        <w:left w:val="none" w:sz="0" w:space="0" w:color="auto"/>
                                        <w:bottom w:val="none" w:sz="0" w:space="0" w:color="auto"/>
                                        <w:right w:val="none" w:sz="0" w:space="0" w:color="auto"/>
                                      </w:divBdr>
                                    </w:div>
                                    <w:div w:id="1236167644">
                                      <w:marLeft w:val="0"/>
                                      <w:marRight w:val="0"/>
                                      <w:marTop w:val="0"/>
                                      <w:marBottom w:val="0"/>
                                      <w:divBdr>
                                        <w:top w:val="none" w:sz="0" w:space="0" w:color="auto"/>
                                        <w:left w:val="none" w:sz="0" w:space="0" w:color="auto"/>
                                        <w:bottom w:val="none" w:sz="0" w:space="0" w:color="auto"/>
                                        <w:right w:val="none" w:sz="0" w:space="0" w:color="auto"/>
                                      </w:divBdr>
                                    </w:div>
                                    <w:div w:id="199443688">
                                      <w:marLeft w:val="0"/>
                                      <w:marRight w:val="0"/>
                                      <w:marTop w:val="0"/>
                                      <w:marBottom w:val="0"/>
                                      <w:divBdr>
                                        <w:top w:val="none" w:sz="0" w:space="0" w:color="auto"/>
                                        <w:left w:val="none" w:sz="0" w:space="0" w:color="auto"/>
                                        <w:bottom w:val="none" w:sz="0" w:space="0" w:color="auto"/>
                                        <w:right w:val="none" w:sz="0" w:space="0" w:color="auto"/>
                                      </w:divBdr>
                                    </w:div>
                                    <w:div w:id="168763614">
                                      <w:marLeft w:val="0"/>
                                      <w:marRight w:val="0"/>
                                      <w:marTop w:val="0"/>
                                      <w:marBottom w:val="0"/>
                                      <w:divBdr>
                                        <w:top w:val="none" w:sz="0" w:space="0" w:color="auto"/>
                                        <w:left w:val="none" w:sz="0" w:space="0" w:color="auto"/>
                                        <w:bottom w:val="none" w:sz="0" w:space="0" w:color="auto"/>
                                        <w:right w:val="none" w:sz="0" w:space="0" w:color="auto"/>
                                      </w:divBdr>
                                    </w:div>
                                    <w:div w:id="68693370">
                                      <w:marLeft w:val="0"/>
                                      <w:marRight w:val="0"/>
                                      <w:marTop w:val="0"/>
                                      <w:marBottom w:val="0"/>
                                      <w:divBdr>
                                        <w:top w:val="none" w:sz="0" w:space="0" w:color="auto"/>
                                        <w:left w:val="none" w:sz="0" w:space="0" w:color="auto"/>
                                        <w:bottom w:val="none" w:sz="0" w:space="0" w:color="auto"/>
                                        <w:right w:val="none" w:sz="0" w:space="0" w:color="auto"/>
                                      </w:divBdr>
                                    </w:div>
                                    <w:div w:id="1004019820">
                                      <w:marLeft w:val="0"/>
                                      <w:marRight w:val="0"/>
                                      <w:marTop w:val="0"/>
                                      <w:marBottom w:val="0"/>
                                      <w:divBdr>
                                        <w:top w:val="none" w:sz="0" w:space="0" w:color="auto"/>
                                        <w:left w:val="none" w:sz="0" w:space="0" w:color="auto"/>
                                        <w:bottom w:val="none" w:sz="0" w:space="0" w:color="auto"/>
                                        <w:right w:val="none" w:sz="0" w:space="0" w:color="auto"/>
                                      </w:divBdr>
                                    </w:div>
                                    <w:div w:id="1932472321">
                                      <w:marLeft w:val="0"/>
                                      <w:marRight w:val="0"/>
                                      <w:marTop w:val="0"/>
                                      <w:marBottom w:val="0"/>
                                      <w:divBdr>
                                        <w:top w:val="none" w:sz="0" w:space="0" w:color="auto"/>
                                        <w:left w:val="none" w:sz="0" w:space="0" w:color="auto"/>
                                        <w:bottom w:val="none" w:sz="0" w:space="0" w:color="auto"/>
                                        <w:right w:val="none" w:sz="0" w:space="0" w:color="auto"/>
                                      </w:divBdr>
                                    </w:div>
                                    <w:div w:id="611279340">
                                      <w:marLeft w:val="0"/>
                                      <w:marRight w:val="0"/>
                                      <w:marTop w:val="0"/>
                                      <w:marBottom w:val="0"/>
                                      <w:divBdr>
                                        <w:top w:val="none" w:sz="0" w:space="0" w:color="auto"/>
                                        <w:left w:val="none" w:sz="0" w:space="0" w:color="auto"/>
                                        <w:bottom w:val="none" w:sz="0" w:space="0" w:color="auto"/>
                                        <w:right w:val="none" w:sz="0" w:space="0" w:color="auto"/>
                                      </w:divBdr>
                                    </w:div>
                                    <w:div w:id="806357739">
                                      <w:marLeft w:val="0"/>
                                      <w:marRight w:val="0"/>
                                      <w:marTop w:val="0"/>
                                      <w:marBottom w:val="0"/>
                                      <w:divBdr>
                                        <w:top w:val="none" w:sz="0" w:space="0" w:color="auto"/>
                                        <w:left w:val="none" w:sz="0" w:space="0" w:color="auto"/>
                                        <w:bottom w:val="none" w:sz="0" w:space="0" w:color="auto"/>
                                        <w:right w:val="none" w:sz="0" w:space="0" w:color="auto"/>
                                      </w:divBdr>
                                    </w:div>
                                    <w:div w:id="1485855550">
                                      <w:marLeft w:val="0"/>
                                      <w:marRight w:val="0"/>
                                      <w:marTop w:val="0"/>
                                      <w:marBottom w:val="0"/>
                                      <w:divBdr>
                                        <w:top w:val="none" w:sz="0" w:space="0" w:color="auto"/>
                                        <w:left w:val="none" w:sz="0" w:space="0" w:color="auto"/>
                                        <w:bottom w:val="none" w:sz="0" w:space="0" w:color="auto"/>
                                        <w:right w:val="none" w:sz="0" w:space="0" w:color="auto"/>
                                      </w:divBdr>
                                    </w:div>
                                    <w:div w:id="2005545140">
                                      <w:marLeft w:val="0"/>
                                      <w:marRight w:val="0"/>
                                      <w:marTop w:val="0"/>
                                      <w:marBottom w:val="0"/>
                                      <w:divBdr>
                                        <w:top w:val="none" w:sz="0" w:space="0" w:color="auto"/>
                                        <w:left w:val="none" w:sz="0" w:space="0" w:color="auto"/>
                                        <w:bottom w:val="none" w:sz="0" w:space="0" w:color="auto"/>
                                        <w:right w:val="none" w:sz="0" w:space="0" w:color="auto"/>
                                      </w:divBdr>
                                    </w:div>
                                    <w:div w:id="286544111">
                                      <w:marLeft w:val="0"/>
                                      <w:marRight w:val="0"/>
                                      <w:marTop w:val="0"/>
                                      <w:marBottom w:val="0"/>
                                      <w:divBdr>
                                        <w:top w:val="none" w:sz="0" w:space="0" w:color="auto"/>
                                        <w:left w:val="none" w:sz="0" w:space="0" w:color="auto"/>
                                        <w:bottom w:val="none" w:sz="0" w:space="0" w:color="auto"/>
                                        <w:right w:val="none" w:sz="0" w:space="0" w:color="auto"/>
                                      </w:divBdr>
                                    </w:div>
                                    <w:div w:id="1290742945">
                                      <w:marLeft w:val="0"/>
                                      <w:marRight w:val="0"/>
                                      <w:marTop w:val="0"/>
                                      <w:marBottom w:val="0"/>
                                      <w:divBdr>
                                        <w:top w:val="none" w:sz="0" w:space="0" w:color="auto"/>
                                        <w:left w:val="none" w:sz="0" w:space="0" w:color="auto"/>
                                        <w:bottom w:val="none" w:sz="0" w:space="0" w:color="auto"/>
                                        <w:right w:val="none" w:sz="0" w:space="0" w:color="auto"/>
                                      </w:divBdr>
                                    </w:div>
                                    <w:div w:id="825127799">
                                      <w:marLeft w:val="0"/>
                                      <w:marRight w:val="0"/>
                                      <w:marTop w:val="0"/>
                                      <w:marBottom w:val="0"/>
                                      <w:divBdr>
                                        <w:top w:val="none" w:sz="0" w:space="0" w:color="auto"/>
                                        <w:left w:val="none" w:sz="0" w:space="0" w:color="auto"/>
                                        <w:bottom w:val="none" w:sz="0" w:space="0" w:color="auto"/>
                                        <w:right w:val="none" w:sz="0" w:space="0" w:color="auto"/>
                                      </w:divBdr>
                                    </w:div>
                                    <w:div w:id="1195734518">
                                      <w:marLeft w:val="0"/>
                                      <w:marRight w:val="0"/>
                                      <w:marTop w:val="0"/>
                                      <w:marBottom w:val="0"/>
                                      <w:divBdr>
                                        <w:top w:val="none" w:sz="0" w:space="0" w:color="auto"/>
                                        <w:left w:val="none" w:sz="0" w:space="0" w:color="auto"/>
                                        <w:bottom w:val="none" w:sz="0" w:space="0" w:color="auto"/>
                                        <w:right w:val="none" w:sz="0" w:space="0" w:color="auto"/>
                                      </w:divBdr>
                                    </w:div>
                                    <w:div w:id="1992980936">
                                      <w:marLeft w:val="0"/>
                                      <w:marRight w:val="0"/>
                                      <w:marTop w:val="0"/>
                                      <w:marBottom w:val="0"/>
                                      <w:divBdr>
                                        <w:top w:val="none" w:sz="0" w:space="0" w:color="auto"/>
                                        <w:left w:val="none" w:sz="0" w:space="0" w:color="auto"/>
                                        <w:bottom w:val="none" w:sz="0" w:space="0" w:color="auto"/>
                                        <w:right w:val="none" w:sz="0" w:space="0" w:color="auto"/>
                                      </w:divBdr>
                                    </w:div>
                                    <w:div w:id="1585912487">
                                      <w:marLeft w:val="0"/>
                                      <w:marRight w:val="0"/>
                                      <w:marTop w:val="0"/>
                                      <w:marBottom w:val="0"/>
                                      <w:divBdr>
                                        <w:top w:val="none" w:sz="0" w:space="0" w:color="auto"/>
                                        <w:left w:val="none" w:sz="0" w:space="0" w:color="auto"/>
                                        <w:bottom w:val="none" w:sz="0" w:space="0" w:color="auto"/>
                                        <w:right w:val="none" w:sz="0" w:space="0" w:color="auto"/>
                                      </w:divBdr>
                                    </w:div>
                                    <w:div w:id="60297554">
                                      <w:marLeft w:val="0"/>
                                      <w:marRight w:val="0"/>
                                      <w:marTop w:val="0"/>
                                      <w:marBottom w:val="0"/>
                                      <w:divBdr>
                                        <w:top w:val="none" w:sz="0" w:space="0" w:color="auto"/>
                                        <w:left w:val="none" w:sz="0" w:space="0" w:color="auto"/>
                                        <w:bottom w:val="none" w:sz="0" w:space="0" w:color="auto"/>
                                        <w:right w:val="none" w:sz="0" w:space="0" w:color="auto"/>
                                      </w:divBdr>
                                    </w:div>
                                    <w:div w:id="179898539">
                                      <w:marLeft w:val="0"/>
                                      <w:marRight w:val="0"/>
                                      <w:marTop w:val="0"/>
                                      <w:marBottom w:val="0"/>
                                      <w:divBdr>
                                        <w:top w:val="none" w:sz="0" w:space="0" w:color="auto"/>
                                        <w:left w:val="none" w:sz="0" w:space="0" w:color="auto"/>
                                        <w:bottom w:val="none" w:sz="0" w:space="0" w:color="auto"/>
                                        <w:right w:val="none" w:sz="0" w:space="0" w:color="auto"/>
                                      </w:divBdr>
                                    </w:div>
                                    <w:div w:id="716315881">
                                      <w:marLeft w:val="0"/>
                                      <w:marRight w:val="0"/>
                                      <w:marTop w:val="0"/>
                                      <w:marBottom w:val="0"/>
                                      <w:divBdr>
                                        <w:top w:val="none" w:sz="0" w:space="0" w:color="auto"/>
                                        <w:left w:val="none" w:sz="0" w:space="0" w:color="auto"/>
                                        <w:bottom w:val="none" w:sz="0" w:space="0" w:color="auto"/>
                                        <w:right w:val="none" w:sz="0" w:space="0" w:color="auto"/>
                                      </w:divBdr>
                                    </w:div>
                                    <w:div w:id="557057781">
                                      <w:marLeft w:val="0"/>
                                      <w:marRight w:val="0"/>
                                      <w:marTop w:val="0"/>
                                      <w:marBottom w:val="0"/>
                                      <w:divBdr>
                                        <w:top w:val="none" w:sz="0" w:space="0" w:color="auto"/>
                                        <w:left w:val="none" w:sz="0" w:space="0" w:color="auto"/>
                                        <w:bottom w:val="none" w:sz="0" w:space="0" w:color="auto"/>
                                        <w:right w:val="none" w:sz="0" w:space="0" w:color="auto"/>
                                      </w:divBdr>
                                    </w:div>
                                    <w:div w:id="1758860702">
                                      <w:marLeft w:val="0"/>
                                      <w:marRight w:val="0"/>
                                      <w:marTop w:val="0"/>
                                      <w:marBottom w:val="0"/>
                                      <w:divBdr>
                                        <w:top w:val="none" w:sz="0" w:space="0" w:color="auto"/>
                                        <w:left w:val="none" w:sz="0" w:space="0" w:color="auto"/>
                                        <w:bottom w:val="none" w:sz="0" w:space="0" w:color="auto"/>
                                        <w:right w:val="none" w:sz="0" w:space="0" w:color="auto"/>
                                      </w:divBdr>
                                    </w:div>
                                    <w:div w:id="1416560759">
                                      <w:marLeft w:val="0"/>
                                      <w:marRight w:val="0"/>
                                      <w:marTop w:val="0"/>
                                      <w:marBottom w:val="0"/>
                                      <w:divBdr>
                                        <w:top w:val="none" w:sz="0" w:space="0" w:color="auto"/>
                                        <w:left w:val="none" w:sz="0" w:space="0" w:color="auto"/>
                                        <w:bottom w:val="none" w:sz="0" w:space="0" w:color="auto"/>
                                        <w:right w:val="none" w:sz="0" w:space="0" w:color="auto"/>
                                      </w:divBdr>
                                    </w:div>
                                    <w:div w:id="1484202538">
                                      <w:marLeft w:val="0"/>
                                      <w:marRight w:val="0"/>
                                      <w:marTop w:val="0"/>
                                      <w:marBottom w:val="0"/>
                                      <w:divBdr>
                                        <w:top w:val="none" w:sz="0" w:space="0" w:color="auto"/>
                                        <w:left w:val="none" w:sz="0" w:space="0" w:color="auto"/>
                                        <w:bottom w:val="none" w:sz="0" w:space="0" w:color="auto"/>
                                        <w:right w:val="none" w:sz="0" w:space="0" w:color="auto"/>
                                      </w:divBdr>
                                    </w:div>
                                    <w:div w:id="1015886977">
                                      <w:marLeft w:val="0"/>
                                      <w:marRight w:val="0"/>
                                      <w:marTop w:val="0"/>
                                      <w:marBottom w:val="0"/>
                                      <w:divBdr>
                                        <w:top w:val="none" w:sz="0" w:space="0" w:color="auto"/>
                                        <w:left w:val="none" w:sz="0" w:space="0" w:color="auto"/>
                                        <w:bottom w:val="none" w:sz="0" w:space="0" w:color="auto"/>
                                        <w:right w:val="none" w:sz="0" w:space="0" w:color="auto"/>
                                      </w:divBdr>
                                    </w:div>
                                    <w:div w:id="1507788588">
                                      <w:marLeft w:val="0"/>
                                      <w:marRight w:val="0"/>
                                      <w:marTop w:val="0"/>
                                      <w:marBottom w:val="0"/>
                                      <w:divBdr>
                                        <w:top w:val="none" w:sz="0" w:space="0" w:color="auto"/>
                                        <w:left w:val="none" w:sz="0" w:space="0" w:color="auto"/>
                                        <w:bottom w:val="none" w:sz="0" w:space="0" w:color="auto"/>
                                        <w:right w:val="none" w:sz="0" w:space="0" w:color="auto"/>
                                      </w:divBdr>
                                    </w:div>
                                    <w:div w:id="1021861586">
                                      <w:marLeft w:val="0"/>
                                      <w:marRight w:val="0"/>
                                      <w:marTop w:val="0"/>
                                      <w:marBottom w:val="0"/>
                                      <w:divBdr>
                                        <w:top w:val="none" w:sz="0" w:space="0" w:color="auto"/>
                                        <w:left w:val="none" w:sz="0" w:space="0" w:color="auto"/>
                                        <w:bottom w:val="none" w:sz="0" w:space="0" w:color="auto"/>
                                        <w:right w:val="none" w:sz="0" w:space="0" w:color="auto"/>
                                      </w:divBdr>
                                    </w:div>
                                    <w:div w:id="996692408">
                                      <w:marLeft w:val="0"/>
                                      <w:marRight w:val="0"/>
                                      <w:marTop w:val="0"/>
                                      <w:marBottom w:val="0"/>
                                      <w:divBdr>
                                        <w:top w:val="none" w:sz="0" w:space="0" w:color="auto"/>
                                        <w:left w:val="none" w:sz="0" w:space="0" w:color="auto"/>
                                        <w:bottom w:val="none" w:sz="0" w:space="0" w:color="auto"/>
                                        <w:right w:val="none" w:sz="0" w:space="0" w:color="auto"/>
                                      </w:divBdr>
                                    </w:div>
                                    <w:div w:id="1832867988">
                                      <w:marLeft w:val="0"/>
                                      <w:marRight w:val="0"/>
                                      <w:marTop w:val="0"/>
                                      <w:marBottom w:val="0"/>
                                      <w:divBdr>
                                        <w:top w:val="none" w:sz="0" w:space="0" w:color="auto"/>
                                        <w:left w:val="none" w:sz="0" w:space="0" w:color="auto"/>
                                        <w:bottom w:val="none" w:sz="0" w:space="0" w:color="auto"/>
                                        <w:right w:val="none" w:sz="0" w:space="0" w:color="auto"/>
                                      </w:divBdr>
                                    </w:div>
                                    <w:div w:id="92314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92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wmf"/><Relationship Id="rId26"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control" Target="activeX/activeX2.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hart" Target="charts/chart4.xml"/><Relationship Id="rId25" Type="http://schemas.openxmlformats.org/officeDocument/2006/relationships/control" Target="activeX/activeX4.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image" Target="media/image2.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4.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hart" Target="charts/chart2.xml"/><Relationship Id="rId23" Type="http://schemas.openxmlformats.org/officeDocument/2006/relationships/control" Target="activeX/activeX3.xml"/><Relationship Id="rId28"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control" Target="activeX/activeX1.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 Id="rId22" Type="http://schemas.openxmlformats.org/officeDocument/2006/relationships/image" Target="media/image3.wmf"/><Relationship Id="rId27" Type="http://schemas.openxmlformats.org/officeDocument/2006/relationships/control" Target="activeX/activeX5.xml"/><Relationship Id="rId30" Type="http://schemas.openxmlformats.org/officeDocument/2006/relationships/footer" Target="footer1.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charts/_rels/chart1.xml.rels><?xml version="1.0" encoding="UTF-8" standalone="yes"?>
<Relationships xmlns="http://schemas.openxmlformats.org/package/2006/relationships"><Relationship Id="rId3" Type="http://schemas.openxmlformats.org/officeDocument/2006/relationships/oleObject" Target="file:///C:\Users\m_isa\Documents\BID%202017\BICE%20GCF\POD%20AR\Encuestas\Tabulation%20BIC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_isa\Documents\BID%202017\BICE%20GCF\POD%20AR\Encuestas\Tabulation%20BIC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_isa\Documents\BID%202017\BICE%20GCF\POD%20AR\Encuestas\Tabulation%20BIC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m_isa\Documents\BID%202017\BICE%20GCF\POD%20AR\Encuestas\Tabulation%20BICE.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r>
              <a:rPr lang="en-US" sz="1000" b="1"/>
              <a:t>Principales</a:t>
            </a:r>
            <a:r>
              <a:rPr lang="en-US" sz="1000" b="1" baseline="0"/>
              <a:t> o</a:t>
            </a:r>
            <a:r>
              <a:rPr lang="en-US" sz="1000" b="1"/>
              <a:t>bstáculos para el crecimiento de su cartera de PYMES</a:t>
            </a: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51155251859073037"/>
          <c:y val="0.16686455094648497"/>
          <c:w val="0.43616693542686596"/>
          <c:h val="0.68771150075437804"/>
        </c:manualLayout>
      </c:layout>
      <c:barChart>
        <c:barDir val="bar"/>
        <c:grouping val="clustered"/>
        <c:varyColors val="0"/>
        <c:ser>
          <c:idx val="0"/>
          <c:order val="0"/>
          <c:tx>
            <c:strRef>
              <c:f>Sheet1!$B$44</c:f>
              <c:strCache>
                <c:ptCount val="1"/>
                <c:pt idx="0">
                  <c:v>No importante</c:v>
                </c:pt>
              </c:strCache>
            </c:strRef>
          </c:tx>
          <c:spPr>
            <a:solidFill>
              <a:schemeClr val="accent1"/>
            </a:solidFill>
            <a:ln>
              <a:noFill/>
            </a:ln>
            <a:effectLst/>
          </c:spPr>
          <c:invertIfNegative val="0"/>
          <c:cat>
            <c:strRef>
              <c:f>Sheet1!$A$45:$A$51</c:f>
              <c:strCache>
                <c:ptCount val="7"/>
                <c:pt idx="0">
                  <c:v>Macroeconómicos (inestabilidad económica, políticas de tasa de interés, riesgo de tipo de cambio)</c:v>
                </c:pt>
                <c:pt idx="1">
                  <c:v>Regulación (Basilea, anti lavado de dinero (AML), normativa local)</c:v>
                </c:pt>
                <c:pt idx="2">
                  <c:v>Ambiente legal y contractual (regímenes de garantías y bancarrota, aplicación de la ley (enforcement), eficiencia del poder judicial)</c:v>
                </c:pt>
                <c:pt idx="3">
                  <c:v>Factores específicos a mi institución (estructura organizacional, falta de incentivos, falta de expertise, desinterés por parte de alta dirección)</c:v>
                </c:pt>
                <c:pt idx="4">
                  <c:v>Factores específicos a las PYME (mala calidad de estados financieros, informalidad, falta de colateral)</c:v>
                </c:pt>
                <c:pt idx="5">
                  <c:v>Naturaleza del negocio PYME (altos costes de transacción, dificultad para estandarizar productos y procesos, falta de economías de escala)</c:v>
                </c:pt>
                <c:pt idx="6">
                  <c:v>Competencia en el sector (otros actores como bancos públicos o bancos especializados, bajos márgenes)</c:v>
                </c:pt>
              </c:strCache>
            </c:strRef>
          </c:cat>
          <c:val>
            <c:numRef>
              <c:f>Sheet1!$B$45:$B$51</c:f>
              <c:numCache>
                <c:formatCode>General</c:formatCode>
                <c:ptCount val="7"/>
                <c:pt idx="2">
                  <c:v>1</c:v>
                </c:pt>
                <c:pt idx="3">
                  <c:v>5</c:v>
                </c:pt>
                <c:pt idx="5">
                  <c:v>1</c:v>
                </c:pt>
              </c:numCache>
            </c:numRef>
          </c:val>
          <c:extLst>
            <c:ext xmlns:c16="http://schemas.microsoft.com/office/drawing/2014/chart" uri="{C3380CC4-5D6E-409C-BE32-E72D297353CC}">
              <c16:uniqueId val="{00000000-075D-41CD-A230-542BC8F30E54}"/>
            </c:ext>
          </c:extLst>
        </c:ser>
        <c:ser>
          <c:idx val="1"/>
          <c:order val="1"/>
          <c:tx>
            <c:strRef>
              <c:f>Sheet1!$C$44</c:f>
              <c:strCache>
                <c:ptCount val="1"/>
                <c:pt idx="0">
                  <c:v>Poco importante</c:v>
                </c:pt>
              </c:strCache>
            </c:strRef>
          </c:tx>
          <c:spPr>
            <a:solidFill>
              <a:schemeClr val="accent2"/>
            </a:solidFill>
            <a:ln>
              <a:noFill/>
            </a:ln>
            <a:effectLst/>
          </c:spPr>
          <c:invertIfNegative val="0"/>
          <c:cat>
            <c:strRef>
              <c:f>Sheet1!$A$45:$A$51</c:f>
              <c:strCache>
                <c:ptCount val="7"/>
                <c:pt idx="0">
                  <c:v>Macroeconómicos (inestabilidad económica, políticas de tasa de interés, riesgo de tipo de cambio)</c:v>
                </c:pt>
                <c:pt idx="1">
                  <c:v>Regulación (Basilea, anti lavado de dinero (AML), normativa local)</c:v>
                </c:pt>
                <c:pt idx="2">
                  <c:v>Ambiente legal y contractual (regímenes de garantías y bancarrota, aplicación de la ley (enforcement), eficiencia del poder judicial)</c:v>
                </c:pt>
                <c:pt idx="3">
                  <c:v>Factores específicos a mi institución (estructura organizacional, falta de incentivos, falta de expertise, desinterés por parte de alta dirección)</c:v>
                </c:pt>
                <c:pt idx="4">
                  <c:v>Factores específicos a las PYME (mala calidad de estados financieros, informalidad, falta de colateral)</c:v>
                </c:pt>
                <c:pt idx="5">
                  <c:v>Naturaleza del negocio PYME (altos costes de transacción, dificultad para estandarizar productos y procesos, falta de economías de escala)</c:v>
                </c:pt>
                <c:pt idx="6">
                  <c:v>Competencia en el sector (otros actores como bancos públicos o bancos especializados, bajos márgenes)</c:v>
                </c:pt>
              </c:strCache>
            </c:strRef>
          </c:cat>
          <c:val>
            <c:numRef>
              <c:f>Sheet1!$C$45:$C$51</c:f>
              <c:numCache>
                <c:formatCode>General</c:formatCode>
                <c:ptCount val="7"/>
                <c:pt idx="0">
                  <c:v>1</c:v>
                </c:pt>
                <c:pt idx="1">
                  <c:v>5</c:v>
                </c:pt>
                <c:pt idx="2">
                  <c:v>4</c:v>
                </c:pt>
                <c:pt idx="4">
                  <c:v>3</c:v>
                </c:pt>
                <c:pt idx="5">
                  <c:v>4</c:v>
                </c:pt>
                <c:pt idx="6">
                  <c:v>1</c:v>
                </c:pt>
              </c:numCache>
            </c:numRef>
          </c:val>
          <c:extLst>
            <c:ext xmlns:c16="http://schemas.microsoft.com/office/drawing/2014/chart" uri="{C3380CC4-5D6E-409C-BE32-E72D297353CC}">
              <c16:uniqueId val="{00000001-075D-41CD-A230-542BC8F30E54}"/>
            </c:ext>
          </c:extLst>
        </c:ser>
        <c:ser>
          <c:idx val="2"/>
          <c:order val="2"/>
          <c:tx>
            <c:strRef>
              <c:f>Sheet1!$D$44</c:f>
              <c:strCache>
                <c:ptCount val="1"/>
                <c:pt idx="0">
                  <c:v>Muy importante</c:v>
                </c:pt>
              </c:strCache>
            </c:strRef>
          </c:tx>
          <c:spPr>
            <a:solidFill>
              <a:schemeClr val="accent3"/>
            </a:solidFill>
            <a:ln>
              <a:noFill/>
            </a:ln>
            <a:effectLst/>
          </c:spPr>
          <c:invertIfNegative val="0"/>
          <c:cat>
            <c:strRef>
              <c:f>Sheet1!$A$45:$A$51</c:f>
              <c:strCache>
                <c:ptCount val="7"/>
                <c:pt idx="0">
                  <c:v>Macroeconómicos (inestabilidad económica, políticas de tasa de interés, riesgo de tipo de cambio)</c:v>
                </c:pt>
                <c:pt idx="1">
                  <c:v>Regulación (Basilea, anti lavado de dinero (AML), normativa local)</c:v>
                </c:pt>
                <c:pt idx="2">
                  <c:v>Ambiente legal y contractual (regímenes de garantías y bancarrota, aplicación de la ley (enforcement), eficiencia del poder judicial)</c:v>
                </c:pt>
                <c:pt idx="3">
                  <c:v>Factores específicos a mi institución (estructura organizacional, falta de incentivos, falta de expertise, desinterés por parte de alta dirección)</c:v>
                </c:pt>
                <c:pt idx="4">
                  <c:v>Factores específicos a las PYME (mala calidad de estados financieros, informalidad, falta de colateral)</c:v>
                </c:pt>
                <c:pt idx="5">
                  <c:v>Naturaleza del negocio PYME (altos costes de transacción, dificultad para estandarizar productos y procesos, falta de economías de escala)</c:v>
                </c:pt>
                <c:pt idx="6">
                  <c:v>Competencia en el sector (otros actores como bancos públicos o bancos especializados, bajos márgenes)</c:v>
                </c:pt>
              </c:strCache>
            </c:strRef>
          </c:cat>
          <c:val>
            <c:numRef>
              <c:f>Sheet1!$D$45:$D$51</c:f>
              <c:numCache>
                <c:formatCode>General</c:formatCode>
                <c:ptCount val="7"/>
                <c:pt idx="0">
                  <c:v>6</c:v>
                </c:pt>
                <c:pt idx="1">
                  <c:v>2</c:v>
                </c:pt>
                <c:pt idx="2">
                  <c:v>2</c:v>
                </c:pt>
                <c:pt idx="3">
                  <c:v>2</c:v>
                </c:pt>
                <c:pt idx="4">
                  <c:v>4</c:v>
                </c:pt>
                <c:pt idx="5">
                  <c:v>2</c:v>
                </c:pt>
                <c:pt idx="6">
                  <c:v>6</c:v>
                </c:pt>
              </c:numCache>
            </c:numRef>
          </c:val>
          <c:extLst>
            <c:ext xmlns:c16="http://schemas.microsoft.com/office/drawing/2014/chart" uri="{C3380CC4-5D6E-409C-BE32-E72D297353CC}">
              <c16:uniqueId val="{00000002-075D-41CD-A230-542BC8F30E54}"/>
            </c:ext>
          </c:extLst>
        </c:ser>
        <c:dLbls>
          <c:showLegendKey val="0"/>
          <c:showVal val="0"/>
          <c:showCatName val="0"/>
          <c:showSerName val="0"/>
          <c:showPercent val="0"/>
          <c:showBubbleSize val="0"/>
        </c:dLbls>
        <c:gapWidth val="182"/>
        <c:axId val="456027760"/>
        <c:axId val="456028088"/>
      </c:barChart>
      <c:catAx>
        <c:axId val="456027760"/>
        <c:scaling>
          <c:orientation val="minMax"/>
        </c:scaling>
        <c:delete val="0"/>
        <c:axPos val="l"/>
        <c:numFmt formatCode="@"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0"/>
          <a:lstStyle/>
          <a:p>
            <a:pPr>
              <a:defRPr sz="6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en-US"/>
          </a:p>
        </c:txPr>
        <c:crossAx val="456028088"/>
        <c:crosses val="autoZero"/>
        <c:auto val="1"/>
        <c:lblAlgn val="ctr"/>
        <c:lblOffset val="100"/>
        <c:noMultiLvlLbl val="0"/>
      </c:catAx>
      <c:valAx>
        <c:axId val="456028088"/>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56027760"/>
        <c:crosses val="autoZero"/>
        <c:crossBetween val="between"/>
      </c:valAx>
      <c:spPr>
        <a:noFill/>
        <a:ln>
          <a:noFill/>
        </a:ln>
        <a:effectLst/>
      </c:spPr>
    </c:plotArea>
    <c:legend>
      <c:legendPos val="b"/>
      <c:layout>
        <c:manualLayout>
          <c:xMode val="edge"/>
          <c:yMode val="edge"/>
          <c:x val="0.33102934248603538"/>
          <c:y val="0.87732879892004811"/>
          <c:w val="0.34852059357964865"/>
          <c:h val="8.1818723237900945E-2"/>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r>
              <a:rPr lang="en-US" sz="1000" b="1"/>
              <a:t>Motivo</a:t>
            </a:r>
            <a:r>
              <a:rPr lang="en-US" sz="1000" b="1" baseline="0"/>
              <a:t>  más común del rechazo de solicitudes de credito de PYMES</a:t>
            </a:r>
            <a:endParaRPr lang="en-US" sz="1000" b="1"/>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38786085527852726"/>
          <c:y val="0.18792178877019478"/>
          <c:w val="0.59265503431337341"/>
          <c:h val="0.73876978866556786"/>
        </c:manualLayout>
      </c:layout>
      <c:barChart>
        <c:barDir val="bar"/>
        <c:grouping val="clustered"/>
        <c:varyColors val="0"/>
        <c:ser>
          <c:idx val="0"/>
          <c:order val="0"/>
          <c:spPr>
            <a:solidFill>
              <a:schemeClr val="accent1"/>
            </a:solidFill>
            <a:ln>
              <a:noFill/>
            </a:ln>
            <a:effectLst/>
          </c:spPr>
          <c:invertIfNegative val="0"/>
          <c:cat>
            <c:strRef>
              <c:f>Sheet1!$A$59:$A$64</c:f>
              <c:strCache>
                <c:ptCount val="6"/>
                <c:pt idx="0">
                  <c:v>Viabilidad del proyecto a financiar</c:v>
                </c:pt>
                <c:pt idx="1">
                  <c:v>Condición financiera del prestamista</c:v>
                </c:pt>
                <c:pt idx="2">
                  <c:v>No presenta la documentación regulatoria requerida</c:v>
                </c:pt>
                <c:pt idx="3">
                  <c:v>No cuentan con las garantías/colateral requeridos</c:v>
                </c:pt>
                <c:pt idx="4">
                  <c:v>No presentan estados financieros o plan de negocio aceptables</c:v>
                </c:pt>
                <c:pt idx="5">
                  <c:v>Falta de capacidad técnica para evaluar la aplicación</c:v>
                </c:pt>
              </c:strCache>
            </c:strRef>
          </c:cat>
          <c:val>
            <c:numRef>
              <c:f>Sheet1!$B$59:$B$64</c:f>
              <c:numCache>
                <c:formatCode>General</c:formatCode>
                <c:ptCount val="6"/>
                <c:pt idx="0">
                  <c:v>3</c:v>
                </c:pt>
                <c:pt idx="1">
                  <c:v>4</c:v>
                </c:pt>
                <c:pt idx="2">
                  <c:v>5</c:v>
                </c:pt>
                <c:pt idx="3">
                  <c:v>3</c:v>
                </c:pt>
                <c:pt idx="4">
                  <c:v>3</c:v>
                </c:pt>
                <c:pt idx="5">
                  <c:v>0</c:v>
                </c:pt>
              </c:numCache>
            </c:numRef>
          </c:val>
          <c:extLst>
            <c:ext xmlns:c16="http://schemas.microsoft.com/office/drawing/2014/chart" uri="{C3380CC4-5D6E-409C-BE32-E72D297353CC}">
              <c16:uniqueId val="{00000000-6333-4655-AA50-EA6D20AE6E59}"/>
            </c:ext>
          </c:extLst>
        </c:ser>
        <c:dLbls>
          <c:showLegendKey val="0"/>
          <c:showVal val="0"/>
          <c:showCatName val="0"/>
          <c:showSerName val="0"/>
          <c:showPercent val="0"/>
          <c:showBubbleSize val="0"/>
        </c:dLbls>
        <c:gapWidth val="182"/>
        <c:axId val="646642320"/>
        <c:axId val="646642976"/>
      </c:barChart>
      <c:catAx>
        <c:axId val="6466423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46642976"/>
        <c:crosses val="autoZero"/>
        <c:auto val="1"/>
        <c:lblAlgn val="ctr"/>
        <c:lblOffset val="100"/>
        <c:noMultiLvlLbl val="0"/>
      </c:catAx>
      <c:valAx>
        <c:axId val="646642976"/>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6466423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r>
              <a:rPr lang="en-US" sz="1000" b="1"/>
              <a:t>Valoracion de PYMES con relacion a otro tipo de clientes</a:t>
            </a: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0962333986501201E-2"/>
          <c:y val="0.15504388384572945"/>
          <c:w val="0.71913781841933377"/>
          <c:h val="0.69109734690806957"/>
        </c:manualLayout>
      </c:layout>
      <c:barChart>
        <c:barDir val="col"/>
        <c:grouping val="clustered"/>
        <c:varyColors val="0"/>
        <c:ser>
          <c:idx val="0"/>
          <c:order val="0"/>
          <c:tx>
            <c:strRef>
              <c:f>Sheet1!$B$84</c:f>
              <c:strCache>
                <c:ptCount val="1"/>
                <c:pt idx="0">
                  <c:v>&lt; para PYMES</c:v>
                </c:pt>
              </c:strCache>
            </c:strRef>
          </c:tx>
          <c:spPr>
            <a:solidFill>
              <a:schemeClr val="accent1"/>
            </a:solidFill>
            <a:ln>
              <a:noFill/>
            </a:ln>
            <a:effectLst/>
          </c:spPr>
          <c:invertIfNegative val="0"/>
          <c:cat>
            <c:strRef>
              <c:f>Sheet1!$A$85:$A$87</c:f>
              <c:strCache>
                <c:ptCount val="3"/>
                <c:pt idx="0">
                  <c:v>Rentabilidad</c:v>
                </c:pt>
                <c:pt idx="1">
                  <c:v>Riesgo (probabilidad de default)</c:v>
                </c:pt>
                <c:pt idx="2">
                  <c:v>Costo administrativo</c:v>
                </c:pt>
              </c:strCache>
            </c:strRef>
          </c:cat>
          <c:val>
            <c:numRef>
              <c:f>Sheet1!$B$85:$B$87</c:f>
              <c:numCache>
                <c:formatCode>General</c:formatCode>
                <c:ptCount val="3"/>
                <c:pt idx="0">
                  <c:v>1</c:v>
                </c:pt>
                <c:pt idx="2">
                  <c:v>2</c:v>
                </c:pt>
              </c:numCache>
            </c:numRef>
          </c:val>
          <c:extLst>
            <c:ext xmlns:c16="http://schemas.microsoft.com/office/drawing/2014/chart" uri="{C3380CC4-5D6E-409C-BE32-E72D297353CC}">
              <c16:uniqueId val="{00000000-9A07-414F-AE3F-6A3D6054C6FB}"/>
            </c:ext>
          </c:extLst>
        </c:ser>
        <c:ser>
          <c:idx val="1"/>
          <c:order val="1"/>
          <c:tx>
            <c:strRef>
              <c:f>Sheet1!$C$84</c:f>
              <c:strCache>
                <c:ptCount val="1"/>
                <c:pt idx="0">
                  <c:v>= para PYMES</c:v>
                </c:pt>
              </c:strCache>
            </c:strRef>
          </c:tx>
          <c:spPr>
            <a:solidFill>
              <a:schemeClr val="accent2"/>
            </a:solidFill>
            <a:ln>
              <a:noFill/>
            </a:ln>
            <a:effectLst/>
          </c:spPr>
          <c:invertIfNegative val="0"/>
          <c:cat>
            <c:strRef>
              <c:f>Sheet1!$A$85:$A$87</c:f>
              <c:strCache>
                <c:ptCount val="3"/>
                <c:pt idx="0">
                  <c:v>Rentabilidad</c:v>
                </c:pt>
                <c:pt idx="1">
                  <c:v>Riesgo (probabilidad de default)</c:v>
                </c:pt>
                <c:pt idx="2">
                  <c:v>Costo administrativo</c:v>
                </c:pt>
              </c:strCache>
            </c:strRef>
          </c:cat>
          <c:val>
            <c:numRef>
              <c:f>Sheet1!$C$85:$C$87</c:f>
              <c:numCache>
                <c:formatCode>General</c:formatCode>
                <c:ptCount val="3"/>
                <c:pt idx="0">
                  <c:v>1</c:v>
                </c:pt>
                <c:pt idx="1">
                  <c:v>4</c:v>
                </c:pt>
                <c:pt idx="2">
                  <c:v>3</c:v>
                </c:pt>
              </c:numCache>
            </c:numRef>
          </c:val>
          <c:extLst>
            <c:ext xmlns:c16="http://schemas.microsoft.com/office/drawing/2014/chart" uri="{C3380CC4-5D6E-409C-BE32-E72D297353CC}">
              <c16:uniqueId val="{00000001-9A07-414F-AE3F-6A3D6054C6FB}"/>
            </c:ext>
          </c:extLst>
        </c:ser>
        <c:ser>
          <c:idx val="2"/>
          <c:order val="2"/>
          <c:tx>
            <c:strRef>
              <c:f>Sheet1!$D$84</c:f>
              <c:strCache>
                <c:ptCount val="1"/>
                <c:pt idx="0">
                  <c:v>&gt; para PYMES</c:v>
                </c:pt>
              </c:strCache>
            </c:strRef>
          </c:tx>
          <c:spPr>
            <a:solidFill>
              <a:schemeClr val="accent3"/>
            </a:solidFill>
            <a:ln>
              <a:noFill/>
            </a:ln>
            <a:effectLst/>
          </c:spPr>
          <c:invertIfNegative val="0"/>
          <c:cat>
            <c:strRef>
              <c:f>Sheet1!$A$85:$A$87</c:f>
              <c:strCache>
                <c:ptCount val="3"/>
                <c:pt idx="0">
                  <c:v>Rentabilidad</c:v>
                </c:pt>
                <c:pt idx="1">
                  <c:v>Riesgo (probabilidad de default)</c:v>
                </c:pt>
                <c:pt idx="2">
                  <c:v>Costo administrativo</c:v>
                </c:pt>
              </c:strCache>
            </c:strRef>
          </c:cat>
          <c:val>
            <c:numRef>
              <c:f>Sheet1!$D$85:$D$87</c:f>
              <c:numCache>
                <c:formatCode>General</c:formatCode>
                <c:ptCount val="3"/>
                <c:pt idx="0">
                  <c:v>5</c:v>
                </c:pt>
                <c:pt idx="1">
                  <c:v>3</c:v>
                </c:pt>
                <c:pt idx="2">
                  <c:v>2</c:v>
                </c:pt>
              </c:numCache>
            </c:numRef>
          </c:val>
          <c:extLst>
            <c:ext xmlns:c16="http://schemas.microsoft.com/office/drawing/2014/chart" uri="{C3380CC4-5D6E-409C-BE32-E72D297353CC}">
              <c16:uniqueId val="{00000002-9A07-414F-AE3F-6A3D6054C6FB}"/>
            </c:ext>
          </c:extLst>
        </c:ser>
        <c:dLbls>
          <c:showLegendKey val="0"/>
          <c:showVal val="0"/>
          <c:showCatName val="0"/>
          <c:showSerName val="0"/>
          <c:showPercent val="0"/>
          <c:showBubbleSize val="0"/>
        </c:dLbls>
        <c:gapWidth val="219"/>
        <c:overlap val="-27"/>
        <c:axId val="576396704"/>
        <c:axId val="576399000"/>
      </c:barChart>
      <c:catAx>
        <c:axId val="576396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576399000"/>
        <c:crosses val="autoZero"/>
        <c:auto val="1"/>
        <c:lblAlgn val="ctr"/>
        <c:lblOffset val="100"/>
        <c:noMultiLvlLbl val="0"/>
      </c:catAx>
      <c:valAx>
        <c:axId val="576399000"/>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576396704"/>
        <c:crosses val="autoZero"/>
        <c:crossBetween val="between"/>
      </c:valAx>
      <c:spPr>
        <a:noFill/>
        <a:ln>
          <a:noFill/>
        </a:ln>
        <a:effectLst/>
      </c:spPr>
    </c:plotArea>
    <c:legend>
      <c:legendPos val="r"/>
      <c:layout>
        <c:manualLayout>
          <c:xMode val="edge"/>
          <c:yMode val="edge"/>
          <c:x val="0.85451603004229304"/>
          <c:y val="0.42938412157079087"/>
          <c:w val="0.11500280296445635"/>
          <c:h val="0.27629520036110133"/>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r>
              <a:rPr lang="en-US" sz="1000" b="1"/>
              <a:t> Percepción sobre el impacto de los programas públicos de apoyo a financiamiento a PYMES</a:t>
            </a: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Sheet1!$B$90</c:f>
              <c:strCache>
                <c:ptCount val="1"/>
                <c:pt idx="0">
                  <c:v>No importante</c:v>
                </c:pt>
              </c:strCache>
            </c:strRef>
          </c:tx>
          <c:spPr>
            <a:solidFill>
              <a:schemeClr val="accent1"/>
            </a:solidFill>
            <a:ln>
              <a:noFill/>
            </a:ln>
            <a:effectLst/>
          </c:spPr>
          <c:invertIfNegative val="0"/>
          <c:cat>
            <c:strRef>
              <c:f>Sheet1!$A$91:$A$95</c:f>
              <c:strCache>
                <c:ptCount val="5"/>
                <c:pt idx="0">
                  <c:v>Programas de financiamiento (condiciones preferenciales en tasas y/o plazos)</c:v>
                </c:pt>
                <c:pt idx="1">
                  <c:v>Programas de garantías</c:v>
                </c:pt>
                <c:pt idx="2">
                  <c:v>Líneas dedicadas a través de banca publica</c:v>
                </c:pt>
                <c:pt idx="3">
                  <c:v>Entrenamiento y capacitación</c:v>
                </c:pt>
                <c:pt idx="4">
                  <c:v>Creación/mejora de buros de crédito</c:v>
                </c:pt>
              </c:strCache>
            </c:strRef>
          </c:cat>
          <c:val>
            <c:numRef>
              <c:f>Sheet1!$B$91:$B$95</c:f>
              <c:numCache>
                <c:formatCode>General</c:formatCode>
                <c:ptCount val="5"/>
                <c:pt idx="3">
                  <c:v>2</c:v>
                </c:pt>
                <c:pt idx="4">
                  <c:v>1</c:v>
                </c:pt>
              </c:numCache>
            </c:numRef>
          </c:val>
          <c:extLst>
            <c:ext xmlns:c16="http://schemas.microsoft.com/office/drawing/2014/chart" uri="{C3380CC4-5D6E-409C-BE32-E72D297353CC}">
              <c16:uniqueId val="{00000000-1ECB-41FA-B067-18F2319A5632}"/>
            </c:ext>
          </c:extLst>
        </c:ser>
        <c:ser>
          <c:idx val="1"/>
          <c:order val="1"/>
          <c:tx>
            <c:strRef>
              <c:f>Sheet1!$C$90</c:f>
              <c:strCache>
                <c:ptCount val="1"/>
                <c:pt idx="0">
                  <c:v>Poco importante</c:v>
                </c:pt>
              </c:strCache>
            </c:strRef>
          </c:tx>
          <c:spPr>
            <a:solidFill>
              <a:schemeClr val="accent2"/>
            </a:solidFill>
            <a:ln>
              <a:noFill/>
            </a:ln>
            <a:effectLst/>
          </c:spPr>
          <c:invertIfNegative val="0"/>
          <c:cat>
            <c:strRef>
              <c:f>Sheet1!$A$91:$A$95</c:f>
              <c:strCache>
                <c:ptCount val="5"/>
                <c:pt idx="0">
                  <c:v>Programas de financiamiento (condiciones preferenciales en tasas y/o plazos)</c:v>
                </c:pt>
                <c:pt idx="1">
                  <c:v>Programas de garantías</c:v>
                </c:pt>
                <c:pt idx="2">
                  <c:v>Líneas dedicadas a través de banca publica</c:v>
                </c:pt>
                <c:pt idx="3">
                  <c:v>Entrenamiento y capacitación</c:v>
                </c:pt>
                <c:pt idx="4">
                  <c:v>Creación/mejora de buros de crédito</c:v>
                </c:pt>
              </c:strCache>
            </c:strRef>
          </c:cat>
          <c:val>
            <c:numRef>
              <c:f>Sheet1!$C$91:$C$95</c:f>
              <c:numCache>
                <c:formatCode>General</c:formatCode>
                <c:ptCount val="5"/>
                <c:pt idx="0">
                  <c:v>1</c:v>
                </c:pt>
                <c:pt idx="1">
                  <c:v>3</c:v>
                </c:pt>
                <c:pt idx="2">
                  <c:v>4</c:v>
                </c:pt>
                <c:pt idx="3">
                  <c:v>4</c:v>
                </c:pt>
                <c:pt idx="4">
                  <c:v>3</c:v>
                </c:pt>
              </c:numCache>
            </c:numRef>
          </c:val>
          <c:extLst>
            <c:ext xmlns:c16="http://schemas.microsoft.com/office/drawing/2014/chart" uri="{C3380CC4-5D6E-409C-BE32-E72D297353CC}">
              <c16:uniqueId val="{00000001-1ECB-41FA-B067-18F2319A5632}"/>
            </c:ext>
          </c:extLst>
        </c:ser>
        <c:ser>
          <c:idx val="2"/>
          <c:order val="2"/>
          <c:tx>
            <c:strRef>
              <c:f>Sheet1!$D$90</c:f>
              <c:strCache>
                <c:ptCount val="1"/>
                <c:pt idx="0">
                  <c:v>Muy importante</c:v>
                </c:pt>
              </c:strCache>
            </c:strRef>
          </c:tx>
          <c:spPr>
            <a:solidFill>
              <a:schemeClr val="accent3"/>
            </a:solidFill>
            <a:ln>
              <a:noFill/>
            </a:ln>
            <a:effectLst/>
          </c:spPr>
          <c:invertIfNegative val="0"/>
          <c:cat>
            <c:strRef>
              <c:f>Sheet1!$A$91:$A$95</c:f>
              <c:strCache>
                <c:ptCount val="5"/>
                <c:pt idx="0">
                  <c:v>Programas de financiamiento (condiciones preferenciales en tasas y/o plazos)</c:v>
                </c:pt>
                <c:pt idx="1">
                  <c:v>Programas de garantías</c:v>
                </c:pt>
                <c:pt idx="2">
                  <c:v>Líneas dedicadas a través de banca publica</c:v>
                </c:pt>
                <c:pt idx="3">
                  <c:v>Entrenamiento y capacitación</c:v>
                </c:pt>
                <c:pt idx="4">
                  <c:v>Creación/mejora de buros de crédito</c:v>
                </c:pt>
              </c:strCache>
            </c:strRef>
          </c:cat>
          <c:val>
            <c:numRef>
              <c:f>Sheet1!$D$91:$D$95</c:f>
              <c:numCache>
                <c:formatCode>General</c:formatCode>
                <c:ptCount val="5"/>
                <c:pt idx="0">
                  <c:v>6</c:v>
                </c:pt>
                <c:pt idx="1">
                  <c:v>4</c:v>
                </c:pt>
                <c:pt idx="2">
                  <c:v>3</c:v>
                </c:pt>
                <c:pt idx="3">
                  <c:v>1</c:v>
                </c:pt>
                <c:pt idx="4">
                  <c:v>2</c:v>
                </c:pt>
              </c:numCache>
            </c:numRef>
          </c:val>
          <c:extLst>
            <c:ext xmlns:c16="http://schemas.microsoft.com/office/drawing/2014/chart" uri="{C3380CC4-5D6E-409C-BE32-E72D297353CC}">
              <c16:uniqueId val="{00000002-1ECB-41FA-B067-18F2319A5632}"/>
            </c:ext>
          </c:extLst>
        </c:ser>
        <c:dLbls>
          <c:showLegendKey val="0"/>
          <c:showVal val="0"/>
          <c:showCatName val="0"/>
          <c:showSerName val="0"/>
          <c:showPercent val="0"/>
          <c:showBubbleSize val="0"/>
        </c:dLbls>
        <c:gapWidth val="219"/>
        <c:axId val="451875560"/>
        <c:axId val="451875888"/>
      </c:barChart>
      <c:catAx>
        <c:axId val="4518755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451875888"/>
        <c:crosses val="autoZero"/>
        <c:auto val="1"/>
        <c:lblAlgn val="ctr"/>
        <c:lblOffset val="100"/>
        <c:noMultiLvlLbl val="0"/>
      </c:catAx>
      <c:valAx>
        <c:axId val="451875888"/>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51875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260</Value>
      <Value>5</Value>
      <Value>84</Value>
      <Value>1</Value>
      <Value>287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R0002058484</Record_x0020_Number>
    <_dlc_DocId xmlns="cdc7663a-08f0-4737-9e8c-148ce897a09c">EZSHARE-972212929-28</_dlc_DocId>
    <_dlc_DocIdUrl xmlns="cdc7663a-08f0-4737-9e8c-148ce897a09c">
      <Url>https://idbg.sharepoint.com/teams/EZ-AR-LON/AR-L1280/_layouts/15/DocIdRedir.aspx?ID=EZSHARE-972212929-28</Url>
      <Description>EZSHARE-972212929-28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6768D-23FD-475B-9D70-674BF332660C}"/>
</file>

<file path=customXml/itemProps2.xml><?xml version="1.0" encoding="utf-8"?>
<ds:datastoreItem xmlns:ds="http://schemas.openxmlformats.org/officeDocument/2006/customXml" ds:itemID="{AE4088B8-ADAD-4756-B97B-75C822BD273A}"/>
</file>

<file path=customXml/itemProps3.xml><?xml version="1.0" encoding="utf-8"?>
<ds:datastoreItem xmlns:ds="http://schemas.openxmlformats.org/officeDocument/2006/customXml" ds:itemID="{98D97175-1756-4D44-BA86-742A9C081E58}">
  <ds:schemaRefs>
    <ds:schemaRef ds:uri="http://schemas.microsoft.com/sharepoint/v3/contenttype/forms"/>
  </ds:schemaRefs>
</ds:datastoreItem>
</file>

<file path=customXml/itemProps4.xml><?xml version="1.0" encoding="utf-8"?>
<ds:datastoreItem xmlns:ds="http://schemas.openxmlformats.org/officeDocument/2006/customXml" ds:itemID="{27BECF71-3174-424B-9996-DB61D7B191EE}"/>
</file>

<file path=customXml/itemProps5.xml><?xml version="1.0" encoding="utf-8"?>
<ds:datastoreItem xmlns:ds="http://schemas.openxmlformats.org/officeDocument/2006/customXml" ds:itemID="{549118F5-F561-4463-BE88-0B51C00D9620}">
  <ds:schemaRefs>
    <ds:schemaRef ds:uri="http://schemas.microsoft.com/sharepoint/events"/>
  </ds:schemaRefs>
</ds:datastoreItem>
</file>

<file path=customXml/itemProps6.xml><?xml version="1.0" encoding="utf-8"?>
<ds:datastoreItem xmlns:ds="http://schemas.openxmlformats.org/officeDocument/2006/customXml" ds:itemID="{D3662855-2328-4C65-A99C-C486C4D50BF6}">
  <ds:schemaRefs>
    <ds:schemaRef ds:uri="http://schemas.microsoft.com/office/2006/documentManagement/types"/>
    <ds:schemaRef ds:uri="http://schemas.microsoft.com/office/2006/metadata/properties"/>
    <ds:schemaRef ds:uri="http://purl.org/dc/dcmitype/"/>
    <ds:schemaRef ds:uri="http://purl.org/dc/terms/"/>
    <ds:schemaRef ds:uri="cdc7663a-08f0-4737-9e8c-148ce897a09c"/>
    <ds:schemaRef ds:uri="http://purl.org/dc/elements/1.1/"/>
    <ds:schemaRef ds:uri="http://schemas.openxmlformats.org/package/2006/metadata/core-properties"/>
    <ds:schemaRef ds:uri="http://schemas.microsoft.com/office/infopath/2007/PartnerControls"/>
    <ds:schemaRef ds:uri="http://www.w3.org/XML/1998/namespace"/>
  </ds:schemaRefs>
</ds:datastoreItem>
</file>

<file path=customXml/itemProps7.xml><?xml version="1.0" encoding="utf-8"?>
<ds:datastoreItem xmlns:ds="http://schemas.openxmlformats.org/officeDocument/2006/customXml" ds:itemID="{976F4502-2150-429E-83EA-8D3DD9B29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Isabel Haro</dc:creator>
  <cp:keywords/>
  <dc:description/>
  <cp:lastModifiedBy>Bernedo, Cecilia</cp:lastModifiedBy>
  <cp:revision>3</cp:revision>
  <dcterms:created xsi:type="dcterms:W3CDTF">2018-02-22T22:01:00Z</dcterms:created>
  <dcterms:modified xsi:type="dcterms:W3CDTF">2018-05-09T21:39:00Z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Fund IDB">
    <vt:lpwstr>287;#GRN|d0f1dc7f-e162-4a9c-9421-b7d8c382a710</vt:lpwstr>
  </property>
  <property fmtid="{D5CDD505-2E9C-101B-9397-08002B2CF9AE}" pid="8" name="Country">
    <vt:lpwstr>5;#Argentina|eb1b705c-195f-4c3b-9661-b201f2fee3c5</vt:lpwstr>
  </property>
  <property fmtid="{D5CDD505-2E9C-101B-9397-08002B2CF9AE}" pid="9" name="Sector IDB">
    <vt:lpwstr>84;#FINANCIAL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b95ef002-504d-4537-9d4d-fd33cff49592</vt:lpwstr>
  </property>
  <property fmtid="{D5CDD505-2E9C-101B-9397-08002B2CF9AE}" pid="12" name="RecordPoint_ActiveItemMoved">
    <vt:lpwstr>/teams/EZ-AR-LON/AR-L1280/15 LifeCycle Milestones/Draft Area/POD - 12. ELink Optional - Survey Evidence on Lending to SME in Argentina - AR-L1280.docx</vt:lpwstr>
  </property>
  <property fmtid="{D5CDD505-2E9C-101B-9397-08002B2CF9AE}" pid="13" name="Disclosure Activity">
    <vt:lpwstr>Loan Proposal</vt:lpwstr>
  </property>
  <property fmtid="{D5CDD505-2E9C-101B-9397-08002B2CF9AE}" pid="14" name="ContentTypeId">
    <vt:lpwstr>0x0101001A458A224826124E8B45B1D613300CFC007A368E198F79B945A0289C0879D02CB5</vt:lpwstr>
  </property>
</Properties>
</file>