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fontTable.xml" ContentType="application/vnd.openxmlformats-officedocument.wordprocessingml.fontTable+xml"/>
  <Override PartName="/word/commentsIds.xml" ContentType="application/vnd.openxmlformats-officedocument.wordprocessingml.commentsId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70858" w14:textId="77777777" w:rsidR="00232DCD" w:rsidRPr="00B34A61" w:rsidRDefault="00232DCD" w:rsidP="00232DCD">
      <w:pPr>
        <w:jc w:val="center"/>
        <w:rPr>
          <w:rFonts w:ascii="Arial" w:hAnsi="Arial" w:cs="Arial"/>
          <w:sz w:val="20"/>
          <w:szCs w:val="20"/>
        </w:rPr>
      </w:pPr>
    </w:p>
    <w:p w14:paraId="03670859" w14:textId="77777777" w:rsidR="00987340" w:rsidRPr="00B34A61" w:rsidRDefault="00987340" w:rsidP="00232DCD">
      <w:pPr>
        <w:jc w:val="center"/>
        <w:rPr>
          <w:rFonts w:ascii="Arial" w:hAnsi="Arial" w:cs="Arial"/>
          <w:sz w:val="20"/>
          <w:szCs w:val="20"/>
        </w:rPr>
      </w:pPr>
    </w:p>
    <w:p w14:paraId="0367085A" w14:textId="77777777" w:rsidR="00987340" w:rsidRPr="00B34A61" w:rsidRDefault="00987340" w:rsidP="00232DCD">
      <w:pPr>
        <w:jc w:val="center"/>
        <w:rPr>
          <w:rFonts w:ascii="Arial" w:hAnsi="Arial" w:cs="Arial"/>
          <w:sz w:val="20"/>
          <w:szCs w:val="20"/>
        </w:rPr>
      </w:pPr>
    </w:p>
    <w:p w14:paraId="0367085B" w14:textId="77777777" w:rsidR="00232DCD" w:rsidRPr="00B34A61" w:rsidRDefault="00232DCD" w:rsidP="00232DCD">
      <w:pPr>
        <w:jc w:val="center"/>
        <w:rPr>
          <w:rFonts w:ascii="Arial" w:hAnsi="Arial" w:cs="Arial"/>
          <w:b/>
          <w:smallCaps/>
          <w:sz w:val="22"/>
          <w:szCs w:val="22"/>
        </w:rPr>
      </w:pPr>
      <w:r w:rsidRPr="00B34A61">
        <w:rPr>
          <w:rFonts w:ascii="Arial" w:hAnsi="Arial" w:cs="Arial"/>
          <w:b/>
          <w:smallCaps/>
          <w:sz w:val="22"/>
          <w:szCs w:val="22"/>
        </w:rPr>
        <w:t>Document of the Inter-American Development Bank</w:t>
      </w:r>
    </w:p>
    <w:p w14:paraId="0367085C" w14:textId="77777777" w:rsidR="00232DCD" w:rsidRPr="00B34A61" w:rsidRDefault="00232DCD" w:rsidP="00232DCD">
      <w:pPr>
        <w:rPr>
          <w:rFonts w:ascii="Arial" w:hAnsi="Arial" w:cs="Arial"/>
          <w:smallCaps/>
          <w:sz w:val="20"/>
          <w:szCs w:val="20"/>
        </w:rPr>
      </w:pPr>
    </w:p>
    <w:p w14:paraId="0367085D" w14:textId="77777777" w:rsidR="00232DCD" w:rsidRPr="00B34A61" w:rsidRDefault="00232DCD" w:rsidP="00232DCD">
      <w:pPr>
        <w:rPr>
          <w:rFonts w:ascii="Arial" w:hAnsi="Arial" w:cs="Arial"/>
          <w:smallCaps/>
          <w:sz w:val="20"/>
          <w:szCs w:val="20"/>
        </w:rPr>
      </w:pPr>
    </w:p>
    <w:p w14:paraId="0367085E" w14:textId="77777777" w:rsidR="00232DCD" w:rsidRPr="00B34A61" w:rsidRDefault="00232DCD" w:rsidP="00232DCD">
      <w:pPr>
        <w:rPr>
          <w:rFonts w:ascii="Arial" w:hAnsi="Arial" w:cs="Arial"/>
          <w:smallCaps/>
          <w:sz w:val="20"/>
          <w:szCs w:val="20"/>
        </w:rPr>
      </w:pPr>
    </w:p>
    <w:p w14:paraId="0367085F" w14:textId="77777777" w:rsidR="00232DCD" w:rsidRPr="00B34A61" w:rsidRDefault="00232DCD" w:rsidP="00232DCD">
      <w:pPr>
        <w:rPr>
          <w:rFonts w:ascii="Arial" w:hAnsi="Arial" w:cs="Arial"/>
          <w:smallCaps/>
          <w:sz w:val="20"/>
          <w:szCs w:val="20"/>
        </w:rPr>
      </w:pPr>
    </w:p>
    <w:p w14:paraId="03670860" w14:textId="77777777" w:rsidR="00232DCD" w:rsidRPr="00B34A61" w:rsidRDefault="00232DCD" w:rsidP="00232DCD">
      <w:pPr>
        <w:jc w:val="center"/>
        <w:rPr>
          <w:rFonts w:ascii="Arial" w:hAnsi="Arial" w:cs="Arial"/>
          <w:smallCaps/>
          <w:sz w:val="20"/>
          <w:szCs w:val="20"/>
        </w:rPr>
      </w:pPr>
      <w:r w:rsidRPr="00B34A61">
        <w:rPr>
          <w:rFonts w:ascii="Arial" w:hAnsi="Arial" w:cs="Arial"/>
          <w:noProof/>
          <w:sz w:val="20"/>
          <w:szCs w:val="20"/>
        </w:rPr>
        <w:drawing>
          <wp:inline distT="0" distB="0" distL="0" distR="0" wp14:anchorId="03670AB6" wp14:editId="03670AB7">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14:paraId="03670861" w14:textId="77777777" w:rsidR="00232DCD" w:rsidRPr="00B34A61" w:rsidRDefault="00232DCD" w:rsidP="00232DCD">
      <w:pPr>
        <w:rPr>
          <w:rFonts w:ascii="Arial" w:hAnsi="Arial" w:cs="Arial"/>
          <w:smallCaps/>
          <w:sz w:val="20"/>
          <w:szCs w:val="20"/>
        </w:rPr>
      </w:pPr>
    </w:p>
    <w:p w14:paraId="03670862" w14:textId="77777777" w:rsidR="00232DCD" w:rsidRPr="00B34A61" w:rsidRDefault="00232DCD" w:rsidP="00232DCD">
      <w:pPr>
        <w:rPr>
          <w:rFonts w:ascii="Arial" w:hAnsi="Arial" w:cs="Arial"/>
          <w:smallCaps/>
          <w:sz w:val="20"/>
          <w:szCs w:val="20"/>
        </w:rPr>
      </w:pPr>
    </w:p>
    <w:p w14:paraId="03670863" w14:textId="77777777" w:rsidR="00232DCD" w:rsidRPr="00B34A61" w:rsidRDefault="00BB25A5" w:rsidP="00232DCD">
      <w:pPr>
        <w:jc w:val="center"/>
        <w:rPr>
          <w:rFonts w:ascii="Arial" w:hAnsi="Arial" w:cs="Arial"/>
          <w:b/>
          <w:smallCaps/>
          <w:sz w:val="22"/>
          <w:szCs w:val="22"/>
        </w:rPr>
      </w:pPr>
      <w:r w:rsidRPr="00B34A61">
        <w:rPr>
          <w:rFonts w:ascii="Arial" w:hAnsi="Arial" w:cs="Arial"/>
          <w:b/>
          <w:smallCaps/>
          <w:sz w:val="22"/>
          <w:szCs w:val="22"/>
        </w:rPr>
        <w:t>Argentina</w:t>
      </w:r>
    </w:p>
    <w:p w14:paraId="03670864" w14:textId="77777777" w:rsidR="000C3D10" w:rsidRPr="00B34A61" w:rsidRDefault="000C3D10" w:rsidP="00232DCD">
      <w:pPr>
        <w:jc w:val="center"/>
        <w:rPr>
          <w:rFonts w:ascii="Arial" w:hAnsi="Arial" w:cs="Arial"/>
          <w:b/>
          <w:smallCaps/>
          <w:sz w:val="22"/>
          <w:szCs w:val="22"/>
        </w:rPr>
      </w:pPr>
    </w:p>
    <w:p w14:paraId="31C2211B" w14:textId="77777777" w:rsidR="004F1FC9" w:rsidRPr="00B34A61" w:rsidRDefault="004F1FC9" w:rsidP="004F1FC9">
      <w:pPr>
        <w:jc w:val="center"/>
        <w:rPr>
          <w:rFonts w:ascii="Arial" w:hAnsi="Arial" w:cs="Arial"/>
          <w:b/>
          <w:smallCaps/>
          <w:sz w:val="22"/>
          <w:szCs w:val="22"/>
        </w:rPr>
      </w:pPr>
      <w:r w:rsidRPr="00B34A61">
        <w:rPr>
          <w:rFonts w:ascii="Arial" w:hAnsi="Arial" w:cs="Arial"/>
          <w:b/>
          <w:smallCaps/>
          <w:sz w:val="22"/>
          <w:szCs w:val="22"/>
        </w:rPr>
        <w:t xml:space="preserve">Promoting Risk Mitigation Instruments and Finance for </w:t>
      </w:r>
    </w:p>
    <w:p w14:paraId="7F7CD9BA" w14:textId="77777777" w:rsidR="004F1FC9" w:rsidRPr="00B34A61" w:rsidRDefault="004F1FC9" w:rsidP="004F1FC9">
      <w:pPr>
        <w:jc w:val="center"/>
        <w:rPr>
          <w:rFonts w:ascii="Arial" w:hAnsi="Arial" w:cs="Arial"/>
          <w:b/>
          <w:smallCaps/>
          <w:sz w:val="22"/>
          <w:szCs w:val="22"/>
        </w:rPr>
      </w:pPr>
      <w:r w:rsidRPr="00B34A61">
        <w:rPr>
          <w:rFonts w:ascii="Arial" w:hAnsi="Arial" w:cs="Arial"/>
          <w:b/>
          <w:smallCaps/>
          <w:sz w:val="22"/>
          <w:szCs w:val="22"/>
        </w:rPr>
        <w:t>Renewable Energy and Energy Efficiency Investments</w:t>
      </w:r>
    </w:p>
    <w:p w14:paraId="03670866" w14:textId="77777777" w:rsidR="000C3D10" w:rsidRPr="00B34A61" w:rsidRDefault="000C3D10" w:rsidP="00232DCD">
      <w:pPr>
        <w:jc w:val="center"/>
        <w:rPr>
          <w:rFonts w:ascii="Arial" w:hAnsi="Arial" w:cs="Arial"/>
          <w:b/>
          <w:smallCaps/>
          <w:sz w:val="22"/>
          <w:szCs w:val="22"/>
        </w:rPr>
      </w:pPr>
    </w:p>
    <w:p w14:paraId="03670867" w14:textId="0271E86E" w:rsidR="00232DCD" w:rsidRPr="00B34A61" w:rsidRDefault="00BB25A5" w:rsidP="00232DCD">
      <w:pPr>
        <w:jc w:val="center"/>
        <w:rPr>
          <w:rFonts w:ascii="Arial" w:hAnsi="Arial" w:cs="Arial"/>
          <w:b/>
          <w:smallCaps/>
          <w:sz w:val="22"/>
          <w:szCs w:val="22"/>
        </w:rPr>
      </w:pPr>
      <w:r w:rsidRPr="00B34A61">
        <w:rPr>
          <w:rFonts w:ascii="Arial" w:hAnsi="Arial" w:cs="Arial"/>
          <w:b/>
          <w:smallCaps/>
          <w:sz w:val="22"/>
          <w:szCs w:val="22"/>
        </w:rPr>
        <w:t>AR</w:t>
      </w:r>
      <w:r w:rsidR="000C3D10" w:rsidRPr="00B34A61">
        <w:rPr>
          <w:rFonts w:ascii="Arial" w:hAnsi="Arial" w:cs="Arial"/>
          <w:b/>
          <w:smallCaps/>
          <w:sz w:val="22"/>
          <w:szCs w:val="22"/>
        </w:rPr>
        <w:t>-</w:t>
      </w:r>
      <w:r w:rsidR="0065566F" w:rsidRPr="00B34A61">
        <w:rPr>
          <w:rFonts w:ascii="Arial" w:hAnsi="Arial" w:cs="Arial"/>
          <w:b/>
          <w:smallCaps/>
          <w:sz w:val="22"/>
          <w:szCs w:val="22"/>
        </w:rPr>
        <w:t>L1</w:t>
      </w:r>
      <w:r w:rsidR="002C3A85" w:rsidRPr="00B34A61">
        <w:rPr>
          <w:rFonts w:ascii="Arial" w:hAnsi="Arial" w:cs="Arial"/>
          <w:b/>
          <w:smallCaps/>
          <w:sz w:val="22"/>
          <w:szCs w:val="22"/>
        </w:rPr>
        <w:t>2</w:t>
      </w:r>
      <w:r w:rsidRPr="00B34A61">
        <w:rPr>
          <w:rFonts w:ascii="Arial" w:hAnsi="Arial" w:cs="Arial"/>
          <w:b/>
          <w:smallCaps/>
          <w:sz w:val="22"/>
          <w:szCs w:val="22"/>
        </w:rPr>
        <w:t>80</w:t>
      </w:r>
    </w:p>
    <w:p w14:paraId="03670868" w14:textId="77777777" w:rsidR="00232DCD" w:rsidRPr="00B34A61" w:rsidRDefault="00232DCD" w:rsidP="00232DCD">
      <w:pPr>
        <w:jc w:val="center"/>
        <w:rPr>
          <w:rFonts w:ascii="Arial" w:hAnsi="Arial" w:cs="Arial"/>
          <w:smallCaps/>
          <w:sz w:val="22"/>
          <w:szCs w:val="22"/>
        </w:rPr>
      </w:pPr>
    </w:p>
    <w:p w14:paraId="03670869" w14:textId="77777777" w:rsidR="00232DCD" w:rsidRPr="00B34A61" w:rsidRDefault="00232DCD" w:rsidP="00232DCD">
      <w:pPr>
        <w:jc w:val="center"/>
        <w:rPr>
          <w:rFonts w:ascii="Arial" w:hAnsi="Arial" w:cs="Arial"/>
          <w:smallCaps/>
          <w:sz w:val="22"/>
          <w:szCs w:val="22"/>
        </w:rPr>
      </w:pPr>
    </w:p>
    <w:p w14:paraId="0367086A" w14:textId="77777777" w:rsidR="00232DCD" w:rsidRPr="00B34A61" w:rsidRDefault="00232DCD" w:rsidP="00232DCD">
      <w:pPr>
        <w:jc w:val="center"/>
        <w:rPr>
          <w:rFonts w:ascii="Arial" w:hAnsi="Arial" w:cs="Arial"/>
          <w:smallCaps/>
          <w:sz w:val="22"/>
          <w:szCs w:val="22"/>
        </w:rPr>
      </w:pPr>
    </w:p>
    <w:p w14:paraId="0367086B" w14:textId="77777777" w:rsidR="00232DCD" w:rsidRPr="00B34A61" w:rsidRDefault="00232DCD" w:rsidP="00232DCD">
      <w:pPr>
        <w:jc w:val="center"/>
        <w:rPr>
          <w:rFonts w:ascii="Arial" w:hAnsi="Arial" w:cs="Arial"/>
          <w:smallCaps/>
          <w:sz w:val="22"/>
          <w:szCs w:val="22"/>
        </w:rPr>
      </w:pPr>
    </w:p>
    <w:p w14:paraId="0367086C" w14:textId="77777777" w:rsidR="00232DCD" w:rsidRPr="00B34A61" w:rsidRDefault="00232DCD" w:rsidP="00232DCD">
      <w:pPr>
        <w:jc w:val="center"/>
        <w:rPr>
          <w:rFonts w:ascii="Arial" w:hAnsi="Arial" w:cs="Arial"/>
          <w:b/>
          <w:bCs/>
          <w:caps/>
          <w:sz w:val="22"/>
          <w:szCs w:val="22"/>
        </w:rPr>
      </w:pPr>
      <w:r w:rsidRPr="00B34A61">
        <w:rPr>
          <w:rFonts w:ascii="Arial" w:hAnsi="Arial" w:cs="Arial"/>
          <w:b/>
          <w:bCs/>
          <w:caps/>
          <w:sz w:val="22"/>
          <w:szCs w:val="22"/>
        </w:rPr>
        <w:t>Environmental and Social MANAGEMENT REPORT</w:t>
      </w:r>
    </w:p>
    <w:p w14:paraId="0367086D" w14:textId="77777777" w:rsidR="00232DCD" w:rsidRPr="00B34A61" w:rsidRDefault="00232DCD" w:rsidP="00232DCD">
      <w:pPr>
        <w:jc w:val="center"/>
        <w:rPr>
          <w:rFonts w:ascii="Arial" w:hAnsi="Arial" w:cs="Arial"/>
          <w:b/>
          <w:smallCaps/>
          <w:sz w:val="22"/>
          <w:szCs w:val="22"/>
        </w:rPr>
      </w:pPr>
      <w:r w:rsidRPr="00B34A61">
        <w:rPr>
          <w:rFonts w:ascii="Arial" w:hAnsi="Arial" w:cs="Arial"/>
          <w:b/>
          <w:smallCaps/>
          <w:sz w:val="22"/>
          <w:szCs w:val="22"/>
        </w:rPr>
        <w:t>(ES</w:t>
      </w:r>
      <w:r w:rsidR="00C53ABB" w:rsidRPr="00B34A61">
        <w:rPr>
          <w:rFonts w:ascii="Arial" w:hAnsi="Arial" w:cs="Arial"/>
          <w:b/>
          <w:smallCaps/>
          <w:sz w:val="22"/>
          <w:szCs w:val="22"/>
        </w:rPr>
        <w:t>MR</w:t>
      </w:r>
      <w:r w:rsidRPr="00B34A61">
        <w:rPr>
          <w:rFonts w:ascii="Arial" w:hAnsi="Arial" w:cs="Arial"/>
          <w:b/>
          <w:smallCaps/>
          <w:sz w:val="22"/>
          <w:szCs w:val="22"/>
        </w:rPr>
        <w:t>)</w:t>
      </w:r>
    </w:p>
    <w:p w14:paraId="0367086E" w14:textId="77777777" w:rsidR="000C3D10" w:rsidRPr="00B34A61" w:rsidRDefault="000C3D10" w:rsidP="00232DCD">
      <w:pPr>
        <w:jc w:val="center"/>
        <w:rPr>
          <w:rFonts w:ascii="Arial" w:hAnsi="Arial" w:cs="Arial"/>
          <w:b/>
          <w:smallCaps/>
          <w:sz w:val="22"/>
          <w:szCs w:val="22"/>
        </w:rPr>
      </w:pPr>
    </w:p>
    <w:p w14:paraId="0367086F" w14:textId="77777777" w:rsidR="00232DCD" w:rsidRPr="00B34A61" w:rsidRDefault="000C3D10" w:rsidP="00232DCD">
      <w:pPr>
        <w:jc w:val="center"/>
        <w:rPr>
          <w:rFonts w:ascii="Arial" w:hAnsi="Arial" w:cs="Arial"/>
          <w:smallCaps/>
          <w:sz w:val="20"/>
          <w:szCs w:val="20"/>
        </w:rPr>
      </w:pPr>
      <w:r w:rsidRPr="00B34A61">
        <w:rPr>
          <w:rFonts w:ascii="Arial" w:hAnsi="Arial" w:cs="Arial"/>
          <w:smallCaps/>
          <w:sz w:val="20"/>
          <w:szCs w:val="20"/>
        </w:rPr>
        <w:t>January 2</w:t>
      </w:r>
      <w:r w:rsidR="0065566F" w:rsidRPr="00B34A61">
        <w:rPr>
          <w:rFonts w:ascii="Arial" w:hAnsi="Arial" w:cs="Arial"/>
          <w:smallCaps/>
          <w:sz w:val="20"/>
          <w:szCs w:val="20"/>
        </w:rPr>
        <w:t>2</w:t>
      </w:r>
      <w:r w:rsidRPr="00B34A61">
        <w:rPr>
          <w:rFonts w:ascii="Arial" w:hAnsi="Arial" w:cs="Arial"/>
          <w:smallCaps/>
          <w:sz w:val="20"/>
          <w:szCs w:val="20"/>
        </w:rPr>
        <w:t>, 2017</w:t>
      </w:r>
    </w:p>
    <w:p w14:paraId="03670870" w14:textId="77777777" w:rsidR="00232DCD" w:rsidRPr="00B34A61" w:rsidRDefault="00232DCD" w:rsidP="00232DCD">
      <w:pPr>
        <w:jc w:val="center"/>
        <w:rPr>
          <w:rFonts w:ascii="Arial" w:hAnsi="Arial" w:cs="Arial"/>
          <w:smallCaps/>
          <w:sz w:val="20"/>
          <w:szCs w:val="20"/>
        </w:rPr>
      </w:pPr>
    </w:p>
    <w:p w14:paraId="03670871" w14:textId="77777777" w:rsidR="00232DCD" w:rsidRPr="00B34A61" w:rsidRDefault="00232DCD" w:rsidP="00232DCD">
      <w:pPr>
        <w:jc w:val="center"/>
        <w:rPr>
          <w:rFonts w:ascii="Arial" w:hAnsi="Arial" w:cs="Arial"/>
          <w:smallCaps/>
          <w:sz w:val="20"/>
          <w:szCs w:val="20"/>
        </w:rPr>
      </w:pPr>
    </w:p>
    <w:p w14:paraId="03670872" w14:textId="77777777" w:rsidR="00232DCD" w:rsidRPr="00B34A61" w:rsidRDefault="00232DCD" w:rsidP="00232DCD">
      <w:pPr>
        <w:jc w:val="center"/>
        <w:rPr>
          <w:rFonts w:ascii="Arial" w:hAnsi="Arial" w:cs="Arial"/>
          <w:smallCaps/>
          <w:sz w:val="20"/>
          <w:szCs w:val="20"/>
        </w:rPr>
      </w:pPr>
    </w:p>
    <w:p w14:paraId="03670873" w14:textId="77777777" w:rsidR="00232DCD" w:rsidRPr="00B34A61" w:rsidRDefault="00232DCD" w:rsidP="00232DCD">
      <w:pPr>
        <w:jc w:val="center"/>
        <w:rPr>
          <w:rFonts w:ascii="Arial" w:hAnsi="Arial" w:cs="Arial"/>
          <w:smallCaps/>
          <w:sz w:val="20"/>
          <w:szCs w:val="20"/>
        </w:rPr>
      </w:pPr>
    </w:p>
    <w:p w14:paraId="03670874" w14:textId="77777777" w:rsidR="00232DCD" w:rsidRPr="00B34A61" w:rsidRDefault="00232DCD" w:rsidP="00232DCD">
      <w:pPr>
        <w:jc w:val="center"/>
        <w:rPr>
          <w:rFonts w:ascii="Arial" w:hAnsi="Arial" w:cs="Arial"/>
          <w:smallCaps/>
          <w:sz w:val="20"/>
          <w:szCs w:val="20"/>
        </w:rPr>
      </w:pPr>
    </w:p>
    <w:p w14:paraId="03670875" w14:textId="77777777" w:rsidR="00232DCD" w:rsidRPr="00B34A61" w:rsidRDefault="00232DCD" w:rsidP="00232DCD">
      <w:pPr>
        <w:jc w:val="center"/>
        <w:rPr>
          <w:rFonts w:ascii="Arial" w:hAnsi="Arial" w:cs="Arial"/>
          <w:smallCaps/>
          <w:sz w:val="20"/>
          <w:szCs w:val="20"/>
        </w:rPr>
      </w:pPr>
    </w:p>
    <w:p w14:paraId="03670876" w14:textId="77777777" w:rsidR="00232DCD" w:rsidRPr="00B34A61" w:rsidRDefault="00232DCD" w:rsidP="00232DCD">
      <w:pPr>
        <w:jc w:val="center"/>
        <w:rPr>
          <w:rFonts w:ascii="Arial" w:hAnsi="Arial" w:cs="Arial"/>
          <w:smallCaps/>
          <w:sz w:val="20"/>
          <w:szCs w:val="20"/>
        </w:rPr>
      </w:pPr>
    </w:p>
    <w:p w14:paraId="03670877" w14:textId="77777777" w:rsidR="00232DCD" w:rsidRPr="00B34A61" w:rsidRDefault="00232DCD" w:rsidP="00232DCD">
      <w:pPr>
        <w:jc w:val="center"/>
        <w:rPr>
          <w:rFonts w:ascii="Arial" w:hAnsi="Arial" w:cs="Arial"/>
          <w:smallCaps/>
          <w:sz w:val="20"/>
          <w:szCs w:val="20"/>
        </w:rPr>
      </w:pPr>
    </w:p>
    <w:p w14:paraId="03670878" w14:textId="77777777" w:rsidR="00C53ABB" w:rsidRPr="00B34A61" w:rsidRDefault="00C53ABB" w:rsidP="00C53ABB">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B34A61">
        <w:rPr>
          <w:rFonts w:ascii="Arial" w:hAnsi="Arial" w:cs="Arial"/>
          <w:sz w:val="20"/>
          <w:szCs w:val="20"/>
        </w:rPr>
        <w:t xml:space="preserve">This document was prepared by: </w:t>
      </w:r>
      <w:r w:rsidR="000C3D10" w:rsidRPr="00B34A61">
        <w:rPr>
          <w:rFonts w:ascii="Arial" w:hAnsi="Arial" w:cs="Arial"/>
          <w:sz w:val="20"/>
          <w:szCs w:val="20"/>
        </w:rPr>
        <w:t>Isabelle Braly-Cartillier (IFD/CMF)</w:t>
      </w:r>
    </w:p>
    <w:p w14:paraId="03670879" w14:textId="77777777" w:rsidR="00232DCD" w:rsidRPr="00B34A61" w:rsidRDefault="00232DCD">
      <w:pPr>
        <w:rPr>
          <w:rFonts w:ascii="Arial" w:hAnsi="Arial" w:cs="Arial"/>
          <w:sz w:val="20"/>
          <w:szCs w:val="20"/>
        </w:rPr>
      </w:pPr>
    </w:p>
    <w:p w14:paraId="0367087A" w14:textId="77777777" w:rsidR="00232DCD" w:rsidRPr="00B34A61" w:rsidRDefault="00232DCD">
      <w:pPr>
        <w:rPr>
          <w:rFonts w:ascii="Arial" w:hAnsi="Arial" w:cs="Arial"/>
          <w:sz w:val="20"/>
          <w:szCs w:val="20"/>
        </w:rPr>
      </w:pPr>
    </w:p>
    <w:p w14:paraId="0367087B" w14:textId="77777777" w:rsidR="0065566F" w:rsidRPr="00B34A61" w:rsidRDefault="0065566F">
      <w:pPr>
        <w:rPr>
          <w:rFonts w:ascii="Arial" w:hAnsi="Arial" w:cs="Arial"/>
          <w:sz w:val="20"/>
          <w:szCs w:val="20"/>
        </w:rPr>
      </w:pPr>
      <w:r w:rsidRPr="00B34A61">
        <w:rPr>
          <w:rFonts w:ascii="Arial" w:hAnsi="Arial" w:cs="Arial"/>
          <w:sz w:val="20"/>
          <w:szCs w:val="20"/>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B34A61" w14:paraId="0367087D"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87C" w14:textId="77777777" w:rsidR="00B01F04" w:rsidRPr="00B34A61" w:rsidRDefault="00C53ABB" w:rsidP="00232DCD">
            <w:pPr>
              <w:jc w:val="center"/>
              <w:rPr>
                <w:rFonts w:ascii="Arial" w:eastAsia="Times New Roman" w:hAnsi="Arial" w:cs="Arial"/>
                <w:b/>
                <w:bCs/>
                <w:sz w:val="20"/>
                <w:szCs w:val="20"/>
              </w:rPr>
            </w:pPr>
            <w:r w:rsidRPr="00B34A61">
              <w:rPr>
                <w:rFonts w:ascii="Arial" w:hAnsi="Arial" w:cs="Arial"/>
                <w:sz w:val="20"/>
                <w:szCs w:val="20"/>
              </w:rPr>
              <w:lastRenderedPageBreak/>
              <w:br w:type="page"/>
            </w:r>
            <w:r w:rsidR="00232DCD" w:rsidRPr="00B34A61">
              <w:rPr>
                <w:rFonts w:ascii="Arial" w:eastAsia="Times New Roman" w:hAnsi="Arial" w:cs="Arial"/>
                <w:b/>
                <w:bCs/>
                <w:sz w:val="20"/>
                <w:szCs w:val="20"/>
              </w:rPr>
              <w:t>ENVIRONMENTAL AND SOCIAL MANAGEMENT REPORT (ESMR)</w:t>
            </w:r>
          </w:p>
        </w:tc>
      </w:tr>
      <w:tr w:rsidR="00232DCD" w:rsidRPr="00B34A61" w14:paraId="03670880"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7E" w14:textId="77777777" w:rsidR="00232DCD" w:rsidRPr="00B34A61" w:rsidRDefault="00232DCD" w:rsidP="00844A93">
            <w:pPr>
              <w:rPr>
                <w:rFonts w:ascii="Arial" w:eastAsia="Times New Roman" w:hAnsi="Arial" w:cs="Arial"/>
                <w:b/>
                <w:bCs/>
                <w:sz w:val="20"/>
                <w:szCs w:val="20"/>
              </w:rPr>
            </w:pPr>
            <w:r w:rsidRPr="00B34A61">
              <w:rPr>
                <w:rFonts w:ascii="Arial" w:eastAsia="Times New Roman" w:hAnsi="Arial" w:cs="Arial"/>
                <w:b/>
                <w:bCs/>
                <w:sz w:val="20"/>
                <w:szCs w:val="20"/>
              </w:rPr>
              <w:t>Operation Name:</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7F" w14:textId="78033954" w:rsidR="00232DCD" w:rsidRPr="00B34A61" w:rsidRDefault="004F1FC9" w:rsidP="004F1FC9">
            <w:pPr>
              <w:rPr>
                <w:rFonts w:ascii="Arial" w:eastAsia="Times New Roman" w:hAnsi="Arial" w:cs="Arial"/>
                <w:sz w:val="20"/>
                <w:szCs w:val="20"/>
              </w:rPr>
            </w:pPr>
            <w:r w:rsidRPr="00B34A61">
              <w:rPr>
                <w:rFonts w:ascii="Arial" w:hAnsi="Arial" w:cs="Arial"/>
                <w:b/>
                <w:smallCaps/>
                <w:sz w:val="20"/>
                <w:szCs w:val="20"/>
              </w:rPr>
              <w:t>PROMOTING RISK MITIGATION INSTRUMENTS AND FINANCE FOR  RENEWABLE ENERGY AND ENERGY EFFICIENCY INVESTMENTS</w:t>
            </w:r>
          </w:p>
        </w:tc>
      </w:tr>
      <w:tr w:rsidR="005354FC" w:rsidRPr="00B34A61" w14:paraId="03670883"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81" w14:textId="77777777" w:rsidR="005354FC" w:rsidRPr="00B34A61" w:rsidRDefault="005354FC" w:rsidP="00844A93">
            <w:pPr>
              <w:rPr>
                <w:rFonts w:ascii="Arial" w:eastAsia="Times New Roman" w:hAnsi="Arial" w:cs="Arial"/>
                <w:b/>
                <w:bCs/>
                <w:sz w:val="20"/>
                <w:szCs w:val="20"/>
              </w:rPr>
            </w:pPr>
            <w:r w:rsidRPr="00B34A61">
              <w:rPr>
                <w:rFonts w:ascii="Arial" w:eastAsia="Times New Roman" w:hAnsi="Arial" w:cs="Arial"/>
                <w:b/>
                <w:bCs/>
                <w:sz w:val="20"/>
                <w:szCs w:val="20"/>
              </w:rPr>
              <w:t>Operation Number: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82" w14:textId="77777777" w:rsidR="005354FC" w:rsidRPr="00B34A61" w:rsidRDefault="00BB25A5" w:rsidP="00844A93">
            <w:pPr>
              <w:rPr>
                <w:rFonts w:ascii="Arial" w:eastAsia="Times New Roman" w:hAnsi="Arial" w:cs="Arial"/>
                <w:sz w:val="20"/>
                <w:szCs w:val="20"/>
              </w:rPr>
            </w:pPr>
            <w:r w:rsidRPr="00B34A61">
              <w:rPr>
                <w:rFonts w:ascii="Arial" w:eastAsia="Times New Roman" w:hAnsi="Arial" w:cs="Arial"/>
                <w:sz w:val="20"/>
                <w:szCs w:val="20"/>
              </w:rPr>
              <w:t>AR-L1180</w:t>
            </w:r>
          </w:p>
        </w:tc>
      </w:tr>
      <w:tr w:rsidR="00232DCD" w:rsidRPr="00B34A61" w14:paraId="03670885"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03670884" w14:textId="77777777" w:rsidR="00232DCD" w:rsidRPr="00B34A61" w:rsidRDefault="005354FC" w:rsidP="0032085B">
            <w:pPr>
              <w:pStyle w:val="ListParagraph"/>
              <w:numPr>
                <w:ilvl w:val="0"/>
                <w:numId w:val="6"/>
              </w:numPr>
              <w:ind w:left="318" w:hanging="318"/>
              <w:rPr>
                <w:rFonts w:ascii="Arial" w:eastAsia="Times New Roman" w:hAnsi="Arial" w:cs="Arial"/>
                <w:sz w:val="20"/>
                <w:szCs w:val="20"/>
              </w:rPr>
            </w:pPr>
            <w:r w:rsidRPr="00B34A61">
              <w:rPr>
                <w:rFonts w:ascii="Arial" w:eastAsia="Times New Roman" w:hAnsi="Arial" w:cs="Arial"/>
                <w:b/>
                <w:bCs/>
                <w:sz w:val="20"/>
                <w:szCs w:val="20"/>
              </w:rPr>
              <w:t xml:space="preserve">Operation </w:t>
            </w:r>
            <w:r w:rsidR="00232DCD" w:rsidRPr="00B34A61">
              <w:rPr>
                <w:rFonts w:ascii="Arial" w:eastAsia="Times New Roman" w:hAnsi="Arial" w:cs="Arial"/>
                <w:b/>
                <w:bCs/>
                <w:sz w:val="20"/>
                <w:szCs w:val="20"/>
              </w:rPr>
              <w:t>Details</w:t>
            </w:r>
          </w:p>
        </w:tc>
      </w:tr>
      <w:tr w:rsidR="00B01F04" w:rsidRPr="00B34A61" w14:paraId="03670888"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886" w14:textId="77777777" w:rsidR="00B01F04" w:rsidRPr="00B34A61" w:rsidRDefault="00B01F04" w:rsidP="00844A93">
            <w:pPr>
              <w:rPr>
                <w:rFonts w:ascii="Arial" w:eastAsia="Times New Roman" w:hAnsi="Arial" w:cs="Arial"/>
                <w:b/>
                <w:bCs/>
                <w:sz w:val="20"/>
                <w:szCs w:val="20"/>
              </w:rPr>
            </w:pPr>
            <w:r w:rsidRPr="00B34A61">
              <w:rPr>
                <w:rFonts w:ascii="Arial" w:eastAsia="Times New Roman" w:hAnsi="Arial" w:cs="Arial"/>
                <w:b/>
                <w:bCs/>
                <w:sz w:val="20"/>
                <w:szCs w:val="20"/>
              </w:rPr>
              <w:t>IDB Sector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670887" w14:textId="77777777" w:rsidR="00B01F04" w:rsidRPr="00B34A61" w:rsidRDefault="00360F5E" w:rsidP="00844A93">
            <w:pPr>
              <w:rPr>
                <w:rFonts w:ascii="Arial" w:eastAsia="Times New Roman" w:hAnsi="Arial" w:cs="Arial"/>
                <w:sz w:val="20"/>
                <w:szCs w:val="20"/>
              </w:rPr>
            </w:pPr>
            <w:r w:rsidRPr="00B34A61">
              <w:rPr>
                <w:rFonts w:ascii="Arial" w:eastAsia="Times New Roman" w:hAnsi="Arial" w:cs="Arial"/>
                <w:sz w:val="20"/>
                <w:szCs w:val="20"/>
              </w:rPr>
              <w:t>IFD/CMF</w:t>
            </w:r>
          </w:p>
        </w:tc>
      </w:tr>
      <w:tr w:rsidR="00B01F04" w:rsidRPr="00B34A61" w14:paraId="0367088B"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889" w14:textId="77777777" w:rsidR="00B01F04" w:rsidRPr="00B34A61" w:rsidRDefault="00B01F04" w:rsidP="00844A93">
            <w:pPr>
              <w:rPr>
                <w:rFonts w:ascii="Arial" w:eastAsia="Times New Roman" w:hAnsi="Arial" w:cs="Arial"/>
                <w:b/>
                <w:bCs/>
                <w:sz w:val="20"/>
                <w:szCs w:val="20"/>
              </w:rPr>
            </w:pPr>
            <w:r w:rsidRPr="00B34A61">
              <w:rPr>
                <w:rFonts w:ascii="Arial" w:eastAsia="Times New Roman" w:hAnsi="Arial" w:cs="Arial"/>
                <w:b/>
                <w:bCs/>
                <w:sz w:val="20"/>
                <w:szCs w:val="20"/>
              </w:rPr>
              <w:t>Type of Operation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67088A" w14:textId="77777777" w:rsidR="00B01F04" w:rsidRPr="00B34A61" w:rsidRDefault="00183CA6" w:rsidP="00844A93">
            <w:pPr>
              <w:rPr>
                <w:rFonts w:ascii="Arial" w:eastAsia="Times New Roman" w:hAnsi="Arial" w:cs="Arial"/>
                <w:sz w:val="20"/>
                <w:szCs w:val="20"/>
              </w:rPr>
            </w:pPr>
            <w:r w:rsidRPr="00B34A61">
              <w:rPr>
                <w:rFonts w:ascii="Arial" w:eastAsia="Times New Roman" w:hAnsi="Arial" w:cs="Arial"/>
                <w:sz w:val="20"/>
                <w:szCs w:val="20"/>
              </w:rPr>
              <w:t>Loan Operation (Financial Intermediary)</w:t>
            </w:r>
          </w:p>
        </w:tc>
      </w:tr>
      <w:tr w:rsidR="00B01F04" w:rsidRPr="00B34A61" w14:paraId="0367088E"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8C" w14:textId="77777777" w:rsidR="00B01F04" w:rsidRPr="00B34A61" w:rsidRDefault="00B01F04" w:rsidP="005354FC">
            <w:pPr>
              <w:rPr>
                <w:rFonts w:ascii="Arial" w:eastAsia="Times New Roman" w:hAnsi="Arial" w:cs="Arial"/>
                <w:b/>
                <w:bCs/>
                <w:sz w:val="20"/>
                <w:szCs w:val="20"/>
              </w:rPr>
            </w:pPr>
            <w:r w:rsidRPr="00B34A61">
              <w:rPr>
                <w:rFonts w:ascii="Arial" w:eastAsia="Times New Roman" w:hAnsi="Arial" w:cs="Arial"/>
                <w:b/>
                <w:bCs/>
                <w:sz w:val="20"/>
                <w:szCs w:val="20"/>
              </w:rPr>
              <w:t>Impact Categorization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8D" w14:textId="77777777" w:rsidR="00B01F04" w:rsidRPr="00B34A61" w:rsidRDefault="00360F5E" w:rsidP="00844A93">
            <w:pPr>
              <w:rPr>
                <w:rFonts w:ascii="Arial" w:eastAsia="Times New Roman" w:hAnsi="Arial" w:cs="Arial"/>
                <w:sz w:val="20"/>
                <w:szCs w:val="20"/>
              </w:rPr>
            </w:pPr>
            <w:r w:rsidRPr="00B34A61">
              <w:rPr>
                <w:rFonts w:ascii="Arial" w:eastAsia="Times New Roman" w:hAnsi="Arial" w:cs="Arial"/>
                <w:sz w:val="20"/>
                <w:szCs w:val="20"/>
              </w:rPr>
              <w:t>B.13 – FI</w:t>
            </w:r>
            <w:r w:rsidR="00BB25A5" w:rsidRPr="00B34A61">
              <w:rPr>
                <w:rFonts w:ascii="Arial" w:eastAsia="Times New Roman" w:hAnsi="Arial" w:cs="Arial"/>
                <w:sz w:val="20"/>
                <w:szCs w:val="20"/>
              </w:rPr>
              <w:t>2</w:t>
            </w:r>
          </w:p>
        </w:tc>
      </w:tr>
      <w:tr w:rsidR="00EE794C" w:rsidRPr="00B34A61" w14:paraId="03670891"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8F" w14:textId="77777777" w:rsidR="00EE794C" w:rsidRPr="00B34A61" w:rsidRDefault="00EE794C" w:rsidP="00844A93">
            <w:pPr>
              <w:rPr>
                <w:rFonts w:ascii="Arial" w:eastAsia="Times New Roman" w:hAnsi="Arial" w:cs="Arial"/>
                <w:b/>
                <w:bCs/>
                <w:sz w:val="20"/>
                <w:szCs w:val="20"/>
              </w:rPr>
            </w:pPr>
            <w:r w:rsidRPr="00B34A61">
              <w:rPr>
                <w:rFonts w:ascii="Arial" w:eastAsia="Times New Roman" w:hAnsi="Arial" w:cs="Arial"/>
                <w:b/>
                <w:bCs/>
                <w:sz w:val="20"/>
                <w:szCs w:val="20"/>
              </w:rPr>
              <w:t xml:space="preserve">Environmental and Social Risk </w:t>
            </w:r>
            <w:r w:rsidR="00231844" w:rsidRPr="00B34A61">
              <w:rPr>
                <w:rFonts w:ascii="Arial" w:eastAsia="Times New Roman" w:hAnsi="Arial" w:cs="Arial"/>
                <w:b/>
                <w:bCs/>
                <w:sz w:val="20"/>
                <w:szCs w:val="20"/>
              </w:rPr>
              <w:t>R</w:t>
            </w:r>
            <w:r w:rsidRPr="00B34A61">
              <w:rPr>
                <w:rFonts w:ascii="Arial" w:eastAsia="Times New Roman" w:hAnsi="Arial" w:cs="Arial"/>
                <w:b/>
                <w:bCs/>
                <w:sz w:val="20"/>
                <w:szCs w:val="20"/>
              </w:rPr>
              <w:t>ating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90" w14:textId="77777777" w:rsidR="00EE794C" w:rsidRPr="00B34A61" w:rsidRDefault="00183CA6" w:rsidP="00844A93">
            <w:pPr>
              <w:rPr>
                <w:rFonts w:ascii="Arial" w:eastAsia="Times New Roman" w:hAnsi="Arial" w:cs="Arial"/>
                <w:sz w:val="20"/>
                <w:szCs w:val="20"/>
              </w:rPr>
            </w:pPr>
            <w:r w:rsidRPr="00B34A61">
              <w:rPr>
                <w:rFonts w:ascii="Arial" w:eastAsia="Times New Roman" w:hAnsi="Arial" w:cs="Arial"/>
                <w:sz w:val="20"/>
                <w:szCs w:val="20"/>
              </w:rPr>
              <w:t>NA</w:t>
            </w:r>
          </w:p>
        </w:tc>
      </w:tr>
      <w:tr w:rsidR="00B01F04" w:rsidRPr="00B34A61" w14:paraId="03670894"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92" w14:textId="77777777" w:rsidR="00B01F04" w:rsidRPr="00B34A61" w:rsidDel="007813EB" w:rsidRDefault="00B01F04" w:rsidP="00844A93">
            <w:pPr>
              <w:rPr>
                <w:rFonts w:ascii="Arial" w:eastAsia="Times New Roman" w:hAnsi="Arial" w:cs="Arial"/>
                <w:b/>
                <w:bCs/>
                <w:sz w:val="20"/>
                <w:szCs w:val="20"/>
              </w:rPr>
            </w:pPr>
            <w:r w:rsidRPr="00B34A61">
              <w:rPr>
                <w:rFonts w:ascii="Arial" w:eastAsia="Times New Roman" w:hAnsi="Arial" w:cs="Arial"/>
                <w:b/>
                <w:bCs/>
                <w:sz w:val="20"/>
                <w:szCs w:val="20"/>
              </w:rPr>
              <w:t>Disaster Risk Rating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93" w14:textId="77777777" w:rsidR="00B01F04" w:rsidRPr="00B34A61" w:rsidRDefault="00183CA6" w:rsidP="00844A93">
            <w:pPr>
              <w:rPr>
                <w:rFonts w:ascii="Arial" w:eastAsia="Times New Roman" w:hAnsi="Arial" w:cs="Arial"/>
                <w:sz w:val="20"/>
                <w:szCs w:val="20"/>
              </w:rPr>
            </w:pPr>
            <w:r w:rsidRPr="00B34A61">
              <w:rPr>
                <w:rFonts w:ascii="Arial" w:eastAsia="Times New Roman" w:hAnsi="Arial" w:cs="Arial"/>
                <w:sz w:val="20"/>
                <w:szCs w:val="20"/>
              </w:rPr>
              <w:t>NA</w:t>
            </w:r>
          </w:p>
        </w:tc>
      </w:tr>
      <w:tr w:rsidR="0029581A" w:rsidRPr="007D669A" w14:paraId="03670897"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95" w14:textId="77777777" w:rsidR="0029581A" w:rsidRPr="00B34A61" w:rsidRDefault="0029581A" w:rsidP="0029581A">
            <w:pPr>
              <w:rPr>
                <w:rFonts w:ascii="Arial" w:eastAsia="Times New Roman" w:hAnsi="Arial" w:cs="Arial"/>
                <w:b/>
                <w:bCs/>
                <w:sz w:val="20"/>
                <w:szCs w:val="20"/>
              </w:rPr>
            </w:pPr>
            <w:r w:rsidRPr="00B34A61">
              <w:rPr>
                <w:rFonts w:ascii="Arial" w:eastAsia="Times New Roman" w:hAnsi="Arial" w:cs="Arial"/>
                <w:b/>
                <w:bCs/>
                <w:sz w:val="20"/>
                <w:szCs w:val="20"/>
              </w:rPr>
              <w:t>Borrower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96" w14:textId="77777777" w:rsidR="0029581A" w:rsidRPr="00EA6FCA" w:rsidRDefault="0029581A" w:rsidP="0029581A">
            <w:pPr>
              <w:rPr>
                <w:rFonts w:ascii="Arial" w:eastAsia="Times New Roman" w:hAnsi="Arial" w:cs="Arial"/>
                <w:sz w:val="20"/>
                <w:szCs w:val="20"/>
                <w:lang w:val="es-ES_tradnl"/>
              </w:rPr>
            </w:pPr>
            <w:r w:rsidRPr="00EA6FCA">
              <w:rPr>
                <w:rFonts w:ascii="Arial" w:hAnsi="Arial" w:cs="Arial"/>
                <w:i/>
                <w:sz w:val="20"/>
                <w:szCs w:val="20"/>
                <w:lang w:val="es-ES_tradnl"/>
              </w:rPr>
              <w:t>Banco de Inversión y Comercio Exterior</w:t>
            </w:r>
            <w:r w:rsidRPr="00EA6FCA">
              <w:rPr>
                <w:rFonts w:ascii="Arial" w:hAnsi="Arial" w:cs="Arial"/>
                <w:sz w:val="20"/>
                <w:szCs w:val="20"/>
                <w:lang w:val="es-ES_tradnl"/>
              </w:rPr>
              <w:t xml:space="preserve"> S.A.(BICE)</w:t>
            </w:r>
          </w:p>
        </w:tc>
      </w:tr>
      <w:tr w:rsidR="0029581A" w:rsidRPr="007D669A" w14:paraId="0367089A"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98" w14:textId="77777777" w:rsidR="0029581A" w:rsidRPr="00B34A61" w:rsidRDefault="0029581A" w:rsidP="0029581A">
            <w:pPr>
              <w:rPr>
                <w:rFonts w:ascii="Arial" w:eastAsia="Times New Roman" w:hAnsi="Arial" w:cs="Arial"/>
                <w:b/>
                <w:bCs/>
                <w:sz w:val="20"/>
                <w:szCs w:val="20"/>
              </w:rPr>
            </w:pPr>
            <w:r w:rsidRPr="00B34A61">
              <w:rPr>
                <w:rFonts w:ascii="Arial" w:eastAsia="Times New Roman" w:hAnsi="Arial" w:cs="Arial"/>
                <w:b/>
                <w:bCs/>
                <w:sz w:val="20"/>
                <w:szCs w:val="20"/>
              </w:rPr>
              <w:t>Executing Agency</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99" w14:textId="77777777" w:rsidR="0029581A" w:rsidRPr="00EA6FCA" w:rsidRDefault="0029581A" w:rsidP="0029581A">
            <w:pPr>
              <w:rPr>
                <w:rFonts w:ascii="Arial" w:eastAsia="Times New Roman" w:hAnsi="Arial" w:cs="Arial"/>
                <w:sz w:val="20"/>
                <w:szCs w:val="20"/>
                <w:lang w:val="es-ES_tradnl"/>
              </w:rPr>
            </w:pPr>
            <w:r w:rsidRPr="00EA6FCA">
              <w:rPr>
                <w:rFonts w:ascii="Arial" w:hAnsi="Arial" w:cs="Arial"/>
                <w:i/>
                <w:sz w:val="20"/>
                <w:szCs w:val="20"/>
                <w:lang w:val="es-ES_tradnl"/>
              </w:rPr>
              <w:t>Banco de Inversión y Comercio Exterior</w:t>
            </w:r>
            <w:r w:rsidRPr="00EA6FCA">
              <w:rPr>
                <w:rFonts w:ascii="Arial" w:hAnsi="Arial" w:cs="Arial"/>
                <w:sz w:val="20"/>
                <w:szCs w:val="20"/>
                <w:lang w:val="es-ES_tradnl"/>
              </w:rPr>
              <w:t xml:space="preserve"> S.A.(BICE)</w:t>
            </w:r>
          </w:p>
        </w:tc>
      </w:tr>
      <w:tr w:rsidR="0029581A" w:rsidRPr="00B34A61" w14:paraId="0367089F"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9B" w14:textId="77777777" w:rsidR="0029581A" w:rsidRPr="00B34A61" w:rsidRDefault="0029581A" w:rsidP="0029581A">
            <w:pPr>
              <w:rPr>
                <w:rFonts w:ascii="Arial" w:eastAsia="Times New Roman" w:hAnsi="Arial" w:cs="Arial"/>
                <w:b/>
                <w:bCs/>
                <w:sz w:val="20"/>
                <w:szCs w:val="20"/>
              </w:rPr>
            </w:pPr>
            <w:r w:rsidRPr="00B34A61">
              <w:rPr>
                <w:rFonts w:ascii="Arial" w:eastAsia="Times New Roman" w:hAnsi="Arial" w:cs="Arial"/>
                <w:b/>
                <w:bCs/>
                <w:sz w:val="20"/>
                <w:szCs w:val="20"/>
              </w:rPr>
              <w:t>IDB Loan US$ (and total project cost)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9C" w14:textId="77777777" w:rsidR="0029581A" w:rsidRPr="00B34A61" w:rsidRDefault="0029581A" w:rsidP="0029581A">
            <w:pPr>
              <w:rPr>
                <w:rFonts w:ascii="Arial" w:eastAsia="Times New Roman" w:hAnsi="Arial" w:cs="Arial"/>
                <w:sz w:val="20"/>
                <w:szCs w:val="20"/>
              </w:rPr>
            </w:pPr>
            <w:r w:rsidRPr="00B34A61">
              <w:rPr>
                <w:rFonts w:ascii="Arial" w:eastAsia="Times New Roman" w:hAnsi="Arial" w:cs="Arial"/>
                <w:sz w:val="20"/>
                <w:szCs w:val="20"/>
              </w:rPr>
              <w:t>IDB (Green Climate Fund) US$100,000,000</w:t>
            </w:r>
            <w:r w:rsidRPr="00B34A61">
              <w:rPr>
                <w:rStyle w:val="FootnoteReference"/>
                <w:rFonts w:ascii="Arial" w:eastAsia="Times New Roman" w:hAnsi="Arial" w:cs="Arial"/>
                <w:sz w:val="20"/>
                <w:szCs w:val="20"/>
              </w:rPr>
              <w:footnoteReference w:id="1"/>
            </w:r>
          </w:p>
          <w:p w14:paraId="0367089D" w14:textId="77777777" w:rsidR="0029581A" w:rsidRPr="00B34A61" w:rsidRDefault="0029581A" w:rsidP="0029581A">
            <w:pPr>
              <w:rPr>
                <w:rFonts w:ascii="Arial" w:eastAsia="Times New Roman" w:hAnsi="Arial" w:cs="Arial"/>
                <w:sz w:val="20"/>
                <w:szCs w:val="20"/>
              </w:rPr>
            </w:pPr>
            <w:r w:rsidRPr="00B34A61">
              <w:rPr>
                <w:rFonts w:ascii="Arial" w:eastAsia="Times New Roman" w:hAnsi="Arial" w:cs="Arial"/>
                <w:sz w:val="20"/>
                <w:szCs w:val="20"/>
              </w:rPr>
              <w:t>BICE US$60,000,000</w:t>
            </w:r>
          </w:p>
          <w:p w14:paraId="0367089E" w14:textId="77777777" w:rsidR="0029581A" w:rsidRPr="00B34A61" w:rsidRDefault="0029581A" w:rsidP="0029581A">
            <w:pPr>
              <w:rPr>
                <w:rFonts w:ascii="Arial" w:eastAsia="Times New Roman" w:hAnsi="Arial" w:cs="Arial"/>
                <w:sz w:val="20"/>
                <w:szCs w:val="20"/>
              </w:rPr>
            </w:pPr>
            <w:r w:rsidRPr="00B34A61">
              <w:rPr>
                <w:rFonts w:ascii="Arial" w:eastAsia="Times New Roman" w:hAnsi="Arial" w:cs="Arial"/>
                <w:sz w:val="20"/>
                <w:szCs w:val="20"/>
              </w:rPr>
              <w:t>Total US$160,000,000</w:t>
            </w:r>
          </w:p>
        </w:tc>
      </w:tr>
      <w:tr w:rsidR="0029581A" w:rsidRPr="00B34A61" w14:paraId="036708A2"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8A0" w14:textId="77777777" w:rsidR="0029581A" w:rsidRPr="00B34A61" w:rsidRDefault="0029581A" w:rsidP="0029581A">
            <w:pPr>
              <w:rPr>
                <w:rFonts w:ascii="Arial" w:eastAsia="Times New Roman" w:hAnsi="Arial" w:cs="Arial"/>
                <w:b/>
                <w:bCs/>
                <w:sz w:val="20"/>
                <w:szCs w:val="20"/>
              </w:rPr>
            </w:pPr>
            <w:r w:rsidRPr="00B34A61">
              <w:rPr>
                <w:rFonts w:ascii="Arial" w:eastAsia="Times New Roman" w:hAnsi="Arial" w:cs="Arial"/>
                <w:b/>
                <w:bCs/>
                <w:sz w:val="20"/>
                <w:szCs w:val="20"/>
              </w:rPr>
              <w:t xml:space="preserve">Applicable Policies/Directives </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8A1" w14:textId="77777777" w:rsidR="0029581A" w:rsidRPr="00B34A61" w:rsidRDefault="0029581A" w:rsidP="0029581A">
            <w:pPr>
              <w:rPr>
                <w:rFonts w:ascii="Arial" w:eastAsia="Times New Roman" w:hAnsi="Arial" w:cs="Arial"/>
                <w:i/>
                <w:sz w:val="20"/>
                <w:szCs w:val="20"/>
              </w:rPr>
            </w:pPr>
            <w:r w:rsidRPr="00B34A61">
              <w:rPr>
                <w:rFonts w:ascii="Arial" w:eastAsia="Times New Roman" w:hAnsi="Arial" w:cs="Arial"/>
                <w:sz w:val="20"/>
                <w:szCs w:val="20"/>
              </w:rPr>
              <w:t xml:space="preserve">OP-102, OP-703 (B1, B2, B3, </w:t>
            </w:r>
            <w:r w:rsidR="00297488" w:rsidRPr="00B34A61">
              <w:rPr>
                <w:rFonts w:ascii="Arial" w:eastAsia="Times New Roman" w:hAnsi="Arial" w:cs="Arial"/>
                <w:sz w:val="20"/>
                <w:szCs w:val="20"/>
              </w:rPr>
              <w:t xml:space="preserve">B5, B6, </w:t>
            </w:r>
            <w:r w:rsidRPr="00B34A61">
              <w:rPr>
                <w:rFonts w:ascii="Arial" w:eastAsia="Times New Roman" w:hAnsi="Arial" w:cs="Arial"/>
                <w:sz w:val="20"/>
                <w:szCs w:val="20"/>
              </w:rPr>
              <w:t xml:space="preserve">B7, </w:t>
            </w:r>
            <w:r w:rsidR="00297488" w:rsidRPr="00B34A61">
              <w:rPr>
                <w:rFonts w:ascii="Arial" w:eastAsia="Times New Roman" w:hAnsi="Arial" w:cs="Arial"/>
                <w:sz w:val="20"/>
                <w:szCs w:val="20"/>
              </w:rPr>
              <w:t xml:space="preserve">B10, B11, </w:t>
            </w:r>
            <w:r w:rsidRPr="00B34A61">
              <w:rPr>
                <w:rFonts w:ascii="Arial" w:eastAsia="Times New Roman" w:hAnsi="Arial" w:cs="Arial"/>
                <w:sz w:val="20"/>
                <w:szCs w:val="20"/>
              </w:rPr>
              <w:t>B13</w:t>
            </w:r>
            <w:r w:rsidR="00297488" w:rsidRPr="00B34A61">
              <w:rPr>
                <w:rFonts w:ascii="Arial" w:eastAsia="Times New Roman" w:hAnsi="Arial" w:cs="Arial"/>
                <w:sz w:val="20"/>
                <w:szCs w:val="20"/>
              </w:rPr>
              <w:t>)</w:t>
            </w:r>
          </w:p>
        </w:tc>
      </w:tr>
      <w:tr w:rsidR="00360F5E" w:rsidRPr="00B34A61" w14:paraId="036708A4"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8A3" w14:textId="77777777" w:rsidR="00360F5E" w:rsidRPr="00B34A61" w:rsidRDefault="00360F5E" w:rsidP="0032085B">
            <w:pPr>
              <w:pStyle w:val="ListParagraph"/>
              <w:numPr>
                <w:ilvl w:val="0"/>
                <w:numId w:val="6"/>
              </w:numPr>
              <w:ind w:left="318" w:hanging="318"/>
              <w:rPr>
                <w:rFonts w:ascii="Arial" w:eastAsia="Times New Roman" w:hAnsi="Arial" w:cs="Arial"/>
                <w:b/>
                <w:bCs/>
                <w:sz w:val="20"/>
                <w:szCs w:val="20"/>
              </w:rPr>
            </w:pPr>
            <w:r w:rsidRPr="00B34A61">
              <w:rPr>
                <w:rFonts w:ascii="Arial" w:eastAsia="Times New Roman" w:hAnsi="Arial" w:cs="Arial"/>
                <w:b/>
                <w:bCs/>
                <w:sz w:val="20"/>
                <w:szCs w:val="20"/>
              </w:rPr>
              <w:t xml:space="preserve">Executive Summary </w:t>
            </w:r>
          </w:p>
        </w:tc>
      </w:tr>
      <w:tr w:rsidR="00360F5E" w:rsidRPr="00B34A61" w14:paraId="036708BA" w14:textId="77777777" w:rsidTr="001D2104">
        <w:trPr>
          <w:trHeight w:val="78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8A5" w14:textId="5F4BBB2E" w:rsidR="00174928" w:rsidRPr="00B34A61" w:rsidRDefault="00174928" w:rsidP="00174928">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This operation is a financial intermediation operation, and as such cannot be classified as 'ex-ante', in accordance with the Bank's Directive B.13 of the Environment and Safeguards Compliance Policy (OP-703). In the light of the </w:t>
            </w:r>
            <w:r w:rsidR="00694FBA" w:rsidRPr="00B34A61">
              <w:rPr>
                <w:rFonts w:ascii="Arial" w:eastAsia="Times New Roman" w:hAnsi="Arial" w:cs="Arial"/>
                <w:sz w:val="20"/>
                <w:szCs w:val="20"/>
                <w:shd w:val="clear" w:color="auto" w:fill="FFFFFF"/>
              </w:rPr>
              <w:t xml:space="preserve">size of the operation, the </w:t>
            </w:r>
            <w:r w:rsidRPr="00B34A61">
              <w:rPr>
                <w:rFonts w:ascii="Arial" w:eastAsia="Times New Roman" w:hAnsi="Arial" w:cs="Arial"/>
                <w:sz w:val="20"/>
                <w:szCs w:val="20"/>
                <w:shd w:val="clear" w:color="auto" w:fill="FFFFFF"/>
              </w:rPr>
              <w:t xml:space="preserve">nature and magnitude of potential socio-environmental impacts identified for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expected to be financed under this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(small-scale investment projects for </w:t>
            </w:r>
            <w:r w:rsidR="00694FBA" w:rsidRPr="00B34A61">
              <w:rPr>
                <w:rFonts w:ascii="Arial" w:eastAsia="Times New Roman" w:hAnsi="Arial" w:cs="Arial"/>
                <w:sz w:val="20"/>
                <w:szCs w:val="20"/>
                <w:shd w:val="clear" w:color="auto" w:fill="FFFFFF"/>
              </w:rPr>
              <w:t>energy efficiency</w:t>
            </w:r>
            <w:r w:rsidRPr="00B34A61">
              <w:rPr>
                <w:rFonts w:ascii="Arial" w:eastAsia="Times New Roman" w:hAnsi="Arial" w:cs="Arial"/>
                <w:sz w:val="20"/>
                <w:szCs w:val="20"/>
                <w:shd w:val="clear" w:color="auto" w:fill="FFFFFF"/>
              </w:rPr>
              <w:t xml:space="preserve">), this operation is considered as a </w:t>
            </w:r>
            <w:r w:rsidR="00694FBA" w:rsidRPr="00B34A61">
              <w:rPr>
                <w:rFonts w:ascii="Arial" w:eastAsia="Times New Roman" w:hAnsi="Arial" w:cs="Arial"/>
                <w:sz w:val="20"/>
                <w:szCs w:val="20"/>
                <w:shd w:val="clear" w:color="auto" w:fill="FFFFFF"/>
              </w:rPr>
              <w:t>medium</w:t>
            </w:r>
            <w:r w:rsidRPr="00B34A61">
              <w:rPr>
                <w:rFonts w:ascii="Arial" w:eastAsia="Times New Roman" w:hAnsi="Arial" w:cs="Arial"/>
                <w:sz w:val="20"/>
                <w:szCs w:val="20"/>
                <w:shd w:val="clear" w:color="auto" w:fill="FFFFFF"/>
              </w:rPr>
              <w:t xml:space="preserve"> risk of Financial Intermediation (FI-</w:t>
            </w:r>
            <w:r w:rsidR="00694FBA" w:rsidRPr="00B34A61">
              <w:rPr>
                <w:rFonts w:ascii="Arial" w:eastAsia="Times New Roman" w:hAnsi="Arial" w:cs="Arial"/>
                <w:sz w:val="20"/>
                <w:szCs w:val="20"/>
                <w:shd w:val="clear" w:color="auto" w:fill="FFFFFF"/>
              </w:rPr>
              <w:t>2</w:t>
            </w:r>
            <w:r w:rsidRPr="00B34A61">
              <w:rPr>
                <w:rFonts w:ascii="Arial" w:eastAsia="Times New Roman" w:hAnsi="Arial" w:cs="Arial"/>
                <w:sz w:val="20"/>
                <w:szCs w:val="20"/>
                <w:shd w:val="clear" w:color="auto" w:fill="FFFFFF"/>
              </w:rPr>
              <w:t xml:space="preserve">). </w:t>
            </w:r>
          </w:p>
          <w:p w14:paraId="036708A6" w14:textId="77777777" w:rsidR="00174928" w:rsidRPr="00B34A61" w:rsidRDefault="00174928" w:rsidP="00174928">
            <w:pPr>
              <w:rPr>
                <w:rFonts w:ascii="Arial" w:eastAsia="Times New Roman" w:hAnsi="Arial" w:cs="Arial"/>
                <w:sz w:val="20"/>
                <w:szCs w:val="20"/>
                <w:shd w:val="clear" w:color="auto" w:fill="FFFFFF"/>
              </w:rPr>
            </w:pPr>
          </w:p>
          <w:p w14:paraId="036708A7" w14:textId="7758AAED" w:rsidR="00174928" w:rsidRPr="00B34A61" w:rsidRDefault="00174928" w:rsidP="00174928">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Only Category </w:t>
            </w:r>
            <w:r w:rsidR="00694FBA" w:rsidRPr="00B34A61">
              <w:rPr>
                <w:rFonts w:ascii="Arial" w:eastAsia="Times New Roman" w:hAnsi="Arial" w:cs="Arial"/>
                <w:sz w:val="20"/>
                <w:szCs w:val="20"/>
                <w:shd w:val="clear" w:color="auto" w:fill="FFFFFF"/>
              </w:rPr>
              <w:t xml:space="preserve">B &amp; </w:t>
            </w:r>
            <w:r w:rsidRPr="00B34A61">
              <w:rPr>
                <w:rFonts w:ascii="Arial" w:eastAsia="Times New Roman" w:hAnsi="Arial" w:cs="Arial"/>
                <w:sz w:val="20"/>
                <w:szCs w:val="20"/>
                <w:shd w:val="clear" w:color="auto" w:fill="FFFFFF"/>
              </w:rPr>
              <w:t xml:space="preserve">C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are eligible for financing. No category A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 according to the IDB classification will be eligible for funding under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w:t>
            </w:r>
          </w:p>
          <w:p w14:paraId="036708A8" w14:textId="77777777" w:rsidR="00174928" w:rsidRPr="00B34A61" w:rsidRDefault="00174928" w:rsidP="00174928">
            <w:pPr>
              <w:rPr>
                <w:rFonts w:ascii="Arial" w:eastAsia="Times New Roman" w:hAnsi="Arial" w:cs="Arial"/>
                <w:sz w:val="20"/>
                <w:szCs w:val="20"/>
                <w:shd w:val="clear" w:color="auto" w:fill="FFFFFF"/>
              </w:rPr>
            </w:pPr>
          </w:p>
          <w:p w14:paraId="036708A9" w14:textId="77777777" w:rsidR="000B0FC5" w:rsidRPr="00B34A61" w:rsidRDefault="00694FBA" w:rsidP="000B0FC5">
            <w:pPr>
              <w:rPr>
                <w:rFonts w:ascii="Arial" w:eastAsia="Times New Roman" w:hAnsi="Arial" w:cs="Arial"/>
                <w:sz w:val="20"/>
                <w:szCs w:val="20"/>
                <w:shd w:val="clear" w:color="auto" w:fill="FFFFFF"/>
              </w:rPr>
            </w:pPr>
            <w:r w:rsidRPr="00B34A61">
              <w:rPr>
                <w:rFonts w:ascii="Arial" w:eastAsia="Times New Roman" w:hAnsi="Arial" w:cs="Arial"/>
                <w:i/>
                <w:sz w:val="20"/>
                <w:szCs w:val="20"/>
                <w:shd w:val="clear" w:color="auto" w:fill="FFFFFF"/>
              </w:rPr>
              <w:t>Banco de Inversión y Comercio Exterior</w:t>
            </w:r>
            <w:r w:rsidRPr="00B34A61">
              <w:rPr>
                <w:rFonts w:ascii="Arial" w:eastAsia="Times New Roman" w:hAnsi="Arial" w:cs="Arial"/>
                <w:sz w:val="20"/>
                <w:szCs w:val="20"/>
                <w:shd w:val="clear" w:color="auto" w:fill="FFFFFF"/>
              </w:rPr>
              <w:t xml:space="preserve"> S.A.</w:t>
            </w:r>
            <w:r w:rsidR="00B44034" w:rsidRPr="00B34A61">
              <w:rPr>
                <w:rFonts w:ascii="Arial" w:eastAsia="Times New Roman" w:hAnsi="Arial" w:cs="Arial"/>
                <w:sz w:val="20"/>
                <w:szCs w:val="20"/>
                <w:shd w:val="clear" w:color="auto" w:fill="FFFFFF"/>
              </w:rPr>
              <w:t xml:space="preserve"> </w:t>
            </w:r>
            <w:r w:rsidRPr="00B34A61">
              <w:rPr>
                <w:rFonts w:ascii="Arial" w:eastAsia="Times New Roman" w:hAnsi="Arial" w:cs="Arial"/>
                <w:sz w:val="20"/>
                <w:szCs w:val="20"/>
                <w:shd w:val="clear" w:color="auto" w:fill="FFFFFF"/>
              </w:rPr>
              <w:t>(BICE)</w:t>
            </w:r>
            <w:r w:rsidR="00174928" w:rsidRPr="00B34A61">
              <w:rPr>
                <w:rFonts w:ascii="Arial" w:eastAsia="Times New Roman" w:hAnsi="Arial" w:cs="Arial"/>
                <w:sz w:val="20"/>
                <w:szCs w:val="20"/>
                <w:shd w:val="clear" w:color="auto" w:fill="FFFFFF"/>
              </w:rPr>
              <w:t xml:space="preserve"> is a </w:t>
            </w:r>
            <w:r w:rsidR="00FF2D60" w:rsidRPr="00B34A61">
              <w:rPr>
                <w:rFonts w:ascii="Arial" w:eastAsia="Times New Roman" w:hAnsi="Arial" w:cs="Arial"/>
                <w:sz w:val="20"/>
                <w:szCs w:val="20"/>
                <w:shd w:val="clear" w:color="auto" w:fill="FFFFFF"/>
              </w:rPr>
              <w:t xml:space="preserve">public development Bank of the Republic of Argentina, acting as both first and </w:t>
            </w:r>
            <w:r w:rsidR="00174928" w:rsidRPr="00B34A61">
              <w:rPr>
                <w:rFonts w:ascii="Arial" w:eastAsia="Times New Roman" w:hAnsi="Arial" w:cs="Arial"/>
                <w:sz w:val="20"/>
                <w:szCs w:val="20"/>
                <w:shd w:val="clear" w:color="auto" w:fill="FFFFFF"/>
              </w:rPr>
              <w:t>second-tier bank.</w:t>
            </w:r>
            <w:r w:rsidRPr="00B34A61">
              <w:rPr>
                <w:rFonts w:ascii="Arial" w:eastAsia="Times New Roman" w:hAnsi="Arial" w:cs="Arial"/>
                <w:sz w:val="20"/>
                <w:szCs w:val="20"/>
                <w:shd w:val="clear" w:color="auto" w:fill="FFFFFF"/>
              </w:rPr>
              <w:t xml:space="preserve"> </w:t>
            </w:r>
            <w:r w:rsidR="000B0FC5" w:rsidRPr="00B34A61">
              <w:rPr>
                <w:rFonts w:ascii="Arial" w:eastAsia="Times New Roman" w:hAnsi="Arial" w:cs="Arial"/>
                <w:sz w:val="20"/>
                <w:szCs w:val="20"/>
                <w:shd w:val="clear" w:color="auto" w:fill="FFFFFF"/>
              </w:rPr>
              <w:t xml:space="preserve">BICE has started a process to build capacity on the management of environmental and social risks in its portfolio. Some of their staff have been trained on those topics last year in Uruguay, in a course developed by the IDB, ALIDE and the BROU.  </w:t>
            </w:r>
          </w:p>
          <w:p w14:paraId="036708AA" w14:textId="77777777" w:rsidR="000B0FC5" w:rsidRPr="00B34A61" w:rsidRDefault="000B0FC5" w:rsidP="000B0FC5">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BICE has recently piloted an Environmental &amp; Social risks Management System (ESMS), compliant with the World Banks safeguards, for a multi-sectorial credit line to Small and Medium Enterprises (https://www.bice.com.ar/es/banco-mundial/). </w:t>
            </w:r>
          </w:p>
          <w:p w14:paraId="036708AB" w14:textId="2C286F7C" w:rsidR="00174928" w:rsidRPr="00B34A61" w:rsidRDefault="000B0FC5" w:rsidP="000B0FC5">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environmental and social due diligence concluded that BICE has the capacity to apply the ESMS designed for this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and manage a portfolio with the environmental and social risks magnitude assessed for this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w:t>
            </w:r>
            <w:r w:rsidR="00174928" w:rsidRPr="00B34A61">
              <w:rPr>
                <w:rFonts w:ascii="Arial" w:eastAsia="Times New Roman" w:hAnsi="Arial" w:cs="Arial"/>
                <w:sz w:val="20"/>
                <w:szCs w:val="20"/>
                <w:shd w:val="clear" w:color="auto" w:fill="FFFFFF"/>
              </w:rPr>
              <w:t xml:space="preserve"> </w:t>
            </w:r>
          </w:p>
          <w:p w14:paraId="036708AC" w14:textId="77777777" w:rsidR="00174928" w:rsidRPr="00B34A61" w:rsidRDefault="00174928" w:rsidP="00174928">
            <w:pPr>
              <w:rPr>
                <w:rFonts w:ascii="Arial" w:eastAsia="Times New Roman" w:hAnsi="Arial" w:cs="Arial"/>
                <w:sz w:val="20"/>
                <w:szCs w:val="20"/>
                <w:shd w:val="clear" w:color="auto" w:fill="FFFFFF"/>
              </w:rPr>
            </w:pPr>
          </w:p>
          <w:p w14:paraId="036708AD" w14:textId="2649B021" w:rsidR="00174928" w:rsidRPr="00B34A61" w:rsidRDefault="00174928" w:rsidP="00174928">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After the due diligence exercise, the project team </w:t>
            </w:r>
            <w:r w:rsidR="00FF2D60" w:rsidRPr="00B34A61">
              <w:rPr>
                <w:rFonts w:ascii="Arial" w:eastAsia="Times New Roman" w:hAnsi="Arial" w:cs="Arial"/>
                <w:sz w:val="20"/>
                <w:szCs w:val="20"/>
                <w:shd w:val="clear" w:color="auto" w:fill="FFFFFF"/>
              </w:rPr>
              <w:t xml:space="preserve">designed an </w:t>
            </w:r>
            <w:r w:rsidRPr="00B34A61">
              <w:rPr>
                <w:rFonts w:ascii="Arial" w:eastAsia="Times New Roman" w:hAnsi="Arial" w:cs="Arial"/>
                <w:sz w:val="20"/>
                <w:szCs w:val="20"/>
                <w:shd w:val="clear" w:color="auto" w:fill="FFFFFF"/>
              </w:rPr>
              <w:t xml:space="preserve">ad-hoc Environmental and Social Management System (ESMS) </w:t>
            </w:r>
            <w:r w:rsidR="00FF2D60" w:rsidRPr="00B34A61">
              <w:rPr>
                <w:rFonts w:ascii="Arial" w:eastAsia="Times New Roman" w:hAnsi="Arial" w:cs="Arial"/>
                <w:sz w:val="20"/>
                <w:szCs w:val="20"/>
                <w:shd w:val="clear" w:color="auto" w:fill="FFFFFF"/>
              </w:rPr>
              <w:t xml:space="preserve">to be applied to the </w:t>
            </w:r>
            <w:r w:rsidR="00694CD4">
              <w:rPr>
                <w:rFonts w:ascii="Arial" w:eastAsia="Times New Roman" w:hAnsi="Arial" w:cs="Arial"/>
                <w:sz w:val="20"/>
                <w:szCs w:val="20"/>
                <w:shd w:val="clear" w:color="auto" w:fill="FFFFFF"/>
              </w:rPr>
              <w:t>project</w:t>
            </w:r>
            <w:r w:rsidR="00FF2D60" w:rsidRPr="00B34A61">
              <w:rPr>
                <w:rFonts w:ascii="Arial" w:eastAsia="Times New Roman" w:hAnsi="Arial" w:cs="Arial"/>
                <w:sz w:val="20"/>
                <w:szCs w:val="20"/>
                <w:shd w:val="clear" w:color="auto" w:fill="FFFFFF"/>
              </w:rPr>
              <w:t xml:space="preserve"> and is confident with BICE capacity to implement it. The ESMS will be </w:t>
            </w:r>
            <w:r w:rsidRPr="00B34A61">
              <w:rPr>
                <w:rFonts w:ascii="Arial" w:eastAsia="Times New Roman" w:hAnsi="Arial" w:cs="Arial"/>
                <w:sz w:val="20"/>
                <w:szCs w:val="20"/>
                <w:shd w:val="clear" w:color="auto" w:fill="FFFFFF"/>
              </w:rPr>
              <w:t>based on:</w:t>
            </w:r>
          </w:p>
          <w:p w14:paraId="036708AE" w14:textId="77777777" w:rsidR="00174928" w:rsidRPr="00B34A61" w:rsidRDefault="00174928" w:rsidP="00174928">
            <w:pPr>
              <w:rPr>
                <w:rFonts w:ascii="Arial" w:eastAsia="Times New Roman" w:hAnsi="Arial" w:cs="Arial"/>
                <w:sz w:val="20"/>
                <w:szCs w:val="20"/>
                <w:shd w:val="clear" w:color="auto" w:fill="FFFFFF"/>
              </w:rPr>
            </w:pPr>
          </w:p>
          <w:p w14:paraId="036708AF" w14:textId="62868B91"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compliance with all applicable environmental, social, health and safety, and labor regulatory requirements of </w:t>
            </w:r>
            <w:r w:rsidR="000B0FC5" w:rsidRPr="00B34A61">
              <w:rPr>
                <w:rFonts w:ascii="Arial" w:eastAsia="Times New Roman" w:hAnsi="Arial" w:cs="Arial"/>
                <w:sz w:val="20"/>
                <w:szCs w:val="20"/>
                <w:shd w:val="clear" w:color="auto" w:fill="FFFFFF"/>
              </w:rPr>
              <w:t>Argentina</w:t>
            </w:r>
            <w:r w:rsidRPr="00B34A61">
              <w:rPr>
                <w:rFonts w:ascii="Arial" w:eastAsia="Times New Roman" w:hAnsi="Arial" w:cs="Arial"/>
                <w:sz w:val="20"/>
                <w:szCs w:val="20"/>
                <w:shd w:val="clear" w:color="auto" w:fill="FFFFFF"/>
              </w:rPr>
              <w:t xml:space="preserve"> for </w:t>
            </w:r>
            <w:r w:rsidR="000B0FC5"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1st Tier Banks participating in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and the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financed through this </w:t>
            </w:r>
            <w:r w:rsidR="00694CD4">
              <w:rPr>
                <w:rFonts w:ascii="Arial" w:eastAsia="Times New Roman" w:hAnsi="Arial" w:cs="Arial"/>
                <w:sz w:val="20"/>
                <w:szCs w:val="20"/>
                <w:shd w:val="clear" w:color="auto" w:fill="FFFFFF"/>
              </w:rPr>
              <w:t>project</w:t>
            </w:r>
          </w:p>
          <w:p w14:paraId="036708B0" w14:textId="5EA53754"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appointment of an Environmental and Social Coordinator for the duration of the </w:t>
            </w:r>
            <w:r w:rsidR="00694CD4">
              <w:rPr>
                <w:rFonts w:ascii="Arial" w:eastAsia="Times New Roman" w:hAnsi="Arial" w:cs="Arial"/>
                <w:sz w:val="20"/>
                <w:szCs w:val="20"/>
                <w:shd w:val="clear" w:color="auto" w:fill="FFFFFF"/>
              </w:rPr>
              <w:t>Project</w:t>
            </w:r>
          </w:p>
          <w:p w14:paraId="036708B1" w14:textId="77777777"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The application of the IDB exclusion list and of an extended exclusion list</w:t>
            </w:r>
          </w:p>
          <w:p w14:paraId="036708B2" w14:textId="77777777" w:rsidR="00174928" w:rsidRPr="00B34A61" w:rsidRDefault="00B44034"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lastRenderedPageBreak/>
              <w:t>For Energy Efficiency sub</w:t>
            </w:r>
            <w:r w:rsidR="00174928" w:rsidRPr="00B34A61">
              <w:rPr>
                <w:rFonts w:ascii="Arial" w:eastAsia="Times New Roman" w:hAnsi="Arial" w:cs="Arial"/>
                <w:sz w:val="20"/>
                <w:szCs w:val="20"/>
                <w:shd w:val="clear" w:color="auto" w:fill="FFFFFF"/>
              </w:rPr>
              <w:t xml:space="preserve">projects, the adoption of a Decommissioning and Disposal Protocol for replaced equipment and materials acceptable to the IDB, to be presented by </w:t>
            </w:r>
            <w:r w:rsidR="000B0FC5" w:rsidRPr="00B34A61">
              <w:rPr>
                <w:rFonts w:ascii="Arial" w:eastAsia="Times New Roman" w:hAnsi="Arial" w:cs="Arial"/>
                <w:sz w:val="20"/>
                <w:szCs w:val="20"/>
                <w:shd w:val="clear" w:color="auto" w:fill="FFFFFF"/>
              </w:rPr>
              <w:t>BICE</w:t>
            </w:r>
            <w:r w:rsidR="00174928" w:rsidRPr="00B34A61">
              <w:rPr>
                <w:rFonts w:ascii="Arial" w:eastAsia="Times New Roman" w:hAnsi="Arial" w:cs="Arial"/>
                <w:sz w:val="20"/>
                <w:szCs w:val="20"/>
                <w:shd w:val="clear" w:color="auto" w:fill="FFFFFF"/>
              </w:rPr>
              <w:t xml:space="preserve"> and approved by the IDB as a condition prior to first disbursement. </w:t>
            </w:r>
          </w:p>
          <w:p w14:paraId="036708B3" w14:textId="77777777" w:rsidR="000B0FC5"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For co-generation projects, the development of a classification tool. The tool will be based on the IFC Converting Biomass to Energy: A Guide for Developers and Investors and will be in line with the IDB safeguards. It will be presented by </w:t>
            </w:r>
            <w:r w:rsidR="000B0FC5"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and approved by the IDB as a condition prior to first disbursement.  Once approved, said tool will be part of th</w:t>
            </w:r>
            <w:r w:rsidR="000B0FC5" w:rsidRPr="00B34A61">
              <w:rPr>
                <w:rFonts w:ascii="Arial" w:eastAsia="Times New Roman" w:hAnsi="Arial" w:cs="Arial"/>
                <w:sz w:val="20"/>
                <w:szCs w:val="20"/>
                <w:shd w:val="clear" w:color="auto" w:fill="FFFFFF"/>
              </w:rPr>
              <w:t>e</w:t>
            </w:r>
            <w:r w:rsidRPr="00B34A61">
              <w:rPr>
                <w:rFonts w:ascii="Arial" w:eastAsia="Times New Roman" w:hAnsi="Arial" w:cs="Arial"/>
                <w:sz w:val="20"/>
                <w:szCs w:val="20"/>
                <w:shd w:val="clear" w:color="auto" w:fill="FFFFFF"/>
              </w:rPr>
              <w:t xml:space="preserve"> ESM</w:t>
            </w:r>
            <w:r w:rsidR="000B0FC5" w:rsidRPr="00B34A61">
              <w:rPr>
                <w:rFonts w:ascii="Arial" w:eastAsia="Times New Roman" w:hAnsi="Arial" w:cs="Arial"/>
                <w:sz w:val="20"/>
                <w:szCs w:val="20"/>
                <w:shd w:val="clear" w:color="auto" w:fill="FFFFFF"/>
              </w:rPr>
              <w:t>S and annexed to this document</w:t>
            </w:r>
            <w:r w:rsidRPr="00B34A61">
              <w:rPr>
                <w:rFonts w:ascii="Arial" w:eastAsia="Times New Roman" w:hAnsi="Arial" w:cs="Arial"/>
                <w:sz w:val="20"/>
                <w:szCs w:val="20"/>
                <w:shd w:val="clear" w:color="auto" w:fill="FFFFFF"/>
              </w:rPr>
              <w:t xml:space="preserve">. </w:t>
            </w:r>
            <w:r w:rsidR="000B0FC5"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will be responsible to classify the co-generation projects. Only </w:t>
            </w:r>
            <w:r w:rsidR="000B0FC5" w:rsidRPr="00B34A61">
              <w:rPr>
                <w:rFonts w:ascii="Arial" w:eastAsia="Times New Roman" w:hAnsi="Arial" w:cs="Arial"/>
                <w:sz w:val="20"/>
                <w:szCs w:val="20"/>
                <w:shd w:val="clear" w:color="auto" w:fill="FFFFFF"/>
              </w:rPr>
              <w:t>B&amp;</w:t>
            </w:r>
            <w:r w:rsidRPr="00B34A61">
              <w:rPr>
                <w:rFonts w:ascii="Arial" w:eastAsia="Times New Roman" w:hAnsi="Arial" w:cs="Arial"/>
                <w:sz w:val="20"/>
                <w:szCs w:val="20"/>
                <w:shd w:val="clear" w:color="auto" w:fill="FFFFFF"/>
              </w:rPr>
              <w:t>C category projects will be eligible for financing.</w:t>
            </w:r>
          </w:p>
          <w:p w14:paraId="036708B4" w14:textId="77777777" w:rsidR="000B0FC5" w:rsidRPr="00B34A61" w:rsidRDefault="000B0FC5"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For c</w:t>
            </w:r>
            <w:r w:rsidR="00B44034" w:rsidRPr="00B34A61">
              <w:rPr>
                <w:rFonts w:ascii="Arial" w:eastAsia="Times New Roman" w:hAnsi="Arial" w:cs="Arial"/>
                <w:sz w:val="20"/>
                <w:szCs w:val="20"/>
                <w:shd w:val="clear" w:color="auto" w:fill="FFFFFF"/>
              </w:rPr>
              <w:t>o-generation category B sub</w:t>
            </w:r>
            <w:r w:rsidRPr="00B34A61">
              <w:rPr>
                <w:rFonts w:ascii="Arial" w:eastAsia="Times New Roman" w:hAnsi="Arial" w:cs="Arial"/>
                <w:sz w:val="20"/>
                <w:szCs w:val="20"/>
                <w:shd w:val="clear" w:color="auto" w:fill="FFFFFF"/>
              </w:rPr>
              <w:t xml:space="preserve">projects, the contracting an external consultancy with resources from Component 1 to realize an Environmental and Social Impact Assessment, and ensure that all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to be financed with resources from the Project comply with the IDB safeguards (including the necessary stakeholders’ consultation - during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 preparation phase – and according to the IDB guidelines, and the implementation of a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 grievance mechanism).  The first three B category cogeneration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s will need no-objection from the IDB.</w:t>
            </w:r>
          </w:p>
          <w:p w14:paraId="036708B5" w14:textId="77777777"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The performance of compulsory site-visits for projects above US$1m (</w:t>
            </w:r>
            <w:r w:rsidR="00CB64B8"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E&amp;S specialist)</w:t>
            </w:r>
          </w:p>
          <w:p w14:paraId="036708B6" w14:textId="0FCF0B41"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implementation of a grievance mechanism by </w:t>
            </w:r>
            <w:r w:rsidR="000B0FC5"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at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level</w:t>
            </w:r>
          </w:p>
          <w:p w14:paraId="036708B7" w14:textId="77777777" w:rsidR="00174928" w:rsidRPr="00B34A61" w:rsidRDefault="00174928" w:rsidP="000B0FC5">
            <w:pPr>
              <w:pStyle w:val="ListParagraph"/>
              <w:numPr>
                <w:ilvl w:val="0"/>
                <w:numId w:val="13"/>
              </w:num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presentation by </w:t>
            </w:r>
            <w:r w:rsidR="000B0FC5"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of an Annual Environmental and Social Compliance Report (ESCR) </w:t>
            </w:r>
          </w:p>
          <w:p w14:paraId="036708B8" w14:textId="77777777" w:rsidR="00174928" w:rsidRPr="00B34A61" w:rsidRDefault="00174928" w:rsidP="00174928">
            <w:pPr>
              <w:rPr>
                <w:rFonts w:ascii="Arial" w:eastAsia="Times New Roman" w:hAnsi="Arial" w:cs="Arial"/>
                <w:sz w:val="20"/>
                <w:szCs w:val="20"/>
                <w:shd w:val="clear" w:color="auto" w:fill="FFFFFF"/>
              </w:rPr>
            </w:pPr>
          </w:p>
          <w:p w14:paraId="036708B9" w14:textId="42C592D9" w:rsidR="00360F5E" w:rsidRPr="00B34A61" w:rsidRDefault="00A61D77" w:rsidP="00174928">
            <w:pPr>
              <w:rPr>
                <w:rFonts w:ascii="Arial" w:eastAsia="Times New Roman" w:hAnsi="Arial" w:cs="Arial"/>
                <w:sz w:val="20"/>
                <w:szCs w:val="20"/>
              </w:rPr>
            </w:pPr>
            <w:r w:rsidRPr="00B34A61">
              <w:rPr>
                <w:rFonts w:ascii="Arial" w:eastAsia="Times New Roman" w:hAnsi="Arial" w:cs="Arial"/>
                <w:sz w:val="20"/>
                <w:szCs w:val="20"/>
                <w:shd w:val="clear" w:color="auto" w:fill="FFFFFF"/>
              </w:rPr>
              <w:t xml:space="preserve">Those socio-environmental requirements, presented in more detail later in this document, will be included in the Operating regulations (OR) of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whose approval by BICE, prior to the non-objection of the Bank, will be a condition precedent to the first disbursement of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's resources.</w:t>
            </w:r>
          </w:p>
        </w:tc>
      </w:tr>
      <w:tr w:rsidR="00360F5E" w:rsidRPr="00B34A61" w14:paraId="036708BC"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8BB" w14:textId="77777777" w:rsidR="00360F5E" w:rsidRPr="00B34A61" w:rsidRDefault="00360F5E" w:rsidP="0032085B">
            <w:pPr>
              <w:pStyle w:val="ListParagraph"/>
              <w:numPr>
                <w:ilvl w:val="0"/>
                <w:numId w:val="6"/>
              </w:numPr>
              <w:ind w:left="318" w:hanging="318"/>
              <w:rPr>
                <w:rFonts w:ascii="Arial" w:eastAsia="Times New Roman" w:hAnsi="Arial" w:cs="Arial"/>
                <w:b/>
                <w:bCs/>
                <w:sz w:val="20"/>
                <w:szCs w:val="20"/>
              </w:rPr>
            </w:pPr>
            <w:r w:rsidRPr="00B34A61">
              <w:rPr>
                <w:rFonts w:ascii="Arial" w:eastAsia="Times New Roman" w:hAnsi="Arial" w:cs="Arial"/>
                <w:b/>
                <w:bCs/>
                <w:sz w:val="20"/>
                <w:szCs w:val="20"/>
              </w:rPr>
              <w:lastRenderedPageBreak/>
              <w:t xml:space="preserve">Operation Description </w:t>
            </w:r>
          </w:p>
        </w:tc>
      </w:tr>
      <w:tr w:rsidR="00360F5E" w:rsidRPr="00B34A61" w14:paraId="0367091B"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8BD" w14:textId="77777777" w:rsidR="000B0FC5" w:rsidRPr="00B34A61" w:rsidRDefault="000B0FC5" w:rsidP="000B0FC5">
            <w:pPr>
              <w:pStyle w:val="Paragraph"/>
              <w:rPr>
                <w:rFonts w:cs="Arial"/>
                <w:sz w:val="20"/>
                <w:szCs w:val="20"/>
                <w:lang w:val="en-US"/>
              </w:rPr>
            </w:pPr>
            <w:r w:rsidRPr="00B34A61">
              <w:rPr>
                <w:rFonts w:cs="Arial"/>
                <w:sz w:val="20"/>
                <w:szCs w:val="20"/>
                <w:lang w:val="en-US"/>
              </w:rPr>
              <w:t xml:space="preserve">The objective of the Project is to contribute to improve the efficiency in the production and use of energy Argentina, by increasing investments in energy efficiency (EE) and power production from renewable energy (RE) sources to reduce GHG emissions. The Project intends to scale up Small and Medium Enterprises (SME) investment in RE and EE by making available medium and long-term financing instruments tailored to meet the specific needs of these </w:t>
            </w:r>
            <w:r w:rsidR="00B44034" w:rsidRPr="00B34A61">
              <w:rPr>
                <w:rFonts w:cs="Arial"/>
                <w:sz w:val="20"/>
                <w:szCs w:val="20"/>
                <w:lang w:val="en-US"/>
              </w:rPr>
              <w:t>subproject</w:t>
            </w:r>
            <w:r w:rsidRPr="00B34A61">
              <w:rPr>
                <w:rFonts w:cs="Arial"/>
                <w:sz w:val="20"/>
                <w:szCs w:val="20"/>
                <w:lang w:val="en-US"/>
              </w:rPr>
              <w:t>s, channeling funds through BICE, a local National Development Bank (NDB) and its network of first-tier local financial intermediaries (LFIs).</w:t>
            </w:r>
          </w:p>
          <w:p w14:paraId="2DC03752" w14:textId="309F5BC9" w:rsidR="002F128D" w:rsidRPr="00B34A61" w:rsidRDefault="002F128D" w:rsidP="002F128D">
            <w:pPr>
              <w:pStyle w:val="Paragraph"/>
              <w:rPr>
                <w:rFonts w:cs="Arial"/>
                <w:sz w:val="20"/>
                <w:szCs w:val="20"/>
                <w:lang w:val="en-US"/>
              </w:rPr>
            </w:pPr>
            <w:r w:rsidRPr="00B34A61">
              <w:rPr>
                <w:rFonts w:cs="Arial"/>
                <w:sz w:val="20"/>
                <w:szCs w:val="20"/>
                <w:lang w:val="en-US"/>
              </w:rPr>
              <w:t xml:space="preserve">The proposed </w:t>
            </w:r>
            <w:r w:rsidR="00694CD4">
              <w:rPr>
                <w:rFonts w:cs="Arial"/>
                <w:sz w:val="20"/>
                <w:szCs w:val="20"/>
                <w:lang w:val="en-US"/>
              </w:rPr>
              <w:t>project</w:t>
            </w:r>
            <w:r w:rsidRPr="00B34A61">
              <w:rPr>
                <w:rFonts w:cs="Arial"/>
                <w:sz w:val="20"/>
                <w:szCs w:val="20"/>
                <w:lang w:val="en-US"/>
              </w:rPr>
              <w:t xml:space="preserve"> consists of a single component in the form of an investment loan global credit operation to be executed by BICE. Green Climate Fund (GCF)</w:t>
            </w:r>
            <w:r w:rsidR="008506F2" w:rsidRPr="00B34A61">
              <w:rPr>
                <w:rStyle w:val="FootnoteReference"/>
                <w:rFonts w:cs="Arial"/>
                <w:sz w:val="20"/>
                <w:szCs w:val="20"/>
                <w:lang w:val="en-US"/>
              </w:rPr>
              <w:footnoteReference w:id="2"/>
            </w:r>
            <w:r w:rsidRPr="00B34A61">
              <w:rPr>
                <w:rFonts w:cs="Arial"/>
                <w:sz w:val="20"/>
                <w:szCs w:val="20"/>
                <w:lang w:val="en-US"/>
              </w:rPr>
              <w:t xml:space="preserve"> concessional resources will be</w:t>
            </w:r>
            <w:r w:rsidR="00AF7D86" w:rsidRPr="00B34A61">
              <w:rPr>
                <w:rFonts w:cs="Arial"/>
                <w:sz w:val="20"/>
                <w:szCs w:val="20"/>
                <w:lang w:val="en-US"/>
              </w:rPr>
              <w:t xml:space="preserve"> </w:t>
            </w:r>
            <w:r w:rsidRPr="00B34A61">
              <w:rPr>
                <w:rFonts w:cs="Arial"/>
                <w:sz w:val="20"/>
                <w:szCs w:val="20"/>
                <w:lang w:val="en-US"/>
              </w:rPr>
              <w:t xml:space="preserve">channeled by IDB through </w:t>
            </w:r>
            <w:r w:rsidR="00D67781" w:rsidRPr="00B34A61">
              <w:rPr>
                <w:rFonts w:cs="Arial"/>
                <w:sz w:val="20"/>
                <w:szCs w:val="20"/>
                <w:lang w:val="en-US"/>
              </w:rPr>
              <w:t>BICE and</w:t>
            </w:r>
            <w:r w:rsidRPr="00B34A61">
              <w:rPr>
                <w:rFonts w:cs="Arial"/>
                <w:sz w:val="20"/>
                <w:szCs w:val="20"/>
                <w:lang w:val="en-US"/>
              </w:rPr>
              <w:t xml:space="preserve"> blended with BICE’s own resources to provide</w:t>
            </w:r>
            <w:r w:rsidR="00AF7D86" w:rsidRPr="00B34A61">
              <w:rPr>
                <w:rFonts w:cs="Arial"/>
                <w:sz w:val="20"/>
                <w:szCs w:val="20"/>
                <w:lang w:val="en-US"/>
              </w:rPr>
              <w:t xml:space="preserve"> </w:t>
            </w:r>
            <w:r w:rsidRPr="00B34A61">
              <w:rPr>
                <w:rFonts w:cs="Arial"/>
                <w:sz w:val="20"/>
                <w:szCs w:val="20"/>
                <w:lang w:val="en-US"/>
              </w:rPr>
              <w:t>long-term financing for RE and EE projects by SMEs. Financing may be delivered</w:t>
            </w:r>
            <w:r w:rsidR="00D67781" w:rsidRPr="00B34A61">
              <w:rPr>
                <w:rFonts w:cs="Arial"/>
                <w:sz w:val="20"/>
                <w:szCs w:val="20"/>
                <w:lang w:val="en-US"/>
              </w:rPr>
              <w:t xml:space="preserve"> </w:t>
            </w:r>
            <w:r w:rsidRPr="00B34A61">
              <w:rPr>
                <w:rFonts w:cs="Arial"/>
                <w:sz w:val="20"/>
                <w:szCs w:val="20"/>
                <w:lang w:val="en-US"/>
              </w:rPr>
              <w:t>through first-tier FIs regulated by the Central Bank or directly to projects by BICE</w:t>
            </w:r>
            <w:r w:rsidR="00B5074B" w:rsidRPr="00B34A61">
              <w:rPr>
                <w:rStyle w:val="FootnoteReference"/>
                <w:rFonts w:cs="Arial"/>
                <w:sz w:val="20"/>
                <w:szCs w:val="20"/>
                <w:lang w:val="en-US"/>
              </w:rPr>
              <w:footnoteReference w:id="3"/>
            </w:r>
            <w:r w:rsidRPr="00B34A61">
              <w:rPr>
                <w:rFonts w:cs="Arial"/>
                <w:sz w:val="20"/>
                <w:szCs w:val="20"/>
                <w:lang w:val="en-US"/>
              </w:rPr>
              <w:t>.</w:t>
            </w:r>
          </w:p>
          <w:p w14:paraId="036708C1" w14:textId="6B4FFB9F" w:rsidR="000B0FC5" w:rsidRPr="00B34A61" w:rsidRDefault="000B0FC5" w:rsidP="000B0FC5">
            <w:pPr>
              <w:pStyle w:val="Paragraph"/>
              <w:rPr>
                <w:rFonts w:cs="Arial"/>
                <w:sz w:val="20"/>
                <w:szCs w:val="20"/>
                <w:lang w:val="en-US"/>
              </w:rPr>
            </w:pPr>
            <w:r w:rsidRPr="00B34A61">
              <w:rPr>
                <w:rFonts w:cs="Arial"/>
                <w:sz w:val="20"/>
                <w:szCs w:val="20"/>
                <w:lang w:val="en-US"/>
              </w:rPr>
              <w:t xml:space="preserve"> </w:t>
            </w:r>
          </w:p>
          <w:p w14:paraId="036708C2" w14:textId="77777777" w:rsidR="00360F5E" w:rsidRPr="00B34A61" w:rsidRDefault="000B0FC5" w:rsidP="00F354C8">
            <w:pPr>
              <w:pStyle w:val="Paragraph"/>
              <w:tabs>
                <w:tab w:val="num" w:pos="0"/>
              </w:tabs>
              <w:rPr>
                <w:rFonts w:cs="Arial"/>
                <w:sz w:val="20"/>
                <w:szCs w:val="20"/>
                <w:lang w:val="en-US"/>
              </w:rPr>
            </w:pPr>
            <w:r w:rsidRPr="00B34A61">
              <w:rPr>
                <w:rFonts w:cs="Arial"/>
                <w:sz w:val="20"/>
                <w:szCs w:val="20"/>
                <w:lang w:val="en-US"/>
              </w:rPr>
              <w:t xml:space="preserve">Eligible </w:t>
            </w:r>
            <w:r w:rsidR="00B44034" w:rsidRPr="00B34A61">
              <w:rPr>
                <w:rFonts w:cs="Arial"/>
                <w:sz w:val="20"/>
                <w:szCs w:val="20"/>
                <w:lang w:val="en-US"/>
              </w:rPr>
              <w:t>subproject</w:t>
            </w:r>
            <w:r w:rsidRPr="00B34A61">
              <w:rPr>
                <w:rFonts w:cs="Arial"/>
                <w:sz w:val="20"/>
                <w:szCs w:val="20"/>
                <w:lang w:val="en-US"/>
              </w:rPr>
              <w:t>s will include (a) energy efficiency investments undertaken by SMEs (b) small scale renewable energy projects from SMEs focused on cogeneration projects from waste</w:t>
            </w:r>
            <w:bookmarkStart w:id="0" w:name="_Hlk499805015"/>
            <w:bookmarkStart w:id="1" w:name="_Hlk499803398"/>
            <w:r w:rsidR="00360F5E" w:rsidRPr="00B34A61">
              <w:rPr>
                <w:rFonts w:cs="Arial"/>
                <w:sz w:val="20"/>
                <w:szCs w:val="20"/>
                <w:lang w:val="en-US"/>
              </w:rPr>
              <w:t xml:space="preserve">. </w:t>
            </w:r>
            <w:bookmarkEnd w:id="0"/>
            <w:bookmarkEnd w:id="1"/>
          </w:p>
          <w:p w14:paraId="036708C4" w14:textId="77777777" w:rsidR="00F354C8" w:rsidRPr="00B34A61" w:rsidRDefault="00F354C8" w:rsidP="00F354C8">
            <w:pPr>
              <w:pStyle w:val="Paragraph"/>
              <w:rPr>
                <w:rFonts w:cs="Arial"/>
                <w:sz w:val="20"/>
                <w:szCs w:val="20"/>
                <w:lang w:val="en-US"/>
              </w:rPr>
            </w:pPr>
            <w:r w:rsidRPr="00B34A61">
              <w:rPr>
                <w:rFonts w:cs="Arial"/>
                <w:sz w:val="20"/>
                <w:szCs w:val="20"/>
                <w:lang w:val="en-US"/>
              </w:rPr>
              <w:t xml:space="preserve">Within the spectrum of those eligible </w:t>
            </w:r>
            <w:r w:rsidR="00B44034" w:rsidRPr="00B34A61">
              <w:rPr>
                <w:rFonts w:cs="Arial"/>
                <w:sz w:val="20"/>
                <w:szCs w:val="20"/>
                <w:lang w:val="en-US"/>
              </w:rPr>
              <w:t>subproject</w:t>
            </w:r>
            <w:r w:rsidRPr="00B34A61">
              <w:rPr>
                <w:rFonts w:cs="Arial"/>
                <w:sz w:val="20"/>
                <w:szCs w:val="20"/>
                <w:lang w:val="en-US"/>
              </w:rPr>
              <w:t xml:space="preserve">s, the feasibility study identified, among others, the following combination of technologies and sectors with higher potential for credit demand: </w:t>
            </w:r>
          </w:p>
          <w:p w14:paraId="036708C5" w14:textId="77777777" w:rsidR="00F354C8" w:rsidRPr="00B34A61" w:rsidRDefault="00F354C8" w:rsidP="007D669A">
            <w:pPr>
              <w:pStyle w:val="Paragraph"/>
              <w:tabs>
                <w:tab w:val="clear" w:pos="851"/>
                <w:tab w:val="left" w:pos="325"/>
              </w:tabs>
              <w:ind w:left="325" w:hanging="325"/>
              <w:rPr>
                <w:rFonts w:cs="Arial"/>
                <w:sz w:val="20"/>
                <w:szCs w:val="20"/>
                <w:lang w:val="en-US"/>
              </w:rPr>
            </w:pPr>
            <w:r w:rsidRPr="00B34A61">
              <w:rPr>
                <w:rFonts w:cs="Arial"/>
                <w:sz w:val="20"/>
                <w:szCs w:val="20"/>
                <w:lang w:val="en-US"/>
              </w:rPr>
              <w:t>-</w:t>
            </w:r>
            <w:r w:rsidRPr="00B34A61">
              <w:rPr>
                <w:rFonts w:cs="Arial"/>
                <w:sz w:val="20"/>
                <w:szCs w:val="20"/>
                <w:lang w:val="en-US"/>
              </w:rPr>
              <w:tab/>
              <w:t xml:space="preserve">Cogeneration from waste issued from agricultural, commercial forestry, timber/paper, feedlots, pig farms and food processing operations and </w:t>
            </w:r>
          </w:p>
          <w:p w14:paraId="036708C6" w14:textId="74FF8573" w:rsidR="00F354C8" w:rsidRDefault="00F354C8" w:rsidP="007D669A">
            <w:pPr>
              <w:pStyle w:val="Paragraph"/>
              <w:tabs>
                <w:tab w:val="clear" w:pos="851"/>
                <w:tab w:val="left" w:pos="325"/>
              </w:tabs>
              <w:ind w:left="325" w:hanging="325"/>
              <w:rPr>
                <w:rFonts w:cs="Arial"/>
                <w:sz w:val="20"/>
                <w:szCs w:val="20"/>
                <w:lang w:val="en-US"/>
              </w:rPr>
            </w:pPr>
            <w:r w:rsidRPr="00B34A61">
              <w:rPr>
                <w:rFonts w:cs="Arial"/>
                <w:sz w:val="20"/>
                <w:szCs w:val="20"/>
                <w:lang w:val="en-US"/>
              </w:rPr>
              <w:t>-</w:t>
            </w:r>
            <w:r w:rsidRPr="00B34A61">
              <w:rPr>
                <w:rFonts w:cs="Arial"/>
                <w:sz w:val="20"/>
                <w:szCs w:val="20"/>
                <w:lang w:val="en-US"/>
              </w:rPr>
              <w:tab/>
              <w:t>Energy efficiency in energy-intensive industry (chemicals, food processing, dairy and plastics).</w:t>
            </w:r>
          </w:p>
          <w:p w14:paraId="09AF72FC" w14:textId="2B2F5E25" w:rsidR="007D669A" w:rsidRDefault="007D669A" w:rsidP="007D669A">
            <w:pPr>
              <w:pStyle w:val="Paragraph"/>
              <w:tabs>
                <w:tab w:val="clear" w:pos="851"/>
                <w:tab w:val="left" w:pos="325"/>
              </w:tabs>
              <w:ind w:left="325" w:hanging="325"/>
              <w:rPr>
                <w:rFonts w:cs="Arial"/>
                <w:sz w:val="20"/>
                <w:szCs w:val="20"/>
                <w:lang w:val="en-US"/>
              </w:rPr>
            </w:pPr>
          </w:p>
          <w:p w14:paraId="533B7793" w14:textId="77777777" w:rsidR="007D669A" w:rsidRPr="00B34A61" w:rsidRDefault="007D669A" w:rsidP="007D669A">
            <w:pPr>
              <w:pStyle w:val="Paragraph"/>
              <w:tabs>
                <w:tab w:val="clear" w:pos="851"/>
                <w:tab w:val="left" w:pos="325"/>
              </w:tabs>
              <w:ind w:left="325" w:hanging="325"/>
              <w:rPr>
                <w:rFonts w:cs="Arial"/>
                <w:sz w:val="20"/>
                <w:szCs w:val="20"/>
                <w:lang w:val="en-US"/>
              </w:rPr>
            </w:pPr>
          </w:p>
          <w:p w14:paraId="036708C7" w14:textId="77777777" w:rsidR="0065566F" w:rsidRPr="00B34A61" w:rsidRDefault="00F354C8" w:rsidP="00F354C8">
            <w:pPr>
              <w:pStyle w:val="Paragraph"/>
              <w:rPr>
                <w:rFonts w:cs="Arial"/>
                <w:sz w:val="20"/>
                <w:szCs w:val="20"/>
                <w:lang w:val="en-US"/>
              </w:rPr>
            </w:pPr>
            <w:r w:rsidRPr="00B34A61">
              <w:rPr>
                <w:rFonts w:cs="Arial"/>
                <w:sz w:val="20"/>
                <w:szCs w:val="20"/>
                <w:lang w:val="en-US"/>
              </w:rPr>
              <w:lastRenderedPageBreak/>
              <w:t>For the Energy Efficiency subprojects, the following 5 technologies have been identified and prioritized: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3"/>
              <w:gridCol w:w="3199"/>
              <w:gridCol w:w="4508"/>
            </w:tblGrid>
            <w:tr w:rsidR="00F354C8" w:rsidRPr="00B34A61" w14:paraId="036708CB" w14:textId="77777777" w:rsidTr="00F354C8">
              <w:trPr>
                <w:tblHeader/>
              </w:trPr>
              <w:tc>
                <w:tcPr>
                  <w:tcW w:w="1056" w:type="pct"/>
                  <w:shd w:val="clear" w:color="auto" w:fill="D9D9D9"/>
                  <w:vAlign w:val="center"/>
                </w:tcPr>
                <w:p w14:paraId="036708C8" w14:textId="77777777" w:rsidR="00F354C8" w:rsidRPr="00B34A61" w:rsidRDefault="00F354C8" w:rsidP="00F354C8">
                  <w:pPr>
                    <w:pStyle w:val="ListParagraph"/>
                    <w:spacing w:after="120"/>
                    <w:ind w:left="360"/>
                    <w:jc w:val="center"/>
                    <w:rPr>
                      <w:rFonts w:ascii="Arial" w:eastAsia="Cambria" w:hAnsi="Arial" w:cs="Arial"/>
                      <w:b/>
                      <w:sz w:val="18"/>
                      <w:szCs w:val="18"/>
                      <w:lang w:eastAsia="es-ES"/>
                    </w:rPr>
                  </w:pPr>
                  <w:r w:rsidRPr="00B34A61">
                    <w:rPr>
                      <w:rFonts w:ascii="Arial" w:eastAsia="Cambria" w:hAnsi="Arial" w:cs="Arial"/>
                      <w:b/>
                      <w:sz w:val="18"/>
                      <w:szCs w:val="18"/>
                      <w:lang w:eastAsia="es-ES"/>
                    </w:rPr>
                    <w:t>Project Type</w:t>
                  </w:r>
                </w:p>
              </w:tc>
              <w:tc>
                <w:tcPr>
                  <w:tcW w:w="1637" w:type="pct"/>
                  <w:shd w:val="clear" w:color="auto" w:fill="D9D9D9"/>
                  <w:vAlign w:val="center"/>
                </w:tcPr>
                <w:p w14:paraId="036708C9" w14:textId="77777777" w:rsidR="00F354C8" w:rsidRPr="00B34A61" w:rsidRDefault="00F354C8" w:rsidP="00F354C8">
                  <w:pPr>
                    <w:spacing w:after="120" w:line="276" w:lineRule="auto"/>
                    <w:jc w:val="center"/>
                    <w:rPr>
                      <w:rFonts w:ascii="Arial" w:eastAsia="Cambria" w:hAnsi="Arial" w:cs="Arial"/>
                      <w:b/>
                      <w:sz w:val="18"/>
                      <w:szCs w:val="18"/>
                      <w:lang w:eastAsia="es-ES"/>
                    </w:rPr>
                  </w:pPr>
                  <w:r w:rsidRPr="00B34A61">
                    <w:rPr>
                      <w:rFonts w:ascii="Arial" w:eastAsia="Cambria" w:hAnsi="Arial" w:cs="Arial"/>
                      <w:b/>
                      <w:sz w:val="18"/>
                      <w:szCs w:val="18"/>
                      <w:lang w:eastAsia="es-ES"/>
                    </w:rPr>
                    <w:t>Description</w:t>
                  </w:r>
                </w:p>
              </w:tc>
              <w:tc>
                <w:tcPr>
                  <w:tcW w:w="2307" w:type="pct"/>
                  <w:shd w:val="clear" w:color="auto" w:fill="D9D9D9"/>
                  <w:vAlign w:val="center"/>
                </w:tcPr>
                <w:p w14:paraId="036708CA" w14:textId="77777777" w:rsidR="00F354C8" w:rsidRPr="00B34A61" w:rsidRDefault="00F354C8" w:rsidP="00F354C8">
                  <w:pPr>
                    <w:spacing w:after="120" w:line="276" w:lineRule="auto"/>
                    <w:jc w:val="center"/>
                    <w:rPr>
                      <w:rFonts w:ascii="Arial" w:eastAsia="Cambria" w:hAnsi="Arial" w:cs="Arial"/>
                      <w:b/>
                      <w:sz w:val="18"/>
                      <w:szCs w:val="18"/>
                      <w:lang w:eastAsia="es-ES"/>
                    </w:rPr>
                  </w:pPr>
                  <w:r w:rsidRPr="00B34A61">
                    <w:rPr>
                      <w:rFonts w:ascii="Arial" w:eastAsia="Cambria" w:hAnsi="Arial" w:cs="Arial"/>
                      <w:b/>
                      <w:sz w:val="18"/>
                      <w:szCs w:val="18"/>
                      <w:lang w:eastAsia="es-ES"/>
                    </w:rPr>
                    <w:t>Technological improvement</w:t>
                  </w:r>
                </w:p>
              </w:tc>
            </w:tr>
            <w:tr w:rsidR="00F354C8" w:rsidRPr="00B34A61" w14:paraId="036708CF" w14:textId="77777777" w:rsidTr="00F354C8">
              <w:trPr>
                <w:trHeight w:val="1628"/>
              </w:trPr>
              <w:tc>
                <w:tcPr>
                  <w:tcW w:w="1056" w:type="pct"/>
                  <w:tcBorders>
                    <w:bottom w:val="single" w:sz="4" w:space="0" w:color="auto"/>
                  </w:tcBorders>
                  <w:shd w:val="clear" w:color="auto" w:fill="auto"/>
                  <w:vAlign w:val="center"/>
                </w:tcPr>
                <w:p w14:paraId="036708CC"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Solar water heaters</w:t>
                  </w:r>
                </w:p>
              </w:tc>
              <w:tc>
                <w:tcPr>
                  <w:tcW w:w="1637" w:type="pct"/>
                  <w:tcBorders>
                    <w:bottom w:val="single" w:sz="4" w:space="0" w:color="auto"/>
                  </w:tcBorders>
                  <w:vAlign w:val="center"/>
                </w:tcPr>
                <w:p w14:paraId="036708CD"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Substitution of old water heating systems with solar water heaters allowing the reduction of energy consumption and/or fossil fuel consumption</w:t>
                  </w:r>
                </w:p>
              </w:tc>
              <w:tc>
                <w:tcPr>
                  <w:tcW w:w="2307" w:type="pct"/>
                  <w:tcBorders>
                    <w:bottom w:val="single" w:sz="4" w:space="0" w:color="auto"/>
                  </w:tcBorders>
                  <w:vAlign w:val="center"/>
                </w:tcPr>
                <w:p w14:paraId="036708CE" w14:textId="77777777" w:rsidR="00F354C8" w:rsidRPr="00B34A61" w:rsidRDefault="00F354C8" w:rsidP="00F354C8">
                  <w:pPr>
                    <w:rPr>
                      <w:rFonts w:ascii="Arial" w:eastAsia="Cambria" w:hAnsi="Arial" w:cs="Arial"/>
                      <w:sz w:val="18"/>
                      <w:szCs w:val="18"/>
                      <w:lang w:eastAsia="es-ES"/>
                    </w:rPr>
                  </w:pPr>
                </w:p>
              </w:tc>
            </w:tr>
            <w:tr w:rsidR="00F354C8" w:rsidRPr="00B34A61" w14:paraId="036708D9" w14:textId="77777777" w:rsidTr="00F354C8">
              <w:trPr>
                <w:trHeight w:val="1628"/>
              </w:trPr>
              <w:tc>
                <w:tcPr>
                  <w:tcW w:w="1056" w:type="pct"/>
                  <w:tcBorders>
                    <w:bottom w:val="single" w:sz="4" w:space="0" w:color="auto"/>
                  </w:tcBorders>
                  <w:shd w:val="clear" w:color="auto" w:fill="auto"/>
                  <w:vAlign w:val="center"/>
                </w:tcPr>
                <w:p w14:paraId="036708D0"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Air conditioning</w:t>
                  </w:r>
                </w:p>
              </w:tc>
              <w:tc>
                <w:tcPr>
                  <w:tcW w:w="1637" w:type="pct"/>
                  <w:tcBorders>
                    <w:bottom w:val="single" w:sz="4" w:space="0" w:color="auto"/>
                  </w:tcBorders>
                  <w:vAlign w:val="center"/>
                </w:tcPr>
                <w:p w14:paraId="036708D1"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Substitution of old air-conditioning equipment with new energy efficient equipment that contain efficient, less polluting refrigerants (and no substances with high Ozone Depletion Potential)</w:t>
                  </w:r>
                </w:p>
              </w:tc>
              <w:tc>
                <w:tcPr>
                  <w:tcW w:w="2307" w:type="pct"/>
                  <w:tcBorders>
                    <w:bottom w:val="single" w:sz="4" w:space="0" w:color="auto"/>
                  </w:tcBorders>
                  <w:vAlign w:val="center"/>
                </w:tcPr>
                <w:p w14:paraId="036708D2"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compression systems with high grade materials.</w:t>
                  </w:r>
                </w:p>
                <w:p w14:paraId="036708D3"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compressors with frequency variation</w:t>
                  </w:r>
                </w:p>
                <w:p w14:paraId="036708D4"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improvements in evaporation systems for thermal load management</w:t>
                  </w:r>
                </w:p>
                <w:p w14:paraId="036708D5"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electronic expansion valve system</w:t>
                  </w:r>
                </w:p>
                <w:p w14:paraId="036708D6"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refrigerant leak detection systems</w:t>
                  </w:r>
                </w:p>
                <w:p w14:paraId="036708D7"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efficient, less polluting refrigerants</w:t>
                  </w:r>
                </w:p>
                <w:p w14:paraId="036708D8"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dehumidification systems</w:t>
                  </w:r>
                </w:p>
              </w:tc>
            </w:tr>
            <w:tr w:rsidR="00F354C8" w:rsidRPr="00B34A61" w14:paraId="036708E2" w14:textId="77777777" w:rsidTr="00F354C8">
              <w:trPr>
                <w:trHeight w:val="77"/>
              </w:trPr>
              <w:tc>
                <w:tcPr>
                  <w:tcW w:w="1056" w:type="pct"/>
                  <w:tcBorders>
                    <w:top w:val="single" w:sz="4" w:space="0" w:color="auto"/>
                    <w:bottom w:val="single" w:sz="4" w:space="0" w:color="auto"/>
                  </w:tcBorders>
                  <w:shd w:val="clear" w:color="auto" w:fill="auto"/>
                  <w:vAlign w:val="center"/>
                </w:tcPr>
                <w:p w14:paraId="036708DA" w14:textId="77777777" w:rsidR="00F354C8" w:rsidRPr="00B34A61" w:rsidRDefault="00F354C8" w:rsidP="00F354C8">
                  <w:pPr>
                    <w:jc w:val="both"/>
                    <w:rPr>
                      <w:rFonts w:ascii="Arial" w:eastAsia="Cambria" w:hAnsi="Arial" w:cs="Arial"/>
                      <w:sz w:val="18"/>
                      <w:szCs w:val="18"/>
                      <w:lang w:eastAsia="es-ES"/>
                    </w:rPr>
                  </w:pPr>
                  <w:r w:rsidRPr="00B34A61">
                    <w:rPr>
                      <w:rFonts w:ascii="Arial" w:hAnsi="Arial" w:cs="Arial"/>
                      <w:sz w:val="18"/>
                      <w:szCs w:val="18"/>
                    </w:rPr>
                    <w:t>Boilers</w:t>
                  </w:r>
                </w:p>
              </w:tc>
              <w:tc>
                <w:tcPr>
                  <w:tcW w:w="1637" w:type="pct"/>
                  <w:tcBorders>
                    <w:top w:val="single" w:sz="4" w:space="0" w:color="auto"/>
                    <w:bottom w:val="single" w:sz="4" w:space="0" w:color="auto"/>
                  </w:tcBorders>
                  <w:vAlign w:val="center"/>
                </w:tcPr>
                <w:p w14:paraId="036708DB"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Replacement of old furnace/ boiler / water heater systems with new equipment consuming less fuel and/or energy.</w:t>
                  </w:r>
                </w:p>
              </w:tc>
              <w:tc>
                <w:tcPr>
                  <w:tcW w:w="2307" w:type="pct"/>
                  <w:tcBorders>
                    <w:top w:val="single" w:sz="4" w:space="0" w:color="auto"/>
                    <w:bottom w:val="single" w:sz="4" w:space="0" w:color="auto"/>
                  </w:tcBorders>
                  <w:vAlign w:val="center"/>
                </w:tcPr>
                <w:p w14:paraId="036708DC"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gas heat recovery systems</w:t>
                  </w:r>
                </w:p>
                <w:p w14:paraId="036708DD"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condensate recovery systems</w:t>
                  </w:r>
                </w:p>
                <w:p w14:paraId="036708DE"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completely automated safety and control devices</w:t>
                  </w:r>
                </w:p>
                <w:p w14:paraId="036708DF"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continuous monitoring of oxygen and exhaust gases</w:t>
                  </w:r>
                </w:p>
                <w:p w14:paraId="036708E0"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efficient fuel burners</w:t>
                  </w:r>
                </w:p>
                <w:p w14:paraId="036708E1"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high strength construction and insulation materials</w:t>
                  </w:r>
                </w:p>
              </w:tc>
            </w:tr>
            <w:tr w:rsidR="00F354C8" w:rsidRPr="00B34A61" w14:paraId="036708EA" w14:textId="77777777" w:rsidTr="00F354C8">
              <w:trPr>
                <w:trHeight w:val="77"/>
              </w:trPr>
              <w:tc>
                <w:tcPr>
                  <w:tcW w:w="1056" w:type="pct"/>
                  <w:tcBorders>
                    <w:top w:val="single" w:sz="4" w:space="0" w:color="auto"/>
                    <w:bottom w:val="single" w:sz="4" w:space="0" w:color="auto"/>
                  </w:tcBorders>
                  <w:shd w:val="clear" w:color="auto" w:fill="auto"/>
                  <w:vAlign w:val="center"/>
                </w:tcPr>
                <w:p w14:paraId="036708E3" w14:textId="77777777" w:rsidR="00F354C8" w:rsidRPr="00B34A61" w:rsidRDefault="00F354C8" w:rsidP="00F354C8">
                  <w:pPr>
                    <w:spacing w:after="120" w:line="276" w:lineRule="auto"/>
                    <w:jc w:val="both"/>
                    <w:rPr>
                      <w:rFonts w:ascii="Arial" w:hAnsi="Arial" w:cs="Arial"/>
                      <w:sz w:val="18"/>
                      <w:szCs w:val="18"/>
                    </w:rPr>
                  </w:pPr>
                  <w:r w:rsidRPr="00B34A61">
                    <w:rPr>
                      <w:rFonts w:ascii="Arial" w:hAnsi="Arial" w:cs="Arial"/>
                      <w:sz w:val="18"/>
                      <w:szCs w:val="18"/>
                    </w:rPr>
                    <w:t>Refrigeration chambers</w:t>
                  </w:r>
                </w:p>
              </w:tc>
              <w:tc>
                <w:tcPr>
                  <w:tcW w:w="1637" w:type="pct"/>
                  <w:tcBorders>
                    <w:top w:val="single" w:sz="4" w:space="0" w:color="auto"/>
                    <w:bottom w:val="single" w:sz="4" w:space="0" w:color="auto"/>
                  </w:tcBorders>
                  <w:vAlign w:val="center"/>
                </w:tcPr>
                <w:p w14:paraId="036708E4"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Substitution of old equipment with new energy efficient equipment that contain efficient, less polluting refrigerants (and no substances with high Ozone Depletion Potential)</w:t>
                  </w:r>
                </w:p>
              </w:tc>
              <w:tc>
                <w:tcPr>
                  <w:tcW w:w="2307" w:type="pct"/>
                  <w:tcBorders>
                    <w:top w:val="single" w:sz="4" w:space="0" w:color="auto"/>
                    <w:bottom w:val="single" w:sz="4" w:space="0" w:color="auto"/>
                  </w:tcBorders>
                  <w:vAlign w:val="center"/>
                </w:tcPr>
                <w:p w14:paraId="036708E5"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high efficiency evaporator fans</w:t>
                  </w:r>
                </w:p>
                <w:p w14:paraId="036708E6"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high efficiency compression systems</w:t>
                  </w:r>
                </w:p>
                <w:p w14:paraId="036708E7"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pressure, temperature, and humidity control systems</w:t>
                  </w:r>
                </w:p>
                <w:p w14:paraId="036708E8"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high grade materials for refrigeration doors and insulation</w:t>
                  </w:r>
                </w:p>
                <w:p w14:paraId="036708E9"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pre-cooling and ante-chambers for management of air and heat</w:t>
                  </w:r>
                </w:p>
              </w:tc>
            </w:tr>
            <w:tr w:rsidR="00F354C8" w:rsidRPr="00B34A61" w14:paraId="036708F2" w14:textId="77777777" w:rsidTr="00F354C8">
              <w:trPr>
                <w:trHeight w:val="77"/>
              </w:trPr>
              <w:tc>
                <w:tcPr>
                  <w:tcW w:w="1056" w:type="pct"/>
                  <w:tcBorders>
                    <w:top w:val="single" w:sz="4" w:space="0" w:color="auto"/>
                    <w:bottom w:val="single" w:sz="4" w:space="0" w:color="auto"/>
                  </w:tcBorders>
                  <w:shd w:val="clear" w:color="auto" w:fill="auto"/>
                  <w:vAlign w:val="center"/>
                </w:tcPr>
                <w:p w14:paraId="036708EB" w14:textId="77777777" w:rsidR="00F354C8" w:rsidRPr="00B34A61" w:rsidRDefault="00F354C8" w:rsidP="00F354C8">
                  <w:pPr>
                    <w:spacing w:after="120" w:line="276" w:lineRule="auto"/>
                    <w:jc w:val="both"/>
                    <w:rPr>
                      <w:rFonts w:ascii="Arial" w:hAnsi="Arial" w:cs="Arial"/>
                      <w:sz w:val="18"/>
                      <w:szCs w:val="18"/>
                    </w:rPr>
                  </w:pPr>
                  <w:r w:rsidRPr="00B34A61">
                    <w:rPr>
                      <w:rFonts w:ascii="Arial" w:hAnsi="Arial" w:cs="Arial"/>
                      <w:sz w:val="18"/>
                      <w:szCs w:val="18"/>
                    </w:rPr>
                    <w:t>Motors</w:t>
                  </w:r>
                </w:p>
              </w:tc>
              <w:tc>
                <w:tcPr>
                  <w:tcW w:w="1637" w:type="pct"/>
                  <w:tcBorders>
                    <w:top w:val="single" w:sz="4" w:space="0" w:color="auto"/>
                    <w:bottom w:val="single" w:sz="4" w:space="0" w:color="auto"/>
                  </w:tcBorders>
                  <w:vAlign w:val="center"/>
                </w:tcPr>
                <w:p w14:paraId="036708EC" w14:textId="77777777" w:rsidR="00F354C8" w:rsidRPr="00B34A61" w:rsidRDefault="00F354C8" w:rsidP="00F354C8">
                  <w:pPr>
                    <w:jc w:val="both"/>
                    <w:rPr>
                      <w:rFonts w:ascii="Arial" w:eastAsia="Cambria" w:hAnsi="Arial" w:cs="Arial"/>
                      <w:sz w:val="18"/>
                      <w:szCs w:val="18"/>
                      <w:lang w:eastAsia="es-ES"/>
                    </w:rPr>
                  </w:pPr>
                  <w:r w:rsidRPr="00B34A61">
                    <w:rPr>
                      <w:rFonts w:ascii="Arial" w:eastAsia="Cambria" w:hAnsi="Arial" w:cs="Arial"/>
                      <w:sz w:val="18"/>
                      <w:szCs w:val="18"/>
                      <w:lang w:eastAsia="es-ES"/>
                    </w:rPr>
                    <w:t>Replacement of old motors with new equipment consuming less fuel and/or energy.</w:t>
                  </w:r>
                </w:p>
              </w:tc>
              <w:tc>
                <w:tcPr>
                  <w:tcW w:w="2307" w:type="pct"/>
                  <w:tcBorders>
                    <w:top w:val="single" w:sz="4" w:space="0" w:color="auto"/>
                    <w:bottom w:val="single" w:sz="4" w:space="0" w:color="auto"/>
                  </w:tcBorders>
                  <w:vAlign w:val="center"/>
                </w:tcPr>
                <w:p w14:paraId="036708ED" w14:textId="77777777" w:rsidR="00F354C8" w:rsidRPr="00B34A61" w:rsidRDefault="00F354C8" w:rsidP="00F354C8">
                  <w:pPr>
                    <w:rPr>
                      <w:rFonts w:ascii="Arial" w:eastAsia="Cambria" w:hAnsi="Arial" w:cs="Arial"/>
                      <w:sz w:val="18"/>
                      <w:szCs w:val="18"/>
                      <w:lang w:eastAsia="es-ES"/>
                    </w:rPr>
                  </w:pPr>
                  <w:r w:rsidRPr="00B34A61">
                    <w:rPr>
                      <w:rFonts w:ascii="Arial" w:hAnsi="Arial" w:cs="Arial"/>
                      <w:sz w:val="18"/>
                      <w:szCs w:val="18"/>
                    </w:rPr>
                    <w:t xml:space="preserve">- </w:t>
                  </w:r>
                  <w:r w:rsidRPr="00B34A61">
                    <w:rPr>
                      <w:rFonts w:ascii="Arial" w:eastAsia="Cambria" w:hAnsi="Arial" w:cs="Arial"/>
                      <w:sz w:val="18"/>
                      <w:szCs w:val="18"/>
                      <w:lang w:eastAsia="es-ES"/>
                    </w:rPr>
                    <w:t>materials with high magnetic properties</w:t>
                  </w:r>
                </w:p>
                <w:p w14:paraId="036708EE"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better quality construction materials</w:t>
                  </w:r>
                </w:p>
                <w:p w14:paraId="036708EF"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lamination and gap reduction</w:t>
                  </w:r>
                </w:p>
                <w:p w14:paraId="036708F0"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improvements in wire size and materials</w:t>
                  </w:r>
                </w:p>
                <w:p w14:paraId="036708F1" w14:textId="77777777" w:rsidR="00F354C8" w:rsidRPr="00B34A61" w:rsidRDefault="00F354C8" w:rsidP="00F354C8">
                  <w:pPr>
                    <w:rPr>
                      <w:rFonts w:ascii="Arial" w:eastAsia="Cambria" w:hAnsi="Arial" w:cs="Arial"/>
                      <w:sz w:val="18"/>
                      <w:szCs w:val="18"/>
                      <w:lang w:eastAsia="es-ES"/>
                    </w:rPr>
                  </w:pPr>
                  <w:r w:rsidRPr="00B34A61">
                    <w:rPr>
                      <w:rFonts w:ascii="Arial" w:eastAsia="Cambria" w:hAnsi="Arial" w:cs="Arial"/>
                      <w:sz w:val="18"/>
                      <w:szCs w:val="18"/>
                      <w:lang w:eastAsia="es-ES"/>
                    </w:rPr>
                    <w:t>- high efficiency cooling systems and fans</w:t>
                  </w:r>
                </w:p>
              </w:tc>
            </w:tr>
          </w:tbl>
          <w:p w14:paraId="036708F3" w14:textId="77777777" w:rsidR="0065566F" w:rsidRPr="00B34A61" w:rsidRDefault="0065566F" w:rsidP="00360F5E">
            <w:pPr>
              <w:pStyle w:val="Paragraph"/>
              <w:rPr>
                <w:rFonts w:cs="Arial"/>
                <w:sz w:val="20"/>
                <w:szCs w:val="20"/>
                <w:lang w:val="en-US"/>
              </w:rPr>
            </w:pPr>
          </w:p>
          <w:p w14:paraId="036708F4" w14:textId="77777777" w:rsidR="00F354C8" w:rsidRPr="00B34A61" w:rsidRDefault="00F354C8" w:rsidP="00F354C8">
            <w:pPr>
              <w:pStyle w:val="Paragraph"/>
              <w:spacing w:line="276" w:lineRule="auto"/>
              <w:rPr>
                <w:rFonts w:cs="Arial"/>
                <w:sz w:val="20"/>
                <w:lang w:val="en-US"/>
              </w:rPr>
            </w:pPr>
            <w:r w:rsidRPr="00B34A61">
              <w:rPr>
                <w:rFonts w:eastAsiaTheme="minorHAnsi" w:cs="Arial"/>
                <w:sz w:val="20"/>
                <w:lang w:val="en-US"/>
              </w:rPr>
              <w:t xml:space="preserve">The feasibility study estimated the following indicative expected demand and average sizes of </w:t>
            </w:r>
            <w:r w:rsidR="00B44034" w:rsidRPr="00B34A61">
              <w:rPr>
                <w:rFonts w:eastAsiaTheme="minorHAnsi" w:cs="Arial"/>
                <w:sz w:val="20"/>
                <w:lang w:val="en-US"/>
              </w:rPr>
              <w:t>subproject</w:t>
            </w:r>
            <w:r w:rsidRPr="00B34A61">
              <w:rPr>
                <w:rFonts w:eastAsiaTheme="minorHAnsi" w:cs="Arial"/>
                <w:sz w:val="20"/>
                <w:lang w:val="en-US"/>
              </w:rPr>
              <w:t>s</w:t>
            </w:r>
            <w:r w:rsidRPr="00B34A61">
              <w:rPr>
                <w:rStyle w:val="FootnoteReference"/>
                <w:rFonts w:eastAsiaTheme="minorHAnsi" w:cs="Arial"/>
                <w:lang w:val="en-US"/>
              </w:rPr>
              <w:footnoteReference w:id="4"/>
            </w:r>
            <w:r w:rsidRPr="00B34A61">
              <w:rPr>
                <w:rFonts w:eastAsiaTheme="minorHAnsi" w:cs="Arial"/>
                <w:sz w:val="20"/>
                <w:lang w:val="en-US"/>
              </w:rPr>
              <w:t>:</w:t>
            </w:r>
          </w:p>
          <w:tbl>
            <w:tblPr>
              <w:tblW w:w="9252" w:type="dxa"/>
              <w:tblInd w:w="103" w:type="dxa"/>
              <w:tblLayout w:type="fixed"/>
              <w:tblLook w:val="04A0" w:firstRow="1" w:lastRow="0" w:firstColumn="1" w:lastColumn="0" w:noHBand="0" w:noVBand="1"/>
            </w:tblPr>
            <w:tblGrid>
              <w:gridCol w:w="2502"/>
              <w:gridCol w:w="1950"/>
              <w:gridCol w:w="2400"/>
              <w:gridCol w:w="2400"/>
            </w:tblGrid>
            <w:tr w:rsidR="00F354C8" w:rsidRPr="00B34A61" w14:paraId="036708F9" w14:textId="77777777" w:rsidTr="00B44034">
              <w:trPr>
                <w:tblHeader/>
              </w:trPr>
              <w:tc>
                <w:tcPr>
                  <w:tcW w:w="25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6708F5" w14:textId="77777777" w:rsidR="00F354C8" w:rsidRPr="00B34A61" w:rsidRDefault="00F354C8" w:rsidP="00F354C8">
                  <w:pPr>
                    <w:spacing w:line="276" w:lineRule="auto"/>
                    <w:jc w:val="center"/>
                    <w:rPr>
                      <w:rFonts w:ascii="Arial" w:eastAsia="Times New Roman" w:hAnsi="Arial" w:cs="Arial"/>
                      <w:b/>
                      <w:bCs/>
                      <w:color w:val="000000"/>
                      <w:sz w:val="16"/>
                      <w:szCs w:val="16"/>
                    </w:rPr>
                  </w:pPr>
                  <w:r w:rsidRPr="00B34A61">
                    <w:rPr>
                      <w:rFonts w:ascii="Arial" w:eastAsia="Times New Roman" w:hAnsi="Arial" w:cs="Arial"/>
                      <w:b/>
                      <w:bCs/>
                      <w:color w:val="000000"/>
                      <w:sz w:val="16"/>
                      <w:szCs w:val="16"/>
                    </w:rPr>
                    <w:t>Technology</w:t>
                  </w:r>
                </w:p>
              </w:tc>
              <w:tc>
                <w:tcPr>
                  <w:tcW w:w="1950" w:type="dxa"/>
                  <w:tcBorders>
                    <w:top w:val="single" w:sz="4" w:space="0" w:color="auto"/>
                    <w:left w:val="nil"/>
                    <w:bottom w:val="single" w:sz="4" w:space="0" w:color="auto"/>
                    <w:right w:val="single" w:sz="4" w:space="0" w:color="auto"/>
                  </w:tcBorders>
                  <w:shd w:val="clear" w:color="auto" w:fill="D9D9D9" w:themeFill="background1" w:themeFillShade="D9"/>
                  <w:hideMark/>
                </w:tcPr>
                <w:p w14:paraId="036708F6" w14:textId="77777777" w:rsidR="00F354C8" w:rsidRPr="00B34A61" w:rsidRDefault="00F354C8" w:rsidP="00F354C8">
                  <w:pPr>
                    <w:spacing w:line="276" w:lineRule="auto"/>
                    <w:jc w:val="center"/>
                    <w:rPr>
                      <w:rFonts w:ascii="Arial" w:eastAsia="Times New Roman" w:hAnsi="Arial" w:cs="Arial"/>
                      <w:b/>
                      <w:bCs/>
                      <w:color w:val="000000"/>
                      <w:sz w:val="16"/>
                      <w:szCs w:val="16"/>
                    </w:rPr>
                  </w:pPr>
                  <w:r w:rsidRPr="00B34A61">
                    <w:rPr>
                      <w:rFonts w:ascii="Arial" w:eastAsia="Times New Roman" w:hAnsi="Arial" w:cs="Arial"/>
                      <w:b/>
                      <w:bCs/>
                      <w:color w:val="000000"/>
                      <w:sz w:val="16"/>
                      <w:szCs w:val="16"/>
                    </w:rPr>
                    <w:t xml:space="preserve">No. </w:t>
                  </w:r>
                  <w:r w:rsidR="00B44034" w:rsidRPr="00B34A61">
                    <w:rPr>
                      <w:rFonts w:ascii="Arial" w:eastAsia="Times New Roman" w:hAnsi="Arial" w:cs="Arial"/>
                      <w:b/>
                      <w:bCs/>
                      <w:color w:val="000000"/>
                      <w:sz w:val="16"/>
                      <w:szCs w:val="16"/>
                    </w:rPr>
                    <w:t>subproject</w:t>
                  </w:r>
                  <w:r w:rsidRPr="00B34A61">
                    <w:rPr>
                      <w:rFonts w:ascii="Arial" w:eastAsia="Times New Roman" w:hAnsi="Arial" w:cs="Arial"/>
                      <w:b/>
                      <w:bCs/>
                      <w:color w:val="000000"/>
                      <w:sz w:val="16"/>
                      <w:szCs w:val="16"/>
                    </w:rPr>
                    <w:t>s targeted</w:t>
                  </w:r>
                </w:p>
              </w:tc>
              <w:tc>
                <w:tcPr>
                  <w:tcW w:w="2400" w:type="dxa"/>
                  <w:tcBorders>
                    <w:top w:val="single" w:sz="4" w:space="0" w:color="auto"/>
                    <w:left w:val="nil"/>
                    <w:bottom w:val="single" w:sz="4" w:space="0" w:color="auto"/>
                    <w:right w:val="single" w:sz="4" w:space="0" w:color="auto"/>
                  </w:tcBorders>
                  <w:shd w:val="clear" w:color="auto" w:fill="D9D9D9" w:themeFill="background1" w:themeFillShade="D9"/>
                  <w:hideMark/>
                </w:tcPr>
                <w:p w14:paraId="036708F7" w14:textId="77777777" w:rsidR="00F354C8" w:rsidRPr="00B34A61" w:rsidRDefault="00F354C8" w:rsidP="00F354C8">
                  <w:pPr>
                    <w:spacing w:line="276" w:lineRule="auto"/>
                    <w:jc w:val="center"/>
                    <w:rPr>
                      <w:rFonts w:ascii="Arial" w:eastAsia="Times New Roman" w:hAnsi="Arial" w:cs="Arial"/>
                      <w:b/>
                      <w:bCs/>
                      <w:color w:val="000000"/>
                      <w:sz w:val="16"/>
                      <w:szCs w:val="16"/>
                    </w:rPr>
                  </w:pPr>
                  <w:r w:rsidRPr="00B34A61">
                    <w:rPr>
                      <w:rFonts w:ascii="Arial" w:eastAsia="Times New Roman" w:hAnsi="Arial" w:cs="Arial"/>
                      <w:b/>
                      <w:bCs/>
                      <w:color w:val="000000"/>
                      <w:sz w:val="16"/>
                      <w:szCs w:val="16"/>
                    </w:rPr>
                    <w:t>Average power capacity per plant</w:t>
                  </w:r>
                </w:p>
              </w:tc>
              <w:tc>
                <w:tcPr>
                  <w:tcW w:w="2400" w:type="dxa"/>
                  <w:tcBorders>
                    <w:top w:val="single" w:sz="4" w:space="0" w:color="auto"/>
                    <w:left w:val="nil"/>
                    <w:bottom w:val="single" w:sz="4" w:space="0" w:color="auto"/>
                    <w:right w:val="single" w:sz="4" w:space="0" w:color="auto"/>
                  </w:tcBorders>
                  <w:shd w:val="clear" w:color="auto" w:fill="D9D9D9" w:themeFill="background1" w:themeFillShade="D9"/>
                  <w:hideMark/>
                </w:tcPr>
                <w:p w14:paraId="036708F8" w14:textId="77777777" w:rsidR="00F354C8" w:rsidRPr="00B34A61" w:rsidRDefault="00F354C8" w:rsidP="00F354C8">
                  <w:pPr>
                    <w:spacing w:line="276" w:lineRule="auto"/>
                    <w:jc w:val="center"/>
                    <w:rPr>
                      <w:rFonts w:ascii="Arial" w:eastAsia="Times New Roman" w:hAnsi="Arial" w:cs="Arial"/>
                      <w:b/>
                      <w:bCs/>
                      <w:color w:val="000000"/>
                      <w:sz w:val="16"/>
                      <w:szCs w:val="16"/>
                    </w:rPr>
                  </w:pPr>
                  <w:r w:rsidRPr="00B34A61">
                    <w:rPr>
                      <w:rFonts w:ascii="Arial" w:eastAsia="Times New Roman" w:hAnsi="Arial" w:cs="Arial"/>
                      <w:b/>
                      <w:bCs/>
                      <w:color w:val="000000"/>
                      <w:sz w:val="16"/>
                      <w:szCs w:val="16"/>
                    </w:rPr>
                    <w:t xml:space="preserve">Average size of </w:t>
                  </w:r>
                  <w:r w:rsidR="00B44034" w:rsidRPr="00B34A61">
                    <w:rPr>
                      <w:rFonts w:ascii="Arial" w:eastAsia="Times New Roman" w:hAnsi="Arial" w:cs="Arial"/>
                      <w:b/>
                      <w:bCs/>
                      <w:color w:val="000000"/>
                      <w:sz w:val="16"/>
                      <w:szCs w:val="16"/>
                    </w:rPr>
                    <w:t>subproject</w:t>
                  </w:r>
                  <w:r w:rsidRPr="00B34A61">
                    <w:rPr>
                      <w:rFonts w:ascii="Arial" w:eastAsia="Times New Roman" w:hAnsi="Arial" w:cs="Arial"/>
                      <w:b/>
                      <w:bCs/>
                      <w:color w:val="000000"/>
                      <w:sz w:val="16"/>
                      <w:szCs w:val="16"/>
                    </w:rPr>
                    <w:t xml:space="preserve"> (USD)</w:t>
                  </w:r>
                </w:p>
              </w:tc>
            </w:tr>
            <w:tr w:rsidR="00F354C8" w:rsidRPr="00B34A61" w14:paraId="036708FE"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vAlign w:val="bottom"/>
                  <w:hideMark/>
                </w:tcPr>
                <w:p w14:paraId="036708FA"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Cogeneration</w:t>
                  </w:r>
                </w:p>
              </w:tc>
              <w:tc>
                <w:tcPr>
                  <w:tcW w:w="1950" w:type="dxa"/>
                  <w:tcBorders>
                    <w:top w:val="nil"/>
                    <w:left w:val="nil"/>
                    <w:bottom w:val="single" w:sz="4" w:space="0" w:color="auto"/>
                    <w:right w:val="single" w:sz="4" w:space="0" w:color="auto"/>
                  </w:tcBorders>
                  <w:shd w:val="clear" w:color="auto" w:fill="auto"/>
                  <w:vAlign w:val="bottom"/>
                  <w:hideMark/>
                </w:tcPr>
                <w:p w14:paraId="036708FB"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 </w:t>
                  </w:r>
                </w:p>
              </w:tc>
              <w:tc>
                <w:tcPr>
                  <w:tcW w:w="2400" w:type="dxa"/>
                  <w:tcBorders>
                    <w:top w:val="nil"/>
                    <w:left w:val="nil"/>
                    <w:bottom w:val="single" w:sz="4" w:space="0" w:color="auto"/>
                    <w:right w:val="single" w:sz="4" w:space="0" w:color="auto"/>
                  </w:tcBorders>
                  <w:shd w:val="clear" w:color="auto" w:fill="auto"/>
                  <w:vAlign w:val="bottom"/>
                  <w:hideMark/>
                </w:tcPr>
                <w:p w14:paraId="036708FC" w14:textId="77777777" w:rsidR="00F354C8" w:rsidRPr="00B34A61" w:rsidRDefault="00F354C8" w:rsidP="00F354C8">
                  <w:pPr>
                    <w:spacing w:line="276" w:lineRule="auto"/>
                    <w:jc w:val="both"/>
                    <w:rPr>
                      <w:rFonts w:ascii="Arial" w:eastAsia="Times New Roman" w:hAnsi="Arial" w:cs="Arial"/>
                      <w:b/>
                      <w:bCs/>
                      <w:color w:val="000000"/>
                      <w:sz w:val="20"/>
                      <w:szCs w:val="20"/>
                    </w:rPr>
                  </w:pPr>
                  <w:r w:rsidRPr="00B34A61">
                    <w:rPr>
                      <w:rFonts w:ascii="Arial" w:eastAsia="Times New Roman" w:hAnsi="Arial" w:cs="Arial"/>
                      <w:b/>
                      <w:bCs/>
                      <w:color w:val="000000"/>
                      <w:sz w:val="20"/>
                      <w:szCs w:val="20"/>
                    </w:rPr>
                    <w:t> </w:t>
                  </w:r>
                </w:p>
              </w:tc>
              <w:tc>
                <w:tcPr>
                  <w:tcW w:w="2400" w:type="dxa"/>
                  <w:tcBorders>
                    <w:top w:val="nil"/>
                    <w:left w:val="nil"/>
                    <w:bottom w:val="single" w:sz="4" w:space="0" w:color="auto"/>
                    <w:right w:val="single" w:sz="4" w:space="0" w:color="auto"/>
                  </w:tcBorders>
                  <w:shd w:val="clear" w:color="auto" w:fill="auto"/>
                  <w:vAlign w:val="bottom"/>
                  <w:hideMark/>
                </w:tcPr>
                <w:p w14:paraId="036708FD" w14:textId="77777777" w:rsidR="00F354C8" w:rsidRPr="00B34A61" w:rsidRDefault="00F354C8" w:rsidP="00F354C8">
                  <w:pPr>
                    <w:spacing w:line="276" w:lineRule="auto"/>
                    <w:jc w:val="both"/>
                    <w:rPr>
                      <w:rFonts w:ascii="Arial" w:eastAsia="Times New Roman" w:hAnsi="Arial" w:cs="Arial"/>
                      <w:b/>
                      <w:bCs/>
                      <w:color w:val="000000"/>
                      <w:sz w:val="20"/>
                      <w:szCs w:val="20"/>
                    </w:rPr>
                  </w:pPr>
                  <w:r w:rsidRPr="00B34A61">
                    <w:rPr>
                      <w:rFonts w:ascii="Arial" w:eastAsia="Times New Roman" w:hAnsi="Arial" w:cs="Arial"/>
                      <w:b/>
                      <w:bCs/>
                      <w:color w:val="000000"/>
                      <w:sz w:val="20"/>
                      <w:szCs w:val="20"/>
                    </w:rPr>
                    <w:t> </w:t>
                  </w:r>
                </w:p>
              </w:tc>
            </w:tr>
            <w:tr w:rsidR="00F354C8" w:rsidRPr="00B34A61" w14:paraId="03670903"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14:paraId="036708FF" w14:textId="77777777" w:rsidR="00F354C8" w:rsidRPr="00B34A61" w:rsidRDefault="00F354C8" w:rsidP="00F354C8">
                  <w:pPr>
                    <w:spacing w:line="276" w:lineRule="auto"/>
                    <w:ind w:firstLineChars="100" w:firstLine="200"/>
                    <w:jc w:val="both"/>
                    <w:rPr>
                      <w:rFonts w:ascii="Arial" w:eastAsia="Times New Roman" w:hAnsi="Arial" w:cs="Arial"/>
                      <w:i/>
                      <w:iCs/>
                      <w:color w:val="000000"/>
                      <w:sz w:val="20"/>
                      <w:szCs w:val="20"/>
                    </w:rPr>
                  </w:pPr>
                  <w:r w:rsidRPr="00B34A61">
                    <w:rPr>
                      <w:rFonts w:ascii="Arial" w:eastAsia="Times New Roman" w:hAnsi="Arial" w:cs="Arial"/>
                      <w:i/>
                      <w:iCs/>
                      <w:color w:val="000000"/>
                      <w:sz w:val="20"/>
                      <w:szCs w:val="20"/>
                    </w:rPr>
                    <w:t>Pig farms waste</w:t>
                  </w:r>
                </w:p>
              </w:tc>
              <w:tc>
                <w:tcPr>
                  <w:tcW w:w="1950" w:type="dxa"/>
                  <w:tcBorders>
                    <w:top w:val="nil"/>
                    <w:left w:val="nil"/>
                    <w:bottom w:val="single" w:sz="4" w:space="0" w:color="auto"/>
                    <w:right w:val="single" w:sz="4" w:space="0" w:color="auto"/>
                  </w:tcBorders>
                  <w:shd w:val="clear" w:color="auto" w:fill="auto"/>
                  <w:noWrap/>
                  <w:vAlign w:val="bottom"/>
                  <w:hideMark/>
                </w:tcPr>
                <w:p w14:paraId="03670900" w14:textId="77777777" w:rsidR="00F354C8" w:rsidRPr="00B34A61" w:rsidRDefault="00F354C8" w:rsidP="00F354C8">
                  <w:pPr>
                    <w:spacing w:line="276" w:lineRule="auto"/>
                    <w:jc w:val="both"/>
                    <w:rPr>
                      <w:rFonts w:ascii="Arial" w:eastAsia="Times New Roman" w:hAnsi="Arial" w:cs="Arial"/>
                      <w:i/>
                      <w:iCs/>
                      <w:color w:val="000000"/>
                      <w:sz w:val="20"/>
                      <w:szCs w:val="20"/>
                    </w:rPr>
                  </w:pPr>
                  <w:r w:rsidRPr="00B34A61">
                    <w:rPr>
                      <w:rFonts w:ascii="Arial" w:eastAsia="Times New Roman" w:hAnsi="Arial" w:cs="Arial"/>
                      <w:iCs/>
                      <w:color w:val="000000"/>
                      <w:sz w:val="20"/>
                      <w:szCs w:val="20"/>
                    </w:rPr>
                    <w:t>449 [954]</w:t>
                  </w:r>
                </w:p>
              </w:tc>
              <w:tc>
                <w:tcPr>
                  <w:tcW w:w="2400" w:type="dxa"/>
                  <w:tcBorders>
                    <w:top w:val="nil"/>
                    <w:left w:val="nil"/>
                    <w:bottom w:val="single" w:sz="4" w:space="0" w:color="auto"/>
                    <w:right w:val="single" w:sz="4" w:space="0" w:color="auto"/>
                  </w:tcBorders>
                  <w:shd w:val="clear" w:color="auto" w:fill="auto"/>
                  <w:noWrap/>
                  <w:vAlign w:val="bottom"/>
                  <w:hideMark/>
                </w:tcPr>
                <w:p w14:paraId="03670901"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37.07kW</w:t>
                  </w:r>
                </w:p>
              </w:tc>
              <w:tc>
                <w:tcPr>
                  <w:tcW w:w="2400" w:type="dxa"/>
                  <w:tcBorders>
                    <w:top w:val="nil"/>
                    <w:left w:val="nil"/>
                    <w:bottom w:val="single" w:sz="4" w:space="0" w:color="auto"/>
                    <w:right w:val="single" w:sz="4" w:space="0" w:color="auto"/>
                  </w:tcBorders>
                  <w:shd w:val="clear" w:color="auto" w:fill="auto"/>
                  <w:noWrap/>
                  <w:vAlign w:val="bottom"/>
                  <w:hideMark/>
                </w:tcPr>
                <w:p w14:paraId="03670902"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75,000</w:t>
                  </w:r>
                </w:p>
              </w:tc>
            </w:tr>
            <w:tr w:rsidR="00F354C8" w:rsidRPr="00B34A61" w14:paraId="03670908"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14:paraId="03670904" w14:textId="77777777" w:rsidR="00F354C8" w:rsidRPr="00B34A61" w:rsidRDefault="00F354C8" w:rsidP="00F354C8">
                  <w:pPr>
                    <w:spacing w:line="276" w:lineRule="auto"/>
                    <w:ind w:firstLineChars="100" w:firstLine="200"/>
                    <w:jc w:val="both"/>
                    <w:rPr>
                      <w:rFonts w:ascii="Arial" w:eastAsia="Times New Roman" w:hAnsi="Arial" w:cs="Arial"/>
                      <w:i/>
                      <w:iCs/>
                      <w:color w:val="000000"/>
                      <w:sz w:val="20"/>
                      <w:szCs w:val="20"/>
                    </w:rPr>
                  </w:pPr>
                  <w:r w:rsidRPr="00B34A61">
                    <w:rPr>
                      <w:rFonts w:ascii="Arial" w:eastAsia="Times New Roman" w:hAnsi="Arial" w:cs="Arial"/>
                      <w:i/>
                      <w:iCs/>
                      <w:color w:val="000000"/>
                      <w:sz w:val="20"/>
                      <w:szCs w:val="20"/>
                    </w:rPr>
                    <w:t>Livestock (feedlot) waste</w:t>
                  </w:r>
                </w:p>
              </w:tc>
              <w:tc>
                <w:tcPr>
                  <w:tcW w:w="1950" w:type="dxa"/>
                  <w:tcBorders>
                    <w:top w:val="nil"/>
                    <w:left w:val="nil"/>
                    <w:bottom w:val="single" w:sz="4" w:space="0" w:color="auto"/>
                    <w:right w:val="single" w:sz="4" w:space="0" w:color="auto"/>
                  </w:tcBorders>
                  <w:shd w:val="clear" w:color="auto" w:fill="auto"/>
                  <w:noWrap/>
                  <w:vAlign w:val="bottom"/>
                  <w:hideMark/>
                </w:tcPr>
                <w:p w14:paraId="03670905" w14:textId="77777777" w:rsidR="00F354C8" w:rsidRPr="00B34A61" w:rsidRDefault="00F354C8" w:rsidP="00F354C8">
                  <w:pPr>
                    <w:spacing w:line="276" w:lineRule="auto"/>
                    <w:jc w:val="both"/>
                    <w:rPr>
                      <w:rFonts w:ascii="Arial" w:eastAsia="Times New Roman" w:hAnsi="Arial" w:cs="Arial"/>
                      <w:i/>
                      <w:iCs/>
                      <w:color w:val="000000"/>
                      <w:sz w:val="20"/>
                      <w:szCs w:val="20"/>
                    </w:rPr>
                  </w:pPr>
                  <w:r w:rsidRPr="00B34A61">
                    <w:rPr>
                      <w:rFonts w:ascii="Arial" w:eastAsia="Times New Roman" w:hAnsi="Arial" w:cs="Arial"/>
                      <w:iCs/>
                      <w:color w:val="000000"/>
                      <w:sz w:val="20"/>
                      <w:szCs w:val="20"/>
                    </w:rPr>
                    <w:t>20 [43]</w:t>
                  </w:r>
                </w:p>
              </w:tc>
              <w:tc>
                <w:tcPr>
                  <w:tcW w:w="2400" w:type="dxa"/>
                  <w:tcBorders>
                    <w:top w:val="nil"/>
                    <w:left w:val="nil"/>
                    <w:bottom w:val="single" w:sz="4" w:space="0" w:color="auto"/>
                    <w:right w:val="single" w:sz="4" w:space="0" w:color="auto"/>
                  </w:tcBorders>
                  <w:shd w:val="clear" w:color="auto" w:fill="auto"/>
                  <w:noWrap/>
                  <w:vAlign w:val="bottom"/>
                  <w:hideMark/>
                </w:tcPr>
                <w:p w14:paraId="03670906"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194kW</w:t>
                  </w:r>
                </w:p>
              </w:tc>
              <w:tc>
                <w:tcPr>
                  <w:tcW w:w="2400" w:type="dxa"/>
                  <w:tcBorders>
                    <w:top w:val="nil"/>
                    <w:left w:val="nil"/>
                    <w:bottom w:val="single" w:sz="4" w:space="0" w:color="auto"/>
                    <w:right w:val="single" w:sz="4" w:space="0" w:color="auto"/>
                  </w:tcBorders>
                  <w:shd w:val="clear" w:color="auto" w:fill="auto"/>
                  <w:noWrap/>
                  <w:vAlign w:val="bottom"/>
                  <w:hideMark/>
                </w:tcPr>
                <w:p w14:paraId="03670907"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700,000</w:t>
                  </w:r>
                </w:p>
              </w:tc>
            </w:tr>
            <w:tr w:rsidR="00F354C8" w:rsidRPr="00B34A61" w14:paraId="0367090D"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14:paraId="03670909" w14:textId="77777777" w:rsidR="00F354C8" w:rsidRPr="00B34A61" w:rsidRDefault="00F354C8" w:rsidP="00F354C8">
                  <w:pPr>
                    <w:spacing w:line="276" w:lineRule="auto"/>
                    <w:ind w:firstLineChars="100" w:firstLine="200"/>
                    <w:jc w:val="both"/>
                    <w:rPr>
                      <w:rFonts w:ascii="Arial" w:eastAsia="Times New Roman" w:hAnsi="Arial" w:cs="Arial"/>
                      <w:i/>
                      <w:iCs/>
                      <w:color w:val="000000"/>
                      <w:sz w:val="20"/>
                      <w:szCs w:val="20"/>
                    </w:rPr>
                  </w:pPr>
                  <w:r w:rsidRPr="00B34A61">
                    <w:rPr>
                      <w:rFonts w:ascii="Arial" w:eastAsia="Times New Roman" w:hAnsi="Arial" w:cs="Arial"/>
                      <w:i/>
                      <w:iCs/>
                      <w:color w:val="000000"/>
                      <w:sz w:val="20"/>
                      <w:szCs w:val="20"/>
                    </w:rPr>
                    <w:t>Agroindustry waste</w:t>
                  </w:r>
                </w:p>
              </w:tc>
              <w:tc>
                <w:tcPr>
                  <w:tcW w:w="1950" w:type="dxa"/>
                  <w:tcBorders>
                    <w:top w:val="nil"/>
                    <w:left w:val="nil"/>
                    <w:bottom w:val="single" w:sz="4" w:space="0" w:color="auto"/>
                    <w:right w:val="single" w:sz="4" w:space="0" w:color="auto"/>
                  </w:tcBorders>
                  <w:shd w:val="clear" w:color="auto" w:fill="auto"/>
                  <w:noWrap/>
                  <w:vAlign w:val="bottom"/>
                  <w:hideMark/>
                </w:tcPr>
                <w:p w14:paraId="0367090A" w14:textId="77777777" w:rsidR="00F354C8" w:rsidRPr="00B34A61" w:rsidRDefault="00F354C8" w:rsidP="00F354C8">
                  <w:pPr>
                    <w:spacing w:line="276" w:lineRule="auto"/>
                    <w:jc w:val="both"/>
                    <w:rPr>
                      <w:rFonts w:ascii="Arial" w:eastAsia="Times New Roman" w:hAnsi="Arial" w:cs="Arial"/>
                      <w:i/>
                      <w:iCs/>
                      <w:color w:val="000000"/>
                      <w:sz w:val="20"/>
                      <w:szCs w:val="20"/>
                    </w:rPr>
                  </w:pPr>
                  <w:r w:rsidRPr="00B34A61">
                    <w:rPr>
                      <w:rFonts w:ascii="Arial" w:eastAsia="Times New Roman" w:hAnsi="Arial" w:cs="Arial"/>
                      <w:iCs/>
                      <w:color w:val="000000"/>
                      <w:sz w:val="20"/>
                      <w:szCs w:val="20"/>
                    </w:rPr>
                    <w:t>168 [357]</w:t>
                  </w:r>
                </w:p>
              </w:tc>
              <w:tc>
                <w:tcPr>
                  <w:tcW w:w="2400" w:type="dxa"/>
                  <w:tcBorders>
                    <w:top w:val="nil"/>
                    <w:left w:val="nil"/>
                    <w:bottom w:val="single" w:sz="4" w:space="0" w:color="auto"/>
                    <w:right w:val="single" w:sz="4" w:space="0" w:color="auto"/>
                  </w:tcBorders>
                  <w:shd w:val="clear" w:color="auto" w:fill="auto"/>
                  <w:noWrap/>
                  <w:vAlign w:val="bottom"/>
                  <w:hideMark/>
                </w:tcPr>
                <w:p w14:paraId="0367090B"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50kW</w:t>
                  </w:r>
                </w:p>
              </w:tc>
              <w:tc>
                <w:tcPr>
                  <w:tcW w:w="2400" w:type="dxa"/>
                  <w:tcBorders>
                    <w:top w:val="nil"/>
                    <w:left w:val="nil"/>
                    <w:bottom w:val="single" w:sz="4" w:space="0" w:color="auto"/>
                    <w:right w:val="single" w:sz="4" w:space="0" w:color="auto"/>
                  </w:tcBorders>
                  <w:shd w:val="clear" w:color="auto" w:fill="auto"/>
                  <w:noWrap/>
                  <w:vAlign w:val="bottom"/>
                  <w:hideMark/>
                </w:tcPr>
                <w:p w14:paraId="0367090C"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175,000</w:t>
                  </w:r>
                </w:p>
              </w:tc>
            </w:tr>
            <w:tr w:rsidR="00F354C8" w:rsidRPr="00B34A61" w14:paraId="03670912"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14:paraId="0367090E" w14:textId="77777777" w:rsidR="00F354C8" w:rsidRPr="00B34A61" w:rsidRDefault="00F354C8" w:rsidP="00F354C8">
                  <w:pPr>
                    <w:spacing w:line="276" w:lineRule="auto"/>
                    <w:ind w:firstLineChars="100" w:firstLine="200"/>
                    <w:jc w:val="both"/>
                    <w:rPr>
                      <w:rFonts w:ascii="Arial" w:eastAsia="Times New Roman" w:hAnsi="Arial" w:cs="Arial"/>
                      <w:i/>
                      <w:iCs/>
                      <w:color w:val="000000"/>
                      <w:sz w:val="20"/>
                      <w:szCs w:val="20"/>
                    </w:rPr>
                  </w:pPr>
                  <w:r w:rsidRPr="00B34A61">
                    <w:rPr>
                      <w:rFonts w:ascii="Arial" w:eastAsia="Times New Roman" w:hAnsi="Arial" w:cs="Arial"/>
                      <w:i/>
                      <w:iCs/>
                      <w:color w:val="000000"/>
                      <w:sz w:val="20"/>
                      <w:szCs w:val="20"/>
                    </w:rPr>
                    <w:t>Agricultural waste</w:t>
                  </w:r>
                </w:p>
              </w:tc>
              <w:tc>
                <w:tcPr>
                  <w:tcW w:w="1950" w:type="dxa"/>
                  <w:tcBorders>
                    <w:top w:val="nil"/>
                    <w:left w:val="nil"/>
                    <w:bottom w:val="single" w:sz="4" w:space="0" w:color="auto"/>
                    <w:right w:val="single" w:sz="4" w:space="0" w:color="auto"/>
                  </w:tcBorders>
                  <w:shd w:val="clear" w:color="auto" w:fill="auto"/>
                  <w:noWrap/>
                  <w:vAlign w:val="bottom"/>
                  <w:hideMark/>
                </w:tcPr>
                <w:p w14:paraId="0367090F" w14:textId="77777777" w:rsidR="00F354C8" w:rsidRPr="00B34A61" w:rsidRDefault="00F354C8" w:rsidP="00F354C8">
                  <w:pPr>
                    <w:spacing w:line="276" w:lineRule="auto"/>
                    <w:ind w:firstLineChars="100" w:firstLine="200"/>
                    <w:jc w:val="both"/>
                    <w:rPr>
                      <w:rFonts w:ascii="Arial" w:eastAsia="Times New Roman" w:hAnsi="Arial" w:cs="Arial"/>
                      <w:i/>
                      <w:iCs/>
                      <w:color w:val="000000"/>
                      <w:sz w:val="20"/>
                      <w:szCs w:val="20"/>
                    </w:rPr>
                  </w:pPr>
                  <w:r w:rsidRPr="00B34A61">
                    <w:rPr>
                      <w:rFonts w:ascii="Arial" w:eastAsia="Times New Roman" w:hAnsi="Arial" w:cs="Arial"/>
                      <w:color w:val="000000"/>
                      <w:sz w:val="20"/>
                      <w:szCs w:val="20"/>
                    </w:rPr>
                    <w:t>12 [21]</w:t>
                  </w:r>
                </w:p>
              </w:tc>
              <w:tc>
                <w:tcPr>
                  <w:tcW w:w="2400" w:type="dxa"/>
                  <w:tcBorders>
                    <w:top w:val="nil"/>
                    <w:left w:val="nil"/>
                    <w:bottom w:val="single" w:sz="4" w:space="0" w:color="auto"/>
                    <w:right w:val="single" w:sz="4" w:space="0" w:color="auto"/>
                  </w:tcBorders>
                  <w:shd w:val="clear" w:color="auto" w:fill="auto"/>
                  <w:noWrap/>
                  <w:vAlign w:val="bottom"/>
                  <w:hideMark/>
                </w:tcPr>
                <w:p w14:paraId="03670910" w14:textId="77777777" w:rsidR="00F354C8" w:rsidRPr="00B34A61" w:rsidRDefault="00F354C8" w:rsidP="00F354C8">
                  <w:pPr>
                    <w:spacing w:line="276" w:lineRule="auto"/>
                    <w:ind w:firstLineChars="100" w:firstLine="200"/>
                    <w:jc w:val="both"/>
                    <w:rPr>
                      <w:rFonts w:ascii="Arial" w:eastAsia="Times New Roman" w:hAnsi="Arial" w:cs="Arial"/>
                      <w:iCs/>
                      <w:color w:val="000000"/>
                      <w:sz w:val="20"/>
                      <w:szCs w:val="20"/>
                    </w:rPr>
                  </w:pPr>
                  <w:r w:rsidRPr="00B34A61">
                    <w:rPr>
                      <w:rFonts w:ascii="Arial" w:eastAsia="Times New Roman" w:hAnsi="Arial" w:cs="Arial"/>
                      <w:iCs/>
                      <w:color w:val="000000"/>
                      <w:sz w:val="20"/>
                      <w:szCs w:val="20"/>
                    </w:rPr>
                    <w:t>2.5MW</w:t>
                  </w:r>
                </w:p>
              </w:tc>
              <w:tc>
                <w:tcPr>
                  <w:tcW w:w="2400" w:type="dxa"/>
                  <w:tcBorders>
                    <w:top w:val="nil"/>
                    <w:left w:val="nil"/>
                    <w:bottom w:val="single" w:sz="4" w:space="0" w:color="auto"/>
                    <w:right w:val="single" w:sz="4" w:space="0" w:color="auto"/>
                  </w:tcBorders>
                  <w:shd w:val="clear" w:color="auto" w:fill="auto"/>
                  <w:noWrap/>
                  <w:vAlign w:val="bottom"/>
                  <w:hideMark/>
                </w:tcPr>
                <w:p w14:paraId="03670911" w14:textId="77777777" w:rsidR="00F354C8" w:rsidRPr="00B34A61" w:rsidRDefault="00F354C8" w:rsidP="00F354C8">
                  <w:pPr>
                    <w:spacing w:line="276" w:lineRule="auto"/>
                    <w:ind w:firstLineChars="100" w:firstLine="200"/>
                    <w:jc w:val="both"/>
                    <w:rPr>
                      <w:rFonts w:ascii="Arial" w:eastAsia="Times New Roman" w:hAnsi="Arial" w:cs="Arial"/>
                      <w:iCs/>
                      <w:color w:val="000000"/>
                      <w:sz w:val="20"/>
                      <w:szCs w:val="20"/>
                    </w:rPr>
                  </w:pPr>
                  <w:r w:rsidRPr="00B34A61">
                    <w:rPr>
                      <w:rFonts w:ascii="Arial" w:eastAsia="Times New Roman" w:hAnsi="Arial" w:cs="Arial"/>
                      <w:iCs/>
                      <w:color w:val="000000"/>
                      <w:sz w:val="20"/>
                      <w:szCs w:val="20"/>
                    </w:rPr>
                    <w:t>5,000,000</w:t>
                  </w:r>
                </w:p>
              </w:tc>
            </w:tr>
            <w:tr w:rsidR="00F354C8" w:rsidRPr="00B34A61" w14:paraId="03670917" w14:textId="77777777" w:rsidTr="00F354C8">
              <w:trPr>
                <w:trHeight w:val="312"/>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14:paraId="03670913"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Energy efficiency</w:t>
                  </w:r>
                </w:p>
              </w:tc>
              <w:tc>
                <w:tcPr>
                  <w:tcW w:w="1950" w:type="dxa"/>
                  <w:tcBorders>
                    <w:top w:val="nil"/>
                    <w:left w:val="nil"/>
                    <w:bottom w:val="single" w:sz="4" w:space="0" w:color="auto"/>
                    <w:right w:val="single" w:sz="4" w:space="0" w:color="auto"/>
                  </w:tcBorders>
                  <w:shd w:val="clear" w:color="auto" w:fill="auto"/>
                  <w:noWrap/>
                  <w:vAlign w:val="bottom"/>
                  <w:hideMark/>
                </w:tcPr>
                <w:p w14:paraId="03670914"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598 [1,136]</w:t>
                  </w:r>
                </w:p>
              </w:tc>
              <w:tc>
                <w:tcPr>
                  <w:tcW w:w="2400" w:type="dxa"/>
                  <w:tcBorders>
                    <w:top w:val="nil"/>
                    <w:left w:val="nil"/>
                    <w:bottom w:val="single" w:sz="4" w:space="0" w:color="auto"/>
                    <w:right w:val="single" w:sz="4" w:space="0" w:color="auto"/>
                  </w:tcBorders>
                  <w:shd w:val="clear" w:color="auto" w:fill="auto"/>
                  <w:noWrap/>
                  <w:vAlign w:val="bottom"/>
                  <w:hideMark/>
                </w:tcPr>
                <w:p w14:paraId="03670915"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NA</w:t>
                  </w:r>
                </w:p>
              </w:tc>
              <w:tc>
                <w:tcPr>
                  <w:tcW w:w="2400" w:type="dxa"/>
                  <w:tcBorders>
                    <w:top w:val="nil"/>
                    <w:left w:val="nil"/>
                    <w:bottom w:val="single" w:sz="4" w:space="0" w:color="auto"/>
                    <w:right w:val="single" w:sz="4" w:space="0" w:color="auto"/>
                  </w:tcBorders>
                  <w:shd w:val="clear" w:color="auto" w:fill="auto"/>
                  <w:noWrap/>
                  <w:vAlign w:val="bottom"/>
                  <w:hideMark/>
                </w:tcPr>
                <w:p w14:paraId="03670916" w14:textId="77777777" w:rsidR="00F354C8" w:rsidRPr="00B34A61" w:rsidRDefault="00F354C8" w:rsidP="00F354C8">
                  <w:pPr>
                    <w:spacing w:line="276" w:lineRule="auto"/>
                    <w:jc w:val="both"/>
                    <w:rPr>
                      <w:rFonts w:ascii="Arial" w:eastAsia="Times New Roman" w:hAnsi="Arial" w:cs="Arial"/>
                      <w:color w:val="000000"/>
                      <w:sz w:val="20"/>
                      <w:szCs w:val="20"/>
                    </w:rPr>
                  </w:pPr>
                  <w:r w:rsidRPr="00B34A61">
                    <w:rPr>
                      <w:rFonts w:ascii="Arial" w:eastAsia="Times New Roman" w:hAnsi="Arial" w:cs="Arial"/>
                      <w:color w:val="000000"/>
                      <w:sz w:val="20"/>
                      <w:szCs w:val="20"/>
                    </w:rPr>
                    <w:t>69,000</w:t>
                  </w:r>
                </w:p>
              </w:tc>
            </w:tr>
          </w:tbl>
          <w:p w14:paraId="03670918" w14:textId="77777777" w:rsidR="00360F5E" w:rsidRPr="00B34A61" w:rsidRDefault="005D6A90" w:rsidP="00360F5E">
            <w:pPr>
              <w:pStyle w:val="Paragraph"/>
              <w:rPr>
                <w:rFonts w:cs="Arial"/>
                <w:sz w:val="20"/>
                <w:szCs w:val="20"/>
                <w:lang w:val="en-US"/>
              </w:rPr>
            </w:pPr>
            <w:r w:rsidRPr="00B34A61">
              <w:rPr>
                <w:rFonts w:cs="Arial"/>
                <w:sz w:val="20"/>
                <w:szCs w:val="20"/>
                <w:lang w:val="en-US"/>
              </w:rPr>
              <w:t xml:space="preserve"> </w:t>
            </w:r>
          </w:p>
          <w:p w14:paraId="03670919" w14:textId="77777777" w:rsidR="00360F5E" w:rsidRPr="00B34A61" w:rsidRDefault="00F354C8" w:rsidP="00360F5E">
            <w:pPr>
              <w:jc w:val="both"/>
              <w:rPr>
                <w:rFonts w:ascii="Arial" w:hAnsi="Arial" w:cs="Arial"/>
                <w:sz w:val="20"/>
                <w:szCs w:val="20"/>
              </w:rPr>
            </w:pPr>
            <w:r w:rsidRPr="00B34A61">
              <w:rPr>
                <w:rFonts w:ascii="Arial" w:hAnsi="Arial" w:cs="Arial"/>
                <w:sz w:val="20"/>
                <w:szCs w:val="20"/>
              </w:rPr>
              <w:lastRenderedPageBreak/>
              <w:t>The intended beneficiaries of the Project will be small and medium companies (SMEs) that invest in RE and EE projects. An improved efficiency in the use and production of energy will also enable final consumers to benefit from greater and better availability of cleaner energy at competitive prices, and will allow the government to downscale current subsidies for fossil-fuel based generation. Finally, communities should benefit from positive externalities associated to the environmental and economic impacts of the Project.</w:t>
            </w:r>
          </w:p>
          <w:p w14:paraId="0367091A" w14:textId="77777777" w:rsidR="00F354C8" w:rsidRPr="00B34A61" w:rsidRDefault="00F354C8" w:rsidP="00360F5E">
            <w:pPr>
              <w:jc w:val="both"/>
              <w:rPr>
                <w:rFonts w:ascii="Arial" w:eastAsia="Times New Roman" w:hAnsi="Arial" w:cs="Arial"/>
                <w:sz w:val="20"/>
                <w:szCs w:val="20"/>
              </w:rPr>
            </w:pPr>
          </w:p>
        </w:tc>
      </w:tr>
      <w:tr w:rsidR="00360F5E" w:rsidRPr="00B34A61" w14:paraId="0367091D"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91C" w14:textId="77777777" w:rsidR="00360F5E" w:rsidRPr="00B34A61" w:rsidRDefault="00360F5E" w:rsidP="0032085B">
            <w:pPr>
              <w:pStyle w:val="ListParagraph"/>
              <w:numPr>
                <w:ilvl w:val="0"/>
                <w:numId w:val="6"/>
              </w:numPr>
              <w:rPr>
                <w:rFonts w:ascii="Arial" w:eastAsia="Times New Roman" w:hAnsi="Arial" w:cs="Arial"/>
                <w:b/>
                <w:bCs/>
                <w:sz w:val="20"/>
                <w:szCs w:val="20"/>
              </w:rPr>
            </w:pPr>
            <w:r w:rsidRPr="00B34A61">
              <w:rPr>
                <w:rFonts w:ascii="Arial" w:eastAsia="Times New Roman" w:hAnsi="Arial" w:cs="Arial"/>
                <w:b/>
                <w:bCs/>
                <w:sz w:val="20"/>
                <w:szCs w:val="20"/>
              </w:rPr>
              <w:lastRenderedPageBreak/>
              <w:t xml:space="preserve">Key Impacts, Risks, and Mitigation Measures </w:t>
            </w:r>
          </w:p>
        </w:tc>
      </w:tr>
      <w:tr w:rsidR="00360F5E" w:rsidRPr="00B34A61" w14:paraId="0367091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91E" w14:textId="6C90F666" w:rsidR="00360F5E" w:rsidRPr="00B34A61" w:rsidRDefault="00174928" w:rsidP="00174928">
            <w:pPr>
              <w:ind w:right="165"/>
              <w:jc w:val="both"/>
              <w:rPr>
                <w:rFonts w:ascii="Arial" w:eastAsia="Times New Roman" w:hAnsi="Arial" w:cs="Arial"/>
                <w:sz w:val="20"/>
                <w:szCs w:val="20"/>
              </w:rPr>
            </w:pPr>
            <w:r w:rsidRPr="00B34A61">
              <w:rPr>
                <w:rFonts w:ascii="Arial" w:eastAsia="Times New Roman" w:hAnsi="Arial" w:cs="Arial"/>
                <w:sz w:val="20"/>
                <w:szCs w:val="20"/>
                <w:shd w:val="clear" w:color="auto" w:fill="FFFFFF"/>
              </w:rPr>
              <w:t>In accordance with (i) the Directive B.13 of the Bank's Environmental and Social Safeguards policy (OP-703)</w:t>
            </w:r>
            <w:r w:rsidR="00F354C8" w:rsidRPr="00B34A61">
              <w:rPr>
                <w:rFonts w:ascii="Arial" w:eastAsia="Times New Roman" w:hAnsi="Arial" w:cs="Arial"/>
                <w:sz w:val="20"/>
                <w:szCs w:val="20"/>
                <w:shd w:val="clear" w:color="auto" w:fill="FFFFFF"/>
              </w:rPr>
              <w:t xml:space="preserve">, (ii) the size of the </w:t>
            </w:r>
            <w:r w:rsidR="00694CD4">
              <w:rPr>
                <w:rFonts w:ascii="Arial" w:eastAsia="Times New Roman" w:hAnsi="Arial" w:cs="Arial"/>
                <w:sz w:val="20"/>
                <w:szCs w:val="20"/>
                <w:shd w:val="clear" w:color="auto" w:fill="FFFFFF"/>
              </w:rPr>
              <w:t>project</w:t>
            </w:r>
            <w:r w:rsidR="00F354C8" w:rsidRPr="00B34A61">
              <w:rPr>
                <w:rFonts w:ascii="Arial" w:eastAsia="Times New Roman" w:hAnsi="Arial" w:cs="Arial"/>
                <w:sz w:val="20"/>
                <w:szCs w:val="20"/>
                <w:shd w:val="clear" w:color="auto" w:fill="FFFFFF"/>
              </w:rPr>
              <w:t xml:space="preserve"> </w:t>
            </w:r>
            <w:r w:rsidRPr="00B34A61">
              <w:rPr>
                <w:rFonts w:ascii="Arial" w:eastAsia="Times New Roman" w:hAnsi="Arial" w:cs="Arial"/>
                <w:sz w:val="20"/>
                <w:szCs w:val="20"/>
                <w:shd w:val="clear" w:color="auto" w:fill="FFFFFF"/>
              </w:rPr>
              <w:t>and (ii</w:t>
            </w:r>
            <w:r w:rsidR="00F354C8" w:rsidRPr="00B34A61">
              <w:rPr>
                <w:rFonts w:ascii="Arial" w:eastAsia="Times New Roman" w:hAnsi="Arial" w:cs="Arial"/>
                <w:sz w:val="20"/>
                <w:szCs w:val="20"/>
                <w:shd w:val="clear" w:color="auto" w:fill="FFFFFF"/>
              </w:rPr>
              <w:t>i</w:t>
            </w:r>
            <w:r w:rsidRPr="00B34A61">
              <w:rPr>
                <w:rFonts w:ascii="Arial" w:eastAsia="Times New Roman" w:hAnsi="Arial" w:cs="Arial"/>
                <w:sz w:val="20"/>
                <w:szCs w:val="20"/>
                <w:shd w:val="clear" w:color="auto" w:fill="FFFFFF"/>
              </w:rPr>
              <w:t xml:space="preserve">) the nature and magnitude of potential socio-environmental impacts of the eligible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s, the operation is considered as Financial Intermediation category FI-</w:t>
            </w:r>
            <w:r w:rsidR="00F354C8" w:rsidRPr="00B34A61">
              <w:rPr>
                <w:rFonts w:ascii="Arial" w:eastAsia="Times New Roman" w:hAnsi="Arial" w:cs="Arial"/>
                <w:sz w:val="20"/>
                <w:szCs w:val="20"/>
                <w:shd w:val="clear" w:color="auto" w:fill="FFFFFF"/>
              </w:rPr>
              <w:t>2</w:t>
            </w:r>
            <w:r w:rsidRPr="00B34A61">
              <w:rPr>
                <w:rFonts w:ascii="Arial" w:eastAsia="Times New Roman" w:hAnsi="Arial" w:cs="Arial"/>
                <w:sz w:val="20"/>
                <w:szCs w:val="20"/>
                <w:shd w:val="clear" w:color="auto" w:fill="FFFFFF"/>
              </w:rPr>
              <w:t xml:space="preserve">. </w:t>
            </w:r>
          </w:p>
        </w:tc>
      </w:tr>
      <w:tr w:rsidR="00360F5E" w:rsidRPr="00B34A61" w14:paraId="03670922"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20" w14:textId="77777777" w:rsidR="00360F5E" w:rsidRPr="00B34A61" w:rsidRDefault="00360F5E" w:rsidP="00360F5E">
            <w:pPr>
              <w:ind w:right="165"/>
              <w:rPr>
                <w:rFonts w:ascii="Arial" w:eastAsia="Times New Roman" w:hAnsi="Arial" w:cs="Arial"/>
                <w:b/>
                <w:sz w:val="20"/>
                <w:szCs w:val="20"/>
                <w:shd w:val="clear" w:color="auto" w:fill="FFFFFF"/>
              </w:rPr>
            </w:pPr>
            <w:r w:rsidRPr="00B34A61">
              <w:rPr>
                <w:rFonts w:ascii="Arial" w:eastAsia="Times New Roman" w:hAnsi="Arial" w:cs="Arial"/>
                <w:b/>
                <w:sz w:val="20"/>
                <w:szCs w:val="20"/>
              </w:rPr>
              <w:t xml:space="preserve">Assessment Requirements </w:t>
            </w:r>
          </w:p>
          <w:p w14:paraId="03670921" w14:textId="77777777" w:rsidR="00360F5E" w:rsidRPr="00B34A61" w:rsidRDefault="00360F5E" w:rsidP="00360F5E">
            <w:pPr>
              <w:ind w:right="165"/>
              <w:rPr>
                <w:rFonts w:ascii="Arial" w:eastAsia="Times New Roman" w:hAnsi="Arial" w:cs="Arial"/>
                <w:sz w:val="20"/>
                <w:szCs w:val="20"/>
                <w:shd w:val="clear" w:color="auto" w:fill="FFFFFF"/>
              </w:rPr>
            </w:pPr>
            <w:r w:rsidRPr="00B34A61">
              <w:rPr>
                <w:rFonts w:ascii="Arial" w:eastAsia="Times New Roman" w:hAnsi="Arial" w:cs="Arial"/>
                <w:sz w:val="20"/>
                <w:szCs w:val="20"/>
              </w:rPr>
              <w:t>OP-703 (Environment and Safeguards Compliance Policy): B.3 (Screening and Classification), B.4 (Other Risk Factors), B.5 (Environmental Assessment and Plans Requirements), and Assessment requirements of OP-710 (Involuntary Resettlement Policy), OP-765 (Indigenous Peoples Policy), OP-761 (Gender Equality in Development Policy), and OP-704 (Disaster Risk Management Policy) as applicable</w:t>
            </w:r>
          </w:p>
        </w:tc>
      </w:tr>
      <w:tr w:rsidR="00360F5E" w:rsidRPr="00B34A61" w14:paraId="03670924"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23" w14:textId="718EC428" w:rsidR="00360F5E" w:rsidRPr="00B34A61" w:rsidRDefault="00174928" w:rsidP="00360F5E">
            <w:pPr>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Following the Bank's guidelines and taking into account the characteristics of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the project team identified the potential negative impacts of the eligible subprojects and their main mitigation measures and evaluated the capacity that </w:t>
            </w:r>
            <w:r w:rsidR="00F354C8"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would have to manage these risks in compliance with the IDB safeguards.</w:t>
            </w:r>
          </w:p>
        </w:tc>
      </w:tr>
      <w:tr w:rsidR="00360F5E" w:rsidRPr="00B34A61" w14:paraId="03670927"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25"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Consultation</w:t>
            </w:r>
            <w:r w:rsidRPr="00B34A61">
              <w:rPr>
                <w:rFonts w:ascii="Arial" w:eastAsia="Times New Roman" w:hAnsi="Arial" w:cs="Arial"/>
                <w:b/>
                <w:sz w:val="20"/>
                <w:szCs w:val="20"/>
                <w:shd w:val="clear" w:color="auto" w:fill="FFFFFF"/>
              </w:rPr>
              <w:t xml:space="preserve"> </w:t>
            </w:r>
          </w:p>
          <w:p w14:paraId="03670926"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OP-703 (Environment and Safeguards Compliance Policy): B.6 (Consultation); and Consultation requirements of OP-710 (Involuntary Resettlement Policy), OP-765 (Indigenous Peoples Policy), OP-761 (Gender Equality in Development Policy), and OP-704 (Disaster Risk Management Policy) as applicable</w:t>
            </w:r>
          </w:p>
        </w:tc>
      </w:tr>
      <w:tr w:rsidR="00360F5E" w:rsidRPr="00B34A61" w14:paraId="0367092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28" w14:textId="77777777" w:rsidR="00F354C8" w:rsidRPr="00B34A61"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Only Cat </w:t>
            </w:r>
            <w:r w:rsidR="00F354C8" w:rsidRPr="00B34A61">
              <w:rPr>
                <w:rFonts w:ascii="Arial" w:eastAsia="Times New Roman" w:hAnsi="Arial" w:cs="Arial"/>
                <w:sz w:val="20"/>
                <w:szCs w:val="20"/>
                <w:shd w:val="clear" w:color="auto" w:fill="FFFFFF"/>
              </w:rPr>
              <w:t>B&amp;C</w:t>
            </w:r>
            <w:r w:rsidRPr="00B34A61">
              <w:rPr>
                <w:rFonts w:ascii="Arial" w:eastAsia="Times New Roman" w:hAnsi="Arial" w:cs="Arial"/>
                <w:sz w:val="20"/>
                <w:szCs w:val="20"/>
                <w:shd w:val="clear" w:color="auto" w:fill="FFFFFF"/>
              </w:rPr>
              <w:t xml:space="preserve"> subprojects are eligible for financing. </w:t>
            </w:r>
          </w:p>
          <w:p w14:paraId="03670929" w14:textId="77777777" w:rsidR="00360F5E" w:rsidRPr="00B34A61"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No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 level public consultation will be required</w:t>
            </w:r>
            <w:r w:rsidR="00F354C8" w:rsidRPr="00B34A61">
              <w:rPr>
                <w:rFonts w:ascii="Arial" w:eastAsia="Times New Roman" w:hAnsi="Arial" w:cs="Arial"/>
                <w:sz w:val="20"/>
                <w:szCs w:val="20"/>
                <w:shd w:val="clear" w:color="auto" w:fill="FFFFFF"/>
              </w:rPr>
              <w:t xml:space="preserve"> for C </w:t>
            </w:r>
            <w:r w:rsidR="00B44034" w:rsidRPr="00B34A61">
              <w:rPr>
                <w:rFonts w:ascii="Arial" w:eastAsia="Times New Roman" w:hAnsi="Arial" w:cs="Arial"/>
                <w:sz w:val="20"/>
                <w:szCs w:val="20"/>
                <w:shd w:val="clear" w:color="auto" w:fill="FFFFFF"/>
              </w:rPr>
              <w:t>subproject</w:t>
            </w:r>
            <w:r w:rsidR="00F354C8" w:rsidRPr="00B34A61">
              <w:rPr>
                <w:rFonts w:ascii="Arial" w:eastAsia="Times New Roman" w:hAnsi="Arial" w:cs="Arial"/>
                <w:sz w:val="20"/>
                <w:szCs w:val="20"/>
                <w:shd w:val="clear" w:color="auto" w:fill="FFFFFF"/>
              </w:rPr>
              <w:t>s</w:t>
            </w:r>
            <w:r w:rsidRPr="00B34A61">
              <w:rPr>
                <w:rFonts w:ascii="Arial" w:eastAsia="Times New Roman" w:hAnsi="Arial" w:cs="Arial"/>
                <w:sz w:val="20"/>
                <w:szCs w:val="20"/>
                <w:shd w:val="clear" w:color="auto" w:fill="FFFFFF"/>
              </w:rPr>
              <w:t xml:space="preserve">. </w:t>
            </w:r>
          </w:p>
          <w:p w14:paraId="0367092A" w14:textId="77777777" w:rsidR="00F354C8" w:rsidRPr="00B34A61" w:rsidRDefault="00F354C8" w:rsidP="00F354C8">
            <w:pPr>
              <w:pStyle w:val="ListParagraph"/>
              <w:numPr>
                <w:ilvl w:val="0"/>
                <w:numId w:val="5"/>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For Category B subprojects, an external consultancy will be contracted, with resources from Component 1 to realize an Environmental and Social Impact Assessment, and ensure that all subprojects to be financed with resources from the Project comply with the IDB safeguards. That will include the necessary stakeholders’ consultation - during subproject preparation phase – and according to the IDB guidelines, and the implementation of a subproject grievance mechanism.  </w:t>
            </w:r>
          </w:p>
          <w:p w14:paraId="0367092B" w14:textId="38A6839B" w:rsidR="00836447" w:rsidRPr="00B34A61"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At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level, consultations have been held with government officers, executing agency (</w:t>
            </w:r>
            <w:r w:rsidR="00F354C8"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commercial banks and technology providers to understand investment and financing challenges, in order to define the relevance of seeking GCF support and the relevant financial instruments and technical cooperation activities and to fine-tune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design. </w:t>
            </w:r>
          </w:p>
          <w:p w14:paraId="0367092C" w14:textId="7549A8A0" w:rsidR="00836447" w:rsidRPr="00B34A61" w:rsidRDefault="00F354C8" w:rsidP="00F354C8">
            <w:pPr>
              <w:pStyle w:val="ListParagraph"/>
              <w:numPr>
                <w:ilvl w:val="0"/>
                <w:numId w:val="5"/>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BICE</w:t>
            </w:r>
            <w:r w:rsidR="00836447" w:rsidRPr="00B34A61">
              <w:rPr>
                <w:rFonts w:ascii="Arial" w:eastAsia="Times New Roman" w:hAnsi="Arial" w:cs="Arial"/>
                <w:sz w:val="20"/>
                <w:szCs w:val="20"/>
                <w:shd w:val="clear" w:color="auto" w:fill="FFFFFF"/>
              </w:rPr>
              <w:t xml:space="preserve"> has a general information request system</w:t>
            </w:r>
            <w:r w:rsidR="00174928" w:rsidRPr="00B34A61">
              <w:rPr>
                <w:rFonts w:ascii="Arial" w:eastAsia="Times New Roman" w:hAnsi="Arial" w:cs="Arial"/>
                <w:sz w:val="20"/>
                <w:szCs w:val="20"/>
                <w:shd w:val="clear" w:color="auto" w:fill="FFFFFF"/>
              </w:rPr>
              <w:t xml:space="preserve"> </w:t>
            </w:r>
            <w:r w:rsidR="00836447" w:rsidRPr="00B34A61">
              <w:rPr>
                <w:rFonts w:ascii="Arial" w:eastAsia="Times New Roman" w:hAnsi="Arial" w:cs="Arial"/>
                <w:sz w:val="20"/>
                <w:szCs w:val="20"/>
                <w:shd w:val="clear" w:color="auto" w:fill="FFFFFF"/>
              </w:rPr>
              <w:t xml:space="preserve">in place: </w:t>
            </w:r>
            <w:hyperlink r:id="rId14" w:history="1">
              <w:r w:rsidRPr="00B34A61">
                <w:rPr>
                  <w:rFonts w:ascii="Arial" w:eastAsia="Times New Roman" w:hAnsi="Arial" w:cs="Arial"/>
                  <w:sz w:val="20"/>
                  <w:szCs w:val="20"/>
                  <w:shd w:val="clear" w:color="auto" w:fill="FFFFFF"/>
                </w:rPr>
                <w:t>https://www.bice.com.ar/es/contacto/</w:t>
              </w:r>
            </w:hyperlink>
            <w:r w:rsidRPr="00B34A61">
              <w:rPr>
                <w:rFonts w:ascii="Arial" w:eastAsia="Times New Roman" w:hAnsi="Arial" w:cs="Arial"/>
                <w:sz w:val="20"/>
                <w:szCs w:val="20"/>
                <w:shd w:val="clear" w:color="auto" w:fill="FFFFFF"/>
              </w:rPr>
              <w:t xml:space="preserve"> </w:t>
            </w:r>
            <w:r w:rsidR="00836447" w:rsidRPr="00B34A61">
              <w:rPr>
                <w:rFonts w:ascii="Arial" w:eastAsia="Times New Roman" w:hAnsi="Arial" w:cs="Arial"/>
                <w:sz w:val="20"/>
                <w:szCs w:val="20"/>
                <w:shd w:val="clear" w:color="auto" w:fill="FFFFFF"/>
              </w:rPr>
              <w:t xml:space="preserve"> and will also implement a grievance mechanism at the </w:t>
            </w:r>
            <w:r w:rsidR="00694CD4">
              <w:rPr>
                <w:rFonts w:ascii="Arial" w:eastAsia="Times New Roman" w:hAnsi="Arial" w:cs="Arial"/>
                <w:sz w:val="20"/>
                <w:szCs w:val="20"/>
                <w:shd w:val="clear" w:color="auto" w:fill="FFFFFF"/>
              </w:rPr>
              <w:t>project</w:t>
            </w:r>
            <w:r w:rsidR="00836447" w:rsidRPr="00B34A61">
              <w:rPr>
                <w:rFonts w:ascii="Arial" w:eastAsia="Times New Roman" w:hAnsi="Arial" w:cs="Arial"/>
                <w:sz w:val="20"/>
                <w:szCs w:val="20"/>
                <w:shd w:val="clear" w:color="auto" w:fill="FFFFFF"/>
              </w:rPr>
              <w:t xml:space="preserve"> level.</w:t>
            </w:r>
          </w:p>
        </w:tc>
      </w:tr>
      <w:tr w:rsidR="00360F5E" w:rsidRPr="00B34A61" w14:paraId="03670931"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367092E"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Information Disclosure</w:t>
            </w:r>
            <w:r w:rsidRPr="00B34A61">
              <w:rPr>
                <w:rFonts w:ascii="Arial" w:eastAsia="Times New Roman" w:hAnsi="Arial" w:cs="Arial"/>
                <w:b/>
                <w:sz w:val="20"/>
                <w:szCs w:val="20"/>
                <w:shd w:val="clear" w:color="auto" w:fill="FFFFFF"/>
              </w:rPr>
              <w:t xml:space="preserve"> </w:t>
            </w:r>
          </w:p>
          <w:p w14:paraId="0367092F"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OP-703 (Environment and Safeguards Compliance Policy): B.5 (Environmental Assessment and Plan Requirements) and Information Disclosure requirements of OP-710 (Involuntary Resettlement Policy), OP</w:t>
            </w:r>
            <w:r w:rsidR="00B44034" w:rsidRPr="00B34A61">
              <w:rPr>
                <w:rFonts w:ascii="Arial" w:eastAsia="Times New Roman" w:hAnsi="Arial" w:cs="Arial"/>
                <w:sz w:val="20"/>
                <w:szCs w:val="20"/>
              </w:rPr>
              <w:t>˗</w:t>
            </w:r>
            <w:r w:rsidRPr="00B34A61">
              <w:rPr>
                <w:rFonts w:ascii="Arial" w:eastAsia="Times New Roman" w:hAnsi="Arial" w:cs="Arial"/>
                <w:sz w:val="20"/>
                <w:szCs w:val="20"/>
              </w:rPr>
              <w:t>765 (Indigenous Peoples Policy), OP-761 (Gender Equality in Development Policy), and OP-704 (Disaster Risk Management Policy) as applicable;</w:t>
            </w:r>
          </w:p>
          <w:p w14:paraId="03670930"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OP-102 (Access to Information Policy)</w:t>
            </w:r>
          </w:p>
        </w:tc>
      </w:tr>
      <w:tr w:rsidR="00360F5E" w:rsidRPr="00B34A61" w14:paraId="03670936"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934" w14:textId="42A6D7AD" w:rsidR="00B44034" w:rsidRPr="00B34A61" w:rsidRDefault="00836447"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The IDB will </w:t>
            </w:r>
            <w:r w:rsidR="00823799" w:rsidRPr="00B34A61">
              <w:rPr>
                <w:rFonts w:ascii="Arial" w:eastAsia="Times New Roman" w:hAnsi="Arial" w:cs="Arial"/>
                <w:sz w:val="20"/>
                <w:szCs w:val="20"/>
                <w:shd w:val="clear" w:color="auto" w:fill="FFFFFF"/>
              </w:rPr>
              <w:t xml:space="preserve">publish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documents in compliance with OP-102.</w:t>
            </w:r>
            <w:r w:rsidR="00823799" w:rsidRPr="00B34A61">
              <w:rPr>
                <w:rFonts w:ascii="Arial" w:eastAsia="Times New Roman" w:hAnsi="Arial" w:cs="Arial"/>
                <w:sz w:val="20"/>
                <w:szCs w:val="20"/>
                <w:shd w:val="clear" w:color="auto" w:fill="FFFFFF"/>
              </w:rPr>
              <w:t xml:space="preserve"> </w:t>
            </w:r>
            <w:r w:rsidR="00F354C8" w:rsidRPr="00B34A61">
              <w:rPr>
                <w:rFonts w:ascii="Arial" w:eastAsia="Times New Roman" w:hAnsi="Arial" w:cs="Arial"/>
                <w:sz w:val="20"/>
                <w:szCs w:val="20"/>
                <w:shd w:val="clear" w:color="auto" w:fill="FFFFFF"/>
              </w:rPr>
              <w:t xml:space="preserve">For Category B projects, the Environmental Impact Assessment will be published </w:t>
            </w:r>
            <w:r w:rsidR="00BD597E" w:rsidRPr="00B34A61">
              <w:rPr>
                <w:rFonts w:ascii="Arial" w:eastAsia="Times New Roman" w:hAnsi="Arial" w:cs="Arial"/>
                <w:sz w:val="20"/>
                <w:szCs w:val="20"/>
                <w:shd w:val="clear" w:color="auto" w:fill="FFFFFF"/>
              </w:rPr>
              <w:t>as per OP-102 requirement, on BICE and/or the sub-borrower website</w:t>
            </w:r>
            <w:r w:rsidR="00F354C8" w:rsidRPr="00B34A61">
              <w:rPr>
                <w:rFonts w:ascii="Arial" w:eastAsia="Times New Roman" w:hAnsi="Arial" w:cs="Arial"/>
                <w:sz w:val="20"/>
                <w:szCs w:val="20"/>
                <w:shd w:val="clear" w:color="auto" w:fill="FFFFFF"/>
              </w:rPr>
              <w:t xml:space="preserve">. </w:t>
            </w:r>
          </w:p>
          <w:p w14:paraId="03670935" w14:textId="77777777" w:rsidR="00B44034" w:rsidRPr="00B34A61" w:rsidRDefault="00B44034" w:rsidP="00360F5E">
            <w:pPr>
              <w:ind w:right="165"/>
              <w:jc w:val="both"/>
              <w:rPr>
                <w:rFonts w:ascii="Arial" w:eastAsia="Times New Roman" w:hAnsi="Arial" w:cs="Arial"/>
                <w:sz w:val="20"/>
                <w:szCs w:val="20"/>
                <w:shd w:val="clear" w:color="auto" w:fill="FFFFFF"/>
              </w:rPr>
            </w:pPr>
          </w:p>
        </w:tc>
      </w:tr>
      <w:tr w:rsidR="00360F5E" w:rsidRPr="00B34A61" w14:paraId="0367093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37"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Environmental and Social Impacts and Risks and Mitigation Measures</w:t>
            </w:r>
          </w:p>
          <w:p w14:paraId="03670938"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OP-703 (Environment and Safeguards Compliance Policy): B5 (Environmental Assessment Requirements), B8 (Transboundary Impacts), B9 (Natural Habitats and Cultural Sites), B10 (Hazardous Materials), B11 (Pollution Prevention and Abatement), and B12 (Projects Under Construction)</w:t>
            </w:r>
          </w:p>
          <w:p w14:paraId="03670939"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OP-710 (Involuntary Resettlement Policy)</w:t>
            </w:r>
          </w:p>
          <w:p w14:paraId="0367093A"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OP-765 (Indigenous Peoples Policy)</w:t>
            </w:r>
          </w:p>
          <w:p w14:paraId="0367093B"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OP-704 (Disaster Risk Management Policy)</w:t>
            </w:r>
          </w:p>
          <w:p w14:paraId="0367093C"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OP-761 (Gender Equality in Development Policy)</w:t>
            </w:r>
          </w:p>
        </w:tc>
      </w:tr>
      <w:tr w:rsidR="00360F5E" w:rsidRPr="00B34A61" w14:paraId="0367097B"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3E" w14:textId="77777777" w:rsidR="00360F5E" w:rsidRPr="00B34A61" w:rsidRDefault="00360F5E" w:rsidP="00360F5E">
            <w:pPr>
              <w:ind w:right="165"/>
              <w:jc w:val="both"/>
              <w:rPr>
                <w:rFonts w:ascii="Arial" w:eastAsia="Times New Roman" w:hAnsi="Arial" w:cs="Arial"/>
                <w:sz w:val="20"/>
                <w:szCs w:val="20"/>
                <w:shd w:val="clear" w:color="auto" w:fill="FFFFFF"/>
              </w:rPr>
            </w:pPr>
          </w:p>
          <w:p w14:paraId="0367093F" w14:textId="24CB0991"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b/>
                <w:sz w:val="20"/>
                <w:szCs w:val="20"/>
                <w:shd w:val="clear" w:color="auto" w:fill="FFFFFF"/>
              </w:rPr>
              <w:t>Energy Efficiency projects</w:t>
            </w:r>
            <w:r w:rsidRPr="00B34A61">
              <w:rPr>
                <w:rFonts w:ascii="Arial" w:eastAsia="Times New Roman" w:hAnsi="Arial" w:cs="Arial"/>
                <w:sz w:val="20"/>
                <w:szCs w:val="20"/>
                <w:shd w:val="clear" w:color="auto" w:fill="FFFFFF"/>
              </w:rPr>
              <w:t xml:space="preserve">: those projects consist in the financing of replacement of old equipment for new – more energy efficient – equipment. They happen in existing small-scale operations (SMEs) and do not involve green field project. It is expected that the substitution of old technologies and equipment for new ones through the adoption of EE measures will result in energy savings and hence will have a positive impact on the environment and climate change by reducing GHG and other emissions. However, this type of project could have reduced benefits and/or limited adverse impacts on the environment if the substituted units are not withdrawn from circulation and are not properly disposed.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stipulates that replaced old equipment should be properly decommissioned and disposed to avoid GHG emissions leakages.</w:t>
            </w:r>
          </w:p>
          <w:p w14:paraId="03670940"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The potential negative E&amp;S impacts of the different types of EE projects are described below:</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6"/>
              <w:gridCol w:w="1600"/>
              <w:gridCol w:w="1436"/>
              <w:gridCol w:w="2112"/>
              <w:gridCol w:w="1415"/>
              <w:gridCol w:w="1661"/>
            </w:tblGrid>
            <w:tr w:rsidR="00FC5D5C" w:rsidRPr="00B34A61" w14:paraId="03670947" w14:textId="77777777" w:rsidTr="00987340">
              <w:trPr>
                <w:tblHeader/>
              </w:trPr>
              <w:tc>
                <w:tcPr>
                  <w:tcW w:w="791" w:type="pct"/>
                  <w:shd w:val="clear" w:color="auto" w:fill="D9D9D9"/>
                  <w:vAlign w:val="center"/>
                </w:tcPr>
                <w:p w14:paraId="03670941"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Project Type</w:t>
                  </w:r>
                </w:p>
              </w:tc>
              <w:tc>
                <w:tcPr>
                  <w:tcW w:w="819" w:type="pct"/>
                  <w:shd w:val="clear" w:color="auto" w:fill="D9D9D9"/>
                  <w:vAlign w:val="center"/>
                </w:tcPr>
                <w:p w14:paraId="03670942"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Description</w:t>
                  </w:r>
                </w:p>
              </w:tc>
              <w:tc>
                <w:tcPr>
                  <w:tcW w:w="735" w:type="pct"/>
                  <w:shd w:val="clear" w:color="auto" w:fill="D9D9D9"/>
                  <w:vAlign w:val="center"/>
                </w:tcPr>
                <w:p w14:paraId="03670943"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Associated Waste</w:t>
                  </w:r>
                </w:p>
              </w:tc>
              <w:tc>
                <w:tcPr>
                  <w:tcW w:w="1081" w:type="pct"/>
                  <w:shd w:val="clear" w:color="auto" w:fill="D9D9D9"/>
                  <w:vAlign w:val="center"/>
                </w:tcPr>
                <w:p w14:paraId="03670944"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Management</w:t>
                  </w:r>
                </w:p>
              </w:tc>
              <w:tc>
                <w:tcPr>
                  <w:tcW w:w="724" w:type="pct"/>
                  <w:shd w:val="clear" w:color="auto" w:fill="D9D9D9"/>
                  <w:vAlign w:val="center"/>
                </w:tcPr>
                <w:p w14:paraId="03670945"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Associated costs and revenues</w:t>
                  </w:r>
                </w:p>
              </w:tc>
              <w:tc>
                <w:tcPr>
                  <w:tcW w:w="850" w:type="pct"/>
                  <w:shd w:val="clear" w:color="auto" w:fill="D9D9D9"/>
                  <w:vAlign w:val="center"/>
                </w:tcPr>
                <w:p w14:paraId="03670946" w14:textId="77777777" w:rsidR="00FC5D5C" w:rsidRPr="00B34A61" w:rsidRDefault="00FC5D5C" w:rsidP="00FC5D5C">
                  <w:pPr>
                    <w:jc w:val="both"/>
                    <w:rPr>
                      <w:rFonts w:ascii="Arial" w:eastAsia="Cambria" w:hAnsi="Arial" w:cs="Arial"/>
                      <w:sz w:val="18"/>
                      <w:szCs w:val="18"/>
                      <w:lang w:eastAsia="es-ES"/>
                    </w:rPr>
                  </w:pPr>
                  <w:r w:rsidRPr="00B34A61">
                    <w:rPr>
                      <w:rFonts w:ascii="Arial" w:eastAsia="Cambria" w:hAnsi="Arial" w:cs="Arial"/>
                      <w:sz w:val="18"/>
                      <w:szCs w:val="18"/>
                      <w:lang w:eastAsia="es-ES"/>
                    </w:rPr>
                    <w:t>Potential environmental and social risks and impacts before management</w:t>
                  </w:r>
                </w:p>
              </w:tc>
            </w:tr>
            <w:tr w:rsidR="00FC5D5C" w:rsidRPr="00B34A61" w14:paraId="0367094E" w14:textId="77777777" w:rsidTr="00987340">
              <w:trPr>
                <w:trHeight w:val="1628"/>
              </w:trPr>
              <w:tc>
                <w:tcPr>
                  <w:tcW w:w="791" w:type="pct"/>
                  <w:tcBorders>
                    <w:bottom w:val="single" w:sz="4" w:space="0" w:color="auto"/>
                  </w:tcBorders>
                  <w:shd w:val="clear" w:color="auto" w:fill="auto"/>
                  <w:vAlign w:val="center"/>
                </w:tcPr>
                <w:p w14:paraId="03670948"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Solar water heaters</w:t>
                  </w:r>
                </w:p>
              </w:tc>
              <w:tc>
                <w:tcPr>
                  <w:tcW w:w="819" w:type="pct"/>
                  <w:tcBorders>
                    <w:bottom w:val="single" w:sz="4" w:space="0" w:color="auto"/>
                  </w:tcBorders>
                  <w:vAlign w:val="center"/>
                </w:tcPr>
                <w:p w14:paraId="03670949"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Substitution of old water heating systems with solar water heaters allowing the reduction of energy consumption and/or fossil fuel consumption</w:t>
                  </w:r>
                </w:p>
              </w:tc>
              <w:tc>
                <w:tcPr>
                  <w:tcW w:w="735" w:type="pct"/>
                  <w:tcBorders>
                    <w:bottom w:val="single" w:sz="4" w:space="0" w:color="auto"/>
                  </w:tcBorders>
                  <w:shd w:val="clear" w:color="auto" w:fill="auto"/>
                  <w:vAlign w:val="center"/>
                </w:tcPr>
                <w:p w14:paraId="0367094A"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Scrap</w:t>
                  </w:r>
                </w:p>
              </w:tc>
              <w:tc>
                <w:tcPr>
                  <w:tcW w:w="1081" w:type="pct"/>
                  <w:tcBorders>
                    <w:bottom w:val="single" w:sz="4" w:space="0" w:color="auto"/>
                  </w:tcBorders>
                  <w:shd w:val="clear" w:color="auto" w:fill="auto"/>
                  <w:vAlign w:val="center"/>
                </w:tcPr>
                <w:p w14:paraId="0367094B"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 xml:space="preserve">Decommission (based on a </w:t>
                  </w:r>
                  <w:r w:rsidRPr="00B34A61">
                    <w:rPr>
                      <w:rFonts w:ascii="Arial" w:hAnsi="Arial" w:cs="Arial"/>
                      <w:sz w:val="18"/>
                      <w:szCs w:val="18"/>
                    </w:rPr>
                    <w:t>Decommissioning and Disposal Protocol)</w:t>
                  </w:r>
                </w:p>
              </w:tc>
              <w:tc>
                <w:tcPr>
                  <w:tcW w:w="724" w:type="pct"/>
                  <w:tcBorders>
                    <w:bottom w:val="single" w:sz="4" w:space="0" w:color="auto"/>
                  </w:tcBorders>
                  <w:shd w:val="clear" w:color="auto" w:fill="auto"/>
                  <w:vAlign w:val="center"/>
                </w:tcPr>
                <w:p w14:paraId="0367094C"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Costs of disassembling and shipping.</w:t>
                  </w:r>
                </w:p>
              </w:tc>
              <w:tc>
                <w:tcPr>
                  <w:tcW w:w="850" w:type="pct"/>
                  <w:tcBorders>
                    <w:bottom w:val="single" w:sz="4" w:space="0" w:color="auto"/>
                  </w:tcBorders>
                  <w:shd w:val="clear" w:color="auto" w:fill="auto"/>
                  <w:vAlign w:val="center"/>
                </w:tcPr>
                <w:p w14:paraId="0367094D"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Soil contamination and reduced solid waste storage capacity in sanitary landfills</w:t>
                  </w:r>
                </w:p>
              </w:tc>
            </w:tr>
            <w:tr w:rsidR="00FC5D5C" w:rsidRPr="00B34A61" w14:paraId="03670955" w14:textId="77777777" w:rsidTr="00987340">
              <w:trPr>
                <w:trHeight w:val="1628"/>
              </w:trPr>
              <w:tc>
                <w:tcPr>
                  <w:tcW w:w="791" w:type="pct"/>
                  <w:tcBorders>
                    <w:bottom w:val="single" w:sz="4" w:space="0" w:color="auto"/>
                  </w:tcBorders>
                  <w:shd w:val="clear" w:color="auto" w:fill="auto"/>
                  <w:vAlign w:val="center"/>
                </w:tcPr>
                <w:p w14:paraId="0367094F"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Air conditioning</w:t>
                  </w:r>
                </w:p>
              </w:tc>
              <w:tc>
                <w:tcPr>
                  <w:tcW w:w="819" w:type="pct"/>
                  <w:tcBorders>
                    <w:bottom w:val="single" w:sz="4" w:space="0" w:color="auto"/>
                  </w:tcBorders>
                  <w:vAlign w:val="center"/>
                </w:tcPr>
                <w:p w14:paraId="03670950"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Substitution of old air-conditioning equipment with new energy efficient equipment that contain efficient, less polluting refrigerants (and no substances with high Ozone Depletion Potential)</w:t>
                  </w:r>
                </w:p>
              </w:tc>
              <w:tc>
                <w:tcPr>
                  <w:tcW w:w="735" w:type="pct"/>
                  <w:tcBorders>
                    <w:bottom w:val="single" w:sz="4" w:space="0" w:color="auto"/>
                  </w:tcBorders>
                  <w:shd w:val="clear" w:color="auto" w:fill="auto"/>
                  <w:vAlign w:val="center"/>
                </w:tcPr>
                <w:p w14:paraId="03670951"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Hazardous waste: ozone depleting substances (HCFC, CFC), and scrap</w:t>
                  </w:r>
                </w:p>
              </w:tc>
              <w:tc>
                <w:tcPr>
                  <w:tcW w:w="1081" w:type="pct"/>
                  <w:tcBorders>
                    <w:bottom w:val="single" w:sz="4" w:space="0" w:color="auto"/>
                  </w:tcBorders>
                  <w:shd w:val="clear" w:color="auto" w:fill="auto"/>
                  <w:vAlign w:val="center"/>
                </w:tcPr>
                <w:p w14:paraId="03670952"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Final disposal of CFC or HCFC and commercialization of scrap</w:t>
                  </w:r>
                </w:p>
              </w:tc>
              <w:tc>
                <w:tcPr>
                  <w:tcW w:w="724" w:type="pct"/>
                  <w:tcBorders>
                    <w:bottom w:val="single" w:sz="4" w:space="0" w:color="auto"/>
                  </w:tcBorders>
                  <w:shd w:val="clear" w:color="auto" w:fill="auto"/>
                  <w:vAlign w:val="center"/>
                </w:tcPr>
                <w:p w14:paraId="03670953"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Costs of treatment by competent and approved third party</w:t>
                  </w:r>
                </w:p>
              </w:tc>
              <w:tc>
                <w:tcPr>
                  <w:tcW w:w="850" w:type="pct"/>
                  <w:tcBorders>
                    <w:bottom w:val="single" w:sz="4" w:space="0" w:color="auto"/>
                  </w:tcBorders>
                  <w:shd w:val="clear" w:color="auto" w:fill="auto"/>
                  <w:vAlign w:val="center"/>
                </w:tcPr>
                <w:p w14:paraId="03670954"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Release of ozone depleting substances to the atmosphere</w:t>
                  </w:r>
                </w:p>
              </w:tc>
            </w:tr>
            <w:tr w:rsidR="00FC5D5C" w:rsidRPr="00B34A61" w14:paraId="0367095C" w14:textId="77777777" w:rsidTr="00987340">
              <w:trPr>
                <w:trHeight w:val="77"/>
              </w:trPr>
              <w:tc>
                <w:tcPr>
                  <w:tcW w:w="791" w:type="pct"/>
                  <w:tcBorders>
                    <w:top w:val="single" w:sz="4" w:space="0" w:color="auto"/>
                    <w:bottom w:val="single" w:sz="4" w:space="0" w:color="auto"/>
                  </w:tcBorders>
                  <w:shd w:val="clear" w:color="auto" w:fill="auto"/>
                  <w:vAlign w:val="center"/>
                </w:tcPr>
                <w:p w14:paraId="03670956" w14:textId="77777777" w:rsidR="00FC5D5C" w:rsidRPr="00B34A61" w:rsidRDefault="00FC5D5C" w:rsidP="00FC5D5C">
                  <w:pPr>
                    <w:rPr>
                      <w:rFonts w:ascii="Arial" w:eastAsia="Cambria" w:hAnsi="Arial" w:cs="Arial"/>
                      <w:sz w:val="18"/>
                      <w:szCs w:val="18"/>
                      <w:lang w:eastAsia="es-ES"/>
                    </w:rPr>
                  </w:pPr>
                  <w:r w:rsidRPr="00B34A61">
                    <w:rPr>
                      <w:rFonts w:ascii="Arial" w:hAnsi="Arial" w:cs="Arial"/>
                      <w:sz w:val="18"/>
                      <w:szCs w:val="18"/>
                    </w:rPr>
                    <w:t>Boilers</w:t>
                  </w:r>
                </w:p>
              </w:tc>
              <w:tc>
                <w:tcPr>
                  <w:tcW w:w="819" w:type="pct"/>
                  <w:tcBorders>
                    <w:top w:val="single" w:sz="4" w:space="0" w:color="auto"/>
                    <w:bottom w:val="single" w:sz="4" w:space="0" w:color="auto"/>
                  </w:tcBorders>
                  <w:vAlign w:val="center"/>
                </w:tcPr>
                <w:p w14:paraId="03670957"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Replacement of old furnace/ boiler / water heater systems with new equipment consuming less fuel and/or energy.</w:t>
                  </w:r>
                </w:p>
              </w:tc>
              <w:tc>
                <w:tcPr>
                  <w:tcW w:w="735" w:type="pct"/>
                  <w:tcBorders>
                    <w:top w:val="single" w:sz="4" w:space="0" w:color="auto"/>
                    <w:bottom w:val="single" w:sz="4" w:space="0" w:color="auto"/>
                  </w:tcBorders>
                  <w:shd w:val="clear" w:color="auto" w:fill="auto"/>
                  <w:vAlign w:val="center"/>
                </w:tcPr>
                <w:p w14:paraId="03670958"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Scrap</w:t>
                  </w:r>
                </w:p>
              </w:tc>
              <w:tc>
                <w:tcPr>
                  <w:tcW w:w="1081" w:type="pct"/>
                  <w:tcBorders>
                    <w:top w:val="single" w:sz="4" w:space="0" w:color="auto"/>
                    <w:bottom w:val="single" w:sz="4" w:space="0" w:color="auto"/>
                  </w:tcBorders>
                  <w:shd w:val="clear" w:color="auto" w:fill="auto"/>
                  <w:vAlign w:val="center"/>
                </w:tcPr>
                <w:p w14:paraId="03670959"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 xml:space="preserve">Decommission (based on a </w:t>
                  </w:r>
                  <w:r w:rsidRPr="00B34A61">
                    <w:rPr>
                      <w:rFonts w:ascii="Arial" w:hAnsi="Arial" w:cs="Arial"/>
                      <w:sz w:val="18"/>
                      <w:szCs w:val="18"/>
                    </w:rPr>
                    <w:t>Decommissioning and Disposal Protocol)</w:t>
                  </w:r>
                </w:p>
              </w:tc>
              <w:tc>
                <w:tcPr>
                  <w:tcW w:w="724" w:type="pct"/>
                  <w:tcBorders>
                    <w:top w:val="single" w:sz="4" w:space="0" w:color="auto"/>
                    <w:bottom w:val="single" w:sz="4" w:space="0" w:color="auto"/>
                  </w:tcBorders>
                  <w:shd w:val="clear" w:color="auto" w:fill="auto"/>
                  <w:vAlign w:val="center"/>
                </w:tcPr>
                <w:p w14:paraId="0367095A"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Costs of disassembling and shipping.</w:t>
                  </w:r>
                </w:p>
              </w:tc>
              <w:tc>
                <w:tcPr>
                  <w:tcW w:w="850" w:type="pct"/>
                  <w:tcBorders>
                    <w:top w:val="single" w:sz="4" w:space="0" w:color="auto"/>
                    <w:bottom w:val="single" w:sz="4" w:space="0" w:color="auto"/>
                  </w:tcBorders>
                  <w:shd w:val="clear" w:color="auto" w:fill="auto"/>
                  <w:vAlign w:val="center"/>
                </w:tcPr>
                <w:p w14:paraId="0367095B"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Soil contamination and reduced solid waste storage capacity in sanitary landfills</w:t>
                  </w:r>
                </w:p>
              </w:tc>
            </w:tr>
            <w:tr w:rsidR="00FC5D5C" w:rsidRPr="00B34A61" w14:paraId="03670963" w14:textId="77777777" w:rsidTr="00987340">
              <w:trPr>
                <w:trHeight w:val="77"/>
              </w:trPr>
              <w:tc>
                <w:tcPr>
                  <w:tcW w:w="791" w:type="pct"/>
                  <w:tcBorders>
                    <w:top w:val="single" w:sz="4" w:space="0" w:color="auto"/>
                    <w:bottom w:val="single" w:sz="4" w:space="0" w:color="auto"/>
                  </w:tcBorders>
                  <w:shd w:val="clear" w:color="auto" w:fill="auto"/>
                  <w:vAlign w:val="center"/>
                </w:tcPr>
                <w:p w14:paraId="0367095D" w14:textId="77777777" w:rsidR="00FC5D5C" w:rsidRPr="00B34A61" w:rsidRDefault="00FC5D5C" w:rsidP="00FC5D5C">
                  <w:pPr>
                    <w:rPr>
                      <w:rFonts w:ascii="Arial" w:hAnsi="Arial" w:cs="Arial"/>
                      <w:sz w:val="18"/>
                      <w:szCs w:val="18"/>
                    </w:rPr>
                  </w:pPr>
                  <w:r w:rsidRPr="00B34A61">
                    <w:rPr>
                      <w:rFonts w:ascii="Arial" w:hAnsi="Arial" w:cs="Arial"/>
                      <w:sz w:val="18"/>
                      <w:szCs w:val="18"/>
                    </w:rPr>
                    <w:t>Refrigeration chambers</w:t>
                  </w:r>
                </w:p>
              </w:tc>
              <w:tc>
                <w:tcPr>
                  <w:tcW w:w="819" w:type="pct"/>
                  <w:tcBorders>
                    <w:top w:val="single" w:sz="4" w:space="0" w:color="auto"/>
                    <w:bottom w:val="single" w:sz="4" w:space="0" w:color="auto"/>
                  </w:tcBorders>
                  <w:vAlign w:val="center"/>
                </w:tcPr>
                <w:p w14:paraId="0367095E"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 xml:space="preserve">Substitution of old equipment with new energy efficient equipment that contain efficient, less polluting refrigerants (and no substances with high Ozone </w:t>
                  </w:r>
                  <w:r w:rsidRPr="00B34A61">
                    <w:rPr>
                      <w:rFonts w:ascii="Arial" w:eastAsia="Cambria" w:hAnsi="Arial" w:cs="Arial"/>
                      <w:sz w:val="18"/>
                      <w:szCs w:val="18"/>
                      <w:lang w:eastAsia="es-ES"/>
                    </w:rPr>
                    <w:lastRenderedPageBreak/>
                    <w:t>Depletion Potential)</w:t>
                  </w:r>
                </w:p>
              </w:tc>
              <w:tc>
                <w:tcPr>
                  <w:tcW w:w="735" w:type="pct"/>
                  <w:tcBorders>
                    <w:top w:val="single" w:sz="4" w:space="0" w:color="auto"/>
                    <w:bottom w:val="single" w:sz="4" w:space="0" w:color="auto"/>
                  </w:tcBorders>
                  <w:shd w:val="clear" w:color="auto" w:fill="auto"/>
                  <w:vAlign w:val="center"/>
                </w:tcPr>
                <w:p w14:paraId="0367095F"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lastRenderedPageBreak/>
                    <w:t>Hazardous waste: ozone depleting substances (HCFC, CFC), and scrap</w:t>
                  </w:r>
                </w:p>
              </w:tc>
              <w:tc>
                <w:tcPr>
                  <w:tcW w:w="1081" w:type="pct"/>
                  <w:tcBorders>
                    <w:top w:val="single" w:sz="4" w:space="0" w:color="auto"/>
                    <w:bottom w:val="single" w:sz="4" w:space="0" w:color="auto"/>
                  </w:tcBorders>
                  <w:shd w:val="clear" w:color="auto" w:fill="auto"/>
                  <w:vAlign w:val="center"/>
                </w:tcPr>
                <w:p w14:paraId="03670960"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Final disposal of CFC or HCFC and commercialization of scrap</w:t>
                  </w:r>
                </w:p>
              </w:tc>
              <w:tc>
                <w:tcPr>
                  <w:tcW w:w="724" w:type="pct"/>
                  <w:tcBorders>
                    <w:top w:val="single" w:sz="4" w:space="0" w:color="auto"/>
                    <w:bottom w:val="single" w:sz="4" w:space="0" w:color="auto"/>
                  </w:tcBorders>
                  <w:shd w:val="clear" w:color="auto" w:fill="auto"/>
                  <w:vAlign w:val="center"/>
                </w:tcPr>
                <w:p w14:paraId="03670961"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Costs of treatment by competent and approved third party</w:t>
                  </w:r>
                </w:p>
              </w:tc>
              <w:tc>
                <w:tcPr>
                  <w:tcW w:w="850" w:type="pct"/>
                  <w:tcBorders>
                    <w:top w:val="single" w:sz="4" w:space="0" w:color="auto"/>
                    <w:bottom w:val="single" w:sz="4" w:space="0" w:color="auto"/>
                  </w:tcBorders>
                  <w:shd w:val="clear" w:color="auto" w:fill="auto"/>
                  <w:vAlign w:val="center"/>
                </w:tcPr>
                <w:p w14:paraId="03670962"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Release of ozone depleting substances to the atmosphere</w:t>
                  </w:r>
                </w:p>
              </w:tc>
            </w:tr>
            <w:tr w:rsidR="00FC5D5C" w:rsidRPr="00B34A61" w14:paraId="0367096A" w14:textId="77777777" w:rsidTr="00987340">
              <w:trPr>
                <w:trHeight w:val="77"/>
              </w:trPr>
              <w:tc>
                <w:tcPr>
                  <w:tcW w:w="791" w:type="pct"/>
                  <w:tcBorders>
                    <w:top w:val="single" w:sz="4" w:space="0" w:color="auto"/>
                    <w:bottom w:val="single" w:sz="4" w:space="0" w:color="auto"/>
                  </w:tcBorders>
                  <w:shd w:val="clear" w:color="auto" w:fill="auto"/>
                  <w:vAlign w:val="center"/>
                </w:tcPr>
                <w:p w14:paraId="03670964" w14:textId="77777777" w:rsidR="00FC5D5C" w:rsidRPr="00B34A61" w:rsidRDefault="00FC5D5C" w:rsidP="00FC5D5C">
                  <w:pPr>
                    <w:rPr>
                      <w:rFonts w:ascii="Arial" w:hAnsi="Arial" w:cs="Arial"/>
                      <w:sz w:val="18"/>
                      <w:szCs w:val="18"/>
                    </w:rPr>
                  </w:pPr>
                  <w:r w:rsidRPr="00B34A61">
                    <w:rPr>
                      <w:rFonts w:ascii="Arial" w:hAnsi="Arial" w:cs="Arial"/>
                      <w:sz w:val="18"/>
                      <w:szCs w:val="18"/>
                    </w:rPr>
                    <w:t>Motors</w:t>
                  </w:r>
                </w:p>
              </w:tc>
              <w:tc>
                <w:tcPr>
                  <w:tcW w:w="819" w:type="pct"/>
                  <w:tcBorders>
                    <w:top w:val="single" w:sz="4" w:space="0" w:color="auto"/>
                    <w:bottom w:val="single" w:sz="4" w:space="0" w:color="auto"/>
                  </w:tcBorders>
                  <w:vAlign w:val="center"/>
                </w:tcPr>
                <w:p w14:paraId="03670965"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Replacement of old motors with new equipment consuming less fuel and/or energy.</w:t>
                  </w:r>
                </w:p>
              </w:tc>
              <w:tc>
                <w:tcPr>
                  <w:tcW w:w="735" w:type="pct"/>
                  <w:tcBorders>
                    <w:top w:val="single" w:sz="4" w:space="0" w:color="auto"/>
                    <w:bottom w:val="single" w:sz="4" w:space="0" w:color="auto"/>
                  </w:tcBorders>
                  <w:shd w:val="clear" w:color="auto" w:fill="auto"/>
                  <w:vAlign w:val="center"/>
                </w:tcPr>
                <w:p w14:paraId="03670966"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Scrap</w:t>
                  </w:r>
                </w:p>
              </w:tc>
              <w:tc>
                <w:tcPr>
                  <w:tcW w:w="1081" w:type="pct"/>
                  <w:tcBorders>
                    <w:top w:val="single" w:sz="4" w:space="0" w:color="auto"/>
                    <w:bottom w:val="single" w:sz="4" w:space="0" w:color="auto"/>
                  </w:tcBorders>
                  <w:shd w:val="clear" w:color="auto" w:fill="auto"/>
                  <w:vAlign w:val="center"/>
                </w:tcPr>
                <w:p w14:paraId="03670967"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 xml:space="preserve">Decommission (based on a </w:t>
                  </w:r>
                  <w:r w:rsidRPr="00B34A61">
                    <w:rPr>
                      <w:rFonts w:ascii="Arial" w:hAnsi="Arial" w:cs="Arial"/>
                      <w:sz w:val="18"/>
                      <w:szCs w:val="18"/>
                    </w:rPr>
                    <w:t>Decommissioning and Disposal Protocol)</w:t>
                  </w:r>
                </w:p>
              </w:tc>
              <w:tc>
                <w:tcPr>
                  <w:tcW w:w="724" w:type="pct"/>
                  <w:tcBorders>
                    <w:top w:val="single" w:sz="4" w:space="0" w:color="auto"/>
                    <w:bottom w:val="single" w:sz="4" w:space="0" w:color="auto"/>
                  </w:tcBorders>
                  <w:shd w:val="clear" w:color="auto" w:fill="auto"/>
                  <w:vAlign w:val="center"/>
                </w:tcPr>
                <w:p w14:paraId="03670968"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Costs of disassembling and shipping.</w:t>
                  </w:r>
                </w:p>
              </w:tc>
              <w:tc>
                <w:tcPr>
                  <w:tcW w:w="850" w:type="pct"/>
                  <w:tcBorders>
                    <w:top w:val="single" w:sz="4" w:space="0" w:color="auto"/>
                    <w:bottom w:val="single" w:sz="4" w:space="0" w:color="auto"/>
                  </w:tcBorders>
                  <w:shd w:val="clear" w:color="auto" w:fill="auto"/>
                  <w:vAlign w:val="center"/>
                </w:tcPr>
                <w:p w14:paraId="03670969" w14:textId="77777777" w:rsidR="00FC5D5C" w:rsidRPr="00B34A61" w:rsidRDefault="00FC5D5C" w:rsidP="00FC5D5C">
                  <w:pPr>
                    <w:rPr>
                      <w:rFonts w:ascii="Arial" w:eastAsia="Cambria" w:hAnsi="Arial" w:cs="Arial"/>
                      <w:sz w:val="18"/>
                      <w:szCs w:val="18"/>
                      <w:lang w:eastAsia="es-ES"/>
                    </w:rPr>
                  </w:pPr>
                  <w:r w:rsidRPr="00B34A61">
                    <w:rPr>
                      <w:rFonts w:ascii="Arial" w:eastAsia="Cambria" w:hAnsi="Arial" w:cs="Arial"/>
                      <w:sz w:val="18"/>
                      <w:szCs w:val="18"/>
                      <w:lang w:eastAsia="es-ES"/>
                    </w:rPr>
                    <w:t>Soil contamination and reduced solid waste storage capacity in sanitary landfills</w:t>
                  </w:r>
                </w:p>
              </w:tc>
            </w:tr>
          </w:tbl>
          <w:p w14:paraId="0367096B" w14:textId="77777777" w:rsidR="00360F5E" w:rsidRPr="00B34A61" w:rsidRDefault="00360F5E" w:rsidP="00360F5E">
            <w:pPr>
              <w:ind w:right="165"/>
              <w:jc w:val="both"/>
              <w:rPr>
                <w:rFonts w:ascii="Arial" w:eastAsia="Times New Roman" w:hAnsi="Arial" w:cs="Arial"/>
                <w:sz w:val="20"/>
                <w:szCs w:val="20"/>
                <w:shd w:val="clear" w:color="auto" w:fill="FFFFFF"/>
              </w:rPr>
            </w:pPr>
          </w:p>
          <w:p w14:paraId="0367096C" w14:textId="77777777" w:rsidR="00360F5E" w:rsidRPr="00B34A61" w:rsidRDefault="00360F5E" w:rsidP="00360F5E">
            <w:pPr>
              <w:ind w:right="165"/>
              <w:jc w:val="both"/>
              <w:rPr>
                <w:rFonts w:ascii="Arial" w:eastAsia="Times New Roman" w:hAnsi="Arial" w:cs="Arial"/>
                <w:sz w:val="20"/>
                <w:szCs w:val="20"/>
                <w:shd w:val="clear" w:color="auto" w:fill="FFFFFF"/>
              </w:rPr>
            </w:pPr>
          </w:p>
          <w:p w14:paraId="0367096D" w14:textId="06BDBA70" w:rsidR="00360F5E" w:rsidRDefault="00360F5E" w:rsidP="00360F5E">
            <w:pPr>
              <w:jc w:val="both"/>
              <w:rPr>
                <w:rFonts w:ascii="Arial" w:hAnsi="Arial" w:cs="Arial"/>
                <w:sz w:val="20"/>
                <w:szCs w:val="20"/>
              </w:rPr>
            </w:pPr>
            <w:r w:rsidRPr="00B34A61">
              <w:rPr>
                <w:rFonts w:ascii="Arial" w:hAnsi="Arial" w:cs="Arial"/>
                <w:sz w:val="20"/>
                <w:szCs w:val="20"/>
              </w:rPr>
              <w:t xml:space="preserve">A Decommissioning and Disposal protocol will be designed and implemented during the project implementation phase.  The protocol will be based on the following principles: </w:t>
            </w:r>
          </w:p>
          <w:p w14:paraId="37A60A45" w14:textId="77777777" w:rsidR="007D669A" w:rsidRPr="00B34A61" w:rsidRDefault="007D669A" w:rsidP="00360F5E">
            <w:pPr>
              <w:jc w:val="both"/>
              <w:rPr>
                <w:rFonts w:ascii="Arial" w:hAnsi="Arial" w:cs="Arial"/>
                <w:sz w:val="20"/>
                <w:szCs w:val="20"/>
              </w:rPr>
            </w:pPr>
          </w:p>
          <w:p w14:paraId="0367096E" w14:textId="77777777" w:rsidR="00360F5E" w:rsidRPr="00B34A61" w:rsidRDefault="00360F5E" w:rsidP="007D669A">
            <w:pPr>
              <w:pStyle w:val="ListParagraph"/>
              <w:numPr>
                <w:ilvl w:val="0"/>
                <w:numId w:val="9"/>
              </w:numPr>
              <w:contextualSpacing w:val="0"/>
              <w:jc w:val="both"/>
              <w:rPr>
                <w:rFonts w:ascii="Arial" w:hAnsi="Arial" w:cs="Arial"/>
                <w:sz w:val="20"/>
                <w:szCs w:val="20"/>
              </w:rPr>
            </w:pPr>
            <w:r w:rsidRPr="00B34A61">
              <w:rPr>
                <w:rFonts w:ascii="Arial" w:hAnsi="Arial" w:cs="Arial"/>
                <w:sz w:val="20"/>
                <w:szCs w:val="20"/>
              </w:rPr>
              <w:t>Replaced equipment will have to be handled in a technically appropriate manner to ensure that its disposal is (i) final, (ii) undertaken in accordance with all relevant national regulations and (iii)</w:t>
            </w:r>
            <w:r w:rsidR="00B44034" w:rsidRPr="00B34A61">
              <w:rPr>
                <w:rFonts w:ascii="Arial" w:hAnsi="Arial" w:cs="Arial"/>
                <w:sz w:val="20"/>
                <w:szCs w:val="20"/>
              </w:rPr>
              <w:t> </w:t>
            </w:r>
            <w:r w:rsidRPr="00B34A61">
              <w:rPr>
                <w:rFonts w:ascii="Arial" w:hAnsi="Arial" w:cs="Arial"/>
                <w:sz w:val="20"/>
                <w:szCs w:val="20"/>
              </w:rPr>
              <w:t xml:space="preserve">undertaken with the assistance of national licensed or certified waste management service provider. </w:t>
            </w:r>
          </w:p>
          <w:p w14:paraId="0367096F" w14:textId="77777777" w:rsidR="00360F5E" w:rsidRPr="00B34A61" w:rsidRDefault="00360F5E" w:rsidP="007D669A">
            <w:pPr>
              <w:pStyle w:val="ListParagraph"/>
              <w:numPr>
                <w:ilvl w:val="0"/>
                <w:numId w:val="9"/>
              </w:numPr>
              <w:contextualSpacing w:val="0"/>
              <w:jc w:val="both"/>
              <w:rPr>
                <w:rFonts w:ascii="Arial" w:hAnsi="Arial" w:cs="Arial"/>
                <w:sz w:val="20"/>
                <w:szCs w:val="20"/>
              </w:rPr>
            </w:pPr>
            <w:r w:rsidRPr="00B34A61">
              <w:rPr>
                <w:rFonts w:ascii="Arial" w:hAnsi="Arial" w:cs="Arial"/>
                <w:sz w:val="20"/>
                <w:szCs w:val="20"/>
              </w:rPr>
              <w:t xml:space="preserve">The Project verification scheme will include verification of compliance with the Project Decommissioning and Disposal Protocol. </w:t>
            </w:r>
          </w:p>
          <w:p w14:paraId="03670970" w14:textId="77777777" w:rsidR="00360F5E" w:rsidRPr="00B34A61" w:rsidRDefault="00360F5E" w:rsidP="007D669A">
            <w:pPr>
              <w:pStyle w:val="ListParagraph"/>
              <w:numPr>
                <w:ilvl w:val="0"/>
                <w:numId w:val="9"/>
              </w:numPr>
              <w:contextualSpacing w:val="0"/>
              <w:jc w:val="both"/>
              <w:rPr>
                <w:rFonts w:ascii="Arial" w:hAnsi="Arial" w:cs="Arial"/>
                <w:sz w:val="20"/>
                <w:szCs w:val="20"/>
              </w:rPr>
            </w:pPr>
            <w:r w:rsidRPr="00B34A61">
              <w:rPr>
                <w:rFonts w:ascii="Arial" w:hAnsi="Arial" w:cs="Arial"/>
                <w:sz w:val="20"/>
                <w:szCs w:val="20"/>
              </w:rPr>
              <w:t xml:space="preserve">If for any reason a Project beneficiary fails to decommission and dispose any substituted equipment according to the Project Decommissioning and Disposal Protocol, it will be forced to repay the loan immediately and may be subject to regulatory sanctions as established in relevant laws and regulations of the country. </w:t>
            </w:r>
          </w:p>
          <w:p w14:paraId="502FE5AB" w14:textId="77777777" w:rsidR="007D669A" w:rsidRDefault="007D669A" w:rsidP="007D669A">
            <w:pPr>
              <w:jc w:val="both"/>
              <w:rPr>
                <w:rFonts w:ascii="Arial" w:hAnsi="Arial" w:cs="Arial"/>
                <w:b/>
                <w:sz w:val="20"/>
                <w:szCs w:val="20"/>
                <w:u w:val="single"/>
              </w:rPr>
            </w:pPr>
          </w:p>
          <w:p w14:paraId="03670971" w14:textId="209A07F4" w:rsidR="00FC5D5C" w:rsidRPr="00B34A61" w:rsidRDefault="00360F5E" w:rsidP="007D669A">
            <w:pPr>
              <w:jc w:val="both"/>
              <w:rPr>
                <w:rFonts w:ascii="Arial" w:hAnsi="Arial" w:cs="Arial"/>
                <w:sz w:val="20"/>
                <w:szCs w:val="20"/>
              </w:rPr>
            </w:pPr>
            <w:r w:rsidRPr="00B34A61">
              <w:rPr>
                <w:rFonts w:ascii="Arial" w:hAnsi="Arial" w:cs="Arial"/>
                <w:b/>
                <w:sz w:val="20"/>
                <w:szCs w:val="20"/>
                <w:u w:val="single"/>
              </w:rPr>
              <w:t>Co-generation projects</w:t>
            </w:r>
            <w:r w:rsidRPr="00B34A61">
              <w:rPr>
                <w:rFonts w:ascii="Arial" w:hAnsi="Arial" w:cs="Arial"/>
                <w:sz w:val="20"/>
                <w:szCs w:val="20"/>
              </w:rPr>
              <w:t xml:space="preserve">: </w:t>
            </w:r>
            <w:r w:rsidR="00FC5D5C" w:rsidRPr="00B34A61">
              <w:rPr>
                <w:rFonts w:ascii="Arial" w:hAnsi="Arial" w:cs="Arial"/>
                <w:sz w:val="20"/>
                <w:szCs w:val="20"/>
              </w:rPr>
              <w:t xml:space="preserve">The identified </w:t>
            </w:r>
            <w:r w:rsidR="00B44034" w:rsidRPr="00B34A61">
              <w:rPr>
                <w:rFonts w:ascii="Arial" w:hAnsi="Arial" w:cs="Arial"/>
                <w:sz w:val="20"/>
                <w:szCs w:val="20"/>
              </w:rPr>
              <w:t>subproject</w:t>
            </w:r>
            <w:r w:rsidR="00FC5D5C" w:rsidRPr="00B34A61">
              <w:rPr>
                <w:rFonts w:ascii="Arial" w:hAnsi="Arial" w:cs="Arial"/>
                <w:sz w:val="20"/>
                <w:szCs w:val="20"/>
              </w:rPr>
              <w:t xml:space="preserve">s are small scale (2.5MW in average) and using secondary fuel sources only, more specifically agricultural waste from an existing operation. Eligibility criteria would require </w:t>
            </w:r>
            <w:r w:rsidR="00B44034" w:rsidRPr="00B34A61">
              <w:rPr>
                <w:rFonts w:ascii="Arial" w:hAnsi="Arial" w:cs="Arial"/>
                <w:sz w:val="20"/>
                <w:szCs w:val="20"/>
              </w:rPr>
              <w:t>subproject</w:t>
            </w:r>
            <w:r w:rsidR="00FC5D5C" w:rsidRPr="00B34A61">
              <w:rPr>
                <w:rFonts w:ascii="Arial" w:hAnsi="Arial" w:cs="Arial"/>
                <w:sz w:val="20"/>
                <w:szCs w:val="20"/>
              </w:rPr>
              <w:t xml:space="preserve">s to only use agricultural waste and to be calibrated to run mainly on the existing operation waste production. None of the </w:t>
            </w:r>
            <w:r w:rsidR="00B44034" w:rsidRPr="00B34A61">
              <w:rPr>
                <w:rFonts w:ascii="Arial" w:hAnsi="Arial" w:cs="Arial"/>
                <w:sz w:val="20"/>
                <w:szCs w:val="20"/>
              </w:rPr>
              <w:t>subproject</w:t>
            </w:r>
            <w:r w:rsidR="00FC5D5C" w:rsidRPr="00B34A61">
              <w:rPr>
                <w:rFonts w:ascii="Arial" w:hAnsi="Arial" w:cs="Arial"/>
                <w:sz w:val="20"/>
                <w:szCs w:val="20"/>
              </w:rPr>
              <w:t xml:space="preserve">s would include land acquisition for extension of the biomass production. The feasibility study did confirm that for small scale </w:t>
            </w:r>
            <w:r w:rsidR="00B44034" w:rsidRPr="00B34A61">
              <w:rPr>
                <w:rFonts w:ascii="Arial" w:hAnsi="Arial" w:cs="Arial"/>
                <w:sz w:val="20"/>
                <w:szCs w:val="20"/>
              </w:rPr>
              <w:t>subproject</w:t>
            </w:r>
            <w:r w:rsidR="00FC5D5C" w:rsidRPr="00B34A61">
              <w:rPr>
                <w:rFonts w:ascii="Arial" w:hAnsi="Arial" w:cs="Arial"/>
                <w:sz w:val="20"/>
                <w:szCs w:val="20"/>
              </w:rPr>
              <w:t xml:space="preserve">s, the purchase of external fuel would drastically hamper the economic viability of the projects, those projects will therefore only use waste biomass from existing operations.  </w:t>
            </w:r>
          </w:p>
          <w:p w14:paraId="12C290AB" w14:textId="77777777" w:rsidR="007D669A" w:rsidRDefault="007D669A" w:rsidP="007D669A">
            <w:pPr>
              <w:jc w:val="both"/>
              <w:rPr>
                <w:rFonts w:ascii="Arial" w:hAnsi="Arial" w:cs="Arial"/>
                <w:sz w:val="20"/>
                <w:szCs w:val="20"/>
              </w:rPr>
            </w:pPr>
          </w:p>
          <w:p w14:paraId="03670972" w14:textId="4D33D90E" w:rsidR="00FC5D5C" w:rsidRDefault="00FC5D5C" w:rsidP="007D669A">
            <w:pPr>
              <w:jc w:val="both"/>
              <w:rPr>
                <w:rFonts w:ascii="Arial" w:hAnsi="Arial" w:cs="Arial"/>
                <w:sz w:val="20"/>
                <w:szCs w:val="20"/>
              </w:rPr>
            </w:pPr>
            <w:r w:rsidRPr="00B34A61">
              <w:rPr>
                <w:rFonts w:ascii="Arial" w:hAnsi="Arial" w:cs="Arial"/>
                <w:sz w:val="20"/>
                <w:szCs w:val="20"/>
              </w:rPr>
              <w:t xml:space="preserve">Biomass subprojects in general may generate a number of adverse environmental impacts on air and soil quality, biodiversity, water, land and a number of social impacts on employment, economy and food security. These impacts are mainly from fuel sources, the operation of the power plant, and from the associated facilities.  The small-scale </w:t>
            </w:r>
            <w:r w:rsidR="00B44034" w:rsidRPr="00B34A61">
              <w:rPr>
                <w:rFonts w:ascii="Arial" w:hAnsi="Arial" w:cs="Arial"/>
                <w:sz w:val="20"/>
                <w:szCs w:val="20"/>
              </w:rPr>
              <w:t>subproject</w:t>
            </w:r>
            <w:r w:rsidRPr="00B34A61">
              <w:rPr>
                <w:rFonts w:ascii="Arial" w:hAnsi="Arial" w:cs="Arial"/>
                <w:sz w:val="20"/>
                <w:szCs w:val="20"/>
              </w:rPr>
              <w:t>s targeted in this Project have limited potential negative impacts since the co</w:t>
            </w:r>
            <w:r w:rsidR="00B44034" w:rsidRPr="00B34A61">
              <w:rPr>
                <w:rFonts w:ascii="Arial" w:hAnsi="Arial" w:cs="Arial"/>
                <w:sz w:val="20"/>
                <w:szCs w:val="20"/>
              </w:rPr>
              <w:t>˗</w:t>
            </w:r>
            <w:r w:rsidRPr="00B34A61">
              <w:rPr>
                <w:rFonts w:ascii="Arial" w:hAnsi="Arial" w:cs="Arial"/>
                <w:sz w:val="20"/>
                <w:szCs w:val="20"/>
              </w:rPr>
              <w:t xml:space="preserve">generation facilities will be installed within existing industrial plants, use biomass residues and will not use fuel sourced from biomass plantations. </w:t>
            </w:r>
          </w:p>
          <w:p w14:paraId="591ACBAC" w14:textId="77777777" w:rsidR="007D669A" w:rsidRPr="00B34A61" w:rsidRDefault="007D669A" w:rsidP="007D669A">
            <w:pPr>
              <w:jc w:val="both"/>
              <w:rPr>
                <w:rFonts w:ascii="Arial" w:hAnsi="Arial" w:cs="Arial"/>
                <w:sz w:val="20"/>
                <w:szCs w:val="20"/>
              </w:rPr>
            </w:pPr>
          </w:p>
          <w:p w14:paraId="03670973" w14:textId="77777777" w:rsidR="00FC5D5C" w:rsidRPr="00B34A61" w:rsidRDefault="00FC5D5C" w:rsidP="007D669A">
            <w:pPr>
              <w:pStyle w:val="ListParagraph"/>
              <w:numPr>
                <w:ilvl w:val="0"/>
                <w:numId w:val="14"/>
              </w:numPr>
              <w:ind w:left="360"/>
              <w:contextualSpacing w:val="0"/>
              <w:jc w:val="both"/>
              <w:rPr>
                <w:rFonts w:ascii="Arial" w:hAnsi="Arial" w:cs="Arial"/>
                <w:sz w:val="20"/>
                <w:szCs w:val="20"/>
              </w:rPr>
            </w:pPr>
            <w:r w:rsidRPr="00B34A61">
              <w:rPr>
                <w:rFonts w:ascii="Arial" w:hAnsi="Arial" w:cs="Arial"/>
                <w:sz w:val="20"/>
                <w:szCs w:val="20"/>
              </w:rPr>
              <w:t xml:space="preserve">Land and Biodiversity: the </w:t>
            </w:r>
            <w:r w:rsidR="00B44034" w:rsidRPr="00B34A61">
              <w:rPr>
                <w:rFonts w:ascii="Arial" w:hAnsi="Arial" w:cs="Arial"/>
                <w:sz w:val="20"/>
                <w:szCs w:val="20"/>
              </w:rPr>
              <w:t>subproject</w:t>
            </w:r>
            <w:r w:rsidRPr="00B34A61">
              <w:rPr>
                <w:rFonts w:ascii="Arial" w:hAnsi="Arial" w:cs="Arial"/>
                <w:sz w:val="20"/>
                <w:szCs w:val="20"/>
              </w:rPr>
              <w:t>s targeted would have no negative impact on land and biodiversity as only the use of secondary resources is eligible.</w:t>
            </w:r>
          </w:p>
          <w:p w14:paraId="03670974" w14:textId="77777777" w:rsidR="00FC5D5C" w:rsidRPr="00B34A61" w:rsidRDefault="00FC5D5C" w:rsidP="007D669A">
            <w:pPr>
              <w:pStyle w:val="ListParagraph"/>
              <w:numPr>
                <w:ilvl w:val="0"/>
                <w:numId w:val="14"/>
              </w:numPr>
              <w:ind w:left="360"/>
              <w:contextualSpacing w:val="0"/>
              <w:jc w:val="both"/>
              <w:rPr>
                <w:rFonts w:ascii="Arial" w:hAnsi="Arial" w:cs="Arial"/>
                <w:sz w:val="20"/>
                <w:szCs w:val="20"/>
              </w:rPr>
            </w:pPr>
            <w:r w:rsidRPr="00B34A61">
              <w:rPr>
                <w:rFonts w:ascii="Arial" w:hAnsi="Arial" w:cs="Arial"/>
                <w:sz w:val="20"/>
                <w:szCs w:val="20"/>
              </w:rPr>
              <w:t xml:space="preserve">Water: the </w:t>
            </w:r>
            <w:r w:rsidR="00B44034" w:rsidRPr="00B34A61">
              <w:rPr>
                <w:rFonts w:ascii="Arial" w:hAnsi="Arial" w:cs="Arial"/>
                <w:sz w:val="20"/>
                <w:szCs w:val="20"/>
              </w:rPr>
              <w:t>subproject</w:t>
            </w:r>
            <w:r w:rsidRPr="00B34A61">
              <w:rPr>
                <w:rFonts w:ascii="Arial" w:hAnsi="Arial" w:cs="Arial"/>
                <w:sz w:val="20"/>
                <w:szCs w:val="20"/>
              </w:rPr>
              <w:t xml:space="preserve">s targeted do not involve additional production of biomass and therefore there would not be any increased use of groundwater. The financed operations would follow the Argentinian regulation, hence avoiding any impact on water quality through discharge of wastewater. Liquid effluents in this type of operation is in any case very limited. </w:t>
            </w:r>
          </w:p>
          <w:p w14:paraId="03670975" w14:textId="77777777" w:rsidR="00FC5D5C" w:rsidRPr="00B34A61" w:rsidRDefault="00FC5D5C" w:rsidP="007D669A">
            <w:pPr>
              <w:pStyle w:val="ListParagraph"/>
              <w:numPr>
                <w:ilvl w:val="0"/>
                <w:numId w:val="14"/>
              </w:numPr>
              <w:ind w:left="360"/>
              <w:contextualSpacing w:val="0"/>
              <w:jc w:val="both"/>
              <w:rPr>
                <w:rFonts w:ascii="Arial" w:hAnsi="Arial" w:cs="Arial"/>
                <w:sz w:val="20"/>
                <w:szCs w:val="20"/>
              </w:rPr>
            </w:pPr>
            <w:r w:rsidRPr="00B34A61">
              <w:rPr>
                <w:rFonts w:ascii="Arial" w:hAnsi="Arial" w:cs="Arial"/>
                <w:sz w:val="20"/>
                <w:szCs w:val="20"/>
              </w:rPr>
              <w:t xml:space="preserve">Air quality: the financed operations will comply with the Argentinian regulation. And the transport of resources should be minimal. </w:t>
            </w:r>
          </w:p>
          <w:p w14:paraId="03670976" w14:textId="1D2ED282" w:rsidR="00FC5D5C" w:rsidRDefault="00FC5D5C" w:rsidP="007D669A">
            <w:pPr>
              <w:pStyle w:val="ListParagraph"/>
              <w:numPr>
                <w:ilvl w:val="0"/>
                <w:numId w:val="14"/>
              </w:numPr>
              <w:ind w:left="360"/>
              <w:contextualSpacing w:val="0"/>
              <w:jc w:val="both"/>
              <w:rPr>
                <w:rFonts w:ascii="Arial" w:hAnsi="Arial" w:cs="Arial"/>
                <w:sz w:val="20"/>
                <w:szCs w:val="20"/>
              </w:rPr>
            </w:pPr>
            <w:r w:rsidRPr="00B34A61">
              <w:rPr>
                <w:rFonts w:ascii="Arial" w:hAnsi="Arial" w:cs="Arial"/>
                <w:sz w:val="20"/>
                <w:szCs w:val="20"/>
              </w:rPr>
              <w:t xml:space="preserve">Social impacts: the </w:t>
            </w:r>
            <w:r w:rsidR="00B44034" w:rsidRPr="00B34A61">
              <w:rPr>
                <w:rFonts w:ascii="Arial" w:hAnsi="Arial" w:cs="Arial"/>
                <w:sz w:val="20"/>
                <w:szCs w:val="20"/>
              </w:rPr>
              <w:t>subproject</w:t>
            </w:r>
            <w:r w:rsidRPr="00B34A61">
              <w:rPr>
                <w:rFonts w:ascii="Arial" w:hAnsi="Arial" w:cs="Arial"/>
                <w:sz w:val="20"/>
                <w:szCs w:val="20"/>
              </w:rPr>
              <w:t xml:space="preserve">s use secondary resources e.g. agricultural waste that had no previous use. There should be no impact on communities for land use, source of income, or food security. The subprojects could generate employment even if not in major number and the generation of clean energy definitely benefits the larger populations.        </w:t>
            </w:r>
          </w:p>
          <w:p w14:paraId="284E92A1" w14:textId="77777777" w:rsidR="007D669A" w:rsidRPr="00B34A61" w:rsidRDefault="007D669A" w:rsidP="007D669A">
            <w:pPr>
              <w:pStyle w:val="ListParagraph"/>
              <w:ind w:left="360"/>
              <w:contextualSpacing w:val="0"/>
              <w:jc w:val="both"/>
              <w:rPr>
                <w:rFonts w:ascii="Arial" w:hAnsi="Arial" w:cs="Arial"/>
                <w:sz w:val="20"/>
                <w:szCs w:val="20"/>
              </w:rPr>
            </w:pPr>
          </w:p>
          <w:p w14:paraId="03670977" w14:textId="77777777" w:rsidR="00FC5D5C" w:rsidRPr="00B34A61" w:rsidRDefault="00FC5D5C" w:rsidP="007D669A">
            <w:pPr>
              <w:jc w:val="both"/>
              <w:rPr>
                <w:rFonts w:ascii="Arial" w:hAnsi="Arial" w:cs="Arial"/>
                <w:sz w:val="20"/>
                <w:szCs w:val="20"/>
              </w:rPr>
            </w:pPr>
            <w:r w:rsidRPr="00B34A61">
              <w:rPr>
                <w:rFonts w:ascii="Arial" w:hAnsi="Arial" w:cs="Arial"/>
                <w:sz w:val="20"/>
                <w:szCs w:val="20"/>
              </w:rPr>
              <w:t xml:space="preserve">Therefore, the only potential environmental risk could come from the </w:t>
            </w:r>
            <w:r w:rsidR="00B44034" w:rsidRPr="00B34A61">
              <w:rPr>
                <w:rFonts w:ascii="Arial" w:hAnsi="Arial" w:cs="Arial"/>
                <w:sz w:val="20"/>
                <w:szCs w:val="20"/>
              </w:rPr>
              <w:t>subproject</w:t>
            </w:r>
            <w:r w:rsidRPr="00B34A61">
              <w:rPr>
                <w:rFonts w:ascii="Arial" w:hAnsi="Arial" w:cs="Arial"/>
                <w:sz w:val="20"/>
                <w:szCs w:val="20"/>
              </w:rPr>
              <w:t xml:space="preserve"> procedures for acquisition of additional waste, beyond the facility own waste, in those exceptional cases when additional supply is necessary. The project will aim to ensure that (i) those cases are exceptional, and that the co-generation plant is calibrated to run on the facility’s own waste, (ii) nothing else than agricultural waste is used. Specific environmental and </w:t>
            </w:r>
            <w:r w:rsidRPr="00B34A61">
              <w:rPr>
                <w:rFonts w:ascii="Arial" w:hAnsi="Arial" w:cs="Arial"/>
                <w:sz w:val="20"/>
                <w:szCs w:val="20"/>
              </w:rPr>
              <w:lastRenderedPageBreak/>
              <w:t xml:space="preserve">social requirements will be imposed for those few </w:t>
            </w:r>
            <w:r w:rsidR="00B44034" w:rsidRPr="00B34A61">
              <w:rPr>
                <w:rFonts w:ascii="Arial" w:hAnsi="Arial" w:cs="Arial"/>
                <w:sz w:val="20"/>
                <w:szCs w:val="20"/>
              </w:rPr>
              <w:t>subproject</w:t>
            </w:r>
            <w:r w:rsidRPr="00B34A61">
              <w:rPr>
                <w:rFonts w:ascii="Arial" w:hAnsi="Arial" w:cs="Arial"/>
                <w:sz w:val="20"/>
                <w:szCs w:val="20"/>
              </w:rPr>
              <w:t>s (see below) in order to mitigate these risks and ensure traceability of the waste supply in those exceptional cases, if any.</w:t>
            </w:r>
          </w:p>
          <w:p w14:paraId="03670978" w14:textId="77777777" w:rsidR="00360F5E" w:rsidRPr="00B34A61" w:rsidRDefault="00360F5E" w:rsidP="007D669A">
            <w:pPr>
              <w:jc w:val="both"/>
              <w:rPr>
                <w:rFonts w:ascii="Arial" w:hAnsi="Arial" w:cs="Arial"/>
                <w:sz w:val="20"/>
                <w:szCs w:val="20"/>
              </w:rPr>
            </w:pPr>
          </w:p>
          <w:p w14:paraId="03670979" w14:textId="722A38B7" w:rsidR="00360F5E" w:rsidRPr="007D669A" w:rsidRDefault="00360F5E" w:rsidP="007D669A">
            <w:pPr>
              <w:jc w:val="both"/>
              <w:rPr>
                <w:rFonts w:ascii="Arial" w:hAnsi="Arial" w:cs="Arial"/>
                <w:sz w:val="20"/>
                <w:szCs w:val="20"/>
              </w:rPr>
            </w:pPr>
            <w:r w:rsidRPr="007D669A">
              <w:rPr>
                <w:rFonts w:ascii="Arial" w:hAnsi="Arial" w:cs="Arial"/>
                <w:sz w:val="20"/>
                <w:szCs w:val="20"/>
              </w:rPr>
              <w:t xml:space="preserve">Due to the nature of the investments to be financed under the </w:t>
            </w:r>
            <w:r w:rsidR="00694CD4" w:rsidRPr="007D669A">
              <w:rPr>
                <w:rFonts w:ascii="Arial" w:hAnsi="Arial" w:cs="Arial"/>
                <w:sz w:val="20"/>
                <w:szCs w:val="20"/>
              </w:rPr>
              <w:t>project</w:t>
            </w:r>
            <w:r w:rsidRPr="007D669A">
              <w:rPr>
                <w:rFonts w:ascii="Arial" w:hAnsi="Arial" w:cs="Arial"/>
                <w:sz w:val="20"/>
                <w:szCs w:val="20"/>
              </w:rPr>
              <w:t xml:space="preserve"> (see above) and its main beneficiaries, particularly existing small- and medium-sized enterprises, negative environmental and social impacts from the facilities other than those described above are not foreseen. All </w:t>
            </w:r>
            <w:r w:rsidR="00B44034" w:rsidRPr="007D669A">
              <w:rPr>
                <w:rFonts w:ascii="Arial" w:hAnsi="Arial" w:cs="Arial"/>
                <w:sz w:val="20"/>
                <w:szCs w:val="20"/>
              </w:rPr>
              <w:t>subproject</w:t>
            </w:r>
            <w:r w:rsidRPr="007D669A">
              <w:rPr>
                <w:rFonts w:ascii="Arial" w:hAnsi="Arial" w:cs="Arial"/>
                <w:sz w:val="20"/>
                <w:szCs w:val="20"/>
              </w:rPr>
              <w:t xml:space="preserve">s eligible to the </w:t>
            </w:r>
            <w:r w:rsidR="00694CD4" w:rsidRPr="007D669A">
              <w:rPr>
                <w:rFonts w:ascii="Arial" w:hAnsi="Arial" w:cs="Arial"/>
                <w:sz w:val="20"/>
                <w:szCs w:val="20"/>
              </w:rPr>
              <w:t>project</w:t>
            </w:r>
            <w:r w:rsidRPr="007D669A">
              <w:rPr>
                <w:rFonts w:ascii="Arial" w:hAnsi="Arial" w:cs="Arial"/>
                <w:sz w:val="20"/>
                <w:szCs w:val="20"/>
              </w:rPr>
              <w:t xml:space="preserve"> are classified as </w:t>
            </w:r>
            <w:r w:rsidR="00FC5D5C" w:rsidRPr="007D669A">
              <w:rPr>
                <w:rFonts w:ascii="Arial" w:hAnsi="Arial" w:cs="Arial"/>
                <w:sz w:val="20"/>
                <w:szCs w:val="20"/>
              </w:rPr>
              <w:t xml:space="preserve">B or </w:t>
            </w:r>
            <w:r w:rsidRPr="007D669A">
              <w:rPr>
                <w:rFonts w:ascii="Arial" w:hAnsi="Arial" w:cs="Arial"/>
                <w:sz w:val="20"/>
                <w:szCs w:val="20"/>
              </w:rPr>
              <w:t xml:space="preserve">C, the </w:t>
            </w:r>
            <w:r w:rsidR="00694CD4" w:rsidRPr="007D669A">
              <w:rPr>
                <w:rFonts w:ascii="Arial" w:hAnsi="Arial" w:cs="Arial"/>
                <w:sz w:val="20"/>
                <w:szCs w:val="20"/>
              </w:rPr>
              <w:t>project</w:t>
            </w:r>
            <w:r w:rsidRPr="007D669A">
              <w:rPr>
                <w:rFonts w:ascii="Arial" w:hAnsi="Arial" w:cs="Arial"/>
                <w:sz w:val="20"/>
                <w:szCs w:val="20"/>
              </w:rPr>
              <w:t xml:space="preserve"> will involve the development of a specific classification tool for cogeneration projects in order to make sure only </w:t>
            </w:r>
            <w:r w:rsidR="00FC5D5C" w:rsidRPr="007D669A">
              <w:rPr>
                <w:rFonts w:ascii="Arial" w:hAnsi="Arial" w:cs="Arial"/>
                <w:sz w:val="20"/>
                <w:szCs w:val="20"/>
              </w:rPr>
              <w:t xml:space="preserve">B&amp; </w:t>
            </w:r>
            <w:r w:rsidRPr="007D669A">
              <w:rPr>
                <w:rFonts w:ascii="Arial" w:hAnsi="Arial" w:cs="Arial"/>
                <w:sz w:val="20"/>
                <w:szCs w:val="20"/>
              </w:rPr>
              <w:t>C projects are financed</w:t>
            </w:r>
            <w:r w:rsidR="00FC5D5C" w:rsidRPr="007D669A">
              <w:rPr>
                <w:rFonts w:ascii="Arial" w:hAnsi="Arial" w:cs="Arial"/>
                <w:sz w:val="20"/>
                <w:szCs w:val="20"/>
              </w:rPr>
              <w:t xml:space="preserve"> and specific external support for the environmental &amp; social impact assessment of category B projects in order to make sure they comply with IDB safeguards</w:t>
            </w:r>
            <w:r w:rsidRPr="007D669A">
              <w:rPr>
                <w:rFonts w:ascii="Arial" w:hAnsi="Arial" w:cs="Arial"/>
                <w:sz w:val="20"/>
                <w:szCs w:val="20"/>
              </w:rPr>
              <w:t xml:space="preserve"> (see below Mitigation Measures).</w:t>
            </w:r>
          </w:p>
          <w:p w14:paraId="0367097A" w14:textId="77777777" w:rsidR="00360F5E" w:rsidRPr="00B34A61" w:rsidRDefault="00360F5E" w:rsidP="00360F5E">
            <w:pPr>
              <w:ind w:right="165"/>
              <w:jc w:val="both"/>
              <w:rPr>
                <w:rFonts w:ascii="Arial" w:eastAsia="Times New Roman" w:hAnsi="Arial" w:cs="Arial"/>
                <w:sz w:val="20"/>
                <w:szCs w:val="20"/>
                <w:shd w:val="clear" w:color="auto" w:fill="FFFFFF"/>
              </w:rPr>
            </w:pPr>
          </w:p>
        </w:tc>
      </w:tr>
      <w:tr w:rsidR="00360F5E" w:rsidRPr="00B34A61" w14:paraId="0367097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7C"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lastRenderedPageBreak/>
              <w:t>Noninvestment Lending and Flexible Lending Instruments</w:t>
            </w:r>
            <w:r w:rsidRPr="00B34A61">
              <w:rPr>
                <w:rFonts w:ascii="Arial" w:eastAsia="Times New Roman" w:hAnsi="Arial" w:cs="Arial"/>
                <w:b/>
                <w:sz w:val="20"/>
                <w:szCs w:val="20"/>
                <w:shd w:val="clear" w:color="auto" w:fill="FFFFFF"/>
              </w:rPr>
              <w:t xml:space="preserve"> </w:t>
            </w:r>
          </w:p>
          <w:p w14:paraId="0367097D"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OP-703 (Environment and Safeguards Compliance Policy): B.13 (Noninvestment Lending and Flexible Lending Instruments)</w:t>
            </w:r>
          </w:p>
        </w:tc>
      </w:tr>
      <w:tr w:rsidR="00360F5E" w:rsidRPr="00B34A61" w14:paraId="0367098A"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7F" w14:textId="77777777" w:rsidR="00823799" w:rsidRPr="00B34A61" w:rsidRDefault="00823799" w:rsidP="00360F5E">
            <w:pPr>
              <w:ind w:right="165"/>
              <w:jc w:val="both"/>
              <w:rPr>
                <w:rFonts w:ascii="Arial" w:eastAsia="Times New Roman" w:hAnsi="Arial" w:cs="Arial"/>
                <w:sz w:val="20"/>
                <w:szCs w:val="20"/>
                <w:shd w:val="clear" w:color="auto" w:fill="FFFFFF"/>
              </w:rPr>
            </w:pPr>
          </w:p>
          <w:p w14:paraId="03670980" w14:textId="1B30B2C8" w:rsidR="00823799" w:rsidRPr="00B34A61" w:rsidRDefault="00823799"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Following the Bank's guidelines and taking into account the characteristics of the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 xml:space="preserve">, the project team identified the potential negative impacts of the eligible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and their main mitigation measures and evaluated the capacity that </w:t>
            </w:r>
            <w:r w:rsidR="00FC5D5C" w:rsidRPr="00B34A61">
              <w:rPr>
                <w:rFonts w:ascii="Arial" w:eastAsia="Times New Roman" w:hAnsi="Arial" w:cs="Arial"/>
                <w:sz w:val="20"/>
                <w:szCs w:val="20"/>
                <w:shd w:val="clear" w:color="auto" w:fill="FFFFFF"/>
              </w:rPr>
              <w:t>BICE</w:t>
            </w:r>
            <w:r w:rsidRPr="00B34A61">
              <w:rPr>
                <w:rFonts w:ascii="Arial" w:eastAsia="Times New Roman" w:hAnsi="Arial" w:cs="Arial"/>
                <w:sz w:val="20"/>
                <w:szCs w:val="20"/>
                <w:shd w:val="clear" w:color="auto" w:fill="FFFFFF"/>
              </w:rPr>
              <w:t xml:space="preserve"> would have to manage these risks in compliance with the IDB safeguards. </w:t>
            </w:r>
          </w:p>
          <w:p w14:paraId="03670981" w14:textId="77777777" w:rsidR="00823799" w:rsidRPr="00B34A61" w:rsidRDefault="00823799" w:rsidP="00360F5E">
            <w:pPr>
              <w:ind w:right="165"/>
              <w:jc w:val="both"/>
              <w:rPr>
                <w:rFonts w:ascii="Arial" w:eastAsia="Times New Roman" w:hAnsi="Arial" w:cs="Arial"/>
                <w:sz w:val="20"/>
                <w:szCs w:val="20"/>
                <w:shd w:val="clear" w:color="auto" w:fill="FFFFFF"/>
              </w:rPr>
            </w:pPr>
          </w:p>
          <w:p w14:paraId="03670982" w14:textId="6D803CD3"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Only </w:t>
            </w:r>
            <w:r w:rsidR="00B44034" w:rsidRPr="00B34A61">
              <w:rPr>
                <w:rFonts w:ascii="Arial" w:eastAsia="Times New Roman" w:hAnsi="Arial" w:cs="Arial"/>
                <w:sz w:val="20"/>
                <w:szCs w:val="20"/>
                <w:shd w:val="clear" w:color="auto" w:fill="FFFFFF"/>
              </w:rPr>
              <w:t>subproject</w:t>
            </w:r>
            <w:r w:rsidRPr="00B34A61">
              <w:rPr>
                <w:rFonts w:ascii="Arial" w:eastAsia="Times New Roman" w:hAnsi="Arial" w:cs="Arial"/>
                <w:sz w:val="20"/>
                <w:szCs w:val="20"/>
                <w:shd w:val="clear" w:color="auto" w:fill="FFFFFF"/>
              </w:rPr>
              <w:t xml:space="preserve">s of category </w:t>
            </w:r>
            <w:r w:rsidR="00FC5D5C" w:rsidRPr="00B34A61">
              <w:rPr>
                <w:rFonts w:ascii="Arial" w:eastAsia="Times New Roman" w:hAnsi="Arial" w:cs="Arial"/>
                <w:sz w:val="20"/>
                <w:szCs w:val="20"/>
                <w:shd w:val="clear" w:color="auto" w:fill="FFFFFF"/>
              </w:rPr>
              <w:t>B&amp;</w:t>
            </w:r>
            <w:r w:rsidRPr="00B34A61">
              <w:rPr>
                <w:rFonts w:ascii="Arial" w:eastAsia="Times New Roman" w:hAnsi="Arial" w:cs="Arial"/>
                <w:sz w:val="20"/>
                <w:szCs w:val="20"/>
                <w:shd w:val="clear" w:color="auto" w:fill="FFFFFF"/>
              </w:rPr>
              <w:t xml:space="preserve">C will be eligible to financing with resources from this </w:t>
            </w:r>
            <w:r w:rsidR="00694CD4">
              <w:rPr>
                <w:rFonts w:ascii="Arial" w:eastAsia="Times New Roman" w:hAnsi="Arial" w:cs="Arial"/>
                <w:sz w:val="20"/>
                <w:szCs w:val="20"/>
                <w:shd w:val="clear" w:color="auto" w:fill="FFFFFF"/>
              </w:rPr>
              <w:t>project</w:t>
            </w:r>
            <w:r w:rsidRPr="00B34A61">
              <w:rPr>
                <w:rFonts w:ascii="Arial" w:eastAsia="Times New Roman" w:hAnsi="Arial" w:cs="Arial"/>
                <w:sz w:val="20"/>
                <w:szCs w:val="20"/>
                <w:shd w:val="clear" w:color="auto" w:fill="FFFFFF"/>
              </w:rPr>
              <w:t>.</w:t>
            </w:r>
          </w:p>
          <w:p w14:paraId="03670983" w14:textId="77777777" w:rsidR="00360F5E" w:rsidRPr="00B34A61" w:rsidRDefault="00360F5E" w:rsidP="00360F5E">
            <w:pPr>
              <w:jc w:val="both"/>
              <w:rPr>
                <w:rFonts w:ascii="Arial" w:hAnsi="Arial" w:cs="Arial"/>
                <w:sz w:val="20"/>
                <w:szCs w:val="20"/>
              </w:rPr>
            </w:pPr>
          </w:p>
          <w:p w14:paraId="03670984" w14:textId="77777777" w:rsidR="00FC5D5C" w:rsidRPr="00B34A61" w:rsidRDefault="00FC5D5C" w:rsidP="00FC5D5C">
            <w:pPr>
              <w:jc w:val="both"/>
              <w:rPr>
                <w:rFonts w:ascii="Arial" w:hAnsi="Arial" w:cs="Arial"/>
                <w:sz w:val="20"/>
                <w:szCs w:val="20"/>
              </w:rPr>
            </w:pPr>
            <w:bookmarkStart w:id="2" w:name="_Hlk504374800"/>
            <w:r w:rsidRPr="00B34A61">
              <w:rPr>
                <w:rFonts w:ascii="Arial" w:hAnsi="Arial" w:cs="Arial"/>
                <w:sz w:val="20"/>
                <w:szCs w:val="20"/>
              </w:rPr>
              <w:t xml:space="preserve">BICE has started a process to build capacity on the management of environmental and social risks in its portfolio. Some of their staff have been trained on those topics last year in Uruguay, in a course developed by the IDB, ALIDE and the BROU.  </w:t>
            </w:r>
          </w:p>
          <w:p w14:paraId="37938511" w14:textId="77777777" w:rsidR="007D669A" w:rsidRDefault="007D669A" w:rsidP="00FC5D5C">
            <w:pPr>
              <w:jc w:val="both"/>
              <w:rPr>
                <w:rFonts w:ascii="Arial" w:hAnsi="Arial" w:cs="Arial"/>
                <w:sz w:val="20"/>
                <w:szCs w:val="20"/>
              </w:rPr>
            </w:pPr>
          </w:p>
          <w:p w14:paraId="03670985" w14:textId="34B5A54F" w:rsidR="00FC5D5C" w:rsidRPr="00B34A61" w:rsidRDefault="00FC5D5C" w:rsidP="00FC5D5C">
            <w:pPr>
              <w:jc w:val="both"/>
              <w:rPr>
                <w:rFonts w:ascii="Arial" w:hAnsi="Arial" w:cs="Arial"/>
                <w:sz w:val="20"/>
                <w:szCs w:val="20"/>
              </w:rPr>
            </w:pPr>
            <w:r w:rsidRPr="00B34A61">
              <w:rPr>
                <w:rFonts w:ascii="Arial" w:hAnsi="Arial" w:cs="Arial"/>
                <w:sz w:val="20"/>
                <w:szCs w:val="20"/>
              </w:rPr>
              <w:t>BICE has recently piloted an ESMS, compliant with the World Banks safeguards, for a multi-sectorial credit line to Small and Medium Enterprises (</w:t>
            </w:r>
            <w:hyperlink r:id="rId15" w:history="1">
              <w:r w:rsidR="00C77657" w:rsidRPr="00B34A61">
                <w:rPr>
                  <w:rStyle w:val="Hyperlink"/>
                  <w:rFonts w:ascii="Arial" w:hAnsi="Arial" w:cs="Arial"/>
                  <w:sz w:val="20"/>
                  <w:szCs w:val="20"/>
                </w:rPr>
                <w:t>https://www.bice.com.ar/es/banco-mundial/</w:t>
              </w:r>
            </w:hyperlink>
            <w:r w:rsidRPr="00B34A61">
              <w:rPr>
                <w:rFonts w:ascii="Arial" w:hAnsi="Arial" w:cs="Arial"/>
                <w:sz w:val="20"/>
                <w:szCs w:val="20"/>
              </w:rPr>
              <w:t xml:space="preserve">). </w:t>
            </w:r>
          </w:p>
          <w:p w14:paraId="3E6593F9" w14:textId="77777777" w:rsidR="007D669A" w:rsidRDefault="007D669A" w:rsidP="00FC5D5C">
            <w:pPr>
              <w:jc w:val="both"/>
              <w:rPr>
                <w:rFonts w:ascii="Arial" w:hAnsi="Arial" w:cs="Arial"/>
                <w:sz w:val="20"/>
                <w:szCs w:val="20"/>
              </w:rPr>
            </w:pPr>
          </w:p>
          <w:p w14:paraId="03670986" w14:textId="19AA8964" w:rsidR="00FC5D5C" w:rsidRPr="00B34A61" w:rsidRDefault="00FC5D5C" w:rsidP="00FC5D5C">
            <w:pPr>
              <w:jc w:val="both"/>
              <w:rPr>
                <w:rFonts w:ascii="Arial" w:hAnsi="Arial" w:cs="Arial"/>
                <w:sz w:val="20"/>
                <w:szCs w:val="20"/>
              </w:rPr>
            </w:pPr>
            <w:r w:rsidRPr="00B34A61">
              <w:rPr>
                <w:rFonts w:ascii="Arial" w:hAnsi="Arial" w:cs="Arial"/>
                <w:sz w:val="20"/>
                <w:szCs w:val="20"/>
              </w:rPr>
              <w:t>The environmental and social due diligence concluded that BICE has the capacity to apply the ESM</w:t>
            </w:r>
            <w:r w:rsidR="00FF2471" w:rsidRPr="00B34A61">
              <w:rPr>
                <w:rFonts w:ascii="Arial" w:hAnsi="Arial" w:cs="Arial"/>
                <w:sz w:val="20"/>
                <w:szCs w:val="20"/>
              </w:rPr>
              <w:t>S</w:t>
            </w:r>
            <w:r w:rsidRPr="00B34A61">
              <w:rPr>
                <w:rFonts w:ascii="Arial" w:hAnsi="Arial" w:cs="Arial"/>
                <w:sz w:val="20"/>
                <w:szCs w:val="20"/>
              </w:rPr>
              <w:t xml:space="preserve"> and manage a portfolio with the environmental and social risks magnitude assessed for this Project.</w:t>
            </w:r>
          </w:p>
          <w:p w14:paraId="0B6110C5" w14:textId="77777777" w:rsidR="007D669A" w:rsidRDefault="007D669A" w:rsidP="00FC5D5C">
            <w:pPr>
              <w:jc w:val="both"/>
              <w:rPr>
                <w:rFonts w:ascii="Arial" w:hAnsi="Arial" w:cs="Arial"/>
                <w:sz w:val="20"/>
                <w:szCs w:val="20"/>
              </w:rPr>
            </w:pPr>
          </w:p>
          <w:p w14:paraId="03670987" w14:textId="7B4118CB" w:rsidR="00FC5D5C" w:rsidRPr="00B34A61" w:rsidRDefault="00FC5D5C" w:rsidP="00FC5D5C">
            <w:pPr>
              <w:jc w:val="both"/>
              <w:rPr>
                <w:rFonts w:ascii="Arial" w:hAnsi="Arial" w:cs="Arial"/>
                <w:sz w:val="20"/>
                <w:szCs w:val="20"/>
              </w:rPr>
            </w:pPr>
            <w:r w:rsidRPr="00B34A61">
              <w:rPr>
                <w:rFonts w:ascii="Arial" w:hAnsi="Arial" w:cs="Arial"/>
                <w:sz w:val="20"/>
                <w:szCs w:val="20"/>
              </w:rPr>
              <w:t>BICE will appoint an Environmental and Social Coordinator for the duration of the Project who will be responsible for the application of this ESM</w:t>
            </w:r>
            <w:r w:rsidR="00FF2471" w:rsidRPr="00B34A61">
              <w:rPr>
                <w:rFonts w:ascii="Arial" w:hAnsi="Arial" w:cs="Arial"/>
                <w:sz w:val="20"/>
                <w:szCs w:val="20"/>
              </w:rPr>
              <w:t>S</w:t>
            </w:r>
            <w:r w:rsidRPr="00B34A61">
              <w:rPr>
                <w:rFonts w:ascii="Arial" w:hAnsi="Arial" w:cs="Arial"/>
                <w:sz w:val="20"/>
                <w:szCs w:val="20"/>
              </w:rPr>
              <w:t>.</w:t>
            </w:r>
          </w:p>
          <w:p w14:paraId="575FE30F" w14:textId="77777777" w:rsidR="007D669A" w:rsidRDefault="007D669A" w:rsidP="00FC5D5C">
            <w:pPr>
              <w:jc w:val="both"/>
              <w:rPr>
                <w:rFonts w:ascii="Arial" w:hAnsi="Arial" w:cs="Arial"/>
                <w:sz w:val="20"/>
                <w:szCs w:val="20"/>
              </w:rPr>
            </w:pPr>
          </w:p>
          <w:p w14:paraId="03670988" w14:textId="119D3751" w:rsidR="00360F5E" w:rsidRPr="00B34A61" w:rsidRDefault="00FC5D5C" w:rsidP="00FC5D5C">
            <w:pPr>
              <w:jc w:val="both"/>
              <w:rPr>
                <w:rFonts w:ascii="Arial" w:hAnsi="Arial" w:cs="Arial"/>
                <w:sz w:val="20"/>
                <w:szCs w:val="20"/>
              </w:rPr>
            </w:pPr>
            <w:r w:rsidRPr="00B34A61">
              <w:rPr>
                <w:rFonts w:ascii="Arial" w:hAnsi="Arial" w:cs="Arial"/>
                <w:sz w:val="20"/>
                <w:szCs w:val="20"/>
              </w:rPr>
              <w:t>Furthermore, trainings on this ESM</w:t>
            </w:r>
            <w:r w:rsidR="00FF2471" w:rsidRPr="00B34A61">
              <w:rPr>
                <w:rFonts w:ascii="Arial" w:hAnsi="Arial" w:cs="Arial"/>
                <w:sz w:val="20"/>
                <w:szCs w:val="20"/>
              </w:rPr>
              <w:t>S</w:t>
            </w:r>
            <w:r w:rsidRPr="00B34A61">
              <w:rPr>
                <w:rFonts w:ascii="Arial" w:hAnsi="Arial" w:cs="Arial"/>
                <w:sz w:val="20"/>
                <w:szCs w:val="20"/>
              </w:rPr>
              <w:t xml:space="preserve"> will also be provided to the participant LFIs.</w:t>
            </w:r>
          </w:p>
          <w:bookmarkEnd w:id="2"/>
          <w:p w14:paraId="03670989" w14:textId="77777777" w:rsidR="00360F5E" w:rsidRPr="00B34A61" w:rsidRDefault="00360F5E" w:rsidP="00520AF5">
            <w:pPr>
              <w:ind w:right="165"/>
              <w:jc w:val="both"/>
              <w:rPr>
                <w:rFonts w:ascii="Arial" w:eastAsia="Times New Roman" w:hAnsi="Arial" w:cs="Arial"/>
                <w:sz w:val="20"/>
                <w:szCs w:val="20"/>
                <w:shd w:val="clear" w:color="auto" w:fill="FFFFFF"/>
              </w:rPr>
            </w:pPr>
          </w:p>
        </w:tc>
      </w:tr>
      <w:tr w:rsidR="00360F5E" w:rsidRPr="00B34A61" w14:paraId="0367098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8B"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Livelihoods and Resettlement</w:t>
            </w:r>
          </w:p>
          <w:p w14:paraId="0367098C"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OP-710 (Involuntary Resettlement Policy)</w:t>
            </w:r>
          </w:p>
        </w:tc>
      </w:tr>
      <w:tr w:rsidR="00360F5E" w:rsidRPr="00B34A61" w14:paraId="0367098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8E" w14:textId="77777777" w:rsidR="00360F5E" w:rsidRPr="00B34A61" w:rsidRDefault="00360F5E" w:rsidP="0032085B">
            <w:pPr>
              <w:pStyle w:val="ListParagraph"/>
              <w:numPr>
                <w:ilvl w:val="0"/>
                <w:numId w:val="2"/>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not triggered </w:t>
            </w:r>
          </w:p>
        </w:tc>
      </w:tr>
      <w:tr w:rsidR="00360F5E" w:rsidRPr="00B34A61" w14:paraId="03670992"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90"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Indigenous Peoples</w:t>
            </w:r>
            <w:r w:rsidRPr="00B34A61">
              <w:rPr>
                <w:rFonts w:ascii="Arial" w:eastAsia="Times New Roman" w:hAnsi="Arial" w:cs="Arial"/>
                <w:b/>
                <w:sz w:val="20"/>
                <w:szCs w:val="20"/>
                <w:shd w:val="clear" w:color="auto" w:fill="FFFFFF"/>
              </w:rPr>
              <w:t xml:space="preserve"> </w:t>
            </w:r>
          </w:p>
          <w:p w14:paraId="03670991"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OP-765 (Indigenous Peoples Policy)</w:t>
            </w:r>
          </w:p>
        </w:tc>
      </w:tr>
      <w:tr w:rsidR="00360F5E" w:rsidRPr="00B34A61" w14:paraId="03670994"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3670993" w14:textId="77777777" w:rsidR="00360F5E" w:rsidRPr="00B34A61" w:rsidRDefault="00360F5E" w:rsidP="0032085B">
            <w:pPr>
              <w:pStyle w:val="ListParagraph"/>
              <w:numPr>
                <w:ilvl w:val="0"/>
                <w:numId w:val="3"/>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not triggered</w:t>
            </w:r>
          </w:p>
        </w:tc>
      </w:tr>
      <w:tr w:rsidR="00360F5E" w:rsidRPr="00B34A61" w14:paraId="03670997"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3670995"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Gender Equality</w:t>
            </w:r>
            <w:r w:rsidRPr="00B34A61">
              <w:rPr>
                <w:rFonts w:ascii="Arial" w:eastAsia="Times New Roman" w:hAnsi="Arial" w:cs="Arial"/>
                <w:b/>
                <w:sz w:val="20"/>
                <w:szCs w:val="20"/>
                <w:shd w:val="clear" w:color="auto" w:fill="FFFFFF"/>
              </w:rPr>
              <w:t xml:space="preserve"> </w:t>
            </w:r>
          </w:p>
          <w:p w14:paraId="03670996"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OP-761 (Gender Equality in Development Policy)</w:t>
            </w:r>
          </w:p>
        </w:tc>
      </w:tr>
      <w:tr w:rsidR="00360F5E" w:rsidRPr="00B34A61" w14:paraId="03670999"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998" w14:textId="77777777" w:rsidR="00360F5E" w:rsidRPr="00B34A61" w:rsidRDefault="00823799" w:rsidP="0032085B">
            <w:pPr>
              <w:pStyle w:val="ListParagraph"/>
              <w:numPr>
                <w:ilvl w:val="0"/>
                <w:numId w:val="4"/>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 xml:space="preserve">In compliance with the preventive action part of Policy OP-761, the project team concluded that policy OP-761 is not activated since no </w:t>
            </w:r>
            <w:r w:rsidR="00836447" w:rsidRPr="00B34A61">
              <w:rPr>
                <w:rFonts w:ascii="Arial" w:eastAsia="Times New Roman" w:hAnsi="Arial" w:cs="Arial"/>
                <w:sz w:val="20"/>
                <w:szCs w:val="20"/>
                <w:shd w:val="clear" w:color="auto" w:fill="FFFFFF"/>
              </w:rPr>
              <w:t>gender based adverse impacts were identified</w:t>
            </w:r>
          </w:p>
        </w:tc>
      </w:tr>
      <w:tr w:rsidR="00360F5E" w:rsidRPr="00B34A61" w14:paraId="0367099C"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367099A" w14:textId="77777777" w:rsidR="00360F5E" w:rsidRPr="00B34A61" w:rsidRDefault="00360F5E" w:rsidP="00360F5E">
            <w:pPr>
              <w:ind w:right="165"/>
              <w:jc w:val="both"/>
              <w:rPr>
                <w:rFonts w:ascii="Arial" w:eastAsia="Times New Roman" w:hAnsi="Arial" w:cs="Arial"/>
                <w:b/>
                <w:sz w:val="20"/>
                <w:szCs w:val="20"/>
              </w:rPr>
            </w:pPr>
            <w:r w:rsidRPr="00B34A61">
              <w:rPr>
                <w:rFonts w:ascii="Arial" w:eastAsia="Times New Roman" w:hAnsi="Arial" w:cs="Arial"/>
                <w:b/>
                <w:sz w:val="20"/>
                <w:szCs w:val="20"/>
              </w:rPr>
              <w:t xml:space="preserve">Disaster Risk Management </w:t>
            </w:r>
          </w:p>
          <w:p w14:paraId="0367099B"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OP-704 (Disaster Risk Management Policy)</w:t>
            </w:r>
          </w:p>
        </w:tc>
      </w:tr>
      <w:tr w:rsidR="00360F5E" w:rsidRPr="00B34A61" w14:paraId="0367099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99D" w14:textId="77777777" w:rsidR="00360F5E" w:rsidRPr="00B34A61" w:rsidRDefault="00646525" w:rsidP="0032085B">
            <w:pPr>
              <w:pStyle w:val="ListParagraph"/>
              <w:numPr>
                <w:ilvl w:val="0"/>
                <w:numId w:val="4"/>
              </w:num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shd w:val="clear" w:color="auto" w:fill="FFFFFF"/>
              </w:rPr>
              <w:t>not triggered</w:t>
            </w:r>
          </w:p>
        </w:tc>
      </w:tr>
      <w:tr w:rsidR="00360F5E" w:rsidRPr="00B34A61" w:rsidDel="00A11ACD" w14:paraId="036709A5"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367099F" w14:textId="77777777" w:rsidR="00360F5E" w:rsidRPr="00B34A61" w:rsidRDefault="00360F5E" w:rsidP="00360F5E">
            <w:pPr>
              <w:ind w:right="165"/>
              <w:jc w:val="both"/>
              <w:rPr>
                <w:rFonts w:ascii="Arial" w:eastAsia="Times New Roman" w:hAnsi="Arial" w:cs="Arial"/>
                <w:b/>
                <w:sz w:val="20"/>
                <w:szCs w:val="20"/>
                <w:shd w:val="clear" w:color="auto" w:fill="FFFFFF"/>
              </w:rPr>
            </w:pPr>
            <w:r w:rsidRPr="00B34A61">
              <w:rPr>
                <w:rFonts w:ascii="Arial" w:eastAsia="Times New Roman" w:hAnsi="Arial" w:cs="Arial"/>
                <w:b/>
                <w:sz w:val="20"/>
                <w:szCs w:val="20"/>
              </w:rPr>
              <w:t>Supervision</w:t>
            </w:r>
          </w:p>
          <w:p w14:paraId="036709A0"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OP-703 (Environment and Safeguards Compliance Policy): B.5 (Environmental Assessment and Plans Requirements) and B.7 (Supervision and Compliance)</w:t>
            </w:r>
          </w:p>
          <w:p w14:paraId="036709A1"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OP-710 (Involuntary Resettlement Policy)</w:t>
            </w:r>
          </w:p>
          <w:p w14:paraId="036709A2"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lastRenderedPageBreak/>
              <w:t>OP-765 (Indigenous Peoples Policy)</w:t>
            </w:r>
          </w:p>
          <w:p w14:paraId="036709A3" w14:textId="77777777" w:rsidR="00360F5E" w:rsidRPr="00B34A61" w:rsidRDefault="00360F5E" w:rsidP="00360F5E">
            <w:pPr>
              <w:ind w:right="165"/>
              <w:jc w:val="both"/>
              <w:rPr>
                <w:rFonts w:ascii="Arial" w:eastAsia="Times New Roman" w:hAnsi="Arial" w:cs="Arial"/>
                <w:sz w:val="20"/>
                <w:szCs w:val="20"/>
              </w:rPr>
            </w:pPr>
            <w:r w:rsidRPr="00B34A61">
              <w:rPr>
                <w:rFonts w:ascii="Arial" w:eastAsia="Times New Roman" w:hAnsi="Arial" w:cs="Arial"/>
                <w:sz w:val="20"/>
                <w:szCs w:val="20"/>
              </w:rPr>
              <w:t>OP-704 (Disaster Risk Management Policy)</w:t>
            </w:r>
          </w:p>
          <w:p w14:paraId="036709A4" w14:textId="77777777" w:rsidR="00360F5E" w:rsidRPr="00B34A61" w:rsidRDefault="00360F5E" w:rsidP="00360F5E">
            <w:pPr>
              <w:ind w:right="165"/>
              <w:jc w:val="both"/>
              <w:rPr>
                <w:rFonts w:ascii="Arial" w:eastAsia="Times New Roman" w:hAnsi="Arial" w:cs="Arial"/>
                <w:sz w:val="20"/>
                <w:szCs w:val="20"/>
                <w:shd w:val="clear" w:color="auto" w:fill="FFFFFF"/>
              </w:rPr>
            </w:pPr>
            <w:r w:rsidRPr="00B34A61">
              <w:rPr>
                <w:rFonts w:ascii="Arial" w:eastAsia="Times New Roman" w:hAnsi="Arial" w:cs="Arial"/>
                <w:sz w:val="20"/>
                <w:szCs w:val="20"/>
              </w:rPr>
              <w:t>OP-761 (Gender Equality in Development Policy)</w:t>
            </w:r>
          </w:p>
        </w:tc>
      </w:tr>
      <w:tr w:rsidR="00360F5E" w:rsidRPr="00B34A61" w:rsidDel="00A11ACD" w14:paraId="036709AB"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6709A6" w14:textId="6BAA6F0C" w:rsidR="00C004B3" w:rsidRPr="00B34A61" w:rsidRDefault="00FC5D5C" w:rsidP="00C004B3">
            <w:pPr>
              <w:spacing w:after="200" w:line="276" w:lineRule="auto"/>
              <w:jc w:val="both"/>
              <w:rPr>
                <w:rFonts w:ascii="Arial" w:hAnsi="Arial" w:cs="Arial"/>
                <w:sz w:val="20"/>
                <w:szCs w:val="20"/>
              </w:rPr>
            </w:pPr>
            <w:r w:rsidRPr="00B34A61">
              <w:rPr>
                <w:rFonts w:ascii="Arial" w:hAnsi="Arial" w:cs="Arial"/>
                <w:sz w:val="20"/>
                <w:szCs w:val="20"/>
              </w:rPr>
              <w:lastRenderedPageBreak/>
              <w:t xml:space="preserve">BICE </w:t>
            </w:r>
            <w:r w:rsidR="00C004B3" w:rsidRPr="00B34A61">
              <w:rPr>
                <w:rFonts w:ascii="Arial" w:hAnsi="Arial" w:cs="Arial"/>
                <w:sz w:val="20"/>
                <w:szCs w:val="20"/>
              </w:rPr>
              <w:t xml:space="preserve">will present an Annual Environmental and Social Compliance Report (ESCR) with information on the portfolio </w:t>
            </w:r>
            <w:r w:rsidRPr="00B34A61">
              <w:rPr>
                <w:rFonts w:ascii="Arial" w:hAnsi="Arial" w:cs="Arial"/>
                <w:sz w:val="20"/>
                <w:szCs w:val="20"/>
              </w:rPr>
              <w:t xml:space="preserve">of </w:t>
            </w:r>
            <w:r w:rsidR="00B44034" w:rsidRPr="00B34A61">
              <w:rPr>
                <w:rFonts w:ascii="Arial" w:hAnsi="Arial" w:cs="Arial"/>
                <w:sz w:val="20"/>
                <w:szCs w:val="20"/>
              </w:rPr>
              <w:t>subproject</w:t>
            </w:r>
            <w:r w:rsidRPr="00B34A61">
              <w:rPr>
                <w:rFonts w:ascii="Arial" w:hAnsi="Arial" w:cs="Arial"/>
                <w:sz w:val="20"/>
                <w:szCs w:val="20"/>
              </w:rPr>
              <w:t xml:space="preserve">s financed with resources from the </w:t>
            </w:r>
            <w:r w:rsidR="00694CD4">
              <w:rPr>
                <w:rFonts w:ascii="Arial" w:hAnsi="Arial" w:cs="Arial"/>
                <w:sz w:val="20"/>
                <w:szCs w:val="20"/>
              </w:rPr>
              <w:t>project</w:t>
            </w:r>
            <w:r w:rsidRPr="00B34A61">
              <w:rPr>
                <w:rFonts w:ascii="Arial" w:hAnsi="Arial" w:cs="Arial"/>
                <w:sz w:val="20"/>
                <w:szCs w:val="20"/>
              </w:rPr>
              <w:t xml:space="preserve"> </w:t>
            </w:r>
            <w:r w:rsidR="00C004B3" w:rsidRPr="00B34A61">
              <w:rPr>
                <w:rFonts w:ascii="Arial" w:hAnsi="Arial" w:cs="Arial"/>
                <w:sz w:val="20"/>
                <w:szCs w:val="20"/>
              </w:rPr>
              <w:t>and any particular risk issues identified, mitigation measures agreed with clients as well as compliance status.</w:t>
            </w:r>
          </w:p>
          <w:p w14:paraId="036709A7" w14:textId="4F552BA5" w:rsidR="00C004B3" w:rsidRPr="00B34A61" w:rsidRDefault="00C004B3" w:rsidP="00C004B3">
            <w:pPr>
              <w:tabs>
                <w:tab w:val="num" w:pos="720"/>
              </w:tabs>
              <w:ind w:right="165"/>
              <w:rPr>
                <w:rFonts w:ascii="Arial" w:hAnsi="Arial" w:cs="Arial"/>
                <w:sz w:val="20"/>
                <w:szCs w:val="20"/>
              </w:rPr>
            </w:pPr>
            <w:r w:rsidRPr="00B34A61">
              <w:rPr>
                <w:rFonts w:ascii="Arial" w:hAnsi="Arial" w:cs="Arial"/>
                <w:sz w:val="20"/>
                <w:szCs w:val="20"/>
              </w:rPr>
              <w:t xml:space="preserve">The IDB will supervise the ESHS and labor aspects related to the use of the proceeds of the </w:t>
            </w:r>
            <w:r w:rsidR="00694CD4">
              <w:rPr>
                <w:rFonts w:ascii="Arial" w:hAnsi="Arial" w:cs="Arial"/>
                <w:sz w:val="20"/>
                <w:szCs w:val="20"/>
              </w:rPr>
              <w:t>project</w:t>
            </w:r>
            <w:r w:rsidRPr="00B34A61">
              <w:rPr>
                <w:rFonts w:ascii="Arial" w:hAnsi="Arial" w:cs="Arial"/>
                <w:sz w:val="20"/>
                <w:szCs w:val="20"/>
              </w:rPr>
              <w:t xml:space="preserve">, as necessary either by an IDB in-house specialist or with external consultants, hired by the IDB.  To this end, </w:t>
            </w:r>
            <w:r w:rsidR="00FC5D5C" w:rsidRPr="00B34A61">
              <w:rPr>
                <w:rFonts w:ascii="Arial" w:hAnsi="Arial" w:cs="Arial"/>
                <w:sz w:val="20"/>
                <w:szCs w:val="20"/>
              </w:rPr>
              <w:t>BICE</w:t>
            </w:r>
            <w:r w:rsidRPr="00B34A61">
              <w:rPr>
                <w:rFonts w:ascii="Arial" w:hAnsi="Arial" w:cs="Arial"/>
                <w:sz w:val="20"/>
                <w:szCs w:val="20"/>
              </w:rPr>
              <w:t xml:space="preserve"> will provide and facilitate access by IDB to all relevant documentation, personnel and </w:t>
            </w:r>
            <w:r w:rsidR="00B44034" w:rsidRPr="00B34A61">
              <w:rPr>
                <w:rFonts w:ascii="Arial" w:hAnsi="Arial" w:cs="Arial"/>
                <w:sz w:val="20"/>
                <w:szCs w:val="20"/>
              </w:rPr>
              <w:t>subproject</w:t>
            </w:r>
            <w:r w:rsidRPr="00B34A61">
              <w:rPr>
                <w:rFonts w:ascii="Arial" w:hAnsi="Arial" w:cs="Arial"/>
                <w:sz w:val="20"/>
                <w:szCs w:val="20"/>
              </w:rPr>
              <w:t xml:space="preserve">s facilities. </w:t>
            </w:r>
          </w:p>
          <w:p w14:paraId="036709A8" w14:textId="77777777" w:rsidR="00C004B3" w:rsidRPr="00B34A61" w:rsidRDefault="00C004B3" w:rsidP="00C004B3">
            <w:pPr>
              <w:tabs>
                <w:tab w:val="num" w:pos="720"/>
              </w:tabs>
              <w:ind w:right="165"/>
              <w:rPr>
                <w:rFonts w:ascii="Arial" w:hAnsi="Arial" w:cs="Arial"/>
                <w:sz w:val="20"/>
                <w:szCs w:val="20"/>
              </w:rPr>
            </w:pPr>
          </w:p>
          <w:p w14:paraId="036709A9" w14:textId="77777777" w:rsidR="00360F5E" w:rsidRPr="00B34A61" w:rsidRDefault="00C004B3" w:rsidP="00C004B3">
            <w:pPr>
              <w:tabs>
                <w:tab w:val="num" w:pos="720"/>
              </w:tabs>
              <w:ind w:right="165"/>
              <w:rPr>
                <w:rFonts w:ascii="Arial" w:hAnsi="Arial" w:cs="Arial"/>
                <w:sz w:val="20"/>
                <w:szCs w:val="20"/>
              </w:rPr>
            </w:pPr>
            <w:r w:rsidRPr="00B34A61">
              <w:rPr>
                <w:rFonts w:ascii="Arial" w:hAnsi="Arial" w:cs="Arial"/>
                <w:sz w:val="20"/>
                <w:szCs w:val="20"/>
              </w:rPr>
              <w:t xml:space="preserve">If necessary, IDB and </w:t>
            </w:r>
            <w:r w:rsidR="00FC5D5C" w:rsidRPr="00B34A61">
              <w:rPr>
                <w:rFonts w:ascii="Arial" w:hAnsi="Arial" w:cs="Arial"/>
                <w:sz w:val="20"/>
                <w:szCs w:val="20"/>
              </w:rPr>
              <w:t>BICE</w:t>
            </w:r>
            <w:r w:rsidRPr="00B34A61">
              <w:rPr>
                <w:rFonts w:ascii="Arial" w:hAnsi="Arial" w:cs="Arial"/>
                <w:sz w:val="20"/>
                <w:szCs w:val="20"/>
              </w:rPr>
              <w:t xml:space="preserve"> will agree on corrective actions or measures necessary to address impacts and risks and/or to enhance their management. </w:t>
            </w:r>
          </w:p>
          <w:p w14:paraId="036709AA" w14:textId="77777777" w:rsidR="005D6A90" w:rsidRPr="00B34A61" w:rsidDel="00A11ACD" w:rsidRDefault="005D6A90" w:rsidP="00C004B3">
            <w:pPr>
              <w:tabs>
                <w:tab w:val="num" w:pos="720"/>
              </w:tabs>
              <w:ind w:right="165"/>
              <w:rPr>
                <w:rFonts w:ascii="Arial" w:eastAsia="Times New Roman" w:hAnsi="Arial" w:cs="Arial"/>
                <w:sz w:val="20"/>
                <w:szCs w:val="20"/>
                <w:shd w:val="clear" w:color="auto" w:fill="FFFFFF"/>
              </w:rPr>
            </w:pPr>
          </w:p>
        </w:tc>
      </w:tr>
      <w:tr w:rsidR="00360F5E" w:rsidRPr="00B34A61" w14:paraId="036709AD"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9AC" w14:textId="77777777" w:rsidR="00360F5E" w:rsidRPr="00B34A61" w:rsidRDefault="00360F5E" w:rsidP="0032085B">
            <w:pPr>
              <w:pStyle w:val="ListParagraph"/>
              <w:numPr>
                <w:ilvl w:val="0"/>
                <w:numId w:val="6"/>
              </w:numPr>
              <w:rPr>
                <w:rFonts w:ascii="Arial" w:eastAsia="Times New Roman" w:hAnsi="Arial" w:cs="Arial"/>
                <w:b/>
                <w:bCs/>
                <w:sz w:val="20"/>
                <w:szCs w:val="20"/>
              </w:rPr>
            </w:pPr>
            <w:r w:rsidRPr="00B34A61">
              <w:rPr>
                <w:rFonts w:ascii="Arial" w:eastAsia="Times New Roman" w:hAnsi="Arial" w:cs="Arial"/>
                <w:b/>
                <w:bCs/>
                <w:sz w:val="20"/>
                <w:szCs w:val="20"/>
              </w:rPr>
              <w:t xml:space="preserve">Environmental and Social Requirements </w:t>
            </w:r>
          </w:p>
        </w:tc>
      </w:tr>
      <w:tr w:rsidR="00360F5E" w:rsidRPr="00B34A61" w14:paraId="036709BF"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9AE" w14:textId="77777777" w:rsidR="00360F5E" w:rsidRPr="00B34A61" w:rsidRDefault="00360F5E" w:rsidP="00360F5E">
            <w:pPr>
              <w:tabs>
                <w:tab w:val="num" w:pos="720"/>
              </w:tabs>
              <w:ind w:right="165"/>
              <w:rPr>
                <w:rFonts w:ascii="Arial" w:eastAsia="Times New Roman" w:hAnsi="Arial" w:cs="Arial"/>
                <w:color w:val="000000" w:themeColor="text1"/>
                <w:sz w:val="20"/>
                <w:szCs w:val="20"/>
                <w:shd w:val="clear" w:color="auto" w:fill="FFFFFF"/>
              </w:rPr>
            </w:pPr>
          </w:p>
          <w:p w14:paraId="036709AF" w14:textId="77777777" w:rsidR="00360F5E" w:rsidRPr="00B34A61" w:rsidRDefault="00360F5E" w:rsidP="00360F5E">
            <w:pPr>
              <w:tabs>
                <w:tab w:val="num" w:pos="720"/>
              </w:tabs>
              <w:ind w:right="165"/>
              <w:rPr>
                <w:rFonts w:ascii="Arial" w:hAnsi="Arial" w:cs="Arial"/>
                <w:bCs/>
                <w:color w:val="000000" w:themeColor="text1"/>
                <w:sz w:val="20"/>
                <w:szCs w:val="20"/>
              </w:rPr>
            </w:pPr>
            <w:r w:rsidRPr="00B34A61">
              <w:rPr>
                <w:rFonts w:ascii="Arial" w:eastAsia="Times New Roman" w:hAnsi="Arial" w:cs="Arial"/>
                <w:color w:val="000000" w:themeColor="text1"/>
                <w:sz w:val="20"/>
                <w:szCs w:val="20"/>
                <w:shd w:val="clear" w:color="auto" w:fill="FFFFFF"/>
              </w:rPr>
              <w:t xml:space="preserve">In order to meet the requirements of the Bank’s Environmental and Social Safeguard Policies, </w:t>
            </w:r>
            <w:r w:rsidR="007357E1" w:rsidRPr="00B34A61">
              <w:rPr>
                <w:rFonts w:ascii="Arial" w:eastAsia="Times New Roman" w:hAnsi="Arial" w:cs="Arial"/>
                <w:color w:val="000000" w:themeColor="text1"/>
                <w:sz w:val="20"/>
                <w:szCs w:val="20"/>
                <w:shd w:val="clear" w:color="auto" w:fill="FFFFFF"/>
              </w:rPr>
              <w:t>BICE</w:t>
            </w:r>
            <w:r w:rsidRPr="00B34A61">
              <w:rPr>
                <w:rFonts w:ascii="Arial" w:eastAsia="Times New Roman" w:hAnsi="Arial" w:cs="Arial"/>
                <w:color w:val="000000" w:themeColor="text1"/>
                <w:sz w:val="20"/>
                <w:szCs w:val="20"/>
                <w:shd w:val="clear" w:color="auto" w:fill="FFFFFF"/>
              </w:rPr>
              <w:t xml:space="preserve"> will comply to the satisfaction of the Bank with the ESHS contractual terms and conditions set forth in Annex B. These terms and conditions can only be modified with the prior written consent of the Bank, including clearance by ESG. </w:t>
            </w:r>
            <w:r w:rsidRPr="00B34A61">
              <w:rPr>
                <w:rFonts w:ascii="Arial" w:hAnsi="Arial" w:cs="Arial"/>
                <w:bCs/>
                <w:color w:val="000000" w:themeColor="text1"/>
                <w:sz w:val="20"/>
                <w:szCs w:val="20"/>
              </w:rPr>
              <w:t>These conditions and definitions will be incorporated into the Loan Agreement and as such t</w:t>
            </w:r>
            <w:r w:rsidRPr="00B34A61">
              <w:rPr>
                <w:rFonts w:ascii="Arial" w:eastAsia="Times New Roman" w:hAnsi="Arial" w:cs="Arial"/>
                <w:color w:val="000000" w:themeColor="text1"/>
                <w:sz w:val="20"/>
                <w:szCs w:val="20"/>
                <w:shd w:val="clear" w:color="auto" w:fill="FFFFFF"/>
              </w:rPr>
              <w:t>he B</w:t>
            </w:r>
            <w:r w:rsidRPr="00B34A61">
              <w:rPr>
                <w:rFonts w:ascii="Arial" w:hAnsi="Arial" w:cs="Arial"/>
                <w:bCs/>
                <w:color w:val="000000" w:themeColor="text1"/>
                <w:sz w:val="20"/>
                <w:szCs w:val="20"/>
              </w:rPr>
              <w:t xml:space="preserve">orrower is legally bound to comply with these conditions. </w:t>
            </w:r>
          </w:p>
          <w:p w14:paraId="036709B0" w14:textId="77777777" w:rsidR="00360F5E" w:rsidRPr="00B34A61" w:rsidRDefault="00360F5E" w:rsidP="00360F5E">
            <w:pPr>
              <w:tabs>
                <w:tab w:val="num" w:pos="720"/>
              </w:tabs>
              <w:ind w:right="165"/>
              <w:rPr>
                <w:rFonts w:ascii="Arial" w:eastAsia="Times New Roman" w:hAnsi="Arial" w:cs="Arial"/>
                <w:i/>
                <w:color w:val="000000" w:themeColor="text1"/>
                <w:sz w:val="20"/>
                <w:szCs w:val="20"/>
                <w:shd w:val="clear" w:color="auto" w:fill="FFFFFF"/>
              </w:rPr>
            </w:pPr>
          </w:p>
          <w:p w14:paraId="036709B1" w14:textId="77777777" w:rsidR="007357E1" w:rsidRPr="00B34A61" w:rsidRDefault="007357E1" w:rsidP="007357E1">
            <w:pPr>
              <w:jc w:val="both"/>
              <w:rPr>
                <w:rFonts w:ascii="Arial" w:hAnsi="Arial" w:cs="Arial"/>
                <w:sz w:val="20"/>
                <w:szCs w:val="20"/>
              </w:rPr>
            </w:pPr>
            <w:r w:rsidRPr="00B34A61">
              <w:rPr>
                <w:rFonts w:ascii="Arial" w:hAnsi="Arial" w:cs="Arial"/>
                <w:sz w:val="20"/>
                <w:szCs w:val="20"/>
              </w:rPr>
              <w:t xml:space="preserve">For this Project, and within the framework of eligibility requirements established for the </w:t>
            </w:r>
            <w:r w:rsidR="00B44034" w:rsidRPr="00B34A61">
              <w:rPr>
                <w:rFonts w:ascii="Arial" w:hAnsi="Arial" w:cs="Arial"/>
                <w:sz w:val="20"/>
                <w:szCs w:val="20"/>
              </w:rPr>
              <w:t>subproject</w:t>
            </w:r>
            <w:r w:rsidRPr="00B34A61">
              <w:rPr>
                <w:rFonts w:ascii="Arial" w:hAnsi="Arial" w:cs="Arial"/>
                <w:sz w:val="20"/>
                <w:szCs w:val="20"/>
              </w:rPr>
              <w:t>s in agreement with IDB, the Bank will contractually require BICE to manage the Project taking into consideration the following:</w:t>
            </w:r>
          </w:p>
          <w:p w14:paraId="036709B2"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 xml:space="preserve">The </w:t>
            </w:r>
            <w:r w:rsidR="00B44034" w:rsidRPr="00B34A61">
              <w:rPr>
                <w:rFonts w:ascii="Arial" w:hAnsi="Arial" w:cs="Arial"/>
                <w:sz w:val="20"/>
                <w:szCs w:val="20"/>
              </w:rPr>
              <w:t>subproject</w:t>
            </w:r>
            <w:r w:rsidRPr="00B34A61">
              <w:rPr>
                <w:rFonts w:ascii="Arial" w:hAnsi="Arial" w:cs="Arial"/>
                <w:sz w:val="20"/>
                <w:szCs w:val="20"/>
              </w:rPr>
              <w:t>s shall comply with all applicable environmental, social, health and safety, and labor regulatory requirements of Argentina.</w:t>
            </w:r>
          </w:p>
          <w:p w14:paraId="036709B3"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 xml:space="preserve">BICE will confirm that LFIs participating in the Project and the </w:t>
            </w:r>
            <w:r w:rsidR="00B44034" w:rsidRPr="00B34A61">
              <w:rPr>
                <w:rFonts w:ascii="Arial" w:hAnsi="Arial" w:cs="Arial"/>
                <w:sz w:val="20"/>
                <w:szCs w:val="20"/>
              </w:rPr>
              <w:t>subproject</w:t>
            </w:r>
            <w:r w:rsidRPr="00B34A61">
              <w:rPr>
                <w:rFonts w:ascii="Arial" w:hAnsi="Arial" w:cs="Arial"/>
                <w:sz w:val="20"/>
                <w:szCs w:val="20"/>
              </w:rPr>
              <w:t xml:space="preserve">s financed through this Project comply with all applicable environmental, social, health and safety, and labor regulatory requirements of Argentina. </w:t>
            </w:r>
          </w:p>
          <w:p w14:paraId="036709B4"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To strengthen its capacity to discharge its environmental and social responsibilities, BICE will appoint an Environmental and Social Coordinator for the duration of the Project.</w:t>
            </w:r>
          </w:p>
          <w:p w14:paraId="036709B5"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 xml:space="preserve">The IDB exclusion list will be Integrated into the loan approval process (see Annex </w:t>
            </w:r>
            <w:r w:rsidR="00FC7694" w:rsidRPr="00B34A61">
              <w:rPr>
                <w:rFonts w:ascii="Arial" w:hAnsi="Arial" w:cs="Arial"/>
                <w:sz w:val="20"/>
                <w:szCs w:val="20"/>
              </w:rPr>
              <w:t>C</w:t>
            </w:r>
            <w:r w:rsidRPr="00B34A61">
              <w:rPr>
                <w:rFonts w:ascii="Arial" w:hAnsi="Arial" w:cs="Arial"/>
                <w:sz w:val="20"/>
                <w:szCs w:val="20"/>
              </w:rPr>
              <w:t xml:space="preserve">). It is worth noting that this list excludes, among others, </w:t>
            </w:r>
            <w:r w:rsidR="00B44034" w:rsidRPr="00B34A61">
              <w:rPr>
                <w:rFonts w:ascii="Arial" w:hAnsi="Arial" w:cs="Arial"/>
                <w:sz w:val="20"/>
                <w:szCs w:val="20"/>
              </w:rPr>
              <w:t>subproject</w:t>
            </w:r>
            <w:r w:rsidRPr="00B34A61">
              <w:rPr>
                <w:rFonts w:ascii="Arial" w:hAnsi="Arial" w:cs="Arial"/>
                <w:sz w:val="20"/>
                <w:szCs w:val="20"/>
              </w:rPr>
              <w:t>s that</w:t>
            </w:r>
            <w:r w:rsidR="00B44034" w:rsidRPr="00B34A61">
              <w:rPr>
                <w:rFonts w:ascii="Arial" w:hAnsi="Arial" w:cs="Arial"/>
                <w:sz w:val="20"/>
                <w:szCs w:val="20"/>
              </w:rPr>
              <w:t>:</w:t>
            </w:r>
            <w:r w:rsidRPr="00B34A61">
              <w:rPr>
                <w:rFonts w:ascii="Arial" w:hAnsi="Arial" w:cs="Arial"/>
                <w:sz w:val="20"/>
                <w:szCs w:val="20"/>
              </w:rPr>
              <w:t xml:space="preserve"> (i) involve inv</w:t>
            </w:r>
            <w:r w:rsidR="00B44034" w:rsidRPr="00B34A61">
              <w:rPr>
                <w:rFonts w:ascii="Arial" w:hAnsi="Arial" w:cs="Arial"/>
                <w:sz w:val="20"/>
                <w:szCs w:val="20"/>
              </w:rPr>
              <w:t>oluntary resettlement of people;</w:t>
            </w:r>
            <w:r w:rsidRPr="00B34A61">
              <w:rPr>
                <w:rFonts w:ascii="Arial" w:hAnsi="Arial" w:cs="Arial"/>
                <w:sz w:val="20"/>
                <w:szCs w:val="20"/>
              </w:rPr>
              <w:t xml:space="preserve"> (ii) have a potentially adverse social impact on communities and/or indigenous peoples</w:t>
            </w:r>
            <w:r w:rsidR="00B44034" w:rsidRPr="00B34A61">
              <w:rPr>
                <w:rFonts w:ascii="Arial" w:hAnsi="Arial" w:cs="Arial"/>
                <w:sz w:val="20"/>
                <w:szCs w:val="20"/>
              </w:rPr>
              <w:t>; and</w:t>
            </w:r>
            <w:r w:rsidRPr="00B34A61">
              <w:rPr>
                <w:rFonts w:ascii="Arial" w:hAnsi="Arial" w:cs="Arial"/>
                <w:sz w:val="20"/>
                <w:szCs w:val="20"/>
              </w:rPr>
              <w:t xml:space="preserve"> (iii) involve conversion or degradation of critical natural habitats or cultural sites.</w:t>
            </w:r>
          </w:p>
          <w:p w14:paraId="036709B6"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 xml:space="preserve">For energy efficiency </w:t>
            </w:r>
            <w:r w:rsidR="00B44034" w:rsidRPr="00B34A61">
              <w:rPr>
                <w:rFonts w:ascii="Arial" w:hAnsi="Arial" w:cs="Arial"/>
                <w:sz w:val="20"/>
                <w:szCs w:val="20"/>
              </w:rPr>
              <w:t>subproject</w:t>
            </w:r>
            <w:r w:rsidRPr="00B34A61">
              <w:rPr>
                <w:rFonts w:ascii="Arial" w:hAnsi="Arial" w:cs="Arial"/>
                <w:sz w:val="20"/>
                <w:szCs w:val="20"/>
              </w:rPr>
              <w:t xml:space="preserve">s, the </w:t>
            </w:r>
            <w:r w:rsidR="00B44034" w:rsidRPr="00B34A61">
              <w:rPr>
                <w:rFonts w:ascii="Arial" w:hAnsi="Arial" w:cs="Arial"/>
                <w:sz w:val="20"/>
                <w:szCs w:val="20"/>
              </w:rPr>
              <w:t>subproject</w:t>
            </w:r>
            <w:r w:rsidRPr="00B34A61">
              <w:rPr>
                <w:rFonts w:ascii="Arial" w:hAnsi="Arial" w:cs="Arial"/>
                <w:sz w:val="20"/>
                <w:szCs w:val="20"/>
              </w:rPr>
              <w:t xml:space="preserve"> shall adopt and implement a Decommissioning and Disposal Protocol for replaced equipment and materials acceptable to the IDB, to be presented by BICE and approved by the IDB as a condition prior to first disbursement. The protocol must ensure that any equipment replaced is not reused and is appropriately disposed. It will include the necessary description of each party responsibility. Once approved, said Protocol will be part of this ESMR and as such will apply to BICE, the participating LFI and each respective </w:t>
            </w:r>
            <w:r w:rsidR="00B44034" w:rsidRPr="00B34A61">
              <w:rPr>
                <w:rFonts w:ascii="Arial" w:hAnsi="Arial" w:cs="Arial"/>
                <w:sz w:val="20"/>
                <w:szCs w:val="20"/>
              </w:rPr>
              <w:t>subproject</w:t>
            </w:r>
            <w:r w:rsidRPr="00B34A61">
              <w:rPr>
                <w:rFonts w:ascii="Arial" w:hAnsi="Arial" w:cs="Arial"/>
                <w:sz w:val="20"/>
                <w:szCs w:val="20"/>
              </w:rPr>
              <w:t xml:space="preserve"> proponent as pertinent to their respective responsibilities.</w:t>
            </w:r>
          </w:p>
          <w:p w14:paraId="036709B7" w14:textId="77777777" w:rsidR="007357E1" w:rsidRPr="00B34A61" w:rsidRDefault="00B44034" w:rsidP="007357E1">
            <w:pPr>
              <w:pStyle w:val="ListParagraph"/>
              <w:numPr>
                <w:ilvl w:val="0"/>
                <w:numId w:val="15"/>
              </w:numPr>
              <w:jc w:val="both"/>
              <w:rPr>
                <w:rFonts w:ascii="Arial" w:hAnsi="Arial" w:cs="Arial"/>
                <w:sz w:val="20"/>
                <w:szCs w:val="20"/>
              </w:rPr>
            </w:pPr>
            <w:r w:rsidRPr="00B34A61">
              <w:rPr>
                <w:rFonts w:ascii="Arial" w:hAnsi="Arial" w:cs="Arial"/>
                <w:sz w:val="20"/>
                <w:szCs w:val="20"/>
              </w:rPr>
              <w:t>For co-generation sub</w:t>
            </w:r>
            <w:r w:rsidR="007357E1" w:rsidRPr="00B34A61">
              <w:rPr>
                <w:rFonts w:ascii="Arial" w:hAnsi="Arial" w:cs="Arial"/>
                <w:sz w:val="20"/>
                <w:szCs w:val="20"/>
              </w:rPr>
              <w:t xml:space="preserve">projects, a </w:t>
            </w:r>
            <w:r w:rsidRPr="00B34A61">
              <w:rPr>
                <w:rFonts w:ascii="Arial" w:hAnsi="Arial" w:cs="Arial"/>
                <w:sz w:val="20"/>
                <w:szCs w:val="20"/>
              </w:rPr>
              <w:t>subproject</w:t>
            </w:r>
            <w:r w:rsidR="007357E1" w:rsidRPr="00B34A61">
              <w:rPr>
                <w:rFonts w:ascii="Arial" w:hAnsi="Arial" w:cs="Arial"/>
                <w:sz w:val="20"/>
                <w:szCs w:val="20"/>
              </w:rPr>
              <w:t xml:space="preserve"> risk classification tool will be developed. The tool will be based on the IFC Converting Biomass to Energy: A Guide for Developers and Investors and will be in line with the IDB safeguards. It will be presented by BICE and approved by the IDB as a condition prior to first disbursement.  Once approved, said tool will be part of this ESMR. BICE will be responsible to classify the co-generation </w:t>
            </w:r>
            <w:r w:rsidRPr="00B34A61">
              <w:rPr>
                <w:rFonts w:ascii="Arial" w:hAnsi="Arial" w:cs="Arial"/>
                <w:sz w:val="20"/>
                <w:szCs w:val="20"/>
              </w:rPr>
              <w:t>subproject</w:t>
            </w:r>
            <w:r w:rsidR="007357E1" w:rsidRPr="00B34A61">
              <w:rPr>
                <w:rFonts w:ascii="Arial" w:hAnsi="Arial" w:cs="Arial"/>
                <w:sz w:val="20"/>
                <w:szCs w:val="20"/>
              </w:rPr>
              <w:t xml:space="preserve">s. Only B&amp;C category </w:t>
            </w:r>
            <w:r w:rsidRPr="00B34A61">
              <w:rPr>
                <w:rFonts w:ascii="Arial" w:hAnsi="Arial" w:cs="Arial"/>
                <w:sz w:val="20"/>
                <w:szCs w:val="20"/>
              </w:rPr>
              <w:t>subproject</w:t>
            </w:r>
            <w:r w:rsidR="007357E1" w:rsidRPr="00B34A61">
              <w:rPr>
                <w:rFonts w:ascii="Arial" w:hAnsi="Arial" w:cs="Arial"/>
                <w:sz w:val="20"/>
                <w:szCs w:val="20"/>
              </w:rPr>
              <w:t xml:space="preserve">s will be eligible for financing. </w:t>
            </w:r>
          </w:p>
          <w:p w14:paraId="036709B8"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F</w:t>
            </w:r>
            <w:r w:rsidR="00B44034" w:rsidRPr="00B34A61">
              <w:rPr>
                <w:rFonts w:ascii="Arial" w:hAnsi="Arial" w:cs="Arial"/>
                <w:sz w:val="20"/>
                <w:szCs w:val="20"/>
              </w:rPr>
              <w:t>or co-generation category B sub</w:t>
            </w:r>
            <w:r w:rsidRPr="00B34A61">
              <w:rPr>
                <w:rFonts w:ascii="Arial" w:hAnsi="Arial" w:cs="Arial"/>
                <w:sz w:val="20"/>
                <w:szCs w:val="20"/>
              </w:rPr>
              <w:t xml:space="preserve">projects, an external consultancy will be contracted with resources from Component 1 to realize an Environmental and Social Impact Assessment, and ensure that all </w:t>
            </w:r>
            <w:r w:rsidR="00B44034" w:rsidRPr="00B34A61">
              <w:rPr>
                <w:rFonts w:ascii="Arial" w:hAnsi="Arial" w:cs="Arial"/>
                <w:sz w:val="20"/>
                <w:szCs w:val="20"/>
              </w:rPr>
              <w:t>subproject</w:t>
            </w:r>
            <w:r w:rsidRPr="00B34A61">
              <w:rPr>
                <w:rFonts w:ascii="Arial" w:hAnsi="Arial" w:cs="Arial"/>
                <w:sz w:val="20"/>
                <w:szCs w:val="20"/>
              </w:rPr>
              <w:t xml:space="preserve">s to be financed with resources from the Project comply with the IDB safeguards (including the necessary stakeholders’ consultation - during </w:t>
            </w:r>
            <w:r w:rsidR="00B44034" w:rsidRPr="00B34A61">
              <w:rPr>
                <w:rFonts w:ascii="Arial" w:hAnsi="Arial" w:cs="Arial"/>
                <w:sz w:val="20"/>
                <w:szCs w:val="20"/>
              </w:rPr>
              <w:t>subproject</w:t>
            </w:r>
            <w:r w:rsidRPr="00B34A61">
              <w:rPr>
                <w:rFonts w:ascii="Arial" w:hAnsi="Arial" w:cs="Arial"/>
                <w:sz w:val="20"/>
                <w:szCs w:val="20"/>
              </w:rPr>
              <w:t xml:space="preserve"> preparation phase – and according to the IDB guidelines, and the implementation of a </w:t>
            </w:r>
            <w:r w:rsidR="00B44034" w:rsidRPr="00B34A61">
              <w:rPr>
                <w:rFonts w:ascii="Arial" w:hAnsi="Arial" w:cs="Arial"/>
                <w:sz w:val="20"/>
                <w:szCs w:val="20"/>
              </w:rPr>
              <w:t>subproject</w:t>
            </w:r>
            <w:r w:rsidRPr="00B34A61">
              <w:rPr>
                <w:rFonts w:ascii="Arial" w:hAnsi="Arial" w:cs="Arial"/>
                <w:sz w:val="20"/>
                <w:szCs w:val="20"/>
              </w:rPr>
              <w:t xml:space="preserve"> grievance mechanism).  The first three B category cogeneration </w:t>
            </w:r>
            <w:r w:rsidR="00B44034" w:rsidRPr="00B34A61">
              <w:rPr>
                <w:rFonts w:ascii="Arial" w:hAnsi="Arial" w:cs="Arial"/>
                <w:sz w:val="20"/>
                <w:szCs w:val="20"/>
              </w:rPr>
              <w:t>subproject</w:t>
            </w:r>
            <w:r w:rsidRPr="00B34A61">
              <w:rPr>
                <w:rFonts w:ascii="Arial" w:hAnsi="Arial" w:cs="Arial"/>
                <w:sz w:val="20"/>
                <w:szCs w:val="20"/>
              </w:rPr>
              <w:t xml:space="preserve">s will need no-objection from the IDB. </w:t>
            </w:r>
          </w:p>
          <w:p w14:paraId="036709B9"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lastRenderedPageBreak/>
              <w:t>BICE shall perform compulsory site-visits fo</w:t>
            </w:r>
            <w:r w:rsidR="00B44034" w:rsidRPr="00B34A61">
              <w:rPr>
                <w:rFonts w:ascii="Arial" w:hAnsi="Arial" w:cs="Arial"/>
                <w:sz w:val="20"/>
                <w:szCs w:val="20"/>
              </w:rPr>
              <w:t>r sub</w:t>
            </w:r>
            <w:r w:rsidRPr="00B34A61">
              <w:rPr>
                <w:rFonts w:ascii="Arial" w:hAnsi="Arial" w:cs="Arial"/>
                <w:sz w:val="20"/>
                <w:szCs w:val="20"/>
              </w:rPr>
              <w:t>projects above US$1m (E&amp;S coordinator)</w:t>
            </w:r>
          </w:p>
          <w:p w14:paraId="036709BA"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BICE shall implement a grievance mechanism at the Project level.</w:t>
            </w:r>
          </w:p>
          <w:p w14:paraId="036709BB" w14:textId="77777777" w:rsidR="007357E1"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For C</w:t>
            </w:r>
            <w:r w:rsidR="00B44034" w:rsidRPr="00B34A61">
              <w:rPr>
                <w:rFonts w:ascii="Arial" w:hAnsi="Arial" w:cs="Arial"/>
                <w:sz w:val="20"/>
                <w:szCs w:val="20"/>
              </w:rPr>
              <w:t>ategory B subprojects, the sub</w:t>
            </w:r>
            <w:r w:rsidRPr="00B34A61">
              <w:rPr>
                <w:rFonts w:ascii="Arial" w:hAnsi="Arial" w:cs="Arial"/>
                <w:sz w:val="20"/>
                <w:szCs w:val="20"/>
              </w:rPr>
              <w:t xml:space="preserve">project proponents shall implement a grievance mechanism at the </w:t>
            </w:r>
            <w:r w:rsidR="00B44034" w:rsidRPr="00B34A61">
              <w:rPr>
                <w:rFonts w:ascii="Arial" w:hAnsi="Arial" w:cs="Arial"/>
                <w:sz w:val="20"/>
                <w:szCs w:val="20"/>
              </w:rPr>
              <w:t>subproject</w:t>
            </w:r>
            <w:r w:rsidRPr="00B34A61">
              <w:rPr>
                <w:rFonts w:ascii="Arial" w:hAnsi="Arial" w:cs="Arial"/>
                <w:sz w:val="20"/>
                <w:szCs w:val="20"/>
              </w:rPr>
              <w:t xml:space="preserve"> level.</w:t>
            </w:r>
          </w:p>
          <w:p w14:paraId="036709BC" w14:textId="77777777" w:rsidR="00360F5E" w:rsidRPr="00B34A61" w:rsidRDefault="007357E1" w:rsidP="007357E1">
            <w:pPr>
              <w:pStyle w:val="ListParagraph"/>
              <w:numPr>
                <w:ilvl w:val="0"/>
                <w:numId w:val="15"/>
              </w:numPr>
              <w:jc w:val="both"/>
              <w:rPr>
                <w:rFonts w:ascii="Arial" w:hAnsi="Arial" w:cs="Arial"/>
                <w:sz w:val="20"/>
                <w:szCs w:val="20"/>
              </w:rPr>
            </w:pPr>
            <w:r w:rsidRPr="00B34A61">
              <w:rPr>
                <w:rFonts w:ascii="Arial" w:hAnsi="Arial" w:cs="Arial"/>
                <w:sz w:val="20"/>
                <w:szCs w:val="20"/>
              </w:rPr>
              <w:t>BICE shall provide an Annual Environmental and Social Compliance Report (ESCR) with information on the guaranteed portfolio and any particular risk issues identified, mitigation measures agreed with clients as well as compliance status.</w:t>
            </w:r>
          </w:p>
          <w:p w14:paraId="3A6A1658" w14:textId="77777777" w:rsidR="007D669A" w:rsidRDefault="007D669A" w:rsidP="00C004B3">
            <w:pPr>
              <w:tabs>
                <w:tab w:val="num" w:pos="720"/>
              </w:tabs>
              <w:ind w:right="165"/>
              <w:rPr>
                <w:rFonts w:ascii="Arial" w:hAnsi="Arial" w:cs="Arial"/>
                <w:sz w:val="20"/>
                <w:szCs w:val="20"/>
              </w:rPr>
            </w:pPr>
          </w:p>
          <w:p w14:paraId="036709BD" w14:textId="7F38A049" w:rsidR="00360F5E" w:rsidRPr="00B34A61" w:rsidRDefault="007357E1" w:rsidP="00C004B3">
            <w:pPr>
              <w:tabs>
                <w:tab w:val="num" w:pos="720"/>
              </w:tabs>
              <w:ind w:right="165"/>
              <w:rPr>
                <w:rFonts w:ascii="Arial" w:hAnsi="Arial" w:cs="Arial"/>
                <w:sz w:val="20"/>
                <w:szCs w:val="20"/>
              </w:rPr>
            </w:pPr>
            <w:r w:rsidRPr="00B34A61">
              <w:rPr>
                <w:rFonts w:ascii="Arial" w:hAnsi="Arial" w:cs="Arial"/>
                <w:sz w:val="20"/>
                <w:szCs w:val="20"/>
              </w:rPr>
              <w:t xml:space="preserve">The IDB will supervise the ESHS and labor aspects related to the use of the proceeds of the Project, as necessary either by an IDB in-house specialist or with external consultants, hired by the IDB.  To this end, BICE will provide and facilitate access by IDB to all relevant documentation, personnel and </w:t>
            </w:r>
            <w:r w:rsidR="00B44034" w:rsidRPr="00B34A61">
              <w:rPr>
                <w:rFonts w:ascii="Arial" w:hAnsi="Arial" w:cs="Arial"/>
                <w:sz w:val="20"/>
                <w:szCs w:val="20"/>
              </w:rPr>
              <w:t>subproject</w:t>
            </w:r>
            <w:r w:rsidRPr="00B34A61">
              <w:rPr>
                <w:rFonts w:ascii="Arial" w:hAnsi="Arial" w:cs="Arial"/>
                <w:sz w:val="20"/>
                <w:szCs w:val="20"/>
              </w:rPr>
              <w:t xml:space="preserve">s facilities. If necessary, IDB and BICE will agree on corrective actions or measures necessary to address impacts and risks and/or to enhance their management. </w:t>
            </w:r>
          </w:p>
          <w:p w14:paraId="036709BE" w14:textId="77777777" w:rsidR="007357E1" w:rsidRPr="00B34A61" w:rsidRDefault="007357E1" w:rsidP="00C004B3">
            <w:pPr>
              <w:tabs>
                <w:tab w:val="num" w:pos="720"/>
              </w:tabs>
              <w:ind w:right="165"/>
              <w:rPr>
                <w:rFonts w:ascii="Arial" w:hAnsi="Arial" w:cs="Arial"/>
                <w:sz w:val="20"/>
                <w:szCs w:val="20"/>
                <w:shd w:val="clear" w:color="auto" w:fill="FFFFFF"/>
              </w:rPr>
            </w:pPr>
          </w:p>
        </w:tc>
      </w:tr>
      <w:tr w:rsidR="00360F5E" w:rsidRPr="00B34A61" w14:paraId="036709C1"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36709C0" w14:textId="77777777" w:rsidR="00360F5E" w:rsidRPr="00B34A61" w:rsidRDefault="00360F5E" w:rsidP="0032085B">
            <w:pPr>
              <w:pStyle w:val="ListParagraph"/>
              <w:numPr>
                <w:ilvl w:val="0"/>
                <w:numId w:val="6"/>
              </w:numPr>
              <w:rPr>
                <w:rFonts w:ascii="Arial" w:eastAsia="Times New Roman" w:hAnsi="Arial" w:cs="Arial"/>
                <w:b/>
                <w:bCs/>
                <w:sz w:val="20"/>
                <w:szCs w:val="20"/>
              </w:rPr>
            </w:pPr>
            <w:r w:rsidRPr="00B34A61">
              <w:rPr>
                <w:rFonts w:ascii="Arial" w:eastAsia="Times New Roman" w:hAnsi="Arial" w:cs="Arial"/>
                <w:b/>
                <w:bCs/>
                <w:sz w:val="20"/>
                <w:szCs w:val="20"/>
              </w:rPr>
              <w:lastRenderedPageBreak/>
              <w:t xml:space="preserve">Summary of Compliance with IDB Safeguard Policies </w:t>
            </w:r>
          </w:p>
        </w:tc>
      </w:tr>
      <w:tr w:rsidR="00360F5E" w:rsidRPr="00B34A61" w14:paraId="036709C3"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36709C2" w14:textId="77777777" w:rsidR="00360F5E" w:rsidRPr="00B34A61" w:rsidRDefault="00360F5E" w:rsidP="00360F5E">
            <w:pPr>
              <w:jc w:val="both"/>
              <w:rPr>
                <w:rFonts w:ascii="Arial" w:eastAsia="Times New Roman" w:hAnsi="Arial" w:cs="Arial"/>
                <w:sz w:val="20"/>
                <w:szCs w:val="20"/>
              </w:rPr>
            </w:pPr>
            <w:r w:rsidRPr="00B34A61">
              <w:rPr>
                <w:rFonts w:ascii="Arial" w:eastAsia="Times New Roman" w:hAnsi="Arial" w:cs="Arial"/>
                <w:sz w:val="20"/>
                <w:szCs w:val="20"/>
                <w:shd w:val="clear" w:color="auto" w:fill="FFFFFF"/>
              </w:rPr>
              <w:t>See Annex A.</w:t>
            </w:r>
          </w:p>
        </w:tc>
      </w:tr>
    </w:tbl>
    <w:p w14:paraId="036709C4" w14:textId="77777777" w:rsidR="004D3CD1" w:rsidRPr="00B34A61" w:rsidRDefault="004D3CD1" w:rsidP="004127F6">
      <w:pPr>
        <w:rPr>
          <w:rFonts w:ascii="Arial" w:hAnsi="Arial" w:cs="Arial"/>
          <w:bCs/>
          <w:sz w:val="20"/>
          <w:szCs w:val="20"/>
        </w:rPr>
        <w:sectPr w:rsidR="004D3CD1" w:rsidRPr="00B34A61" w:rsidSect="005354FC">
          <w:headerReference w:type="default" r:id="rId16"/>
          <w:footerReference w:type="default" r:id="rId17"/>
          <w:pgSz w:w="12240" w:h="15840"/>
          <w:pgMar w:top="1440" w:right="1800" w:bottom="1440" w:left="1170" w:header="720" w:footer="720" w:gutter="0"/>
          <w:cols w:space="720"/>
          <w:titlePg/>
          <w:docGrid w:linePitch="360"/>
        </w:sectPr>
      </w:pPr>
    </w:p>
    <w:p w14:paraId="036709C5" w14:textId="77777777" w:rsidR="004D3CD1" w:rsidRPr="00B34A61" w:rsidRDefault="00874CC0" w:rsidP="004D3CD1">
      <w:pPr>
        <w:rPr>
          <w:rFonts w:ascii="Arial" w:hAnsi="Arial" w:cs="Arial"/>
          <w:b/>
          <w:sz w:val="20"/>
          <w:szCs w:val="20"/>
        </w:rPr>
      </w:pPr>
      <w:r w:rsidRPr="00B34A61">
        <w:rPr>
          <w:rFonts w:ascii="Arial" w:hAnsi="Arial" w:cs="Arial"/>
          <w:b/>
          <w:sz w:val="20"/>
          <w:szCs w:val="20"/>
        </w:rPr>
        <w:lastRenderedPageBreak/>
        <w:t xml:space="preserve">Annex A. </w:t>
      </w:r>
      <w:r w:rsidR="00D055D3" w:rsidRPr="00B34A61">
        <w:rPr>
          <w:rFonts w:ascii="Arial" w:hAnsi="Arial" w:cs="Arial"/>
          <w:b/>
          <w:sz w:val="20"/>
          <w:szCs w:val="20"/>
        </w:rPr>
        <w:t>Summary of Compliance with IDB Safeguard Policies</w:t>
      </w:r>
      <w:r w:rsidR="00AF5C47" w:rsidRPr="00B34A61">
        <w:rPr>
          <w:rStyle w:val="FootnoteReference"/>
          <w:rFonts w:ascii="Arial" w:hAnsi="Arial" w:cs="Arial"/>
          <w:b/>
          <w:sz w:val="20"/>
          <w:szCs w:val="20"/>
        </w:rPr>
        <w:footnoteReference w:id="5"/>
      </w:r>
    </w:p>
    <w:tbl>
      <w:tblPr>
        <w:tblStyle w:val="TableGrid"/>
        <w:tblW w:w="13793" w:type="dxa"/>
        <w:tblInd w:w="-5" w:type="dxa"/>
        <w:tblLayout w:type="fixed"/>
        <w:tblLook w:val="04A0" w:firstRow="1" w:lastRow="0" w:firstColumn="1" w:lastColumn="0" w:noHBand="0" w:noVBand="1"/>
      </w:tblPr>
      <w:tblGrid>
        <w:gridCol w:w="2903"/>
        <w:gridCol w:w="2137"/>
        <w:gridCol w:w="4320"/>
        <w:gridCol w:w="23"/>
        <w:gridCol w:w="4410"/>
      </w:tblGrid>
      <w:tr w:rsidR="002C120B" w:rsidRPr="00B34A61" w14:paraId="036709CA" w14:textId="77777777" w:rsidTr="00E82550">
        <w:trPr>
          <w:trHeight w:val="323"/>
        </w:trPr>
        <w:tc>
          <w:tcPr>
            <w:tcW w:w="2903" w:type="dxa"/>
            <w:shd w:val="clear" w:color="auto" w:fill="95B3D7" w:themeFill="accent1" w:themeFillTint="99"/>
            <w:vAlign w:val="center"/>
          </w:tcPr>
          <w:p w14:paraId="036709C6" w14:textId="77777777" w:rsidR="002C120B" w:rsidRPr="00B34A61" w:rsidRDefault="002C120B">
            <w:pPr>
              <w:tabs>
                <w:tab w:val="left" w:pos="3200"/>
              </w:tabs>
              <w:jc w:val="center"/>
              <w:rPr>
                <w:rFonts w:ascii="Arial" w:hAnsi="Arial" w:cs="Arial"/>
                <w:b/>
                <w:sz w:val="20"/>
                <w:szCs w:val="20"/>
              </w:rPr>
            </w:pPr>
            <w:r w:rsidRPr="00B34A61">
              <w:rPr>
                <w:rFonts w:ascii="Arial" w:hAnsi="Arial" w:cs="Arial"/>
                <w:b/>
                <w:sz w:val="20"/>
                <w:szCs w:val="20"/>
              </w:rPr>
              <w:t>Policies</w:t>
            </w:r>
            <w:r w:rsidR="00A00C5A" w:rsidRPr="00B34A61">
              <w:rPr>
                <w:rFonts w:ascii="Arial" w:hAnsi="Arial" w:cs="Arial"/>
                <w:b/>
                <w:sz w:val="20"/>
                <w:szCs w:val="20"/>
              </w:rPr>
              <w:t xml:space="preserve"> </w:t>
            </w:r>
            <w:r w:rsidRPr="00B34A61">
              <w:rPr>
                <w:rFonts w:ascii="Arial" w:hAnsi="Arial" w:cs="Arial"/>
                <w:b/>
                <w:sz w:val="20"/>
                <w:szCs w:val="20"/>
              </w:rPr>
              <w:t>/ Directives</w:t>
            </w:r>
          </w:p>
        </w:tc>
        <w:tc>
          <w:tcPr>
            <w:tcW w:w="2137" w:type="dxa"/>
            <w:tcBorders>
              <w:bottom w:val="single" w:sz="4" w:space="0" w:color="auto"/>
            </w:tcBorders>
            <w:shd w:val="clear" w:color="auto" w:fill="95B3D7" w:themeFill="accent1" w:themeFillTint="99"/>
            <w:vAlign w:val="center"/>
          </w:tcPr>
          <w:p w14:paraId="036709C7" w14:textId="77777777" w:rsidR="002C120B" w:rsidRPr="00B34A61" w:rsidRDefault="002C120B">
            <w:pPr>
              <w:tabs>
                <w:tab w:val="left" w:pos="3200"/>
              </w:tabs>
              <w:jc w:val="center"/>
              <w:rPr>
                <w:rFonts w:ascii="Arial" w:hAnsi="Arial" w:cs="Arial"/>
                <w:b/>
                <w:sz w:val="20"/>
                <w:szCs w:val="20"/>
              </w:rPr>
            </w:pPr>
            <w:r w:rsidRPr="00B34A61">
              <w:rPr>
                <w:rFonts w:ascii="Arial" w:hAnsi="Arial" w:cs="Arial"/>
                <w:b/>
                <w:sz w:val="20"/>
                <w:szCs w:val="20"/>
              </w:rPr>
              <w:t>Applicable Policy</w:t>
            </w:r>
            <w:r w:rsidR="00A00C5A" w:rsidRPr="00B34A61">
              <w:rPr>
                <w:rFonts w:ascii="Arial" w:hAnsi="Arial" w:cs="Arial"/>
                <w:b/>
                <w:sz w:val="20"/>
                <w:szCs w:val="20"/>
              </w:rPr>
              <w:t xml:space="preserve"> </w:t>
            </w:r>
            <w:r w:rsidRPr="00B34A61">
              <w:rPr>
                <w:rFonts w:ascii="Arial" w:hAnsi="Arial" w:cs="Arial"/>
                <w:b/>
                <w:sz w:val="20"/>
                <w:szCs w:val="20"/>
              </w:rPr>
              <w:t>/</w:t>
            </w:r>
            <w:r w:rsidR="00A00C5A" w:rsidRPr="00B34A61">
              <w:rPr>
                <w:rFonts w:ascii="Arial" w:hAnsi="Arial" w:cs="Arial"/>
                <w:b/>
                <w:sz w:val="20"/>
                <w:szCs w:val="20"/>
              </w:rPr>
              <w:t xml:space="preserve"> </w:t>
            </w:r>
            <w:r w:rsidRPr="00B34A61">
              <w:rPr>
                <w:rFonts w:ascii="Arial" w:hAnsi="Arial" w:cs="Arial"/>
                <w:b/>
                <w:sz w:val="20"/>
                <w:szCs w:val="20"/>
              </w:rPr>
              <w:t>Directive Aspect</w:t>
            </w:r>
          </w:p>
        </w:tc>
        <w:tc>
          <w:tcPr>
            <w:tcW w:w="4343" w:type="dxa"/>
            <w:gridSpan w:val="2"/>
            <w:tcBorders>
              <w:bottom w:val="single" w:sz="4" w:space="0" w:color="auto"/>
            </w:tcBorders>
            <w:shd w:val="clear" w:color="auto" w:fill="95B3D7" w:themeFill="accent1" w:themeFillTint="99"/>
            <w:vAlign w:val="center"/>
          </w:tcPr>
          <w:p w14:paraId="036709C8" w14:textId="77777777" w:rsidR="002C120B" w:rsidRPr="00B34A61" w:rsidRDefault="002C120B" w:rsidP="00B505FD">
            <w:pPr>
              <w:tabs>
                <w:tab w:val="left" w:pos="3200"/>
              </w:tabs>
              <w:jc w:val="center"/>
              <w:rPr>
                <w:rFonts w:ascii="Arial" w:hAnsi="Arial" w:cs="Arial"/>
                <w:b/>
                <w:sz w:val="20"/>
                <w:szCs w:val="20"/>
              </w:rPr>
            </w:pPr>
            <w:r w:rsidRPr="00B34A61">
              <w:rPr>
                <w:rFonts w:ascii="Arial" w:hAnsi="Arial" w:cs="Arial"/>
                <w:b/>
                <w:sz w:val="20"/>
                <w:szCs w:val="20"/>
              </w:rPr>
              <w:t xml:space="preserve">Compliance Status </w:t>
            </w:r>
            <w:r w:rsidR="0057636F" w:rsidRPr="00B34A61">
              <w:rPr>
                <w:rFonts w:ascii="Arial" w:hAnsi="Arial" w:cs="Arial"/>
                <w:b/>
                <w:sz w:val="20"/>
                <w:szCs w:val="20"/>
              </w:rPr>
              <w:t xml:space="preserve">and Rationale </w:t>
            </w:r>
            <w:r w:rsidRPr="00B34A61">
              <w:rPr>
                <w:rFonts w:ascii="Arial" w:hAnsi="Arial" w:cs="Arial"/>
                <w:b/>
                <w:sz w:val="20"/>
                <w:szCs w:val="20"/>
              </w:rPr>
              <w:t>with Policy / Directive Requirements</w:t>
            </w:r>
          </w:p>
        </w:tc>
        <w:tc>
          <w:tcPr>
            <w:tcW w:w="4410" w:type="dxa"/>
            <w:tcBorders>
              <w:bottom w:val="single" w:sz="4" w:space="0" w:color="auto"/>
            </w:tcBorders>
            <w:shd w:val="clear" w:color="auto" w:fill="95B3D7" w:themeFill="accent1" w:themeFillTint="99"/>
            <w:vAlign w:val="center"/>
          </w:tcPr>
          <w:p w14:paraId="036709C9" w14:textId="77777777" w:rsidR="002C120B" w:rsidRPr="00B34A61" w:rsidRDefault="002C120B">
            <w:pPr>
              <w:tabs>
                <w:tab w:val="left" w:pos="3200"/>
              </w:tabs>
              <w:jc w:val="center"/>
              <w:rPr>
                <w:rFonts w:ascii="Arial" w:hAnsi="Arial" w:cs="Arial"/>
                <w:b/>
                <w:sz w:val="20"/>
                <w:szCs w:val="20"/>
              </w:rPr>
            </w:pPr>
            <w:r w:rsidRPr="00B34A61">
              <w:rPr>
                <w:rFonts w:ascii="Arial" w:hAnsi="Arial" w:cs="Arial"/>
                <w:b/>
                <w:sz w:val="20"/>
                <w:szCs w:val="20"/>
              </w:rPr>
              <w:t>Requirements</w:t>
            </w:r>
            <w:r w:rsidR="00A00C5A" w:rsidRPr="00B34A61">
              <w:rPr>
                <w:rFonts w:ascii="Arial" w:hAnsi="Arial" w:cs="Arial"/>
                <w:b/>
                <w:sz w:val="20"/>
                <w:szCs w:val="20"/>
              </w:rPr>
              <w:t xml:space="preserve"> </w:t>
            </w:r>
            <w:r w:rsidRPr="00B34A61">
              <w:rPr>
                <w:rFonts w:ascii="Arial" w:hAnsi="Arial" w:cs="Arial"/>
                <w:b/>
                <w:sz w:val="20"/>
                <w:szCs w:val="20"/>
              </w:rPr>
              <w:t>/</w:t>
            </w:r>
            <w:r w:rsidR="00A00C5A" w:rsidRPr="00B34A61">
              <w:rPr>
                <w:rFonts w:ascii="Arial" w:hAnsi="Arial" w:cs="Arial"/>
                <w:b/>
                <w:sz w:val="20"/>
                <w:szCs w:val="20"/>
              </w:rPr>
              <w:t xml:space="preserve"> </w:t>
            </w:r>
            <w:r w:rsidRPr="00B34A61">
              <w:rPr>
                <w:rFonts w:ascii="Arial" w:hAnsi="Arial" w:cs="Arial"/>
                <w:b/>
                <w:sz w:val="20"/>
                <w:szCs w:val="20"/>
              </w:rPr>
              <w:t>Actions</w:t>
            </w:r>
            <w:r w:rsidR="00A00C5A" w:rsidRPr="00B34A61">
              <w:rPr>
                <w:rFonts w:ascii="Arial" w:hAnsi="Arial" w:cs="Arial"/>
                <w:b/>
                <w:sz w:val="20"/>
                <w:szCs w:val="20"/>
              </w:rPr>
              <w:t xml:space="preserve"> </w:t>
            </w:r>
            <w:r w:rsidRPr="00B34A61">
              <w:rPr>
                <w:rFonts w:ascii="Arial" w:hAnsi="Arial" w:cs="Arial"/>
                <w:b/>
                <w:sz w:val="20"/>
                <w:szCs w:val="20"/>
              </w:rPr>
              <w:t>/</w:t>
            </w:r>
            <w:r w:rsidR="00A00C5A" w:rsidRPr="00B34A61">
              <w:rPr>
                <w:rFonts w:ascii="Arial" w:hAnsi="Arial" w:cs="Arial"/>
                <w:b/>
                <w:sz w:val="20"/>
                <w:szCs w:val="20"/>
              </w:rPr>
              <w:t xml:space="preserve"> </w:t>
            </w:r>
            <w:r w:rsidRPr="00B34A61">
              <w:rPr>
                <w:rFonts w:ascii="Arial" w:hAnsi="Arial" w:cs="Arial"/>
                <w:b/>
                <w:sz w:val="20"/>
                <w:szCs w:val="20"/>
              </w:rPr>
              <w:t>Plans</w:t>
            </w:r>
          </w:p>
        </w:tc>
      </w:tr>
      <w:tr w:rsidR="00EE20EB" w:rsidRPr="00B34A61" w14:paraId="036709CC" w14:textId="77777777" w:rsidTr="000361A6">
        <w:trPr>
          <w:trHeight w:val="323"/>
        </w:trPr>
        <w:tc>
          <w:tcPr>
            <w:tcW w:w="13793" w:type="dxa"/>
            <w:gridSpan w:val="5"/>
            <w:shd w:val="clear" w:color="auto" w:fill="D9D9D9" w:themeFill="background1" w:themeFillShade="D9"/>
            <w:vAlign w:val="center"/>
          </w:tcPr>
          <w:p w14:paraId="036709CB" w14:textId="77777777" w:rsidR="00EE20EB" w:rsidRPr="00B34A61" w:rsidRDefault="00EE20EB" w:rsidP="006F7063">
            <w:pPr>
              <w:tabs>
                <w:tab w:val="left" w:pos="3200"/>
              </w:tabs>
              <w:jc w:val="both"/>
              <w:rPr>
                <w:rFonts w:ascii="Arial" w:hAnsi="Arial" w:cs="Arial"/>
                <w:sz w:val="20"/>
                <w:szCs w:val="20"/>
              </w:rPr>
            </w:pPr>
            <w:r w:rsidRPr="00B34A61">
              <w:rPr>
                <w:rFonts w:ascii="Arial" w:hAnsi="Arial" w:cs="Arial"/>
                <w:b/>
                <w:sz w:val="20"/>
                <w:szCs w:val="20"/>
              </w:rPr>
              <w:t>OP-703 Environment and Safeguards Compliance Policy</w:t>
            </w:r>
          </w:p>
        </w:tc>
      </w:tr>
      <w:tr w:rsidR="00641735" w:rsidRPr="00B34A61" w14:paraId="036709D6" w14:textId="77777777" w:rsidTr="00E82550">
        <w:trPr>
          <w:trHeight w:val="323"/>
        </w:trPr>
        <w:tc>
          <w:tcPr>
            <w:tcW w:w="2903" w:type="dxa"/>
            <w:shd w:val="clear" w:color="auto" w:fill="D9D9D9" w:themeFill="background1" w:themeFillShade="D9"/>
            <w:vAlign w:val="center"/>
          </w:tcPr>
          <w:p w14:paraId="036709CD" w14:textId="77777777" w:rsidR="00641735" w:rsidRPr="00B34A61" w:rsidRDefault="00641735" w:rsidP="000361A6">
            <w:pPr>
              <w:tabs>
                <w:tab w:val="left" w:pos="3200"/>
              </w:tabs>
              <w:rPr>
                <w:rFonts w:ascii="Arial" w:hAnsi="Arial" w:cs="Arial"/>
                <w:sz w:val="20"/>
                <w:szCs w:val="20"/>
              </w:rPr>
            </w:pPr>
            <w:r w:rsidRPr="00B34A61">
              <w:rPr>
                <w:rFonts w:ascii="Arial" w:hAnsi="Arial" w:cs="Arial"/>
                <w:sz w:val="20"/>
                <w:szCs w:val="20"/>
              </w:rPr>
              <w:t xml:space="preserve">B.2 Country </w:t>
            </w:r>
            <w:r w:rsidR="00611432" w:rsidRPr="00B34A61">
              <w:rPr>
                <w:rFonts w:ascii="Arial" w:hAnsi="Arial" w:cs="Arial"/>
                <w:sz w:val="20"/>
                <w:szCs w:val="20"/>
              </w:rPr>
              <w:t>L</w:t>
            </w:r>
            <w:r w:rsidRPr="00B34A61">
              <w:rPr>
                <w:rFonts w:ascii="Arial" w:hAnsi="Arial" w:cs="Arial"/>
                <w:sz w:val="20"/>
                <w:szCs w:val="20"/>
              </w:rPr>
              <w:t xml:space="preserve">aws </w:t>
            </w:r>
            <w:r w:rsidR="00611432" w:rsidRPr="00B34A61">
              <w:rPr>
                <w:rFonts w:ascii="Arial" w:hAnsi="Arial" w:cs="Arial"/>
                <w:sz w:val="20"/>
                <w:szCs w:val="20"/>
              </w:rPr>
              <w:t>and</w:t>
            </w:r>
            <w:r w:rsidRPr="00B34A61">
              <w:rPr>
                <w:rFonts w:ascii="Arial" w:hAnsi="Arial" w:cs="Arial"/>
                <w:sz w:val="20"/>
                <w:szCs w:val="20"/>
              </w:rPr>
              <w:t xml:space="preserve"> </w:t>
            </w:r>
            <w:r w:rsidR="00611432" w:rsidRPr="00B34A61">
              <w:rPr>
                <w:rFonts w:ascii="Arial" w:hAnsi="Arial" w:cs="Arial"/>
                <w:sz w:val="20"/>
                <w:szCs w:val="20"/>
              </w:rPr>
              <w:t>R</w:t>
            </w:r>
            <w:r w:rsidRPr="00B34A61">
              <w:rPr>
                <w:rFonts w:ascii="Arial" w:hAnsi="Arial" w:cs="Arial"/>
                <w:sz w:val="20"/>
                <w:szCs w:val="20"/>
              </w:rPr>
              <w:t>egulations</w:t>
            </w:r>
          </w:p>
        </w:tc>
        <w:tc>
          <w:tcPr>
            <w:tcW w:w="2137" w:type="dxa"/>
            <w:vAlign w:val="center"/>
          </w:tcPr>
          <w:p w14:paraId="036709CE" w14:textId="77777777" w:rsidR="006750E7" w:rsidRPr="00B34A61" w:rsidRDefault="006750E7" w:rsidP="006750E7">
            <w:pPr>
              <w:tabs>
                <w:tab w:val="left" w:pos="3200"/>
              </w:tabs>
              <w:rPr>
                <w:rFonts w:ascii="Arial" w:hAnsi="Arial" w:cs="Arial"/>
                <w:sz w:val="20"/>
                <w:szCs w:val="20"/>
              </w:rPr>
            </w:pPr>
            <w:r w:rsidRPr="00B34A61">
              <w:rPr>
                <w:rFonts w:ascii="Arial" w:hAnsi="Arial" w:cs="Arial"/>
                <w:sz w:val="20"/>
                <w:szCs w:val="20"/>
              </w:rPr>
              <w:t>Obtain local</w:t>
            </w:r>
          </w:p>
          <w:p w14:paraId="036709CF" w14:textId="77777777" w:rsidR="006750E7" w:rsidRPr="00B34A61" w:rsidRDefault="006750E7" w:rsidP="006750E7">
            <w:pPr>
              <w:tabs>
                <w:tab w:val="left" w:pos="3200"/>
              </w:tabs>
              <w:rPr>
                <w:rFonts w:ascii="Arial" w:hAnsi="Arial" w:cs="Arial"/>
                <w:sz w:val="20"/>
                <w:szCs w:val="20"/>
              </w:rPr>
            </w:pPr>
            <w:r w:rsidRPr="00B34A61">
              <w:rPr>
                <w:rFonts w:ascii="Arial" w:hAnsi="Arial" w:cs="Arial"/>
                <w:sz w:val="20"/>
                <w:szCs w:val="20"/>
              </w:rPr>
              <w:t>environmental</w:t>
            </w:r>
          </w:p>
          <w:p w14:paraId="036709D0" w14:textId="77777777" w:rsidR="006750E7" w:rsidRPr="00B34A61" w:rsidRDefault="006750E7" w:rsidP="006750E7">
            <w:pPr>
              <w:tabs>
                <w:tab w:val="left" w:pos="3200"/>
              </w:tabs>
              <w:rPr>
                <w:rFonts w:ascii="Arial" w:hAnsi="Arial" w:cs="Arial"/>
                <w:sz w:val="20"/>
                <w:szCs w:val="20"/>
              </w:rPr>
            </w:pPr>
            <w:r w:rsidRPr="00B34A61">
              <w:rPr>
                <w:rFonts w:ascii="Arial" w:hAnsi="Arial" w:cs="Arial"/>
                <w:sz w:val="20"/>
                <w:szCs w:val="20"/>
              </w:rPr>
              <w:t>licenses and</w:t>
            </w:r>
          </w:p>
          <w:p w14:paraId="036709D1" w14:textId="77777777" w:rsidR="00641735" w:rsidRPr="00B34A61" w:rsidRDefault="006750E7" w:rsidP="006750E7">
            <w:pPr>
              <w:tabs>
                <w:tab w:val="left" w:pos="3200"/>
              </w:tabs>
              <w:rPr>
                <w:rFonts w:ascii="Arial" w:hAnsi="Arial" w:cs="Arial"/>
                <w:sz w:val="20"/>
                <w:szCs w:val="20"/>
              </w:rPr>
            </w:pPr>
            <w:r w:rsidRPr="00B34A61">
              <w:rPr>
                <w:rFonts w:ascii="Arial" w:hAnsi="Arial" w:cs="Arial"/>
                <w:sz w:val="20"/>
                <w:szCs w:val="20"/>
              </w:rPr>
              <w:t>permits</w:t>
            </w:r>
          </w:p>
        </w:tc>
        <w:tc>
          <w:tcPr>
            <w:tcW w:w="4343" w:type="dxa"/>
            <w:gridSpan w:val="2"/>
          </w:tcPr>
          <w:p w14:paraId="036709D2" w14:textId="4D157F3F" w:rsidR="00641735" w:rsidRPr="00B34A61" w:rsidRDefault="00292828" w:rsidP="006F7063">
            <w:pPr>
              <w:tabs>
                <w:tab w:val="left" w:pos="3200"/>
              </w:tabs>
              <w:jc w:val="both"/>
              <w:rPr>
                <w:rFonts w:ascii="Arial" w:hAnsi="Arial" w:cs="Arial"/>
                <w:sz w:val="20"/>
                <w:szCs w:val="20"/>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9D3" w14:textId="69A18A8E" w:rsidR="00B479D3" w:rsidRPr="00B34A61" w:rsidRDefault="00292828" w:rsidP="00B479D3">
            <w:pPr>
              <w:tabs>
                <w:tab w:val="left" w:pos="3200"/>
              </w:tabs>
              <w:jc w:val="both"/>
              <w:rPr>
                <w:rFonts w:ascii="Arial" w:hAnsi="Arial" w:cs="Arial"/>
                <w:sz w:val="20"/>
                <w:szCs w:val="20"/>
              </w:rPr>
            </w:pPr>
            <w:r w:rsidRPr="00B34A61">
              <w:rPr>
                <w:rFonts w:ascii="Arial" w:hAnsi="Arial" w:cs="Arial"/>
                <w:sz w:val="20"/>
                <w:szCs w:val="20"/>
              </w:rPr>
              <w:t>T</w:t>
            </w:r>
            <w:r w:rsidR="00B479D3" w:rsidRPr="00B34A61">
              <w:rPr>
                <w:rFonts w:ascii="Arial" w:hAnsi="Arial" w:cs="Arial"/>
                <w:sz w:val="20"/>
                <w:szCs w:val="20"/>
              </w:rPr>
              <w:t xml:space="preserve">he Bank will require </w:t>
            </w:r>
            <w:r w:rsidR="00520EDF" w:rsidRPr="00B34A61">
              <w:rPr>
                <w:rFonts w:ascii="Arial" w:hAnsi="Arial" w:cs="Arial"/>
                <w:sz w:val="20"/>
                <w:szCs w:val="20"/>
              </w:rPr>
              <w:t>BICE</w:t>
            </w:r>
            <w:r w:rsidR="00B479D3" w:rsidRPr="00B34A61">
              <w:rPr>
                <w:rFonts w:ascii="Arial" w:hAnsi="Arial" w:cs="Arial"/>
                <w:sz w:val="20"/>
                <w:szCs w:val="20"/>
              </w:rPr>
              <w:t xml:space="preserve"> to manage the </w:t>
            </w:r>
            <w:r w:rsidR="00694CD4">
              <w:rPr>
                <w:rFonts w:ascii="Arial" w:hAnsi="Arial" w:cs="Arial"/>
                <w:sz w:val="20"/>
                <w:szCs w:val="20"/>
              </w:rPr>
              <w:t>project</w:t>
            </w:r>
            <w:r w:rsidR="00B479D3" w:rsidRPr="00B34A61">
              <w:rPr>
                <w:rFonts w:ascii="Arial" w:hAnsi="Arial" w:cs="Arial"/>
                <w:sz w:val="20"/>
                <w:szCs w:val="20"/>
              </w:rPr>
              <w:t xml:space="preserve"> according to the following requirements:</w:t>
            </w:r>
          </w:p>
          <w:p w14:paraId="036709D4" w14:textId="77777777" w:rsidR="00B479D3" w:rsidRPr="00B34A61" w:rsidRDefault="00B479D3" w:rsidP="00B479D3">
            <w:pPr>
              <w:tabs>
                <w:tab w:val="left" w:pos="3200"/>
              </w:tabs>
              <w:jc w:val="both"/>
              <w:rPr>
                <w:rFonts w:ascii="Arial" w:hAnsi="Arial" w:cs="Arial"/>
                <w:sz w:val="20"/>
                <w:szCs w:val="20"/>
              </w:rPr>
            </w:pPr>
            <w:r w:rsidRPr="00B34A61">
              <w:rPr>
                <w:rFonts w:ascii="Arial" w:hAnsi="Arial" w:cs="Arial"/>
                <w:sz w:val="20"/>
                <w:szCs w:val="20"/>
              </w:rPr>
              <w:t xml:space="preserve">1. Comply with all applicable environmental, social, health and safety, and labor regulatory requirements of </w:t>
            </w:r>
            <w:r w:rsidR="00520EDF" w:rsidRPr="00B34A61">
              <w:rPr>
                <w:rFonts w:ascii="Arial" w:hAnsi="Arial" w:cs="Arial"/>
                <w:sz w:val="20"/>
                <w:szCs w:val="20"/>
              </w:rPr>
              <w:t>Argentina</w:t>
            </w:r>
            <w:r w:rsidRPr="00B34A61">
              <w:rPr>
                <w:rFonts w:ascii="Arial" w:hAnsi="Arial" w:cs="Arial"/>
                <w:sz w:val="20"/>
                <w:szCs w:val="20"/>
              </w:rPr>
              <w:t>.</w:t>
            </w:r>
          </w:p>
          <w:p w14:paraId="036709D5" w14:textId="27F7C8C9" w:rsidR="00641735" w:rsidRPr="00B34A61" w:rsidRDefault="00B479D3" w:rsidP="00B479D3">
            <w:pPr>
              <w:tabs>
                <w:tab w:val="left" w:pos="3200"/>
              </w:tabs>
              <w:jc w:val="both"/>
              <w:rPr>
                <w:rFonts w:ascii="Arial" w:hAnsi="Arial" w:cs="Arial"/>
                <w:sz w:val="20"/>
                <w:szCs w:val="20"/>
              </w:rPr>
            </w:pPr>
            <w:r w:rsidRPr="00B34A61">
              <w:rPr>
                <w:rFonts w:ascii="Arial" w:hAnsi="Arial" w:cs="Arial"/>
                <w:sz w:val="20"/>
                <w:szCs w:val="20"/>
              </w:rPr>
              <w:t xml:space="preserve">2. Confirm that the 1st Tier Banks participating in the </w:t>
            </w:r>
            <w:r w:rsidR="00694CD4">
              <w:rPr>
                <w:rFonts w:ascii="Arial" w:hAnsi="Arial" w:cs="Arial"/>
                <w:sz w:val="20"/>
                <w:szCs w:val="20"/>
              </w:rPr>
              <w:t>project</w:t>
            </w:r>
            <w:r w:rsidRPr="00B34A61">
              <w:rPr>
                <w:rFonts w:ascii="Arial" w:hAnsi="Arial" w:cs="Arial"/>
                <w:sz w:val="20"/>
                <w:szCs w:val="20"/>
              </w:rPr>
              <w:t xml:space="preserve"> and the </w:t>
            </w:r>
            <w:r w:rsidR="00B44034" w:rsidRPr="00B34A61">
              <w:rPr>
                <w:rFonts w:ascii="Arial" w:hAnsi="Arial" w:cs="Arial"/>
                <w:sz w:val="20"/>
                <w:szCs w:val="20"/>
              </w:rPr>
              <w:t>subproject</w:t>
            </w:r>
            <w:r w:rsidRPr="00B34A61">
              <w:rPr>
                <w:rFonts w:ascii="Arial" w:hAnsi="Arial" w:cs="Arial"/>
                <w:sz w:val="20"/>
                <w:szCs w:val="20"/>
              </w:rPr>
              <w:t xml:space="preserve">s financed through this </w:t>
            </w:r>
            <w:r w:rsidR="00694CD4">
              <w:rPr>
                <w:rFonts w:ascii="Arial" w:hAnsi="Arial" w:cs="Arial"/>
                <w:sz w:val="20"/>
                <w:szCs w:val="20"/>
              </w:rPr>
              <w:t>project</w:t>
            </w:r>
            <w:r w:rsidRPr="00B34A61">
              <w:rPr>
                <w:rFonts w:ascii="Arial" w:hAnsi="Arial" w:cs="Arial"/>
                <w:sz w:val="20"/>
                <w:szCs w:val="20"/>
              </w:rPr>
              <w:t xml:space="preserve"> comply with all applicable environmental, social, health and safety, and labor regulatory requirements of </w:t>
            </w:r>
            <w:r w:rsidR="00520EDF" w:rsidRPr="00B34A61">
              <w:rPr>
                <w:rFonts w:ascii="Arial" w:hAnsi="Arial" w:cs="Arial"/>
                <w:sz w:val="20"/>
                <w:szCs w:val="20"/>
              </w:rPr>
              <w:t>A</w:t>
            </w:r>
            <w:r w:rsidR="00B44034" w:rsidRPr="00B34A61">
              <w:rPr>
                <w:rFonts w:ascii="Arial" w:hAnsi="Arial" w:cs="Arial"/>
                <w:sz w:val="20"/>
                <w:szCs w:val="20"/>
              </w:rPr>
              <w:t>r</w:t>
            </w:r>
            <w:r w:rsidR="00520EDF" w:rsidRPr="00B34A61">
              <w:rPr>
                <w:rFonts w:ascii="Arial" w:hAnsi="Arial" w:cs="Arial"/>
                <w:sz w:val="20"/>
                <w:szCs w:val="20"/>
              </w:rPr>
              <w:t>gentina</w:t>
            </w:r>
            <w:r w:rsidRPr="00B34A61">
              <w:rPr>
                <w:rFonts w:ascii="Arial" w:hAnsi="Arial" w:cs="Arial"/>
                <w:sz w:val="20"/>
                <w:szCs w:val="20"/>
              </w:rPr>
              <w:t>.</w:t>
            </w:r>
          </w:p>
        </w:tc>
      </w:tr>
      <w:tr w:rsidR="00641735" w:rsidRPr="00B34A61" w14:paraId="036709DD" w14:textId="77777777" w:rsidTr="00E82550">
        <w:trPr>
          <w:trHeight w:val="323"/>
        </w:trPr>
        <w:tc>
          <w:tcPr>
            <w:tcW w:w="2903" w:type="dxa"/>
            <w:shd w:val="clear" w:color="auto" w:fill="D9D9D9" w:themeFill="background1" w:themeFillShade="D9"/>
            <w:vAlign w:val="center"/>
          </w:tcPr>
          <w:p w14:paraId="036709D7" w14:textId="77777777" w:rsidR="00641735" w:rsidRPr="00B34A61" w:rsidRDefault="00641735" w:rsidP="000361A6">
            <w:pPr>
              <w:tabs>
                <w:tab w:val="left" w:pos="3200"/>
              </w:tabs>
              <w:rPr>
                <w:rFonts w:ascii="Arial" w:hAnsi="Arial" w:cs="Arial"/>
                <w:sz w:val="20"/>
                <w:szCs w:val="20"/>
              </w:rPr>
            </w:pPr>
            <w:r w:rsidRPr="00B34A61">
              <w:rPr>
                <w:rFonts w:ascii="Arial" w:hAnsi="Arial" w:cs="Arial"/>
                <w:sz w:val="20"/>
                <w:szCs w:val="20"/>
              </w:rPr>
              <w:t xml:space="preserve">B.3 Screening </w:t>
            </w:r>
            <w:r w:rsidR="00611432" w:rsidRPr="00B34A61">
              <w:rPr>
                <w:rFonts w:ascii="Arial" w:hAnsi="Arial" w:cs="Arial"/>
                <w:sz w:val="20"/>
                <w:szCs w:val="20"/>
              </w:rPr>
              <w:t>and</w:t>
            </w:r>
            <w:r w:rsidRPr="00B34A61">
              <w:rPr>
                <w:rFonts w:ascii="Arial" w:hAnsi="Arial" w:cs="Arial"/>
                <w:sz w:val="20"/>
                <w:szCs w:val="20"/>
              </w:rPr>
              <w:t xml:space="preserve"> Classification</w:t>
            </w:r>
          </w:p>
        </w:tc>
        <w:tc>
          <w:tcPr>
            <w:tcW w:w="2137" w:type="dxa"/>
            <w:vAlign w:val="center"/>
          </w:tcPr>
          <w:p w14:paraId="036709D8" w14:textId="77777777" w:rsidR="006750E7" w:rsidRPr="00B34A61" w:rsidRDefault="006750E7" w:rsidP="006750E7">
            <w:pPr>
              <w:tabs>
                <w:tab w:val="left" w:pos="3200"/>
              </w:tabs>
              <w:jc w:val="both"/>
              <w:rPr>
                <w:rFonts w:ascii="Arial" w:hAnsi="Arial" w:cs="Arial"/>
                <w:sz w:val="20"/>
                <w:szCs w:val="20"/>
              </w:rPr>
            </w:pPr>
            <w:r w:rsidRPr="00B34A61">
              <w:rPr>
                <w:rFonts w:ascii="Arial" w:hAnsi="Arial" w:cs="Arial"/>
                <w:sz w:val="20"/>
                <w:szCs w:val="20"/>
              </w:rPr>
              <w:t>Environmental and</w:t>
            </w:r>
          </w:p>
          <w:p w14:paraId="036709D9" w14:textId="77777777" w:rsidR="006750E7" w:rsidRPr="00B34A61" w:rsidRDefault="006750E7" w:rsidP="006750E7">
            <w:pPr>
              <w:tabs>
                <w:tab w:val="left" w:pos="3200"/>
              </w:tabs>
              <w:jc w:val="both"/>
              <w:rPr>
                <w:rFonts w:ascii="Arial" w:hAnsi="Arial" w:cs="Arial"/>
                <w:sz w:val="20"/>
                <w:szCs w:val="20"/>
              </w:rPr>
            </w:pPr>
            <w:r w:rsidRPr="00B34A61">
              <w:rPr>
                <w:rFonts w:ascii="Arial" w:hAnsi="Arial" w:cs="Arial"/>
                <w:sz w:val="20"/>
                <w:szCs w:val="20"/>
              </w:rPr>
              <w:t>social risk</w:t>
            </w:r>
          </w:p>
          <w:p w14:paraId="036709DA" w14:textId="77777777" w:rsidR="00641735" w:rsidRPr="00B34A61" w:rsidRDefault="006750E7" w:rsidP="006750E7">
            <w:pPr>
              <w:tabs>
                <w:tab w:val="left" w:pos="3200"/>
              </w:tabs>
              <w:jc w:val="both"/>
              <w:rPr>
                <w:rFonts w:ascii="Arial" w:hAnsi="Arial" w:cs="Arial"/>
                <w:sz w:val="20"/>
                <w:szCs w:val="20"/>
              </w:rPr>
            </w:pPr>
            <w:r w:rsidRPr="00B34A61">
              <w:rPr>
                <w:rFonts w:ascii="Arial" w:hAnsi="Arial" w:cs="Arial"/>
                <w:sz w:val="20"/>
                <w:szCs w:val="20"/>
              </w:rPr>
              <w:t>categorization</w:t>
            </w:r>
          </w:p>
        </w:tc>
        <w:tc>
          <w:tcPr>
            <w:tcW w:w="4343" w:type="dxa"/>
            <w:gridSpan w:val="2"/>
          </w:tcPr>
          <w:p w14:paraId="036709DB" w14:textId="62359072" w:rsidR="00641735" w:rsidRPr="00B34A61" w:rsidRDefault="00292828" w:rsidP="006F7063">
            <w:pPr>
              <w:tabs>
                <w:tab w:val="left" w:pos="3200"/>
              </w:tabs>
              <w:jc w:val="both"/>
              <w:rPr>
                <w:rFonts w:ascii="Arial" w:hAnsi="Arial" w:cs="Arial"/>
                <w:sz w:val="20"/>
                <w:szCs w:val="20"/>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9DC" w14:textId="77777777" w:rsidR="00292828" w:rsidRPr="00B34A61" w:rsidRDefault="00292828" w:rsidP="00E228C6">
            <w:pPr>
              <w:tabs>
                <w:tab w:val="left" w:pos="3200"/>
              </w:tabs>
              <w:jc w:val="both"/>
              <w:rPr>
                <w:rFonts w:ascii="Arial" w:hAnsi="Arial" w:cs="Arial"/>
                <w:sz w:val="20"/>
                <w:szCs w:val="20"/>
              </w:rPr>
            </w:pPr>
            <w:r w:rsidRPr="00B34A61">
              <w:rPr>
                <w:rFonts w:ascii="Arial" w:hAnsi="Arial" w:cs="Arial"/>
                <w:sz w:val="20"/>
                <w:szCs w:val="20"/>
              </w:rPr>
              <w:t xml:space="preserve">Only Category </w:t>
            </w:r>
            <w:r w:rsidR="00520EDF" w:rsidRPr="00B34A61">
              <w:rPr>
                <w:rFonts w:ascii="Arial" w:hAnsi="Arial" w:cs="Arial"/>
                <w:sz w:val="20"/>
                <w:szCs w:val="20"/>
              </w:rPr>
              <w:t>B&amp;</w:t>
            </w:r>
            <w:r w:rsidRPr="00B34A61">
              <w:rPr>
                <w:rFonts w:ascii="Arial" w:hAnsi="Arial" w:cs="Arial"/>
                <w:sz w:val="20"/>
                <w:szCs w:val="20"/>
              </w:rPr>
              <w:t xml:space="preserve">C project will be eligible for financing. For co-generation projects a classification tool will be developed. The tool will be based on the IFC Converting Biomass to Energy: A Guide for Developers and Investors and will be in line with the IDB safeguards. It will be presented by </w:t>
            </w:r>
            <w:r w:rsidR="00520EDF" w:rsidRPr="00B34A61">
              <w:rPr>
                <w:rFonts w:ascii="Arial" w:hAnsi="Arial" w:cs="Arial"/>
                <w:sz w:val="20"/>
                <w:szCs w:val="20"/>
              </w:rPr>
              <w:t>BICE</w:t>
            </w:r>
            <w:r w:rsidRPr="00B34A61">
              <w:rPr>
                <w:rFonts w:ascii="Arial" w:hAnsi="Arial" w:cs="Arial"/>
                <w:sz w:val="20"/>
                <w:szCs w:val="20"/>
              </w:rPr>
              <w:t xml:space="preserve"> and approved by the IDB as a condition prior to first disbursement.  Once approved, said tool will be part of this ESM</w:t>
            </w:r>
            <w:r w:rsidR="005D6A90" w:rsidRPr="00B34A61">
              <w:rPr>
                <w:rFonts w:ascii="Arial" w:hAnsi="Arial" w:cs="Arial"/>
                <w:sz w:val="20"/>
                <w:szCs w:val="20"/>
              </w:rPr>
              <w:t>R</w:t>
            </w:r>
            <w:r w:rsidRPr="00B34A61">
              <w:rPr>
                <w:rFonts w:ascii="Arial" w:hAnsi="Arial" w:cs="Arial"/>
                <w:sz w:val="20"/>
                <w:szCs w:val="20"/>
              </w:rPr>
              <w:t xml:space="preserve">. </w:t>
            </w:r>
            <w:r w:rsidR="00520EDF" w:rsidRPr="00B34A61">
              <w:rPr>
                <w:rFonts w:ascii="Arial" w:hAnsi="Arial" w:cs="Arial"/>
                <w:sz w:val="20"/>
                <w:szCs w:val="20"/>
              </w:rPr>
              <w:t>BICE</w:t>
            </w:r>
            <w:r w:rsidRPr="00B34A61">
              <w:rPr>
                <w:rFonts w:ascii="Arial" w:hAnsi="Arial" w:cs="Arial"/>
                <w:sz w:val="20"/>
                <w:szCs w:val="20"/>
              </w:rPr>
              <w:t xml:space="preserve"> will be responsible to classify the co-generation projects. Only </w:t>
            </w:r>
            <w:r w:rsidR="00520EDF" w:rsidRPr="00B34A61">
              <w:rPr>
                <w:rFonts w:ascii="Arial" w:hAnsi="Arial" w:cs="Arial"/>
                <w:sz w:val="20"/>
                <w:szCs w:val="20"/>
              </w:rPr>
              <w:t>B&amp;</w:t>
            </w:r>
            <w:r w:rsidRPr="00B34A61">
              <w:rPr>
                <w:rFonts w:ascii="Arial" w:hAnsi="Arial" w:cs="Arial"/>
                <w:sz w:val="20"/>
                <w:szCs w:val="20"/>
              </w:rPr>
              <w:t>C category projects will be eligible for financing.</w:t>
            </w:r>
          </w:p>
        </w:tc>
      </w:tr>
      <w:tr w:rsidR="000E02C8" w:rsidRPr="00B34A61" w14:paraId="036709E0" w14:textId="77777777" w:rsidTr="005D6A90">
        <w:trPr>
          <w:trHeight w:val="323"/>
        </w:trPr>
        <w:tc>
          <w:tcPr>
            <w:tcW w:w="2903" w:type="dxa"/>
            <w:shd w:val="clear" w:color="auto" w:fill="D9D9D9" w:themeFill="background1" w:themeFillShade="D9"/>
            <w:vAlign w:val="center"/>
          </w:tcPr>
          <w:p w14:paraId="036709DE" w14:textId="77777777" w:rsidR="000E02C8" w:rsidRPr="00B34A61" w:rsidRDefault="000E02C8" w:rsidP="000361A6">
            <w:pPr>
              <w:tabs>
                <w:tab w:val="left" w:pos="3200"/>
              </w:tabs>
              <w:rPr>
                <w:rFonts w:ascii="Arial" w:hAnsi="Arial" w:cs="Arial"/>
                <w:sz w:val="20"/>
                <w:szCs w:val="20"/>
              </w:rPr>
            </w:pPr>
            <w:r w:rsidRPr="00B34A61">
              <w:rPr>
                <w:rFonts w:ascii="Arial" w:hAnsi="Arial" w:cs="Arial"/>
                <w:sz w:val="20"/>
                <w:szCs w:val="20"/>
              </w:rPr>
              <w:t>B.4 Other Risk Factors</w:t>
            </w:r>
          </w:p>
        </w:tc>
        <w:tc>
          <w:tcPr>
            <w:tcW w:w="10890" w:type="dxa"/>
            <w:gridSpan w:val="4"/>
            <w:vAlign w:val="center"/>
          </w:tcPr>
          <w:p w14:paraId="036709DF"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NA</w:t>
            </w:r>
          </w:p>
        </w:tc>
      </w:tr>
      <w:tr w:rsidR="00520EDF" w:rsidRPr="00B34A61" w14:paraId="036709E6" w14:textId="77777777" w:rsidTr="00E82550">
        <w:trPr>
          <w:trHeight w:val="323"/>
        </w:trPr>
        <w:tc>
          <w:tcPr>
            <w:tcW w:w="2903" w:type="dxa"/>
            <w:shd w:val="clear" w:color="auto" w:fill="D9D9D9" w:themeFill="background1" w:themeFillShade="D9"/>
            <w:vAlign w:val="center"/>
          </w:tcPr>
          <w:p w14:paraId="036709E1" w14:textId="77777777" w:rsidR="00520EDF" w:rsidRPr="00B34A61" w:rsidRDefault="00520EDF" w:rsidP="00987340">
            <w:pPr>
              <w:tabs>
                <w:tab w:val="left" w:pos="3200"/>
              </w:tabs>
              <w:rPr>
                <w:rFonts w:ascii="Arial" w:hAnsi="Arial" w:cs="Arial"/>
                <w:sz w:val="20"/>
                <w:szCs w:val="20"/>
                <w:highlight w:val="yellow"/>
              </w:rPr>
            </w:pPr>
            <w:r w:rsidRPr="00B34A61">
              <w:rPr>
                <w:rFonts w:ascii="Arial" w:hAnsi="Arial" w:cs="Arial"/>
                <w:sz w:val="20"/>
                <w:szCs w:val="20"/>
              </w:rPr>
              <w:t>B.5 Environmental Assessment and Plans Requirements</w:t>
            </w:r>
          </w:p>
        </w:tc>
        <w:tc>
          <w:tcPr>
            <w:tcW w:w="2137" w:type="dxa"/>
            <w:vAlign w:val="center"/>
          </w:tcPr>
          <w:p w14:paraId="036709E2" w14:textId="77777777" w:rsidR="00520EDF" w:rsidRPr="00B34A61" w:rsidRDefault="00E82550" w:rsidP="00987340">
            <w:pPr>
              <w:tabs>
                <w:tab w:val="left" w:pos="3200"/>
              </w:tabs>
              <w:jc w:val="both"/>
              <w:rPr>
                <w:rFonts w:ascii="Arial" w:hAnsi="Arial" w:cs="Arial"/>
                <w:sz w:val="20"/>
                <w:szCs w:val="20"/>
                <w:highlight w:val="yellow"/>
              </w:rPr>
            </w:pPr>
            <w:r w:rsidRPr="00B34A61">
              <w:rPr>
                <w:rFonts w:ascii="Arial" w:hAnsi="Arial" w:cs="Arial"/>
                <w:sz w:val="20"/>
                <w:szCs w:val="20"/>
              </w:rPr>
              <w:t>Assessment of environmental impacts and risks, and mitigation action plans and strategy</w:t>
            </w:r>
          </w:p>
        </w:tc>
        <w:tc>
          <w:tcPr>
            <w:tcW w:w="4343" w:type="dxa"/>
            <w:gridSpan w:val="2"/>
          </w:tcPr>
          <w:p w14:paraId="036709E3" w14:textId="01B9A528" w:rsidR="00520EDF" w:rsidRPr="00B34A61" w:rsidRDefault="00E82550" w:rsidP="00987340">
            <w:pPr>
              <w:tabs>
                <w:tab w:val="left" w:pos="3200"/>
              </w:tabs>
              <w:jc w:val="both"/>
              <w:rPr>
                <w:rFonts w:ascii="Arial" w:hAnsi="Arial" w:cs="Arial"/>
                <w:sz w:val="20"/>
                <w:szCs w:val="20"/>
                <w:highlight w:val="yellow"/>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9E4" w14:textId="77777777" w:rsidR="00520EDF" w:rsidRPr="00B34A61" w:rsidRDefault="00E82550" w:rsidP="00987340">
            <w:pPr>
              <w:tabs>
                <w:tab w:val="left" w:pos="3200"/>
              </w:tabs>
              <w:jc w:val="both"/>
              <w:rPr>
                <w:rFonts w:ascii="Arial" w:hAnsi="Arial" w:cs="Arial"/>
                <w:sz w:val="20"/>
                <w:szCs w:val="20"/>
              </w:rPr>
            </w:pPr>
            <w:r w:rsidRPr="00B34A61">
              <w:rPr>
                <w:rFonts w:ascii="Arial" w:hAnsi="Arial" w:cs="Arial"/>
                <w:sz w:val="20"/>
                <w:szCs w:val="20"/>
              </w:rPr>
              <w:t>Only Category B&amp;C project will be eligible for financing. Category B subprojects require environmental and social impact assessments (ESIA).</w:t>
            </w:r>
          </w:p>
          <w:p w14:paraId="036709E5" w14:textId="77777777" w:rsidR="00E82550" w:rsidRPr="00B34A61" w:rsidRDefault="00E82550" w:rsidP="00987340">
            <w:pPr>
              <w:tabs>
                <w:tab w:val="left" w:pos="3200"/>
              </w:tabs>
              <w:jc w:val="both"/>
              <w:rPr>
                <w:rFonts w:ascii="Arial" w:hAnsi="Arial" w:cs="Arial"/>
                <w:sz w:val="20"/>
                <w:szCs w:val="20"/>
                <w:highlight w:val="yellow"/>
              </w:rPr>
            </w:pPr>
            <w:r w:rsidRPr="00B34A61">
              <w:rPr>
                <w:rFonts w:ascii="Arial" w:hAnsi="Arial" w:cs="Arial"/>
                <w:sz w:val="20"/>
                <w:szCs w:val="20"/>
              </w:rPr>
              <w:t xml:space="preserve">For co-generation category B </w:t>
            </w:r>
            <w:r w:rsidR="00B44034" w:rsidRPr="00B34A61">
              <w:rPr>
                <w:rFonts w:ascii="Arial" w:hAnsi="Arial" w:cs="Arial"/>
                <w:sz w:val="20"/>
                <w:szCs w:val="20"/>
              </w:rPr>
              <w:t>subproject</w:t>
            </w:r>
            <w:r w:rsidRPr="00B34A61">
              <w:rPr>
                <w:rFonts w:ascii="Arial" w:hAnsi="Arial" w:cs="Arial"/>
                <w:sz w:val="20"/>
                <w:szCs w:val="20"/>
              </w:rPr>
              <w:t xml:space="preserve">s, an external consultancy will be contracted with resources from Component 1 to realize an Environmental and Social Impact Assessment, and ensure that all </w:t>
            </w:r>
            <w:r w:rsidR="00B44034" w:rsidRPr="00B34A61">
              <w:rPr>
                <w:rFonts w:ascii="Arial" w:hAnsi="Arial" w:cs="Arial"/>
                <w:sz w:val="20"/>
                <w:szCs w:val="20"/>
              </w:rPr>
              <w:t>subproject</w:t>
            </w:r>
            <w:r w:rsidRPr="00B34A61">
              <w:rPr>
                <w:rFonts w:ascii="Arial" w:hAnsi="Arial" w:cs="Arial"/>
                <w:sz w:val="20"/>
                <w:szCs w:val="20"/>
              </w:rPr>
              <w:t xml:space="preserve">s to be financed with resources from the Project comply with the </w:t>
            </w:r>
            <w:r w:rsidRPr="00B34A61">
              <w:rPr>
                <w:rFonts w:ascii="Arial" w:hAnsi="Arial" w:cs="Arial"/>
                <w:sz w:val="20"/>
                <w:szCs w:val="20"/>
              </w:rPr>
              <w:lastRenderedPageBreak/>
              <w:t xml:space="preserve">IDB safeguards (including the necessary stakeholders’ consultation - during </w:t>
            </w:r>
            <w:r w:rsidR="00B44034" w:rsidRPr="00B34A61">
              <w:rPr>
                <w:rFonts w:ascii="Arial" w:hAnsi="Arial" w:cs="Arial"/>
                <w:sz w:val="20"/>
                <w:szCs w:val="20"/>
              </w:rPr>
              <w:t>subproject</w:t>
            </w:r>
            <w:r w:rsidRPr="00B34A61">
              <w:rPr>
                <w:rFonts w:ascii="Arial" w:hAnsi="Arial" w:cs="Arial"/>
                <w:sz w:val="20"/>
                <w:szCs w:val="20"/>
              </w:rPr>
              <w:t xml:space="preserve"> preparation phase – and according to the IDB guidelines, and the implementation of a </w:t>
            </w:r>
            <w:r w:rsidR="00B44034" w:rsidRPr="00B34A61">
              <w:rPr>
                <w:rFonts w:ascii="Arial" w:hAnsi="Arial" w:cs="Arial"/>
                <w:sz w:val="20"/>
                <w:szCs w:val="20"/>
              </w:rPr>
              <w:t>subproject</w:t>
            </w:r>
            <w:r w:rsidRPr="00B34A61">
              <w:rPr>
                <w:rFonts w:ascii="Arial" w:hAnsi="Arial" w:cs="Arial"/>
                <w:sz w:val="20"/>
                <w:szCs w:val="20"/>
              </w:rPr>
              <w:t xml:space="preserve"> grievance mechanism).  The first three B category cogeneration </w:t>
            </w:r>
            <w:r w:rsidR="00B44034" w:rsidRPr="00B34A61">
              <w:rPr>
                <w:rFonts w:ascii="Arial" w:hAnsi="Arial" w:cs="Arial"/>
                <w:sz w:val="20"/>
                <w:szCs w:val="20"/>
              </w:rPr>
              <w:t>subproject</w:t>
            </w:r>
            <w:r w:rsidRPr="00B34A61">
              <w:rPr>
                <w:rFonts w:ascii="Arial" w:hAnsi="Arial" w:cs="Arial"/>
                <w:sz w:val="20"/>
                <w:szCs w:val="20"/>
              </w:rPr>
              <w:t>s will need no-objection from the IDB.</w:t>
            </w:r>
          </w:p>
        </w:tc>
      </w:tr>
      <w:tr w:rsidR="00E82550" w:rsidRPr="00B34A61" w14:paraId="036709EC" w14:textId="77777777" w:rsidTr="00E82550">
        <w:trPr>
          <w:trHeight w:val="323"/>
        </w:trPr>
        <w:tc>
          <w:tcPr>
            <w:tcW w:w="2903" w:type="dxa"/>
            <w:shd w:val="clear" w:color="auto" w:fill="D9D9D9" w:themeFill="background1" w:themeFillShade="D9"/>
            <w:vAlign w:val="center"/>
          </w:tcPr>
          <w:p w14:paraId="036709E7" w14:textId="77777777" w:rsidR="00E82550" w:rsidRPr="00B34A61" w:rsidRDefault="00E82550" w:rsidP="00987340">
            <w:pPr>
              <w:tabs>
                <w:tab w:val="left" w:pos="3200"/>
              </w:tabs>
              <w:rPr>
                <w:rFonts w:ascii="Arial" w:hAnsi="Arial" w:cs="Arial"/>
                <w:sz w:val="20"/>
                <w:szCs w:val="20"/>
              </w:rPr>
            </w:pPr>
            <w:r w:rsidRPr="00B34A61">
              <w:rPr>
                <w:rFonts w:ascii="Arial" w:hAnsi="Arial" w:cs="Arial"/>
                <w:sz w:val="20"/>
                <w:szCs w:val="20"/>
              </w:rPr>
              <w:lastRenderedPageBreak/>
              <w:t>B.5 Social Assessment and Plans Requirements</w:t>
            </w:r>
          </w:p>
        </w:tc>
        <w:tc>
          <w:tcPr>
            <w:tcW w:w="2137" w:type="dxa"/>
            <w:vAlign w:val="center"/>
          </w:tcPr>
          <w:p w14:paraId="036709E8" w14:textId="77777777" w:rsidR="00E82550" w:rsidRPr="00B34A61" w:rsidRDefault="00E82550" w:rsidP="00987340">
            <w:pPr>
              <w:tabs>
                <w:tab w:val="left" w:pos="3200"/>
              </w:tabs>
              <w:jc w:val="both"/>
              <w:rPr>
                <w:rFonts w:ascii="Arial" w:hAnsi="Arial" w:cs="Arial"/>
                <w:sz w:val="20"/>
                <w:szCs w:val="20"/>
              </w:rPr>
            </w:pPr>
            <w:r w:rsidRPr="00B34A61">
              <w:rPr>
                <w:rFonts w:ascii="Arial" w:hAnsi="Arial" w:cs="Arial"/>
                <w:sz w:val="20"/>
                <w:szCs w:val="20"/>
              </w:rPr>
              <w:t>Assessment of social impacts and risks, and mitigation action plans and strategy</w:t>
            </w:r>
          </w:p>
        </w:tc>
        <w:tc>
          <w:tcPr>
            <w:tcW w:w="4343" w:type="dxa"/>
            <w:gridSpan w:val="2"/>
          </w:tcPr>
          <w:p w14:paraId="036709E9" w14:textId="38F496A3" w:rsidR="00E82550" w:rsidRPr="00B34A61" w:rsidRDefault="00E82550" w:rsidP="00987340">
            <w:pPr>
              <w:tabs>
                <w:tab w:val="left" w:pos="3200"/>
              </w:tabs>
              <w:jc w:val="both"/>
              <w:rPr>
                <w:rFonts w:ascii="Arial" w:hAnsi="Arial" w:cs="Arial"/>
                <w:sz w:val="20"/>
                <w:szCs w:val="20"/>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9EA" w14:textId="77777777" w:rsidR="00E82550" w:rsidRPr="00B34A61" w:rsidRDefault="00E82550" w:rsidP="00E82550">
            <w:pPr>
              <w:tabs>
                <w:tab w:val="left" w:pos="3200"/>
              </w:tabs>
              <w:jc w:val="both"/>
              <w:rPr>
                <w:rFonts w:ascii="Arial" w:hAnsi="Arial" w:cs="Arial"/>
                <w:sz w:val="20"/>
                <w:szCs w:val="20"/>
              </w:rPr>
            </w:pPr>
            <w:r w:rsidRPr="00B34A61">
              <w:rPr>
                <w:rFonts w:ascii="Arial" w:hAnsi="Arial" w:cs="Arial"/>
                <w:sz w:val="20"/>
                <w:szCs w:val="20"/>
              </w:rPr>
              <w:t>Only Category B&amp;C project will be eligible for financing. Category B subprojects require environmental and social impact assessments (ESIA).</w:t>
            </w:r>
          </w:p>
          <w:p w14:paraId="036709EB" w14:textId="77777777" w:rsidR="00E82550" w:rsidRPr="00B34A61" w:rsidRDefault="00E82550" w:rsidP="00E82550">
            <w:pPr>
              <w:tabs>
                <w:tab w:val="left" w:pos="3200"/>
              </w:tabs>
              <w:jc w:val="both"/>
              <w:rPr>
                <w:rFonts w:ascii="Arial" w:hAnsi="Arial" w:cs="Arial"/>
                <w:sz w:val="20"/>
                <w:szCs w:val="20"/>
              </w:rPr>
            </w:pPr>
            <w:r w:rsidRPr="00B34A61">
              <w:rPr>
                <w:rFonts w:ascii="Arial" w:hAnsi="Arial" w:cs="Arial"/>
                <w:sz w:val="20"/>
                <w:szCs w:val="20"/>
              </w:rPr>
              <w:t xml:space="preserve">For co-generation category B </w:t>
            </w:r>
            <w:r w:rsidR="00B44034" w:rsidRPr="00B34A61">
              <w:rPr>
                <w:rFonts w:ascii="Arial" w:hAnsi="Arial" w:cs="Arial"/>
                <w:sz w:val="20"/>
                <w:szCs w:val="20"/>
              </w:rPr>
              <w:t>subproject</w:t>
            </w:r>
            <w:r w:rsidRPr="00B34A61">
              <w:rPr>
                <w:rFonts w:ascii="Arial" w:hAnsi="Arial" w:cs="Arial"/>
                <w:sz w:val="20"/>
                <w:szCs w:val="20"/>
              </w:rPr>
              <w:t xml:space="preserve">s, an external consultancy will be contracted with resources from Component 1 to realize an Environmental and Social Impact Assessment, and ensure that all </w:t>
            </w:r>
            <w:r w:rsidR="00B44034" w:rsidRPr="00B34A61">
              <w:rPr>
                <w:rFonts w:ascii="Arial" w:hAnsi="Arial" w:cs="Arial"/>
                <w:sz w:val="20"/>
                <w:szCs w:val="20"/>
              </w:rPr>
              <w:t>subproject</w:t>
            </w:r>
            <w:r w:rsidRPr="00B34A61">
              <w:rPr>
                <w:rFonts w:ascii="Arial" w:hAnsi="Arial" w:cs="Arial"/>
                <w:sz w:val="20"/>
                <w:szCs w:val="20"/>
              </w:rPr>
              <w:t xml:space="preserve">s to be financed with resources from the Project comply with the IDB safeguards.  The first three B category cogeneration </w:t>
            </w:r>
            <w:r w:rsidR="00B44034" w:rsidRPr="00B34A61">
              <w:rPr>
                <w:rFonts w:ascii="Arial" w:hAnsi="Arial" w:cs="Arial"/>
                <w:sz w:val="20"/>
                <w:szCs w:val="20"/>
              </w:rPr>
              <w:t>subproject</w:t>
            </w:r>
            <w:r w:rsidRPr="00B34A61">
              <w:rPr>
                <w:rFonts w:ascii="Arial" w:hAnsi="Arial" w:cs="Arial"/>
                <w:sz w:val="20"/>
                <w:szCs w:val="20"/>
              </w:rPr>
              <w:t>s will need no-objection from the IDB.</w:t>
            </w:r>
          </w:p>
        </w:tc>
      </w:tr>
      <w:tr w:rsidR="00520EDF" w:rsidRPr="00B34A61" w14:paraId="036709F2" w14:textId="77777777" w:rsidTr="00E82550">
        <w:trPr>
          <w:trHeight w:val="323"/>
        </w:trPr>
        <w:tc>
          <w:tcPr>
            <w:tcW w:w="2903" w:type="dxa"/>
            <w:shd w:val="clear" w:color="auto" w:fill="D9D9D9" w:themeFill="background1" w:themeFillShade="D9"/>
            <w:vAlign w:val="center"/>
          </w:tcPr>
          <w:p w14:paraId="036709ED" w14:textId="77777777" w:rsidR="00520EDF" w:rsidRPr="00B34A61" w:rsidRDefault="00520EDF" w:rsidP="00987340">
            <w:pPr>
              <w:tabs>
                <w:tab w:val="left" w:pos="3200"/>
              </w:tabs>
              <w:rPr>
                <w:rFonts w:ascii="Arial" w:hAnsi="Arial" w:cs="Arial"/>
                <w:sz w:val="20"/>
                <w:szCs w:val="20"/>
              </w:rPr>
            </w:pPr>
            <w:r w:rsidRPr="00B34A61">
              <w:rPr>
                <w:rFonts w:ascii="Arial" w:hAnsi="Arial" w:cs="Arial"/>
                <w:sz w:val="20"/>
                <w:szCs w:val="20"/>
              </w:rPr>
              <w:t>B.6 Consultation (including consultation with affected women, indigenous persons, and/or minority groups)</w:t>
            </w:r>
          </w:p>
        </w:tc>
        <w:tc>
          <w:tcPr>
            <w:tcW w:w="2137" w:type="dxa"/>
            <w:vAlign w:val="center"/>
          </w:tcPr>
          <w:p w14:paraId="036709EE" w14:textId="77777777" w:rsidR="00520EDF" w:rsidRPr="00B34A61" w:rsidRDefault="00E82550" w:rsidP="00987340">
            <w:pPr>
              <w:tabs>
                <w:tab w:val="left" w:pos="3200"/>
              </w:tabs>
              <w:jc w:val="both"/>
              <w:rPr>
                <w:rFonts w:ascii="Arial" w:hAnsi="Arial" w:cs="Arial"/>
                <w:sz w:val="20"/>
                <w:szCs w:val="20"/>
              </w:rPr>
            </w:pPr>
            <w:r w:rsidRPr="00B34A61">
              <w:rPr>
                <w:rFonts w:ascii="Arial" w:hAnsi="Arial" w:cs="Arial"/>
                <w:sz w:val="20"/>
                <w:szCs w:val="20"/>
              </w:rPr>
              <w:t>Prior consultation with project-affected communities regarding impacts, risks, and mitigation strategy</w:t>
            </w:r>
          </w:p>
        </w:tc>
        <w:tc>
          <w:tcPr>
            <w:tcW w:w="4343" w:type="dxa"/>
            <w:gridSpan w:val="2"/>
          </w:tcPr>
          <w:p w14:paraId="036709EF" w14:textId="77777777" w:rsidR="00520EDF" w:rsidRPr="00B34A61" w:rsidRDefault="00E82550" w:rsidP="00987340">
            <w:pPr>
              <w:tabs>
                <w:tab w:val="left" w:pos="3200"/>
              </w:tabs>
              <w:jc w:val="both"/>
              <w:rPr>
                <w:rFonts w:ascii="Arial" w:hAnsi="Arial" w:cs="Arial"/>
                <w:sz w:val="20"/>
                <w:szCs w:val="20"/>
              </w:rPr>
            </w:pPr>
            <w:r w:rsidRPr="00B34A61">
              <w:rPr>
                <w:rFonts w:ascii="Arial" w:hAnsi="Arial" w:cs="Arial"/>
                <w:sz w:val="20"/>
                <w:szCs w:val="20"/>
              </w:rPr>
              <w:t>Compliance achievable through specific conditions established in legal documentation for actions over a defined period of time. Subprojects and their associated facilities are expected to cause livelihood impacts, among others, that require the participation of affected people and project stakeholders and consultation of ESIAs or ESAs.</w:t>
            </w:r>
          </w:p>
        </w:tc>
        <w:tc>
          <w:tcPr>
            <w:tcW w:w="4410" w:type="dxa"/>
          </w:tcPr>
          <w:p w14:paraId="036709F0" w14:textId="77777777" w:rsidR="00E82550" w:rsidRPr="00B34A61" w:rsidRDefault="00E82550" w:rsidP="00E82550">
            <w:pPr>
              <w:tabs>
                <w:tab w:val="left" w:pos="3200"/>
              </w:tabs>
              <w:jc w:val="both"/>
              <w:rPr>
                <w:rFonts w:ascii="Arial" w:hAnsi="Arial" w:cs="Arial"/>
                <w:sz w:val="20"/>
                <w:szCs w:val="20"/>
              </w:rPr>
            </w:pPr>
            <w:r w:rsidRPr="00B34A61">
              <w:rPr>
                <w:rFonts w:ascii="Arial" w:hAnsi="Arial" w:cs="Arial"/>
                <w:sz w:val="20"/>
                <w:szCs w:val="20"/>
              </w:rPr>
              <w:t xml:space="preserve">Only Category B&amp;C project will be eligible for financing. Category B subprojects require public consultation during </w:t>
            </w:r>
            <w:r w:rsidR="00B44034" w:rsidRPr="00B34A61">
              <w:rPr>
                <w:rFonts w:ascii="Arial" w:hAnsi="Arial" w:cs="Arial"/>
                <w:sz w:val="20"/>
                <w:szCs w:val="20"/>
              </w:rPr>
              <w:t>subproject</w:t>
            </w:r>
            <w:r w:rsidRPr="00B34A61">
              <w:rPr>
                <w:rFonts w:ascii="Arial" w:hAnsi="Arial" w:cs="Arial"/>
                <w:sz w:val="20"/>
                <w:szCs w:val="20"/>
              </w:rPr>
              <w:t xml:space="preserve"> preparation phase.</w:t>
            </w:r>
          </w:p>
          <w:p w14:paraId="036709F1" w14:textId="77777777" w:rsidR="00520EDF" w:rsidRPr="00B34A61" w:rsidRDefault="00E82550" w:rsidP="00E82550">
            <w:pPr>
              <w:tabs>
                <w:tab w:val="left" w:pos="3200"/>
              </w:tabs>
              <w:jc w:val="both"/>
              <w:rPr>
                <w:rFonts w:ascii="Arial" w:hAnsi="Arial" w:cs="Arial"/>
                <w:sz w:val="20"/>
                <w:szCs w:val="20"/>
              </w:rPr>
            </w:pPr>
            <w:r w:rsidRPr="00B34A61">
              <w:rPr>
                <w:rFonts w:ascii="Arial" w:hAnsi="Arial" w:cs="Arial"/>
                <w:sz w:val="20"/>
                <w:szCs w:val="20"/>
              </w:rPr>
              <w:t xml:space="preserve">For co-generation category B </w:t>
            </w:r>
            <w:r w:rsidR="00B44034" w:rsidRPr="00B34A61">
              <w:rPr>
                <w:rFonts w:ascii="Arial" w:hAnsi="Arial" w:cs="Arial"/>
                <w:sz w:val="20"/>
                <w:szCs w:val="20"/>
              </w:rPr>
              <w:t>subproject</w:t>
            </w:r>
            <w:r w:rsidRPr="00B34A61">
              <w:rPr>
                <w:rFonts w:ascii="Arial" w:hAnsi="Arial" w:cs="Arial"/>
                <w:sz w:val="20"/>
                <w:szCs w:val="20"/>
              </w:rPr>
              <w:t xml:space="preserve">s, an external consultancy will be contracted with resources from Component 1 to realize an Environmental and Social Impact Assessment, and ensure that all </w:t>
            </w:r>
            <w:r w:rsidR="00B44034" w:rsidRPr="00B34A61">
              <w:rPr>
                <w:rFonts w:ascii="Arial" w:hAnsi="Arial" w:cs="Arial"/>
                <w:sz w:val="20"/>
                <w:szCs w:val="20"/>
              </w:rPr>
              <w:t>subproject</w:t>
            </w:r>
            <w:r w:rsidRPr="00B34A61">
              <w:rPr>
                <w:rFonts w:ascii="Arial" w:hAnsi="Arial" w:cs="Arial"/>
                <w:sz w:val="20"/>
                <w:szCs w:val="20"/>
              </w:rPr>
              <w:t>s to be financed with resources from the Project comply with the IDB safeguards</w:t>
            </w:r>
            <w:r w:rsidR="008E5B67" w:rsidRPr="00B34A61">
              <w:rPr>
                <w:rFonts w:ascii="Arial" w:hAnsi="Arial" w:cs="Arial"/>
                <w:sz w:val="20"/>
                <w:szCs w:val="20"/>
              </w:rPr>
              <w:t xml:space="preserve"> This will i</w:t>
            </w:r>
            <w:r w:rsidRPr="00B34A61">
              <w:rPr>
                <w:rFonts w:ascii="Arial" w:hAnsi="Arial" w:cs="Arial"/>
                <w:sz w:val="20"/>
                <w:szCs w:val="20"/>
              </w:rPr>
              <w:t>nclud</w:t>
            </w:r>
            <w:r w:rsidR="008E5B67" w:rsidRPr="00B34A61">
              <w:rPr>
                <w:rFonts w:ascii="Arial" w:hAnsi="Arial" w:cs="Arial"/>
                <w:sz w:val="20"/>
                <w:szCs w:val="20"/>
              </w:rPr>
              <w:t>e</w:t>
            </w:r>
            <w:r w:rsidRPr="00B34A61">
              <w:rPr>
                <w:rFonts w:ascii="Arial" w:hAnsi="Arial" w:cs="Arial"/>
                <w:sz w:val="20"/>
                <w:szCs w:val="20"/>
              </w:rPr>
              <w:t xml:space="preserve"> the necessary stakeholders’ consultation - during </w:t>
            </w:r>
            <w:r w:rsidR="00B44034" w:rsidRPr="00B34A61">
              <w:rPr>
                <w:rFonts w:ascii="Arial" w:hAnsi="Arial" w:cs="Arial"/>
                <w:sz w:val="20"/>
                <w:szCs w:val="20"/>
              </w:rPr>
              <w:t>subproject</w:t>
            </w:r>
            <w:r w:rsidRPr="00B34A61">
              <w:rPr>
                <w:rFonts w:ascii="Arial" w:hAnsi="Arial" w:cs="Arial"/>
                <w:sz w:val="20"/>
                <w:szCs w:val="20"/>
              </w:rPr>
              <w:t xml:space="preserve"> preparation phase – and according to the IDB guidelines, and the implementation of a </w:t>
            </w:r>
            <w:r w:rsidR="00B44034" w:rsidRPr="00B34A61">
              <w:rPr>
                <w:rFonts w:ascii="Arial" w:hAnsi="Arial" w:cs="Arial"/>
                <w:sz w:val="20"/>
                <w:szCs w:val="20"/>
              </w:rPr>
              <w:t>subproject</w:t>
            </w:r>
            <w:r w:rsidRPr="00B34A61">
              <w:rPr>
                <w:rFonts w:ascii="Arial" w:hAnsi="Arial" w:cs="Arial"/>
                <w:sz w:val="20"/>
                <w:szCs w:val="20"/>
              </w:rPr>
              <w:t xml:space="preserve"> grievance mechanism.  The first three B category cogeneration </w:t>
            </w:r>
            <w:r w:rsidR="00B44034" w:rsidRPr="00B34A61">
              <w:rPr>
                <w:rFonts w:ascii="Arial" w:hAnsi="Arial" w:cs="Arial"/>
                <w:sz w:val="20"/>
                <w:szCs w:val="20"/>
              </w:rPr>
              <w:t>subproject</w:t>
            </w:r>
            <w:r w:rsidRPr="00B34A61">
              <w:rPr>
                <w:rFonts w:ascii="Arial" w:hAnsi="Arial" w:cs="Arial"/>
                <w:sz w:val="20"/>
                <w:szCs w:val="20"/>
              </w:rPr>
              <w:t>s will need no-objection from the IDB.</w:t>
            </w:r>
          </w:p>
        </w:tc>
      </w:tr>
      <w:tr w:rsidR="00641735" w:rsidRPr="00B34A61" w14:paraId="036709FC" w14:textId="77777777" w:rsidTr="00E82550">
        <w:trPr>
          <w:trHeight w:val="323"/>
        </w:trPr>
        <w:tc>
          <w:tcPr>
            <w:tcW w:w="2903" w:type="dxa"/>
            <w:shd w:val="clear" w:color="auto" w:fill="D9D9D9" w:themeFill="background1" w:themeFillShade="D9"/>
            <w:vAlign w:val="center"/>
          </w:tcPr>
          <w:p w14:paraId="036709F3" w14:textId="77777777" w:rsidR="00641735" w:rsidRPr="00B34A61" w:rsidRDefault="00641735" w:rsidP="000361A6">
            <w:pPr>
              <w:tabs>
                <w:tab w:val="left" w:pos="3200"/>
              </w:tabs>
              <w:rPr>
                <w:rFonts w:ascii="Arial" w:hAnsi="Arial" w:cs="Arial"/>
                <w:sz w:val="20"/>
                <w:szCs w:val="20"/>
              </w:rPr>
            </w:pPr>
            <w:r w:rsidRPr="00B34A61">
              <w:rPr>
                <w:rFonts w:ascii="Arial" w:hAnsi="Arial" w:cs="Arial"/>
                <w:sz w:val="20"/>
                <w:szCs w:val="20"/>
              </w:rPr>
              <w:t xml:space="preserve">B.7 Supervision </w:t>
            </w:r>
            <w:r w:rsidR="00611432" w:rsidRPr="00B34A61">
              <w:rPr>
                <w:rFonts w:ascii="Arial" w:hAnsi="Arial" w:cs="Arial"/>
                <w:sz w:val="20"/>
                <w:szCs w:val="20"/>
              </w:rPr>
              <w:t>and</w:t>
            </w:r>
            <w:r w:rsidRPr="00B34A61">
              <w:rPr>
                <w:rFonts w:ascii="Arial" w:hAnsi="Arial" w:cs="Arial"/>
                <w:sz w:val="20"/>
                <w:szCs w:val="20"/>
              </w:rPr>
              <w:t xml:space="preserve"> Compliance</w:t>
            </w:r>
          </w:p>
        </w:tc>
        <w:tc>
          <w:tcPr>
            <w:tcW w:w="2137" w:type="dxa"/>
            <w:vAlign w:val="center"/>
          </w:tcPr>
          <w:p w14:paraId="036709F4" w14:textId="1A43CC8D" w:rsidR="00641735" w:rsidRPr="00B34A61" w:rsidRDefault="00694CD4" w:rsidP="00292828">
            <w:pPr>
              <w:tabs>
                <w:tab w:val="left" w:pos="3200"/>
              </w:tabs>
              <w:rPr>
                <w:rFonts w:ascii="Arial" w:hAnsi="Arial" w:cs="Arial"/>
                <w:sz w:val="20"/>
                <w:szCs w:val="20"/>
              </w:rPr>
            </w:pPr>
            <w:r>
              <w:rPr>
                <w:rFonts w:ascii="Arial" w:hAnsi="Arial" w:cs="Arial"/>
                <w:sz w:val="20"/>
                <w:szCs w:val="20"/>
              </w:rPr>
              <w:t>Project</w:t>
            </w:r>
            <w:r w:rsidR="006750E7" w:rsidRPr="00B34A61">
              <w:rPr>
                <w:rFonts w:ascii="Arial" w:hAnsi="Arial" w:cs="Arial"/>
                <w:sz w:val="20"/>
                <w:szCs w:val="20"/>
              </w:rPr>
              <w:t xml:space="preserve"> and </w:t>
            </w:r>
            <w:r w:rsidR="00B44034" w:rsidRPr="00B34A61">
              <w:rPr>
                <w:rFonts w:ascii="Arial" w:hAnsi="Arial" w:cs="Arial"/>
                <w:sz w:val="20"/>
                <w:szCs w:val="20"/>
              </w:rPr>
              <w:t>subproject</w:t>
            </w:r>
            <w:r w:rsidR="006750E7" w:rsidRPr="00B34A61">
              <w:rPr>
                <w:rFonts w:ascii="Arial" w:hAnsi="Arial" w:cs="Arial"/>
                <w:sz w:val="20"/>
                <w:szCs w:val="20"/>
              </w:rPr>
              <w:t xml:space="preserve"> </w:t>
            </w:r>
            <w:r w:rsidR="006750E7" w:rsidRPr="00B34A61">
              <w:rPr>
                <w:rFonts w:ascii="Arial" w:hAnsi="Arial" w:cs="Arial"/>
                <w:sz w:val="20"/>
                <w:szCs w:val="20"/>
              </w:rPr>
              <w:lastRenderedPageBreak/>
              <w:t>supervision and monitoring.</w:t>
            </w:r>
          </w:p>
        </w:tc>
        <w:tc>
          <w:tcPr>
            <w:tcW w:w="4343" w:type="dxa"/>
            <w:gridSpan w:val="2"/>
          </w:tcPr>
          <w:p w14:paraId="036709F5" w14:textId="360AEED3" w:rsidR="00641735" w:rsidRPr="00B34A61" w:rsidRDefault="00292828" w:rsidP="006F7063">
            <w:pPr>
              <w:tabs>
                <w:tab w:val="left" w:pos="3200"/>
              </w:tabs>
              <w:jc w:val="both"/>
              <w:rPr>
                <w:rFonts w:ascii="Arial" w:hAnsi="Arial" w:cs="Arial"/>
                <w:sz w:val="20"/>
                <w:szCs w:val="20"/>
              </w:rPr>
            </w:pPr>
            <w:r w:rsidRPr="00B34A61">
              <w:rPr>
                <w:rFonts w:ascii="Arial" w:hAnsi="Arial" w:cs="Arial"/>
                <w:sz w:val="20"/>
                <w:szCs w:val="20"/>
              </w:rPr>
              <w:lastRenderedPageBreak/>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9F6" w14:textId="77777777" w:rsidR="00641735" w:rsidRPr="00B34A61" w:rsidRDefault="00520EDF" w:rsidP="006F7063">
            <w:pPr>
              <w:tabs>
                <w:tab w:val="left" w:pos="3200"/>
              </w:tabs>
              <w:jc w:val="both"/>
              <w:rPr>
                <w:rFonts w:ascii="Arial" w:hAnsi="Arial" w:cs="Arial"/>
                <w:sz w:val="20"/>
                <w:szCs w:val="20"/>
              </w:rPr>
            </w:pPr>
            <w:r w:rsidRPr="00B34A61">
              <w:rPr>
                <w:rFonts w:ascii="Arial" w:hAnsi="Arial" w:cs="Arial"/>
                <w:sz w:val="20"/>
                <w:szCs w:val="20"/>
              </w:rPr>
              <w:t>BICE</w:t>
            </w:r>
            <w:r w:rsidR="00292828" w:rsidRPr="00B34A61">
              <w:rPr>
                <w:rFonts w:ascii="Arial" w:hAnsi="Arial" w:cs="Arial"/>
                <w:sz w:val="20"/>
                <w:szCs w:val="20"/>
              </w:rPr>
              <w:t xml:space="preserve"> will ensure that the ESM</w:t>
            </w:r>
            <w:r w:rsidR="005D6A90" w:rsidRPr="00B34A61">
              <w:rPr>
                <w:rFonts w:ascii="Arial" w:hAnsi="Arial" w:cs="Arial"/>
                <w:sz w:val="20"/>
                <w:szCs w:val="20"/>
              </w:rPr>
              <w:t>R</w:t>
            </w:r>
            <w:r w:rsidR="00292828" w:rsidRPr="00B34A61">
              <w:rPr>
                <w:rFonts w:ascii="Arial" w:hAnsi="Arial" w:cs="Arial"/>
                <w:sz w:val="20"/>
                <w:szCs w:val="20"/>
              </w:rPr>
              <w:t xml:space="preserve"> requirements apply to participating FIs and </w:t>
            </w:r>
            <w:r w:rsidR="00B44034" w:rsidRPr="00B34A61">
              <w:rPr>
                <w:rFonts w:ascii="Arial" w:hAnsi="Arial" w:cs="Arial"/>
                <w:sz w:val="20"/>
                <w:szCs w:val="20"/>
              </w:rPr>
              <w:t>subproject</w:t>
            </w:r>
            <w:r w:rsidR="00292828" w:rsidRPr="00B34A61">
              <w:rPr>
                <w:rFonts w:ascii="Arial" w:hAnsi="Arial" w:cs="Arial"/>
                <w:sz w:val="20"/>
                <w:szCs w:val="20"/>
              </w:rPr>
              <w:t xml:space="preserve">s borrowers. </w:t>
            </w:r>
          </w:p>
          <w:p w14:paraId="036709F7"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lastRenderedPageBreak/>
              <w:t>The ESM</w:t>
            </w:r>
            <w:r w:rsidR="005D6A90" w:rsidRPr="00B34A61">
              <w:rPr>
                <w:rFonts w:ascii="Arial" w:hAnsi="Arial" w:cs="Arial"/>
                <w:sz w:val="20"/>
                <w:szCs w:val="20"/>
              </w:rPr>
              <w:t>R</w:t>
            </w:r>
            <w:r w:rsidRPr="00B34A61">
              <w:rPr>
                <w:rFonts w:ascii="Arial" w:hAnsi="Arial" w:cs="Arial"/>
                <w:sz w:val="20"/>
                <w:szCs w:val="20"/>
              </w:rPr>
              <w:t xml:space="preserve"> includes the following requirement from </w:t>
            </w:r>
            <w:r w:rsidR="00520EDF" w:rsidRPr="00B34A61">
              <w:rPr>
                <w:rFonts w:ascii="Arial" w:hAnsi="Arial" w:cs="Arial"/>
                <w:sz w:val="20"/>
                <w:szCs w:val="20"/>
              </w:rPr>
              <w:t>BICE</w:t>
            </w:r>
            <w:r w:rsidRPr="00B34A61">
              <w:rPr>
                <w:rFonts w:ascii="Arial" w:hAnsi="Arial" w:cs="Arial"/>
                <w:sz w:val="20"/>
                <w:szCs w:val="20"/>
              </w:rPr>
              <w:t xml:space="preserve">: </w:t>
            </w:r>
          </w:p>
          <w:p w14:paraId="036709F8"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1. To perform compulsory site-visits for projects above US$1m (</w:t>
            </w:r>
            <w:r w:rsidR="00520EDF" w:rsidRPr="00B34A61">
              <w:rPr>
                <w:rFonts w:ascii="Arial" w:hAnsi="Arial" w:cs="Arial"/>
                <w:sz w:val="20"/>
                <w:szCs w:val="20"/>
              </w:rPr>
              <w:t>BICE</w:t>
            </w:r>
            <w:r w:rsidRPr="00B34A61">
              <w:rPr>
                <w:rFonts w:ascii="Arial" w:hAnsi="Arial" w:cs="Arial"/>
                <w:sz w:val="20"/>
                <w:szCs w:val="20"/>
              </w:rPr>
              <w:t xml:space="preserve"> E&amp;S specialist)</w:t>
            </w:r>
          </w:p>
          <w:p w14:paraId="036709F9"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2. To present an Annual Environmental and Social Compliance Report (ESCR) with information on the guaranteed portfolio and any particular risk issues identified, mitigation measures agreed with clients as well as compliance status.</w:t>
            </w:r>
          </w:p>
          <w:p w14:paraId="036709FA"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 xml:space="preserve">3. To provide and facilitate access by IDB to all relevant documentation, personnel and </w:t>
            </w:r>
            <w:r w:rsidR="00B44034" w:rsidRPr="00B34A61">
              <w:rPr>
                <w:rFonts w:ascii="Arial" w:hAnsi="Arial" w:cs="Arial"/>
                <w:sz w:val="20"/>
                <w:szCs w:val="20"/>
              </w:rPr>
              <w:t>subproject</w:t>
            </w:r>
            <w:r w:rsidRPr="00B34A61">
              <w:rPr>
                <w:rFonts w:ascii="Arial" w:hAnsi="Arial" w:cs="Arial"/>
                <w:sz w:val="20"/>
                <w:szCs w:val="20"/>
              </w:rPr>
              <w:t>s facilities.</w:t>
            </w:r>
          </w:p>
          <w:p w14:paraId="036709FB"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4. If necessary, to agree with IDB on corrective actions or measures necessary to address impacts and risks and/or to enhance their management.</w:t>
            </w:r>
          </w:p>
        </w:tc>
      </w:tr>
      <w:tr w:rsidR="000E02C8" w:rsidRPr="00B34A61" w14:paraId="036709FF" w14:textId="77777777" w:rsidTr="005D6A90">
        <w:trPr>
          <w:trHeight w:val="323"/>
        </w:trPr>
        <w:tc>
          <w:tcPr>
            <w:tcW w:w="2903" w:type="dxa"/>
            <w:shd w:val="clear" w:color="auto" w:fill="D9D9D9" w:themeFill="background1" w:themeFillShade="D9"/>
            <w:vAlign w:val="center"/>
          </w:tcPr>
          <w:p w14:paraId="036709FD"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lastRenderedPageBreak/>
              <w:t>B.8 Transboundary Impacts</w:t>
            </w:r>
          </w:p>
        </w:tc>
        <w:tc>
          <w:tcPr>
            <w:tcW w:w="10890" w:type="dxa"/>
            <w:gridSpan w:val="4"/>
            <w:vAlign w:val="center"/>
          </w:tcPr>
          <w:p w14:paraId="036709FE"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NA</w:t>
            </w:r>
          </w:p>
        </w:tc>
      </w:tr>
      <w:tr w:rsidR="000E02C8" w:rsidRPr="00B34A61" w14:paraId="03670A02" w14:textId="77777777" w:rsidTr="005D6A90">
        <w:trPr>
          <w:trHeight w:val="323"/>
        </w:trPr>
        <w:tc>
          <w:tcPr>
            <w:tcW w:w="2903" w:type="dxa"/>
            <w:shd w:val="clear" w:color="auto" w:fill="D9D9D9" w:themeFill="background1" w:themeFillShade="D9"/>
            <w:vAlign w:val="center"/>
          </w:tcPr>
          <w:p w14:paraId="03670A00"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B.9 Natural Habitats</w:t>
            </w:r>
          </w:p>
        </w:tc>
        <w:tc>
          <w:tcPr>
            <w:tcW w:w="10890" w:type="dxa"/>
            <w:gridSpan w:val="4"/>
            <w:vAlign w:val="center"/>
          </w:tcPr>
          <w:p w14:paraId="03670A01"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NA</w:t>
            </w:r>
          </w:p>
        </w:tc>
      </w:tr>
      <w:tr w:rsidR="000E02C8" w:rsidRPr="00B34A61" w14:paraId="03670A05" w14:textId="77777777" w:rsidTr="005D6A90">
        <w:trPr>
          <w:trHeight w:val="323"/>
        </w:trPr>
        <w:tc>
          <w:tcPr>
            <w:tcW w:w="2903" w:type="dxa"/>
            <w:shd w:val="clear" w:color="auto" w:fill="D9D9D9" w:themeFill="background1" w:themeFillShade="D9"/>
            <w:vAlign w:val="center"/>
          </w:tcPr>
          <w:p w14:paraId="03670A03"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B.9 Invasive Species</w:t>
            </w:r>
          </w:p>
        </w:tc>
        <w:tc>
          <w:tcPr>
            <w:tcW w:w="10890" w:type="dxa"/>
            <w:gridSpan w:val="4"/>
            <w:vAlign w:val="center"/>
          </w:tcPr>
          <w:p w14:paraId="03670A04" w14:textId="77777777" w:rsidR="000E02C8" w:rsidRPr="00B34A61" w:rsidRDefault="000E02C8" w:rsidP="00292828">
            <w:pPr>
              <w:tabs>
                <w:tab w:val="left" w:pos="3200"/>
              </w:tabs>
              <w:jc w:val="center"/>
              <w:rPr>
                <w:rFonts w:ascii="Arial" w:hAnsi="Arial" w:cs="Arial"/>
                <w:sz w:val="20"/>
                <w:szCs w:val="20"/>
              </w:rPr>
            </w:pPr>
            <w:r w:rsidRPr="00B34A61">
              <w:rPr>
                <w:rFonts w:ascii="Arial" w:hAnsi="Arial" w:cs="Arial"/>
                <w:sz w:val="20"/>
                <w:szCs w:val="20"/>
              </w:rPr>
              <w:t>NA</w:t>
            </w:r>
          </w:p>
        </w:tc>
      </w:tr>
      <w:tr w:rsidR="000E02C8" w:rsidRPr="00B34A61" w14:paraId="03670A08" w14:textId="77777777" w:rsidTr="005D6A90">
        <w:trPr>
          <w:trHeight w:val="323"/>
        </w:trPr>
        <w:tc>
          <w:tcPr>
            <w:tcW w:w="2903" w:type="dxa"/>
            <w:shd w:val="clear" w:color="auto" w:fill="D9D9D9" w:themeFill="background1" w:themeFillShade="D9"/>
            <w:vAlign w:val="center"/>
          </w:tcPr>
          <w:p w14:paraId="03670A06"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B.9 Cultural Sites</w:t>
            </w:r>
          </w:p>
        </w:tc>
        <w:tc>
          <w:tcPr>
            <w:tcW w:w="10890" w:type="dxa"/>
            <w:gridSpan w:val="4"/>
            <w:vAlign w:val="center"/>
          </w:tcPr>
          <w:p w14:paraId="03670A07" w14:textId="77777777" w:rsidR="000E02C8" w:rsidRPr="00B34A61" w:rsidRDefault="000E02C8" w:rsidP="00292828">
            <w:pPr>
              <w:tabs>
                <w:tab w:val="left" w:pos="3200"/>
              </w:tabs>
              <w:jc w:val="center"/>
              <w:rPr>
                <w:rFonts w:ascii="Arial" w:hAnsi="Arial" w:cs="Arial"/>
                <w:sz w:val="20"/>
                <w:szCs w:val="20"/>
              </w:rPr>
            </w:pPr>
            <w:r w:rsidRPr="00B34A61">
              <w:rPr>
                <w:rFonts w:ascii="Arial" w:hAnsi="Arial" w:cs="Arial"/>
                <w:sz w:val="20"/>
                <w:szCs w:val="20"/>
              </w:rPr>
              <w:t>NA</w:t>
            </w:r>
          </w:p>
        </w:tc>
      </w:tr>
      <w:tr w:rsidR="00292828" w:rsidRPr="00B34A61" w14:paraId="03670A0E" w14:textId="77777777" w:rsidTr="00E82550">
        <w:trPr>
          <w:trHeight w:val="323"/>
        </w:trPr>
        <w:tc>
          <w:tcPr>
            <w:tcW w:w="2903" w:type="dxa"/>
            <w:shd w:val="clear" w:color="auto" w:fill="D9D9D9" w:themeFill="background1" w:themeFillShade="D9"/>
            <w:vAlign w:val="center"/>
          </w:tcPr>
          <w:p w14:paraId="03670A09" w14:textId="77777777" w:rsidR="00292828" w:rsidRPr="00B34A61" w:rsidDel="00641735" w:rsidRDefault="00292828" w:rsidP="000E02C8">
            <w:pPr>
              <w:tabs>
                <w:tab w:val="left" w:pos="3200"/>
              </w:tabs>
              <w:rPr>
                <w:rFonts w:ascii="Arial" w:hAnsi="Arial" w:cs="Arial"/>
                <w:b/>
                <w:sz w:val="20"/>
                <w:szCs w:val="20"/>
              </w:rPr>
            </w:pPr>
            <w:r w:rsidRPr="00B34A61">
              <w:rPr>
                <w:rFonts w:ascii="Arial" w:hAnsi="Arial" w:cs="Arial"/>
                <w:sz w:val="20"/>
                <w:szCs w:val="20"/>
              </w:rPr>
              <w:t>B.10 Hazardous Materials</w:t>
            </w:r>
          </w:p>
        </w:tc>
        <w:tc>
          <w:tcPr>
            <w:tcW w:w="2137" w:type="dxa"/>
            <w:vAlign w:val="center"/>
          </w:tcPr>
          <w:p w14:paraId="03670A0A" w14:textId="77777777" w:rsidR="00292828" w:rsidRPr="00B34A61" w:rsidRDefault="006750E7" w:rsidP="006750E7">
            <w:pPr>
              <w:tabs>
                <w:tab w:val="left" w:pos="3200"/>
              </w:tabs>
              <w:rPr>
                <w:rFonts w:ascii="Arial" w:hAnsi="Arial" w:cs="Arial"/>
                <w:sz w:val="20"/>
                <w:szCs w:val="20"/>
              </w:rPr>
            </w:pPr>
            <w:r w:rsidRPr="00B34A61">
              <w:rPr>
                <w:rFonts w:ascii="Arial" w:hAnsi="Arial" w:cs="Arial"/>
                <w:sz w:val="20"/>
                <w:szCs w:val="20"/>
              </w:rPr>
              <w:t>Avoid impacts associated with production, acquisition, use, and final disposal of hazardous materials</w:t>
            </w:r>
          </w:p>
        </w:tc>
        <w:tc>
          <w:tcPr>
            <w:tcW w:w="4320" w:type="dxa"/>
            <w:vAlign w:val="center"/>
          </w:tcPr>
          <w:p w14:paraId="03670A0B" w14:textId="27CC5927" w:rsidR="0029282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33" w:type="dxa"/>
            <w:gridSpan w:val="2"/>
            <w:vAlign w:val="center"/>
          </w:tcPr>
          <w:p w14:paraId="03670A0C" w14:textId="77777777" w:rsidR="00292828" w:rsidRPr="00B34A61" w:rsidRDefault="00292828" w:rsidP="00292828">
            <w:pPr>
              <w:tabs>
                <w:tab w:val="left" w:pos="3200"/>
              </w:tabs>
              <w:jc w:val="both"/>
              <w:rPr>
                <w:rFonts w:ascii="Arial" w:hAnsi="Arial" w:cs="Arial"/>
                <w:sz w:val="20"/>
                <w:szCs w:val="20"/>
              </w:rPr>
            </w:pPr>
          </w:p>
          <w:p w14:paraId="03670A0D" w14:textId="77777777" w:rsidR="0029282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 xml:space="preserve">Compliance with applicable legislation includes the necessary requirements for the proper management of waste and hazardous waste. </w:t>
            </w:r>
            <w:r w:rsidR="00520EDF" w:rsidRPr="00B34A61">
              <w:rPr>
                <w:rFonts w:ascii="Arial" w:hAnsi="Arial" w:cs="Arial"/>
                <w:sz w:val="20"/>
                <w:szCs w:val="20"/>
              </w:rPr>
              <w:t>BICE</w:t>
            </w:r>
            <w:r w:rsidRPr="00B34A61">
              <w:rPr>
                <w:rFonts w:ascii="Arial" w:hAnsi="Arial" w:cs="Arial"/>
                <w:sz w:val="20"/>
                <w:szCs w:val="20"/>
              </w:rPr>
              <w:t xml:space="preserve"> only finances projects that comply with the applicable legislation</w:t>
            </w:r>
          </w:p>
        </w:tc>
      </w:tr>
      <w:tr w:rsidR="000E02C8" w:rsidRPr="00B34A61" w14:paraId="03670A14" w14:textId="77777777" w:rsidTr="00E82550">
        <w:trPr>
          <w:trHeight w:val="323"/>
        </w:trPr>
        <w:tc>
          <w:tcPr>
            <w:tcW w:w="2903" w:type="dxa"/>
            <w:shd w:val="clear" w:color="auto" w:fill="D9D9D9" w:themeFill="background1" w:themeFillShade="D9"/>
            <w:vAlign w:val="center"/>
          </w:tcPr>
          <w:p w14:paraId="03670A0F"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B.11 Pollution Prevention &amp; Abatement</w:t>
            </w:r>
          </w:p>
        </w:tc>
        <w:tc>
          <w:tcPr>
            <w:tcW w:w="2137" w:type="dxa"/>
            <w:vAlign w:val="center"/>
          </w:tcPr>
          <w:p w14:paraId="03670A10" w14:textId="77777777" w:rsidR="000E02C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t>Reduce or eliminate emissions, including gaseous, liquid, and solid waste</w:t>
            </w:r>
          </w:p>
        </w:tc>
        <w:tc>
          <w:tcPr>
            <w:tcW w:w="4343" w:type="dxa"/>
            <w:gridSpan w:val="2"/>
          </w:tcPr>
          <w:p w14:paraId="03670A11" w14:textId="3845CD9C" w:rsidR="000E02C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A12" w14:textId="77777777" w:rsidR="00292828" w:rsidRPr="00B34A61" w:rsidRDefault="00292828" w:rsidP="00292828">
            <w:pPr>
              <w:tabs>
                <w:tab w:val="left" w:pos="3200"/>
              </w:tabs>
              <w:jc w:val="both"/>
              <w:rPr>
                <w:rFonts w:ascii="Arial" w:hAnsi="Arial" w:cs="Arial"/>
                <w:sz w:val="20"/>
                <w:szCs w:val="20"/>
              </w:rPr>
            </w:pPr>
          </w:p>
          <w:p w14:paraId="03670A13" w14:textId="77777777" w:rsidR="000E02C8" w:rsidRPr="00B34A61" w:rsidRDefault="00292828" w:rsidP="00292828">
            <w:pPr>
              <w:tabs>
                <w:tab w:val="left" w:pos="3200"/>
              </w:tabs>
              <w:jc w:val="both"/>
              <w:rPr>
                <w:rFonts w:ascii="Arial" w:hAnsi="Arial" w:cs="Arial"/>
                <w:sz w:val="20"/>
                <w:szCs w:val="20"/>
              </w:rPr>
            </w:pPr>
            <w:r w:rsidRPr="00B34A61">
              <w:rPr>
                <w:rFonts w:ascii="Arial" w:hAnsi="Arial" w:cs="Arial"/>
                <w:sz w:val="20"/>
                <w:szCs w:val="20"/>
              </w:rPr>
              <w:t>Compliance with applicable legislation includes the necessary requirements for</w:t>
            </w:r>
            <w:r w:rsidR="00E228C6" w:rsidRPr="00B34A61">
              <w:rPr>
                <w:rFonts w:ascii="Arial" w:hAnsi="Arial" w:cs="Arial"/>
                <w:sz w:val="20"/>
                <w:szCs w:val="20"/>
              </w:rPr>
              <w:t xml:space="preserve"> pollution prevention</w:t>
            </w:r>
            <w:r w:rsidRPr="00B34A61">
              <w:rPr>
                <w:rFonts w:ascii="Arial" w:hAnsi="Arial" w:cs="Arial"/>
                <w:sz w:val="20"/>
                <w:szCs w:val="20"/>
              </w:rPr>
              <w:t xml:space="preserve">. </w:t>
            </w:r>
            <w:r w:rsidR="00520EDF" w:rsidRPr="00B34A61">
              <w:rPr>
                <w:rFonts w:ascii="Arial" w:hAnsi="Arial" w:cs="Arial"/>
                <w:sz w:val="20"/>
                <w:szCs w:val="20"/>
              </w:rPr>
              <w:t>BICE</w:t>
            </w:r>
            <w:r w:rsidRPr="00B34A61">
              <w:rPr>
                <w:rFonts w:ascii="Arial" w:hAnsi="Arial" w:cs="Arial"/>
                <w:sz w:val="20"/>
                <w:szCs w:val="20"/>
              </w:rPr>
              <w:t xml:space="preserve"> only finances projects that comply with the applicable legislation</w:t>
            </w:r>
          </w:p>
        </w:tc>
      </w:tr>
      <w:tr w:rsidR="000E02C8" w:rsidRPr="00B34A61" w14:paraId="03670A17" w14:textId="77777777" w:rsidTr="005D6A90">
        <w:trPr>
          <w:trHeight w:val="323"/>
        </w:trPr>
        <w:tc>
          <w:tcPr>
            <w:tcW w:w="2903" w:type="dxa"/>
            <w:shd w:val="clear" w:color="auto" w:fill="D9D9D9" w:themeFill="background1" w:themeFillShade="D9"/>
            <w:vAlign w:val="center"/>
          </w:tcPr>
          <w:p w14:paraId="03670A15"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B.12 Projects under Construction</w:t>
            </w:r>
          </w:p>
        </w:tc>
        <w:tc>
          <w:tcPr>
            <w:tcW w:w="10890" w:type="dxa"/>
            <w:gridSpan w:val="4"/>
            <w:vAlign w:val="center"/>
          </w:tcPr>
          <w:p w14:paraId="03670A16"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1C" w14:textId="77777777" w:rsidTr="00E82550">
        <w:trPr>
          <w:trHeight w:val="323"/>
        </w:trPr>
        <w:tc>
          <w:tcPr>
            <w:tcW w:w="2903" w:type="dxa"/>
            <w:shd w:val="clear" w:color="auto" w:fill="D9D9D9" w:themeFill="background1" w:themeFillShade="D9"/>
            <w:vAlign w:val="center"/>
          </w:tcPr>
          <w:p w14:paraId="03670A18"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B.13 Noninvestment Lending and Flexible Lending Instruments</w:t>
            </w:r>
          </w:p>
        </w:tc>
        <w:tc>
          <w:tcPr>
            <w:tcW w:w="2137" w:type="dxa"/>
            <w:vAlign w:val="center"/>
          </w:tcPr>
          <w:p w14:paraId="03670A19" w14:textId="77777777" w:rsidR="000E02C8" w:rsidRPr="00B34A61" w:rsidRDefault="006750E7" w:rsidP="006750E7">
            <w:pPr>
              <w:tabs>
                <w:tab w:val="left" w:pos="3200"/>
              </w:tabs>
              <w:rPr>
                <w:rFonts w:ascii="Arial" w:hAnsi="Arial" w:cs="Arial"/>
                <w:sz w:val="20"/>
                <w:szCs w:val="20"/>
              </w:rPr>
            </w:pPr>
            <w:r w:rsidRPr="00B34A61">
              <w:rPr>
                <w:rFonts w:ascii="Arial" w:hAnsi="Arial" w:cs="Arial"/>
                <w:sz w:val="20"/>
                <w:szCs w:val="20"/>
              </w:rPr>
              <w:t xml:space="preserve">Implement an appropriate and feasible Environmental </w:t>
            </w:r>
            <w:r w:rsidRPr="00B34A61">
              <w:rPr>
                <w:rFonts w:ascii="Arial" w:hAnsi="Arial" w:cs="Arial"/>
                <w:sz w:val="20"/>
                <w:szCs w:val="20"/>
              </w:rPr>
              <w:lastRenderedPageBreak/>
              <w:t>Management System (EMS) tailored to the particular needs of the operation.</w:t>
            </w:r>
          </w:p>
        </w:tc>
        <w:tc>
          <w:tcPr>
            <w:tcW w:w="4343" w:type="dxa"/>
            <w:gridSpan w:val="2"/>
          </w:tcPr>
          <w:p w14:paraId="03670A1A" w14:textId="026E35DE" w:rsidR="000E02C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lastRenderedPageBreak/>
              <w:t xml:space="preserve">Compliance expected during </w:t>
            </w:r>
            <w:r w:rsidR="00694CD4">
              <w:rPr>
                <w:rFonts w:ascii="Arial" w:hAnsi="Arial" w:cs="Arial"/>
                <w:sz w:val="20"/>
                <w:szCs w:val="20"/>
              </w:rPr>
              <w:t>project</w:t>
            </w:r>
            <w:r w:rsidRPr="00B34A61">
              <w:rPr>
                <w:rFonts w:ascii="Arial" w:hAnsi="Arial" w:cs="Arial"/>
                <w:sz w:val="20"/>
                <w:szCs w:val="20"/>
              </w:rPr>
              <w:t xml:space="preserve"> execution</w:t>
            </w:r>
          </w:p>
        </w:tc>
        <w:tc>
          <w:tcPr>
            <w:tcW w:w="4410" w:type="dxa"/>
          </w:tcPr>
          <w:p w14:paraId="03670A1B" w14:textId="78EE79EF" w:rsidR="000E02C8" w:rsidRPr="00B34A61" w:rsidRDefault="00E228C6" w:rsidP="000E02C8">
            <w:pPr>
              <w:tabs>
                <w:tab w:val="left" w:pos="3200"/>
              </w:tabs>
              <w:jc w:val="both"/>
              <w:rPr>
                <w:rFonts w:ascii="Arial" w:hAnsi="Arial" w:cs="Arial"/>
                <w:sz w:val="20"/>
                <w:szCs w:val="20"/>
              </w:rPr>
            </w:pPr>
            <w:r w:rsidRPr="00B34A61">
              <w:rPr>
                <w:rFonts w:ascii="Arial" w:hAnsi="Arial" w:cs="Arial"/>
                <w:sz w:val="20"/>
                <w:szCs w:val="20"/>
              </w:rPr>
              <w:t xml:space="preserve">During the Due Diligence process, the </w:t>
            </w:r>
            <w:r w:rsidR="00694CD4">
              <w:rPr>
                <w:rFonts w:ascii="Arial" w:hAnsi="Arial" w:cs="Arial"/>
                <w:sz w:val="20"/>
                <w:szCs w:val="20"/>
              </w:rPr>
              <w:t>project</w:t>
            </w:r>
            <w:r w:rsidRPr="00B34A61">
              <w:rPr>
                <w:rFonts w:ascii="Arial" w:hAnsi="Arial" w:cs="Arial"/>
                <w:sz w:val="20"/>
                <w:szCs w:val="20"/>
              </w:rPr>
              <w:t xml:space="preserve"> team identif</w:t>
            </w:r>
            <w:r w:rsidR="006750E7" w:rsidRPr="00B34A61">
              <w:rPr>
                <w:rFonts w:ascii="Arial" w:hAnsi="Arial" w:cs="Arial"/>
                <w:sz w:val="20"/>
                <w:szCs w:val="20"/>
              </w:rPr>
              <w:t>ied</w:t>
            </w:r>
            <w:r w:rsidRPr="00B34A61">
              <w:rPr>
                <w:rFonts w:ascii="Arial" w:hAnsi="Arial" w:cs="Arial"/>
                <w:sz w:val="20"/>
                <w:szCs w:val="20"/>
              </w:rPr>
              <w:t xml:space="preserve"> potential negative E&amp;S impacts from eligible </w:t>
            </w:r>
            <w:r w:rsidR="00B44034" w:rsidRPr="00B34A61">
              <w:rPr>
                <w:rFonts w:ascii="Arial" w:hAnsi="Arial" w:cs="Arial"/>
                <w:sz w:val="20"/>
                <w:szCs w:val="20"/>
              </w:rPr>
              <w:t>subproject</w:t>
            </w:r>
            <w:r w:rsidRPr="00B34A61">
              <w:rPr>
                <w:rFonts w:ascii="Arial" w:hAnsi="Arial" w:cs="Arial"/>
                <w:sz w:val="20"/>
                <w:szCs w:val="20"/>
              </w:rPr>
              <w:t>s and assess</w:t>
            </w:r>
            <w:r w:rsidR="006750E7" w:rsidRPr="00B34A61">
              <w:rPr>
                <w:rFonts w:ascii="Arial" w:hAnsi="Arial" w:cs="Arial"/>
                <w:sz w:val="20"/>
                <w:szCs w:val="20"/>
              </w:rPr>
              <w:t>ed</w:t>
            </w:r>
            <w:r w:rsidRPr="00B34A61">
              <w:rPr>
                <w:rFonts w:ascii="Arial" w:hAnsi="Arial" w:cs="Arial"/>
                <w:sz w:val="20"/>
                <w:szCs w:val="20"/>
              </w:rPr>
              <w:t xml:space="preserve"> the executing agency capacity to manage those. </w:t>
            </w:r>
            <w:r w:rsidR="006750E7" w:rsidRPr="00B34A61">
              <w:rPr>
                <w:rFonts w:ascii="Arial" w:hAnsi="Arial" w:cs="Arial"/>
                <w:sz w:val="20"/>
                <w:szCs w:val="20"/>
              </w:rPr>
              <w:t xml:space="preserve">As </w:t>
            </w:r>
            <w:r w:rsidR="006750E7" w:rsidRPr="00B34A61">
              <w:rPr>
                <w:rFonts w:ascii="Arial" w:hAnsi="Arial" w:cs="Arial"/>
                <w:sz w:val="20"/>
                <w:szCs w:val="20"/>
              </w:rPr>
              <w:lastRenderedPageBreak/>
              <w:t>a result, a</w:t>
            </w:r>
            <w:r w:rsidRPr="00B34A61">
              <w:rPr>
                <w:rFonts w:ascii="Arial" w:hAnsi="Arial" w:cs="Arial"/>
                <w:sz w:val="20"/>
                <w:szCs w:val="20"/>
              </w:rPr>
              <w:t>n ESM</w:t>
            </w:r>
            <w:r w:rsidR="00520EDF" w:rsidRPr="00B34A61">
              <w:rPr>
                <w:rFonts w:ascii="Arial" w:hAnsi="Arial" w:cs="Arial"/>
                <w:sz w:val="20"/>
                <w:szCs w:val="20"/>
              </w:rPr>
              <w:t>S</w:t>
            </w:r>
            <w:r w:rsidRPr="00B34A61">
              <w:rPr>
                <w:rFonts w:ascii="Arial" w:hAnsi="Arial" w:cs="Arial"/>
                <w:sz w:val="20"/>
                <w:szCs w:val="20"/>
              </w:rPr>
              <w:t xml:space="preserve"> </w:t>
            </w:r>
            <w:r w:rsidR="006750E7" w:rsidRPr="00B34A61">
              <w:rPr>
                <w:rFonts w:ascii="Arial" w:hAnsi="Arial" w:cs="Arial"/>
                <w:sz w:val="20"/>
                <w:szCs w:val="20"/>
              </w:rPr>
              <w:t>was</w:t>
            </w:r>
            <w:r w:rsidRPr="00B34A61">
              <w:rPr>
                <w:rFonts w:ascii="Arial" w:hAnsi="Arial" w:cs="Arial"/>
                <w:sz w:val="20"/>
                <w:szCs w:val="20"/>
              </w:rPr>
              <w:t xml:space="preserve"> designed and will be included in the</w:t>
            </w:r>
            <w:r w:rsidR="00A61D77" w:rsidRPr="00B34A61">
              <w:rPr>
                <w:rFonts w:ascii="Arial" w:hAnsi="Arial" w:cs="Arial"/>
                <w:sz w:val="20"/>
                <w:szCs w:val="20"/>
              </w:rPr>
              <w:t xml:space="preserve"> Operating Regulations (OR) for the </w:t>
            </w:r>
            <w:r w:rsidR="00694CD4">
              <w:rPr>
                <w:rFonts w:ascii="Arial" w:hAnsi="Arial" w:cs="Arial"/>
                <w:sz w:val="20"/>
                <w:szCs w:val="20"/>
              </w:rPr>
              <w:t xml:space="preserve">project </w:t>
            </w:r>
            <w:r w:rsidRPr="00B34A61">
              <w:rPr>
                <w:rFonts w:ascii="Arial" w:hAnsi="Arial" w:cs="Arial"/>
                <w:sz w:val="20"/>
                <w:szCs w:val="20"/>
              </w:rPr>
              <w:t xml:space="preserve">whose approval by </w:t>
            </w:r>
            <w:r w:rsidR="00520EDF" w:rsidRPr="00B34A61">
              <w:rPr>
                <w:rFonts w:ascii="Arial" w:hAnsi="Arial" w:cs="Arial"/>
                <w:sz w:val="20"/>
                <w:szCs w:val="20"/>
              </w:rPr>
              <w:t>BICE</w:t>
            </w:r>
            <w:r w:rsidRPr="00B34A61">
              <w:rPr>
                <w:rFonts w:ascii="Arial" w:hAnsi="Arial" w:cs="Arial"/>
                <w:sz w:val="20"/>
                <w:szCs w:val="20"/>
              </w:rPr>
              <w:t xml:space="preserve">, prior to the non-objection of the Bank, will be a condition precedent to the first disbursement of the </w:t>
            </w:r>
            <w:r w:rsidR="00694CD4">
              <w:rPr>
                <w:rFonts w:ascii="Arial" w:hAnsi="Arial" w:cs="Arial"/>
                <w:sz w:val="20"/>
                <w:szCs w:val="20"/>
              </w:rPr>
              <w:t>project</w:t>
            </w:r>
            <w:r w:rsidRPr="00B34A61">
              <w:rPr>
                <w:rFonts w:ascii="Arial" w:hAnsi="Arial" w:cs="Arial"/>
                <w:sz w:val="20"/>
                <w:szCs w:val="20"/>
              </w:rPr>
              <w:t>'s resources.</w:t>
            </w:r>
          </w:p>
        </w:tc>
      </w:tr>
      <w:tr w:rsidR="000E02C8" w:rsidRPr="00B34A61" w14:paraId="03670A1F" w14:textId="77777777" w:rsidTr="005D6A90">
        <w:trPr>
          <w:trHeight w:val="323"/>
        </w:trPr>
        <w:tc>
          <w:tcPr>
            <w:tcW w:w="2903" w:type="dxa"/>
            <w:shd w:val="clear" w:color="auto" w:fill="D9D9D9" w:themeFill="background1" w:themeFillShade="D9"/>
            <w:vAlign w:val="center"/>
          </w:tcPr>
          <w:p w14:paraId="03670A1D"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lastRenderedPageBreak/>
              <w:t>B.14 Multiple Phase and Repeat Loans</w:t>
            </w:r>
          </w:p>
        </w:tc>
        <w:tc>
          <w:tcPr>
            <w:tcW w:w="10890" w:type="dxa"/>
            <w:gridSpan w:val="4"/>
            <w:vAlign w:val="center"/>
          </w:tcPr>
          <w:p w14:paraId="03670A1E"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22" w14:textId="77777777" w:rsidTr="005D6A90">
        <w:trPr>
          <w:trHeight w:val="323"/>
        </w:trPr>
        <w:tc>
          <w:tcPr>
            <w:tcW w:w="2903" w:type="dxa"/>
            <w:shd w:val="clear" w:color="auto" w:fill="D9D9D9" w:themeFill="background1" w:themeFillShade="D9"/>
            <w:vAlign w:val="center"/>
          </w:tcPr>
          <w:p w14:paraId="03670A20"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B.15 Co-financing Operations</w:t>
            </w:r>
          </w:p>
        </w:tc>
        <w:tc>
          <w:tcPr>
            <w:tcW w:w="10890" w:type="dxa"/>
            <w:gridSpan w:val="4"/>
            <w:vAlign w:val="center"/>
          </w:tcPr>
          <w:p w14:paraId="03670A21"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25" w14:textId="77777777" w:rsidTr="005D6A90">
        <w:trPr>
          <w:trHeight w:val="323"/>
        </w:trPr>
        <w:tc>
          <w:tcPr>
            <w:tcW w:w="2903" w:type="dxa"/>
            <w:shd w:val="clear" w:color="auto" w:fill="D9D9D9" w:themeFill="background1" w:themeFillShade="D9"/>
            <w:vAlign w:val="center"/>
          </w:tcPr>
          <w:p w14:paraId="03670A23"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B.16 In-Country Systems</w:t>
            </w:r>
          </w:p>
        </w:tc>
        <w:tc>
          <w:tcPr>
            <w:tcW w:w="10890" w:type="dxa"/>
            <w:gridSpan w:val="4"/>
            <w:vAlign w:val="center"/>
          </w:tcPr>
          <w:p w14:paraId="03670A24"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28" w14:textId="77777777" w:rsidTr="005D6A90">
        <w:trPr>
          <w:trHeight w:val="323"/>
        </w:trPr>
        <w:tc>
          <w:tcPr>
            <w:tcW w:w="2903" w:type="dxa"/>
            <w:shd w:val="clear" w:color="auto" w:fill="D9D9D9" w:themeFill="background1" w:themeFillShade="D9"/>
            <w:vAlign w:val="center"/>
          </w:tcPr>
          <w:p w14:paraId="03670A26"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B.17 Procurement</w:t>
            </w:r>
          </w:p>
        </w:tc>
        <w:tc>
          <w:tcPr>
            <w:tcW w:w="10890" w:type="dxa"/>
            <w:gridSpan w:val="4"/>
            <w:vAlign w:val="center"/>
          </w:tcPr>
          <w:p w14:paraId="03670A27"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2A" w14:textId="77777777" w:rsidTr="000361A6">
        <w:trPr>
          <w:trHeight w:val="323"/>
        </w:trPr>
        <w:tc>
          <w:tcPr>
            <w:tcW w:w="13793" w:type="dxa"/>
            <w:gridSpan w:val="5"/>
            <w:shd w:val="clear" w:color="auto" w:fill="D9D9D9" w:themeFill="background1" w:themeFillShade="D9"/>
            <w:vAlign w:val="center"/>
          </w:tcPr>
          <w:p w14:paraId="03670A29" w14:textId="77777777" w:rsidR="000E02C8" w:rsidRPr="00B34A61" w:rsidRDefault="000E02C8" w:rsidP="000E02C8">
            <w:pPr>
              <w:tabs>
                <w:tab w:val="left" w:pos="3200"/>
              </w:tabs>
              <w:jc w:val="both"/>
              <w:rPr>
                <w:rFonts w:ascii="Arial" w:hAnsi="Arial" w:cs="Arial"/>
                <w:sz w:val="20"/>
                <w:szCs w:val="20"/>
              </w:rPr>
            </w:pPr>
            <w:r w:rsidRPr="00B34A61">
              <w:rPr>
                <w:rFonts w:ascii="Arial" w:hAnsi="Arial" w:cs="Arial"/>
                <w:b/>
                <w:sz w:val="20"/>
                <w:szCs w:val="20"/>
              </w:rPr>
              <w:t>OP-704 Natural Disaster Risk Management Policy</w:t>
            </w:r>
          </w:p>
        </w:tc>
      </w:tr>
      <w:tr w:rsidR="000E02C8" w:rsidRPr="00B34A61" w14:paraId="03670A2D" w14:textId="77777777" w:rsidTr="005D6A90">
        <w:trPr>
          <w:trHeight w:val="323"/>
        </w:trPr>
        <w:tc>
          <w:tcPr>
            <w:tcW w:w="2903" w:type="dxa"/>
            <w:shd w:val="clear" w:color="auto" w:fill="D9D9D9" w:themeFill="background1" w:themeFillShade="D9"/>
            <w:vAlign w:val="center"/>
          </w:tcPr>
          <w:p w14:paraId="03670A2B"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A.2 Analysis and management of Type 2 risk scenario</w:t>
            </w:r>
          </w:p>
        </w:tc>
        <w:tc>
          <w:tcPr>
            <w:tcW w:w="10890" w:type="dxa"/>
            <w:gridSpan w:val="4"/>
            <w:vMerge w:val="restart"/>
            <w:vAlign w:val="center"/>
          </w:tcPr>
          <w:p w14:paraId="03670A2C"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30" w14:textId="77777777" w:rsidTr="005D6A90">
        <w:trPr>
          <w:trHeight w:val="323"/>
        </w:trPr>
        <w:tc>
          <w:tcPr>
            <w:tcW w:w="2903" w:type="dxa"/>
            <w:shd w:val="clear" w:color="auto" w:fill="D9D9D9" w:themeFill="background1" w:themeFillShade="D9"/>
            <w:vAlign w:val="center"/>
          </w:tcPr>
          <w:p w14:paraId="03670A2E"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A.2 Contingency planning (Emergency response plan, Community health and safety plan, Occupational health and safety plan)</w:t>
            </w:r>
          </w:p>
        </w:tc>
        <w:tc>
          <w:tcPr>
            <w:tcW w:w="10890" w:type="dxa"/>
            <w:gridSpan w:val="4"/>
            <w:vMerge/>
            <w:vAlign w:val="center"/>
          </w:tcPr>
          <w:p w14:paraId="03670A2F"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32" w14:textId="77777777" w:rsidTr="000361A6">
        <w:trPr>
          <w:trHeight w:val="323"/>
        </w:trPr>
        <w:tc>
          <w:tcPr>
            <w:tcW w:w="13793" w:type="dxa"/>
            <w:gridSpan w:val="5"/>
            <w:shd w:val="clear" w:color="auto" w:fill="D9D9D9" w:themeFill="background1" w:themeFillShade="D9"/>
            <w:vAlign w:val="center"/>
          </w:tcPr>
          <w:p w14:paraId="03670A31" w14:textId="77777777" w:rsidR="000E02C8" w:rsidRPr="00B34A61" w:rsidRDefault="000E02C8" w:rsidP="000E02C8">
            <w:pPr>
              <w:tabs>
                <w:tab w:val="left" w:pos="3200"/>
              </w:tabs>
              <w:jc w:val="both"/>
              <w:rPr>
                <w:rFonts w:ascii="Arial" w:hAnsi="Arial" w:cs="Arial"/>
                <w:sz w:val="20"/>
                <w:szCs w:val="20"/>
              </w:rPr>
            </w:pPr>
            <w:r w:rsidRPr="00B34A61">
              <w:rPr>
                <w:rFonts w:ascii="Arial" w:hAnsi="Arial" w:cs="Arial"/>
                <w:b/>
                <w:sz w:val="20"/>
                <w:szCs w:val="20"/>
              </w:rPr>
              <w:t>OP-710 Operational Policy on Involuntary Resettlement</w:t>
            </w:r>
          </w:p>
        </w:tc>
      </w:tr>
      <w:tr w:rsidR="000E02C8" w:rsidRPr="00B34A61" w14:paraId="03670A35" w14:textId="77777777" w:rsidTr="005D6A90">
        <w:trPr>
          <w:trHeight w:val="323"/>
        </w:trPr>
        <w:tc>
          <w:tcPr>
            <w:tcW w:w="2903" w:type="dxa"/>
            <w:shd w:val="clear" w:color="auto" w:fill="D9D9D9" w:themeFill="background1" w:themeFillShade="D9"/>
            <w:vAlign w:val="center"/>
          </w:tcPr>
          <w:p w14:paraId="03670A33"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Resettlement Minimization</w:t>
            </w:r>
          </w:p>
        </w:tc>
        <w:tc>
          <w:tcPr>
            <w:tcW w:w="10890" w:type="dxa"/>
            <w:gridSpan w:val="4"/>
            <w:vMerge w:val="restart"/>
            <w:vAlign w:val="center"/>
          </w:tcPr>
          <w:p w14:paraId="03670A34"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38" w14:textId="77777777" w:rsidTr="005D6A90">
        <w:trPr>
          <w:trHeight w:val="323"/>
        </w:trPr>
        <w:tc>
          <w:tcPr>
            <w:tcW w:w="2903" w:type="dxa"/>
            <w:shd w:val="clear" w:color="auto" w:fill="D9D9D9" w:themeFill="background1" w:themeFillShade="D9"/>
            <w:vAlign w:val="center"/>
          </w:tcPr>
          <w:p w14:paraId="03670A36" w14:textId="77777777" w:rsidR="000E02C8" w:rsidRPr="00B34A61" w:rsidRDefault="000E02C8" w:rsidP="000E02C8">
            <w:pPr>
              <w:tabs>
                <w:tab w:val="left" w:pos="3200"/>
              </w:tabs>
              <w:rPr>
                <w:rFonts w:ascii="Arial" w:hAnsi="Arial" w:cs="Arial"/>
                <w:sz w:val="20"/>
                <w:szCs w:val="20"/>
              </w:rPr>
            </w:pPr>
            <w:r w:rsidRPr="00B34A61">
              <w:rPr>
                <w:rFonts w:ascii="Arial" w:hAnsi="Arial" w:cs="Arial"/>
                <w:sz w:val="20"/>
                <w:szCs w:val="20"/>
              </w:rPr>
              <w:t xml:space="preserve">Resettlement Plan Consultations </w:t>
            </w:r>
          </w:p>
        </w:tc>
        <w:tc>
          <w:tcPr>
            <w:tcW w:w="10890" w:type="dxa"/>
            <w:gridSpan w:val="4"/>
            <w:vMerge/>
            <w:vAlign w:val="center"/>
          </w:tcPr>
          <w:p w14:paraId="03670A37"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3B" w14:textId="77777777" w:rsidTr="005D6A90">
        <w:trPr>
          <w:trHeight w:val="323"/>
        </w:trPr>
        <w:tc>
          <w:tcPr>
            <w:tcW w:w="2903" w:type="dxa"/>
            <w:shd w:val="clear" w:color="auto" w:fill="D9D9D9" w:themeFill="background1" w:themeFillShade="D9"/>
            <w:vAlign w:val="center"/>
          </w:tcPr>
          <w:p w14:paraId="03670A39"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 xml:space="preserve">Impoverishment Risk Analysis </w:t>
            </w:r>
          </w:p>
        </w:tc>
        <w:tc>
          <w:tcPr>
            <w:tcW w:w="10890" w:type="dxa"/>
            <w:gridSpan w:val="4"/>
            <w:vMerge/>
            <w:vAlign w:val="center"/>
          </w:tcPr>
          <w:p w14:paraId="03670A3A"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3E" w14:textId="77777777" w:rsidTr="005D6A90">
        <w:trPr>
          <w:trHeight w:val="323"/>
        </w:trPr>
        <w:tc>
          <w:tcPr>
            <w:tcW w:w="2903" w:type="dxa"/>
            <w:shd w:val="clear" w:color="auto" w:fill="D9D9D9" w:themeFill="background1" w:themeFillShade="D9"/>
            <w:vAlign w:val="center"/>
          </w:tcPr>
          <w:p w14:paraId="03670A3C"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Resettlement Plan and/or Resettlement Framework Requirement</w:t>
            </w:r>
          </w:p>
        </w:tc>
        <w:tc>
          <w:tcPr>
            <w:tcW w:w="10890" w:type="dxa"/>
            <w:gridSpan w:val="4"/>
            <w:vMerge/>
            <w:vAlign w:val="center"/>
          </w:tcPr>
          <w:p w14:paraId="03670A3D"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41" w14:textId="77777777" w:rsidTr="005D6A90">
        <w:trPr>
          <w:trHeight w:val="323"/>
        </w:trPr>
        <w:tc>
          <w:tcPr>
            <w:tcW w:w="2903" w:type="dxa"/>
            <w:shd w:val="clear" w:color="auto" w:fill="D9D9D9" w:themeFill="background1" w:themeFillShade="D9"/>
            <w:vAlign w:val="center"/>
          </w:tcPr>
          <w:p w14:paraId="03670A3F" w14:textId="6FC8BCF5"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 xml:space="preserve">Livelihood Restoration </w:t>
            </w:r>
            <w:r w:rsidR="00694CD4">
              <w:rPr>
                <w:rFonts w:ascii="Arial" w:hAnsi="Arial" w:cs="Arial"/>
                <w:sz w:val="20"/>
                <w:szCs w:val="20"/>
              </w:rPr>
              <w:t>Project</w:t>
            </w:r>
            <w:r w:rsidRPr="00B34A61">
              <w:rPr>
                <w:rFonts w:ascii="Arial" w:hAnsi="Arial" w:cs="Arial"/>
                <w:sz w:val="20"/>
                <w:szCs w:val="20"/>
              </w:rPr>
              <w:t xml:space="preserve"> Requirement </w:t>
            </w:r>
          </w:p>
        </w:tc>
        <w:tc>
          <w:tcPr>
            <w:tcW w:w="10890" w:type="dxa"/>
            <w:gridSpan w:val="4"/>
            <w:vMerge/>
            <w:vAlign w:val="center"/>
          </w:tcPr>
          <w:p w14:paraId="03670A40"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44" w14:textId="77777777" w:rsidTr="005D6A90">
        <w:trPr>
          <w:trHeight w:val="323"/>
        </w:trPr>
        <w:tc>
          <w:tcPr>
            <w:tcW w:w="2903" w:type="dxa"/>
            <w:shd w:val="clear" w:color="auto" w:fill="D9D9D9" w:themeFill="background1" w:themeFillShade="D9"/>
            <w:vAlign w:val="center"/>
          </w:tcPr>
          <w:p w14:paraId="03670A42"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Consent (Indigenous Peoples and other Rural Ethnic Minorities)</w:t>
            </w:r>
          </w:p>
        </w:tc>
        <w:tc>
          <w:tcPr>
            <w:tcW w:w="10890" w:type="dxa"/>
            <w:gridSpan w:val="4"/>
            <w:vMerge/>
            <w:vAlign w:val="center"/>
          </w:tcPr>
          <w:p w14:paraId="03670A43"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46" w14:textId="77777777" w:rsidTr="000361A6">
        <w:trPr>
          <w:trHeight w:val="323"/>
        </w:trPr>
        <w:tc>
          <w:tcPr>
            <w:tcW w:w="13793" w:type="dxa"/>
            <w:gridSpan w:val="5"/>
            <w:shd w:val="clear" w:color="auto" w:fill="D9D9D9" w:themeFill="background1" w:themeFillShade="D9"/>
            <w:vAlign w:val="center"/>
          </w:tcPr>
          <w:p w14:paraId="03670A45" w14:textId="77777777" w:rsidR="000E02C8" w:rsidRPr="00B34A61" w:rsidRDefault="000E02C8" w:rsidP="000E02C8">
            <w:pPr>
              <w:tabs>
                <w:tab w:val="left" w:pos="3200"/>
              </w:tabs>
              <w:jc w:val="both"/>
              <w:rPr>
                <w:rFonts w:ascii="Arial" w:hAnsi="Arial" w:cs="Arial"/>
                <w:sz w:val="20"/>
                <w:szCs w:val="20"/>
              </w:rPr>
            </w:pPr>
            <w:r w:rsidRPr="00B34A61">
              <w:rPr>
                <w:rFonts w:ascii="Arial" w:hAnsi="Arial" w:cs="Arial"/>
                <w:b/>
                <w:sz w:val="20"/>
                <w:szCs w:val="20"/>
              </w:rPr>
              <w:t>OP-765 Operational Policy on Indigenous Peoples</w:t>
            </w:r>
          </w:p>
        </w:tc>
      </w:tr>
      <w:tr w:rsidR="000E02C8" w:rsidRPr="00B34A61" w14:paraId="03670A49" w14:textId="77777777" w:rsidTr="005D6A90">
        <w:trPr>
          <w:trHeight w:val="323"/>
        </w:trPr>
        <w:tc>
          <w:tcPr>
            <w:tcW w:w="2903" w:type="dxa"/>
            <w:shd w:val="clear" w:color="auto" w:fill="D9D9D9" w:themeFill="background1" w:themeFillShade="D9"/>
            <w:vAlign w:val="center"/>
          </w:tcPr>
          <w:p w14:paraId="03670A47"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 xml:space="preserve">Sociocultural Evaluation Requirement  </w:t>
            </w:r>
          </w:p>
        </w:tc>
        <w:tc>
          <w:tcPr>
            <w:tcW w:w="10890" w:type="dxa"/>
            <w:gridSpan w:val="4"/>
            <w:vMerge w:val="restart"/>
            <w:vAlign w:val="center"/>
          </w:tcPr>
          <w:p w14:paraId="03670A48"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4C" w14:textId="77777777" w:rsidTr="005D6A90">
        <w:trPr>
          <w:trHeight w:val="323"/>
        </w:trPr>
        <w:tc>
          <w:tcPr>
            <w:tcW w:w="2903" w:type="dxa"/>
            <w:shd w:val="clear" w:color="auto" w:fill="D9D9D9" w:themeFill="background1" w:themeFillShade="D9"/>
            <w:vAlign w:val="center"/>
          </w:tcPr>
          <w:p w14:paraId="03670A4A" w14:textId="77777777" w:rsidR="000E02C8" w:rsidRPr="00B34A61" w:rsidDel="00641735" w:rsidRDefault="000E02C8" w:rsidP="000E02C8">
            <w:pPr>
              <w:tabs>
                <w:tab w:val="left" w:pos="3200"/>
              </w:tabs>
              <w:jc w:val="both"/>
              <w:rPr>
                <w:rFonts w:ascii="Arial" w:hAnsi="Arial" w:cs="Arial"/>
                <w:b/>
                <w:sz w:val="20"/>
                <w:szCs w:val="20"/>
              </w:rPr>
            </w:pPr>
            <w:r w:rsidRPr="00B34A61">
              <w:rPr>
                <w:rFonts w:ascii="Arial" w:hAnsi="Arial" w:cs="Arial"/>
                <w:sz w:val="20"/>
                <w:szCs w:val="20"/>
              </w:rPr>
              <w:lastRenderedPageBreak/>
              <w:t>Good-faith Negotiations and proper documentation</w:t>
            </w:r>
          </w:p>
        </w:tc>
        <w:tc>
          <w:tcPr>
            <w:tcW w:w="10890" w:type="dxa"/>
            <w:gridSpan w:val="4"/>
            <w:vMerge/>
            <w:vAlign w:val="center"/>
          </w:tcPr>
          <w:p w14:paraId="03670A4B"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4F" w14:textId="77777777" w:rsidTr="005D6A90">
        <w:trPr>
          <w:trHeight w:val="323"/>
        </w:trPr>
        <w:tc>
          <w:tcPr>
            <w:tcW w:w="2903" w:type="dxa"/>
            <w:shd w:val="clear" w:color="auto" w:fill="D9D9D9" w:themeFill="background1" w:themeFillShade="D9"/>
            <w:vAlign w:val="center"/>
          </w:tcPr>
          <w:p w14:paraId="03670A4D"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Agreement with Affected Indigenous Peoples</w:t>
            </w:r>
          </w:p>
        </w:tc>
        <w:tc>
          <w:tcPr>
            <w:tcW w:w="10890" w:type="dxa"/>
            <w:gridSpan w:val="4"/>
            <w:vMerge/>
            <w:vAlign w:val="center"/>
          </w:tcPr>
          <w:p w14:paraId="03670A4E"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52" w14:textId="77777777" w:rsidTr="005D6A90">
        <w:trPr>
          <w:trHeight w:val="323"/>
        </w:trPr>
        <w:tc>
          <w:tcPr>
            <w:tcW w:w="2903" w:type="dxa"/>
            <w:shd w:val="clear" w:color="auto" w:fill="D9D9D9" w:themeFill="background1" w:themeFillShade="D9"/>
            <w:vAlign w:val="center"/>
          </w:tcPr>
          <w:p w14:paraId="03670A50"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Indigenous Peoples Compensation, and Development Plan or Framework requirement</w:t>
            </w:r>
          </w:p>
        </w:tc>
        <w:tc>
          <w:tcPr>
            <w:tcW w:w="10890" w:type="dxa"/>
            <w:gridSpan w:val="4"/>
            <w:vMerge/>
            <w:vAlign w:val="center"/>
          </w:tcPr>
          <w:p w14:paraId="03670A51"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55" w14:textId="77777777" w:rsidTr="005D6A90">
        <w:trPr>
          <w:trHeight w:val="323"/>
        </w:trPr>
        <w:tc>
          <w:tcPr>
            <w:tcW w:w="2903" w:type="dxa"/>
            <w:shd w:val="clear" w:color="auto" w:fill="D9D9D9" w:themeFill="background1" w:themeFillShade="D9"/>
            <w:vAlign w:val="center"/>
          </w:tcPr>
          <w:p w14:paraId="03670A53" w14:textId="77777777" w:rsidR="000E02C8" w:rsidRPr="00B34A61" w:rsidRDefault="000E02C8" w:rsidP="000E02C8">
            <w:pPr>
              <w:tabs>
                <w:tab w:val="left" w:pos="3200"/>
              </w:tabs>
              <w:rPr>
                <w:rFonts w:ascii="Arial" w:hAnsi="Arial" w:cs="Arial"/>
                <w:sz w:val="20"/>
                <w:szCs w:val="20"/>
              </w:rPr>
            </w:pPr>
            <w:r w:rsidRPr="00B34A61">
              <w:rPr>
                <w:rFonts w:ascii="Arial" w:hAnsi="Arial" w:cs="Arial"/>
                <w:sz w:val="20"/>
                <w:szCs w:val="20"/>
              </w:rPr>
              <w:t xml:space="preserve">Discrimination Issues </w:t>
            </w:r>
          </w:p>
        </w:tc>
        <w:tc>
          <w:tcPr>
            <w:tcW w:w="10890" w:type="dxa"/>
            <w:gridSpan w:val="4"/>
            <w:vMerge/>
            <w:vAlign w:val="center"/>
          </w:tcPr>
          <w:p w14:paraId="03670A54"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58" w14:textId="77777777" w:rsidTr="005D6A90">
        <w:trPr>
          <w:trHeight w:val="323"/>
        </w:trPr>
        <w:tc>
          <w:tcPr>
            <w:tcW w:w="2903" w:type="dxa"/>
            <w:shd w:val="clear" w:color="auto" w:fill="D9D9D9" w:themeFill="background1" w:themeFillShade="D9"/>
            <w:vAlign w:val="center"/>
          </w:tcPr>
          <w:p w14:paraId="03670A56" w14:textId="77777777" w:rsidR="000E02C8" w:rsidRPr="00B34A61" w:rsidRDefault="000E02C8" w:rsidP="000E02C8">
            <w:pPr>
              <w:tabs>
                <w:tab w:val="left" w:pos="3200"/>
              </w:tabs>
              <w:rPr>
                <w:rFonts w:ascii="Arial" w:hAnsi="Arial" w:cs="Arial"/>
                <w:sz w:val="20"/>
                <w:szCs w:val="20"/>
              </w:rPr>
            </w:pPr>
            <w:r w:rsidRPr="00B34A61">
              <w:rPr>
                <w:rFonts w:ascii="Arial" w:hAnsi="Arial" w:cs="Arial"/>
                <w:sz w:val="20"/>
                <w:szCs w:val="20"/>
              </w:rPr>
              <w:t xml:space="preserve">Transborder Impacts </w:t>
            </w:r>
          </w:p>
        </w:tc>
        <w:tc>
          <w:tcPr>
            <w:tcW w:w="10890" w:type="dxa"/>
            <w:gridSpan w:val="4"/>
            <w:vMerge/>
            <w:vAlign w:val="center"/>
          </w:tcPr>
          <w:p w14:paraId="03670A57"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5B" w14:textId="77777777" w:rsidTr="005D6A90">
        <w:trPr>
          <w:trHeight w:val="323"/>
        </w:trPr>
        <w:tc>
          <w:tcPr>
            <w:tcW w:w="2903" w:type="dxa"/>
            <w:shd w:val="clear" w:color="auto" w:fill="D9D9D9" w:themeFill="background1" w:themeFillShade="D9"/>
            <w:vAlign w:val="center"/>
          </w:tcPr>
          <w:p w14:paraId="03670A59" w14:textId="77777777" w:rsidR="000E02C8" w:rsidRPr="00B34A61" w:rsidRDefault="000E02C8" w:rsidP="000E02C8">
            <w:pPr>
              <w:tabs>
                <w:tab w:val="left" w:pos="3200"/>
              </w:tabs>
              <w:rPr>
                <w:rFonts w:ascii="Arial" w:hAnsi="Arial" w:cs="Arial"/>
                <w:sz w:val="20"/>
                <w:szCs w:val="20"/>
              </w:rPr>
            </w:pPr>
            <w:r w:rsidRPr="00B34A61">
              <w:rPr>
                <w:rFonts w:ascii="Arial" w:hAnsi="Arial" w:cs="Arial"/>
                <w:sz w:val="20"/>
                <w:szCs w:val="20"/>
              </w:rPr>
              <w:t xml:space="preserve">Impacts on Isolated Indigenous Peoples </w:t>
            </w:r>
          </w:p>
        </w:tc>
        <w:tc>
          <w:tcPr>
            <w:tcW w:w="10890" w:type="dxa"/>
            <w:gridSpan w:val="4"/>
            <w:vMerge/>
            <w:vAlign w:val="center"/>
          </w:tcPr>
          <w:p w14:paraId="03670A5A"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5D" w14:textId="77777777" w:rsidTr="000361A6">
        <w:trPr>
          <w:trHeight w:val="323"/>
        </w:trPr>
        <w:tc>
          <w:tcPr>
            <w:tcW w:w="13793" w:type="dxa"/>
            <w:gridSpan w:val="5"/>
            <w:shd w:val="clear" w:color="auto" w:fill="D9D9D9" w:themeFill="background1" w:themeFillShade="D9"/>
            <w:vAlign w:val="center"/>
          </w:tcPr>
          <w:p w14:paraId="03670A5C" w14:textId="77777777" w:rsidR="000E02C8" w:rsidRPr="00B34A61" w:rsidRDefault="000E02C8" w:rsidP="000E02C8">
            <w:pPr>
              <w:tabs>
                <w:tab w:val="left" w:pos="3200"/>
              </w:tabs>
              <w:jc w:val="both"/>
              <w:rPr>
                <w:rFonts w:ascii="Arial" w:hAnsi="Arial" w:cs="Arial"/>
                <w:sz w:val="20"/>
                <w:szCs w:val="20"/>
              </w:rPr>
            </w:pPr>
            <w:r w:rsidRPr="00B34A61">
              <w:rPr>
                <w:rFonts w:ascii="Arial" w:hAnsi="Arial" w:cs="Arial"/>
                <w:b/>
                <w:sz w:val="20"/>
                <w:szCs w:val="20"/>
              </w:rPr>
              <w:t>OP-761 Operational Policy on Gender Equality in Development</w:t>
            </w:r>
          </w:p>
        </w:tc>
      </w:tr>
      <w:tr w:rsidR="000E02C8" w:rsidRPr="00B34A61" w14:paraId="03670A60" w14:textId="77777777" w:rsidTr="005D6A90">
        <w:trPr>
          <w:trHeight w:val="323"/>
        </w:trPr>
        <w:tc>
          <w:tcPr>
            <w:tcW w:w="2903" w:type="dxa"/>
            <w:shd w:val="clear" w:color="auto" w:fill="D9D9D9" w:themeFill="background1" w:themeFillShade="D9"/>
            <w:vAlign w:val="center"/>
          </w:tcPr>
          <w:p w14:paraId="03670A5E"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Consultation and effective participation of women and men</w:t>
            </w:r>
          </w:p>
        </w:tc>
        <w:tc>
          <w:tcPr>
            <w:tcW w:w="10890" w:type="dxa"/>
            <w:gridSpan w:val="4"/>
            <w:vMerge w:val="restart"/>
            <w:vAlign w:val="center"/>
          </w:tcPr>
          <w:p w14:paraId="03670A5F" w14:textId="77777777" w:rsidR="000E02C8" w:rsidRPr="00B34A61" w:rsidRDefault="000E02C8" w:rsidP="000E02C8">
            <w:pPr>
              <w:tabs>
                <w:tab w:val="left" w:pos="3200"/>
              </w:tabs>
              <w:jc w:val="center"/>
              <w:rPr>
                <w:rFonts w:ascii="Arial" w:hAnsi="Arial" w:cs="Arial"/>
                <w:sz w:val="20"/>
                <w:szCs w:val="20"/>
              </w:rPr>
            </w:pPr>
            <w:r w:rsidRPr="00B34A61">
              <w:rPr>
                <w:rFonts w:ascii="Arial" w:hAnsi="Arial" w:cs="Arial"/>
                <w:sz w:val="20"/>
                <w:szCs w:val="20"/>
              </w:rPr>
              <w:t>Not triggered</w:t>
            </w:r>
          </w:p>
        </w:tc>
      </w:tr>
      <w:tr w:rsidR="000E02C8" w:rsidRPr="00B34A61" w14:paraId="03670A63" w14:textId="77777777" w:rsidTr="005D6A90">
        <w:trPr>
          <w:trHeight w:val="323"/>
        </w:trPr>
        <w:tc>
          <w:tcPr>
            <w:tcW w:w="2903" w:type="dxa"/>
            <w:shd w:val="clear" w:color="auto" w:fill="D9D9D9" w:themeFill="background1" w:themeFillShade="D9"/>
            <w:vAlign w:val="center"/>
          </w:tcPr>
          <w:p w14:paraId="03670A61"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Application of safeguard and risk</w:t>
            </w:r>
            <w:r w:rsidRPr="00B34A61">
              <w:rPr>
                <w:rStyle w:val="FootnoteReference"/>
                <w:rFonts w:ascii="Arial" w:hAnsi="Arial" w:cs="Arial"/>
                <w:sz w:val="20"/>
                <w:szCs w:val="20"/>
              </w:rPr>
              <w:footnoteReference w:id="6"/>
            </w:r>
            <w:r w:rsidRPr="00B34A61">
              <w:rPr>
                <w:rFonts w:ascii="Arial" w:hAnsi="Arial" w:cs="Arial"/>
                <w:sz w:val="20"/>
                <w:szCs w:val="20"/>
              </w:rPr>
              <w:t xml:space="preserve"> analysis</w:t>
            </w:r>
          </w:p>
        </w:tc>
        <w:tc>
          <w:tcPr>
            <w:tcW w:w="10890" w:type="dxa"/>
            <w:gridSpan w:val="4"/>
            <w:vMerge/>
            <w:vAlign w:val="center"/>
          </w:tcPr>
          <w:p w14:paraId="03670A62" w14:textId="77777777" w:rsidR="000E02C8" w:rsidRPr="00B34A61" w:rsidRDefault="000E02C8" w:rsidP="000E02C8">
            <w:pPr>
              <w:tabs>
                <w:tab w:val="left" w:pos="3200"/>
              </w:tabs>
              <w:jc w:val="both"/>
              <w:rPr>
                <w:rFonts w:ascii="Arial" w:hAnsi="Arial" w:cs="Arial"/>
                <w:sz w:val="20"/>
                <w:szCs w:val="20"/>
              </w:rPr>
            </w:pPr>
          </w:p>
        </w:tc>
      </w:tr>
      <w:tr w:rsidR="000E02C8" w:rsidRPr="00B34A61" w14:paraId="03670A65" w14:textId="77777777" w:rsidTr="000361A6">
        <w:trPr>
          <w:trHeight w:val="323"/>
        </w:trPr>
        <w:tc>
          <w:tcPr>
            <w:tcW w:w="13793" w:type="dxa"/>
            <w:gridSpan w:val="5"/>
            <w:shd w:val="clear" w:color="auto" w:fill="D9D9D9" w:themeFill="background1" w:themeFillShade="D9"/>
            <w:vAlign w:val="center"/>
          </w:tcPr>
          <w:p w14:paraId="03670A64" w14:textId="77777777" w:rsidR="000E02C8" w:rsidRPr="00B34A61" w:rsidRDefault="000E02C8" w:rsidP="000E02C8">
            <w:pPr>
              <w:tabs>
                <w:tab w:val="left" w:pos="3200"/>
              </w:tabs>
              <w:jc w:val="both"/>
              <w:rPr>
                <w:rFonts w:ascii="Arial" w:hAnsi="Arial" w:cs="Arial"/>
                <w:sz w:val="20"/>
                <w:szCs w:val="20"/>
              </w:rPr>
            </w:pPr>
            <w:r w:rsidRPr="00B34A61">
              <w:rPr>
                <w:rFonts w:ascii="Arial" w:hAnsi="Arial" w:cs="Arial"/>
                <w:b/>
                <w:sz w:val="20"/>
                <w:szCs w:val="20"/>
              </w:rPr>
              <w:t>OP-102 Access to Information Policy</w:t>
            </w:r>
          </w:p>
        </w:tc>
      </w:tr>
      <w:tr w:rsidR="000E02C8" w:rsidRPr="00B34A61" w14:paraId="03670A6A" w14:textId="77777777" w:rsidTr="007D669A">
        <w:trPr>
          <w:trHeight w:val="323"/>
        </w:trPr>
        <w:tc>
          <w:tcPr>
            <w:tcW w:w="2903" w:type="dxa"/>
            <w:shd w:val="clear" w:color="auto" w:fill="D9D9D9" w:themeFill="background1" w:themeFillShade="D9"/>
            <w:vAlign w:val="center"/>
          </w:tcPr>
          <w:p w14:paraId="03670A66" w14:textId="77777777" w:rsidR="000E02C8" w:rsidRPr="00B34A61" w:rsidDel="00641735" w:rsidRDefault="000E02C8" w:rsidP="000E02C8">
            <w:pPr>
              <w:tabs>
                <w:tab w:val="left" w:pos="3200"/>
              </w:tabs>
              <w:rPr>
                <w:rFonts w:ascii="Arial" w:hAnsi="Arial" w:cs="Arial"/>
                <w:b/>
                <w:sz w:val="20"/>
                <w:szCs w:val="20"/>
              </w:rPr>
            </w:pPr>
            <w:r w:rsidRPr="00B34A61">
              <w:rPr>
                <w:rFonts w:ascii="Arial" w:eastAsia="Arial" w:hAnsi="Arial" w:cs="Arial"/>
                <w:sz w:val="20"/>
                <w:szCs w:val="20"/>
              </w:rPr>
              <w:t>Disclosure of relevant Environmental and Social Assessments</w:t>
            </w:r>
            <w:r w:rsidR="00520EDF" w:rsidRPr="00B34A61">
              <w:rPr>
                <w:rFonts w:ascii="Arial" w:eastAsia="Arial" w:hAnsi="Arial" w:cs="Arial"/>
                <w:sz w:val="20"/>
                <w:szCs w:val="20"/>
              </w:rPr>
              <w:t xml:space="preserve"> </w:t>
            </w:r>
            <w:r w:rsidRPr="00B34A61">
              <w:rPr>
                <w:rFonts w:ascii="Arial" w:eastAsia="Arial" w:hAnsi="Arial" w:cs="Arial"/>
                <w:sz w:val="20"/>
                <w:szCs w:val="20"/>
              </w:rPr>
              <w:t>Prior to Analysis Mission, QRR, OPC and submission of the operation for Board consideration</w:t>
            </w:r>
          </w:p>
        </w:tc>
        <w:tc>
          <w:tcPr>
            <w:tcW w:w="2137" w:type="dxa"/>
          </w:tcPr>
          <w:p w14:paraId="03670A67" w14:textId="77777777" w:rsidR="000E02C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t>Disclosure of E&amp;S documents</w:t>
            </w:r>
          </w:p>
        </w:tc>
        <w:tc>
          <w:tcPr>
            <w:tcW w:w="4343" w:type="dxa"/>
            <w:gridSpan w:val="2"/>
          </w:tcPr>
          <w:p w14:paraId="03670A68" w14:textId="77777777" w:rsidR="000E02C8" w:rsidRPr="00B34A61" w:rsidRDefault="006750E7" w:rsidP="000E02C8">
            <w:pPr>
              <w:tabs>
                <w:tab w:val="left" w:pos="3200"/>
              </w:tabs>
              <w:jc w:val="both"/>
              <w:rPr>
                <w:rFonts w:ascii="Arial" w:hAnsi="Arial" w:cs="Arial"/>
                <w:sz w:val="20"/>
                <w:szCs w:val="20"/>
              </w:rPr>
            </w:pPr>
            <w:r w:rsidRPr="00B34A61">
              <w:rPr>
                <w:rFonts w:ascii="Arial" w:hAnsi="Arial" w:cs="Arial"/>
                <w:sz w:val="20"/>
                <w:szCs w:val="20"/>
              </w:rPr>
              <w:t xml:space="preserve">Compliance expected </w:t>
            </w:r>
          </w:p>
        </w:tc>
        <w:tc>
          <w:tcPr>
            <w:tcW w:w="4410" w:type="dxa"/>
          </w:tcPr>
          <w:p w14:paraId="03670A69" w14:textId="17A1E66B" w:rsidR="000E02C8" w:rsidRPr="00B34A61" w:rsidRDefault="00E228C6" w:rsidP="000E02C8">
            <w:pPr>
              <w:tabs>
                <w:tab w:val="left" w:pos="3200"/>
              </w:tabs>
              <w:jc w:val="both"/>
              <w:rPr>
                <w:rFonts w:ascii="Arial" w:hAnsi="Arial" w:cs="Arial"/>
                <w:sz w:val="20"/>
                <w:szCs w:val="20"/>
              </w:rPr>
            </w:pPr>
            <w:r w:rsidRPr="00B34A61">
              <w:rPr>
                <w:rFonts w:ascii="Arial" w:hAnsi="Arial" w:cs="Arial"/>
                <w:sz w:val="20"/>
                <w:szCs w:val="20"/>
              </w:rPr>
              <w:t xml:space="preserve">The IDB will publish the </w:t>
            </w:r>
            <w:r w:rsidR="00694CD4">
              <w:rPr>
                <w:rFonts w:ascii="Arial" w:hAnsi="Arial" w:cs="Arial"/>
                <w:sz w:val="20"/>
                <w:szCs w:val="20"/>
              </w:rPr>
              <w:t>project</w:t>
            </w:r>
            <w:r w:rsidRPr="00B34A61">
              <w:rPr>
                <w:rFonts w:ascii="Arial" w:hAnsi="Arial" w:cs="Arial"/>
                <w:sz w:val="20"/>
                <w:szCs w:val="20"/>
              </w:rPr>
              <w:t xml:space="preserve"> documents in compliance with OP-102. </w:t>
            </w:r>
          </w:p>
        </w:tc>
      </w:tr>
      <w:tr w:rsidR="000E02C8" w:rsidRPr="00B34A61" w14:paraId="03670A6F" w14:textId="77777777" w:rsidTr="00E82550">
        <w:trPr>
          <w:trHeight w:val="323"/>
        </w:trPr>
        <w:tc>
          <w:tcPr>
            <w:tcW w:w="2903" w:type="dxa"/>
            <w:shd w:val="clear" w:color="auto" w:fill="D9D9D9" w:themeFill="background1" w:themeFillShade="D9"/>
            <w:vAlign w:val="center"/>
          </w:tcPr>
          <w:p w14:paraId="03670A6B" w14:textId="77777777" w:rsidR="000E02C8" w:rsidRPr="00B34A61" w:rsidDel="00641735" w:rsidRDefault="000E02C8" w:rsidP="000E02C8">
            <w:pPr>
              <w:tabs>
                <w:tab w:val="left" w:pos="3200"/>
              </w:tabs>
              <w:rPr>
                <w:rFonts w:ascii="Arial" w:hAnsi="Arial" w:cs="Arial"/>
                <w:b/>
                <w:sz w:val="20"/>
                <w:szCs w:val="20"/>
              </w:rPr>
            </w:pPr>
            <w:r w:rsidRPr="00B34A61">
              <w:rPr>
                <w:rFonts w:ascii="Arial" w:hAnsi="Arial" w:cs="Arial"/>
                <w:sz w:val="20"/>
                <w:szCs w:val="20"/>
              </w:rPr>
              <w:t>Provisions for Disclosure of Environmental and Social Documents during Project Implementation</w:t>
            </w:r>
          </w:p>
        </w:tc>
        <w:tc>
          <w:tcPr>
            <w:tcW w:w="2137" w:type="dxa"/>
            <w:vAlign w:val="center"/>
          </w:tcPr>
          <w:p w14:paraId="03670A6C" w14:textId="77777777" w:rsidR="000E02C8" w:rsidRPr="00B34A61" w:rsidRDefault="000E02C8" w:rsidP="000E02C8">
            <w:pPr>
              <w:tabs>
                <w:tab w:val="left" w:pos="3200"/>
              </w:tabs>
              <w:jc w:val="both"/>
              <w:rPr>
                <w:rFonts w:ascii="Arial" w:hAnsi="Arial" w:cs="Arial"/>
                <w:sz w:val="20"/>
                <w:szCs w:val="20"/>
              </w:rPr>
            </w:pPr>
          </w:p>
        </w:tc>
        <w:tc>
          <w:tcPr>
            <w:tcW w:w="4343" w:type="dxa"/>
            <w:gridSpan w:val="2"/>
          </w:tcPr>
          <w:p w14:paraId="03670A6D" w14:textId="77777777" w:rsidR="000E02C8" w:rsidRPr="00B34A61" w:rsidRDefault="000E02C8" w:rsidP="000E02C8">
            <w:pPr>
              <w:tabs>
                <w:tab w:val="left" w:pos="3200"/>
              </w:tabs>
              <w:jc w:val="both"/>
              <w:rPr>
                <w:rFonts w:ascii="Arial" w:hAnsi="Arial" w:cs="Arial"/>
                <w:sz w:val="20"/>
                <w:szCs w:val="20"/>
              </w:rPr>
            </w:pPr>
          </w:p>
        </w:tc>
        <w:tc>
          <w:tcPr>
            <w:tcW w:w="4410" w:type="dxa"/>
          </w:tcPr>
          <w:p w14:paraId="03670A6E" w14:textId="39115CDB" w:rsidR="000E02C8" w:rsidRPr="00B34A61" w:rsidRDefault="00520EDF" w:rsidP="000E02C8">
            <w:pPr>
              <w:tabs>
                <w:tab w:val="left" w:pos="3200"/>
              </w:tabs>
              <w:jc w:val="both"/>
              <w:rPr>
                <w:rFonts w:ascii="Arial" w:hAnsi="Arial" w:cs="Arial"/>
                <w:sz w:val="20"/>
                <w:szCs w:val="20"/>
              </w:rPr>
            </w:pPr>
            <w:r w:rsidRPr="00B34A61">
              <w:rPr>
                <w:rFonts w:ascii="Arial" w:hAnsi="Arial" w:cs="Arial"/>
                <w:sz w:val="20"/>
                <w:szCs w:val="20"/>
              </w:rPr>
              <w:t xml:space="preserve">For B category </w:t>
            </w:r>
            <w:r w:rsidR="00B44034" w:rsidRPr="00B34A61">
              <w:rPr>
                <w:rFonts w:ascii="Arial" w:hAnsi="Arial" w:cs="Arial"/>
                <w:sz w:val="20"/>
                <w:szCs w:val="20"/>
              </w:rPr>
              <w:t>subproject</w:t>
            </w:r>
            <w:r w:rsidRPr="00B34A61">
              <w:rPr>
                <w:rFonts w:ascii="Arial" w:hAnsi="Arial" w:cs="Arial"/>
                <w:sz w:val="20"/>
                <w:szCs w:val="20"/>
              </w:rPr>
              <w:t xml:space="preserve">s financed with resources from the </w:t>
            </w:r>
            <w:r w:rsidR="00694CD4">
              <w:rPr>
                <w:rFonts w:ascii="Arial" w:hAnsi="Arial" w:cs="Arial"/>
                <w:sz w:val="20"/>
                <w:szCs w:val="20"/>
              </w:rPr>
              <w:t>project</w:t>
            </w:r>
            <w:r w:rsidRPr="00B34A61">
              <w:rPr>
                <w:rFonts w:ascii="Arial" w:hAnsi="Arial" w:cs="Arial"/>
                <w:sz w:val="20"/>
                <w:szCs w:val="20"/>
              </w:rPr>
              <w:t>, the EIA will be published on BICE and/or the sub-borrower website.</w:t>
            </w:r>
          </w:p>
        </w:tc>
      </w:tr>
    </w:tbl>
    <w:p w14:paraId="03670A70" w14:textId="77777777" w:rsidR="00B01F04" w:rsidRPr="00B34A61" w:rsidRDefault="00B01F04" w:rsidP="004B6155">
      <w:pPr>
        <w:widowControl w:val="0"/>
        <w:autoSpaceDE w:val="0"/>
        <w:autoSpaceDN w:val="0"/>
        <w:adjustRightInd w:val="0"/>
        <w:ind w:right="-720"/>
        <w:jc w:val="both"/>
        <w:rPr>
          <w:rFonts w:ascii="Arial" w:hAnsi="Arial" w:cs="Arial"/>
          <w:bCs/>
          <w:sz w:val="20"/>
          <w:szCs w:val="20"/>
        </w:rPr>
      </w:pPr>
    </w:p>
    <w:p w14:paraId="03670A71" w14:textId="77777777" w:rsidR="00874CC0" w:rsidRPr="00B34A61" w:rsidRDefault="00874CC0" w:rsidP="004B6155">
      <w:pPr>
        <w:widowControl w:val="0"/>
        <w:autoSpaceDE w:val="0"/>
        <w:autoSpaceDN w:val="0"/>
        <w:adjustRightInd w:val="0"/>
        <w:ind w:right="-720"/>
        <w:jc w:val="both"/>
        <w:rPr>
          <w:rFonts w:ascii="Arial" w:hAnsi="Arial" w:cs="Arial"/>
          <w:bCs/>
          <w:sz w:val="20"/>
          <w:szCs w:val="20"/>
        </w:rPr>
      </w:pPr>
    </w:p>
    <w:p w14:paraId="03670A72" w14:textId="77777777" w:rsidR="00874CC0" w:rsidRPr="00B34A61" w:rsidRDefault="00874CC0" w:rsidP="004B6155">
      <w:pPr>
        <w:widowControl w:val="0"/>
        <w:autoSpaceDE w:val="0"/>
        <w:autoSpaceDN w:val="0"/>
        <w:adjustRightInd w:val="0"/>
        <w:ind w:right="-720"/>
        <w:jc w:val="both"/>
        <w:rPr>
          <w:rFonts w:ascii="Arial" w:hAnsi="Arial" w:cs="Arial"/>
          <w:bCs/>
          <w:sz w:val="20"/>
          <w:szCs w:val="20"/>
        </w:rPr>
      </w:pPr>
    </w:p>
    <w:p w14:paraId="03670A73" w14:textId="77777777" w:rsidR="00BE1ADE" w:rsidRPr="00B34A61" w:rsidRDefault="00874CC0" w:rsidP="00BE1ADE">
      <w:pPr>
        <w:rPr>
          <w:rFonts w:ascii="Arial" w:hAnsi="Arial" w:cs="Arial"/>
          <w:bCs/>
          <w:sz w:val="20"/>
          <w:szCs w:val="20"/>
        </w:rPr>
        <w:sectPr w:rsidR="00BE1ADE" w:rsidRPr="00B34A61" w:rsidSect="00883BA1">
          <w:pgSz w:w="15840" w:h="12240" w:orient="landscape"/>
          <w:pgMar w:top="1166" w:right="1440" w:bottom="1800" w:left="1440" w:header="720" w:footer="720" w:gutter="0"/>
          <w:cols w:space="720"/>
          <w:docGrid w:linePitch="360"/>
        </w:sectPr>
      </w:pPr>
      <w:r w:rsidRPr="00B34A61">
        <w:rPr>
          <w:rFonts w:ascii="Arial" w:hAnsi="Arial" w:cs="Arial"/>
          <w:bCs/>
          <w:sz w:val="20"/>
          <w:szCs w:val="20"/>
        </w:rPr>
        <w:br w:type="page"/>
      </w:r>
    </w:p>
    <w:p w14:paraId="03670A74" w14:textId="77777777" w:rsidR="00BE1ADE" w:rsidRPr="00B34A61" w:rsidRDefault="00874CC0" w:rsidP="00BE1ADE">
      <w:pPr>
        <w:rPr>
          <w:rFonts w:ascii="Arial" w:hAnsi="Arial" w:cs="Arial"/>
          <w:b/>
          <w:sz w:val="20"/>
          <w:szCs w:val="20"/>
        </w:rPr>
      </w:pPr>
      <w:r w:rsidRPr="00B34A61">
        <w:rPr>
          <w:rFonts w:ascii="Arial" w:hAnsi="Arial" w:cs="Arial"/>
          <w:b/>
          <w:bCs/>
          <w:sz w:val="20"/>
          <w:szCs w:val="20"/>
        </w:rPr>
        <w:lastRenderedPageBreak/>
        <w:t>Annex B. ESHS Legal Requirements</w:t>
      </w:r>
      <w:r w:rsidR="00BE1ADE" w:rsidRPr="00B34A61">
        <w:rPr>
          <w:rFonts w:ascii="Arial" w:hAnsi="Arial" w:cs="Arial"/>
          <w:b/>
          <w:sz w:val="20"/>
          <w:szCs w:val="20"/>
        </w:rPr>
        <w:t xml:space="preserve"> </w:t>
      </w:r>
    </w:p>
    <w:p w14:paraId="03670A75" w14:textId="77777777" w:rsidR="009F0069" w:rsidRPr="00B34A61" w:rsidRDefault="009F0069" w:rsidP="009F0069">
      <w:pPr>
        <w:rPr>
          <w:rFonts w:ascii="Arial" w:eastAsia="Times New Roman" w:hAnsi="Arial" w:cs="Arial"/>
          <w:b/>
          <w:i/>
          <w:sz w:val="20"/>
          <w:szCs w:val="20"/>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9F0069" w:rsidRPr="00B34A61" w14:paraId="03670A96"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000EBEE" w14:textId="164F01BA" w:rsidR="00A61D77" w:rsidRPr="00B601BF" w:rsidRDefault="00E75E40" w:rsidP="00A61D77">
            <w:pPr>
              <w:spacing w:before="120" w:after="120"/>
              <w:rPr>
                <w:rFonts w:ascii="Arial" w:eastAsia="Times New Roman" w:hAnsi="Arial" w:cs="Arial"/>
                <w:b/>
                <w:color w:val="0070C0"/>
                <w:sz w:val="20"/>
                <w:szCs w:val="20"/>
              </w:rPr>
            </w:pPr>
            <w:r w:rsidRPr="007D669A">
              <w:rPr>
                <w:rFonts w:ascii="Arial" w:hAnsi="Arial" w:cs="Arial"/>
                <w:b/>
                <w:sz w:val="20"/>
                <w:szCs w:val="20"/>
                <w:u w:val="single"/>
              </w:rPr>
              <w:t>Provisions to be included in the Operational Manual (“ROP”)</w:t>
            </w:r>
          </w:p>
          <w:p w14:paraId="03670A88" w14:textId="458BD1EB" w:rsidR="009F0069" w:rsidRPr="007D669A" w:rsidRDefault="009F0069" w:rsidP="00267CCE">
            <w:pPr>
              <w:spacing w:before="120" w:after="120"/>
              <w:rPr>
                <w:rFonts w:ascii="Arial" w:eastAsia="Times New Roman" w:hAnsi="Arial" w:cs="Arial"/>
                <w:b/>
                <w:sz w:val="20"/>
                <w:szCs w:val="20"/>
              </w:rPr>
            </w:pPr>
          </w:p>
          <w:p w14:paraId="03670A89" w14:textId="7001F73D" w:rsidR="009F0069" w:rsidRPr="007D669A" w:rsidRDefault="00A61D77" w:rsidP="00267CCE">
            <w:pPr>
              <w:spacing w:before="120" w:after="120"/>
              <w:rPr>
                <w:rFonts w:ascii="Arial" w:eastAsia="Times New Roman" w:hAnsi="Arial" w:cs="Arial"/>
                <w:sz w:val="20"/>
                <w:szCs w:val="20"/>
              </w:rPr>
            </w:pPr>
            <w:r w:rsidRPr="007D669A">
              <w:rPr>
                <w:rFonts w:ascii="Arial" w:eastAsia="Times New Roman" w:hAnsi="Arial" w:cs="Arial"/>
                <w:sz w:val="20"/>
                <w:szCs w:val="20"/>
              </w:rPr>
              <w:t xml:space="preserve">The following ESHS conditions are required to be fulfilled to the satisfaction of the Bank and will be included in the Operating Regulations (OR) of the </w:t>
            </w:r>
            <w:r w:rsidR="00694CD4">
              <w:rPr>
                <w:rFonts w:ascii="Arial" w:eastAsia="Times New Roman" w:hAnsi="Arial" w:cs="Arial"/>
                <w:sz w:val="20"/>
                <w:szCs w:val="20"/>
              </w:rPr>
              <w:t>project</w:t>
            </w:r>
            <w:r w:rsidRPr="007D669A">
              <w:rPr>
                <w:rFonts w:ascii="Arial" w:eastAsia="Times New Roman" w:hAnsi="Arial" w:cs="Arial"/>
                <w:sz w:val="20"/>
                <w:szCs w:val="20"/>
              </w:rPr>
              <w:t xml:space="preserve"> and further in an internal Operating Manual (OM) annexed to the OR, in order to comply with the Bank’s ESHS Safeguard Policies.</w:t>
            </w:r>
          </w:p>
          <w:p w14:paraId="03670A8A" w14:textId="77777777" w:rsidR="00D93ADD" w:rsidRPr="007D669A" w:rsidRDefault="008E5B67" w:rsidP="00D93ADD">
            <w:pPr>
              <w:pStyle w:val="CommentText"/>
              <w:spacing w:before="120" w:after="120"/>
              <w:rPr>
                <w:rFonts w:ascii="Arial" w:hAnsi="Arial" w:cs="Arial"/>
                <w:lang w:val="en-US"/>
              </w:rPr>
            </w:pPr>
            <w:r w:rsidRPr="007D669A">
              <w:rPr>
                <w:rFonts w:ascii="Arial" w:hAnsi="Arial" w:cs="Arial"/>
                <w:lang w:val="en-US"/>
              </w:rPr>
              <w:t xml:space="preserve">BICE </w:t>
            </w:r>
            <w:r w:rsidR="00D93ADD" w:rsidRPr="007D669A">
              <w:rPr>
                <w:rFonts w:ascii="Arial" w:hAnsi="Arial" w:cs="Arial"/>
                <w:lang w:val="en-US"/>
              </w:rPr>
              <w:t>shall comply with the following ESHS conditions:</w:t>
            </w:r>
          </w:p>
          <w:p w14:paraId="03670A8B" w14:textId="77777777"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Comply with all applicable environmental, social, health and safety, and labor regulatory requirements of </w:t>
            </w:r>
            <w:r w:rsidR="008E5B67" w:rsidRPr="007D669A">
              <w:rPr>
                <w:rFonts w:ascii="Arial" w:eastAsia="Times New Roman" w:hAnsi="Arial" w:cs="Arial"/>
                <w:sz w:val="20"/>
                <w:szCs w:val="20"/>
              </w:rPr>
              <w:t>Argentina</w:t>
            </w:r>
            <w:r w:rsidRPr="007D669A">
              <w:rPr>
                <w:rFonts w:ascii="Arial" w:eastAsia="Times New Roman" w:hAnsi="Arial" w:cs="Arial"/>
                <w:sz w:val="20"/>
                <w:szCs w:val="20"/>
              </w:rPr>
              <w:t>.</w:t>
            </w:r>
          </w:p>
          <w:p w14:paraId="03670A8C" w14:textId="59DBB3B3"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Confirm that the 1st Tier Banks participating in the </w:t>
            </w:r>
            <w:r w:rsidR="00694CD4">
              <w:rPr>
                <w:rFonts w:ascii="Arial" w:eastAsia="Times New Roman" w:hAnsi="Arial" w:cs="Arial"/>
                <w:sz w:val="20"/>
                <w:szCs w:val="20"/>
              </w:rPr>
              <w:t>project</w:t>
            </w:r>
            <w:r w:rsidRPr="007D669A">
              <w:rPr>
                <w:rFonts w:ascii="Arial" w:eastAsia="Times New Roman" w:hAnsi="Arial" w:cs="Arial"/>
                <w:sz w:val="20"/>
                <w:szCs w:val="20"/>
              </w:rPr>
              <w:t xml:space="preserve"> and the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s financed through this </w:t>
            </w:r>
            <w:r w:rsidR="00694CD4">
              <w:rPr>
                <w:rFonts w:ascii="Arial" w:eastAsia="Times New Roman" w:hAnsi="Arial" w:cs="Arial"/>
                <w:sz w:val="20"/>
                <w:szCs w:val="20"/>
              </w:rPr>
              <w:t>project</w:t>
            </w:r>
            <w:r w:rsidRPr="007D669A">
              <w:rPr>
                <w:rFonts w:ascii="Arial" w:eastAsia="Times New Roman" w:hAnsi="Arial" w:cs="Arial"/>
                <w:sz w:val="20"/>
                <w:szCs w:val="20"/>
              </w:rPr>
              <w:t xml:space="preserve"> comply with all applicable environmental, social, health and safety, and labor regulatory requirements of </w:t>
            </w:r>
            <w:r w:rsidR="008E5B67" w:rsidRPr="007D669A">
              <w:rPr>
                <w:rFonts w:ascii="Arial" w:eastAsia="Times New Roman" w:hAnsi="Arial" w:cs="Arial"/>
                <w:sz w:val="20"/>
                <w:szCs w:val="20"/>
              </w:rPr>
              <w:t>Argentina</w:t>
            </w:r>
            <w:r w:rsidRPr="007D669A">
              <w:rPr>
                <w:rFonts w:ascii="Arial" w:eastAsia="Times New Roman" w:hAnsi="Arial" w:cs="Arial"/>
                <w:sz w:val="20"/>
                <w:szCs w:val="20"/>
              </w:rPr>
              <w:t xml:space="preserve">. </w:t>
            </w:r>
          </w:p>
          <w:p w14:paraId="03670A8D" w14:textId="2A52F6FC"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Appoint an Environmental and Social Coordinator for the duration of the </w:t>
            </w:r>
            <w:r w:rsidR="00694CD4">
              <w:rPr>
                <w:rFonts w:ascii="Arial" w:eastAsia="Times New Roman" w:hAnsi="Arial" w:cs="Arial"/>
                <w:sz w:val="20"/>
                <w:szCs w:val="20"/>
              </w:rPr>
              <w:t>project</w:t>
            </w:r>
            <w:r w:rsidRPr="007D669A">
              <w:rPr>
                <w:rFonts w:ascii="Arial" w:eastAsia="Times New Roman" w:hAnsi="Arial" w:cs="Arial"/>
                <w:sz w:val="20"/>
                <w:szCs w:val="20"/>
              </w:rPr>
              <w:t>.</w:t>
            </w:r>
          </w:p>
          <w:p w14:paraId="03670A8E" w14:textId="4BD9F0D2"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Integrate the IDB exclusions list (see Annex </w:t>
            </w:r>
            <w:r w:rsidR="00FC7694" w:rsidRPr="007D669A">
              <w:rPr>
                <w:rFonts w:ascii="Arial" w:eastAsia="Times New Roman" w:hAnsi="Arial" w:cs="Arial"/>
                <w:sz w:val="20"/>
                <w:szCs w:val="20"/>
              </w:rPr>
              <w:t>C</w:t>
            </w:r>
            <w:r w:rsidRPr="007D669A">
              <w:rPr>
                <w:rFonts w:ascii="Arial" w:eastAsia="Times New Roman" w:hAnsi="Arial" w:cs="Arial"/>
                <w:sz w:val="20"/>
                <w:szCs w:val="20"/>
              </w:rPr>
              <w:t>) in the sub-loan approval process. It is worth noting that this list excludes – among others – projects that (i) involve involuntary resettlement of people, (ii) have a potentially adverse social impact on communities and/or indigenous peoples, (iii)</w:t>
            </w:r>
            <w:r w:rsidR="001902D5">
              <w:rPr>
                <w:rFonts w:ascii="Arial" w:eastAsia="Times New Roman" w:hAnsi="Arial" w:cs="Arial"/>
                <w:sz w:val="20"/>
                <w:szCs w:val="20"/>
              </w:rPr>
              <w:t> </w:t>
            </w:r>
            <w:r w:rsidRPr="007D669A">
              <w:rPr>
                <w:rFonts w:ascii="Arial" w:eastAsia="Times New Roman" w:hAnsi="Arial" w:cs="Arial"/>
                <w:sz w:val="20"/>
                <w:szCs w:val="20"/>
              </w:rPr>
              <w:t>involve conversion or degradation of critical natural habitats or cultural sites.</w:t>
            </w:r>
          </w:p>
          <w:p w14:paraId="03670A8F" w14:textId="77777777"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For Energy Efficiency subprojects, adopt a Decommissioning and Disposal Protocol for replaced equipment and materials acceptable to the IDB, to be presented by </w:t>
            </w:r>
            <w:r w:rsidR="008E5B67" w:rsidRPr="007D669A">
              <w:rPr>
                <w:rFonts w:ascii="Arial" w:eastAsia="Times New Roman" w:hAnsi="Arial" w:cs="Arial"/>
                <w:sz w:val="20"/>
                <w:szCs w:val="20"/>
              </w:rPr>
              <w:t>BICE</w:t>
            </w:r>
            <w:r w:rsidRPr="007D669A">
              <w:rPr>
                <w:rFonts w:ascii="Arial" w:eastAsia="Times New Roman" w:hAnsi="Arial" w:cs="Arial"/>
                <w:sz w:val="20"/>
                <w:szCs w:val="20"/>
              </w:rPr>
              <w:t xml:space="preserve"> and approved by the IDB as a condition prior to first disbursement. The protocol must ensure that any equipment replaced is not reused and is appropriately disposed. It will include the necessary description of each party responsibility. Once approved, said Protocol will be part of this ESM</w:t>
            </w:r>
            <w:r w:rsidR="005D6A90" w:rsidRPr="007D669A">
              <w:rPr>
                <w:rFonts w:ascii="Arial" w:eastAsia="Times New Roman" w:hAnsi="Arial" w:cs="Arial"/>
                <w:sz w:val="20"/>
                <w:szCs w:val="20"/>
              </w:rPr>
              <w:t>R</w:t>
            </w:r>
            <w:r w:rsidRPr="007D669A">
              <w:rPr>
                <w:rFonts w:ascii="Arial" w:eastAsia="Times New Roman" w:hAnsi="Arial" w:cs="Arial"/>
                <w:sz w:val="20"/>
                <w:szCs w:val="20"/>
              </w:rPr>
              <w:t xml:space="preserve"> and as such will apply to </w:t>
            </w:r>
            <w:r w:rsidR="008E5B67" w:rsidRPr="007D669A">
              <w:rPr>
                <w:rFonts w:ascii="Arial" w:eastAsia="Times New Roman" w:hAnsi="Arial" w:cs="Arial"/>
                <w:sz w:val="20"/>
                <w:szCs w:val="20"/>
              </w:rPr>
              <w:t>BICE</w:t>
            </w:r>
            <w:r w:rsidRPr="007D669A">
              <w:rPr>
                <w:rFonts w:ascii="Arial" w:eastAsia="Times New Roman" w:hAnsi="Arial" w:cs="Arial"/>
                <w:sz w:val="20"/>
                <w:szCs w:val="20"/>
              </w:rPr>
              <w:t>, the participating FI and each respective sub-borrower as pertinent to their respective responsibilities.</w:t>
            </w:r>
          </w:p>
          <w:p w14:paraId="03670A90" w14:textId="77777777"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For co-generation projects, develop a classification tool. The tool will be based on the IFC Converting Biomass to Energy: A Guide for Developers and Investors and will be in line with the IDB safeguards. It will be presented by </w:t>
            </w:r>
            <w:r w:rsidR="008E5B67" w:rsidRPr="007D669A">
              <w:rPr>
                <w:rFonts w:ascii="Arial" w:eastAsia="Times New Roman" w:hAnsi="Arial" w:cs="Arial"/>
                <w:sz w:val="20"/>
                <w:szCs w:val="20"/>
              </w:rPr>
              <w:t>BICE</w:t>
            </w:r>
            <w:r w:rsidRPr="007D669A">
              <w:rPr>
                <w:rFonts w:ascii="Arial" w:eastAsia="Times New Roman" w:hAnsi="Arial" w:cs="Arial"/>
                <w:sz w:val="20"/>
                <w:szCs w:val="20"/>
              </w:rPr>
              <w:t xml:space="preserve"> and approved by the IDB as a condition prior to first disbursement.  Once approved, said tool will be part of this ESM</w:t>
            </w:r>
            <w:r w:rsidR="005D6A90" w:rsidRPr="007D669A">
              <w:rPr>
                <w:rFonts w:ascii="Arial" w:eastAsia="Times New Roman" w:hAnsi="Arial" w:cs="Arial"/>
                <w:sz w:val="20"/>
                <w:szCs w:val="20"/>
              </w:rPr>
              <w:t>R</w:t>
            </w:r>
            <w:r w:rsidRPr="007D669A">
              <w:rPr>
                <w:rFonts w:ascii="Arial" w:eastAsia="Times New Roman" w:hAnsi="Arial" w:cs="Arial"/>
                <w:sz w:val="20"/>
                <w:szCs w:val="20"/>
              </w:rPr>
              <w:t xml:space="preserve">. </w:t>
            </w:r>
            <w:r w:rsidR="008E5B67" w:rsidRPr="007D669A">
              <w:rPr>
                <w:rFonts w:ascii="Arial" w:eastAsia="Times New Roman" w:hAnsi="Arial" w:cs="Arial"/>
                <w:sz w:val="20"/>
                <w:szCs w:val="20"/>
              </w:rPr>
              <w:t>BICE</w:t>
            </w:r>
            <w:r w:rsidRPr="007D669A">
              <w:rPr>
                <w:rFonts w:ascii="Arial" w:eastAsia="Times New Roman" w:hAnsi="Arial" w:cs="Arial"/>
                <w:sz w:val="20"/>
                <w:szCs w:val="20"/>
              </w:rPr>
              <w:t xml:space="preserve"> will be responsible to classify the co-generation projects. Only </w:t>
            </w:r>
            <w:r w:rsidR="008E5B67" w:rsidRPr="007D669A">
              <w:rPr>
                <w:rFonts w:ascii="Arial" w:eastAsia="Times New Roman" w:hAnsi="Arial" w:cs="Arial"/>
                <w:sz w:val="20"/>
                <w:szCs w:val="20"/>
              </w:rPr>
              <w:t>B&amp;</w:t>
            </w:r>
            <w:r w:rsidRPr="007D669A">
              <w:rPr>
                <w:rFonts w:ascii="Arial" w:eastAsia="Times New Roman" w:hAnsi="Arial" w:cs="Arial"/>
                <w:sz w:val="20"/>
                <w:szCs w:val="20"/>
              </w:rPr>
              <w:t xml:space="preserve">C category projects will be eligible for financing. </w:t>
            </w:r>
          </w:p>
          <w:p w14:paraId="03670A91" w14:textId="77777777" w:rsidR="00D93ADD" w:rsidRPr="007D669A" w:rsidRDefault="008E5B67" w:rsidP="008E5B67">
            <w:pPr>
              <w:pStyle w:val="ListParagraph"/>
              <w:numPr>
                <w:ilvl w:val="0"/>
                <w:numId w:val="11"/>
              </w:numPr>
              <w:rPr>
                <w:rFonts w:ascii="Arial" w:eastAsia="Times New Roman" w:hAnsi="Arial" w:cs="Arial"/>
                <w:sz w:val="20"/>
                <w:szCs w:val="20"/>
              </w:rPr>
            </w:pPr>
            <w:r w:rsidRPr="007D669A">
              <w:rPr>
                <w:rFonts w:ascii="Arial" w:eastAsia="Times New Roman" w:hAnsi="Arial" w:cs="Arial"/>
                <w:sz w:val="20"/>
                <w:szCs w:val="20"/>
              </w:rPr>
              <w:t xml:space="preserve">For co-generation category B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s, contract an external consultancy with resources from Component 1 to realize an Environmental and Social Impact Assessment, and ensure that all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s to be financed with resources from the Project comply with the IDB safeguards (including the necessary stakeholders’ consultation - during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 preparation phase – and according to the IDB guidelines, and the implementation of a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 grievance mechanism).  The first three B category cogeneration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s will need no-objection from the IDB</w:t>
            </w:r>
            <w:r w:rsidR="00D93ADD" w:rsidRPr="007D669A">
              <w:rPr>
                <w:rFonts w:ascii="Arial" w:eastAsia="Times New Roman" w:hAnsi="Arial" w:cs="Arial"/>
                <w:sz w:val="20"/>
                <w:szCs w:val="20"/>
              </w:rPr>
              <w:t xml:space="preserve">.  </w:t>
            </w:r>
          </w:p>
          <w:p w14:paraId="03670A92" w14:textId="77777777" w:rsidR="00D93ADD" w:rsidRPr="007D669A" w:rsidRDefault="00D93ADD"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Perform compulsory site-visits for projects above US$1m (</w:t>
            </w:r>
            <w:r w:rsidR="00CB64B8" w:rsidRPr="007D669A">
              <w:rPr>
                <w:rFonts w:ascii="Arial" w:eastAsia="Times New Roman" w:hAnsi="Arial" w:cs="Arial"/>
                <w:sz w:val="20"/>
                <w:szCs w:val="20"/>
              </w:rPr>
              <w:t>BICE</w:t>
            </w:r>
            <w:r w:rsidRPr="007D669A">
              <w:rPr>
                <w:rFonts w:ascii="Arial" w:eastAsia="Times New Roman" w:hAnsi="Arial" w:cs="Arial"/>
                <w:sz w:val="20"/>
                <w:szCs w:val="20"/>
              </w:rPr>
              <w:t xml:space="preserve"> E&amp;S specialist)</w:t>
            </w:r>
          </w:p>
          <w:p w14:paraId="03670A93" w14:textId="13A7B206" w:rsidR="008E5B67" w:rsidRPr="007D669A" w:rsidRDefault="008E5B67"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Implement a grievance mechanism at the </w:t>
            </w:r>
            <w:r w:rsidR="00694CD4">
              <w:rPr>
                <w:rFonts w:ascii="Arial" w:eastAsia="Times New Roman" w:hAnsi="Arial" w:cs="Arial"/>
                <w:sz w:val="20"/>
                <w:szCs w:val="20"/>
              </w:rPr>
              <w:t>project</w:t>
            </w:r>
            <w:r w:rsidRPr="007D669A">
              <w:rPr>
                <w:rFonts w:ascii="Arial" w:eastAsia="Times New Roman" w:hAnsi="Arial" w:cs="Arial"/>
                <w:sz w:val="20"/>
                <w:szCs w:val="20"/>
              </w:rPr>
              <w:t xml:space="preserve"> level</w:t>
            </w:r>
          </w:p>
          <w:p w14:paraId="03670A94" w14:textId="77777777" w:rsidR="008E5B67" w:rsidRPr="007D669A" w:rsidRDefault="008E5B67" w:rsidP="0032085B">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For Category B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s, ensure that the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 proponent implements a grievance mechanism at the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 level.</w:t>
            </w:r>
          </w:p>
          <w:p w14:paraId="728203F0" w14:textId="77777777" w:rsidR="009F0069" w:rsidRPr="007D669A" w:rsidRDefault="008E5B67" w:rsidP="008E5B67">
            <w:pPr>
              <w:pStyle w:val="ListParagraph"/>
              <w:numPr>
                <w:ilvl w:val="0"/>
                <w:numId w:val="11"/>
              </w:numPr>
              <w:spacing w:before="120" w:after="120"/>
              <w:rPr>
                <w:rFonts w:ascii="Arial" w:eastAsia="Times New Roman" w:hAnsi="Arial" w:cs="Arial"/>
                <w:sz w:val="20"/>
                <w:szCs w:val="20"/>
              </w:rPr>
            </w:pPr>
            <w:r w:rsidRPr="007D669A">
              <w:rPr>
                <w:rFonts w:ascii="Arial" w:eastAsia="Times New Roman" w:hAnsi="Arial" w:cs="Arial"/>
                <w:sz w:val="20"/>
                <w:szCs w:val="20"/>
              </w:rPr>
              <w:t xml:space="preserve">For Category B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s, ensure that the </w:t>
            </w:r>
            <w:r w:rsidR="00B44034" w:rsidRPr="007D669A">
              <w:rPr>
                <w:rFonts w:ascii="Arial" w:eastAsia="Times New Roman" w:hAnsi="Arial" w:cs="Arial"/>
                <w:sz w:val="20"/>
                <w:szCs w:val="20"/>
              </w:rPr>
              <w:t>subproject</w:t>
            </w:r>
            <w:r w:rsidRPr="007D669A">
              <w:rPr>
                <w:rFonts w:ascii="Arial" w:eastAsia="Times New Roman" w:hAnsi="Arial" w:cs="Arial"/>
                <w:sz w:val="20"/>
                <w:szCs w:val="20"/>
              </w:rPr>
              <w:t xml:space="preserve"> EIA are published.</w:t>
            </w:r>
          </w:p>
          <w:p w14:paraId="4AD85F30" w14:textId="7FA8FC2F" w:rsidR="00E75E40" w:rsidRPr="00B601BF" w:rsidRDefault="00E75E40" w:rsidP="00E75E40">
            <w:pPr>
              <w:spacing w:before="120" w:after="120"/>
              <w:rPr>
                <w:rFonts w:ascii="Arial" w:eastAsia="Times New Roman" w:hAnsi="Arial" w:cs="Arial"/>
                <w:sz w:val="20"/>
                <w:szCs w:val="20"/>
              </w:rPr>
            </w:pPr>
            <w:r w:rsidRPr="007D669A">
              <w:rPr>
                <w:rFonts w:ascii="Arial" w:eastAsia="Times New Roman" w:hAnsi="Arial" w:cs="Arial"/>
                <w:sz w:val="20"/>
                <w:szCs w:val="20"/>
              </w:rPr>
              <w:t>For the purposes of monitoring supervision of ESHS compliance, the following requirements shall apply:</w:t>
            </w:r>
          </w:p>
          <w:p w14:paraId="69C89BFC" w14:textId="23654FF3" w:rsidR="00E75E40" w:rsidRPr="00B601BF" w:rsidRDefault="00E75E40" w:rsidP="00E75E40">
            <w:pPr>
              <w:pStyle w:val="ListParagraph"/>
              <w:numPr>
                <w:ilvl w:val="0"/>
                <w:numId w:val="7"/>
              </w:numPr>
              <w:spacing w:before="120" w:after="120"/>
              <w:ind w:left="686"/>
              <w:rPr>
                <w:rFonts w:ascii="Arial" w:hAnsi="Arial" w:cs="Arial"/>
                <w:sz w:val="20"/>
                <w:szCs w:val="20"/>
              </w:rPr>
            </w:pPr>
            <w:r w:rsidRPr="007D669A">
              <w:rPr>
                <w:rFonts w:ascii="Arial" w:hAnsi="Arial" w:cs="Arial"/>
                <w:sz w:val="20"/>
                <w:szCs w:val="20"/>
              </w:rPr>
              <w:t xml:space="preserve">BICE shall prepare and present to the Bank’s satisfaction, an ESHS Compliance Report (ESCR), in the form and content agreed upon with the Bank, as part of the annual </w:t>
            </w:r>
            <w:r w:rsidR="00694CD4">
              <w:rPr>
                <w:rFonts w:ascii="Arial" w:hAnsi="Arial" w:cs="Arial"/>
                <w:sz w:val="20"/>
                <w:szCs w:val="20"/>
              </w:rPr>
              <w:t>project</w:t>
            </w:r>
            <w:r w:rsidRPr="007D669A">
              <w:rPr>
                <w:rFonts w:ascii="Arial" w:hAnsi="Arial" w:cs="Arial"/>
                <w:sz w:val="20"/>
                <w:szCs w:val="20"/>
              </w:rPr>
              <w:t xml:space="preserve"> report.</w:t>
            </w:r>
          </w:p>
          <w:p w14:paraId="03670A95" w14:textId="00B8D780" w:rsidR="00E75E40" w:rsidRPr="007D669A" w:rsidRDefault="00E75E40" w:rsidP="007D669A">
            <w:pPr>
              <w:spacing w:before="120" w:after="120"/>
              <w:ind w:left="360"/>
              <w:rPr>
                <w:rFonts w:ascii="Arial" w:eastAsia="Times New Roman" w:hAnsi="Arial" w:cs="Arial"/>
                <w:color w:val="0070C0"/>
                <w:sz w:val="20"/>
                <w:szCs w:val="20"/>
              </w:rPr>
            </w:pPr>
            <w:r w:rsidRPr="007D669A">
              <w:rPr>
                <w:rFonts w:ascii="Arial" w:eastAsia="Times New Roman" w:hAnsi="Arial" w:cs="Arial"/>
                <w:sz w:val="20"/>
                <w:szCs w:val="20"/>
              </w:rPr>
              <w:t xml:space="preserve">ii) The IDB will supervise the ESHS and labor aspects related to the use of the proceeds of the </w:t>
            </w:r>
            <w:r w:rsidR="00694CD4">
              <w:rPr>
                <w:rFonts w:ascii="Arial" w:eastAsia="Times New Roman" w:hAnsi="Arial" w:cs="Arial"/>
                <w:sz w:val="20"/>
                <w:szCs w:val="20"/>
              </w:rPr>
              <w:t>project</w:t>
            </w:r>
            <w:r w:rsidRPr="007D669A">
              <w:rPr>
                <w:rFonts w:ascii="Arial" w:eastAsia="Times New Roman" w:hAnsi="Arial" w:cs="Arial"/>
                <w:sz w:val="20"/>
                <w:szCs w:val="20"/>
              </w:rPr>
              <w:t>, as necessary either by an IDB in-house specialist or with external consultants, hired by the IDB.  To this end, BICE will provide and facilitate access by IDB to all relevant documentation, personnel and subprojects facilities.</w:t>
            </w:r>
          </w:p>
        </w:tc>
      </w:tr>
    </w:tbl>
    <w:p w14:paraId="03670A97" w14:textId="77777777" w:rsidR="009F0069" w:rsidRPr="00B34A61" w:rsidRDefault="009F0069" w:rsidP="009F0069">
      <w:pPr>
        <w:rPr>
          <w:rFonts w:ascii="Arial" w:eastAsia="Times New Roman" w:hAnsi="Arial" w:cs="Arial"/>
          <w:b/>
          <w:i/>
          <w:sz w:val="20"/>
          <w:szCs w:val="20"/>
        </w:rPr>
      </w:pPr>
    </w:p>
    <w:p w14:paraId="03670A98" w14:textId="77777777" w:rsidR="009F0069" w:rsidRPr="00B34A61" w:rsidRDefault="009F0069" w:rsidP="00BE1ADE">
      <w:pPr>
        <w:ind w:firstLine="90"/>
        <w:rPr>
          <w:rFonts w:ascii="Arial" w:hAnsi="Arial" w:cs="Arial"/>
          <w:b/>
          <w:sz w:val="20"/>
          <w:szCs w:val="20"/>
        </w:rPr>
      </w:pPr>
    </w:p>
    <w:p w14:paraId="03670A99" w14:textId="77777777" w:rsidR="00FC7694" w:rsidRPr="00B34A61" w:rsidRDefault="00FC7694">
      <w:pPr>
        <w:rPr>
          <w:rFonts w:ascii="Arial" w:hAnsi="Arial" w:cs="Arial"/>
          <w:bCs/>
          <w:sz w:val="20"/>
          <w:szCs w:val="20"/>
        </w:rPr>
      </w:pPr>
      <w:r w:rsidRPr="00B34A61">
        <w:rPr>
          <w:rFonts w:ascii="Arial" w:hAnsi="Arial" w:cs="Arial"/>
          <w:bCs/>
          <w:sz w:val="20"/>
          <w:szCs w:val="20"/>
        </w:rPr>
        <w:br w:type="page"/>
      </w:r>
    </w:p>
    <w:p w14:paraId="03670A9A" w14:textId="77777777" w:rsidR="00874CC0" w:rsidRPr="00B34A61" w:rsidRDefault="00FC7694" w:rsidP="004B6155">
      <w:pPr>
        <w:widowControl w:val="0"/>
        <w:autoSpaceDE w:val="0"/>
        <w:autoSpaceDN w:val="0"/>
        <w:adjustRightInd w:val="0"/>
        <w:ind w:right="-720"/>
        <w:jc w:val="both"/>
        <w:rPr>
          <w:rFonts w:ascii="Arial" w:hAnsi="Arial" w:cs="Arial"/>
          <w:bCs/>
          <w:sz w:val="22"/>
          <w:szCs w:val="22"/>
        </w:rPr>
      </w:pPr>
      <w:r w:rsidRPr="00B34A61">
        <w:rPr>
          <w:rFonts w:ascii="Arial" w:hAnsi="Arial" w:cs="Arial"/>
          <w:bCs/>
          <w:sz w:val="22"/>
          <w:szCs w:val="22"/>
        </w:rPr>
        <w:lastRenderedPageBreak/>
        <w:t>Annex C. Exclusion List</w:t>
      </w:r>
    </w:p>
    <w:p w14:paraId="03670A9B" w14:textId="77777777" w:rsidR="00FC7694" w:rsidRPr="00B34A61" w:rsidRDefault="00FC7694" w:rsidP="004B6155">
      <w:pPr>
        <w:widowControl w:val="0"/>
        <w:autoSpaceDE w:val="0"/>
        <w:autoSpaceDN w:val="0"/>
        <w:adjustRightInd w:val="0"/>
        <w:ind w:right="-720"/>
        <w:jc w:val="both"/>
        <w:rPr>
          <w:rFonts w:ascii="Arial" w:hAnsi="Arial" w:cs="Arial"/>
          <w:bCs/>
          <w:sz w:val="22"/>
          <w:szCs w:val="22"/>
        </w:rPr>
      </w:pPr>
    </w:p>
    <w:p w14:paraId="03670A9C" w14:textId="77777777" w:rsidR="00FC7694" w:rsidRPr="00B34A61" w:rsidRDefault="00FC7694" w:rsidP="00FC7694">
      <w:pPr>
        <w:autoSpaceDE w:val="0"/>
        <w:autoSpaceDN w:val="0"/>
        <w:adjustRightInd w:val="0"/>
        <w:spacing w:line="276" w:lineRule="auto"/>
        <w:jc w:val="both"/>
        <w:rPr>
          <w:rFonts w:ascii="Arial" w:hAnsi="Arial" w:cs="Arial"/>
          <w:color w:val="000000"/>
          <w:sz w:val="22"/>
          <w:szCs w:val="22"/>
        </w:rPr>
      </w:pPr>
    </w:p>
    <w:p w14:paraId="03670A9D" w14:textId="77777777" w:rsidR="00FC7694" w:rsidRPr="00B34A61" w:rsidRDefault="00FC7694" w:rsidP="00FC7694">
      <w:p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The IDB does not finance projects or companies involved in the production, trade, or use of the products, substances or activities listed below. </w:t>
      </w:r>
    </w:p>
    <w:p w14:paraId="03670A9E" w14:textId="77777777" w:rsidR="00FC7694" w:rsidRPr="00B34A61" w:rsidRDefault="00FC7694" w:rsidP="00FC7694">
      <w:pPr>
        <w:autoSpaceDE w:val="0"/>
        <w:autoSpaceDN w:val="0"/>
        <w:adjustRightInd w:val="0"/>
        <w:spacing w:line="276" w:lineRule="auto"/>
        <w:jc w:val="both"/>
        <w:rPr>
          <w:rFonts w:ascii="Arial" w:hAnsi="Arial" w:cs="Arial"/>
          <w:color w:val="000000"/>
          <w:sz w:val="22"/>
          <w:szCs w:val="22"/>
        </w:rPr>
      </w:pPr>
    </w:p>
    <w:p w14:paraId="03670A9F"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Those that are illegal under host country laws, regulations or ratified international conventions and agreements </w:t>
      </w:r>
    </w:p>
    <w:p w14:paraId="03670AA0"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Weapons and ammunitions </w:t>
      </w:r>
    </w:p>
    <w:p w14:paraId="03670AA1"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Tobacco</w:t>
      </w:r>
      <w:r w:rsidRPr="00B34A61">
        <w:rPr>
          <w:rStyle w:val="FootnoteReference"/>
          <w:rFonts w:ascii="Arial" w:hAnsi="Arial" w:cs="Arial"/>
          <w:sz w:val="22"/>
          <w:szCs w:val="22"/>
        </w:rPr>
        <w:footnoteReference w:id="7"/>
      </w:r>
      <w:r w:rsidRPr="00B34A61">
        <w:rPr>
          <w:rFonts w:ascii="Arial" w:hAnsi="Arial" w:cs="Arial"/>
          <w:color w:val="000000"/>
          <w:sz w:val="22"/>
          <w:szCs w:val="22"/>
        </w:rPr>
        <w:t xml:space="preserve"> </w:t>
      </w:r>
    </w:p>
    <w:p w14:paraId="03670AA2"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Gambling, casinos and equivalent enterprises</w:t>
      </w:r>
      <w:r w:rsidRPr="00B34A61">
        <w:rPr>
          <w:rStyle w:val="FootnoteReference"/>
          <w:rFonts w:ascii="Arial" w:hAnsi="Arial" w:cs="Arial"/>
          <w:sz w:val="22"/>
          <w:szCs w:val="22"/>
        </w:rPr>
        <w:footnoteReference w:id="8"/>
      </w:r>
    </w:p>
    <w:p w14:paraId="03670AA3"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Wildlife or wildlife products regulated under Convention on International Trade in Endangered Species of Wild Fauna and Flora (CITES)</w:t>
      </w:r>
      <w:r w:rsidRPr="00B34A61">
        <w:rPr>
          <w:rStyle w:val="FootnoteReference"/>
          <w:rFonts w:ascii="Arial" w:hAnsi="Arial" w:cs="Arial"/>
          <w:sz w:val="22"/>
          <w:szCs w:val="22"/>
        </w:rPr>
        <w:footnoteReference w:id="9"/>
      </w:r>
    </w:p>
    <w:p w14:paraId="03670AA4"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Radioactive materials</w:t>
      </w:r>
      <w:r w:rsidRPr="00B34A61">
        <w:rPr>
          <w:rStyle w:val="FootnoteReference"/>
          <w:rFonts w:ascii="Arial" w:hAnsi="Arial" w:cs="Arial"/>
          <w:sz w:val="22"/>
          <w:szCs w:val="22"/>
        </w:rPr>
        <w:footnoteReference w:id="10"/>
      </w:r>
    </w:p>
    <w:p w14:paraId="03670AA5"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Unbonded asbestos fibers</w:t>
      </w:r>
      <w:r w:rsidRPr="00B34A61">
        <w:rPr>
          <w:rStyle w:val="FootnoteReference"/>
          <w:rFonts w:ascii="Arial" w:hAnsi="Arial" w:cs="Arial"/>
          <w:sz w:val="22"/>
          <w:szCs w:val="22"/>
        </w:rPr>
        <w:footnoteReference w:id="11"/>
      </w:r>
    </w:p>
    <w:p w14:paraId="03670AA6"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Forestry projects or operations that are not consistent with the Bank’s Environment and Safeguards Compliance Policy</w:t>
      </w:r>
      <w:r w:rsidRPr="00B34A61">
        <w:rPr>
          <w:rStyle w:val="FootnoteReference"/>
          <w:rFonts w:ascii="Arial" w:hAnsi="Arial" w:cs="Arial"/>
          <w:sz w:val="22"/>
          <w:szCs w:val="22"/>
        </w:rPr>
        <w:footnoteReference w:id="12"/>
      </w:r>
    </w:p>
    <w:p w14:paraId="03670AA7"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Polychlorinated biphenyl compounds (PCBs) </w:t>
      </w:r>
    </w:p>
    <w:p w14:paraId="03670AA8"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Pharmaceuticals subject to international phase outs or bans</w:t>
      </w:r>
      <w:r w:rsidRPr="00B34A61">
        <w:rPr>
          <w:rStyle w:val="FootnoteReference"/>
          <w:rFonts w:ascii="Arial" w:hAnsi="Arial" w:cs="Arial"/>
          <w:sz w:val="22"/>
          <w:szCs w:val="22"/>
        </w:rPr>
        <w:footnoteReference w:id="13"/>
      </w:r>
    </w:p>
    <w:p w14:paraId="03670AA9"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Pesticides/herbicides subject to international phase outs or bans</w:t>
      </w:r>
      <w:r w:rsidRPr="00B34A61">
        <w:rPr>
          <w:rStyle w:val="FootnoteReference"/>
          <w:rFonts w:ascii="Arial" w:hAnsi="Arial" w:cs="Arial"/>
          <w:sz w:val="22"/>
          <w:szCs w:val="22"/>
        </w:rPr>
        <w:footnoteReference w:id="14"/>
      </w:r>
    </w:p>
    <w:p w14:paraId="03670AAA"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Ozone depleting substances subject to international phase out</w:t>
      </w:r>
      <w:r w:rsidRPr="00B34A61">
        <w:rPr>
          <w:rStyle w:val="FootnoteReference"/>
          <w:rFonts w:ascii="Arial" w:hAnsi="Arial" w:cs="Arial"/>
          <w:sz w:val="22"/>
          <w:szCs w:val="22"/>
        </w:rPr>
        <w:footnoteReference w:id="15"/>
      </w:r>
    </w:p>
    <w:p w14:paraId="03670AAB"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Drift net fishing in the marine environment using nets in excess of 2.5 km. in length </w:t>
      </w:r>
    </w:p>
    <w:p w14:paraId="03670AAC"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Transboundary trade in waste or waste products</w:t>
      </w:r>
      <w:r w:rsidRPr="00B34A61">
        <w:rPr>
          <w:rStyle w:val="FootnoteReference"/>
          <w:rFonts w:ascii="Arial" w:hAnsi="Arial" w:cs="Arial"/>
          <w:sz w:val="22"/>
          <w:szCs w:val="22"/>
        </w:rPr>
        <w:footnoteReference w:id="16"/>
      </w:r>
      <w:r w:rsidRPr="00B34A61">
        <w:rPr>
          <w:rFonts w:ascii="Arial" w:hAnsi="Arial" w:cs="Arial"/>
          <w:color w:val="000000"/>
          <w:sz w:val="22"/>
          <w:szCs w:val="22"/>
        </w:rPr>
        <w:t xml:space="preserve">, except for non-hazardous waste destined for recycling </w:t>
      </w:r>
    </w:p>
    <w:p w14:paraId="03670AAD"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Persistent Organic Pollutants (POPs)</w:t>
      </w:r>
      <w:r w:rsidRPr="00B34A61">
        <w:rPr>
          <w:rStyle w:val="FootnoteReference"/>
          <w:rFonts w:ascii="Arial" w:hAnsi="Arial" w:cs="Arial"/>
          <w:sz w:val="22"/>
          <w:szCs w:val="22"/>
        </w:rPr>
        <w:footnoteReference w:id="17"/>
      </w:r>
      <w:r w:rsidRPr="00B34A61">
        <w:rPr>
          <w:rFonts w:ascii="Arial" w:hAnsi="Arial" w:cs="Arial"/>
          <w:color w:val="000000"/>
          <w:sz w:val="22"/>
          <w:szCs w:val="22"/>
        </w:rPr>
        <w:t xml:space="preserve"> </w:t>
      </w:r>
    </w:p>
    <w:p w14:paraId="03670AAE"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eastAsiaTheme="majorEastAsia" w:hAnsi="Arial" w:cs="Arial"/>
          <w:color w:val="365F91" w:themeColor="accent1" w:themeShade="BF"/>
          <w:sz w:val="22"/>
          <w:szCs w:val="22"/>
        </w:rPr>
      </w:pPr>
      <w:r w:rsidRPr="00B34A61">
        <w:rPr>
          <w:rFonts w:ascii="Arial" w:hAnsi="Arial" w:cs="Arial"/>
          <w:color w:val="000000"/>
          <w:sz w:val="22"/>
          <w:szCs w:val="22"/>
        </w:rPr>
        <w:lastRenderedPageBreak/>
        <w:t>Non-compliance with workers fundamental principles and rights at work</w:t>
      </w:r>
      <w:r w:rsidRPr="00B34A61">
        <w:rPr>
          <w:rStyle w:val="FootnoteReference"/>
          <w:rFonts w:ascii="Arial" w:hAnsi="Arial" w:cs="Arial"/>
          <w:sz w:val="22"/>
          <w:szCs w:val="22"/>
        </w:rPr>
        <w:footnoteReference w:id="18"/>
      </w:r>
    </w:p>
    <w:p w14:paraId="03670AAF" w14:textId="77777777" w:rsidR="00FC7694" w:rsidRPr="00B34A61" w:rsidRDefault="00FC7694" w:rsidP="00FC7694">
      <w:pPr>
        <w:spacing w:line="276" w:lineRule="auto"/>
        <w:jc w:val="both"/>
        <w:rPr>
          <w:rFonts w:ascii="Arial" w:hAnsi="Arial" w:cs="Arial"/>
          <w:color w:val="000000"/>
          <w:sz w:val="22"/>
          <w:szCs w:val="22"/>
        </w:rPr>
      </w:pPr>
    </w:p>
    <w:p w14:paraId="03670AB0" w14:textId="77777777" w:rsidR="00FC7694" w:rsidRPr="00B34A61" w:rsidRDefault="00FC7694" w:rsidP="00FC7694">
      <w:pPr>
        <w:spacing w:line="276" w:lineRule="auto"/>
        <w:jc w:val="both"/>
        <w:rPr>
          <w:rFonts w:ascii="Arial" w:hAnsi="Arial" w:cs="Arial"/>
          <w:color w:val="000000"/>
          <w:sz w:val="22"/>
          <w:szCs w:val="22"/>
        </w:rPr>
      </w:pPr>
      <w:r w:rsidRPr="00B34A61">
        <w:rPr>
          <w:rFonts w:ascii="Arial" w:hAnsi="Arial" w:cs="Arial"/>
          <w:color w:val="000000"/>
          <w:sz w:val="22"/>
          <w:szCs w:val="22"/>
        </w:rPr>
        <w:t xml:space="preserve">The Project will also exclude activities that: </w:t>
      </w:r>
    </w:p>
    <w:p w14:paraId="03670AB1"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projects that could have significant adverse environmental and social impacts (Category A.)</w:t>
      </w:r>
    </w:p>
    <w:p w14:paraId="03670AB2"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involve involuntary resettlement of people</w:t>
      </w:r>
    </w:p>
    <w:p w14:paraId="03670AB3"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have a potentially adverse social impact on communities and/or indigenous people</w:t>
      </w:r>
    </w:p>
    <w:p w14:paraId="03670AB4" w14:textId="77777777" w:rsidR="00FC7694" w:rsidRPr="00B34A61" w:rsidRDefault="00FC7694" w:rsidP="00FC7694">
      <w:pPr>
        <w:pStyle w:val="ListParagraph"/>
        <w:numPr>
          <w:ilvl w:val="0"/>
          <w:numId w:val="17"/>
        </w:numPr>
        <w:autoSpaceDE w:val="0"/>
        <w:autoSpaceDN w:val="0"/>
        <w:adjustRightInd w:val="0"/>
        <w:spacing w:line="276" w:lineRule="auto"/>
        <w:jc w:val="both"/>
        <w:rPr>
          <w:rFonts w:ascii="Arial" w:hAnsi="Arial" w:cs="Arial"/>
          <w:color w:val="000000"/>
          <w:sz w:val="22"/>
          <w:szCs w:val="22"/>
        </w:rPr>
      </w:pPr>
      <w:r w:rsidRPr="00B34A61">
        <w:rPr>
          <w:rFonts w:ascii="Arial" w:hAnsi="Arial" w:cs="Arial"/>
          <w:color w:val="000000"/>
          <w:sz w:val="22"/>
          <w:szCs w:val="22"/>
        </w:rPr>
        <w:t xml:space="preserve">involve conversion or degradation of critical natural habitats or cultural sites </w:t>
      </w:r>
    </w:p>
    <w:p w14:paraId="03670AB5" w14:textId="77777777" w:rsidR="00FC7694" w:rsidRPr="007D669A" w:rsidRDefault="00FC7694" w:rsidP="007D669A">
      <w:pPr>
        <w:pStyle w:val="ListParagraph"/>
        <w:widowControl w:val="0"/>
        <w:numPr>
          <w:ilvl w:val="0"/>
          <w:numId w:val="17"/>
        </w:numPr>
        <w:autoSpaceDE w:val="0"/>
        <w:autoSpaceDN w:val="0"/>
        <w:adjustRightInd w:val="0"/>
        <w:ind w:right="-720"/>
        <w:jc w:val="both"/>
        <w:rPr>
          <w:rFonts w:ascii="Arial" w:hAnsi="Arial" w:cs="Arial"/>
          <w:bCs/>
          <w:sz w:val="22"/>
          <w:szCs w:val="22"/>
        </w:rPr>
      </w:pPr>
      <w:r w:rsidRPr="007D669A">
        <w:rPr>
          <w:rFonts w:ascii="Arial" w:hAnsi="Arial" w:cs="Arial"/>
          <w:color w:val="000000"/>
          <w:sz w:val="22"/>
          <w:szCs w:val="22"/>
        </w:rPr>
        <w:t>have potentially adverse transboundary impacts</w:t>
      </w:r>
    </w:p>
    <w:sectPr w:rsidR="00FC7694" w:rsidRPr="007D669A" w:rsidSect="009F0069">
      <w:pgSz w:w="12240" w:h="15840"/>
      <w:pgMar w:top="1440" w:right="1166"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0718D8" w16cid:durableId="1E776E70"/>
  <w16cid:commentId w16cid:paraId="1A67B5C1" w16cid:durableId="1E776F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0D510" w14:textId="77777777" w:rsidR="00A811C8" w:rsidRDefault="00A811C8" w:rsidP="00953C33">
      <w:r>
        <w:separator/>
      </w:r>
    </w:p>
  </w:endnote>
  <w:endnote w:type="continuationSeparator" w:id="0">
    <w:p w14:paraId="51F3DF74" w14:textId="77777777" w:rsidR="00A811C8" w:rsidRDefault="00A811C8"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0ABD" w14:textId="77777777" w:rsidR="00B72189" w:rsidRDefault="00B72189" w:rsidP="00837A8F">
    <w:pPr>
      <w:pStyle w:val="Footer"/>
      <w:pBdr>
        <w:bottom w:val="single" w:sz="6" w:space="1" w:color="auto"/>
      </w:pBdr>
      <w:ind w:right="-630"/>
    </w:pPr>
  </w:p>
  <w:p w14:paraId="03670ABE" w14:textId="77777777" w:rsidR="00B72189" w:rsidRPr="00B44034" w:rsidRDefault="00B72189" w:rsidP="00B757F7">
    <w:pPr>
      <w:pStyle w:val="Footer"/>
      <w:jc w:val="center"/>
      <w:rPr>
        <w:rFonts w:ascii="Arial" w:hAnsi="Arial" w:cs="Arial"/>
        <w:sz w:val="18"/>
        <w:szCs w:val="18"/>
      </w:rPr>
    </w:pPr>
    <w:r w:rsidRPr="00B44034">
      <w:rPr>
        <w:rFonts w:ascii="Arial" w:hAnsi="Arial" w:cs="Arial"/>
        <w:sz w:val="18"/>
        <w:szCs w:val="18"/>
      </w:rPr>
      <w:t>IDB Environmental and Social Management Report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80B7B" w14:textId="77777777" w:rsidR="00A811C8" w:rsidRDefault="00A811C8" w:rsidP="00953C33">
      <w:r>
        <w:separator/>
      </w:r>
    </w:p>
  </w:footnote>
  <w:footnote w:type="continuationSeparator" w:id="0">
    <w:p w14:paraId="61DDA0DF" w14:textId="77777777" w:rsidR="00A811C8" w:rsidRDefault="00A811C8" w:rsidP="00953C33">
      <w:r>
        <w:continuationSeparator/>
      </w:r>
    </w:p>
  </w:footnote>
  <w:footnote w:id="1">
    <w:p w14:paraId="03670ABF" w14:textId="77777777" w:rsidR="00B72189" w:rsidRPr="00772904" w:rsidRDefault="00B72189">
      <w:pPr>
        <w:pStyle w:val="FootnoteText"/>
      </w:pPr>
      <w:r>
        <w:rPr>
          <w:rStyle w:val="FootnoteReference"/>
        </w:rPr>
        <w:footnoteRef/>
      </w:r>
      <w:r w:rsidRPr="00772904">
        <w:t xml:space="preserve"> </w:t>
      </w:r>
      <w:r w:rsidRPr="00772904">
        <w:rPr>
          <w:rFonts w:ascii="Arial" w:hAnsi="Arial" w:cs="Arial"/>
          <w:sz w:val="16"/>
          <w:szCs w:val="16"/>
        </w:rPr>
        <w:t>Formal approval by the GCF is pending and expected to take place at the nineteenth meeting of the GCF Board, planned currently for February/March 2018</w:t>
      </w:r>
    </w:p>
  </w:footnote>
  <w:footnote w:id="2">
    <w:p w14:paraId="367009FC" w14:textId="7D4B81C4" w:rsidR="00B72189" w:rsidRPr="004B0A65" w:rsidRDefault="00B72189" w:rsidP="008506F2">
      <w:pPr>
        <w:pStyle w:val="FootnoteText"/>
        <w:rPr>
          <w:rFonts w:ascii="Arial" w:hAnsi="Arial" w:cs="Arial"/>
          <w:sz w:val="16"/>
          <w:szCs w:val="16"/>
        </w:rPr>
      </w:pPr>
      <w:r w:rsidRPr="00383314">
        <w:rPr>
          <w:rStyle w:val="FootnoteReference"/>
          <w:rFonts w:ascii="Arial" w:hAnsi="Arial" w:cs="Arial"/>
          <w:sz w:val="16"/>
          <w:szCs w:val="16"/>
        </w:rPr>
        <w:footnoteRef/>
      </w:r>
      <w:r w:rsidRPr="00383314">
        <w:rPr>
          <w:rFonts w:ascii="Arial" w:hAnsi="Arial" w:cs="Arial"/>
          <w:sz w:val="16"/>
          <w:szCs w:val="16"/>
        </w:rPr>
        <w:t xml:space="preserve"> The GCF provides funding to promote mitigation and adaptation to CC. The IDB is accredited by the GCF to</w:t>
      </w:r>
      <w:r>
        <w:rPr>
          <w:rFonts w:ascii="Arial" w:hAnsi="Arial" w:cs="Arial"/>
          <w:sz w:val="16"/>
          <w:szCs w:val="16"/>
        </w:rPr>
        <w:t xml:space="preserve"> </w:t>
      </w:r>
      <w:r w:rsidRPr="004B0A65">
        <w:rPr>
          <w:rFonts w:ascii="Arial" w:hAnsi="Arial" w:cs="Arial"/>
          <w:sz w:val="16"/>
          <w:szCs w:val="16"/>
        </w:rPr>
        <w:t>manage these resources, under the terms established in the AMA approved by the IDB Board (GN-2895). The program has Argentina’s National Designated Authority’s non-objection.</w:t>
      </w:r>
    </w:p>
  </w:footnote>
  <w:footnote w:id="3">
    <w:p w14:paraId="3AAC636C" w14:textId="0549E4E8" w:rsidR="00B72189" w:rsidRPr="00516D0D" w:rsidRDefault="00B72189" w:rsidP="00C93168">
      <w:pPr>
        <w:pStyle w:val="FootnoteText"/>
        <w:rPr>
          <w:rFonts w:ascii="Arial" w:hAnsi="Arial" w:cs="Arial"/>
          <w:sz w:val="16"/>
          <w:szCs w:val="16"/>
        </w:rPr>
      </w:pPr>
      <w:r w:rsidRPr="00516D0D">
        <w:rPr>
          <w:rStyle w:val="FootnoteReference"/>
          <w:rFonts w:ascii="Arial" w:hAnsi="Arial" w:cs="Arial"/>
          <w:sz w:val="16"/>
          <w:szCs w:val="16"/>
        </w:rPr>
        <w:footnoteRef/>
      </w:r>
      <w:r w:rsidRPr="00516D0D">
        <w:rPr>
          <w:rFonts w:ascii="Arial" w:hAnsi="Arial" w:cs="Arial"/>
          <w:sz w:val="16"/>
          <w:szCs w:val="16"/>
        </w:rPr>
        <w:t xml:space="preserve"> It is expected that direct lending will only</w:t>
      </w:r>
      <w:r>
        <w:rPr>
          <w:rFonts w:ascii="Arial" w:hAnsi="Arial" w:cs="Arial"/>
          <w:sz w:val="16"/>
          <w:szCs w:val="16"/>
        </w:rPr>
        <w:t xml:space="preserve"> </w:t>
      </w:r>
      <w:r w:rsidRPr="00516D0D">
        <w:rPr>
          <w:rFonts w:ascii="Arial" w:hAnsi="Arial" w:cs="Arial"/>
          <w:sz w:val="16"/>
          <w:szCs w:val="16"/>
        </w:rPr>
        <w:t>be available for loans larger than US$5 million, and that only some of the potential participant RE projects</w:t>
      </w:r>
      <w:r>
        <w:rPr>
          <w:rFonts w:ascii="Arial" w:hAnsi="Arial" w:cs="Arial"/>
          <w:sz w:val="16"/>
          <w:szCs w:val="16"/>
        </w:rPr>
        <w:t xml:space="preserve"> </w:t>
      </w:r>
      <w:r w:rsidRPr="00516D0D">
        <w:rPr>
          <w:rFonts w:ascii="Arial" w:hAnsi="Arial" w:cs="Arial"/>
          <w:sz w:val="16"/>
          <w:szCs w:val="16"/>
        </w:rPr>
        <w:t>(particularly, biomass) have the potential to be this large.</w:t>
      </w:r>
    </w:p>
  </w:footnote>
  <w:footnote w:id="4">
    <w:p w14:paraId="03670AC0" w14:textId="77777777" w:rsidR="00B72189" w:rsidRPr="00F354C8" w:rsidRDefault="00B72189" w:rsidP="00F354C8">
      <w:pPr>
        <w:pStyle w:val="FootnoteText"/>
        <w:rPr>
          <w:rFonts w:ascii="Arial" w:hAnsi="Arial" w:cs="Arial"/>
          <w:sz w:val="16"/>
          <w:szCs w:val="16"/>
        </w:rPr>
      </w:pPr>
      <w:r w:rsidRPr="00F354C8">
        <w:rPr>
          <w:rStyle w:val="FootnoteReference"/>
          <w:rFonts w:ascii="Arial" w:hAnsi="Arial" w:cs="Arial"/>
          <w:sz w:val="16"/>
          <w:szCs w:val="16"/>
        </w:rPr>
        <w:footnoteRef/>
      </w:r>
      <w:r w:rsidRPr="00F354C8">
        <w:rPr>
          <w:rFonts w:ascii="Arial" w:hAnsi="Arial" w:cs="Arial"/>
          <w:sz w:val="16"/>
          <w:szCs w:val="16"/>
        </w:rPr>
        <w:t xml:space="preserve"> This table is indicative for potential market demand. Actual uptake of the financing line depends on several factors including creditworthiness of projects and SMEs.</w:t>
      </w:r>
    </w:p>
  </w:footnote>
  <w:footnote w:id="5">
    <w:p w14:paraId="03670AC1" w14:textId="77777777" w:rsidR="00B72189" w:rsidRPr="007D669A" w:rsidRDefault="00B72189">
      <w:pPr>
        <w:pStyle w:val="FootnoteText"/>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Please note that ESG is working on preparing a compliance checklist.</w:t>
      </w:r>
    </w:p>
  </w:footnote>
  <w:footnote w:id="6">
    <w:p w14:paraId="03670AC2" w14:textId="22CF2B92" w:rsidR="00B72189" w:rsidRPr="007D669A" w:rsidRDefault="00B72189" w:rsidP="007D669A">
      <w:pPr>
        <w:pStyle w:val="FootnoteTex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Risks may include: (i) Unequal access to project benefits/ compensation measures, (ii) Men or women disproportionally affected due to gender factors, (iii)</w:t>
      </w:r>
      <w:r w:rsidR="001902D5">
        <w:rPr>
          <w:rFonts w:ascii="Arial" w:hAnsi="Arial" w:cs="Arial"/>
          <w:sz w:val="18"/>
          <w:szCs w:val="18"/>
        </w:rPr>
        <w:t> </w:t>
      </w:r>
      <w:r w:rsidRPr="007D669A">
        <w:rPr>
          <w:rFonts w:ascii="Arial" w:hAnsi="Arial" w:cs="Arial"/>
          <w:sz w:val="18"/>
          <w:szCs w:val="18"/>
        </w:rPr>
        <w:t>Non</w:t>
      </w:r>
      <w:r w:rsidR="001902D5">
        <w:rPr>
          <w:rFonts w:ascii="Arial" w:hAnsi="Arial" w:cs="Arial"/>
          <w:sz w:val="18"/>
          <w:szCs w:val="18"/>
        </w:rPr>
        <w:t>˗</w:t>
      </w:r>
      <w:r w:rsidRPr="007D669A">
        <w:rPr>
          <w:rFonts w:ascii="Arial" w:hAnsi="Arial" w:cs="Arial"/>
          <w:sz w:val="18"/>
          <w:szCs w:val="18"/>
        </w:rPr>
        <w:t>compliance with applicable legislation related to equality between men and women, (iv) Increased risk of gender-based violence, including sexual exploitation, human trafficking and sexually transmitted diseases, and (v) Disregard of women’s ownership rights.</w:t>
      </w:r>
    </w:p>
  </w:footnote>
  <w:footnote w:id="7">
    <w:p w14:paraId="03670AC3"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This does not apply to project sponsors who are not substantially involved in these activities. “Not substantially involved” means that the activity concerned is ancillary to a project sponsor’s primary operations.  </w:t>
      </w:r>
    </w:p>
  </w:footnote>
  <w:footnote w:id="8">
    <w:p w14:paraId="03670AC4"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This does not apply to project sponsors who are not substantially involved in these activities. “Not substantially involved” means that the activity concerned is ancillary to a project sponsor’s primary operations.  </w:t>
      </w:r>
    </w:p>
  </w:footnote>
  <w:footnote w:id="9">
    <w:p w14:paraId="03670AC5" w14:textId="77777777" w:rsidR="00B72189" w:rsidRPr="007D669A" w:rsidRDefault="00B72189" w:rsidP="007D669A">
      <w:pPr>
        <w:pStyle w:val="FootnoteTex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w:t>
      </w:r>
      <w:hyperlink r:id="rId1" w:history="1">
        <w:r w:rsidRPr="007D669A">
          <w:rPr>
            <w:rStyle w:val="Hyperlink"/>
            <w:rFonts w:ascii="Arial" w:hAnsi="Arial" w:cs="Arial"/>
            <w:sz w:val="18"/>
            <w:szCs w:val="18"/>
          </w:rPr>
          <w:t>www.cites.org</w:t>
        </w:r>
      </w:hyperlink>
      <w:r w:rsidRPr="007D669A">
        <w:rPr>
          <w:rFonts w:ascii="Arial" w:hAnsi="Arial" w:cs="Arial"/>
          <w:sz w:val="18"/>
          <w:szCs w:val="18"/>
        </w:rPr>
        <w:t xml:space="preserve"> </w:t>
      </w:r>
    </w:p>
  </w:footnote>
  <w:footnote w:id="10">
    <w:p w14:paraId="03670AC6"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This does not apply to the purchase of medical equipment, quality control (measurement) equipment and any equipment where it can be demonstrated that the radioactive source is to be trivial and/or adequately shielded.  </w:t>
      </w:r>
    </w:p>
  </w:footnote>
  <w:footnote w:id="11">
    <w:p w14:paraId="03670AC7"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This does not apply to the purchase and use of bonded asbestos cement sheeting where the asbestos content is&lt;20%.  </w:t>
      </w:r>
    </w:p>
  </w:footnote>
  <w:footnote w:id="12">
    <w:p w14:paraId="03670AC8"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GN-2208-20, Environmental and Safeguards Compliance Policy, dated 19 January 2006, approved by the Board of Executive Directors on 19 January 2006.  </w:t>
      </w:r>
    </w:p>
  </w:footnote>
  <w:footnote w:id="13">
    <w:p w14:paraId="03670AC9"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Pharmaceutical products subject to phase outs or bans in United Nations, Banned Products: Consolidated List of Products Whose Consumption and/or Sale Have Been Banned, Withdrawn, Severely Restricted or not Approved by Governments. (Last version 2001, www.who.int/medicines/library/qsm/edm-qsm-2001-3/edm-qsm-2001_3.pdf)  </w:t>
      </w:r>
    </w:p>
  </w:footnote>
  <w:footnote w:id="14">
    <w:p w14:paraId="03670ACA"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Pesticides and herbicides subject to phase outs or bans included in both the Rotterdam Convention (www.pic.int) and the Stockholm Convention (www.pops.int).  </w:t>
      </w:r>
    </w:p>
  </w:footnote>
  <w:footnote w:id="15">
    <w:p w14:paraId="03670ACB" w14:textId="77777777" w:rsidR="00B72189" w:rsidRPr="007D669A" w:rsidRDefault="00B72189" w:rsidP="007D669A">
      <w:pPr>
        <w:pStyle w:val="Defaul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Ozone Depleting Substances (ODSs) are chemical compounds which react with and deplete stratospheric ozone, resulting in the widely publicized ‘ozone holes’. The Montreal Protocol lists ODSs and their target reduction and phase out dates. The chemical compounds regulated by the Montreal Protocol include aerosols, refrigerants, foam blowing agents, solvents, and fire protection agents. (www.unep.org/ozone/montreal.shtml).  </w:t>
      </w:r>
    </w:p>
  </w:footnote>
  <w:footnote w:id="16">
    <w:p w14:paraId="03670ACC" w14:textId="77777777" w:rsidR="00B72189" w:rsidRPr="007D669A" w:rsidRDefault="00B72189" w:rsidP="007D669A">
      <w:pPr>
        <w:pStyle w:val="FootnoteTex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w:t>
      </w:r>
      <w:r w:rsidRPr="007D669A">
        <w:rPr>
          <w:rFonts w:ascii="Arial" w:hAnsi="Arial" w:cs="Arial"/>
          <w:color w:val="000000"/>
          <w:sz w:val="18"/>
          <w:szCs w:val="18"/>
        </w:rPr>
        <w:t>Defined by the Basel Convention (www.basel.int).</w:t>
      </w:r>
      <w:r w:rsidRPr="007D669A">
        <w:rPr>
          <w:rFonts w:ascii="Arial" w:hAnsi="Arial" w:cs="Arial"/>
          <w:sz w:val="18"/>
          <w:szCs w:val="18"/>
        </w:rPr>
        <w:t xml:space="preserve">  </w:t>
      </w:r>
    </w:p>
  </w:footnote>
  <w:footnote w:id="17">
    <w:p w14:paraId="03670ACD" w14:textId="77777777" w:rsidR="00B72189" w:rsidRPr="007D669A" w:rsidRDefault="00B72189" w:rsidP="007D669A">
      <w:pPr>
        <w:pStyle w:val="FootnoteText"/>
        <w:tabs>
          <w:tab w:val="left" w:pos="180"/>
        </w:tabs>
        <w:ind w:left="180" w:hanging="180"/>
        <w:jc w:val="both"/>
        <w:rPr>
          <w:rFonts w:ascii="Arial" w:hAnsi="Arial" w:cs="Arial"/>
          <w:sz w:val="18"/>
          <w:szCs w:val="18"/>
        </w:rPr>
      </w:pPr>
      <w:r w:rsidRPr="007D669A">
        <w:rPr>
          <w:rStyle w:val="FootnoteReference"/>
          <w:rFonts w:ascii="Arial" w:hAnsi="Arial" w:cs="Arial"/>
          <w:sz w:val="18"/>
          <w:szCs w:val="18"/>
        </w:rPr>
        <w:footnoteRef/>
      </w:r>
      <w:r w:rsidRPr="007D669A">
        <w:rPr>
          <w:rFonts w:ascii="Arial" w:hAnsi="Arial" w:cs="Arial"/>
          <w:sz w:val="18"/>
          <w:szCs w:val="18"/>
        </w:rPr>
        <w:t xml:space="preserve"> </w:t>
      </w:r>
      <w:r w:rsidRPr="007D669A">
        <w:rPr>
          <w:rFonts w:ascii="Arial" w:hAnsi="Arial" w:cs="Arial"/>
          <w:color w:val="000000"/>
          <w:sz w:val="18"/>
          <w:szCs w:val="18"/>
        </w:rPr>
        <w:t>Defined by the International Convention on the reduction and elimination of persistent organic pollutants (POPs) (September 1999) and presently include the pesticides aldrin, chlordane, dieldrin, endrin, heptachlor, mirex, and toxaphene, as well as the industrial chemical chlorobenzene (www.pops.int).</w:t>
      </w:r>
      <w:r w:rsidRPr="007D669A">
        <w:rPr>
          <w:rFonts w:ascii="Arial" w:hAnsi="Arial" w:cs="Arial"/>
          <w:sz w:val="18"/>
          <w:szCs w:val="18"/>
        </w:rPr>
        <w:t xml:space="preserve">  </w:t>
      </w:r>
    </w:p>
  </w:footnote>
  <w:footnote w:id="18">
    <w:p w14:paraId="03670ACE" w14:textId="566316EA" w:rsidR="00B72189" w:rsidRPr="005D20C6" w:rsidRDefault="00B72189" w:rsidP="007D669A">
      <w:pPr>
        <w:pStyle w:val="FootnoteText"/>
        <w:tabs>
          <w:tab w:val="left" w:pos="180"/>
        </w:tabs>
        <w:ind w:left="180" w:hanging="180"/>
        <w:jc w:val="both"/>
        <w:rPr>
          <w:rFonts w:cs="Arial"/>
          <w:color w:val="000000"/>
          <w:sz w:val="16"/>
          <w:szCs w:val="16"/>
        </w:rPr>
      </w:pPr>
      <w:r w:rsidRPr="007D669A">
        <w:rPr>
          <w:rStyle w:val="FootnoteReference"/>
          <w:rFonts w:ascii="Arial" w:hAnsi="Arial" w:cs="Arial"/>
          <w:sz w:val="18"/>
          <w:szCs w:val="18"/>
        </w:rPr>
        <w:footnoteRef/>
      </w:r>
      <w:r w:rsidRPr="007D669A">
        <w:rPr>
          <w:rFonts w:ascii="Arial" w:hAnsi="Arial" w:cs="Arial"/>
          <w:sz w:val="18"/>
          <w:szCs w:val="18"/>
        </w:rPr>
        <w:t xml:space="preserve"> </w:t>
      </w:r>
      <w:r w:rsidRPr="007D669A">
        <w:rPr>
          <w:rFonts w:ascii="Arial" w:hAnsi="Arial" w:cs="Arial"/>
          <w:color w:val="000000"/>
          <w:sz w:val="18"/>
          <w:szCs w:val="18"/>
        </w:rPr>
        <w:t xml:space="preserve">Fundamental Principles and Rights at Work means (i) freedom of association and the effective recognition of the right to collective bargaining; (ii) prohibition of all forms of forced or compulsory labor; (iii) prohibition of child labor, including without limitation the prohibition of persons under 18 from working in hazardous conditions (which includes construction activities), persons under 18 from working at night, and that persons under 18 be found fit to work via medical examination; </w:t>
      </w:r>
      <w:r w:rsidR="001902D5">
        <w:rPr>
          <w:rFonts w:ascii="Arial" w:hAnsi="Arial" w:cs="Arial"/>
          <w:color w:val="000000"/>
          <w:sz w:val="18"/>
          <w:szCs w:val="18"/>
        </w:rPr>
        <w:t xml:space="preserve">and </w:t>
      </w:r>
      <w:r w:rsidRPr="007D669A">
        <w:rPr>
          <w:rFonts w:ascii="Arial" w:hAnsi="Arial" w:cs="Arial"/>
          <w:color w:val="000000"/>
          <w:sz w:val="18"/>
          <w:szCs w:val="18"/>
        </w:rPr>
        <w:t xml:space="preserve">(iv) elimination of discrimination in respect of employment and occupation, where discrimination is defined as any distinction, exclusion or preference based on race, color, sex, religion, political opinion, </w:t>
      </w:r>
      <w:bookmarkStart w:id="3" w:name="_GoBack"/>
      <w:bookmarkEnd w:id="3"/>
      <w:r w:rsidRPr="007D669A">
        <w:rPr>
          <w:rFonts w:ascii="Arial" w:hAnsi="Arial" w:cs="Arial"/>
          <w:color w:val="000000"/>
          <w:sz w:val="18"/>
          <w:szCs w:val="18"/>
        </w:rPr>
        <w:t>national extraction, or social origin. (International Labor Organization: www.ilo.org)</w:t>
      </w:r>
      <w:r w:rsidRPr="00FC7694">
        <w:rPr>
          <w:rFonts w:ascii="Arial" w:hAnsi="Arial" w:cs="Arial"/>
          <w:color w:val="000000"/>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0ABC" w14:textId="77777777" w:rsidR="00B72189" w:rsidRPr="00B44034" w:rsidRDefault="00B72189" w:rsidP="005354FC">
    <w:pPr>
      <w:pStyle w:val="Header"/>
      <w:pBdr>
        <w:bottom w:val="single" w:sz="6" w:space="2" w:color="auto"/>
      </w:pBdr>
      <w:tabs>
        <w:tab w:val="clear" w:pos="4320"/>
        <w:tab w:val="clear" w:pos="8640"/>
        <w:tab w:val="left" w:pos="4019"/>
      </w:tabs>
      <w:ind w:right="-720"/>
      <w:rPr>
        <w:rFonts w:ascii="Arial" w:hAnsi="Arial" w:cs="Arial"/>
        <w:sz w:val="18"/>
        <w:szCs w:val="18"/>
      </w:rPr>
    </w:pPr>
    <w:r w:rsidRPr="00B44034">
      <w:rPr>
        <w:rFonts w:ascii="Arial" w:hAnsi="Arial" w:cs="Arial"/>
        <w:sz w:val="18"/>
        <w:szCs w:val="18"/>
      </w:rPr>
      <w:t>IDB-ESG-TP-002, Ver. 03</w:t>
    </w:r>
    <w:r w:rsidRPr="00B44034">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915881"/>
    <w:multiLevelType w:val="hybridMultilevel"/>
    <w:tmpl w:val="2148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4A5B0B"/>
    <w:multiLevelType w:val="hybridMultilevel"/>
    <w:tmpl w:val="02688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E01037"/>
    <w:multiLevelType w:val="hybridMultilevel"/>
    <w:tmpl w:val="99CEE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6288B"/>
    <w:multiLevelType w:val="hybridMultilevel"/>
    <w:tmpl w:val="5AB67878"/>
    <w:lvl w:ilvl="0" w:tplc="957AF3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BD0DA5"/>
    <w:multiLevelType w:val="hybridMultilevel"/>
    <w:tmpl w:val="60B4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500AA5"/>
    <w:multiLevelType w:val="hybridMultilevel"/>
    <w:tmpl w:val="095C5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82059"/>
    <w:multiLevelType w:val="hybridMultilevel"/>
    <w:tmpl w:val="06D43DBE"/>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085BF4"/>
    <w:multiLevelType w:val="hybridMultilevel"/>
    <w:tmpl w:val="73224162"/>
    <w:lvl w:ilvl="0" w:tplc="A1EA0B4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EE5A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37C38AF"/>
    <w:multiLevelType w:val="hybridMultilevel"/>
    <w:tmpl w:val="F5C8A61A"/>
    <w:lvl w:ilvl="0" w:tplc="5768C5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D5330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num>
  <w:num w:numId="3">
    <w:abstractNumId w:val="10"/>
  </w:num>
  <w:num w:numId="4">
    <w:abstractNumId w:val="2"/>
  </w:num>
  <w:num w:numId="5">
    <w:abstractNumId w:val="1"/>
  </w:num>
  <w:num w:numId="6">
    <w:abstractNumId w:val="7"/>
  </w:num>
  <w:num w:numId="7">
    <w:abstractNumId w:val="16"/>
  </w:num>
  <w:num w:numId="8">
    <w:abstractNumId w:val="6"/>
  </w:num>
  <w:num w:numId="9">
    <w:abstractNumId w:val="13"/>
  </w:num>
  <w:num w:numId="10">
    <w:abstractNumId w:val="17"/>
  </w:num>
  <w:num w:numId="11">
    <w:abstractNumId w:val="9"/>
  </w:num>
  <w:num w:numId="12">
    <w:abstractNumId w:val="8"/>
  </w:num>
  <w:num w:numId="13">
    <w:abstractNumId w:val="15"/>
  </w:num>
  <w:num w:numId="14">
    <w:abstractNumId w:val="4"/>
  </w:num>
  <w:num w:numId="15">
    <w:abstractNumId w:val="14"/>
  </w:num>
  <w:num w:numId="16">
    <w:abstractNumId w:val="11"/>
  </w:num>
  <w:num w:numId="17">
    <w:abstractNumId w:val="12"/>
  </w:num>
  <w:num w:numId="1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2506E"/>
    <w:rsid w:val="00034FF8"/>
    <w:rsid w:val="000361A6"/>
    <w:rsid w:val="00056EE2"/>
    <w:rsid w:val="00066214"/>
    <w:rsid w:val="00067751"/>
    <w:rsid w:val="000709EE"/>
    <w:rsid w:val="00076E4F"/>
    <w:rsid w:val="000840FB"/>
    <w:rsid w:val="000904E1"/>
    <w:rsid w:val="000907E3"/>
    <w:rsid w:val="000A20D3"/>
    <w:rsid w:val="000B0FC5"/>
    <w:rsid w:val="000B5B2B"/>
    <w:rsid w:val="000C15CB"/>
    <w:rsid w:val="000C3D10"/>
    <w:rsid w:val="000E02C8"/>
    <w:rsid w:val="000F2A9E"/>
    <w:rsid w:val="000F3843"/>
    <w:rsid w:val="00110ABE"/>
    <w:rsid w:val="001110C6"/>
    <w:rsid w:val="0011321E"/>
    <w:rsid w:val="0011347D"/>
    <w:rsid w:val="001177FE"/>
    <w:rsid w:val="00117CE3"/>
    <w:rsid w:val="00122626"/>
    <w:rsid w:val="00122A70"/>
    <w:rsid w:val="00122C17"/>
    <w:rsid w:val="00132D6F"/>
    <w:rsid w:val="0013691E"/>
    <w:rsid w:val="001409FA"/>
    <w:rsid w:val="00147412"/>
    <w:rsid w:val="00152334"/>
    <w:rsid w:val="00153E03"/>
    <w:rsid w:val="00163990"/>
    <w:rsid w:val="001661A8"/>
    <w:rsid w:val="00170727"/>
    <w:rsid w:val="00174928"/>
    <w:rsid w:val="00175AD2"/>
    <w:rsid w:val="00182417"/>
    <w:rsid w:val="00183CA6"/>
    <w:rsid w:val="00184DF3"/>
    <w:rsid w:val="00186BF5"/>
    <w:rsid w:val="001902D5"/>
    <w:rsid w:val="001A2C1E"/>
    <w:rsid w:val="001A33FA"/>
    <w:rsid w:val="001B0819"/>
    <w:rsid w:val="001B11C3"/>
    <w:rsid w:val="001B210B"/>
    <w:rsid w:val="001C165A"/>
    <w:rsid w:val="001C38FF"/>
    <w:rsid w:val="001C57BE"/>
    <w:rsid w:val="001C5972"/>
    <w:rsid w:val="001C6E68"/>
    <w:rsid w:val="001D0317"/>
    <w:rsid w:val="001D2104"/>
    <w:rsid w:val="001D350E"/>
    <w:rsid w:val="001D5036"/>
    <w:rsid w:val="001D7E4F"/>
    <w:rsid w:val="001E30AF"/>
    <w:rsid w:val="001E40BC"/>
    <w:rsid w:val="0020183C"/>
    <w:rsid w:val="00206D50"/>
    <w:rsid w:val="00221A3B"/>
    <w:rsid w:val="00224C01"/>
    <w:rsid w:val="002279B4"/>
    <w:rsid w:val="00231844"/>
    <w:rsid w:val="00232DCD"/>
    <w:rsid w:val="0024298E"/>
    <w:rsid w:val="00243F29"/>
    <w:rsid w:val="00245EEB"/>
    <w:rsid w:val="0024716F"/>
    <w:rsid w:val="00250C7A"/>
    <w:rsid w:val="0025450D"/>
    <w:rsid w:val="00267C2D"/>
    <w:rsid w:val="00267CCE"/>
    <w:rsid w:val="0027117E"/>
    <w:rsid w:val="00271B38"/>
    <w:rsid w:val="00276987"/>
    <w:rsid w:val="002804B2"/>
    <w:rsid w:val="00282AA1"/>
    <w:rsid w:val="00291788"/>
    <w:rsid w:val="00292828"/>
    <w:rsid w:val="0029521C"/>
    <w:rsid w:val="0029581A"/>
    <w:rsid w:val="00296B9E"/>
    <w:rsid w:val="00297488"/>
    <w:rsid w:val="002A0934"/>
    <w:rsid w:val="002A37BB"/>
    <w:rsid w:val="002A684C"/>
    <w:rsid w:val="002A778A"/>
    <w:rsid w:val="002B009D"/>
    <w:rsid w:val="002C120B"/>
    <w:rsid w:val="002C3A85"/>
    <w:rsid w:val="002C4ED0"/>
    <w:rsid w:val="002D69A9"/>
    <w:rsid w:val="002E1E0C"/>
    <w:rsid w:val="002E3A02"/>
    <w:rsid w:val="002F128D"/>
    <w:rsid w:val="002F2CFD"/>
    <w:rsid w:val="002F43B3"/>
    <w:rsid w:val="003068FA"/>
    <w:rsid w:val="00307D0B"/>
    <w:rsid w:val="00314064"/>
    <w:rsid w:val="00314AF9"/>
    <w:rsid w:val="00315D7B"/>
    <w:rsid w:val="00315E3A"/>
    <w:rsid w:val="0032085B"/>
    <w:rsid w:val="003305DE"/>
    <w:rsid w:val="0033584F"/>
    <w:rsid w:val="0034627F"/>
    <w:rsid w:val="00356737"/>
    <w:rsid w:val="00356C72"/>
    <w:rsid w:val="00360F5E"/>
    <w:rsid w:val="003641A9"/>
    <w:rsid w:val="00371712"/>
    <w:rsid w:val="00383314"/>
    <w:rsid w:val="00387047"/>
    <w:rsid w:val="003919A6"/>
    <w:rsid w:val="003A4B89"/>
    <w:rsid w:val="003A5214"/>
    <w:rsid w:val="003B569D"/>
    <w:rsid w:val="003C2881"/>
    <w:rsid w:val="003D6ABA"/>
    <w:rsid w:val="003D6C2F"/>
    <w:rsid w:val="003E2C2F"/>
    <w:rsid w:val="003F281E"/>
    <w:rsid w:val="003F6879"/>
    <w:rsid w:val="00400171"/>
    <w:rsid w:val="004062C9"/>
    <w:rsid w:val="004127F6"/>
    <w:rsid w:val="00413E8A"/>
    <w:rsid w:val="00414AD4"/>
    <w:rsid w:val="0041502F"/>
    <w:rsid w:val="00416E08"/>
    <w:rsid w:val="004229C8"/>
    <w:rsid w:val="00424483"/>
    <w:rsid w:val="00425A6B"/>
    <w:rsid w:val="0043617D"/>
    <w:rsid w:val="004434A8"/>
    <w:rsid w:val="00443B2E"/>
    <w:rsid w:val="004553C2"/>
    <w:rsid w:val="0045636E"/>
    <w:rsid w:val="00465336"/>
    <w:rsid w:val="00472AA5"/>
    <w:rsid w:val="0047677D"/>
    <w:rsid w:val="00482877"/>
    <w:rsid w:val="00484A18"/>
    <w:rsid w:val="004A09B4"/>
    <w:rsid w:val="004A4CB1"/>
    <w:rsid w:val="004A5D54"/>
    <w:rsid w:val="004B0A65"/>
    <w:rsid w:val="004B6155"/>
    <w:rsid w:val="004C2CEB"/>
    <w:rsid w:val="004D3CD1"/>
    <w:rsid w:val="004E347E"/>
    <w:rsid w:val="004F1FC9"/>
    <w:rsid w:val="004F752B"/>
    <w:rsid w:val="0051060D"/>
    <w:rsid w:val="00513A75"/>
    <w:rsid w:val="00516D0D"/>
    <w:rsid w:val="00520AF5"/>
    <w:rsid w:val="00520EDF"/>
    <w:rsid w:val="00525149"/>
    <w:rsid w:val="0053035D"/>
    <w:rsid w:val="005354FC"/>
    <w:rsid w:val="00546E2F"/>
    <w:rsid w:val="005508EF"/>
    <w:rsid w:val="005571DC"/>
    <w:rsid w:val="00563673"/>
    <w:rsid w:val="0057400B"/>
    <w:rsid w:val="0057636F"/>
    <w:rsid w:val="00580E87"/>
    <w:rsid w:val="005838DB"/>
    <w:rsid w:val="00596AB5"/>
    <w:rsid w:val="005A0EC5"/>
    <w:rsid w:val="005B5337"/>
    <w:rsid w:val="005B5997"/>
    <w:rsid w:val="005C1EA8"/>
    <w:rsid w:val="005C32AE"/>
    <w:rsid w:val="005C421D"/>
    <w:rsid w:val="005C6976"/>
    <w:rsid w:val="005D6A90"/>
    <w:rsid w:val="005E413E"/>
    <w:rsid w:val="00611432"/>
    <w:rsid w:val="00620F9D"/>
    <w:rsid w:val="00622BC4"/>
    <w:rsid w:val="00627A8D"/>
    <w:rsid w:val="00637CEB"/>
    <w:rsid w:val="00641735"/>
    <w:rsid w:val="0064246D"/>
    <w:rsid w:val="00646525"/>
    <w:rsid w:val="0065566F"/>
    <w:rsid w:val="00655E63"/>
    <w:rsid w:val="006606C8"/>
    <w:rsid w:val="0066245F"/>
    <w:rsid w:val="006750E7"/>
    <w:rsid w:val="006847F7"/>
    <w:rsid w:val="00686DDF"/>
    <w:rsid w:val="00694CD4"/>
    <w:rsid w:val="00694FBA"/>
    <w:rsid w:val="006A1488"/>
    <w:rsid w:val="006A158F"/>
    <w:rsid w:val="006A2D12"/>
    <w:rsid w:val="006D1E7C"/>
    <w:rsid w:val="006E2478"/>
    <w:rsid w:val="006E5D9E"/>
    <w:rsid w:val="006F2D51"/>
    <w:rsid w:val="006F315E"/>
    <w:rsid w:val="006F7063"/>
    <w:rsid w:val="007046A7"/>
    <w:rsid w:val="00711105"/>
    <w:rsid w:val="00724EC9"/>
    <w:rsid w:val="007357E1"/>
    <w:rsid w:val="00740EB7"/>
    <w:rsid w:val="007541F9"/>
    <w:rsid w:val="0075612D"/>
    <w:rsid w:val="00761155"/>
    <w:rsid w:val="007647C0"/>
    <w:rsid w:val="00765479"/>
    <w:rsid w:val="00785C18"/>
    <w:rsid w:val="007870E3"/>
    <w:rsid w:val="00790993"/>
    <w:rsid w:val="007B07F2"/>
    <w:rsid w:val="007B163C"/>
    <w:rsid w:val="007C0236"/>
    <w:rsid w:val="007D36C8"/>
    <w:rsid w:val="007D3738"/>
    <w:rsid w:val="007D669A"/>
    <w:rsid w:val="007E78E5"/>
    <w:rsid w:val="007F7531"/>
    <w:rsid w:val="008005B7"/>
    <w:rsid w:val="00800D8F"/>
    <w:rsid w:val="008035AA"/>
    <w:rsid w:val="008075B3"/>
    <w:rsid w:val="00823799"/>
    <w:rsid w:val="00826BCF"/>
    <w:rsid w:val="00836447"/>
    <w:rsid w:val="00837A8F"/>
    <w:rsid w:val="0084091F"/>
    <w:rsid w:val="00841D04"/>
    <w:rsid w:val="00844A93"/>
    <w:rsid w:val="008506F2"/>
    <w:rsid w:val="00850E52"/>
    <w:rsid w:val="00874CC0"/>
    <w:rsid w:val="008819D1"/>
    <w:rsid w:val="00883BA1"/>
    <w:rsid w:val="008874FC"/>
    <w:rsid w:val="008913A1"/>
    <w:rsid w:val="00891D1A"/>
    <w:rsid w:val="00891FBA"/>
    <w:rsid w:val="00892C06"/>
    <w:rsid w:val="008966A4"/>
    <w:rsid w:val="008A1B12"/>
    <w:rsid w:val="008A763A"/>
    <w:rsid w:val="008C2E0F"/>
    <w:rsid w:val="008D6AD5"/>
    <w:rsid w:val="008E0C2F"/>
    <w:rsid w:val="008E2AB9"/>
    <w:rsid w:val="008E5B67"/>
    <w:rsid w:val="008E7356"/>
    <w:rsid w:val="008F11AC"/>
    <w:rsid w:val="008F1F71"/>
    <w:rsid w:val="008F3A1B"/>
    <w:rsid w:val="008F7EFA"/>
    <w:rsid w:val="00904F75"/>
    <w:rsid w:val="00921754"/>
    <w:rsid w:val="009430B3"/>
    <w:rsid w:val="009444D9"/>
    <w:rsid w:val="00953C33"/>
    <w:rsid w:val="00957524"/>
    <w:rsid w:val="00966D25"/>
    <w:rsid w:val="0097208F"/>
    <w:rsid w:val="009747CE"/>
    <w:rsid w:val="00987340"/>
    <w:rsid w:val="009954BC"/>
    <w:rsid w:val="009A1DBA"/>
    <w:rsid w:val="009A77A6"/>
    <w:rsid w:val="009A7A7E"/>
    <w:rsid w:val="009C48D5"/>
    <w:rsid w:val="009C5836"/>
    <w:rsid w:val="009D3ADF"/>
    <w:rsid w:val="009D4143"/>
    <w:rsid w:val="009F0069"/>
    <w:rsid w:val="009F339F"/>
    <w:rsid w:val="00A00C5A"/>
    <w:rsid w:val="00A11ACD"/>
    <w:rsid w:val="00A12A3B"/>
    <w:rsid w:val="00A15318"/>
    <w:rsid w:val="00A27A68"/>
    <w:rsid w:val="00A27E96"/>
    <w:rsid w:val="00A41E00"/>
    <w:rsid w:val="00A464C6"/>
    <w:rsid w:val="00A61D77"/>
    <w:rsid w:val="00A811C8"/>
    <w:rsid w:val="00A81618"/>
    <w:rsid w:val="00A97D37"/>
    <w:rsid w:val="00AA1CCD"/>
    <w:rsid w:val="00AA1CE9"/>
    <w:rsid w:val="00AA33E7"/>
    <w:rsid w:val="00AB569A"/>
    <w:rsid w:val="00AD70DF"/>
    <w:rsid w:val="00AD7EC6"/>
    <w:rsid w:val="00AE60E4"/>
    <w:rsid w:val="00AF0DA7"/>
    <w:rsid w:val="00AF5C47"/>
    <w:rsid w:val="00AF7D86"/>
    <w:rsid w:val="00B0100F"/>
    <w:rsid w:val="00B01F04"/>
    <w:rsid w:val="00B13DDA"/>
    <w:rsid w:val="00B16655"/>
    <w:rsid w:val="00B20556"/>
    <w:rsid w:val="00B3466C"/>
    <w:rsid w:val="00B34A61"/>
    <w:rsid w:val="00B40D0A"/>
    <w:rsid w:val="00B44034"/>
    <w:rsid w:val="00B44DDA"/>
    <w:rsid w:val="00B479D3"/>
    <w:rsid w:val="00B505FD"/>
    <w:rsid w:val="00B5074B"/>
    <w:rsid w:val="00B51A3B"/>
    <w:rsid w:val="00B601BF"/>
    <w:rsid w:val="00B72189"/>
    <w:rsid w:val="00B757F7"/>
    <w:rsid w:val="00B81ABB"/>
    <w:rsid w:val="00B82B6E"/>
    <w:rsid w:val="00B95FCB"/>
    <w:rsid w:val="00BB0493"/>
    <w:rsid w:val="00BB25A5"/>
    <w:rsid w:val="00BB311B"/>
    <w:rsid w:val="00BC0D6F"/>
    <w:rsid w:val="00BC1DF2"/>
    <w:rsid w:val="00BC41F1"/>
    <w:rsid w:val="00BC7021"/>
    <w:rsid w:val="00BD26E4"/>
    <w:rsid w:val="00BD597E"/>
    <w:rsid w:val="00BE1ADE"/>
    <w:rsid w:val="00BF59CB"/>
    <w:rsid w:val="00C004B3"/>
    <w:rsid w:val="00C04F56"/>
    <w:rsid w:val="00C304E8"/>
    <w:rsid w:val="00C33F71"/>
    <w:rsid w:val="00C34D0E"/>
    <w:rsid w:val="00C356AC"/>
    <w:rsid w:val="00C4031A"/>
    <w:rsid w:val="00C51F87"/>
    <w:rsid w:val="00C53ABB"/>
    <w:rsid w:val="00C5418F"/>
    <w:rsid w:val="00C55E62"/>
    <w:rsid w:val="00C7006C"/>
    <w:rsid w:val="00C77657"/>
    <w:rsid w:val="00C84ACB"/>
    <w:rsid w:val="00C84DE6"/>
    <w:rsid w:val="00C93168"/>
    <w:rsid w:val="00C97C3C"/>
    <w:rsid w:val="00CA4D2B"/>
    <w:rsid w:val="00CB64B8"/>
    <w:rsid w:val="00CB7D48"/>
    <w:rsid w:val="00CD70DC"/>
    <w:rsid w:val="00CE3105"/>
    <w:rsid w:val="00D055D3"/>
    <w:rsid w:val="00D05EB3"/>
    <w:rsid w:val="00D0694A"/>
    <w:rsid w:val="00D22380"/>
    <w:rsid w:val="00D22AF7"/>
    <w:rsid w:val="00D27CE9"/>
    <w:rsid w:val="00D4457C"/>
    <w:rsid w:val="00D50B80"/>
    <w:rsid w:val="00D53532"/>
    <w:rsid w:val="00D56917"/>
    <w:rsid w:val="00D632E9"/>
    <w:rsid w:val="00D67781"/>
    <w:rsid w:val="00D862C2"/>
    <w:rsid w:val="00D9059D"/>
    <w:rsid w:val="00D93ADD"/>
    <w:rsid w:val="00DA0A4C"/>
    <w:rsid w:val="00DA2315"/>
    <w:rsid w:val="00DB4E6C"/>
    <w:rsid w:val="00DB7B2E"/>
    <w:rsid w:val="00DC2DDD"/>
    <w:rsid w:val="00DF2FF7"/>
    <w:rsid w:val="00E15822"/>
    <w:rsid w:val="00E228C6"/>
    <w:rsid w:val="00E236F9"/>
    <w:rsid w:val="00E2602E"/>
    <w:rsid w:val="00E32C43"/>
    <w:rsid w:val="00E51AF1"/>
    <w:rsid w:val="00E528CA"/>
    <w:rsid w:val="00E65933"/>
    <w:rsid w:val="00E75E40"/>
    <w:rsid w:val="00E8034C"/>
    <w:rsid w:val="00E813AD"/>
    <w:rsid w:val="00E81E75"/>
    <w:rsid w:val="00E82550"/>
    <w:rsid w:val="00E86DA3"/>
    <w:rsid w:val="00E87388"/>
    <w:rsid w:val="00E9041C"/>
    <w:rsid w:val="00E94898"/>
    <w:rsid w:val="00EA45C9"/>
    <w:rsid w:val="00EA6F04"/>
    <w:rsid w:val="00EA6FCA"/>
    <w:rsid w:val="00EB364C"/>
    <w:rsid w:val="00EC7B70"/>
    <w:rsid w:val="00ED2779"/>
    <w:rsid w:val="00ED475D"/>
    <w:rsid w:val="00ED4E72"/>
    <w:rsid w:val="00EE20EB"/>
    <w:rsid w:val="00EE794C"/>
    <w:rsid w:val="00EE7DAC"/>
    <w:rsid w:val="00EF071D"/>
    <w:rsid w:val="00EF155A"/>
    <w:rsid w:val="00EF5A23"/>
    <w:rsid w:val="00EF64FB"/>
    <w:rsid w:val="00F00582"/>
    <w:rsid w:val="00F018B3"/>
    <w:rsid w:val="00F01D96"/>
    <w:rsid w:val="00F14FB5"/>
    <w:rsid w:val="00F21A2D"/>
    <w:rsid w:val="00F22DD8"/>
    <w:rsid w:val="00F354C8"/>
    <w:rsid w:val="00F45CA4"/>
    <w:rsid w:val="00F46383"/>
    <w:rsid w:val="00F515CD"/>
    <w:rsid w:val="00F54393"/>
    <w:rsid w:val="00F55055"/>
    <w:rsid w:val="00F84B8B"/>
    <w:rsid w:val="00FA1C53"/>
    <w:rsid w:val="00FA27DF"/>
    <w:rsid w:val="00FB0D4A"/>
    <w:rsid w:val="00FB6202"/>
    <w:rsid w:val="00FC0D31"/>
    <w:rsid w:val="00FC5D5C"/>
    <w:rsid w:val="00FC7694"/>
    <w:rsid w:val="00FD295A"/>
    <w:rsid w:val="00FD4BB2"/>
    <w:rsid w:val="00FE028F"/>
    <w:rsid w:val="00FE0773"/>
    <w:rsid w:val="00FF0438"/>
    <w:rsid w:val="00FF2471"/>
    <w:rsid w:val="00FF2D60"/>
    <w:rsid w:val="00FF48F6"/>
    <w:rsid w:val="00FF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670858"/>
  <w15:docId w15:val="{D43CFD93-441C-4664-AEE0-0C8B0099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Table/Figure Heading,En tête 1,List Paragraph1,IFCL - List Paragraph"/>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ußnotentextf,Fußnote,Footnote Text Char1 Char,Footnote Text Char Char Char,Footnote Text Char Char Char Char Char Char,ADB,f"/>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Fußnotentextf Char,Fußnote Char,Footnote Text Char1 Char Char,Footnote Text Char Char Char Char"/>
    <w:basedOn w:val="DefaultParagraphFont"/>
    <w:link w:val="FootnoteText"/>
    <w:uiPriority w:val="99"/>
    <w:rsid w:val="00356C72"/>
  </w:style>
  <w:style w:type="character" w:styleId="FootnoteReference">
    <w:name w:val="footnote reference"/>
    <w:aliases w:val="Style 24,ftref,(NECG) Footnote Reference,Ref,de nota al pie,16 Point,Superscript 6 Point,Fußnotenzeichen DISS,referencia nota al pie,Nota de pie,Ref. de nota al pie2,Massilia Footnote Reference,Nota al pie info 1,Footnote,titulo 2,FC"/>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character" w:customStyle="1" w:styleId="ListParagraphChar">
    <w:name w:val="List Paragraph Char"/>
    <w:aliases w:val="Table/Figure Heading Char,En tête 1 Char,List Paragraph1 Char,IFCL - List Paragraph Char"/>
    <w:basedOn w:val="DefaultParagraphFont"/>
    <w:link w:val="ListParagraph"/>
    <w:uiPriority w:val="34"/>
    <w:locked/>
    <w:rsid w:val="001C165A"/>
  </w:style>
  <w:style w:type="character" w:customStyle="1" w:styleId="UnresolvedMention1">
    <w:name w:val="Unresolved Mention1"/>
    <w:basedOn w:val="DefaultParagraphFont"/>
    <w:uiPriority w:val="99"/>
    <w:semiHidden/>
    <w:unhideWhenUsed/>
    <w:rsid w:val="008364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bice.com.ar/es/banco-mundia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bice.com.ar/es/contact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260</Value>
      <Value>5</Value>
      <Value>84</Value>
      <Value>1</Value>
      <Value>259</Value>
    </TaxCatchAll>
    <Operation_x0020_Type xmlns="cdc7663a-08f0-4737-9e8c-148ce897a09c" xsi:nil="true"/>
    <Package_x0020_Code xmlns="cdc7663a-08f0-4737-9e8c-148ce897a09c" xsi:nil="true"/>
    <Identifier xmlns="cdc7663a-08f0-4737-9e8c-148ce897a09c" xsi:nil="true"/>
    <Project_x0020_Number xmlns="cdc7663a-08f0-4737-9e8c-148ce897a09c">AR-L1280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R0001967300</Record_x0020_Number>
    <_dlc_DocId xmlns="cdc7663a-08f0-4737-9e8c-148ce897a09c">EZSHARE-972212929-5</_dlc_DocId>
    <_dlc_DocIdUrl xmlns="cdc7663a-08f0-4737-9e8c-148ce897a09c">
      <Url>https://idbg.sharepoint.com/teams/EZ-AR-LON/AR-L1280/_layouts/15/DocIdRedir.aspx?ID=EZSHARE-972212929-5</Url>
      <Description>EZSHARE-972212929-5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7770FF6-F9E7-451C-8F58-8D10AF27A31B}"/>
</file>

<file path=customXml/itemProps2.xml><?xml version="1.0" encoding="utf-8"?>
<ds:datastoreItem xmlns:ds="http://schemas.openxmlformats.org/officeDocument/2006/customXml" ds:itemID="{B2AC612B-893F-4318-B7E6-4E172B982238}">
  <ds:schemaRefs>
    <ds:schemaRef ds:uri="http://www.w3.org/XML/1998/namespace"/>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cdc7663a-08f0-4737-9e8c-148ce897a09c"/>
  </ds:schemaRefs>
</ds:datastoreItem>
</file>

<file path=customXml/itemProps3.xml><?xml version="1.0" encoding="utf-8"?>
<ds:datastoreItem xmlns:ds="http://schemas.openxmlformats.org/officeDocument/2006/customXml" ds:itemID="{C2AA84BD-B96D-4BB3-94C3-8AE4C8E74712}">
  <ds:schemaRefs>
    <ds:schemaRef ds:uri="http://schemas.microsoft.com/sharepoint/events"/>
  </ds:schemaRefs>
</ds:datastoreItem>
</file>

<file path=customXml/itemProps4.xml><?xml version="1.0" encoding="utf-8"?>
<ds:datastoreItem xmlns:ds="http://schemas.openxmlformats.org/officeDocument/2006/customXml" ds:itemID="{22C78E82-C18D-415E-AB08-7E5F5D1FF9FF}"/>
</file>

<file path=customXml/itemProps5.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6.xml><?xml version="1.0" encoding="utf-8"?>
<ds:datastoreItem xmlns:ds="http://schemas.openxmlformats.org/officeDocument/2006/customXml" ds:itemID="{F6F1761C-DE78-46F0-B623-3EDD35446E61}">
  <ds:schemaRefs>
    <ds:schemaRef ds:uri="http://schemas.openxmlformats.org/officeDocument/2006/bibliography"/>
  </ds:schemaRefs>
</ds:datastoreItem>
</file>

<file path=customXml/itemProps7.xml><?xml version="1.0" encoding="utf-8"?>
<ds:datastoreItem xmlns:ds="http://schemas.openxmlformats.org/officeDocument/2006/customXml" ds:itemID="{AA1E46BA-FF8B-4D56-95F0-41661526837B}"/>
</file>

<file path=docProps/app.xml><?xml version="1.0" encoding="utf-8"?>
<Properties xmlns="http://schemas.openxmlformats.org/officeDocument/2006/extended-properties" xmlns:vt="http://schemas.openxmlformats.org/officeDocument/2006/docPropsVTypes">
  <Template>Normal.dotm</Template>
  <TotalTime>16</TotalTime>
  <Pages>18</Pages>
  <Words>6347</Words>
  <Characters>36179</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Bernedo, Cecilia</cp:lastModifiedBy>
  <cp:revision>6</cp:revision>
  <cp:lastPrinted>2018-01-22T13:35:00Z</cp:lastPrinted>
  <dcterms:created xsi:type="dcterms:W3CDTF">2018-05-14T21:43:00Z</dcterms:created>
  <dcterms:modified xsi:type="dcterms:W3CDTF">2018-06-22T19:25:00Z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Country">
    <vt:lpwstr>5;#Argentina|eb1b705c-195f-4c3b-9661-b201f2fee3c5</vt:lpwstr>
  </property>
  <property fmtid="{D5CDD505-2E9C-101B-9397-08002B2CF9AE}" pid="8" name="Fund IDB">
    <vt:lpwstr>259;#TBD|d62f6e05-3e80-4abd-9bb4-5f10b4906ff6</vt:lpwstr>
  </property>
  <property fmtid="{D5CDD505-2E9C-101B-9397-08002B2CF9AE}" pid="9" name="_dlc_DocIdItemGuid">
    <vt:lpwstr>7b7fde09-bbd4-4970-9f35-7dbebe76315e</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/teams/EZ-AR-LON/AR-L1280/15 LifeCycle Milestones/Draft Area/POD - 3. ELink Req - Environmental and Social Management Report (ESMR) - AR-L1280.docx</vt:lpwstr>
  </property>
  <property fmtid="{D5CDD505-2E9C-101B-9397-08002B2CF9AE}" pid="13" name="Disclosure Activity">
    <vt:lpwstr>Loan Proposal</vt:lpwstr>
  </property>
  <property fmtid="{D5CDD505-2E9C-101B-9397-08002B2CF9AE}" pid="14" name="ContentTypeId">
    <vt:lpwstr>0x0101001A458A224826124E8B45B1D613300CFC007A368E198F79B945A0289C0879D02CB5</vt:lpwstr>
  </property>
</Properties>
</file>