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6043BD" w14:textId="77777777" w:rsidR="003A44B1" w:rsidRPr="00ED6612" w:rsidRDefault="003A44B1" w:rsidP="003A44B1">
      <w:pPr>
        <w:pStyle w:val="SubSubPar"/>
        <w:numPr>
          <w:ilvl w:val="0"/>
          <w:numId w:val="0"/>
        </w:numPr>
        <w:spacing w:after="0"/>
        <w:jc w:val="center"/>
        <w:rPr>
          <w:rFonts w:ascii="Arial" w:hAnsi="Arial" w:cs="Arial"/>
          <w:smallCaps/>
        </w:rPr>
      </w:pPr>
      <w:r w:rsidRPr="00ED6612">
        <w:rPr>
          <w:rFonts w:ascii="Arial" w:hAnsi="Arial" w:cs="Arial"/>
          <w:smallCaps/>
        </w:rPr>
        <w:t xml:space="preserve">Document </w:t>
      </w:r>
      <w:r w:rsidR="004D33B4" w:rsidRPr="00ED6612">
        <w:rPr>
          <w:rFonts w:ascii="Arial" w:hAnsi="Arial" w:cs="Arial"/>
          <w:smallCaps/>
        </w:rPr>
        <w:t>of the</w:t>
      </w:r>
      <w:r w:rsidRPr="00ED6612">
        <w:rPr>
          <w:rFonts w:ascii="Arial" w:hAnsi="Arial" w:cs="Arial"/>
          <w:smallCaps/>
        </w:rPr>
        <w:t xml:space="preserve"> </w:t>
      </w:r>
      <w:r w:rsidR="0035174E" w:rsidRPr="00ED6612">
        <w:rPr>
          <w:rFonts w:ascii="Arial" w:hAnsi="Arial" w:cs="Arial"/>
          <w:smallCaps/>
        </w:rPr>
        <w:t>Inter-American</w:t>
      </w:r>
      <w:r w:rsidRPr="00ED6612">
        <w:rPr>
          <w:rFonts w:ascii="Arial" w:hAnsi="Arial" w:cs="Arial"/>
          <w:smallCaps/>
        </w:rPr>
        <w:t xml:space="preserve"> De</w:t>
      </w:r>
      <w:r w:rsidR="004D33B4" w:rsidRPr="00ED6612">
        <w:rPr>
          <w:rFonts w:ascii="Arial" w:hAnsi="Arial" w:cs="Arial"/>
          <w:smallCaps/>
        </w:rPr>
        <w:t>velopment Bank</w:t>
      </w:r>
    </w:p>
    <w:p w14:paraId="456043BE" w14:textId="77777777" w:rsidR="003A44B1" w:rsidRPr="00ED6612" w:rsidRDefault="003A44B1" w:rsidP="003A44B1">
      <w:pPr>
        <w:tabs>
          <w:tab w:val="left" w:pos="1440"/>
          <w:tab w:val="left" w:pos="3060"/>
        </w:tabs>
        <w:jc w:val="center"/>
        <w:rPr>
          <w:rFonts w:ascii="Arial" w:hAnsi="Arial" w:cs="Arial"/>
        </w:rPr>
      </w:pPr>
    </w:p>
    <w:p w14:paraId="456043BF" w14:textId="77777777" w:rsidR="00D823BE" w:rsidRPr="00ED6612" w:rsidRDefault="00D823BE" w:rsidP="003A44B1">
      <w:pPr>
        <w:tabs>
          <w:tab w:val="left" w:pos="1440"/>
          <w:tab w:val="left" w:pos="3060"/>
        </w:tabs>
        <w:jc w:val="center"/>
        <w:rPr>
          <w:rFonts w:ascii="Arial" w:hAnsi="Arial" w:cs="Arial"/>
        </w:rPr>
      </w:pPr>
    </w:p>
    <w:p w14:paraId="456043C0" w14:textId="77777777" w:rsidR="002601DD" w:rsidRPr="00ED6612" w:rsidRDefault="002601DD" w:rsidP="003A44B1">
      <w:pPr>
        <w:tabs>
          <w:tab w:val="left" w:pos="1440"/>
          <w:tab w:val="left" w:pos="3060"/>
        </w:tabs>
        <w:jc w:val="center"/>
        <w:rPr>
          <w:rFonts w:ascii="Arial" w:hAnsi="Arial" w:cs="Arial"/>
        </w:rPr>
      </w:pPr>
    </w:p>
    <w:p w14:paraId="456043C1" w14:textId="77777777" w:rsidR="002601DD" w:rsidRPr="00ED6612" w:rsidRDefault="002601DD" w:rsidP="003A44B1">
      <w:pPr>
        <w:tabs>
          <w:tab w:val="left" w:pos="1440"/>
          <w:tab w:val="left" w:pos="3060"/>
        </w:tabs>
        <w:jc w:val="center"/>
        <w:rPr>
          <w:rFonts w:ascii="Arial" w:hAnsi="Arial" w:cs="Arial"/>
        </w:rPr>
      </w:pPr>
    </w:p>
    <w:p w14:paraId="456043C2" w14:textId="77777777" w:rsidR="002601DD" w:rsidRPr="00ED6612" w:rsidRDefault="002601DD" w:rsidP="003A44B1">
      <w:pPr>
        <w:tabs>
          <w:tab w:val="left" w:pos="1440"/>
          <w:tab w:val="left" w:pos="3060"/>
        </w:tabs>
        <w:jc w:val="center"/>
        <w:rPr>
          <w:rFonts w:ascii="Arial" w:hAnsi="Arial" w:cs="Arial"/>
        </w:rPr>
      </w:pPr>
    </w:p>
    <w:p w14:paraId="456043C3" w14:textId="77777777" w:rsidR="002601DD" w:rsidRPr="00ED6612" w:rsidRDefault="002601DD" w:rsidP="003A44B1">
      <w:pPr>
        <w:tabs>
          <w:tab w:val="left" w:pos="1440"/>
          <w:tab w:val="left" w:pos="3060"/>
        </w:tabs>
        <w:jc w:val="center"/>
        <w:rPr>
          <w:rFonts w:ascii="Arial" w:hAnsi="Arial" w:cs="Arial"/>
        </w:rPr>
      </w:pPr>
    </w:p>
    <w:p w14:paraId="456043C4" w14:textId="77777777" w:rsidR="00D823BE" w:rsidRPr="00ED6612" w:rsidRDefault="00D823BE" w:rsidP="003A44B1">
      <w:pPr>
        <w:tabs>
          <w:tab w:val="left" w:pos="1440"/>
          <w:tab w:val="left" w:pos="3060"/>
        </w:tabs>
        <w:jc w:val="center"/>
        <w:rPr>
          <w:rFonts w:ascii="Arial" w:hAnsi="Arial" w:cs="Arial"/>
        </w:rPr>
      </w:pPr>
    </w:p>
    <w:p w14:paraId="456043C5" w14:textId="77777777" w:rsidR="00265D69" w:rsidRPr="00ED6612" w:rsidRDefault="00265D69" w:rsidP="00265D69">
      <w:pPr>
        <w:ind w:left="540" w:hanging="540"/>
        <w:jc w:val="center"/>
        <w:rPr>
          <w:rFonts w:ascii="Arial" w:hAnsi="Arial" w:cs="Arial"/>
          <w:b/>
          <w:sz w:val="24"/>
          <w:szCs w:val="24"/>
        </w:rPr>
      </w:pPr>
    </w:p>
    <w:p w14:paraId="456043C6" w14:textId="77777777" w:rsidR="00265D69" w:rsidRPr="00ED6612" w:rsidRDefault="002601DD" w:rsidP="00265D69">
      <w:pPr>
        <w:jc w:val="center"/>
        <w:rPr>
          <w:rStyle w:val="BookTitle"/>
          <w:rFonts w:ascii="Arial" w:hAnsi="Arial" w:cs="Arial"/>
          <w:sz w:val="28"/>
        </w:rPr>
      </w:pPr>
      <w:r w:rsidRPr="00ED6612">
        <w:rPr>
          <w:rStyle w:val="BookTitle"/>
          <w:rFonts w:ascii="Arial" w:hAnsi="Arial" w:cs="Arial"/>
          <w:sz w:val="28"/>
        </w:rPr>
        <w:t>ARGENTINA</w:t>
      </w:r>
    </w:p>
    <w:p w14:paraId="456043C7" w14:textId="77777777" w:rsidR="00265D69" w:rsidRPr="00ED6612" w:rsidRDefault="00265D69" w:rsidP="00265D69">
      <w:pPr>
        <w:jc w:val="center"/>
        <w:rPr>
          <w:rStyle w:val="BookTitle"/>
          <w:rFonts w:ascii="Arial" w:hAnsi="Arial" w:cs="Arial"/>
          <w:sz w:val="28"/>
        </w:rPr>
      </w:pPr>
    </w:p>
    <w:p w14:paraId="456043C8" w14:textId="77777777" w:rsidR="004D33B4" w:rsidRPr="00ED6612" w:rsidRDefault="002601DD" w:rsidP="004D33B4">
      <w:pPr>
        <w:tabs>
          <w:tab w:val="left" w:pos="1440"/>
          <w:tab w:val="left" w:pos="3060"/>
        </w:tabs>
        <w:jc w:val="center"/>
        <w:rPr>
          <w:rFonts w:ascii="Arial" w:hAnsi="Arial" w:cs="Arial"/>
          <w:b/>
          <w:smallCaps/>
          <w:sz w:val="28"/>
          <w:szCs w:val="28"/>
        </w:rPr>
      </w:pPr>
      <w:r w:rsidRPr="00ED6612">
        <w:rPr>
          <w:rFonts w:ascii="Arial" w:hAnsi="Arial" w:cs="Arial"/>
          <w:b/>
          <w:smallCaps/>
          <w:sz w:val="28"/>
          <w:szCs w:val="28"/>
        </w:rPr>
        <w:t>Promoting risk mitigation instruments and finance for renewable energy and energy efficiency investments</w:t>
      </w:r>
    </w:p>
    <w:p w14:paraId="456043C9" w14:textId="77777777" w:rsidR="004D33B4" w:rsidRPr="00ED6612" w:rsidRDefault="004D33B4" w:rsidP="004D33B4">
      <w:pPr>
        <w:tabs>
          <w:tab w:val="left" w:pos="1440"/>
          <w:tab w:val="left" w:pos="3060"/>
        </w:tabs>
        <w:jc w:val="center"/>
        <w:rPr>
          <w:rFonts w:ascii="Arial" w:hAnsi="Arial" w:cs="Arial"/>
          <w:b/>
          <w:smallCaps/>
          <w:sz w:val="28"/>
          <w:szCs w:val="28"/>
        </w:rPr>
      </w:pPr>
    </w:p>
    <w:p w14:paraId="456043CA" w14:textId="77777777" w:rsidR="004D33B4" w:rsidRPr="00ED6612" w:rsidRDefault="004D33B4" w:rsidP="004D33B4">
      <w:pPr>
        <w:tabs>
          <w:tab w:val="left" w:pos="1440"/>
          <w:tab w:val="left" w:pos="3060"/>
        </w:tabs>
        <w:jc w:val="center"/>
        <w:rPr>
          <w:rFonts w:ascii="Arial" w:hAnsi="Arial" w:cs="Arial"/>
          <w:b/>
          <w:smallCaps/>
        </w:rPr>
      </w:pPr>
      <w:r w:rsidRPr="00ED6612">
        <w:rPr>
          <w:rFonts w:ascii="Arial" w:hAnsi="Arial" w:cs="Arial"/>
          <w:b/>
          <w:smallCaps/>
        </w:rPr>
        <w:t>(</w:t>
      </w:r>
      <w:r w:rsidR="002601DD" w:rsidRPr="00ED6612">
        <w:rPr>
          <w:rFonts w:ascii="Arial" w:hAnsi="Arial" w:cs="Arial"/>
          <w:b/>
          <w:smallCaps/>
        </w:rPr>
        <w:t>A</w:t>
      </w:r>
      <w:r w:rsidRPr="00ED6612">
        <w:rPr>
          <w:rFonts w:ascii="Arial" w:hAnsi="Arial" w:cs="Arial"/>
          <w:b/>
          <w:smallCaps/>
        </w:rPr>
        <w:t>R-</w:t>
      </w:r>
      <w:r w:rsidR="002601DD" w:rsidRPr="00ED6612">
        <w:rPr>
          <w:rFonts w:ascii="Arial" w:hAnsi="Arial" w:cs="Arial"/>
          <w:b/>
          <w:smallCaps/>
        </w:rPr>
        <w:t>L1280</w:t>
      </w:r>
      <w:r w:rsidRPr="00ED6612">
        <w:rPr>
          <w:rFonts w:ascii="Arial" w:hAnsi="Arial" w:cs="Arial"/>
          <w:b/>
          <w:smallCaps/>
        </w:rPr>
        <w:t>)</w:t>
      </w:r>
    </w:p>
    <w:p w14:paraId="456043CB" w14:textId="77777777" w:rsidR="004D33B4" w:rsidRPr="00ED6612" w:rsidRDefault="004D33B4" w:rsidP="004D33B4">
      <w:pPr>
        <w:tabs>
          <w:tab w:val="left" w:pos="1440"/>
          <w:tab w:val="left" w:pos="3060"/>
        </w:tabs>
        <w:jc w:val="center"/>
        <w:rPr>
          <w:rFonts w:ascii="Arial" w:hAnsi="Arial" w:cs="Arial"/>
          <w:b/>
          <w:smallCaps/>
          <w:sz w:val="28"/>
          <w:szCs w:val="28"/>
        </w:rPr>
      </w:pPr>
    </w:p>
    <w:p w14:paraId="456043CC" w14:textId="77777777" w:rsidR="004D33B4" w:rsidRPr="00ED6612" w:rsidRDefault="004D33B4" w:rsidP="004D33B4">
      <w:pPr>
        <w:tabs>
          <w:tab w:val="left" w:pos="1440"/>
          <w:tab w:val="left" w:pos="3060"/>
        </w:tabs>
        <w:jc w:val="center"/>
        <w:rPr>
          <w:rFonts w:ascii="Arial" w:hAnsi="Arial" w:cs="Arial"/>
          <w:b/>
          <w:smallCaps/>
          <w:sz w:val="28"/>
          <w:szCs w:val="28"/>
        </w:rPr>
      </w:pPr>
    </w:p>
    <w:p w14:paraId="456043CD" w14:textId="77777777" w:rsidR="00265D69" w:rsidRPr="00ED6612" w:rsidRDefault="00265D69" w:rsidP="00265D69">
      <w:pPr>
        <w:ind w:left="540" w:hanging="540"/>
        <w:jc w:val="center"/>
        <w:rPr>
          <w:rFonts w:ascii="Arial" w:hAnsi="Arial" w:cs="Arial"/>
          <w:b/>
          <w:sz w:val="24"/>
          <w:szCs w:val="24"/>
        </w:rPr>
      </w:pPr>
    </w:p>
    <w:p w14:paraId="456043CE" w14:textId="77777777" w:rsidR="00265D69" w:rsidRPr="00ED6612" w:rsidRDefault="00265D69" w:rsidP="00265D69">
      <w:pPr>
        <w:ind w:left="540" w:hanging="540"/>
        <w:jc w:val="center"/>
        <w:rPr>
          <w:rFonts w:ascii="Arial" w:hAnsi="Arial" w:cs="Arial"/>
          <w:b/>
          <w:sz w:val="24"/>
          <w:szCs w:val="24"/>
        </w:rPr>
      </w:pPr>
    </w:p>
    <w:p w14:paraId="456043CF" w14:textId="77777777" w:rsidR="00265D69" w:rsidRPr="00ED6612" w:rsidRDefault="00265D69" w:rsidP="00265D69">
      <w:pPr>
        <w:ind w:left="540" w:hanging="540"/>
        <w:jc w:val="center"/>
        <w:rPr>
          <w:rFonts w:ascii="Arial" w:hAnsi="Arial" w:cs="Arial"/>
          <w:b/>
          <w:sz w:val="24"/>
          <w:szCs w:val="24"/>
        </w:rPr>
      </w:pPr>
    </w:p>
    <w:p w14:paraId="456043D0" w14:textId="77777777" w:rsidR="00265D69" w:rsidRPr="00ED6612" w:rsidRDefault="00265D69" w:rsidP="00265D69">
      <w:pPr>
        <w:tabs>
          <w:tab w:val="left" w:pos="1440"/>
          <w:tab w:val="left" w:pos="3060"/>
        </w:tabs>
        <w:jc w:val="center"/>
        <w:outlineLvl w:val="0"/>
        <w:rPr>
          <w:rFonts w:ascii="Arial" w:hAnsi="Arial" w:cs="Arial"/>
          <w:b/>
          <w:smallCaps/>
          <w:sz w:val="28"/>
          <w:szCs w:val="28"/>
        </w:rPr>
      </w:pPr>
      <w:r w:rsidRPr="00ED6612">
        <w:rPr>
          <w:rFonts w:ascii="Arial" w:hAnsi="Arial" w:cs="Arial"/>
          <w:b/>
          <w:smallCaps/>
          <w:sz w:val="28"/>
          <w:szCs w:val="28"/>
        </w:rPr>
        <w:t>Econ</w:t>
      </w:r>
      <w:r w:rsidR="004D33B4" w:rsidRPr="00ED6612">
        <w:rPr>
          <w:rFonts w:ascii="Arial" w:hAnsi="Arial" w:cs="Arial"/>
          <w:b/>
          <w:smallCaps/>
          <w:sz w:val="28"/>
          <w:szCs w:val="28"/>
        </w:rPr>
        <w:t>o</w:t>
      </w:r>
      <w:r w:rsidRPr="00ED6612">
        <w:rPr>
          <w:rFonts w:ascii="Arial" w:hAnsi="Arial" w:cs="Arial"/>
          <w:b/>
          <w:smallCaps/>
          <w:sz w:val="28"/>
          <w:szCs w:val="28"/>
        </w:rPr>
        <w:t>mic</w:t>
      </w:r>
      <w:r w:rsidR="004D33B4" w:rsidRPr="00ED6612">
        <w:rPr>
          <w:rFonts w:ascii="Arial" w:hAnsi="Arial" w:cs="Arial"/>
          <w:b/>
          <w:smallCaps/>
          <w:sz w:val="28"/>
          <w:szCs w:val="28"/>
        </w:rPr>
        <w:t xml:space="preserve"> Analysis</w:t>
      </w:r>
    </w:p>
    <w:p w14:paraId="456043D1" w14:textId="77777777" w:rsidR="00265D69" w:rsidRPr="00ED6612" w:rsidRDefault="00265D69" w:rsidP="00265D69">
      <w:pPr>
        <w:ind w:left="540" w:hanging="540"/>
        <w:jc w:val="center"/>
        <w:rPr>
          <w:rFonts w:ascii="Arial" w:hAnsi="Arial" w:cs="Arial"/>
          <w:b/>
          <w:sz w:val="24"/>
          <w:szCs w:val="24"/>
        </w:rPr>
      </w:pPr>
    </w:p>
    <w:p w14:paraId="456043D2" w14:textId="77777777" w:rsidR="00265D69" w:rsidRPr="00ED6612" w:rsidRDefault="00265D69" w:rsidP="00265D69">
      <w:pPr>
        <w:ind w:left="540" w:hanging="540"/>
        <w:jc w:val="center"/>
        <w:rPr>
          <w:rFonts w:ascii="Arial" w:hAnsi="Arial" w:cs="Arial"/>
          <w:b/>
          <w:sz w:val="24"/>
          <w:szCs w:val="24"/>
        </w:rPr>
      </w:pPr>
    </w:p>
    <w:p w14:paraId="456043D3" w14:textId="77777777" w:rsidR="002601DD" w:rsidRPr="00ED6612" w:rsidRDefault="002601DD" w:rsidP="00265D69">
      <w:pPr>
        <w:ind w:left="540" w:hanging="540"/>
        <w:jc w:val="center"/>
        <w:rPr>
          <w:rFonts w:ascii="Arial" w:hAnsi="Arial" w:cs="Arial"/>
          <w:b/>
          <w:sz w:val="24"/>
          <w:szCs w:val="24"/>
        </w:rPr>
      </w:pPr>
    </w:p>
    <w:p w14:paraId="456043D4" w14:textId="77777777" w:rsidR="00C51CF0" w:rsidRPr="00ED6612" w:rsidRDefault="00C51CF0" w:rsidP="00E5795B">
      <w:pPr>
        <w:tabs>
          <w:tab w:val="left" w:pos="1440"/>
          <w:tab w:val="left" w:pos="3060"/>
        </w:tabs>
        <w:jc w:val="center"/>
        <w:outlineLvl w:val="0"/>
        <w:rPr>
          <w:rFonts w:ascii="Arial" w:hAnsi="Arial" w:cs="Arial"/>
          <w:b/>
          <w:smallCaps/>
          <w:sz w:val="24"/>
          <w:szCs w:val="24"/>
        </w:rPr>
      </w:pPr>
    </w:p>
    <w:p w14:paraId="456043D5" w14:textId="77777777" w:rsidR="00E5795B" w:rsidRPr="00ED6612" w:rsidRDefault="00E5795B" w:rsidP="00E5795B">
      <w:pPr>
        <w:tabs>
          <w:tab w:val="left" w:pos="1440"/>
          <w:tab w:val="left" w:pos="3060"/>
        </w:tabs>
        <w:jc w:val="center"/>
        <w:outlineLvl w:val="0"/>
        <w:rPr>
          <w:rFonts w:ascii="Arial" w:hAnsi="Arial" w:cs="Arial"/>
          <w:b/>
          <w:smallCaps/>
          <w:sz w:val="24"/>
          <w:szCs w:val="24"/>
        </w:rPr>
      </w:pPr>
      <w:r w:rsidRPr="00ED6612">
        <w:rPr>
          <w:rFonts w:ascii="Arial" w:hAnsi="Arial" w:cs="Arial"/>
          <w:b/>
          <w:smallCaps/>
          <w:sz w:val="24"/>
          <w:szCs w:val="24"/>
        </w:rPr>
        <w:lastRenderedPageBreak/>
        <w:t>Conten</w:t>
      </w:r>
      <w:r w:rsidR="004E4F25" w:rsidRPr="00ED6612">
        <w:rPr>
          <w:rFonts w:ascii="Arial" w:hAnsi="Arial" w:cs="Arial"/>
          <w:b/>
          <w:smallCaps/>
          <w:sz w:val="24"/>
          <w:szCs w:val="24"/>
        </w:rPr>
        <w:t>ts</w:t>
      </w:r>
    </w:p>
    <w:p w14:paraId="456043D6" w14:textId="77777777" w:rsidR="007C4C29" w:rsidRPr="00ED6612" w:rsidRDefault="00E5795B">
      <w:pPr>
        <w:pStyle w:val="TOC1"/>
        <w:rPr>
          <w:rFonts w:ascii="Arial" w:hAnsi="Arial" w:cs="Arial"/>
          <w:smallCaps w:val="0"/>
          <w:noProof w:val="0"/>
          <w:sz w:val="20"/>
          <w:szCs w:val="20"/>
          <w:lang w:val="en-US"/>
        </w:rPr>
      </w:pPr>
      <w:r w:rsidRPr="00ED6612">
        <w:rPr>
          <w:rFonts w:ascii="Arial" w:eastAsiaTheme="minorHAnsi" w:hAnsi="Arial" w:cs="Arial"/>
          <w:noProof w:val="0"/>
          <w:sz w:val="20"/>
          <w:szCs w:val="20"/>
          <w:lang w:val="en-US"/>
        </w:rPr>
        <w:fldChar w:fldCharType="begin"/>
      </w:r>
      <w:r w:rsidRPr="00ED6612">
        <w:rPr>
          <w:rFonts w:ascii="Arial" w:hAnsi="Arial" w:cs="Arial"/>
          <w:noProof w:val="0"/>
          <w:sz w:val="20"/>
          <w:szCs w:val="20"/>
          <w:lang w:val="en-US"/>
        </w:rPr>
        <w:instrText xml:space="preserve"> TOC \f \t "Chapter,1,FirstHeading,2,SecHeading,3" </w:instrText>
      </w:r>
      <w:r w:rsidRPr="00ED6612">
        <w:rPr>
          <w:rFonts w:ascii="Arial" w:eastAsiaTheme="minorHAnsi" w:hAnsi="Arial" w:cs="Arial"/>
          <w:noProof w:val="0"/>
          <w:sz w:val="20"/>
          <w:szCs w:val="20"/>
          <w:lang w:val="en-US"/>
        </w:rPr>
        <w:fldChar w:fldCharType="separate"/>
      </w:r>
      <w:r w:rsidR="007C4C29" w:rsidRPr="00ED6612">
        <w:rPr>
          <w:rFonts w:ascii="Arial" w:hAnsi="Arial" w:cs="Arial"/>
          <w:noProof w:val="0"/>
          <w:sz w:val="20"/>
          <w:szCs w:val="20"/>
          <w:lang w:val="en-US"/>
        </w:rPr>
        <w:t>I.</w:t>
      </w:r>
      <w:r w:rsidR="007C4C29" w:rsidRPr="00ED6612">
        <w:rPr>
          <w:rFonts w:ascii="Arial" w:hAnsi="Arial" w:cs="Arial"/>
          <w:smallCaps w:val="0"/>
          <w:noProof w:val="0"/>
          <w:sz w:val="20"/>
          <w:szCs w:val="20"/>
          <w:lang w:val="en-US"/>
        </w:rPr>
        <w:tab/>
      </w:r>
      <w:r w:rsidR="007C4C29" w:rsidRPr="00ED6612">
        <w:rPr>
          <w:rFonts w:ascii="Arial" w:hAnsi="Arial" w:cs="Arial"/>
          <w:noProof w:val="0"/>
          <w:sz w:val="20"/>
          <w:szCs w:val="20"/>
          <w:lang w:val="en-US"/>
        </w:rPr>
        <w:t>Introduction</w:t>
      </w:r>
      <w:r w:rsidR="007C4C29" w:rsidRPr="00ED6612">
        <w:rPr>
          <w:rFonts w:ascii="Arial" w:hAnsi="Arial" w:cs="Arial"/>
          <w:noProof w:val="0"/>
          <w:sz w:val="20"/>
          <w:szCs w:val="20"/>
          <w:lang w:val="en-US"/>
        </w:rPr>
        <w:tab/>
      </w:r>
      <w:r w:rsidR="007C4C29" w:rsidRPr="00ED6612">
        <w:rPr>
          <w:rFonts w:ascii="Arial" w:hAnsi="Arial" w:cs="Arial"/>
          <w:noProof w:val="0"/>
          <w:sz w:val="20"/>
          <w:szCs w:val="20"/>
          <w:lang w:val="en-US"/>
        </w:rPr>
        <w:fldChar w:fldCharType="begin"/>
      </w:r>
      <w:r w:rsidR="007C4C29" w:rsidRPr="00ED6612">
        <w:rPr>
          <w:rFonts w:ascii="Arial" w:hAnsi="Arial" w:cs="Arial"/>
          <w:noProof w:val="0"/>
          <w:sz w:val="20"/>
          <w:szCs w:val="20"/>
          <w:lang w:val="en-US"/>
        </w:rPr>
        <w:instrText xml:space="preserve"> PAGEREF _Toc503527891 \h </w:instrText>
      </w:r>
      <w:r w:rsidR="007C4C29" w:rsidRPr="00ED6612">
        <w:rPr>
          <w:rFonts w:ascii="Arial" w:hAnsi="Arial" w:cs="Arial"/>
          <w:noProof w:val="0"/>
          <w:sz w:val="20"/>
          <w:szCs w:val="20"/>
          <w:lang w:val="en-US"/>
        </w:rPr>
      </w:r>
      <w:r w:rsidR="007C4C29" w:rsidRPr="00ED6612">
        <w:rPr>
          <w:rFonts w:ascii="Arial" w:hAnsi="Arial" w:cs="Arial"/>
          <w:noProof w:val="0"/>
          <w:sz w:val="20"/>
          <w:szCs w:val="20"/>
          <w:lang w:val="en-US"/>
        </w:rPr>
        <w:fldChar w:fldCharType="separate"/>
      </w:r>
      <w:r w:rsidR="00ED6612" w:rsidRPr="00ED6612">
        <w:rPr>
          <w:rFonts w:ascii="Arial" w:hAnsi="Arial" w:cs="Arial"/>
          <w:noProof w:val="0"/>
          <w:sz w:val="20"/>
          <w:szCs w:val="20"/>
          <w:lang w:val="en-US"/>
        </w:rPr>
        <w:t>3</w:t>
      </w:r>
      <w:r w:rsidR="007C4C29" w:rsidRPr="00ED6612">
        <w:rPr>
          <w:rFonts w:ascii="Arial" w:hAnsi="Arial" w:cs="Arial"/>
          <w:noProof w:val="0"/>
          <w:sz w:val="20"/>
          <w:szCs w:val="20"/>
          <w:lang w:val="en-US"/>
        </w:rPr>
        <w:fldChar w:fldCharType="end"/>
      </w:r>
    </w:p>
    <w:p w14:paraId="456043D7" w14:textId="77777777" w:rsidR="007C4C29" w:rsidRPr="00ED6612" w:rsidRDefault="007C4C29">
      <w:pPr>
        <w:pStyle w:val="TOC1"/>
        <w:rPr>
          <w:rFonts w:ascii="Arial" w:hAnsi="Arial" w:cs="Arial"/>
          <w:smallCaps w:val="0"/>
          <w:noProof w:val="0"/>
          <w:sz w:val="20"/>
          <w:szCs w:val="20"/>
          <w:lang w:val="en-US"/>
        </w:rPr>
      </w:pPr>
      <w:r w:rsidRPr="00ED6612">
        <w:rPr>
          <w:rFonts w:ascii="Arial" w:hAnsi="Arial" w:cs="Arial"/>
          <w:noProof w:val="0"/>
          <w:sz w:val="20"/>
          <w:szCs w:val="20"/>
          <w:lang w:val="en-US"/>
        </w:rPr>
        <w:t>II.</w:t>
      </w:r>
      <w:r w:rsidRPr="00ED6612">
        <w:rPr>
          <w:rFonts w:ascii="Arial" w:hAnsi="Arial" w:cs="Arial"/>
          <w:smallCaps w:val="0"/>
          <w:noProof w:val="0"/>
          <w:sz w:val="20"/>
          <w:szCs w:val="20"/>
          <w:lang w:val="en-US"/>
        </w:rPr>
        <w:tab/>
      </w:r>
      <w:r w:rsidRPr="00ED6612">
        <w:rPr>
          <w:rFonts w:ascii="Arial" w:hAnsi="Arial" w:cs="Arial"/>
          <w:noProof w:val="0"/>
          <w:sz w:val="20"/>
          <w:szCs w:val="20"/>
          <w:lang w:val="en-US"/>
        </w:rPr>
        <w:t>Methodology and Assumptions</w:t>
      </w:r>
      <w:r w:rsidRPr="00ED6612">
        <w:rPr>
          <w:rFonts w:ascii="Arial" w:hAnsi="Arial" w:cs="Arial"/>
          <w:noProof w:val="0"/>
          <w:sz w:val="20"/>
          <w:szCs w:val="20"/>
          <w:lang w:val="en-US"/>
        </w:rPr>
        <w:tab/>
      </w:r>
      <w:r w:rsidRPr="00ED6612">
        <w:rPr>
          <w:rFonts w:ascii="Arial" w:hAnsi="Arial" w:cs="Arial"/>
          <w:noProof w:val="0"/>
          <w:sz w:val="20"/>
          <w:szCs w:val="20"/>
          <w:lang w:val="en-US"/>
        </w:rPr>
        <w:fldChar w:fldCharType="begin"/>
      </w:r>
      <w:r w:rsidRPr="00ED6612">
        <w:rPr>
          <w:rFonts w:ascii="Arial" w:hAnsi="Arial" w:cs="Arial"/>
          <w:noProof w:val="0"/>
          <w:sz w:val="20"/>
          <w:szCs w:val="20"/>
          <w:lang w:val="en-US"/>
        </w:rPr>
        <w:instrText xml:space="preserve"> PAGEREF _Toc503527892 \h </w:instrText>
      </w:r>
      <w:r w:rsidRPr="00ED6612">
        <w:rPr>
          <w:rFonts w:ascii="Arial" w:hAnsi="Arial" w:cs="Arial"/>
          <w:noProof w:val="0"/>
          <w:sz w:val="20"/>
          <w:szCs w:val="20"/>
          <w:lang w:val="en-US"/>
        </w:rPr>
      </w:r>
      <w:r w:rsidRPr="00ED6612">
        <w:rPr>
          <w:rFonts w:ascii="Arial" w:hAnsi="Arial" w:cs="Arial"/>
          <w:noProof w:val="0"/>
          <w:sz w:val="20"/>
          <w:szCs w:val="20"/>
          <w:lang w:val="en-US"/>
        </w:rPr>
        <w:fldChar w:fldCharType="separate"/>
      </w:r>
      <w:r w:rsidR="00ED6612" w:rsidRPr="00ED6612">
        <w:rPr>
          <w:rFonts w:ascii="Arial" w:hAnsi="Arial" w:cs="Arial"/>
          <w:noProof w:val="0"/>
          <w:sz w:val="20"/>
          <w:szCs w:val="20"/>
          <w:lang w:val="en-US"/>
        </w:rPr>
        <w:t>5</w:t>
      </w:r>
      <w:r w:rsidRPr="00ED6612">
        <w:rPr>
          <w:rFonts w:ascii="Arial" w:hAnsi="Arial" w:cs="Arial"/>
          <w:noProof w:val="0"/>
          <w:sz w:val="20"/>
          <w:szCs w:val="20"/>
          <w:lang w:val="en-US"/>
        </w:rPr>
        <w:fldChar w:fldCharType="end"/>
      </w:r>
    </w:p>
    <w:p w14:paraId="456043D8" w14:textId="77777777" w:rsidR="007C4C29" w:rsidRPr="00ED6612" w:rsidRDefault="007C4C29">
      <w:pPr>
        <w:pStyle w:val="TOC2"/>
        <w:rPr>
          <w:rFonts w:ascii="Arial" w:hAnsi="Arial" w:cs="Arial"/>
          <w:sz w:val="20"/>
          <w:szCs w:val="20"/>
        </w:rPr>
      </w:pPr>
      <w:r w:rsidRPr="00ED6612">
        <w:rPr>
          <w:rFonts w:ascii="Arial" w:hAnsi="Arial" w:cs="Arial"/>
          <w:sz w:val="20"/>
          <w:szCs w:val="20"/>
        </w:rPr>
        <w:t>A.</w:t>
      </w:r>
      <w:r w:rsidRPr="00ED6612">
        <w:rPr>
          <w:rFonts w:ascii="Arial" w:hAnsi="Arial" w:cs="Arial"/>
          <w:sz w:val="20"/>
          <w:szCs w:val="20"/>
        </w:rPr>
        <w:tab/>
        <w:t>Proposed methodology</w:t>
      </w:r>
      <w:r w:rsidRPr="00ED6612">
        <w:rPr>
          <w:rFonts w:ascii="Arial" w:hAnsi="Arial" w:cs="Arial"/>
          <w:sz w:val="20"/>
          <w:szCs w:val="20"/>
        </w:rPr>
        <w:tab/>
      </w:r>
      <w:r w:rsidRPr="00ED6612">
        <w:rPr>
          <w:rFonts w:ascii="Arial" w:hAnsi="Arial" w:cs="Arial"/>
          <w:sz w:val="20"/>
          <w:szCs w:val="20"/>
        </w:rPr>
        <w:fldChar w:fldCharType="begin"/>
      </w:r>
      <w:r w:rsidRPr="00ED6612">
        <w:rPr>
          <w:rFonts w:ascii="Arial" w:hAnsi="Arial" w:cs="Arial"/>
          <w:sz w:val="20"/>
          <w:szCs w:val="20"/>
        </w:rPr>
        <w:instrText xml:space="preserve"> PAGEREF _Toc503527893 \h </w:instrText>
      </w:r>
      <w:r w:rsidRPr="00ED6612">
        <w:rPr>
          <w:rFonts w:ascii="Arial" w:hAnsi="Arial" w:cs="Arial"/>
          <w:sz w:val="20"/>
          <w:szCs w:val="20"/>
        </w:rPr>
      </w:r>
      <w:r w:rsidRPr="00ED6612">
        <w:rPr>
          <w:rFonts w:ascii="Arial" w:hAnsi="Arial" w:cs="Arial"/>
          <w:sz w:val="20"/>
          <w:szCs w:val="20"/>
        </w:rPr>
        <w:fldChar w:fldCharType="separate"/>
      </w:r>
      <w:r w:rsidR="00ED6612" w:rsidRPr="00ED6612">
        <w:rPr>
          <w:rFonts w:ascii="Arial" w:hAnsi="Arial" w:cs="Arial"/>
          <w:sz w:val="20"/>
          <w:szCs w:val="20"/>
        </w:rPr>
        <w:t>5</w:t>
      </w:r>
      <w:r w:rsidRPr="00ED6612">
        <w:rPr>
          <w:rFonts w:ascii="Arial" w:hAnsi="Arial" w:cs="Arial"/>
          <w:sz w:val="20"/>
          <w:szCs w:val="20"/>
        </w:rPr>
        <w:fldChar w:fldCharType="end"/>
      </w:r>
    </w:p>
    <w:p w14:paraId="456043D9" w14:textId="77777777" w:rsidR="007C4C29" w:rsidRPr="00ED6612" w:rsidRDefault="007C4C29">
      <w:pPr>
        <w:pStyle w:val="TOC2"/>
        <w:rPr>
          <w:rFonts w:ascii="Arial" w:hAnsi="Arial" w:cs="Arial"/>
          <w:sz w:val="20"/>
          <w:szCs w:val="20"/>
        </w:rPr>
      </w:pPr>
      <w:r w:rsidRPr="00ED6612">
        <w:rPr>
          <w:rFonts w:ascii="Arial" w:hAnsi="Arial" w:cs="Arial"/>
          <w:sz w:val="20"/>
          <w:szCs w:val="20"/>
        </w:rPr>
        <w:t>B.</w:t>
      </w:r>
      <w:r w:rsidRPr="00ED6612">
        <w:rPr>
          <w:rFonts w:ascii="Arial" w:hAnsi="Arial" w:cs="Arial"/>
          <w:sz w:val="20"/>
          <w:szCs w:val="20"/>
        </w:rPr>
        <w:tab/>
        <w:t>Main assumptions</w:t>
      </w:r>
      <w:r w:rsidRPr="00ED6612">
        <w:rPr>
          <w:rFonts w:ascii="Arial" w:hAnsi="Arial" w:cs="Arial"/>
          <w:sz w:val="20"/>
          <w:szCs w:val="20"/>
        </w:rPr>
        <w:tab/>
      </w:r>
      <w:r w:rsidRPr="00ED6612">
        <w:rPr>
          <w:rFonts w:ascii="Arial" w:hAnsi="Arial" w:cs="Arial"/>
          <w:sz w:val="20"/>
          <w:szCs w:val="20"/>
        </w:rPr>
        <w:fldChar w:fldCharType="begin"/>
      </w:r>
      <w:r w:rsidRPr="00ED6612">
        <w:rPr>
          <w:rFonts w:ascii="Arial" w:hAnsi="Arial" w:cs="Arial"/>
          <w:sz w:val="20"/>
          <w:szCs w:val="20"/>
        </w:rPr>
        <w:instrText xml:space="preserve"> PAGEREF _Toc503527894 \h </w:instrText>
      </w:r>
      <w:r w:rsidRPr="00ED6612">
        <w:rPr>
          <w:rFonts w:ascii="Arial" w:hAnsi="Arial" w:cs="Arial"/>
          <w:sz w:val="20"/>
          <w:szCs w:val="20"/>
        </w:rPr>
      </w:r>
      <w:r w:rsidRPr="00ED6612">
        <w:rPr>
          <w:rFonts w:ascii="Arial" w:hAnsi="Arial" w:cs="Arial"/>
          <w:sz w:val="20"/>
          <w:szCs w:val="20"/>
        </w:rPr>
        <w:fldChar w:fldCharType="separate"/>
      </w:r>
      <w:r w:rsidR="00ED6612" w:rsidRPr="00ED6612">
        <w:rPr>
          <w:rFonts w:ascii="Arial" w:hAnsi="Arial" w:cs="Arial"/>
          <w:sz w:val="20"/>
          <w:szCs w:val="20"/>
        </w:rPr>
        <w:t>7</w:t>
      </w:r>
      <w:r w:rsidRPr="00ED6612">
        <w:rPr>
          <w:rFonts w:ascii="Arial" w:hAnsi="Arial" w:cs="Arial"/>
          <w:sz w:val="20"/>
          <w:szCs w:val="20"/>
        </w:rPr>
        <w:fldChar w:fldCharType="end"/>
      </w:r>
    </w:p>
    <w:p w14:paraId="456043DA" w14:textId="77777777" w:rsidR="007C4C29" w:rsidRPr="00ED6612" w:rsidRDefault="007C4C29">
      <w:pPr>
        <w:pStyle w:val="TOC2"/>
        <w:rPr>
          <w:rFonts w:ascii="Arial" w:hAnsi="Arial" w:cs="Arial"/>
          <w:sz w:val="20"/>
          <w:szCs w:val="20"/>
        </w:rPr>
      </w:pPr>
      <w:r w:rsidRPr="00ED6612">
        <w:rPr>
          <w:rFonts w:ascii="Arial" w:hAnsi="Arial" w:cs="Arial"/>
          <w:sz w:val="20"/>
          <w:szCs w:val="20"/>
        </w:rPr>
        <w:t>C.</w:t>
      </w:r>
      <w:r w:rsidRPr="00ED6612">
        <w:rPr>
          <w:rFonts w:ascii="Arial" w:hAnsi="Arial" w:cs="Arial"/>
          <w:sz w:val="20"/>
          <w:szCs w:val="20"/>
        </w:rPr>
        <w:tab/>
        <w:t>Identification and quantification of economic costs and benefits</w:t>
      </w:r>
      <w:r w:rsidRPr="00ED6612">
        <w:rPr>
          <w:rFonts w:ascii="Arial" w:hAnsi="Arial" w:cs="Arial"/>
          <w:sz w:val="20"/>
          <w:szCs w:val="20"/>
        </w:rPr>
        <w:tab/>
      </w:r>
      <w:r w:rsidRPr="00ED6612">
        <w:rPr>
          <w:rFonts w:ascii="Arial" w:hAnsi="Arial" w:cs="Arial"/>
          <w:sz w:val="20"/>
          <w:szCs w:val="20"/>
        </w:rPr>
        <w:fldChar w:fldCharType="begin"/>
      </w:r>
      <w:r w:rsidRPr="00ED6612">
        <w:rPr>
          <w:rFonts w:ascii="Arial" w:hAnsi="Arial" w:cs="Arial"/>
          <w:sz w:val="20"/>
          <w:szCs w:val="20"/>
        </w:rPr>
        <w:instrText xml:space="preserve"> PAGEREF _Toc503527895 \h </w:instrText>
      </w:r>
      <w:r w:rsidRPr="00ED6612">
        <w:rPr>
          <w:rFonts w:ascii="Arial" w:hAnsi="Arial" w:cs="Arial"/>
          <w:sz w:val="20"/>
          <w:szCs w:val="20"/>
        </w:rPr>
      </w:r>
      <w:r w:rsidRPr="00ED6612">
        <w:rPr>
          <w:rFonts w:ascii="Arial" w:hAnsi="Arial" w:cs="Arial"/>
          <w:sz w:val="20"/>
          <w:szCs w:val="20"/>
        </w:rPr>
        <w:fldChar w:fldCharType="separate"/>
      </w:r>
      <w:r w:rsidR="00ED6612" w:rsidRPr="00ED6612">
        <w:rPr>
          <w:rFonts w:ascii="Arial" w:hAnsi="Arial" w:cs="Arial"/>
          <w:sz w:val="20"/>
          <w:szCs w:val="20"/>
        </w:rPr>
        <w:t>10</w:t>
      </w:r>
      <w:r w:rsidRPr="00ED6612">
        <w:rPr>
          <w:rFonts w:ascii="Arial" w:hAnsi="Arial" w:cs="Arial"/>
          <w:sz w:val="20"/>
          <w:szCs w:val="20"/>
        </w:rPr>
        <w:fldChar w:fldCharType="end"/>
      </w:r>
    </w:p>
    <w:p w14:paraId="456043DB" w14:textId="77777777" w:rsidR="007C4C29" w:rsidRPr="00ED6612" w:rsidRDefault="007C4C29">
      <w:pPr>
        <w:pStyle w:val="TOC1"/>
        <w:rPr>
          <w:rFonts w:ascii="Arial" w:hAnsi="Arial" w:cs="Arial"/>
          <w:smallCaps w:val="0"/>
          <w:noProof w:val="0"/>
          <w:sz w:val="20"/>
          <w:szCs w:val="20"/>
          <w:lang w:val="en-US"/>
        </w:rPr>
      </w:pPr>
      <w:r w:rsidRPr="00ED6612">
        <w:rPr>
          <w:rFonts w:ascii="Arial" w:hAnsi="Arial" w:cs="Arial"/>
          <w:noProof w:val="0"/>
          <w:sz w:val="20"/>
          <w:szCs w:val="20"/>
          <w:lang w:val="en-US"/>
        </w:rPr>
        <w:t>III.</w:t>
      </w:r>
      <w:r w:rsidRPr="00ED6612">
        <w:rPr>
          <w:rFonts w:ascii="Arial" w:hAnsi="Arial" w:cs="Arial"/>
          <w:smallCaps w:val="0"/>
          <w:noProof w:val="0"/>
          <w:sz w:val="20"/>
          <w:szCs w:val="20"/>
          <w:lang w:val="en-US"/>
        </w:rPr>
        <w:tab/>
      </w:r>
      <w:r w:rsidRPr="00ED6612">
        <w:rPr>
          <w:rFonts w:ascii="Arial" w:hAnsi="Arial" w:cs="Arial"/>
          <w:noProof w:val="0"/>
          <w:sz w:val="20"/>
          <w:szCs w:val="20"/>
          <w:lang w:val="en-US"/>
        </w:rPr>
        <w:t>Other Considerations</w:t>
      </w:r>
      <w:r w:rsidRPr="00ED6612">
        <w:rPr>
          <w:rFonts w:ascii="Arial" w:hAnsi="Arial" w:cs="Arial"/>
          <w:noProof w:val="0"/>
          <w:sz w:val="20"/>
          <w:szCs w:val="20"/>
          <w:lang w:val="en-US"/>
        </w:rPr>
        <w:tab/>
      </w:r>
      <w:r w:rsidRPr="00ED6612">
        <w:rPr>
          <w:rFonts w:ascii="Arial" w:hAnsi="Arial" w:cs="Arial"/>
          <w:noProof w:val="0"/>
          <w:sz w:val="20"/>
          <w:szCs w:val="20"/>
          <w:lang w:val="en-US"/>
        </w:rPr>
        <w:fldChar w:fldCharType="begin"/>
      </w:r>
      <w:r w:rsidRPr="00ED6612">
        <w:rPr>
          <w:rFonts w:ascii="Arial" w:hAnsi="Arial" w:cs="Arial"/>
          <w:noProof w:val="0"/>
          <w:sz w:val="20"/>
          <w:szCs w:val="20"/>
          <w:lang w:val="en-US"/>
        </w:rPr>
        <w:instrText xml:space="preserve"> PAGEREF _Toc503527896 \h </w:instrText>
      </w:r>
      <w:r w:rsidRPr="00ED6612">
        <w:rPr>
          <w:rFonts w:ascii="Arial" w:hAnsi="Arial" w:cs="Arial"/>
          <w:noProof w:val="0"/>
          <w:sz w:val="20"/>
          <w:szCs w:val="20"/>
          <w:lang w:val="en-US"/>
        </w:rPr>
      </w:r>
      <w:r w:rsidRPr="00ED6612">
        <w:rPr>
          <w:rFonts w:ascii="Arial" w:hAnsi="Arial" w:cs="Arial"/>
          <w:noProof w:val="0"/>
          <w:sz w:val="20"/>
          <w:szCs w:val="20"/>
          <w:lang w:val="en-US"/>
        </w:rPr>
        <w:fldChar w:fldCharType="separate"/>
      </w:r>
      <w:r w:rsidR="00ED6612" w:rsidRPr="00ED6612">
        <w:rPr>
          <w:rFonts w:ascii="Arial" w:hAnsi="Arial" w:cs="Arial"/>
          <w:noProof w:val="0"/>
          <w:sz w:val="20"/>
          <w:szCs w:val="20"/>
          <w:lang w:val="en-US"/>
        </w:rPr>
        <w:t>12</w:t>
      </w:r>
      <w:r w:rsidRPr="00ED6612">
        <w:rPr>
          <w:rFonts w:ascii="Arial" w:hAnsi="Arial" w:cs="Arial"/>
          <w:noProof w:val="0"/>
          <w:sz w:val="20"/>
          <w:szCs w:val="20"/>
          <w:lang w:val="en-US"/>
        </w:rPr>
        <w:fldChar w:fldCharType="end"/>
      </w:r>
    </w:p>
    <w:p w14:paraId="456043DC" w14:textId="77777777" w:rsidR="007C4C29" w:rsidRPr="00ED6612" w:rsidRDefault="007C4C29">
      <w:pPr>
        <w:pStyle w:val="TOC1"/>
        <w:rPr>
          <w:rFonts w:ascii="Arial" w:hAnsi="Arial" w:cs="Arial"/>
          <w:smallCaps w:val="0"/>
          <w:noProof w:val="0"/>
          <w:sz w:val="20"/>
          <w:szCs w:val="20"/>
          <w:lang w:val="en-US"/>
        </w:rPr>
      </w:pPr>
      <w:r w:rsidRPr="00ED6612">
        <w:rPr>
          <w:rFonts w:ascii="Arial" w:hAnsi="Arial" w:cs="Arial"/>
          <w:noProof w:val="0"/>
          <w:sz w:val="20"/>
          <w:szCs w:val="20"/>
          <w:lang w:val="en-US"/>
        </w:rPr>
        <w:t>IV.</w:t>
      </w:r>
      <w:r w:rsidRPr="00ED6612">
        <w:rPr>
          <w:rFonts w:ascii="Arial" w:hAnsi="Arial" w:cs="Arial"/>
          <w:smallCaps w:val="0"/>
          <w:noProof w:val="0"/>
          <w:sz w:val="20"/>
          <w:szCs w:val="20"/>
          <w:lang w:val="en-US"/>
        </w:rPr>
        <w:tab/>
      </w:r>
      <w:r w:rsidRPr="00ED6612">
        <w:rPr>
          <w:rFonts w:ascii="Arial" w:hAnsi="Arial" w:cs="Arial"/>
          <w:noProof w:val="0"/>
          <w:sz w:val="20"/>
          <w:szCs w:val="20"/>
          <w:lang w:val="en-US"/>
        </w:rPr>
        <w:t>Results of the Analysis</w:t>
      </w:r>
      <w:r w:rsidRPr="00ED6612">
        <w:rPr>
          <w:rFonts w:ascii="Arial" w:hAnsi="Arial" w:cs="Arial"/>
          <w:noProof w:val="0"/>
          <w:sz w:val="20"/>
          <w:szCs w:val="20"/>
          <w:lang w:val="en-US"/>
        </w:rPr>
        <w:tab/>
      </w:r>
      <w:r w:rsidRPr="00ED6612">
        <w:rPr>
          <w:rFonts w:ascii="Arial" w:hAnsi="Arial" w:cs="Arial"/>
          <w:noProof w:val="0"/>
          <w:sz w:val="20"/>
          <w:szCs w:val="20"/>
          <w:lang w:val="en-US"/>
        </w:rPr>
        <w:fldChar w:fldCharType="begin"/>
      </w:r>
      <w:r w:rsidRPr="00ED6612">
        <w:rPr>
          <w:rFonts w:ascii="Arial" w:hAnsi="Arial" w:cs="Arial"/>
          <w:noProof w:val="0"/>
          <w:sz w:val="20"/>
          <w:szCs w:val="20"/>
          <w:lang w:val="en-US"/>
        </w:rPr>
        <w:instrText xml:space="preserve"> PAGEREF _Toc503527897 \h </w:instrText>
      </w:r>
      <w:r w:rsidRPr="00ED6612">
        <w:rPr>
          <w:rFonts w:ascii="Arial" w:hAnsi="Arial" w:cs="Arial"/>
          <w:noProof w:val="0"/>
          <w:sz w:val="20"/>
          <w:szCs w:val="20"/>
          <w:lang w:val="en-US"/>
        </w:rPr>
      </w:r>
      <w:r w:rsidRPr="00ED6612">
        <w:rPr>
          <w:rFonts w:ascii="Arial" w:hAnsi="Arial" w:cs="Arial"/>
          <w:noProof w:val="0"/>
          <w:sz w:val="20"/>
          <w:szCs w:val="20"/>
          <w:lang w:val="en-US"/>
        </w:rPr>
        <w:fldChar w:fldCharType="separate"/>
      </w:r>
      <w:r w:rsidR="00ED6612" w:rsidRPr="00ED6612">
        <w:rPr>
          <w:rFonts w:ascii="Arial" w:hAnsi="Arial" w:cs="Arial"/>
          <w:noProof w:val="0"/>
          <w:sz w:val="20"/>
          <w:szCs w:val="20"/>
          <w:lang w:val="en-US"/>
        </w:rPr>
        <w:t>14</w:t>
      </w:r>
      <w:r w:rsidRPr="00ED6612">
        <w:rPr>
          <w:rFonts w:ascii="Arial" w:hAnsi="Arial" w:cs="Arial"/>
          <w:noProof w:val="0"/>
          <w:sz w:val="20"/>
          <w:szCs w:val="20"/>
          <w:lang w:val="en-US"/>
        </w:rPr>
        <w:fldChar w:fldCharType="end"/>
      </w:r>
    </w:p>
    <w:p w14:paraId="456043DD" w14:textId="77777777" w:rsidR="007C4C29" w:rsidRPr="00ED6612" w:rsidRDefault="007C4C29">
      <w:pPr>
        <w:pStyle w:val="TOC1"/>
        <w:rPr>
          <w:rFonts w:ascii="Arial" w:hAnsi="Arial" w:cs="Arial"/>
          <w:smallCaps w:val="0"/>
          <w:noProof w:val="0"/>
          <w:sz w:val="20"/>
          <w:szCs w:val="20"/>
          <w:lang w:val="en-US"/>
        </w:rPr>
      </w:pPr>
      <w:r w:rsidRPr="00ED6612">
        <w:rPr>
          <w:rFonts w:ascii="Arial" w:hAnsi="Arial" w:cs="Arial"/>
          <w:noProof w:val="0"/>
          <w:sz w:val="20"/>
          <w:szCs w:val="20"/>
          <w:lang w:val="en-US"/>
        </w:rPr>
        <w:t>V.</w:t>
      </w:r>
      <w:r w:rsidRPr="00ED6612">
        <w:rPr>
          <w:rFonts w:ascii="Arial" w:hAnsi="Arial" w:cs="Arial"/>
          <w:smallCaps w:val="0"/>
          <w:noProof w:val="0"/>
          <w:sz w:val="20"/>
          <w:szCs w:val="20"/>
          <w:lang w:val="en-US"/>
        </w:rPr>
        <w:tab/>
      </w:r>
      <w:r w:rsidRPr="00ED6612">
        <w:rPr>
          <w:rFonts w:ascii="Arial" w:hAnsi="Arial" w:cs="Arial"/>
          <w:noProof w:val="0"/>
          <w:sz w:val="20"/>
          <w:szCs w:val="20"/>
          <w:lang w:val="en-US"/>
        </w:rPr>
        <w:t>Sensitivity Analysis</w:t>
      </w:r>
      <w:r w:rsidRPr="00ED6612">
        <w:rPr>
          <w:rFonts w:ascii="Arial" w:hAnsi="Arial" w:cs="Arial"/>
          <w:noProof w:val="0"/>
          <w:sz w:val="20"/>
          <w:szCs w:val="20"/>
          <w:lang w:val="en-US"/>
        </w:rPr>
        <w:tab/>
      </w:r>
      <w:r w:rsidRPr="00ED6612">
        <w:rPr>
          <w:rFonts w:ascii="Arial" w:hAnsi="Arial" w:cs="Arial"/>
          <w:noProof w:val="0"/>
          <w:sz w:val="20"/>
          <w:szCs w:val="20"/>
          <w:lang w:val="en-US"/>
        </w:rPr>
        <w:fldChar w:fldCharType="begin"/>
      </w:r>
      <w:r w:rsidRPr="00ED6612">
        <w:rPr>
          <w:rFonts w:ascii="Arial" w:hAnsi="Arial" w:cs="Arial"/>
          <w:noProof w:val="0"/>
          <w:sz w:val="20"/>
          <w:szCs w:val="20"/>
          <w:lang w:val="en-US"/>
        </w:rPr>
        <w:instrText xml:space="preserve"> PAGEREF _Toc503527898 \h </w:instrText>
      </w:r>
      <w:r w:rsidRPr="00ED6612">
        <w:rPr>
          <w:rFonts w:ascii="Arial" w:hAnsi="Arial" w:cs="Arial"/>
          <w:noProof w:val="0"/>
          <w:sz w:val="20"/>
          <w:szCs w:val="20"/>
          <w:lang w:val="en-US"/>
        </w:rPr>
      </w:r>
      <w:r w:rsidRPr="00ED6612">
        <w:rPr>
          <w:rFonts w:ascii="Arial" w:hAnsi="Arial" w:cs="Arial"/>
          <w:noProof w:val="0"/>
          <w:sz w:val="20"/>
          <w:szCs w:val="20"/>
          <w:lang w:val="en-US"/>
        </w:rPr>
        <w:fldChar w:fldCharType="separate"/>
      </w:r>
      <w:r w:rsidR="00ED6612" w:rsidRPr="00ED6612">
        <w:rPr>
          <w:rFonts w:ascii="Arial" w:hAnsi="Arial" w:cs="Arial"/>
          <w:noProof w:val="0"/>
          <w:sz w:val="20"/>
          <w:szCs w:val="20"/>
          <w:lang w:val="en-US"/>
        </w:rPr>
        <w:t>14</w:t>
      </w:r>
      <w:r w:rsidRPr="00ED6612">
        <w:rPr>
          <w:rFonts w:ascii="Arial" w:hAnsi="Arial" w:cs="Arial"/>
          <w:noProof w:val="0"/>
          <w:sz w:val="20"/>
          <w:szCs w:val="20"/>
          <w:lang w:val="en-US"/>
        </w:rPr>
        <w:fldChar w:fldCharType="end"/>
      </w:r>
    </w:p>
    <w:p w14:paraId="456043DE" w14:textId="77777777" w:rsidR="007C4C29" w:rsidRPr="00ED6612" w:rsidRDefault="007C4C29">
      <w:pPr>
        <w:pStyle w:val="TOC1"/>
        <w:rPr>
          <w:rFonts w:ascii="Arial" w:hAnsi="Arial" w:cs="Arial"/>
          <w:smallCaps w:val="0"/>
          <w:noProof w:val="0"/>
          <w:sz w:val="20"/>
          <w:szCs w:val="20"/>
          <w:lang w:val="en-US"/>
        </w:rPr>
      </w:pPr>
      <w:r w:rsidRPr="00ED6612">
        <w:rPr>
          <w:rFonts w:ascii="Arial" w:hAnsi="Arial" w:cs="Arial"/>
          <w:noProof w:val="0"/>
          <w:sz w:val="20"/>
          <w:szCs w:val="20"/>
          <w:lang w:val="en-US"/>
        </w:rPr>
        <w:t>VI.</w:t>
      </w:r>
      <w:r w:rsidRPr="00ED6612">
        <w:rPr>
          <w:rFonts w:ascii="Arial" w:hAnsi="Arial" w:cs="Arial"/>
          <w:smallCaps w:val="0"/>
          <w:noProof w:val="0"/>
          <w:sz w:val="20"/>
          <w:szCs w:val="20"/>
          <w:lang w:val="en-US"/>
        </w:rPr>
        <w:tab/>
      </w:r>
      <w:r w:rsidRPr="00ED6612">
        <w:rPr>
          <w:rFonts w:ascii="Arial" w:hAnsi="Arial" w:cs="Arial"/>
          <w:noProof w:val="0"/>
          <w:sz w:val="20"/>
          <w:szCs w:val="20"/>
          <w:lang w:val="en-US"/>
        </w:rPr>
        <w:t>Conclusions</w:t>
      </w:r>
      <w:r w:rsidRPr="00ED6612">
        <w:rPr>
          <w:rFonts w:ascii="Arial" w:hAnsi="Arial" w:cs="Arial"/>
          <w:noProof w:val="0"/>
          <w:sz w:val="20"/>
          <w:szCs w:val="20"/>
          <w:lang w:val="en-US"/>
        </w:rPr>
        <w:tab/>
      </w:r>
      <w:r w:rsidRPr="00ED6612">
        <w:rPr>
          <w:rFonts w:ascii="Arial" w:hAnsi="Arial" w:cs="Arial"/>
          <w:noProof w:val="0"/>
          <w:sz w:val="20"/>
          <w:szCs w:val="20"/>
          <w:lang w:val="en-US"/>
        </w:rPr>
        <w:fldChar w:fldCharType="begin"/>
      </w:r>
      <w:r w:rsidRPr="00ED6612">
        <w:rPr>
          <w:rFonts w:ascii="Arial" w:hAnsi="Arial" w:cs="Arial"/>
          <w:noProof w:val="0"/>
          <w:sz w:val="20"/>
          <w:szCs w:val="20"/>
          <w:lang w:val="en-US"/>
        </w:rPr>
        <w:instrText xml:space="preserve"> PAGEREF _Toc503527899 \h </w:instrText>
      </w:r>
      <w:r w:rsidRPr="00ED6612">
        <w:rPr>
          <w:rFonts w:ascii="Arial" w:hAnsi="Arial" w:cs="Arial"/>
          <w:noProof w:val="0"/>
          <w:sz w:val="20"/>
          <w:szCs w:val="20"/>
          <w:lang w:val="en-US"/>
        </w:rPr>
      </w:r>
      <w:r w:rsidRPr="00ED6612">
        <w:rPr>
          <w:rFonts w:ascii="Arial" w:hAnsi="Arial" w:cs="Arial"/>
          <w:noProof w:val="0"/>
          <w:sz w:val="20"/>
          <w:szCs w:val="20"/>
          <w:lang w:val="en-US"/>
        </w:rPr>
        <w:fldChar w:fldCharType="separate"/>
      </w:r>
      <w:r w:rsidR="00ED6612" w:rsidRPr="00ED6612">
        <w:rPr>
          <w:rFonts w:ascii="Arial" w:hAnsi="Arial" w:cs="Arial"/>
          <w:noProof w:val="0"/>
          <w:sz w:val="20"/>
          <w:szCs w:val="20"/>
          <w:lang w:val="en-US"/>
        </w:rPr>
        <w:t>17</w:t>
      </w:r>
      <w:r w:rsidRPr="00ED6612">
        <w:rPr>
          <w:rFonts w:ascii="Arial" w:hAnsi="Arial" w:cs="Arial"/>
          <w:noProof w:val="0"/>
          <w:sz w:val="20"/>
          <w:szCs w:val="20"/>
          <w:lang w:val="en-US"/>
        </w:rPr>
        <w:fldChar w:fldCharType="end"/>
      </w:r>
    </w:p>
    <w:p w14:paraId="456043DF" w14:textId="77777777" w:rsidR="00E5795B" w:rsidRPr="00ED6612" w:rsidRDefault="00E5795B" w:rsidP="00E5795B">
      <w:pPr>
        <w:pStyle w:val="TOC3"/>
        <w:rPr>
          <w:rFonts w:ascii="Arial" w:hAnsi="Arial" w:cs="Arial"/>
        </w:rPr>
      </w:pPr>
      <w:r w:rsidRPr="00ED6612">
        <w:rPr>
          <w:rFonts w:ascii="Arial" w:hAnsi="Arial" w:cs="Arial"/>
          <w:sz w:val="20"/>
          <w:szCs w:val="20"/>
        </w:rPr>
        <w:fldChar w:fldCharType="end"/>
      </w:r>
    </w:p>
    <w:p w14:paraId="456043E0" w14:textId="77777777" w:rsidR="001F5395" w:rsidRPr="00ED6612" w:rsidRDefault="001F5395">
      <w:pPr>
        <w:rPr>
          <w:rFonts w:ascii="Arial" w:hAnsi="Arial" w:cs="Arial"/>
        </w:rPr>
      </w:pPr>
      <w:r w:rsidRPr="00ED6612">
        <w:rPr>
          <w:rFonts w:ascii="Arial" w:hAnsi="Arial" w:cs="Arial"/>
        </w:rPr>
        <w:br w:type="page"/>
      </w:r>
    </w:p>
    <w:p w14:paraId="456043E1" w14:textId="77777777" w:rsidR="00E5795B" w:rsidRPr="00ED6612" w:rsidRDefault="00281172" w:rsidP="008E3817">
      <w:pPr>
        <w:pStyle w:val="Chapter"/>
        <w:numPr>
          <w:ilvl w:val="0"/>
          <w:numId w:val="4"/>
        </w:numPr>
        <w:tabs>
          <w:tab w:val="clear" w:pos="1440"/>
          <w:tab w:val="clear" w:pos="1800"/>
          <w:tab w:val="left" w:pos="360"/>
        </w:tabs>
        <w:spacing w:before="360"/>
        <w:ind w:left="0" w:firstLine="0"/>
        <w:rPr>
          <w:rFonts w:ascii="Arial" w:hAnsi="Arial" w:cs="Arial"/>
        </w:rPr>
      </w:pPr>
      <w:bookmarkStart w:id="0" w:name="_Toc503527891"/>
      <w:r w:rsidRPr="00ED6612">
        <w:rPr>
          <w:rFonts w:ascii="Arial" w:hAnsi="Arial" w:cs="Arial"/>
        </w:rPr>
        <w:lastRenderedPageBreak/>
        <w:t>Introductio</w:t>
      </w:r>
      <w:r w:rsidR="00E5795B" w:rsidRPr="00ED6612">
        <w:rPr>
          <w:rFonts w:ascii="Arial" w:hAnsi="Arial" w:cs="Arial"/>
        </w:rPr>
        <w:t>n</w:t>
      </w:r>
      <w:bookmarkStart w:id="1" w:name="_Ref320198321"/>
      <w:bookmarkEnd w:id="0"/>
    </w:p>
    <w:bookmarkEnd w:id="1"/>
    <w:p w14:paraId="456043E2" w14:textId="05FF7474" w:rsidR="00823B4F" w:rsidRPr="00ED6612" w:rsidRDefault="00823B4F" w:rsidP="008E3817">
      <w:pPr>
        <w:pStyle w:val="Paragraph"/>
        <w:numPr>
          <w:ilvl w:val="1"/>
          <w:numId w:val="3"/>
        </w:numPr>
        <w:tabs>
          <w:tab w:val="clear" w:pos="1746"/>
          <w:tab w:val="num" w:pos="720"/>
        </w:tabs>
        <w:ind w:left="720" w:hanging="720"/>
        <w:rPr>
          <w:rFonts w:ascii="Arial" w:hAnsi="Arial" w:cs="Arial"/>
          <w:sz w:val="22"/>
        </w:rPr>
      </w:pPr>
      <w:r w:rsidRPr="00ED6612">
        <w:rPr>
          <w:rFonts w:ascii="Arial" w:hAnsi="Arial" w:cs="Arial"/>
          <w:sz w:val="22"/>
        </w:rPr>
        <w:t xml:space="preserve">The “Promoting risk mitigation instruments and finance for renewable energy and energy efficiency investments” </w:t>
      </w:r>
      <w:r w:rsidR="00D11E5F">
        <w:rPr>
          <w:rFonts w:ascii="Arial" w:hAnsi="Arial" w:cs="Arial"/>
          <w:sz w:val="22"/>
        </w:rPr>
        <w:t>project</w:t>
      </w:r>
      <w:r w:rsidRPr="00ED6612">
        <w:rPr>
          <w:rFonts w:ascii="Arial" w:hAnsi="Arial" w:cs="Arial"/>
          <w:sz w:val="22"/>
        </w:rPr>
        <w:t xml:space="preserve"> intends to address the absence of adequate financing for small and medium enterprises (SME) in Argentina, where a significant potential for </w:t>
      </w:r>
      <w:r w:rsidR="008954E3" w:rsidRPr="00ED6612">
        <w:rPr>
          <w:rFonts w:ascii="Arial" w:hAnsi="Arial" w:cs="Arial"/>
          <w:sz w:val="22"/>
        </w:rPr>
        <w:t>R</w:t>
      </w:r>
      <w:r w:rsidRPr="00ED6612">
        <w:rPr>
          <w:rFonts w:ascii="Arial" w:hAnsi="Arial" w:cs="Arial"/>
          <w:sz w:val="22"/>
        </w:rPr>
        <w:t xml:space="preserve">enewable </w:t>
      </w:r>
      <w:r w:rsidR="008954E3" w:rsidRPr="00ED6612">
        <w:rPr>
          <w:rFonts w:ascii="Arial" w:hAnsi="Arial" w:cs="Arial"/>
          <w:sz w:val="22"/>
        </w:rPr>
        <w:t>E</w:t>
      </w:r>
      <w:r w:rsidRPr="00ED6612">
        <w:rPr>
          <w:rFonts w:ascii="Arial" w:hAnsi="Arial" w:cs="Arial"/>
          <w:sz w:val="22"/>
        </w:rPr>
        <w:t xml:space="preserve">nergy (RE) and </w:t>
      </w:r>
      <w:r w:rsidR="008954E3" w:rsidRPr="00ED6612">
        <w:rPr>
          <w:rFonts w:ascii="Arial" w:hAnsi="Arial" w:cs="Arial"/>
          <w:sz w:val="22"/>
        </w:rPr>
        <w:t>E</w:t>
      </w:r>
      <w:r w:rsidRPr="00ED6612">
        <w:rPr>
          <w:rFonts w:ascii="Arial" w:hAnsi="Arial" w:cs="Arial"/>
          <w:sz w:val="22"/>
        </w:rPr>
        <w:t xml:space="preserve">nergy </w:t>
      </w:r>
      <w:r w:rsidR="008954E3" w:rsidRPr="00ED6612">
        <w:rPr>
          <w:rFonts w:ascii="Arial" w:hAnsi="Arial" w:cs="Arial"/>
          <w:sz w:val="22"/>
        </w:rPr>
        <w:t>E</w:t>
      </w:r>
      <w:r w:rsidRPr="00ED6612">
        <w:rPr>
          <w:rFonts w:ascii="Arial" w:hAnsi="Arial" w:cs="Arial"/>
          <w:sz w:val="22"/>
        </w:rPr>
        <w:t xml:space="preserve">fficiency (EE) investments has been identified (for a detailed </w:t>
      </w:r>
      <w:r w:rsidR="00D11E5F">
        <w:rPr>
          <w:rFonts w:ascii="Arial" w:hAnsi="Arial" w:cs="Arial"/>
          <w:sz w:val="22"/>
        </w:rPr>
        <w:t>project</w:t>
      </w:r>
      <w:r w:rsidRPr="00ED6612">
        <w:rPr>
          <w:rFonts w:ascii="Arial" w:hAnsi="Arial" w:cs="Arial"/>
          <w:sz w:val="22"/>
        </w:rPr>
        <w:t xml:space="preserve"> context description and a diagnosis of the problems identified, please refer to Section I of the Proposal for Operation Development (POD).</w:t>
      </w:r>
    </w:p>
    <w:p w14:paraId="456043E3" w14:textId="77777777" w:rsidR="00823B4F" w:rsidRPr="00ED6612" w:rsidRDefault="00823B4F" w:rsidP="008E3817">
      <w:pPr>
        <w:pStyle w:val="Paragraph"/>
        <w:numPr>
          <w:ilvl w:val="1"/>
          <w:numId w:val="3"/>
        </w:numPr>
        <w:tabs>
          <w:tab w:val="clear" w:pos="1746"/>
          <w:tab w:val="num" w:pos="720"/>
        </w:tabs>
        <w:ind w:left="720" w:hanging="720"/>
        <w:rPr>
          <w:rFonts w:ascii="Arial" w:hAnsi="Arial" w:cs="Arial"/>
          <w:sz w:val="22"/>
        </w:rPr>
      </w:pPr>
      <w:r w:rsidRPr="00ED6612">
        <w:rPr>
          <w:rFonts w:ascii="Arial" w:hAnsi="Arial" w:cs="Arial"/>
          <w:sz w:val="22"/>
        </w:rPr>
        <w:t>There is an intrinsic link between the level of investments in RE and EE and the availability of financing. SMEs in less developed economies are largely dependent on external financing to realize new projects; in turn, external financing in these countries relies on the banking sector, as stock markets and venture capitalism are not well enough established to provide funding. However, the underdevelopment of the banking sector, in addition to problems specific to RE and EE, such as high up-front costs and long lead times, hamper the emergence of RE and EE innovations. These arguments have been supported by empirical data; for example, a study conducted on finance for RE</w:t>
      </w:r>
      <w:r w:rsidRPr="00ED6612">
        <w:rPr>
          <w:rFonts w:ascii="Arial" w:hAnsi="Arial" w:cs="Arial"/>
          <w:sz w:val="22"/>
          <w:vertAlign w:val="superscript"/>
        </w:rPr>
        <w:footnoteReference w:id="1"/>
      </w:r>
      <w:r w:rsidRPr="00ED6612">
        <w:rPr>
          <w:rFonts w:ascii="Arial" w:hAnsi="Arial" w:cs="Arial"/>
          <w:sz w:val="22"/>
        </w:rPr>
        <w:t xml:space="preserve"> is conclusive in that financial intermediation has a significant positive effect on the amount of RE produced, and the impact is especially large when considering non-hydropower RE such as wind, solar, geothermal and biomass. The same could be expected from EE, as these technologies share with RE the same characteristics in terms of financial needs, especially in emerging economies.</w:t>
      </w:r>
    </w:p>
    <w:p w14:paraId="456043E4" w14:textId="4DA2D7B5" w:rsidR="00E2584F" w:rsidRPr="00ED6612" w:rsidRDefault="00E2584F" w:rsidP="008E3817">
      <w:pPr>
        <w:pStyle w:val="Paragraph"/>
        <w:numPr>
          <w:ilvl w:val="1"/>
          <w:numId w:val="3"/>
        </w:numPr>
        <w:tabs>
          <w:tab w:val="clear" w:pos="1746"/>
          <w:tab w:val="num" w:pos="720"/>
        </w:tabs>
        <w:ind w:left="720" w:hanging="720"/>
        <w:rPr>
          <w:rFonts w:ascii="Arial" w:hAnsi="Arial" w:cs="Arial"/>
          <w:bCs/>
          <w:sz w:val="22"/>
        </w:rPr>
      </w:pPr>
      <w:r w:rsidRPr="00ED6612">
        <w:rPr>
          <w:rFonts w:ascii="Arial" w:hAnsi="Arial" w:cs="Arial"/>
          <w:sz w:val="22"/>
        </w:rPr>
        <w:t xml:space="preserve">The general objective of the </w:t>
      </w:r>
      <w:r w:rsidR="00D11E5F">
        <w:rPr>
          <w:rFonts w:ascii="Arial" w:hAnsi="Arial" w:cs="Arial"/>
          <w:sz w:val="22"/>
        </w:rPr>
        <w:t>project</w:t>
      </w:r>
      <w:r w:rsidRPr="00ED6612">
        <w:rPr>
          <w:rFonts w:ascii="Arial" w:hAnsi="Arial" w:cs="Arial"/>
          <w:sz w:val="22"/>
        </w:rPr>
        <w:t xml:space="preserve"> is to promote the efficiency in the production and use of energy in Argentina. The specific objectives are: (i) increase SME investments in RE and EE, by providing access to medium and long-term finance; and (ii) contribute to the reduction of Greenhouse Gas (GHG) emissions</w:t>
      </w:r>
      <w:r w:rsidRPr="00ED6612">
        <w:rPr>
          <w:rFonts w:ascii="Arial" w:hAnsi="Arial" w:cs="Arial"/>
          <w:bCs/>
          <w:sz w:val="22"/>
        </w:rPr>
        <w:t>.</w:t>
      </w:r>
    </w:p>
    <w:p w14:paraId="456043E5" w14:textId="2A5F93CE" w:rsidR="00823B4F" w:rsidRPr="00ED6612" w:rsidRDefault="00823B4F" w:rsidP="008E3817">
      <w:pPr>
        <w:pStyle w:val="Paragraph"/>
        <w:numPr>
          <w:ilvl w:val="1"/>
          <w:numId w:val="3"/>
        </w:numPr>
        <w:tabs>
          <w:tab w:val="clear" w:pos="1746"/>
          <w:tab w:val="num" w:pos="720"/>
        </w:tabs>
        <w:ind w:left="720" w:hanging="720"/>
        <w:rPr>
          <w:rFonts w:ascii="Arial" w:hAnsi="Arial" w:cs="Arial"/>
          <w:sz w:val="22"/>
        </w:rPr>
      </w:pPr>
      <w:r w:rsidRPr="00ED6612">
        <w:rPr>
          <w:rFonts w:ascii="Arial" w:hAnsi="Arial" w:cs="Arial"/>
          <w:sz w:val="22"/>
        </w:rPr>
        <w:t xml:space="preserve">The proposed </w:t>
      </w:r>
      <w:r w:rsidR="00D11E5F">
        <w:rPr>
          <w:rFonts w:ascii="Arial" w:hAnsi="Arial" w:cs="Arial"/>
          <w:sz w:val="22"/>
        </w:rPr>
        <w:t>project</w:t>
      </w:r>
      <w:r w:rsidRPr="00ED6612">
        <w:rPr>
          <w:rFonts w:ascii="Arial" w:hAnsi="Arial" w:cs="Arial"/>
          <w:sz w:val="22"/>
        </w:rPr>
        <w:t xml:space="preserve"> consists of a single component in the form of a global credit operation to be executed by </w:t>
      </w:r>
      <w:r w:rsidRPr="00ED6612">
        <w:rPr>
          <w:rFonts w:ascii="Arial" w:hAnsi="Arial" w:cs="Arial"/>
          <w:i/>
          <w:sz w:val="22"/>
        </w:rPr>
        <w:t>Banco de Inversion y Comercio Exterior</w:t>
      </w:r>
      <w:r w:rsidRPr="00ED6612">
        <w:rPr>
          <w:rFonts w:ascii="Arial" w:hAnsi="Arial" w:cs="Arial"/>
          <w:sz w:val="22"/>
        </w:rPr>
        <w:t xml:space="preserve"> (BICE), Argentina’s national development bank. Green Climate Fund (GCF)</w:t>
      </w:r>
      <w:r w:rsidRPr="00ED6612">
        <w:rPr>
          <w:rFonts w:ascii="Arial" w:hAnsi="Arial" w:cs="Arial"/>
          <w:sz w:val="22"/>
          <w:vertAlign w:val="superscript"/>
        </w:rPr>
        <w:footnoteReference w:id="2"/>
      </w:r>
      <w:r w:rsidRPr="00ED6612">
        <w:rPr>
          <w:rFonts w:ascii="Arial" w:hAnsi="Arial" w:cs="Arial"/>
          <w:sz w:val="22"/>
        </w:rPr>
        <w:t xml:space="preserve"> concessional resources will be channeled by IDB through BICE, and blended with BICE’s own resources to provide long-term financing for RE and EE projects by SMEs.</w:t>
      </w:r>
      <w:r w:rsidRPr="00ED6612">
        <w:rPr>
          <w:rFonts w:ascii="Arial" w:hAnsi="Arial" w:cs="Arial"/>
          <w:sz w:val="22"/>
          <w:vertAlign w:val="superscript"/>
        </w:rPr>
        <w:footnoteReference w:id="3"/>
      </w:r>
      <w:r w:rsidRPr="00ED6612">
        <w:rPr>
          <w:rFonts w:ascii="Arial" w:hAnsi="Arial" w:cs="Arial"/>
          <w:sz w:val="22"/>
        </w:rPr>
        <w:t xml:space="preserve"> Financing may be delivered through first-tier financial institutions (FI) regulated by the Central Bank or directly to projects by BICE.</w:t>
      </w:r>
      <w:r w:rsidRPr="00ED6612">
        <w:rPr>
          <w:rFonts w:ascii="Arial" w:hAnsi="Arial" w:cs="Arial"/>
          <w:sz w:val="22"/>
          <w:vertAlign w:val="superscript"/>
        </w:rPr>
        <w:footnoteReference w:id="4"/>
      </w:r>
    </w:p>
    <w:p w14:paraId="456043E6" w14:textId="77777777" w:rsidR="00823B4F" w:rsidRPr="00ED6612" w:rsidRDefault="00823B4F" w:rsidP="008E3817">
      <w:pPr>
        <w:pStyle w:val="Paragraph"/>
        <w:numPr>
          <w:ilvl w:val="1"/>
          <w:numId w:val="3"/>
        </w:numPr>
        <w:tabs>
          <w:tab w:val="clear" w:pos="1746"/>
          <w:tab w:val="num" w:pos="720"/>
        </w:tabs>
        <w:ind w:left="720" w:hanging="720"/>
        <w:rPr>
          <w:rFonts w:ascii="Arial" w:hAnsi="Arial" w:cs="Arial"/>
          <w:sz w:val="22"/>
        </w:rPr>
      </w:pPr>
      <w:bookmarkStart w:id="2" w:name="_Ref425170105"/>
      <w:bookmarkStart w:id="3" w:name="_Ref502959302"/>
      <w:bookmarkStart w:id="4" w:name="_Ref430614474"/>
      <w:r w:rsidRPr="00ED6612">
        <w:rPr>
          <w:rFonts w:ascii="Arial" w:hAnsi="Arial" w:cs="Arial"/>
          <w:sz w:val="22"/>
        </w:rPr>
        <w:lastRenderedPageBreak/>
        <w:t>The eligibility criteria for beneficiary projects will be described in detail in the Operational Regulations (OR),</w:t>
      </w:r>
      <w:r w:rsidRPr="00ED6612">
        <w:rPr>
          <w:rFonts w:ascii="Arial" w:hAnsi="Arial" w:cs="Arial"/>
          <w:sz w:val="22"/>
          <w:vertAlign w:val="superscript"/>
        </w:rPr>
        <w:footnoteReference w:id="5"/>
      </w:r>
      <w:r w:rsidRPr="00ED6612">
        <w:rPr>
          <w:rFonts w:ascii="Arial" w:hAnsi="Arial" w:cs="Arial"/>
          <w:sz w:val="22"/>
        </w:rPr>
        <w:t xml:space="preserve"> including </w:t>
      </w:r>
      <w:bookmarkEnd w:id="2"/>
      <w:r w:rsidRPr="00ED6612">
        <w:rPr>
          <w:rFonts w:ascii="Arial" w:hAnsi="Arial" w:cs="Arial"/>
          <w:sz w:val="22"/>
        </w:rPr>
        <w:t>the legal, financial, environmental, social and technical requirements for each individual project to be eligible, following local legislation and IDB standards.</w:t>
      </w:r>
      <w:r w:rsidRPr="00ED6612">
        <w:rPr>
          <w:rFonts w:ascii="Arial" w:hAnsi="Arial" w:cs="Arial"/>
          <w:sz w:val="22"/>
          <w:vertAlign w:val="superscript"/>
        </w:rPr>
        <w:footnoteReference w:id="6"/>
      </w:r>
      <w:r w:rsidRPr="00ED6612">
        <w:rPr>
          <w:rFonts w:ascii="Arial" w:hAnsi="Arial" w:cs="Arial"/>
          <w:sz w:val="22"/>
        </w:rPr>
        <w:t xml:space="preserve"> All guidelines included in this OR shall be consistent with BICE’s and IDB’s operational policies and procedures.</w:t>
      </w:r>
      <w:bookmarkEnd w:id="3"/>
    </w:p>
    <w:bookmarkEnd w:id="4"/>
    <w:p w14:paraId="456043E7" w14:textId="12D736F2" w:rsidR="00823B4F" w:rsidRPr="00ED6612" w:rsidRDefault="00823B4F" w:rsidP="008E3817">
      <w:pPr>
        <w:pStyle w:val="Paragraph"/>
        <w:numPr>
          <w:ilvl w:val="1"/>
          <w:numId w:val="3"/>
        </w:numPr>
        <w:tabs>
          <w:tab w:val="clear" w:pos="1746"/>
          <w:tab w:val="num" w:pos="720"/>
        </w:tabs>
        <w:ind w:left="720" w:hanging="720"/>
        <w:rPr>
          <w:rFonts w:ascii="Arial" w:hAnsi="Arial" w:cs="Arial"/>
          <w:sz w:val="22"/>
        </w:rPr>
      </w:pPr>
      <w:r w:rsidRPr="00ED6612">
        <w:rPr>
          <w:rFonts w:ascii="Arial" w:hAnsi="Arial" w:cs="Arial"/>
          <w:sz w:val="22"/>
        </w:rPr>
        <w:t xml:space="preserve">The inclusion of local financial actors into the design of this </w:t>
      </w:r>
      <w:r w:rsidR="00D11E5F">
        <w:rPr>
          <w:rFonts w:ascii="Arial" w:hAnsi="Arial" w:cs="Arial"/>
          <w:sz w:val="22"/>
        </w:rPr>
        <w:t>project</w:t>
      </w:r>
      <w:r w:rsidRPr="00ED6612">
        <w:rPr>
          <w:rFonts w:ascii="Arial" w:hAnsi="Arial" w:cs="Arial"/>
          <w:sz w:val="22"/>
        </w:rPr>
        <w:t xml:space="preserve"> aims to capitalize from their knowledge of the local business, promote their participation and familiarize them with investments of this kind. Over time, the </w:t>
      </w:r>
      <w:r w:rsidR="00D11E5F">
        <w:rPr>
          <w:rFonts w:ascii="Arial" w:hAnsi="Arial" w:cs="Arial"/>
          <w:sz w:val="22"/>
        </w:rPr>
        <w:t>project</w:t>
      </w:r>
      <w:r w:rsidRPr="00ED6612">
        <w:rPr>
          <w:rFonts w:ascii="Arial" w:hAnsi="Arial" w:cs="Arial"/>
          <w:sz w:val="22"/>
        </w:rPr>
        <w:t xml:space="preserve"> is expected to have an important transformational impact as it is expected that FIs will be encouraged to further support RE and EE investments, once demonstration of its viability and profitability (track record) has occurred.</w:t>
      </w:r>
    </w:p>
    <w:p w14:paraId="456043E8" w14:textId="24A34722" w:rsidR="00823B4F" w:rsidRPr="00ED6612" w:rsidRDefault="00823B4F" w:rsidP="008E3817">
      <w:pPr>
        <w:pStyle w:val="Paragraph"/>
        <w:numPr>
          <w:ilvl w:val="1"/>
          <w:numId w:val="3"/>
        </w:numPr>
        <w:tabs>
          <w:tab w:val="clear" w:pos="1746"/>
          <w:tab w:val="num" w:pos="720"/>
        </w:tabs>
        <w:ind w:left="720" w:hanging="720"/>
        <w:rPr>
          <w:rFonts w:ascii="Arial" w:hAnsi="Arial" w:cs="Arial"/>
          <w:sz w:val="22"/>
        </w:rPr>
      </w:pPr>
      <w:bookmarkStart w:id="5" w:name="_Ref501560074"/>
      <w:bookmarkStart w:id="6" w:name="_Ref502960696"/>
      <w:bookmarkStart w:id="7" w:name="_Ref503448360"/>
      <w:r w:rsidRPr="00ED6612">
        <w:rPr>
          <w:rFonts w:ascii="Arial" w:hAnsi="Arial" w:cs="Arial"/>
          <w:sz w:val="22"/>
        </w:rPr>
        <w:t xml:space="preserve">A complementary technical cooperation (TC) </w:t>
      </w:r>
      <w:r w:rsidR="00D11E5F">
        <w:rPr>
          <w:rFonts w:ascii="Arial" w:hAnsi="Arial" w:cs="Arial"/>
          <w:sz w:val="22"/>
        </w:rPr>
        <w:t>project</w:t>
      </w:r>
      <w:r w:rsidRPr="00ED6612">
        <w:rPr>
          <w:rFonts w:ascii="Arial" w:hAnsi="Arial" w:cs="Arial"/>
          <w:sz w:val="22"/>
        </w:rPr>
        <w:t xml:space="preserve"> (AR-</w:t>
      </w:r>
      <w:r w:rsidR="00F15253" w:rsidRPr="00ED6612">
        <w:rPr>
          <w:rFonts w:ascii="Arial" w:hAnsi="Arial" w:cs="Arial"/>
          <w:sz w:val="22"/>
        </w:rPr>
        <w:t>T1213</w:t>
      </w:r>
      <w:r w:rsidRPr="00ED6612">
        <w:rPr>
          <w:rFonts w:ascii="Arial" w:hAnsi="Arial" w:cs="Arial"/>
          <w:sz w:val="22"/>
        </w:rPr>
        <w:t xml:space="preserve">, to be approved separately) includes activities to </w:t>
      </w:r>
      <w:bookmarkEnd w:id="5"/>
      <w:r w:rsidRPr="00ED6612">
        <w:rPr>
          <w:rFonts w:ascii="Arial" w:hAnsi="Arial" w:cs="Arial"/>
          <w:sz w:val="22"/>
        </w:rPr>
        <w:t xml:space="preserve">address other issues related to the lack of knowledge and market structure aspects obstructing the development of RE and EE, including (i) </w:t>
      </w:r>
      <w:bookmarkStart w:id="8" w:name="_Hlk501543858"/>
      <w:r w:rsidRPr="00ED6612">
        <w:rPr>
          <w:rFonts w:ascii="Arial" w:hAnsi="Arial" w:cs="Arial"/>
          <w:sz w:val="22"/>
        </w:rPr>
        <w:t>insufficient information, risk assessment skills, and track record for these projects within the investor community; (ii) inexistence of network effects (investors, investment opportunities, established range of energy service and technology providers, ESTPs) found in established markets; and (iii) lack of familiarity with and skills related to project-finance structures</w:t>
      </w:r>
      <w:bookmarkEnd w:id="8"/>
      <w:r w:rsidRPr="00ED6612">
        <w:rPr>
          <w:rFonts w:ascii="Arial" w:hAnsi="Arial" w:cs="Arial"/>
          <w:sz w:val="22"/>
        </w:rPr>
        <w:t>. Activities under this TC will support the structuring of various mechanisms that will complement the provision of loans and improve capacities of participating actors.</w:t>
      </w:r>
      <w:r w:rsidRPr="00ED6612">
        <w:rPr>
          <w:rFonts w:ascii="Arial" w:hAnsi="Arial" w:cs="Arial"/>
          <w:sz w:val="22"/>
          <w:vertAlign w:val="superscript"/>
        </w:rPr>
        <w:footnoteReference w:id="7"/>
      </w:r>
      <w:r w:rsidRPr="00ED6612">
        <w:rPr>
          <w:rFonts w:ascii="Arial" w:hAnsi="Arial" w:cs="Arial"/>
          <w:sz w:val="22"/>
        </w:rPr>
        <w:t xml:space="preserve"> The implementation of these activities is considered essential to reduce adversity to RE and EE and have positive spillover effects to other clean energy projects and other local FIs</w:t>
      </w:r>
      <w:bookmarkEnd w:id="6"/>
      <w:r w:rsidRPr="00ED6612">
        <w:rPr>
          <w:rFonts w:ascii="Arial" w:hAnsi="Arial" w:cs="Arial"/>
          <w:sz w:val="22"/>
        </w:rPr>
        <w:t>.</w:t>
      </w:r>
      <w:bookmarkEnd w:id="7"/>
    </w:p>
    <w:p w14:paraId="456043E9" w14:textId="12DC46C6" w:rsidR="000B0692" w:rsidRPr="00ED6612" w:rsidRDefault="00823B4F" w:rsidP="008E3817">
      <w:pPr>
        <w:pStyle w:val="Paragraph"/>
        <w:numPr>
          <w:ilvl w:val="1"/>
          <w:numId w:val="3"/>
        </w:numPr>
        <w:tabs>
          <w:tab w:val="clear" w:pos="1746"/>
          <w:tab w:val="num" w:pos="720"/>
        </w:tabs>
        <w:ind w:left="720" w:hanging="720"/>
        <w:rPr>
          <w:rFonts w:ascii="Arial" w:hAnsi="Arial" w:cs="Arial"/>
          <w:sz w:val="22"/>
        </w:rPr>
      </w:pPr>
      <w:bookmarkStart w:id="9" w:name="_Ref503452058"/>
      <w:r w:rsidRPr="00ED6612">
        <w:rPr>
          <w:rFonts w:ascii="Arial" w:hAnsi="Arial" w:cs="Arial"/>
          <w:sz w:val="22"/>
        </w:rPr>
        <w:t xml:space="preserve">The end borrowers and intended beneficiaries of the </w:t>
      </w:r>
      <w:r w:rsidR="00D11E5F">
        <w:rPr>
          <w:rFonts w:ascii="Arial" w:hAnsi="Arial" w:cs="Arial"/>
          <w:sz w:val="22"/>
        </w:rPr>
        <w:t>project</w:t>
      </w:r>
      <w:r w:rsidRPr="00ED6612">
        <w:rPr>
          <w:rFonts w:ascii="Arial" w:hAnsi="Arial" w:cs="Arial"/>
          <w:sz w:val="22"/>
        </w:rPr>
        <w:t xml:space="preserve"> will be SMEs investing on RE (primarily biogas and biomass) and EE projects.</w:t>
      </w:r>
      <w:r w:rsidRPr="00ED6612">
        <w:rPr>
          <w:rFonts w:ascii="Arial" w:hAnsi="Arial" w:cs="Arial"/>
          <w:bCs/>
          <w:sz w:val="22"/>
          <w:vertAlign w:val="superscript"/>
        </w:rPr>
        <w:footnoteReference w:id="8"/>
      </w:r>
      <w:r w:rsidRPr="00ED6612">
        <w:rPr>
          <w:rFonts w:ascii="Arial" w:hAnsi="Arial" w:cs="Arial"/>
          <w:sz w:val="22"/>
        </w:rPr>
        <w:t xml:space="preserve"> Improved efficiency in the use and production of energy will also enable energy consumers to benefit from greater and better availability of cleaner energy at competitive prices, and may allow the government to downscale existing subsidies for fossil-fuel based generation. Finally, communities as a whole should benefit from positive externalities associated to environmental and economic impacts of the </w:t>
      </w:r>
      <w:r w:rsidR="00D11E5F">
        <w:rPr>
          <w:rFonts w:ascii="Arial" w:hAnsi="Arial" w:cs="Arial"/>
          <w:sz w:val="22"/>
        </w:rPr>
        <w:t>project</w:t>
      </w:r>
      <w:r w:rsidR="00FC49C1" w:rsidRPr="00ED6612">
        <w:rPr>
          <w:rFonts w:ascii="Arial" w:hAnsi="Arial" w:cs="Arial"/>
          <w:sz w:val="22"/>
        </w:rPr>
        <w:t>.</w:t>
      </w:r>
      <w:bookmarkEnd w:id="9"/>
    </w:p>
    <w:p w14:paraId="456043EA" w14:textId="524C43FF" w:rsidR="001A09CA" w:rsidRPr="00ED6612" w:rsidRDefault="00281172" w:rsidP="008E3817">
      <w:pPr>
        <w:pStyle w:val="Paragraph"/>
        <w:numPr>
          <w:ilvl w:val="1"/>
          <w:numId w:val="3"/>
        </w:numPr>
        <w:tabs>
          <w:tab w:val="clear" w:pos="1746"/>
          <w:tab w:val="num" w:pos="720"/>
        </w:tabs>
        <w:ind w:left="720" w:hanging="720"/>
        <w:rPr>
          <w:rFonts w:ascii="Arial" w:hAnsi="Arial" w:cs="Arial"/>
          <w:sz w:val="22"/>
        </w:rPr>
      </w:pPr>
      <w:r w:rsidRPr="00ED6612">
        <w:rPr>
          <w:rFonts w:ascii="Arial" w:hAnsi="Arial" w:cs="Arial"/>
          <w:sz w:val="22"/>
        </w:rPr>
        <w:t xml:space="preserve">In order to present evidence of the economic viability of the </w:t>
      </w:r>
      <w:r w:rsidR="00D11E5F">
        <w:rPr>
          <w:rFonts w:ascii="Arial" w:hAnsi="Arial" w:cs="Arial"/>
          <w:sz w:val="22"/>
        </w:rPr>
        <w:t>project</w:t>
      </w:r>
      <w:r w:rsidRPr="00ED6612">
        <w:rPr>
          <w:rFonts w:ascii="Arial" w:hAnsi="Arial" w:cs="Arial"/>
          <w:sz w:val="22"/>
        </w:rPr>
        <w:t xml:space="preserve">, the proposal is supported by a </w:t>
      </w:r>
      <w:r w:rsidR="008954E3" w:rsidRPr="00ED6612">
        <w:rPr>
          <w:rFonts w:ascii="Arial" w:hAnsi="Arial" w:cs="Arial"/>
          <w:sz w:val="22"/>
        </w:rPr>
        <w:t>C</w:t>
      </w:r>
      <w:r w:rsidRPr="00ED6612">
        <w:rPr>
          <w:rFonts w:ascii="Arial" w:hAnsi="Arial" w:cs="Arial"/>
          <w:sz w:val="22"/>
        </w:rPr>
        <w:t xml:space="preserve">ost </w:t>
      </w:r>
      <w:r w:rsidR="008954E3" w:rsidRPr="00ED6612">
        <w:rPr>
          <w:rFonts w:ascii="Arial" w:hAnsi="Arial" w:cs="Arial"/>
          <w:sz w:val="22"/>
        </w:rPr>
        <w:t>B</w:t>
      </w:r>
      <w:r w:rsidRPr="00ED6612">
        <w:rPr>
          <w:rFonts w:ascii="Arial" w:hAnsi="Arial" w:cs="Arial"/>
          <w:sz w:val="22"/>
        </w:rPr>
        <w:t xml:space="preserve">enefit </w:t>
      </w:r>
      <w:r w:rsidR="008954E3" w:rsidRPr="00ED6612">
        <w:rPr>
          <w:rFonts w:ascii="Arial" w:hAnsi="Arial" w:cs="Arial"/>
          <w:sz w:val="22"/>
        </w:rPr>
        <w:t>A</w:t>
      </w:r>
      <w:r w:rsidRPr="00ED6612">
        <w:rPr>
          <w:rFonts w:ascii="Arial" w:hAnsi="Arial" w:cs="Arial"/>
          <w:sz w:val="22"/>
        </w:rPr>
        <w:t xml:space="preserve">nalysis </w:t>
      </w:r>
      <w:r w:rsidR="00D5511A" w:rsidRPr="00ED6612">
        <w:rPr>
          <w:rFonts w:ascii="Arial" w:hAnsi="Arial" w:cs="Arial"/>
          <w:sz w:val="22"/>
        </w:rPr>
        <w:t xml:space="preserve">(CBA) </w:t>
      </w:r>
      <w:r w:rsidRPr="00ED6612">
        <w:rPr>
          <w:rFonts w:ascii="Arial" w:hAnsi="Arial" w:cs="Arial"/>
          <w:sz w:val="22"/>
        </w:rPr>
        <w:t xml:space="preserve">which quantifies ex ante </w:t>
      </w:r>
      <w:r w:rsidR="003120F9" w:rsidRPr="00ED6612">
        <w:rPr>
          <w:rFonts w:ascii="Arial" w:hAnsi="Arial" w:cs="Arial"/>
          <w:sz w:val="22"/>
        </w:rPr>
        <w:t>the</w:t>
      </w:r>
      <w:r w:rsidRPr="00ED6612">
        <w:rPr>
          <w:rFonts w:ascii="Arial" w:hAnsi="Arial" w:cs="Arial"/>
          <w:sz w:val="22"/>
        </w:rPr>
        <w:t xml:space="preserve"> value for the net </w:t>
      </w:r>
      <w:r w:rsidR="00E97872" w:rsidRPr="00ED6612">
        <w:rPr>
          <w:rFonts w:ascii="Arial" w:hAnsi="Arial" w:cs="Arial"/>
          <w:sz w:val="22"/>
        </w:rPr>
        <w:t xml:space="preserve">economic </w:t>
      </w:r>
      <w:r w:rsidRPr="00ED6612">
        <w:rPr>
          <w:rFonts w:ascii="Arial" w:hAnsi="Arial" w:cs="Arial"/>
          <w:sz w:val="22"/>
        </w:rPr>
        <w:t xml:space="preserve">benefits of the </w:t>
      </w:r>
      <w:r w:rsidR="00D11E5F">
        <w:rPr>
          <w:rFonts w:ascii="Arial" w:hAnsi="Arial" w:cs="Arial"/>
          <w:sz w:val="22"/>
        </w:rPr>
        <w:t>project</w:t>
      </w:r>
      <w:r w:rsidRPr="00ED6612">
        <w:rPr>
          <w:rFonts w:ascii="Arial" w:hAnsi="Arial" w:cs="Arial"/>
          <w:sz w:val="22"/>
        </w:rPr>
        <w:t>. The following sections present the methodology, assumptions, results and conclusions of this analysis. Benefits are measured on a</w:t>
      </w:r>
      <w:r w:rsidR="003120F9" w:rsidRPr="00ED6612">
        <w:rPr>
          <w:rFonts w:ascii="Arial" w:hAnsi="Arial" w:cs="Arial"/>
          <w:sz w:val="22"/>
        </w:rPr>
        <w:t xml:space="preserve"> simulated </w:t>
      </w:r>
      <w:r w:rsidRPr="00ED6612">
        <w:rPr>
          <w:rFonts w:ascii="Arial" w:hAnsi="Arial" w:cs="Arial"/>
          <w:sz w:val="22"/>
        </w:rPr>
        <w:t xml:space="preserve">portfolio of projects incorporated to the system via </w:t>
      </w:r>
      <w:r w:rsidRPr="00ED6612">
        <w:rPr>
          <w:rFonts w:ascii="Arial" w:hAnsi="Arial" w:cs="Arial"/>
          <w:sz w:val="22"/>
        </w:rPr>
        <w:lastRenderedPageBreak/>
        <w:t xml:space="preserve">support from </w:t>
      </w:r>
      <w:r w:rsidR="003120F9" w:rsidRPr="00ED6612">
        <w:rPr>
          <w:rFonts w:ascii="Arial" w:hAnsi="Arial" w:cs="Arial"/>
          <w:sz w:val="22"/>
        </w:rPr>
        <w:t>BICE</w:t>
      </w:r>
      <w:r w:rsidR="00823B4F" w:rsidRPr="00ED6612">
        <w:rPr>
          <w:rFonts w:ascii="Arial" w:hAnsi="Arial" w:cs="Arial"/>
          <w:sz w:val="22"/>
        </w:rPr>
        <w:t>.</w:t>
      </w:r>
      <w:r w:rsidR="001A09CA" w:rsidRPr="00ED6612">
        <w:rPr>
          <w:rStyle w:val="FootnoteReference"/>
          <w:rFonts w:ascii="Arial" w:hAnsi="Arial" w:cs="Arial"/>
          <w:sz w:val="22"/>
        </w:rPr>
        <w:footnoteReference w:id="9"/>
      </w:r>
      <w:r w:rsidRPr="00ED6612">
        <w:rPr>
          <w:rFonts w:ascii="Arial" w:hAnsi="Arial" w:cs="Arial"/>
          <w:sz w:val="22"/>
        </w:rPr>
        <w:t xml:space="preserve"> Environmental externalities are also accounted for based on a valuation of GHG emission</w:t>
      </w:r>
      <w:r w:rsidR="005657A6" w:rsidRPr="00ED6612">
        <w:rPr>
          <w:rFonts w:ascii="Arial" w:hAnsi="Arial" w:cs="Arial"/>
          <w:sz w:val="22"/>
        </w:rPr>
        <w:t xml:space="preserve"> reductions</w:t>
      </w:r>
      <w:r w:rsidRPr="00ED6612">
        <w:rPr>
          <w:rFonts w:ascii="Arial" w:hAnsi="Arial" w:cs="Arial"/>
          <w:sz w:val="22"/>
        </w:rPr>
        <w:t>.</w:t>
      </w:r>
    </w:p>
    <w:p w14:paraId="456043EB" w14:textId="77777777" w:rsidR="00F64D3A" w:rsidRPr="00ED6612" w:rsidRDefault="004F5DCB" w:rsidP="008E3817">
      <w:pPr>
        <w:pStyle w:val="Chapter"/>
        <w:numPr>
          <w:ilvl w:val="0"/>
          <w:numId w:val="4"/>
        </w:numPr>
        <w:tabs>
          <w:tab w:val="clear" w:pos="1440"/>
          <w:tab w:val="clear" w:pos="1800"/>
          <w:tab w:val="left" w:pos="360"/>
        </w:tabs>
        <w:spacing w:before="360"/>
        <w:ind w:left="0" w:firstLine="0"/>
        <w:rPr>
          <w:rFonts w:ascii="Arial" w:hAnsi="Arial" w:cs="Arial"/>
        </w:rPr>
      </w:pPr>
      <w:bookmarkStart w:id="11" w:name="_Toc394394915"/>
      <w:bookmarkStart w:id="12" w:name="_Toc503527892"/>
      <w:bookmarkStart w:id="13" w:name="_Toc298764670"/>
      <w:bookmarkEnd w:id="11"/>
      <w:r w:rsidRPr="00ED6612">
        <w:rPr>
          <w:rFonts w:ascii="Arial" w:hAnsi="Arial" w:cs="Arial"/>
        </w:rPr>
        <w:t>Methodology and Assumptions</w:t>
      </w:r>
      <w:bookmarkEnd w:id="12"/>
    </w:p>
    <w:p w14:paraId="456043EC" w14:textId="77777777" w:rsidR="0041755E" w:rsidRPr="00ED6612" w:rsidRDefault="00913286" w:rsidP="00913286">
      <w:pPr>
        <w:pStyle w:val="FirstHeading"/>
        <w:rPr>
          <w:rFonts w:ascii="Arial" w:hAnsi="Arial" w:cs="Arial"/>
          <w:sz w:val="22"/>
        </w:rPr>
      </w:pPr>
      <w:r w:rsidRPr="00ED6612">
        <w:rPr>
          <w:rFonts w:ascii="Arial" w:hAnsi="Arial" w:cs="Arial"/>
        </w:rPr>
        <w:fldChar w:fldCharType="begin"/>
      </w:r>
      <w:r w:rsidRPr="00ED6612">
        <w:rPr>
          <w:rFonts w:ascii="Arial" w:hAnsi="Arial" w:cs="Arial"/>
        </w:rPr>
        <w:instrText xml:space="preserve"> SEQ "</w:instrText>
      </w:r>
      <w:r w:rsidRPr="00ED6612">
        <w:rPr>
          <w:rFonts w:ascii="Arial" w:hAnsi="Arial" w:cs="Arial"/>
        </w:rPr>
        <w:fldChar w:fldCharType="begin"/>
      </w:r>
      <w:r w:rsidRPr="00ED6612">
        <w:rPr>
          <w:rFonts w:ascii="Arial" w:hAnsi="Arial" w:cs="Arial"/>
        </w:rPr>
        <w:instrText xml:space="preserve"> SECTION  \* MERGEFORMAT </w:instrText>
      </w:r>
      <w:r w:rsidRPr="00ED6612">
        <w:rPr>
          <w:rFonts w:ascii="Arial" w:hAnsi="Arial" w:cs="Arial"/>
        </w:rPr>
        <w:fldChar w:fldCharType="separate"/>
      </w:r>
      <w:r w:rsidRPr="00ED6612">
        <w:rPr>
          <w:rFonts w:ascii="Arial" w:hAnsi="Arial" w:cs="Arial"/>
        </w:rPr>
        <w:instrText>3</w:instrText>
      </w:r>
      <w:r w:rsidRPr="00ED6612">
        <w:rPr>
          <w:rFonts w:ascii="Arial" w:hAnsi="Arial" w:cs="Arial"/>
        </w:rPr>
        <w:fldChar w:fldCharType="end"/>
      </w:r>
      <w:r w:rsidRPr="00ED6612">
        <w:rPr>
          <w:rFonts w:ascii="Arial" w:hAnsi="Arial" w:cs="Arial"/>
        </w:rPr>
        <w:instrText xml:space="preserve">#"\* ALPHABETIC \* MERGEFORMAT </w:instrText>
      </w:r>
      <w:r w:rsidRPr="00ED6612">
        <w:rPr>
          <w:rFonts w:ascii="Arial" w:hAnsi="Arial" w:cs="Arial"/>
        </w:rPr>
        <w:fldChar w:fldCharType="separate"/>
      </w:r>
      <w:bookmarkStart w:id="14" w:name="_Toc503527893"/>
      <w:r w:rsidRPr="00ED6612">
        <w:rPr>
          <w:rFonts w:ascii="Arial" w:hAnsi="Arial" w:cs="Arial"/>
        </w:rPr>
        <w:t>A</w:t>
      </w:r>
      <w:r w:rsidRPr="00ED6612">
        <w:rPr>
          <w:rFonts w:ascii="Arial" w:hAnsi="Arial" w:cs="Arial"/>
        </w:rPr>
        <w:fldChar w:fldCharType="end"/>
      </w:r>
      <w:r w:rsidR="004F5DCB" w:rsidRPr="00ED6612">
        <w:rPr>
          <w:rFonts w:ascii="Arial" w:hAnsi="Arial" w:cs="Arial"/>
        </w:rPr>
        <w:t>.</w:t>
      </w:r>
      <w:r w:rsidR="004F5DCB" w:rsidRPr="00ED6612">
        <w:rPr>
          <w:rFonts w:ascii="Arial" w:hAnsi="Arial" w:cs="Arial"/>
        </w:rPr>
        <w:tab/>
      </w:r>
      <w:r w:rsidR="004F5DCB" w:rsidRPr="00ED6612">
        <w:rPr>
          <w:rFonts w:ascii="Arial" w:hAnsi="Arial" w:cs="Arial"/>
          <w:sz w:val="22"/>
        </w:rPr>
        <w:t>Proposed m</w:t>
      </w:r>
      <w:r w:rsidRPr="00ED6612">
        <w:rPr>
          <w:rFonts w:ascii="Arial" w:hAnsi="Arial" w:cs="Arial"/>
          <w:sz w:val="22"/>
        </w:rPr>
        <w:t>et</w:t>
      </w:r>
      <w:r w:rsidR="00412E37" w:rsidRPr="00ED6612">
        <w:rPr>
          <w:rFonts w:ascii="Arial" w:hAnsi="Arial" w:cs="Arial"/>
          <w:sz w:val="22"/>
        </w:rPr>
        <w:t>h</w:t>
      </w:r>
      <w:r w:rsidRPr="00ED6612">
        <w:rPr>
          <w:rFonts w:ascii="Arial" w:hAnsi="Arial" w:cs="Arial"/>
          <w:sz w:val="22"/>
        </w:rPr>
        <w:t>odolog</w:t>
      </w:r>
      <w:r w:rsidR="00412E37" w:rsidRPr="00ED6612">
        <w:rPr>
          <w:rFonts w:ascii="Arial" w:hAnsi="Arial" w:cs="Arial"/>
          <w:sz w:val="22"/>
        </w:rPr>
        <w:t>y</w:t>
      </w:r>
      <w:bookmarkEnd w:id="14"/>
    </w:p>
    <w:p w14:paraId="456043ED" w14:textId="0F3ADED1" w:rsidR="00823B4F" w:rsidRPr="00ED6612" w:rsidRDefault="00823B4F" w:rsidP="008E3817">
      <w:pPr>
        <w:pStyle w:val="Paragraph"/>
        <w:numPr>
          <w:ilvl w:val="1"/>
          <w:numId w:val="4"/>
        </w:numPr>
        <w:tabs>
          <w:tab w:val="num" w:pos="720"/>
        </w:tabs>
        <w:ind w:left="720" w:hanging="720"/>
        <w:rPr>
          <w:rFonts w:ascii="Arial" w:hAnsi="Arial" w:cs="Arial"/>
          <w:sz w:val="22"/>
        </w:rPr>
      </w:pPr>
      <w:r w:rsidRPr="00ED6612">
        <w:rPr>
          <w:rFonts w:ascii="Arial" w:hAnsi="Arial" w:cs="Arial"/>
          <w:sz w:val="22"/>
        </w:rPr>
        <w:t xml:space="preserve">Following standard practice, the economic evaluation of the </w:t>
      </w:r>
      <w:r w:rsidR="00D11E5F">
        <w:rPr>
          <w:rFonts w:ascii="Arial" w:hAnsi="Arial" w:cs="Arial"/>
          <w:sz w:val="22"/>
        </w:rPr>
        <w:t>project</w:t>
      </w:r>
      <w:r w:rsidRPr="00ED6612">
        <w:rPr>
          <w:rFonts w:ascii="Arial" w:hAnsi="Arial" w:cs="Arial"/>
          <w:sz w:val="22"/>
        </w:rPr>
        <w:t xml:space="preserve"> is based on a set of assumptions that allow for the characterization of a simulated portfolio of projects financed by the </w:t>
      </w:r>
      <w:r w:rsidR="00D11E5F">
        <w:rPr>
          <w:rFonts w:ascii="Arial" w:hAnsi="Arial" w:cs="Arial"/>
          <w:sz w:val="22"/>
        </w:rPr>
        <w:t>project</w:t>
      </w:r>
      <w:r w:rsidRPr="00ED6612">
        <w:rPr>
          <w:rFonts w:ascii="Arial" w:hAnsi="Arial" w:cs="Arial"/>
          <w:sz w:val="22"/>
        </w:rPr>
        <w:t xml:space="preserve">. This </w:t>
      </w:r>
      <w:r w:rsidR="009E6A77" w:rsidRPr="00ED6612">
        <w:rPr>
          <w:rFonts w:ascii="Arial" w:hAnsi="Arial" w:cs="Arial"/>
          <w:sz w:val="22"/>
        </w:rPr>
        <w:t>simulation</w:t>
      </w:r>
      <w:r w:rsidRPr="00ED6612">
        <w:rPr>
          <w:rFonts w:ascii="Arial" w:hAnsi="Arial" w:cs="Arial"/>
          <w:sz w:val="22"/>
        </w:rPr>
        <w:t xml:space="preserve"> is necessary, as the </w:t>
      </w:r>
      <w:r w:rsidR="009E6A77" w:rsidRPr="00ED6612">
        <w:rPr>
          <w:rFonts w:ascii="Arial" w:hAnsi="Arial" w:cs="Arial"/>
          <w:sz w:val="22"/>
        </w:rPr>
        <w:t xml:space="preserve">actual </w:t>
      </w:r>
      <w:r w:rsidRPr="00ED6612">
        <w:rPr>
          <w:rFonts w:ascii="Arial" w:hAnsi="Arial" w:cs="Arial"/>
          <w:sz w:val="22"/>
        </w:rPr>
        <w:t>list</w:t>
      </w:r>
      <w:r w:rsidR="009E6A77" w:rsidRPr="00ED6612">
        <w:rPr>
          <w:rFonts w:ascii="Arial" w:hAnsi="Arial" w:cs="Arial"/>
          <w:sz w:val="22"/>
        </w:rPr>
        <w:t xml:space="preserve"> of</w:t>
      </w:r>
      <w:r w:rsidRPr="00ED6612">
        <w:rPr>
          <w:rFonts w:ascii="Arial" w:hAnsi="Arial" w:cs="Arial"/>
          <w:sz w:val="22"/>
        </w:rPr>
        <w:t xml:space="preserve"> projects to be financed </w:t>
      </w:r>
      <w:r w:rsidR="009E6A77" w:rsidRPr="00ED6612">
        <w:rPr>
          <w:rFonts w:ascii="Arial" w:hAnsi="Arial" w:cs="Arial"/>
          <w:sz w:val="22"/>
        </w:rPr>
        <w:t>is</w:t>
      </w:r>
      <w:r w:rsidRPr="00ED6612">
        <w:rPr>
          <w:rFonts w:ascii="Arial" w:hAnsi="Arial" w:cs="Arial"/>
          <w:sz w:val="22"/>
        </w:rPr>
        <w:t xml:space="preserve"> not </w:t>
      </w:r>
      <w:r w:rsidR="00CC2F2E" w:rsidRPr="00ED6612">
        <w:rPr>
          <w:rFonts w:ascii="Arial" w:hAnsi="Arial" w:cs="Arial"/>
          <w:sz w:val="22"/>
        </w:rPr>
        <w:t>known</w:t>
      </w:r>
      <w:r w:rsidRPr="00ED6612">
        <w:rPr>
          <w:rFonts w:ascii="Arial" w:hAnsi="Arial" w:cs="Arial"/>
          <w:sz w:val="22"/>
        </w:rPr>
        <w:t xml:space="preserve"> ex ante but will </w:t>
      </w:r>
      <w:r w:rsidR="009E6A77" w:rsidRPr="00ED6612">
        <w:rPr>
          <w:rFonts w:ascii="Arial" w:hAnsi="Arial" w:cs="Arial"/>
          <w:sz w:val="22"/>
        </w:rPr>
        <w:t xml:space="preserve">depend on the </w:t>
      </w:r>
      <w:r w:rsidRPr="00ED6612">
        <w:rPr>
          <w:rFonts w:ascii="Arial" w:hAnsi="Arial" w:cs="Arial"/>
          <w:sz w:val="22"/>
        </w:rPr>
        <w:t xml:space="preserve">demand and </w:t>
      </w:r>
      <w:r w:rsidR="00DC72A9" w:rsidRPr="00ED6612">
        <w:rPr>
          <w:rFonts w:ascii="Arial" w:hAnsi="Arial" w:cs="Arial"/>
          <w:sz w:val="22"/>
        </w:rPr>
        <w:t xml:space="preserve">will be </w:t>
      </w:r>
      <w:r w:rsidRPr="00ED6612">
        <w:rPr>
          <w:rFonts w:ascii="Arial" w:hAnsi="Arial" w:cs="Arial"/>
          <w:sz w:val="22"/>
        </w:rPr>
        <w:t xml:space="preserve">subject to the analysis and approval by the </w:t>
      </w:r>
      <w:r w:rsidR="009E6A77" w:rsidRPr="00ED6612">
        <w:rPr>
          <w:rFonts w:ascii="Arial" w:hAnsi="Arial" w:cs="Arial"/>
          <w:sz w:val="22"/>
        </w:rPr>
        <w:t xml:space="preserve">corresponding </w:t>
      </w:r>
      <w:r w:rsidRPr="00ED6612">
        <w:rPr>
          <w:rFonts w:ascii="Arial" w:hAnsi="Arial" w:cs="Arial"/>
          <w:sz w:val="22"/>
        </w:rPr>
        <w:t>lending institution.</w:t>
      </w:r>
      <w:r w:rsidR="00CC2F2E" w:rsidRPr="00ED6612">
        <w:rPr>
          <w:rFonts w:ascii="Arial" w:hAnsi="Arial" w:cs="Arial"/>
          <w:sz w:val="22"/>
          <w:vertAlign w:val="superscript"/>
        </w:rPr>
        <w:footnoteReference w:id="10"/>
      </w:r>
      <w:r w:rsidRPr="00ED6612">
        <w:rPr>
          <w:rFonts w:ascii="Arial" w:hAnsi="Arial" w:cs="Arial"/>
          <w:sz w:val="22"/>
        </w:rPr>
        <w:t xml:space="preserve"> In this sense, th</w:t>
      </w:r>
      <w:r w:rsidR="00DC72A9" w:rsidRPr="00ED6612">
        <w:rPr>
          <w:rFonts w:ascii="Arial" w:hAnsi="Arial" w:cs="Arial"/>
          <w:sz w:val="22"/>
        </w:rPr>
        <w:t>is</w:t>
      </w:r>
      <w:r w:rsidRPr="00ED6612">
        <w:rPr>
          <w:rFonts w:ascii="Arial" w:hAnsi="Arial" w:cs="Arial"/>
          <w:sz w:val="22"/>
        </w:rPr>
        <w:t xml:space="preserve"> model serves as a practical tool to quantify ex ante the economic value of the aggregated incremental benefits of the </w:t>
      </w:r>
      <w:r w:rsidR="00D11E5F">
        <w:rPr>
          <w:rFonts w:ascii="Arial" w:hAnsi="Arial" w:cs="Arial"/>
          <w:sz w:val="22"/>
        </w:rPr>
        <w:t>project</w:t>
      </w:r>
      <w:r w:rsidRPr="00ED6612">
        <w:rPr>
          <w:rFonts w:ascii="Arial" w:hAnsi="Arial" w:cs="Arial"/>
          <w:sz w:val="22"/>
        </w:rPr>
        <w:t>.</w:t>
      </w:r>
      <w:r w:rsidR="00DC72A9" w:rsidRPr="00ED6612">
        <w:rPr>
          <w:rFonts w:ascii="Arial" w:hAnsi="Arial" w:cs="Arial"/>
          <w:sz w:val="22"/>
          <w:vertAlign w:val="superscript"/>
        </w:rPr>
        <w:footnoteReference w:id="11"/>
      </w:r>
    </w:p>
    <w:p w14:paraId="456043EE" w14:textId="0DFBB6BC" w:rsidR="00C25972" w:rsidRPr="00ED6612" w:rsidRDefault="00C25972" w:rsidP="008E3817">
      <w:pPr>
        <w:pStyle w:val="Paragraph"/>
        <w:numPr>
          <w:ilvl w:val="1"/>
          <w:numId w:val="4"/>
        </w:numPr>
        <w:tabs>
          <w:tab w:val="num" w:pos="720"/>
        </w:tabs>
        <w:ind w:left="720" w:hanging="720"/>
        <w:rPr>
          <w:rFonts w:ascii="Arial" w:hAnsi="Arial" w:cs="Arial"/>
          <w:sz w:val="22"/>
        </w:rPr>
      </w:pPr>
      <w:bookmarkStart w:id="15" w:name="_Ref500929177"/>
      <w:r w:rsidRPr="00ED6612">
        <w:rPr>
          <w:rFonts w:ascii="Arial" w:hAnsi="Arial" w:cs="Arial"/>
          <w:b/>
          <w:sz w:val="22"/>
        </w:rPr>
        <w:t xml:space="preserve">Assumed portfolio: </w:t>
      </w:r>
      <w:r w:rsidRPr="00ED6612">
        <w:rPr>
          <w:rFonts w:ascii="Arial" w:hAnsi="Arial" w:cs="Arial"/>
          <w:sz w:val="22"/>
        </w:rPr>
        <w:t xml:space="preserve">An indicative portfolio of projects to be deployed with support from the </w:t>
      </w:r>
      <w:r w:rsidR="00D11E5F">
        <w:rPr>
          <w:rFonts w:ascii="Arial" w:hAnsi="Arial" w:cs="Arial"/>
          <w:sz w:val="22"/>
        </w:rPr>
        <w:t>project</w:t>
      </w:r>
      <w:r w:rsidRPr="00ED6612">
        <w:rPr>
          <w:rFonts w:ascii="Arial" w:hAnsi="Arial" w:cs="Arial"/>
          <w:sz w:val="22"/>
        </w:rPr>
        <w:t xml:space="preserve"> is developed based on </w:t>
      </w:r>
      <w:r w:rsidR="002447E1" w:rsidRPr="00ED6612">
        <w:rPr>
          <w:rFonts w:ascii="Arial" w:hAnsi="Arial" w:cs="Arial"/>
          <w:sz w:val="22"/>
        </w:rPr>
        <w:t xml:space="preserve">information provided by BICE (tentative pipeline), the current status of RenovAr awarded projects (for RE projects) and </w:t>
      </w:r>
      <w:r w:rsidRPr="00ED6612">
        <w:rPr>
          <w:rFonts w:ascii="Arial" w:hAnsi="Arial" w:cs="Arial"/>
          <w:sz w:val="22"/>
        </w:rPr>
        <w:t xml:space="preserve">the </w:t>
      </w:r>
      <w:r w:rsidR="00E95DB4" w:rsidRPr="00ED6612">
        <w:rPr>
          <w:rFonts w:ascii="Arial" w:hAnsi="Arial" w:cs="Arial"/>
          <w:sz w:val="22"/>
        </w:rPr>
        <w:t>market</w:t>
      </w:r>
      <w:r w:rsidRPr="00ED6612">
        <w:rPr>
          <w:rFonts w:ascii="Arial" w:hAnsi="Arial" w:cs="Arial"/>
          <w:sz w:val="22"/>
        </w:rPr>
        <w:t xml:space="preserve"> study</w:t>
      </w:r>
      <w:r w:rsidRPr="00ED6612">
        <w:rPr>
          <w:rFonts w:ascii="Arial" w:hAnsi="Arial" w:cs="Arial"/>
          <w:sz w:val="22"/>
          <w:vertAlign w:val="superscript"/>
        </w:rPr>
        <w:footnoteReference w:id="12"/>
      </w:r>
      <w:r w:rsidRPr="00ED6612">
        <w:rPr>
          <w:rFonts w:ascii="Arial" w:hAnsi="Arial" w:cs="Arial"/>
          <w:sz w:val="22"/>
        </w:rPr>
        <w:t xml:space="preserve"> carried out to support the design of the </w:t>
      </w:r>
      <w:r w:rsidR="00D11E5F">
        <w:rPr>
          <w:rFonts w:ascii="Arial" w:hAnsi="Arial" w:cs="Arial"/>
          <w:sz w:val="22"/>
        </w:rPr>
        <w:t>project</w:t>
      </w:r>
      <w:r w:rsidRPr="00ED6612">
        <w:rPr>
          <w:rFonts w:ascii="Arial" w:hAnsi="Arial" w:cs="Arial"/>
          <w:sz w:val="22"/>
        </w:rPr>
        <w:t xml:space="preserve"> (see ¶</w:t>
      </w:r>
      <w:r w:rsidRPr="00ED6612">
        <w:rPr>
          <w:rFonts w:ascii="Arial" w:hAnsi="Arial" w:cs="Arial"/>
          <w:sz w:val="22"/>
        </w:rPr>
        <w:fldChar w:fldCharType="begin"/>
      </w:r>
      <w:r w:rsidRPr="00ED6612">
        <w:rPr>
          <w:rFonts w:ascii="Arial" w:hAnsi="Arial" w:cs="Arial"/>
          <w:sz w:val="22"/>
        </w:rPr>
        <w:instrText xml:space="preserve"> REF _Ref503452058 \r \h </w:instrText>
      </w:r>
      <w:r w:rsidRPr="00ED6612">
        <w:rPr>
          <w:rFonts w:ascii="Arial" w:hAnsi="Arial" w:cs="Arial"/>
          <w:sz w:val="22"/>
        </w:rPr>
      </w:r>
      <w:r w:rsidRPr="00ED6612">
        <w:rPr>
          <w:rFonts w:ascii="Arial" w:hAnsi="Arial" w:cs="Arial"/>
          <w:sz w:val="22"/>
        </w:rPr>
        <w:fldChar w:fldCharType="separate"/>
      </w:r>
      <w:r w:rsidRPr="00ED6612">
        <w:rPr>
          <w:rFonts w:ascii="Arial" w:hAnsi="Arial" w:cs="Arial"/>
          <w:sz w:val="22"/>
        </w:rPr>
        <w:t>1.8</w:t>
      </w:r>
      <w:r w:rsidRPr="00ED6612">
        <w:rPr>
          <w:rFonts w:ascii="Arial" w:hAnsi="Arial" w:cs="Arial"/>
          <w:sz w:val="22"/>
        </w:rPr>
        <w:fldChar w:fldCharType="end"/>
      </w:r>
      <w:r w:rsidRPr="00ED6612">
        <w:rPr>
          <w:rFonts w:ascii="Arial" w:hAnsi="Arial" w:cs="Arial"/>
          <w:sz w:val="22"/>
        </w:rPr>
        <w:t xml:space="preserve">). </w:t>
      </w:r>
      <w:bookmarkEnd w:id="15"/>
    </w:p>
    <w:p w14:paraId="456043EF" w14:textId="614A6770" w:rsidR="00C25972" w:rsidRPr="00ED6612" w:rsidRDefault="00C25972" w:rsidP="008E3817">
      <w:pPr>
        <w:pStyle w:val="Paragraph"/>
        <w:numPr>
          <w:ilvl w:val="1"/>
          <w:numId w:val="4"/>
        </w:numPr>
        <w:tabs>
          <w:tab w:val="num" w:pos="720"/>
        </w:tabs>
        <w:ind w:left="720" w:hanging="720"/>
        <w:rPr>
          <w:rFonts w:ascii="Arial" w:hAnsi="Arial" w:cs="Arial"/>
          <w:sz w:val="22"/>
        </w:rPr>
      </w:pPr>
      <w:bookmarkStart w:id="16" w:name="_Ref500929179"/>
      <w:r w:rsidRPr="00ED6612">
        <w:rPr>
          <w:rFonts w:ascii="Arial" w:hAnsi="Arial" w:cs="Arial"/>
          <w:sz w:val="22"/>
        </w:rPr>
        <w:t>It should be emphasized that the</w:t>
      </w:r>
      <w:r w:rsidR="0060390A" w:rsidRPr="00ED6612">
        <w:rPr>
          <w:rFonts w:ascii="Arial" w:hAnsi="Arial" w:cs="Arial"/>
          <w:sz w:val="22"/>
        </w:rPr>
        <w:t xml:space="preserve"> use of an</w:t>
      </w:r>
      <w:r w:rsidRPr="00ED6612">
        <w:rPr>
          <w:rFonts w:ascii="Arial" w:hAnsi="Arial" w:cs="Arial"/>
          <w:sz w:val="22"/>
        </w:rPr>
        <w:t xml:space="preserve"> assumed portfolio </w:t>
      </w:r>
      <w:bookmarkStart w:id="17" w:name="_Hlk494735970"/>
      <w:r w:rsidR="0060390A" w:rsidRPr="00ED6612">
        <w:rPr>
          <w:rFonts w:ascii="Arial" w:hAnsi="Arial" w:cs="Arial"/>
          <w:sz w:val="22"/>
        </w:rPr>
        <w:t xml:space="preserve">is needed </w:t>
      </w:r>
      <w:r w:rsidRPr="00ED6612">
        <w:rPr>
          <w:rFonts w:ascii="Arial" w:hAnsi="Arial" w:cs="Arial"/>
          <w:sz w:val="22"/>
        </w:rPr>
        <w:t xml:space="preserve">for </w:t>
      </w:r>
      <w:r w:rsidR="0060390A" w:rsidRPr="00ED6612">
        <w:rPr>
          <w:rFonts w:ascii="Arial" w:hAnsi="Arial" w:cs="Arial"/>
          <w:sz w:val="22"/>
        </w:rPr>
        <w:t xml:space="preserve">the purpose of </w:t>
      </w:r>
      <w:r w:rsidRPr="00ED6612">
        <w:rPr>
          <w:rFonts w:ascii="Arial" w:hAnsi="Arial" w:cs="Arial"/>
          <w:sz w:val="22"/>
        </w:rPr>
        <w:t xml:space="preserve">quantification of </w:t>
      </w:r>
      <w:r w:rsidR="0060390A" w:rsidRPr="00ED6612">
        <w:rPr>
          <w:rFonts w:ascii="Arial" w:hAnsi="Arial" w:cs="Arial"/>
          <w:sz w:val="22"/>
        </w:rPr>
        <w:t xml:space="preserve">resources needed, </w:t>
      </w:r>
      <w:r w:rsidRPr="00ED6612">
        <w:rPr>
          <w:rFonts w:ascii="Arial" w:hAnsi="Arial" w:cs="Arial"/>
          <w:sz w:val="22"/>
        </w:rPr>
        <w:t xml:space="preserve">benefits and costs of the </w:t>
      </w:r>
      <w:r w:rsidR="00D11E5F">
        <w:rPr>
          <w:rFonts w:ascii="Arial" w:hAnsi="Arial" w:cs="Arial"/>
          <w:sz w:val="22"/>
        </w:rPr>
        <w:t>project</w:t>
      </w:r>
      <w:r w:rsidRPr="00ED6612">
        <w:rPr>
          <w:rFonts w:ascii="Arial" w:hAnsi="Arial" w:cs="Arial"/>
          <w:sz w:val="22"/>
        </w:rPr>
        <w:t xml:space="preserve">, </w:t>
      </w:r>
      <w:r w:rsidR="0060390A" w:rsidRPr="00ED6612">
        <w:rPr>
          <w:rFonts w:ascii="Arial" w:hAnsi="Arial" w:cs="Arial"/>
          <w:sz w:val="22"/>
        </w:rPr>
        <w:t xml:space="preserve">and estimations on </w:t>
      </w:r>
      <w:r w:rsidR="00D11E5F">
        <w:rPr>
          <w:rFonts w:ascii="Arial" w:hAnsi="Arial" w:cs="Arial"/>
          <w:sz w:val="22"/>
        </w:rPr>
        <w:t>project</w:t>
      </w:r>
      <w:r w:rsidR="0060390A" w:rsidRPr="00ED6612">
        <w:rPr>
          <w:rFonts w:ascii="Arial" w:hAnsi="Arial" w:cs="Arial"/>
          <w:sz w:val="22"/>
        </w:rPr>
        <w:t xml:space="preserve"> results. Nonetheless, although </w:t>
      </w:r>
      <w:r w:rsidR="00DC72A9" w:rsidRPr="00ED6612">
        <w:rPr>
          <w:rFonts w:ascii="Arial" w:hAnsi="Arial" w:cs="Arial"/>
          <w:sz w:val="22"/>
        </w:rPr>
        <w:t>the list of projects</w:t>
      </w:r>
      <w:r w:rsidR="0060390A" w:rsidRPr="00ED6612">
        <w:rPr>
          <w:rFonts w:ascii="Arial" w:hAnsi="Arial" w:cs="Arial"/>
          <w:sz w:val="22"/>
        </w:rPr>
        <w:t xml:space="preserve"> is based on expectations of future demand, this portfolio </w:t>
      </w:r>
      <w:r w:rsidRPr="00ED6612">
        <w:rPr>
          <w:rFonts w:ascii="Arial" w:hAnsi="Arial" w:cs="Arial"/>
          <w:sz w:val="22"/>
        </w:rPr>
        <w:t>should be take</w:t>
      </w:r>
      <w:r w:rsidR="0060390A" w:rsidRPr="00ED6612">
        <w:rPr>
          <w:rFonts w:ascii="Arial" w:hAnsi="Arial" w:cs="Arial"/>
          <w:sz w:val="22"/>
        </w:rPr>
        <w:t>n</w:t>
      </w:r>
      <w:r w:rsidRPr="00ED6612">
        <w:rPr>
          <w:rFonts w:ascii="Arial" w:hAnsi="Arial" w:cs="Arial"/>
          <w:sz w:val="22"/>
        </w:rPr>
        <w:t xml:space="preserve"> </w:t>
      </w:r>
      <w:r w:rsidR="0060390A" w:rsidRPr="00ED6612">
        <w:rPr>
          <w:rFonts w:ascii="Arial" w:hAnsi="Arial" w:cs="Arial"/>
          <w:sz w:val="22"/>
        </w:rPr>
        <w:t>merely</w:t>
      </w:r>
      <w:r w:rsidRPr="00ED6612">
        <w:rPr>
          <w:rFonts w:ascii="Arial" w:hAnsi="Arial" w:cs="Arial"/>
          <w:sz w:val="22"/>
        </w:rPr>
        <w:t xml:space="preserve"> as indicative. There is no formal pre-determined allocation of funds to be disbursed by sub sector or technology, and projects will be financed upon demand, on a first-come-first-served basis.</w:t>
      </w:r>
      <w:r w:rsidR="0060390A" w:rsidRPr="00ED6612">
        <w:rPr>
          <w:rFonts w:ascii="Arial" w:hAnsi="Arial" w:cs="Arial"/>
          <w:sz w:val="22"/>
        </w:rPr>
        <w:t xml:space="preserve"> P</w:t>
      </w:r>
      <w:r w:rsidRPr="00ED6612">
        <w:rPr>
          <w:rFonts w:ascii="Arial" w:hAnsi="Arial" w:cs="Arial"/>
          <w:sz w:val="22"/>
        </w:rPr>
        <w:t xml:space="preserve">ossible combinations of actual </w:t>
      </w:r>
      <w:r w:rsidR="0060390A" w:rsidRPr="00ED6612">
        <w:rPr>
          <w:rFonts w:ascii="Arial" w:hAnsi="Arial" w:cs="Arial"/>
          <w:sz w:val="22"/>
        </w:rPr>
        <w:t>technologies and sub sectors</w:t>
      </w:r>
      <w:r w:rsidRPr="00ED6612">
        <w:rPr>
          <w:rFonts w:ascii="Arial" w:hAnsi="Arial" w:cs="Arial"/>
          <w:sz w:val="22"/>
        </w:rPr>
        <w:t xml:space="preserve"> participating in the </w:t>
      </w:r>
      <w:r w:rsidR="00D11E5F">
        <w:rPr>
          <w:rFonts w:ascii="Arial" w:hAnsi="Arial" w:cs="Arial"/>
          <w:sz w:val="22"/>
        </w:rPr>
        <w:t>project</w:t>
      </w:r>
      <w:r w:rsidRPr="00ED6612">
        <w:rPr>
          <w:rFonts w:ascii="Arial" w:hAnsi="Arial" w:cs="Arial"/>
          <w:sz w:val="22"/>
        </w:rPr>
        <w:t xml:space="preserve"> could be infinite, and aggregated values may be more or less impacted by differences between the assumed and real portfolio</w:t>
      </w:r>
      <w:r w:rsidR="0060390A" w:rsidRPr="00ED6612">
        <w:rPr>
          <w:rFonts w:ascii="Arial" w:hAnsi="Arial" w:cs="Arial"/>
          <w:sz w:val="22"/>
        </w:rPr>
        <w:t>.</w:t>
      </w:r>
      <w:r w:rsidRPr="00ED6612">
        <w:rPr>
          <w:rFonts w:ascii="Arial" w:hAnsi="Arial" w:cs="Arial"/>
          <w:sz w:val="22"/>
          <w:vertAlign w:val="superscript"/>
        </w:rPr>
        <w:footnoteReference w:id="13"/>
      </w:r>
      <w:r w:rsidRPr="00ED6612">
        <w:rPr>
          <w:rFonts w:ascii="Arial" w:hAnsi="Arial" w:cs="Arial"/>
          <w:sz w:val="22"/>
        </w:rPr>
        <w:t xml:space="preserve"> </w:t>
      </w:r>
      <w:r w:rsidR="00825B81" w:rsidRPr="00ED6612">
        <w:rPr>
          <w:rFonts w:ascii="Arial" w:hAnsi="Arial" w:cs="Arial"/>
          <w:sz w:val="22"/>
        </w:rPr>
        <w:t>The</w:t>
      </w:r>
      <w:r w:rsidRPr="00ED6612">
        <w:rPr>
          <w:rFonts w:ascii="Arial" w:hAnsi="Arial" w:cs="Arial"/>
          <w:sz w:val="22"/>
        </w:rPr>
        <w:t xml:space="preserve"> sensitivity analysis i</w:t>
      </w:r>
      <w:r w:rsidR="00825B81" w:rsidRPr="00ED6612">
        <w:rPr>
          <w:rFonts w:ascii="Arial" w:hAnsi="Arial" w:cs="Arial"/>
          <w:sz w:val="22"/>
        </w:rPr>
        <w:t xml:space="preserve">n Section V intends </w:t>
      </w:r>
      <w:r w:rsidRPr="00ED6612">
        <w:rPr>
          <w:rFonts w:ascii="Arial" w:hAnsi="Arial" w:cs="Arial"/>
          <w:sz w:val="22"/>
        </w:rPr>
        <w:t>to address this issue</w:t>
      </w:r>
      <w:r w:rsidR="00825B81" w:rsidRPr="00ED6612">
        <w:rPr>
          <w:rFonts w:ascii="Arial" w:hAnsi="Arial" w:cs="Arial"/>
          <w:sz w:val="22"/>
        </w:rPr>
        <w:t>, by including a scenario in which the assumed mix of projects changes. This is done in order to</w:t>
      </w:r>
      <w:r w:rsidRPr="00ED6612">
        <w:rPr>
          <w:rFonts w:ascii="Arial" w:hAnsi="Arial" w:cs="Arial"/>
          <w:sz w:val="22"/>
        </w:rPr>
        <w:t xml:space="preserve"> strengthen the conclusions of the assessment of the </w:t>
      </w:r>
      <w:r w:rsidR="00D11E5F">
        <w:rPr>
          <w:rFonts w:ascii="Arial" w:hAnsi="Arial" w:cs="Arial"/>
          <w:sz w:val="22"/>
        </w:rPr>
        <w:t>project</w:t>
      </w:r>
      <w:r w:rsidRPr="00ED6612">
        <w:rPr>
          <w:rFonts w:ascii="Arial" w:hAnsi="Arial" w:cs="Arial"/>
          <w:sz w:val="22"/>
        </w:rPr>
        <w:t xml:space="preserve">’s economic </w:t>
      </w:r>
      <w:bookmarkEnd w:id="17"/>
      <w:r w:rsidRPr="00ED6612">
        <w:rPr>
          <w:rFonts w:ascii="Arial" w:hAnsi="Arial" w:cs="Arial"/>
          <w:sz w:val="22"/>
        </w:rPr>
        <w:t>value.</w:t>
      </w:r>
      <w:bookmarkEnd w:id="16"/>
    </w:p>
    <w:p w14:paraId="456043F0" w14:textId="3E0D8F51" w:rsidR="009E6A77" w:rsidRPr="00ED6612" w:rsidRDefault="009E6A77" w:rsidP="008E3817">
      <w:pPr>
        <w:pStyle w:val="Paragraph"/>
        <w:numPr>
          <w:ilvl w:val="1"/>
          <w:numId w:val="4"/>
        </w:numPr>
        <w:tabs>
          <w:tab w:val="num" w:pos="720"/>
        </w:tabs>
        <w:spacing w:afterLines="80" w:after="192"/>
        <w:ind w:left="720" w:hanging="720"/>
        <w:rPr>
          <w:rFonts w:ascii="Arial" w:hAnsi="Arial" w:cs="Arial"/>
          <w:b/>
          <w:sz w:val="22"/>
        </w:rPr>
      </w:pPr>
      <w:r w:rsidRPr="00ED6612">
        <w:rPr>
          <w:rFonts w:ascii="Arial" w:hAnsi="Arial" w:cs="Arial"/>
          <w:b/>
          <w:sz w:val="22"/>
        </w:rPr>
        <w:t>Definition of scenarios</w:t>
      </w:r>
      <w:r w:rsidRPr="00ED6612">
        <w:rPr>
          <w:rFonts w:ascii="Arial" w:hAnsi="Arial" w:cs="Arial"/>
          <w:sz w:val="22"/>
        </w:rPr>
        <w:t xml:space="preserve">: </w:t>
      </w:r>
      <w:r w:rsidR="00825B81" w:rsidRPr="00ED6612">
        <w:rPr>
          <w:rFonts w:ascii="Arial" w:hAnsi="Arial" w:cs="Arial"/>
          <w:sz w:val="22"/>
        </w:rPr>
        <w:t>T</w:t>
      </w:r>
      <w:r w:rsidRPr="00ED6612">
        <w:rPr>
          <w:rFonts w:ascii="Arial" w:hAnsi="Arial" w:cs="Arial"/>
          <w:sz w:val="22"/>
        </w:rPr>
        <w:t xml:space="preserve">he economic evaluation of the </w:t>
      </w:r>
      <w:r w:rsidR="00D11E5F">
        <w:rPr>
          <w:rFonts w:ascii="Arial" w:hAnsi="Arial" w:cs="Arial"/>
          <w:sz w:val="22"/>
        </w:rPr>
        <w:t>project</w:t>
      </w:r>
      <w:r w:rsidRPr="00ED6612">
        <w:rPr>
          <w:rFonts w:ascii="Arial" w:hAnsi="Arial" w:cs="Arial"/>
          <w:sz w:val="22"/>
        </w:rPr>
        <w:t xml:space="preserve"> compares </w:t>
      </w:r>
      <w:r w:rsidR="00825B81" w:rsidRPr="00ED6612">
        <w:rPr>
          <w:rFonts w:ascii="Arial" w:hAnsi="Arial" w:cs="Arial"/>
          <w:sz w:val="22"/>
        </w:rPr>
        <w:t>aggregated</w:t>
      </w:r>
      <w:r w:rsidRPr="00ED6612">
        <w:rPr>
          <w:rFonts w:ascii="Arial" w:hAnsi="Arial" w:cs="Arial"/>
          <w:sz w:val="22"/>
        </w:rPr>
        <w:t xml:space="preserve"> costs and benefits </w:t>
      </w:r>
      <w:r w:rsidR="00825B81" w:rsidRPr="00ED6612">
        <w:rPr>
          <w:rFonts w:ascii="Arial" w:hAnsi="Arial" w:cs="Arial"/>
          <w:sz w:val="22"/>
        </w:rPr>
        <w:t xml:space="preserve">of the assumed portfolio of projects financed </w:t>
      </w:r>
      <w:r w:rsidRPr="00ED6612">
        <w:rPr>
          <w:rFonts w:ascii="Arial" w:hAnsi="Arial" w:cs="Arial"/>
          <w:sz w:val="22"/>
        </w:rPr>
        <w:t xml:space="preserve">for scenarios “with” and “without” </w:t>
      </w:r>
      <w:r w:rsidR="00D11E5F">
        <w:rPr>
          <w:rFonts w:ascii="Arial" w:hAnsi="Arial" w:cs="Arial"/>
          <w:sz w:val="22"/>
        </w:rPr>
        <w:t>project</w:t>
      </w:r>
      <w:r w:rsidR="00825B81" w:rsidRPr="00ED6612">
        <w:rPr>
          <w:rFonts w:ascii="Arial" w:hAnsi="Arial" w:cs="Arial"/>
          <w:sz w:val="22"/>
        </w:rPr>
        <w:t>:</w:t>
      </w:r>
    </w:p>
    <w:p w14:paraId="456043F1" w14:textId="62B886A3" w:rsidR="009E6A77" w:rsidRPr="00ED6612" w:rsidRDefault="009E6A77" w:rsidP="008E3817">
      <w:pPr>
        <w:pStyle w:val="Paragraph"/>
        <w:numPr>
          <w:ilvl w:val="2"/>
          <w:numId w:val="4"/>
        </w:numPr>
        <w:tabs>
          <w:tab w:val="clear" w:pos="2304"/>
        </w:tabs>
        <w:spacing w:afterLines="80" w:after="192"/>
        <w:ind w:left="990" w:hanging="270"/>
        <w:rPr>
          <w:rFonts w:ascii="Arial" w:hAnsi="Arial" w:cs="Arial"/>
          <w:sz w:val="22"/>
        </w:rPr>
      </w:pPr>
      <w:bookmarkStart w:id="18" w:name="_Hlk501018751"/>
      <w:r w:rsidRPr="00ED6612">
        <w:rPr>
          <w:rFonts w:ascii="Arial" w:hAnsi="Arial" w:cs="Arial"/>
          <w:sz w:val="22"/>
        </w:rPr>
        <w:t xml:space="preserve">In the scenario “with” </w:t>
      </w:r>
      <w:r w:rsidR="00D11E5F">
        <w:rPr>
          <w:rFonts w:ascii="Arial" w:hAnsi="Arial" w:cs="Arial"/>
          <w:sz w:val="22"/>
        </w:rPr>
        <w:t>project</w:t>
      </w:r>
      <w:r w:rsidRPr="00ED6612">
        <w:rPr>
          <w:rFonts w:ascii="Arial" w:hAnsi="Arial" w:cs="Arial"/>
          <w:sz w:val="22"/>
        </w:rPr>
        <w:t xml:space="preserve">, </w:t>
      </w:r>
      <w:r w:rsidR="00825B81" w:rsidRPr="00ED6612">
        <w:rPr>
          <w:rFonts w:ascii="Arial" w:hAnsi="Arial" w:cs="Arial"/>
          <w:sz w:val="22"/>
        </w:rPr>
        <w:t xml:space="preserve">resources from the </w:t>
      </w:r>
      <w:r w:rsidR="00D11E5F">
        <w:rPr>
          <w:rFonts w:ascii="Arial" w:hAnsi="Arial" w:cs="Arial"/>
          <w:sz w:val="22"/>
        </w:rPr>
        <w:t>project</w:t>
      </w:r>
      <w:r w:rsidR="00825B81" w:rsidRPr="00ED6612">
        <w:rPr>
          <w:rFonts w:ascii="Arial" w:hAnsi="Arial" w:cs="Arial"/>
          <w:sz w:val="22"/>
        </w:rPr>
        <w:t xml:space="preserve"> (</w:t>
      </w:r>
      <w:r w:rsidRPr="00ED6612">
        <w:rPr>
          <w:rFonts w:ascii="Arial" w:hAnsi="Arial" w:cs="Arial"/>
          <w:sz w:val="22"/>
        </w:rPr>
        <w:t xml:space="preserve">GCF funding and co-financing from </w:t>
      </w:r>
      <w:r w:rsidR="00825B81" w:rsidRPr="00ED6612">
        <w:rPr>
          <w:rFonts w:ascii="Arial" w:hAnsi="Arial" w:cs="Arial"/>
          <w:sz w:val="22"/>
        </w:rPr>
        <w:t>BICE) enable access to</w:t>
      </w:r>
      <w:r w:rsidRPr="00ED6612">
        <w:rPr>
          <w:rFonts w:ascii="Arial" w:hAnsi="Arial" w:cs="Arial"/>
          <w:sz w:val="22"/>
        </w:rPr>
        <w:t xml:space="preserve"> financ</w:t>
      </w:r>
      <w:r w:rsidR="00825B81" w:rsidRPr="00ED6612">
        <w:rPr>
          <w:rFonts w:ascii="Arial" w:hAnsi="Arial" w:cs="Arial"/>
          <w:sz w:val="22"/>
        </w:rPr>
        <w:t>e</w:t>
      </w:r>
      <w:r w:rsidRPr="00ED6612">
        <w:rPr>
          <w:rFonts w:ascii="Arial" w:hAnsi="Arial" w:cs="Arial"/>
          <w:sz w:val="22"/>
        </w:rPr>
        <w:t xml:space="preserve"> by SMEs </w:t>
      </w:r>
      <w:r w:rsidR="00825B81" w:rsidRPr="00ED6612">
        <w:rPr>
          <w:rFonts w:ascii="Arial" w:hAnsi="Arial" w:cs="Arial"/>
          <w:sz w:val="22"/>
        </w:rPr>
        <w:t xml:space="preserve">to invest </w:t>
      </w:r>
      <w:r w:rsidRPr="00ED6612">
        <w:rPr>
          <w:rFonts w:ascii="Arial" w:hAnsi="Arial" w:cs="Arial"/>
          <w:sz w:val="22"/>
        </w:rPr>
        <w:t xml:space="preserve">in a number of </w:t>
      </w:r>
      <w:r w:rsidR="00825B81" w:rsidRPr="00ED6612">
        <w:rPr>
          <w:rFonts w:ascii="Arial" w:hAnsi="Arial" w:cs="Arial"/>
          <w:sz w:val="22"/>
        </w:rPr>
        <w:t xml:space="preserve">RE and </w:t>
      </w:r>
      <w:r w:rsidRPr="00ED6612">
        <w:rPr>
          <w:rFonts w:ascii="Arial" w:hAnsi="Arial" w:cs="Arial"/>
          <w:sz w:val="22"/>
        </w:rPr>
        <w:t xml:space="preserve">EE projects. This </w:t>
      </w:r>
      <w:r w:rsidR="00825B81" w:rsidRPr="00ED6612">
        <w:rPr>
          <w:rFonts w:ascii="Arial" w:hAnsi="Arial" w:cs="Arial"/>
          <w:sz w:val="22"/>
        </w:rPr>
        <w:t xml:space="preserve">in turn </w:t>
      </w:r>
      <w:r w:rsidRPr="00ED6612">
        <w:rPr>
          <w:rFonts w:ascii="Arial" w:hAnsi="Arial" w:cs="Arial"/>
          <w:sz w:val="22"/>
        </w:rPr>
        <w:t xml:space="preserve">will result in the </w:t>
      </w:r>
      <w:r w:rsidR="00825B81" w:rsidRPr="00ED6612">
        <w:rPr>
          <w:rFonts w:ascii="Arial" w:hAnsi="Arial" w:cs="Arial"/>
          <w:sz w:val="22"/>
        </w:rPr>
        <w:t xml:space="preserve">successful </w:t>
      </w:r>
      <w:r w:rsidRPr="00ED6612">
        <w:rPr>
          <w:rFonts w:ascii="Arial" w:hAnsi="Arial" w:cs="Arial"/>
          <w:sz w:val="22"/>
        </w:rPr>
        <w:t xml:space="preserve">implementation </w:t>
      </w:r>
      <w:r w:rsidRPr="00ED6612">
        <w:rPr>
          <w:rFonts w:ascii="Arial" w:hAnsi="Arial" w:cs="Arial"/>
          <w:sz w:val="22"/>
        </w:rPr>
        <w:lastRenderedPageBreak/>
        <w:t xml:space="preserve">of </w:t>
      </w:r>
      <w:r w:rsidR="00825B81" w:rsidRPr="00ED6612">
        <w:rPr>
          <w:rFonts w:ascii="Arial" w:hAnsi="Arial" w:cs="Arial"/>
          <w:sz w:val="22"/>
        </w:rPr>
        <w:t>RE and</w:t>
      </w:r>
      <w:r w:rsidRPr="00ED6612">
        <w:rPr>
          <w:rFonts w:ascii="Arial" w:hAnsi="Arial" w:cs="Arial"/>
          <w:sz w:val="22"/>
        </w:rPr>
        <w:t xml:space="preserve"> EE </w:t>
      </w:r>
      <w:r w:rsidR="00825B81" w:rsidRPr="00ED6612">
        <w:rPr>
          <w:rFonts w:ascii="Arial" w:hAnsi="Arial" w:cs="Arial"/>
          <w:sz w:val="22"/>
        </w:rPr>
        <w:t>technologies</w:t>
      </w:r>
      <w:r w:rsidRPr="00ED6612">
        <w:rPr>
          <w:rFonts w:ascii="Arial" w:hAnsi="Arial" w:cs="Arial"/>
          <w:sz w:val="22"/>
        </w:rPr>
        <w:t xml:space="preserve">. Investment costs occur during the investment phase, while operation and maintenance (O&amp;M) costs occur throughout the life of the projects. Additional costs corresponding to the complementary TC activities, although not part of this proposal, are included, as they are considered essential </w:t>
      </w:r>
      <w:r w:rsidR="00E95DB4" w:rsidRPr="00ED6612">
        <w:rPr>
          <w:rFonts w:ascii="Arial" w:hAnsi="Arial" w:cs="Arial"/>
          <w:sz w:val="22"/>
        </w:rPr>
        <w:t xml:space="preserve">(along with the financing) </w:t>
      </w:r>
      <w:r w:rsidRPr="00ED6612">
        <w:rPr>
          <w:rFonts w:ascii="Arial" w:hAnsi="Arial" w:cs="Arial"/>
          <w:sz w:val="22"/>
        </w:rPr>
        <w:t>for the investments to be deployed effectively. In this scenario,</w:t>
      </w:r>
      <w:r w:rsidR="00E95DB4" w:rsidRPr="00ED6612">
        <w:rPr>
          <w:rFonts w:ascii="Arial" w:hAnsi="Arial" w:cs="Arial"/>
          <w:sz w:val="22"/>
        </w:rPr>
        <w:t xml:space="preserve"> RE-sourced electricity is provided to the system by RE projects financed, </w:t>
      </w:r>
      <w:r w:rsidRPr="00ED6612">
        <w:rPr>
          <w:rFonts w:ascii="Arial" w:hAnsi="Arial" w:cs="Arial"/>
          <w:sz w:val="22"/>
        </w:rPr>
        <w:t xml:space="preserve">energy consumption </w:t>
      </w:r>
      <w:r w:rsidR="00E95DB4" w:rsidRPr="00ED6612">
        <w:rPr>
          <w:rFonts w:ascii="Arial" w:hAnsi="Arial" w:cs="Arial"/>
          <w:sz w:val="22"/>
        </w:rPr>
        <w:t xml:space="preserve">is reduced by EE projects financed </w:t>
      </w:r>
      <w:r w:rsidRPr="00ED6612">
        <w:rPr>
          <w:rFonts w:ascii="Arial" w:hAnsi="Arial" w:cs="Arial"/>
          <w:sz w:val="22"/>
        </w:rPr>
        <w:t xml:space="preserve">and </w:t>
      </w:r>
      <w:r w:rsidR="00E95DB4" w:rsidRPr="00ED6612">
        <w:rPr>
          <w:rFonts w:ascii="Arial" w:hAnsi="Arial" w:cs="Arial"/>
          <w:sz w:val="22"/>
        </w:rPr>
        <w:t xml:space="preserve">overall GHG </w:t>
      </w:r>
      <w:r w:rsidRPr="00ED6612">
        <w:rPr>
          <w:rFonts w:ascii="Arial" w:hAnsi="Arial" w:cs="Arial"/>
          <w:sz w:val="22"/>
        </w:rPr>
        <w:t>emissions are reduced.</w:t>
      </w:r>
    </w:p>
    <w:p w14:paraId="456043F2" w14:textId="54FDFFAD" w:rsidR="009E6A77" w:rsidRPr="00ED6612" w:rsidRDefault="009E6A77" w:rsidP="008E3817">
      <w:pPr>
        <w:pStyle w:val="Paragraph"/>
        <w:numPr>
          <w:ilvl w:val="2"/>
          <w:numId w:val="4"/>
        </w:numPr>
        <w:tabs>
          <w:tab w:val="clear" w:pos="2304"/>
        </w:tabs>
        <w:spacing w:afterLines="80" w:after="192"/>
        <w:ind w:left="990" w:hanging="270"/>
        <w:rPr>
          <w:rFonts w:ascii="Arial" w:hAnsi="Arial" w:cs="Arial"/>
          <w:sz w:val="22"/>
        </w:rPr>
      </w:pPr>
      <w:bookmarkStart w:id="19" w:name="_Hlk505775020"/>
      <w:r w:rsidRPr="00ED6612">
        <w:rPr>
          <w:rFonts w:ascii="Arial" w:hAnsi="Arial" w:cs="Arial"/>
          <w:sz w:val="22"/>
        </w:rPr>
        <w:t xml:space="preserve">In the alternative scenario “without” </w:t>
      </w:r>
      <w:r w:rsidR="00D11E5F">
        <w:rPr>
          <w:rFonts w:ascii="Arial" w:hAnsi="Arial" w:cs="Arial"/>
          <w:sz w:val="22"/>
        </w:rPr>
        <w:t>project</w:t>
      </w:r>
      <w:r w:rsidRPr="00ED6612">
        <w:rPr>
          <w:rFonts w:ascii="Arial" w:hAnsi="Arial" w:cs="Arial"/>
          <w:sz w:val="22"/>
        </w:rPr>
        <w:t>, none of the</w:t>
      </w:r>
      <w:r w:rsidR="00E95DB4" w:rsidRPr="00ED6612">
        <w:rPr>
          <w:rFonts w:ascii="Arial" w:hAnsi="Arial" w:cs="Arial"/>
          <w:sz w:val="22"/>
        </w:rPr>
        <w:t xml:space="preserve"> </w:t>
      </w:r>
      <w:r w:rsidRPr="00ED6612">
        <w:rPr>
          <w:rFonts w:ascii="Arial" w:hAnsi="Arial" w:cs="Arial"/>
          <w:sz w:val="22"/>
        </w:rPr>
        <w:t xml:space="preserve">projects in scenario </w:t>
      </w:r>
      <w:r w:rsidR="00447431" w:rsidRPr="00ED6612">
        <w:rPr>
          <w:rFonts w:ascii="Arial" w:hAnsi="Arial" w:cs="Arial"/>
          <w:sz w:val="22"/>
        </w:rPr>
        <w:t>“a”</w:t>
      </w:r>
      <w:r w:rsidRPr="00ED6612">
        <w:rPr>
          <w:rFonts w:ascii="Arial" w:hAnsi="Arial" w:cs="Arial"/>
          <w:sz w:val="22"/>
        </w:rPr>
        <w:t xml:space="preserve"> is implemented –without financing from the </w:t>
      </w:r>
      <w:r w:rsidR="00D11E5F">
        <w:rPr>
          <w:rFonts w:ascii="Arial" w:hAnsi="Arial" w:cs="Arial"/>
          <w:sz w:val="22"/>
        </w:rPr>
        <w:t>project</w:t>
      </w:r>
      <w:r w:rsidRPr="00ED6612">
        <w:rPr>
          <w:rFonts w:ascii="Arial" w:hAnsi="Arial" w:cs="Arial"/>
          <w:sz w:val="22"/>
        </w:rPr>
        <w:t xml:space="preserve">, SMEs do not have the capacity to finance 100% of these investments by themselves and other sources of financing are not currently available at terms adequate to match their projects’ profiles. In this scenario, </w:t>
      </w:r>
      <w:r w:rsidR="00E95DB4" w:rsidRPr="00ED6612">
        <w:rPr>
          <w:rFonts w:ascii="Arial" w:hAnsi="Arial" w:cs="Arial"/>
          <w:sz w:val="22"/>
        </w:rPr>
        <w:t xml:space="preserve">the amount of energy added to the system in scenario </w:t>
      </w:r>
      <w:r w:rsidR="00447431" w:rsidRPr="00ED6612">
        <w:rPr>
          <w:rFonts w:ascii="Arial" w:hAnsi="Arial" w:cs="Arial"/>
          <w:sz w:val="22"/>
        </w:rPr>
        <w:t>“a”</w:t>
      </w:r>
      <w:r w:rsidR="00E95DB4" w:rsidRPr="00ED6612">
        <w:rPr>
          <w:rFonts w:ascii="Arial" w:hAnsi="Arial" w:cs="Arial"/>
          <w:sz w:val="22"/>
        </w:rPr>
        <w:t xml:space="preserve"> </w:t>
      </w:r>
      <w:r w:rsidR="008314AB" w:rsidRPr="00ED6612">
        <w:rPr>
          <w:rFonts w:ascii="Arial" w:hAnsi="Arial" w:cs="Arial"/>
          <w:sz w:val="22"/>
        </w:rPr>
        <w:t xml:space="preserve">must come </w:t>
      </w:r>
      <w:r w:rsidR="00E95DB4" w:rsidRPr="00ED6612">
        <w:rPr>
          <w:rFonts w:ascii="Arial" w:hAnsi="Arial" w:cs="Arial"/>
          <w:sz w:val="22"/>
        </w:rPr>
        <w:t>from other sources,</w:t>
      </w:r>
      <w:r w:rsidRPr="00ED6612">
        <w:rPr>
          <w:rFonts w:ascii="Arial" w:hAnsi="Arial" w:cs="Arial"/>
          <w:sz w:val="22"/>
        </w:rPr>
        <w:t xml:space="preserve"> </w:t>
      </w:r>
      <w:r w:rsidR="00E95DB4" w:rsidRPr="00ED6612">
        <w:rPr>
          <w:rFonts w:ascii="Arial" w:hAnsi="Arial" w:cs="Arial"/>
          <w:sz w:val="22"/>
        </w:rPr>
        <w:t xml:space="preserve">no </w:t>
      </w:r>
      <w:r w:rsidRPr="00ED6612">
        <w:rPr>
          <w:rFonts w:ascii="Arial" w:hAnsi="Arial" w:cs="Arial"/>
          <w:sz w:val="22"/>
        </w:rPr>
        <w:t>energy savings from EE projects are produced,</w:t>
      </w:r>
      <w:r w:rsidR="00EB664A" w:rsidRPr="00ED6612">
        <w:rPr>
          <w:rFonts w:ascii="Arial" w:hAnsi="Arial" w:cs="Arial"/>
          <w:sz w:val="22"/>
        </w:rPr>
        <w:t xml:space="preserve"> </w:t>
      </w:r>
      <w:r w:rsidRPr="00ED6612">
        <w:rPr>
          <w:rFonts w:ascii="Arial" w:hAnsi="Arial" w:cs="Arial"/>
          <w:sz w:val="22"/>
        </w:rPr>
        <w:t>and there are no CO</w:t>
      </w:r>
      <w:r w:rsidRPr="00ED6612">
        <w:rPr>
          <w:rFonts w:ascii="Arial" w:hAnsi="Arial" w:cs="Arial"/>
          <w:sz w:val="22"/>
          <w:vertAlign w:val="subscript"/>
        </w:rPr>
        <w:t>2</w:t>
      </w:r>
      <w:r w:rsidRPr="00ED6612">
        <w:rPr>
          <w:rFonts w:ascii="Arial" w:hAnsi="Arial" w:cs="Arial"/>
          <w:sz w:val="22"/>
        </w:rPr>
        <w:t xml:space="preserve"> emission reductions</w:t>
      </w:r>
      <w:bookmarkEnd w:id="19"/>
      <w:r w:rsidRPr="00ED6612">
        <w:rPr>
          <w:rFonts w:ascii="Arial" w:hAnsi="Arial" w:cs="Arial"/>
          <w:sz w:val="22"/>
        </w:rPr>
        <w:t>.</w:t>
      </w:r>
    </w:p>
    <w:bookmarkEnd w:id="18"/>
    <w:p w14:paraId="456043F3" w14:textId="3865699C" w:rsidR="009E6A77" w:rsidRPr="00ED6612" w:rsidRDefault="00D11E5F" w:rsidP="008E3817">
      <w:pPr>
        <w:pStyle w:val="Paragraph"/>
        <w:numPr>
          <w:ilvl w:val="1"/>
          <w:numId w:val="4"/>
        </w:numPr>
        <w:tabs>
          <w:tab w:val="num" w:pos="720"/>
        </w:tabs>
        <w:spacing w:afterLines="80" w:after="192"/>
        <w:ind w:left="720" w:hanging="720"/>
        <w:rPr>
          <w:rFonts w:ascii="Arial" w:hAnsi="Arial" w:cs="Arial"/>
          <w:sz w:val="22"/>
        </w:rPr>
      </w:pPr>
      <w:r>
        <w:rPr>
          <w:rFonts w:ascii="Arial" w:hAnsi="Arial" w:cs="Arial"/>
          <w:b/>
          <w:sz w:val="22"/>
        </w:rPr>
        <w:t>Project</w:t>
      </w:r>
      <w:r w:rsidR="009E6A77" w:rsidRPr="00ED6612">
        <w:rPr>
          <w:rFonts w:ascii="Arial" w:hAnsi="Arial" w:cs="Arial"/>
          <w:b/>
          <w:sz w:val="22"/>
        </w:rPr>
        <w:t xml:space="preserve"> cash flows:</w:t>
      </w:r>
      <w:r w:rsidR="009E6A77" w:rsidRPr="00ED6612">
        <w:rPr>
          <w:rFonts w:ascii="Arial" w:hAnsi="Arial" w:cs="Arial"/>
          <w:sz w:val="22"/>
        </w:rPr>
        <w:t xml:space="preserve"> </w:t>
      </w:r>
      <w:bookmarkStart w:id="20" w:name="_Hlk501019038"/>
      <w:r w:rsidR="009E6A77" w:rsidRPr="00ED6612">
        <w:rPr>
          <w:rFonts w:ascii="Arial" w:hAnsi="Arial" w:cs="Arial"/>
          <w:sz w:val="22"/>
        </w:rPr>
        <w:t>The cash flows are built from the following main elements: (i) investments costs of new equipment (incorporating all sources of financing, including third-party leveraged equity); (ii) O&amp;M</w:t>
      </w:r>
      <w:r w:rsidR="001B3328" w:rsidRPr="00ED6612">
        <w:rPr>
          <w:rFonts w:ascii="Arial" w:hAnsi="Arial" w:cs="Arial"/>
          <w:sz w:val="22"/>
        </w:rPr>
        <w:t xml:space="preserve"> costs</w:t>
      </w:r>
      <w:r w:rsidR="009E6A77" w:rsidRPr="00ED6612">
        <w:rPr>
          <w:rFonts w:ascii="Arial" w:hAnsi="Arial" w:cs="Arial"/>
          <w:sz w:val="22"/>
        </w:rPr>
        <w:t xml:space="preserve">, based on the average production/use of </w:t>
      </w:r>
      <w:r w:rsidR="00EB664A" w:rsidRPr="00ED6612">
        <w:rPr>
          <w:rFonts w:ascii="Arial" w:hAnsi="Arial" w:cs="Arial"/>
          <w:sz w:val="22"/>
        </w:rPr>
        <w:t xml:space="preserve">new </w:t>
      </w:r>
      <w:r w:rsidR="009E6A77" w:rsidRPr="00ED6612">
        <w:rPr>
          <w:rFonts w:ascii="Arial" w:hAnsi="Arial" w:cs="Arial"/>
          <w:sz w:val="22"/>
        </w:rPr>
        <w:t>equipment; (iii)</w:t>
      </w:r>
      <w:r w:rsidR="00EB664A" w:rsidRPr="00ED6612">
        <w:rPr>
          <w:rFonts w:ascii="Arial" w:hAnsi="Arial" w:cs="Arial"/>
          <w:sz w:val="22"/>
        </w:rPr>
        <w:t xml:space="preserve"> installed capacity and energy production factors of RE technologies; and (iv)</w:t>
      </w:r>
      <w:r w:rsidR="009E6A77" w:rsidRPr="00ED6612">
        <w:rPr>
          <w:rFonts w:ascii="Arial" w:hAnsi="Arial" w:cs="Arial"/>
          <w:sz w:val="22"/>
        </w:rPr>
        <w:t xml:space="preserve"> average energy consumption of </w:t>
      </w:r>
      <w:r w:rsidR="00EB664A" w:rsidRPr="00ED6612">
        <w:rPr>
          <w:rFonts w:ascii="Arial" w:hAnsi="Arial" w:cs="Arial"/>
          <w:sz w:val="22"/>
        </w:rPr>
        <w:t xml:space="preserve">old </w:t>
      </w:r>
      <w:r w:rsidR="009E6A77" w:rsidRPr="00ED6612">
        <w:rPr>
          <w:rFonts w:ascii="Arial" w:hAnsi="Arial" w:cs="Arial"/>
          <w:sz w:val="22"/>
        </w:rPr>
        <w:t>equipment</w:t>
      </w:r>
      <w:r w:rsidR="00EB664A" w:rsidRPr="00ED6612">
        <w:rPr>
          <w:rFonts w:ascii="Arial" w:hAnsi="Arial" w:cs="Arial"/>
          <w:sz w:val="22"/>
        </w:rPr>
        <w:t xml:space="preserve"> and expected savings produced by EE technolog</w:t>
      </w:r>
      <w:r w:rsidR="00DC72A9" w:rsidRPr="00ED6612">
        <w:rPr>
          <w:rFonts w:ascii="Arial" w:hAnsi="Arial" w:cs="Arial"/>
          <w:sz w:val="22"/>
        </w:rPr>
        <w:t>ies</w:t>
      </w:r>
      <w:r w:rsidR="009E6A77" w:rsidRPr="00ED6612">
        <w:rPr>
          <w:rFonts w:ascii="Arial" w:hAnsi="Arial" w:cs="Arial"/>
          <w:sz w:val="22"/>
        </w:rPr>
        <w:t>. Based on the expected lifetime of sub projects to be financed</w:t>
      </w:r>
      <w:r w:rsidR="0023067A" w:rsidRPr="00ED6612">
        <w:rPr>
          <w:rFonts w:ascii="Arial" w:hAnsi="Arial" w:cs="Arial"/>
          <w:sz w:val="22"/>
        </w:rPr>
        <w:t xml:space="preserve"> (20 years)</w:t>
      </w:r>
      <w:r w:rsidR="009E6A77" w:rsidRPr="00ED6612">
        <w:rPr>
          <w:rFonts w:ascii="Arial" w:hAnsi="Arial" w:cs="Arial"/>
          <w:sz w:val="22"/>
        </w:rPr>
        <w:t xml:space="preserve">, and the projected schedule of disbursements throughout the execution, the horizon for the analysis is </w:t>
      </w:r>
      <w:r w:rsidR="00EB664A" w:rsidRPr="00ED6612">
        <w:rPr>
          <w:rFonts w:ascii="Arial" w:hAnsi="Arial" w:cs="Arial"/>
          <w:sz w:val="22"/>
        </w:rPr>
        <w:t>2</w:t>
      </w:r>
      <w:r w:rsidR="009E6A77" w:rsidRPr="00ED6612">
        <w:rPr>
          <w:rFonts w:ascii="Arial" w:hAnsi="Arial" w:cs="Arial"/>
          <w:sz w:val="22"/>
        </w:rPr>
        <w:t>5 years</w:t>
      </w:r>
      <w:bookmarkEnd w:id="20"/>
      <w:r w:rsidR="009E6A77" w:rsidRPr="00ED6612">
        <w:rPr>
          <w:rFonts w:ascii="Arial" w:hAnsi="Arial" w:cs="Arial"/>
          <w:sz w:val="22"/>
        </w:rPr>
        <w:t xml:space="preserve">. </w:t>
      </w:r>
    </w:p>
    <w:p w14:paraId="456043F4" w14:textId="53CD2236" w:rsidR="009E6A77" w:rsidRPr="00ED6612" w:rsidRDefault="00D11E5F" w:rsidP="008E3817">
      <w:pPr>
        <w:pStyle w:val="Paragraph"/>
        <w:numPr>
          <w:ilvl w:val="1"/>
          <w:numId w:val="4"/>
        </w:numPr>
        <w:tabs>
          <w:tab w:val="num" w:pos="720"/>
        </w:tabs>
        <w:spacing w:afterLines="80" w:after="192"/>
        <w:ind w:left="720" w:hanging="720"/>
        <w:rPr>
          <w:rFonts w:ascii="Arial" w:hAnsi="Arial" w:cs="Arial"/>
          <w:sz w:val="22"/>
        </w:rPr>
      </w:pPr>
      <w:bookmarkStart w:id="21" w:name="_Ref503472898"/>
      <w:r>
        <w:rPr>
          <w:rFonts w:ascii="Arial" w:hAnsi="Arial" w:cs="Arial"/>
          <w:b/>
          <w:sz w:val="22"/>
        </w:rPr>
        <w:t>Project</w:t>
      </w:r>
      <w:r w:rsidR="009E6A77" w:rsidRPr="00ED6612">
        <w:rPr>
          <w:rFonts w:ascii="Arial" w:hAnsi="Arial" w:cs="Arial"/>
          <w:b/>
          <w:sz w:val="22"/>
        </w:rPr>
        <w:t xml:space="preserve"> benefits: </w:t>
      </w:r>
      <w:bookmarkStart w:id="22" w:name="_Hlk501018983"/>
      <w:r w:rsidR="008F507A" w:rsidRPr="00ED6612">
        <w:rPr>
          <w:rFonts w:ascii="Arial" w:hAnsi="Arial" w:cs="Arial"/>
          <w:sz w:val="22"/>
        </w:rPr>
        <w:t xml:space="preserve">Main benefits for the </w:t>
      </w:r>
      <w:r>
        <w:rPr>
          <w:rFonts w:ascii="Arial" w:hAnsi="Arial" w:cs="Arial"/>
          <w:sz w:val="22"/>
        </w:rPr>
        <w:t>project</w:t>
      </w:r>
      <w:r w:rsidR="008F507A" w:rsidRPr="00ED6612">
        <w:rPr>
          <w:rFonts w:ascii="Arial" w:hAnsi="Arial" w:cs="Arial"/>
          <w:sz w:val="22"/>
        </w:rPr>
        <w:t xml:space="preserve"> derive from: (i) </w:t>
      </w:r>
      <w:r w:rsidR="00CC2AE0" w:rsidRPr="00ED6612">
        <w:rPr>
          <w:rFonts w:ascii="Arial" w:hAnsi="Arial" w:cs="Arial"/>
          <w:sz w:val="22"/>
        </w:rPr>
        <w:t xml:space="preserve">the difference between the expected energy supply costs of the scenario with </w:t>
      </w:r>
      <w:r>
        <w:rPr>
          <w:rFonts w:ascii="Arial" w:hAnsi="Arial" w:cs="Arial"/>
          <w:sz w:val="22"/>
        </w:rPr>
        <w:t>project</w:t>
      </w:r>
      <w:r w:rsidR="00CC2AE0" w:rsidRPr="00ED6612">
        <w:rPr>
          <w:rFonts w:ascii="Arial" w:hAnsi="Arial" w:cs="Arial"/>
          <w:sz w:val="22"/>
        </w:rPr>
        <w:t xml:space="preserve"> (biogas and biomass plants installed), and the expected energy supply costs of the scenario without </w:t>
      </w:r>
      <w:r>
        <w:rPr>
          <w:rFonts w:ascii="Arial" w:hAnsi="Arial" w:cs="Arial"/>
          <w:sz w:val="22"/>
        </w:rPr>
        <w:t>project</w:t>
      </w:r>
      <w:r w:rsidR="00CC2AE0" w:rsidRPr="00ED6612">
        <w:rPr>
          <w:rFonts w:ascii="Arial" w:hAnsi="Arial" w:cs="Arial"/>
          <w:sz w:val="22"/>
        </w:rPr>
        <w:t xml:space="preserve"> (additional energy comes from other sources)</w:t>
      </w:r>
      <w:r w:rsidR="008F507A" w:rsidRPr="00ED6612">
        <w:rPr>
          <w:rFonts w:ascii="Arial" w:hAnsi="Arial" w:cs="Arial"/>
          <w:sz w:val="22"/>
        </w:rPr>
        <w:t xml:space="preserve">; (ii) </w:t>
      </w:r>
      <w:r w:rsidR="00CC2AE0" w:rsidRPr="00ED6612">
        <w:rPr>
          <w:rFonts w:ascii="Arial" w:hAnsi="Arial" w:cs="Arial"/>
          <w:sz w:val="22"/>
        </w:rPr>
        <w:t xml:space="preserve">the difference in the energy costs of SMEs once EE measures are implemented, compared to the scenario without </w:t>
      </w:r>
      <w:r>
        <w:rPr>
          <w:rFonts w:ascii="Arial" w:hAnsi="Arial" w:cs="Arial"/>
          <w:sz w:val="22"/>
        </w:rPr>
        <w:t>project</w:t>
      </w:r>
      <w:r w:rsidR="00CC2AE0" w:rsidRPr="00ED6612">
        <w:rPr>
          <w:rFonts w:ascii="Arial" w:hAnsi="Arial" w:cs="Arial"/>
          <w:sz w:val="22"/>
        </w:rPr>
        <w:t xml:space="preserve"> (</w:t>
      </w:r>
      <w:r w:rsidR="008F507A" w:rsidRPr="00ED6612">
        <w:rPr>
          <w:rFonts w:ascii="Arial" w:hAnsi="Arial" w:cs="Arial"/>
          <w:sz w:val="22"/>
        </w:rPr>
        <w:t>the foregone energy costs produced by installing and operating new and more efficient equipment</w:t>
      </w:r>
      <w:r w:rsidR="00CC2AE0" w:rsidRPr="00ED6612">
        <w:rPr>
          <w:rFonts w:ascii="Arial" w:hAnsi="Arial" w:cs="Arial"/>
          <w:sz w:val="22"/>
        </w:rPr>
        <w:t>)</w:t>
      </w:r>
      <w:r w:rsidR="008F507A" w:rsidRPr="00ED6612">
        <w:rPr>
          <w:rFonts w:ascii="Arial" w:hAnsi="Arial" w:cs="Arial"/>
          <w:sz w:val="22"/>
        </w:rPr>
        <w:t>; and (iii) a monetized value of CO</w:t>
      </w:r>
      <w:r w:rsidR="008F507A" w:rsidRPr="00ED6612">
        <w:rPr>
          <w:rFonts w:ascii="Arial" w:hAnsi="Arial" w:cs="Arial"/>
          <w:sz w:val="22"/>
          <w:vertAlign w:val="subscript"/>
        </w:rPr>
        <w:t>2</w:t>
      </w:r>
      <w:r w:rsidR="008F507A" w:rsidRPr="00ED6612">
        <w:rPr>
          <w:rFonts w:ascii="Arial" w:hAnsi="Arial" w:cs="Arial"/>
          <w:sz w:val="22"/>
        </w:rPr>
        <w:t xml:space="preserve"> emissions avoided by all projects financed, as a representation of the externalities associated with the reduction of GHG emissions</w:t>
      </w:r>
      <w:bookmarkEnd w:id="22"/>
      <w:r w:rsidR="008F507A" w:rsidRPr="00ED6612">
        <w:rPr>
          <w:rFonts w:ascii="Arial" w:hAnsi="Arial" w:cs="Arial"/>
          <w:sz w:val="22"/>
        </w:rPr>
        <w:t>.</w:t>
      </w:r>
      <w:bookmarkEnd w:id="21"/>
    </w:p>
    <w:p w14:paraId="456043F5" w14:textId="3553BEDB" w:rsidR="009E6A77" w:rsidRPr="00ED6612" w:rsidRDefault="009E6A77" w:rsidP="008E3817">
      <w:pPr>
        <w:pStyle w:val="Paragraph"/>
        <w:numPr>
          <w:ilvl w:val="1"/>
          <w:numId w:val="4"/>
        </w:numPr>
        <w:tabs>
          <w:tab w:val="num" w:pos="720"/>
        </w:tabs>
        <w:spacing w:afterLines="80" w:after="192"/>
        <w:ind w:left="720" w:hanging="720"/>
        <w:rPr>
          <w:rFonts w:ascii="Arial" w:hAnsi="Arial" w:cs="Arial"/>
          <w:sz w:val="22"/>
        </w:rPr>
      </w:pPr>
      <w:r w:rsidRPr="00ED6612">
        <w:rPr>
          <w:rFonts w:ascii="Arial" w:hAnsi="Arial" w:cs="Arial"/>
          <w:b/>
          <w:sz w:val="22"/>
        </w:rPr>
        <w:t>Results:</w:t>
      </w:r>
      <w:r w:rsidRPr="00ED6612">
        <w:rPr>
          <w:rFonts w:ascii="Arial" w:hAnsi="Arial" w:cs="Arial"/>
          <w:sz w:val="22"/>
        </w:rPr>
        <w:t xml:space="preserve"> The </w:t>
      </w:r>
      <w:r w:rsidR="00D11E5F">
        <w:rPr>
          <w:rFonts w:ascii="Arial" w:hAnsi="Arial" w:cs="Arial"/>
          <w:sz w:val="22"/>
        </w:rPr>
        <w:t>project</w:t>
      </w:r>
      <w:r w:rsidRPr="00ED6612">
        <w:rPr>
          <w:rFonts w:ascii="Arial" w:hAnsi="Arial" w:cs="Arial"/>
          <w:sz w:val="22"/>
        </w:rPr>
        <w:t xml:space="preserve"> </w:t>
      </w:r>
      <w:r w:rsidR="00DC72A9" w:rsidRPr="00ED6612">
        <w:rPr>
          <w:rFonts w:ascii="Arial" w:hAnsi="Arial" w:cs="Arial"/>
          <w:sz w:val="22"/>
        </w:rPr>
        <w:t>net present value (</w:t>
      </w:r>
      <w:r w:rsidRPr="00ED6612">
        <w:rPr>
          <w:rFonts w:ascii="Arial" w:hAnsi="Arial" w:cs="Arial"/>
          <w:sz w:val="22"/>
        </w:rPr>
        <w:t>NPV</w:t>
      </w:r>
      <w:r w:rsidR="00DC72A9" w:rsidRPr="00ED6612">
        <w:rPr>
          <w:rFonts w:ascii="Arial" w:hAnsi="Arial" w:cs="Arial"/>
          <w:sz w:val="22"/>
        </w:rPr>
        <w:t>)</w:t>
      </w:r>
      <w:r w:rsidRPr="00ED6612">
        <w:rPr>
          <w:rFonts w:ascii="Arial" w:hAnsi="Arial" w:cs="Arial"/>
          <w:sz w:val="22"/>
        </w:rPr>
        <w:t xml:space="preserve"> is calculated by projecting the net economic flows over the estimated useful life of </w:t>
      </w:r>
      <w:r w:rsidR="008F507A" w:rsidRPr="00ED6612">
        <w:rPr>
          <w:rFonts w:ascii="Arial" w:hAnsi="Arial" w:cs="Arial"/>
          <w:sz w:val="22"/>
        </w:rPr>
        <w:t xml:space="preserve">equipment installed by </w:t>
      </w:r>
      <w:r w:rsidRPr="00ED6612">
        <w:rPr>
          <w:rFonts w:ascii="Arial" w:hAnsi="Arial" w:cs="Arial"/>
          <w:sz w:val="22"/>
        </w:rPr>
        <w:t>projects</w:t>
      </w:r>
      <w:r w:rsidR="008F507A" w:rsidRPr="00ED6612">
        <w:rPr>
          <w:rFonts w:ascii="Arial" w:hAnsi="Arial" w:cs="Arial"/>
          <w:sz w:val="22"/>
        </w:rPr>
        <w:t xml:space="preserve"> financed (considering the year in which they start operating)</w:t>
      </w:r>
      <w:r w:rsidRPr="00ED6612">
        <w:rPr>
          <w:rFonts w:ascii="Arial" w:hAnsi="Arial" w:cs="Arial"/>
          <w:sz w:val="22"/>
        </w:rPr>
        <w:t>, discounting them at a rate of 12%.</w:t>
      </w:r>
      <w:r w:rsidRPr="00ED6612">
        <w:rPr>
          <w:rFonts w:ascii="Arial" w:hAnsi="Arial" w:cs="Arial"/>
          <w:sz w:val="22"/>
          <w:vertAlign w:val="superscript"/>
        </w:rPr>
        <w:footnoteReference w:id="14"/>
      </w:r>
      <w:r w:rsidRPr="00ED6612">
        <w:rPr>
          <w:rFonts w:ascii="Arial" w:hAnsi="Arial" w:cs="Arial"/>
          <w:sz w:val="22"/>
        </w:rPr>
        <w:t xml:space="preserve"> The </w:t>
      </w:r>
      <w:r w:rsidR="00DC72A9" w:rsidRPr="00ED6612">
        <w:rPr>
          <w:rFonts w:ascii="Arial" w:hAnsi="Arial" w:cs="Arial"/>
          <w:sz w:val="22"/>
        </w:rPr>
        <w:t>internal rate of return (</w:t>
      </w:r>
      <w:r w:rsidRPr="00ED6612">
        <w:rPr>
          <w:rFonts w:ascii="Arial" w:hAnsi="Arial" w:cs="Arial"/>
          <w:sz w:val="22"/>
        </w:rPr>
        <w:t>IRR</w:t>
      </w:r>
      <w:r w:rsidR="00DC72A9" w:rsidRPr="00ED6612">
        <w:rPr>
          <w:rFonts w:ascii="Arial" w:hAnsi="Arial" w:cs="Arial"/>
          <w:sz w:val="22"/>
        </w:rPr>
        <w:t>)</w:t>
      </w:r>
      <w:r w:rsidRPr="00ED6612">
        <w:rPr>
          <w:rFonts w:ascii="Arial" w:hAnsi="Arial" w:cs="Arial"/>
          <w:sz w:val="22"/>
        </w:rPr>
        <w:t xml:space="preserve"> is also obtained as key indicator to determine </w:t>
      </w:r>
      <w:r w:rsidR="008F507A" w:rsidRPr="00ED6612">
        <w:rPr>
          <w:rFonts w:ascii="Arial" w:hAnsi="Arial" w:cs="Arial"/>
          <w:sz w:val="22"/>
        </w:rPr>
        <w:t>the</w:t>
      </w:r>
      <w:r w:rsidRPr="00ED6612">
        <w:rPr>
          <w:rFonts w:ascii="Arial" w:hAnsi="Arial" w:cs="Arial"/>
          <w:sz w:val="22"/>
        </w:rPr>
        <w:t xml:space="preserve"> economic viability</w:t>
      </w:r>
      <w:r w:rsidR="008F507A" w:rsidRPr="00ED6612">
        <w:rPr>
          <w:rFonts w:ascii="Arial" w:hAnsi="Arial" w:cs="Arial"/>
          <w:sz w:val="22"/>
        </w:rPr>
        <w:t xml:space="preserve"> of the </w:t>
      </w:r>
      <w:r w:rsidR="00D11E5F">
        <w:rPr>
          <w:rFonts w:ascii="Arial" w:hAnsi="Arial" w:cs="Arial"/>
          <w:sz w:val="22"/>
        </w:rPr>
        <w:t>project</w:t>
      </w:r>
      <w:r w:rsidRPr="00ED6612">
        <w:rPr>
          <w:rFonts w:ascii="Arial" w:hAnsi="Arial" w:cs="Arial"/>
          <w:sz w:val="22"/>
        </w:rPr>
        <w:t>.</w:t>
      </w:r>
    </w:p>
    <w:p w14:paraId="456043F6" w14:textId="77777777" w:rsidR="009E6A77" w:rsidRPr="00ED6612" w:rsidRDefault="009E6A77" w:rsidP="008E3817">
      <w:pPr>
        <w:pStyle w:val="Paragraph"/>
        <w:numPr>
          <w:ilvl w:val="1"/>
          <w:numId w:val="4"/>
        </w:numPr>
        <w:tabs>
          <w:tab w:val="num" w:pos="720"/>
        </w:tabs>
        <w:spacing w:afterLines="80" w:after="192"/>
        <w:ind w:left="720" w:hanging="720"/>
        <w:rPr>
          <w:rFonts w:ascii="Arial" w:hAnsi="Arial" w:cs="Arial"/>
          <w:sz w:val="22"/>
        </w:rPr>
      </w:pPr>
      <w:r w:rsidRPr="00ED6612">
        <w:rPr>
          <w:rFonts w:ascii="Arial" w:hAnsi="Arial" w:cs="Arial"/>
          <w:b/>
          <w:sz w:val="22"/>
        </w:rPr>
        <w:t>Sensitivity analysis:</w:t>
      </w:r>
      <w:r w:rsidRPr="00ED6612">
        <w:rPr>
          <w:rFonts w:ascii="Arial" w:hAnsi="Arial" w:cs="Arial"/>
          <w:sz w:val="22"/>
        </w:rPr>
        <w:t xml:space="preserve"> The main calculation parameters used in the core analysis are altered in order to test the sensitivity of the </w:t>
      </w:r>
      <w:r w:rsidR="008F507A" w:rsidRPr="00ED6612">
        <w:rPr>
          <w:rFonts w:ascii="Arial" w:hAnsi="Arial" w:cs="Arial"/>
          <w:sz w:val="22"/>
        </w:rPr>
        <w:t>NPV and IRR</w:t>
      </w:r>
      <w:r w:rsidRPr="00ED6612">
        <w:rPr>
          <w:rFonts w:ascii="Arial" w:hAnsi="Arial" w:cs="Arial"/>
          <w:sz w:val="22"/>
        </w:rPr>
        <w:t xml:space="preserve"> obtained to variations in the assumptions. Sensitivity scenarios are determined based on relevant risks </w:t>
      </w:r>
      <w:r w:rsidR="008F507A" w:rsidRPr="00ED6612">
        <w:rPr>
          <w:rFonts w:ascii="Arial" w:hAnsi="Arial" w:cs="Arial"/>
          <w:sz w:val="22"/>
        </w:rPr>
        <w:t>and</w:t>
      </w:r>
      <w:r w:rsidRPr="00ED6612">
        <w:rPr>
          <w:rFonts w:ascii="Arial" w:hAnsi="Arial" w:cs="Arial"/>
          <w:sz w:val="22"/>
        </w:rPr>
        <w:t xml:space="preserve"> changing conditions</w:t>
      </w:r>
      <w:r w:rsidR="008F507A" w:rsidRPr="00ED6612">
        <w:rPr>
          <w:rFonts w:ascii="Arial" w:hAnsi="Arial" w:cs="Arial"/>
          <w:sz w:val="22"/>
        </w:rPr>
        <w:t>.</w:t>
      </w:r>
    </w:p>
    <w:p w14:paraId="456043F7" w14:textId="77777777" w:rsidR="009E6A77" w:rsidRPr="00ED6612" w:rsidRDefault="009E6A77" w:rsidP="009E6A77">
      <w:pPr>
        <w:pStyle w:val="FirstHeading"/>
        <w:rPr>
          <w:rFonts w:ascii="Arial" w:hAnsi="Arial" w:cs="Arial"/>
          <w:sz w:val="22"/>
        </w:rPr>
      </w:pPr>
      <w:bookmarkStart w:id="23" w:name="_Toc501218144"/>
      <w:bookmarkStart w:id="24" w:name="_Toc503527894"/>
      <w:r w:rsidRPr="00ED6612">
        <w:rPr>
          <w:rFonts w:ascii="Arial" w:hAnsi="Arial" w:cs="Arial"/>
          <w:sz w:val="22"/>
        </w:rPr>
        <w:lastRenderedPageBreak/>
        <w:t>B.</w:t>
      </w:r>
      <w:r w:rsidRPr="00ED6612">
        <w:rPr>
          <w:rFonts w:ascii="Arial" w:hAnsi="Arial" w:cs="Arial"/>
          <w:sz w:val="22"/>
        </w:rPr>
        <w:tab/>
        <w:t>Main assumptions</w:t>
      </w:r>
      <w:bookmarkEnd w:id="23"/>
      <w:bookmarkEnd w:id="24"/>
    </w:p>
    <w:p w14:paraId="456043F8" w14:textId="77777777" w:rsidR="0036122F" w:rsidRPr="00ED6612" w:rsidRDefault="009E6A77" w:rsidP="008E3817">
      <w:pPr>
        <w:pStyle w:val="Paragraph"/>
        <w:numPr>
          <w:ilvl w:val="1"/>
          <w:numId w:val="4"/>
        </w:numPr>
        <w:tabs>
          <w:tab w:val="num" w:pos="720"/>
        </w:tabs>
        <w:spacing w:afterLines="80" w:after="192"/>
        <w:ind w:left="720" w:hanging="720"/>
        <w:rPr>
          <w:rFonts w:ascii="Arial" w:hAnsi="Arial" w:cs="Arial"/>
          <w:spacing w:val="-4"/>
          <w:sz w:val="22"/>
        </w:rPr>
      </w:pPr>
      <w:r w:rsidRPr="00ED6612">
        <w:rPr>
          <w:rFonts w:ascii="Arial" w:hAnsi="Arial" w:cs="Arial"/>
          <w:b/>
          <w:spacing w:val="-3"/>
          <w:sz w:val="22"/>
        </w:rPr>
        <w:t>Sub project mix and schedule</w:t>
      </w:r>
      <w:r w:rsidRPr="00ED6612">
        <w:rPr>
          <w:rFonts w:ascii="Arial" w:hAnsi="Arial" w:cs="Arial"/>
          <w:spacing w:val="-3"/>
          <w:sz w:val="22"/>
        </w:rPr>
        <w:t xml:space="preserve">: </w:t>
      </w:r>
      <w:r w:rsidR="0036122F" w:rsidRPr="00ED6612">
        <w:rPr>
          <w:rFonts w:ascii="Arial" w:hAnsi="Arial" w:cs="Arial"/>
          <w:spacing w:val="-4"/>
          <w:sz w:val="22"/>
        </w:rPr>
        <w:t xml:space="preserve">Following </w:t>
      </w:r>
      <w:bookmarkStart w:id="25" w:name="_Hlk505942924"/>
      <w:r w:rsidR="00740448" w:rsidRPr="00ED6612">
        <w:rPr>
          <w:rFonts w:ascii="Arial" w:hAnsi="Arial" w:cs="Arial"/>
          <w:spacing w:val="-4"/>
          <w:sz w:val="22"/>
        </w:rPr>
        <w:t xml:space="preserve">discussions with BICE on their tentative pipeline for RE projects, existing information on the status of the </w:t>
      </w:r>
      <w:r w:rsidR="00740448" w:rsidRPr="00ED6612">
        <w:rPr>
          <w:rFonts w:ascii="Arial" w:hAnsi="Arial" w:cs="Arial"/>
          <w:i/>
          <w:spacing w:val="-4"/>
          <w:sz w:val="22"/>
        </w:rPr>
        <w:t>Renov</w:t>
      </w:r>
      <w:r w:rsidR="00A43383" w:rsidRPr="00ED6612">
        <w:rPr>
          <w:rFonts w:ascii="Arial" w:hAnsi="Arial" w:cs="Arial"/>
          <w:i/>
          <w:spacing w:val="-4"/>
          <w:sz w:val="22"/>
        </w:rPr>
        <w:t>A</w:t>
      </w:r>
      <w:r w:rsidR="00740448" w:rsidRPr="00ED6612">
        <w:rPr>
          <w:rFonts w:ascii="Arial" w:hAnsi="Arial" w:cs="Arial"/>
          <w:i/>
          <w:spacing w:val="-4"/>
          <w:sz w:val="22"/>
        </w:rPr>
        <w:t>r</w:t>
      </w:r>
      <w:r w:rsidR="00740448" w:rsidRPr="00ED6612">
        <w:rPr>
          <w:rFonts w:ascii="Arial" w:hAnsi="Arial" w:cs="Arial"/>
          <w:spacing w:val="-4"/>
          <w:sz w:val="22"/>
        </w:rPr>
        <w:t xml:space="preserve"> tendering process and awarded projects under each technology</w:t>
      </w:r>
      <w:bookmarkEnd w:id="25"/>
      <w:r w:rsidR="00740448" w:rsidRPr="00ED6612">
        <w:rPr>
          <w:rFonts w:ascii="Arial" w:hAnsi="Arial" w:cs="Arial"/>
          <w:spacing w:val="-4"/>
          <w:sz w:val="22"/>
        </w:rPr>
        <w:t xml:space="preserve">, and </w:t>
      </w:r>
      <w:r w:rsidR="0036122F" w:rsidRPr="00ED6612">
        <w:rPr>
          <w:rFonts w:ascii="Arial" w:hAnsi="Arial" w:cs="Arial"/>
          <w:spacing w:val="-4"/>
          <w:sz w:val="22"/>
        </w:rPr>
        <w:t xml:space="preserve">the results of the market study, </w:t>
      </w:r>
      <w:r w:rsidR="00740448" w:rsidRPr="00ED6612">
        <w:rPr>
          <w:rFonts w:ascii="Arial" w:hAnsi="Arial" w:cs="Arial"/>
          <w:spacing w:val="-4"/>
          <w:sz w:val="22"/>
        </w:rPr>
        <w:t>the assumed portfolio is composed by</w:t>
      </w:r>
      <w:r w:rsidR="0036122F" w:rsidRPr="00ED6612">
        <w:rPr>
          <w:rFonts w:ascii="Arial" w:hAnsi="Arial" w:cs="Arial"/>
          <w:spacing w:val="-4"/>
          <w:sz w:val="22"/>
        </w:rPr>
        <w:t>:</w:t>
      </w:r>
    </w:p>
    <w:p w14:paraId="456043F9" w14:textId="77777777" w:rsidR="0036122F" w:rsidRPr="00ED6612" w:rsidRDefault="00740448" w:rsidP="008E3817">
      <w:pPr>
        <w:pStyle w:val="Paragraph"/>
        <w:numPr>
          <w:ilvl w:val="1"/>
          <w:numId w:val="7"/>
        </w:numPr>
        <w:spacing w:afterLines="80" w:after="192"/>
        <w:ind w:hanging="396"/>
        <w:rPr>
          <w:rFonts w:ascii="Arial" w:hAnsi="Arial" w:cs="Arial"/>
          <w:spacing w:val="-4"/>
          <w:sz w:val="22"/>
        </w:rPr>
      </w:pPr>
      <w:bookmarkStart w:id="26" w:name="_Hlk505943119"/>
      <w:r w:rsidRPr="00ED6612">
        <w:rPr>
          <w:rFonts w:ascii="Arial" w:hAnsi="Arial" w:cs="Arial"/>
          <w:spacing w:val="-4"/>
          <w:sz w:val="22"/>
        </w:rPr>
        <w:t>Small RE projects of up to 5 MW capacity</w:t>
      </w:r>
      <w:r w:rsidR="0036122F" w:rsidRPr="00ED6612">
        <w:rPr>
          <w:rFonts w:ascii="Arial" w:hAnsi="Arial" w:cs="Arial"/>
          <w:spacing w:val="-4"/>
          <w:sz w:val="22"/>
        </w:rPr>
        <w:t xml:space="preserve">. </w:t>
      </w:r>
      <w:r w:rsidR="00D8572B" w:rsidRPr="00ED6612">
        <w:rPr>
          <w:rFonts w:ascii="Arial" w:hAnsi="Arial" w:cs="Arial"/>
          <w:spacing w:val="-4"/>
          <w:sz w:val="22"/>
        </w:rPr>
        <w:t xml:space="preserve">Due to the limited size of projects, it is expected that projects under this category will be mainly biogas and biomass. </w:t>
      </w:r>
      <w:r w:rsidR="00FE0450" w:rsidRPr="00ED6612">
        <w:rPr>
          <w:rFonts w:ascii="Arial" w:hAnsi="Arial" w:cs="Arial"/>
          <w:spacing w:val="-4"/>
          <w:sz w:val="22"/>
        </w:rPr>
        <w:t xml:space="preserve">Biogas projects consist of the use of </w:t>
      </w:r>
      <w:r w:rsidR="001B3328" w:rsidRPr="00ED6612">
        <w:rPr>
          <w:rFonts w:ascii="Arial" w:hAnsi="Arial" w:cs="Arial"/>
          <w:spacing w:val="-4"/>
          <w:sz w:val="22"/>
        </w:rPr>
        <w:t>bio digesters</w:t>
      </w:r>
      <w:r w:rsidR="00FE0450" w:rsidRPr="00ED6612">
        <w:rPr>
          <w:rFonts w:ascii="Arial" w:hAnsi="Arial" w:cs="Arial"/>
          <w:spacing w:val="-4"/>
          <w:sz w:val="22"/>
        </w:rPr>
        <w:t xml:space="preserve">. Gases captured from the organic waste deposited in the </w:t>
      </w:r>
      <w:r w:rsidR="001B3328" w:rsidRPr="00ED6612">
        <w:rPr>
          <w:rFonts w:ascii="Arial" w:hAnsi="Arial" w:cs="Arial"/>
          <w:spacing w:val="-4"/>
          <w:sz w:val="22"/>
        </w:rPr>
        <w:t>bio digester</w:t>
      </w:r>
      <w:r w:rsidR="00FE0450" w:rsidRPr="00ED6612">
        <w:rPr>
          <w:rFonts w:ascii="Arial" w:hAnsi="Arial" w:cs="Arial"/>
          <w:spacing w:val="-4"/>
          <w:sz w:val="22"/>
        </w:rPr>
        <w:t xml:space="preserve"> can be used as energy.</w:t>
      </w:r>
      <w:r w:rsidRPr="00ED6612">
        <w:rPr>
          <w:rFonts w:ascii="Arial" w:hAnsi="Arial" w:cs="Arial"/>
          <w:spacing w:val="-4"/>
          <w:sz w:val="22"/>
        </w:rPr>
        <w:t xml:space="preserve"> </w:t>
      </w:r>
      <w:r w:rsidR="00FE0450" w:rsidRPr="00ED6612">
        <w:rPr>
          <w:rFonts w:ascii="Arial" w:hAnsi="Arial" w:cs="Arial"/>
          <w:spacing w:val="-4"/>
          <w:sz w:val="22"/>
        </w:rPr>
        <w:t xml:space="preserve">Biomass projects refer to plants that convert biomass </w:t>
      </w:r>
      <w:r w:rsidRPr="00ED6612">
        <w:rPr>
          <w:rFonts w:ascii="Arial" w:hAnsi="Arial" w:cs="Arial"/>
          <w:spacing w:val="-4"/>
          <w:sz w:val="22"/>
        </w:rPr>
        <w:t xml:space="preserve">(dry waste from forestry activity and other related industries such as wood and furniture, paper, logging) </w:t>
      </w:r>
      <w:r w:rsidR="00FE0450" w:rsidRPr="00ED6612">
        <w:rPr>
          <w:rFonts w:ascii="Arial" w:hAnsi="Arial" w:cs="Arial"/>
          <w:spacing w:val="-4"/>
          <w:sz w:val="22"/>
        </w:rPr>
        <w:t xml:space="preserve">into energy via thermochemical processes. </w:t>
      </w:r>
      <w:r w:rsidRPr="00ED6612">
        <w:rPr>
          <w:rFonts w:ascii="Arial" w:hAnsi="Arial" w:cs="Arial"/>
          <w:spacing w:val="-4"/>
          <w:sz w:val="22"/>
        </w:rPr>
        <w:t>For this category of projects, r</w:t>
      </w:r>
      <w:r w:rsidR="00FE0450" w:rsidRPr="00ED6612">
        <w:rPr>
          <w:rFonts w:ascii="Arial" w:hAnsi="Arial" w:cs="Arial"/>
          <w:spacing w:val="-4"/>
          <w:sz w:val="22"/>
        </w:rPr>
        <w:t>elatively large SME producers and cooperatives are in better position to guarantee an adequate supply of the resource</w:t>
      </w:r>
      <w:r w:rsidR="00023F3C" w:rsidRPr="00ED6612">
        <w:rPr>
          <w:rFonts w:ascii="Arial" w:hAnsi="Arial" w:cs="Arial"/>
          <w:spacing w:val="-4"/>
          <w:sz w:val="22"/>
        </w:rPr>
        <w:t>.</w:t>
      </w:r>
    </w:p>
    <w:p w14:paraId="456043FA" w14:textId="77777777" w:rsidR="0036122F" w:rsidRPr="00ED6612" w:rsidRDefault="0036122F" w:rsidP="008E3817">
      <w:pPr>
        <w:pStyle w:val="Paragraph"/>
        <w:numPr>
          <w:ilvl w:val="1"/>
          <w:numId w:val="7"/>
        </w:numPr>
        <w:spacing w:afterLines="80" w:after="192"/>
        <w:ind w:hanging="396"/>
        <w:rPr>
          <w:rFonts w:ascii="Arial" w:hAnsi="Arial" w:cs="Arial"/>
          <w:spacing w:val="-4"/>
          <w:sz w:val="22"/>
        </w:rPr>
      </w:pPr>
      <w:r w:rsidRPr="00ED6612">
        <w:rPr>
          <w:rFonts w:ascii="Arial" w:hAnsi="Arial" w:cs="Arial"/>
          <w:spacing w:val="-4"/>
          <w:sz w:val="22"/>
        </w:rPr>
        <w:t>EE in industry and service (electric/thermal), mainly energy intensive subsectors such as chemical, food processing, dairy, plastic. Technologies in this category include cooling systems, pumps, cogeneration, solar heating, boilers and heat recovery.</w:t>
      </w:r>
      <w:r w:rsidR="00023F3C" w:rsidRPr="00ED6612">
        <w:rPr>
          <w:rFonts w:ascii="Arial" w:hAnsi="Arial" w:cs="Arial"/>
          <w:spacing w:val="-4"/>
          <w:sz w:val="22"/>
        </w:rPr>
        <w:t xml:space="preserve"> EE projects consist of the replacement of obsolete and inefficient equipment for new ones that consume less energy to provide the same number of products or services.</w:t>
      </w:r>
      <w:bookmarkEnd w:id="26"/>
      <w:r w:rsidR="00023F3C" w:rsidRPr="00ED6612">
        <w:rPr>
          <w:rStyle w:val="FootnoteReference"/>
          <w:rFonts w:ascii="Arial" w:hAnsi="Arial" w:cs="Arial"/>
          <w:spacing w:val="-4"/>
          <w:sz w:val="22"/>
        </w:rPr>
        <w:footnoteReference w:id="15"/>
      </w:r>
    </w:p>
    <w:p w14:paraId="456043FB" w14:textId="0DAB14CD" w:rsidR="0036122F" w:rsidRPr="00ED6612" w:rsidRDefault="00023F3C" w:rsidP="008E3817">
      <w:pPr>
        <w:pStyle w:val="Paragraph"/>
        <w:numPr>
          <w:ilvl w:val="1"/>
          <w:numId w:val="4"/>
        </w:numPr>
        <w:tabs>
          <w:tab w:val="num" w:pos="720"/>
        </w:tabs>
        <w:spacing w:afterLines="80" w:after="192"/>
        <w:ind w:left="720" w:hanging="720"/>
        <w:rPr>
          <w:rFonts w:ascii="Arial" w:hAnsi="Arial" w:cs="Arial"/>
          <w:spacing w:val="-4"/>
          <w:sz w:val="22"/>
        </w:rPr>
      </w:pPr>
      <w:r w:rsidRPr="00ED6612">
        <w:rPr>
          <w:rFonts w:ascii="Arial" w:hAnsi="Arial" w:cs="Arial"/>
          <w:spacing w:val="-4"/>
          <w:sz w:val="22"/>
        </w:rPr>
        <w:t>It is important to note that</w:t>
      </w:r>
      <w:r w:rsidR="0036122F" w:rsidRPr="00ED6612">
        <w:rPr>
          <w:rFonts w:ascii="Arial" w:hAnsi="Arial" w:cs="Arial"/>
          <w:spacing w:val="-4"/>
          <w:sz w:val="22"/>
        </w:rPr>
        <w:t xml:space="preserve"> </w:t>
      </w:r>
      <w:r w:rsidRPr="00ED6612">
        <w:rPr>
          <w:rFonts w:ascii="Arial" w:hAnsi="Arial" w:cs="Arial"/>
          <w:spacing w:val="-4"/>
          <w:sz w:val="22"/>
        </w:rPr>
        <w:t>th</w:t>
      </w:r>
      <w:r w:rsidR="00CC614F" w:rsidRPr="00ED6612">
        <w:rPr>
          <w:rFonts w:ascii="Arial" w:hAnsi="Arial" w:cs="Arial"/>
          <w:spacing w:val="-4"/>
          <w:sz w:val="22"/>
        </w:rPr>
        <w:t>is</w:t>
      </w:r>
      <w:r w:rsidRPr="00ED6612">
        <w:rPr>
          <w:rFonts w:ascii="Arial" w:hAnsi="Arial" w:cs="Arial"/>
          <w:spacing w:val="-4"/>
          <w:sz w:val="22"/>
        </w:rPr>
        <w:t xml:space="preserve"> categori</w:t>
      </w:r>
      <w:r w:rsidR="00CC614F" w:rsidRPr="00ED6612">
        <w:rPr>
          <w:rFonts w:ascii="Arial" w:hAnsi="Arial" w:cs="Arial"/>
          <w:spacing w:val="-4"/>
          <w:sz w:val="22"/>
        </w:rPr>
        <w:t>zation</w:t>
      </w:r>
      <w:r w:rsidRPr="00ED6612">
        <w:rPr>
          <w:rFonts w:ascii="Arial" w:hAnsi="Arial" w:cs="Arial"/>
          <w:spacing w:val="-4"/>
          <w:sz w:val="22"/>
        </w:rPr>
        <w:t xml:space="preserve"> is only indicative and used for the purpose of making assumptions, but </w:t>
      </w:r>
      <w:r w:rsidR="0036122F" w:rsidRPr="00ED6612">
        <w:rPr>
          <w:rFonts w:ascii="Arial" w:hAnsi="Arial" w:cs="Arial"/>
          <w:spacing w:val="-4"/>
          <w:sz w:val="22"/>
        </w:rPr>
        <w:t xml:space="preserve">financing </w:t>
      </w:r>
      <w:r w:rsidRPr="00ED6612">
        <w:rPr>
          <w:rFonts w:ascii="Arial" w:hAnsi="Arial" w:cs="Arial"/>
          <w:spacing w:val="-4"/>
          <w:sz w:val="22"/>
        </w:rPr>
        <w:t xml:space="preserve">from the </w:t>
      </w:r>
      <w:r w:rsidR="00D11E5F">
        <w:rPr>
          <w:rFonts w:ascii="Arial" w:hAnsi="Arial" w:cs="Arial"/>
          <w:spacing w:val="-4"/>
          <w:sz w:val="22"/>
        </w:rPr>
        <w:t>project</w:t>
      </w:r>
      <w:r w:rsidR="0036122F" w:rsidRPr="00ED6612">
        <w:rPr>
          <w:rFonts w:ascii="Arial" w:hAnsi="Arial" w:cs="Arial"/>
          <w:spacing w:val="-4"/>
          <w:sz w:val="22"/>
        </w:rPr>
        <w:t xml:space="preserve"> will be open to other technologies and will be demand-driven.</w:t>
      </w:r>
    </w:p>
    <w:p w14:paraId="456043FC" w14:textId="4394FB41" w:rsidR="009E6A77" w:rsidRPr="00ED6612" w:rsidRDefault="009E6A77" w:rsidP="008E3817">
      <w:pPr>
        <w:pStyle w:val="Paragraph"/>
        <w:numPr>
          <w:ilvl w:val="1"/>
          <w:numId w:val="4"/>
        </w:numPr>
        <w:tabs>
          <w:tab w:val="num" w:pos="720"/>
        </w:tabs>
        <w:spacing w:afterLines="80" w:after="192"/>
        <w:ind w:left="720" w:hanging="720"/>
        <w:rPr>
          <w:rFonts w:ascii="Arial" w:hAnsi="Arial" w:cs="Arial"/>
          <w:spacing w:val="-4"/>
          <w:sz w:val="22"/>
        </w:rPr>
      </w:pPr>
      <w:bookmarkStart w:id="27" w:name="_Ref501208961"/>
      <w:r w:rsidRPr="00ED6612">
        <w:rPr>
          <w:rFonts w:ascii="Arial" w:hAnsi="Arial" w:cs="Arial"/>
          <w:spacing w:val="-3"/>
          <w:sz w:val="22"/>
        </w:rPr>
        <w:t xml:space="preserve">Although the </w:t>
      </w:r>
      <w:r w:rsidR="00D11E5F">
        <w:rPr>
          <w:rFonts w:ascii="Arial" w:hAnsi="Arial" w:cs="Arial"/>
          <w:spacing w:val="-3"/>
          <w:sz w:val="22"/>
        </w:rPr>
        <w:t>project</w:t>
      </w:r>
      <w:r w:rsidRPr="00ED6612">
        <w:rPr>
          <w:rFonts w:ascii="Arial" w:hAnsi="Arial" w:cs="Arial"/>
          <w:spacing w:val="-3"/>
          <w:sz w:val="22"/>
        </w:rPr>
        <w:t xml:space="preserve"> does not </w:t>
      </w:r>
      <w:r w:rsidR="00285D52" w:rsidRPr="00ED6612">
        <w:rPr>
          <w:rFonts w:ascii="Arial" w:hAnsi="Arial" w:cs="Arial"/>
          <w:spacing w:val="-3"/>
          <w:sz w:val="22"/>
        </w:rPr>
        <w:t>pre-establish</w:t>
      </w:r>
      <w:r w:rsidRPr="00ED6612">
        <w:rPr>
          <w:rFonts w:ascii="Arial" w:hAnsi="Arial" w:cs="Arial"/>
          <w:spacing w:val="-3"/>
          <w:sz w:val="22"/>
        </w:rPr>
        <w:t xml:space="preserve"> specific amounts to be allocated by subsector or technology, </w:t>
      </w:r>
      <w:r w:rsidR="00023F3C" w:rsidRPr="00ED6612">
        <w:rPr>
          <w:rFonts w:ascii="Arial" w:hAnsi="Arial" w:cs="Arial"/>
          <w:spacing w:val="-3"/>
          <w:sz w:val="22"/>
        </w:rPr>
        <w:t xml:space="preserve">based on the </w:t>
      </w:r>
      <w:r w:rsidR="00961999" w:rsidRPr="00ED6612">
        <w:rPr>
          <w:rFonts w:ascii="Arial" w:hAnsi="Arial" w:cs="Arial"/>
          <w:spacing w:val="-3"/>
          <w:sz w:val="22"/>
        </w:rPr>
        <w:t>discussion of tentative pipeline with BICE,</w:t>
      </w:r>
      <w:r w:rsidR="00023F3C" w:rsidRPr="00ED6612">
        <w:rPr>
          <w:rFonts w:ascii="Arial" w:hAnsi="Arial" w:cs="Arial"/>
          <w:spacing w:val="-3"/>
          <w:sz w:val="22"/>
        </w:rPr>
        <w:t xml:space="preserve"> </w:t>
      </w:r>
      <w:r w:rsidRPr="00ED6612">
        <w:rPr>
          <w:rFonts w:ascii="Arial" w:hAnsi="Arial" w:cs="Arial"/>
          <w:spacing w:val="-3"/>
          <w:sz w:val="22"/>
        </w:rPr>
        <w:t>it is assumed that the majority of the resources (</w:t>
      </w:r>
      <w:r w:rsidR="00023F3C" w:rsidRPr="00ED6612">
        <w:rPr>
          <w:rFonts w:ascii="Arial" w:hAnsi="Arial" w:cs="Arial"/>
          <w:spacing w:val="-3"/>
          <w:sz w:val="22"/>
        </w:rPr>
        <w:t>7</w:t>
      </w:r>
      <w:r w:rsidR="00961999" w:rsidRPr="00ED6612">
        <w:rPr>
          <w:rFonts w:ascii="Arial" w:hAnsi="Arial" w:cs="Arial"/>
          <w:spacing w:val="-3"/>
          <w:sz w:val="22"/>
        </w:rPr>
        <w:t>5</w:t>
      </w:r>
      <w:r w:rsidRPr="00ED6612">
        <w:rPr>
          <w:rFonts w:ascii="Arial" w:hAnsi="Arial" w:cs="Arial"/>
          <w:spacing w:val="-3"/>
          <w:sz w:val="22"/>
        </w:rPr>
        <w:t xml:space="preserve">%) will be used in </w:t>
      </w:r>
      <w:r w:rsidR="008C441D" w:rsidRPr="00ED6612">
        <w:rPr>
          <w:rFonts w:ascii="Arial" w:hAnsi="Arial" w:cs="Arial"/>
          <w:spacing w:val="-3"/>
          <w:sz w:val="22"/>
        </w:rPr>
        <w:t xml:space="preserve">RE projects </w:t>
      </w:r>
      <w:r w:rsidRPr="00ED6612">
        <w:rPr>
          <w:rFonts w:ascii="Arial" w:hAnsi="Arial" w:cs="Arial"/>
          <w:spacing w:val="-3"/>
          <w:sz w:val="22"/>
        </w:rPr>
        <w:t>(</w:t>
      </w:r>
      <w:r w:rsidR="008C441D" w:rsidRPr="00ED6612">
        <w:rPr>
          <w:rFonts w:ascii="Arial" w:hAnsi="Arial" w:cs="Arial"/>
          <w:spacing w:val="-3"/>
          <w:sz w:val="22"/>
        </w:rPr>
        <w:t>biogas and biomass</w:t>
      </w:r>
      <w:r w:rsidRPr="00ED6612">
        <w:rPr>
          <w:rFonts w:ascii="Arial" w:hAnsi="Arial" w:cs="Arial"/>
          <w:spacing w:val="-3"/>
          <w:sz w:val="22"/>
        </w:rPr>
        <w:t>) while the remaining funds (</w:t>
      </w:r>
      <w:r w:rsidR="008C441D" w:rsidRPr="00ED6612">
        <w:rPr>
          <w:rFonts w:ascii="Arial" w:hAnsi="Arial" w:cs="Arial"/>
          <w:spacing w:val="-3"/>
          <w:sz w:val="22"/>
        </w:rPr>
        <w:t>2</w:t>
      </w:r>
      <w:r w:rsidR="00961999" w:rsidRPr="00ED6612">
        <w:rPr>
          <w:rFonts w:ascii="Arial" w:hAnsi="Arial" w:cs="Arial"/>
          <w:spacing w:val="-3"/>
          <w:sz w:val="22"/>
        </w:rPr>
        <w:t>5</w:t>
      </w:r>
      <w:r w:rsidRPr="00ED6612">
        <w:rPr>
          <w:rFonts w:ascii="Arial" w:hAnsi="Arial" w:cs="Arial"/>
          <w:spacing w:val="-3"/>
          <w:sz w:val="22"/>
        </w:rPr>
        <w:t xml:space="preserve">%) will go to </w:t>
      </w:r>
      <w:r w:rsidR="008C441D" w:rsidRPr="00ED6612">
        <w:rPr>
          <w:rFonts w:ascii="Arial" w:hAnsi="Arial" w:cs="Arial"/>
          <w:spacing w:val="-3"/>
          <w:sz w:val="22"/>
        </w:rPr>
        <w:t>EE projects</w:t>
      </w:r>
      <w:r w:rsidRPr="00ED6612">
        <w:rPr>
          <w:rFonts w:ascii="Arial" w:hAnsi="Arial" w:cs="Arial"/>
          <w:spacing w:val="-3"/>
          <w:sz w:val="22"/>
        </w:rPr>
        <w:t>.</w:t>
      </w:r>
      <w:r w:rsidR="002310DF" w:rsidRPr="00ED6612">
        <w:rPr>
          <w:rStyle w:val="FootnoteReference"/>
          <w:rFonts w:ascii="Arial" w:hAnsi="Arial" w:cs="Arial"/>
          <w:spacing w:val="-3"/>
          <w:sz w:val="22"/>
        </w:rPr>
        <w:footnoteReference w:id="16"/>
      </w:r>
      <w:r w:rsidRPr="00ED6612">
        <w:rPr>
          <w:rFonts w:ascii="Arial" w:hAnsi="Arial" w:cs="Arial"/>
          <w:spacing w:val="-3"/>
          <w:sz w:val="22"/>
        </w:rPr>
        <w:t xml:space="preserve"> </w:t>
      </w:r>
      <w:r w:rsidR="008C441D" w:rsidRPr="00ED6612">
        <w:rPr>
          <w:rFonts w:ascii="Arial" w:hAnsi="Arial" w:cs="Arial"/>
          <w:spacing w:val="-4"/>
          <w:sz w:val="22"/>
        </w:rPr>
        <w:t xml:space="preserve">Such investments will be developed gradually throughout the 5-year execution period of the </w:t>
      </w:r>
      <w:r w:rsidR="00D11E5F">
        <w:rPr>
          <w:rFonts w:ascii="Arial" w:hAnsi="Arial" w:cs="Arial"/>
          <w:spacing w:val="-4"/>
          <w:sz w:val="22"/>
        </w:rPr>
        <w:t>project</w:t>
      </w:r>
      <w:r w:rsidR="008C441D" w:rsidRPr="00ED6612">
        <w:rPr>
          <w:rFonts w:ascii="Arial" w:hAnsi="Arial" w:cs="Arial"/>
          <w:spacing w:val="-4"/>
          <w:sz w:val="22"/>
        </w:rPr>
        <w:t>, based on an assumed schedule of project readiness and closing of deals by BICE and participating FIs (see Table 2.</w:t>
      </w:r>
      <w:r w:rsidR="00A43FBD" w:rsidRPr="00ED6612">
        <w:rPr>
          <w:rFonts w:ascii="Arial" w:hAnsi="Arial" w:cs="Arial"/>
          <w:spacing w:val="-4"/>
          <w:sz w:val="22"/>
        </w:rPr>
        <w:t>1</w:t>
      </w:r>
      <w:r w:rsidR="008C441D" w:rsidRPr="00ED6612">
        <w:rPr>
          <w:rFonts w:ascii="Arial" w:hAnsi="Arial" w:cs="Arial"/>
          <w:spacing w:val="-4"/>
          <w:sz w:val="22"/>
        </w:rPr>
        <w:t>).</w:t>
      </w:r>
      <w:r w:rsidR="008C441D" w:rsidRPr="00ED6612">
        <w:rPr>
          <w:rFonts w:ascii="Arial" w:hAnsi="Arial" w:cs="Arial"/>
          <w:spacing w:val="-3"/>
          <w:sz w:val="22"/>
        </w:rPr>
        <w:t xml:space="preserve"> </w:t>
      </w:r>
      <w:r w:rsidRPr="00ED6612">
        <w:rPr>
          <w:rFonts w:ascii="Arial" w:hAnsi="Arial" w:cs="Arial"/>
          <w:spacing w:val="-3"/>
          <w:sz w:val="22"/>
        </w:rPr>
        <w:t xml:space="preserve">From a demand perspective, appetite for investing in </w:t>
      </w:r>
      <w:r w:rsidR="00961999" w:rsidRPr="00ED6612">
        <w:rPr>
          <w:rFonts w:ascii="Arial" w:hAnsi="Arial" w:cs="Arial"/>
          <w:spacing w:val="-3"/>
          <w:sz w:val="22"/>
        </w:rPr>
        <w:t xml:space="preserve">EE </w:t>
      </w:r>
      <w:r w:rsidR="008C441D" w:rsidRPr="00ED6612">
        <w:rPr>
          <w:rFonts w:ascii="Arial" w:hAnsi="Arial" w:cs="Arial"/>
          <w:spacing w:val="-3"/>
          <w:sz w:val="22"/>
        </w:rPr>
        <w:t>projects</w:t>
      </w:r>
      <w:r w:rsidRPr="00ED6612">
        <w:rPr>
          <w:rFonts w:ascii="Arial" w:hAnsi="Arial" w:cs="Arial"/>
          <w:spacing w:val="-3"/>
          <w:sz w:val="22"/>
        </w:rPr>
        <w:t xml:space="preserve"> is determined not only by the cost of energy, but also potential productivity gains that SMEs expect to obtain from these technological changes</w:t>
      </w:r>
      <w:r w:rsidRPr="00ED6612">
        <w:rPr>
          <w:rFonts w:ascii="Arial" w:hAnsi="Arial" w:cs="Arial"/>
          <w:spacing w:val="-4"/>
          <w:sz w:val="22"/>
        </w:rPr>
        <w:t>.</w:t>
      </w:r>
      <w:bookmarkEnd w:id="27"/>
      <w:r w:rsidR="00961999" w:rsidRPr="00ED6612">
        <w:rPr>
          <w:rFonts w:ascii="Arial" w:hAnsi="Arial" w:cs="Arial"/>
          <w:spacing w:val="-4"/>
          <w:sz w:val="22"/>
        </w:rPr>
        <w:t xml:space="preserve"> In the case of RE projects, demand is guaranteed by secured contracts for those awarded by the </w:t>
      </w:r>
      <w:r w:rsidR="00961999" w:rsidRPr="00ED6612">
        <w:rPr>
          <w:rFonts w:ascii="Arial" w:hAnsi="Arial" w:cs="Arial"/>
          <w:i/>
          <w:spacing w:val="-4"/>
          <w:sz w:val="22"/>
        </w:rPr>
        <w:t>Renov</w:t>
      </w:r>
      <w:r w:rsidR="00A43383" w:rsidRPr="00ED6612">
        <w:rPr>
          <w:rFonts w:ascii="Arial" w:hAnsi="Arial" w:cs="Arial"/>
          <w:i/>
          <w:spacing w:val="-4"/>
          <w:sz w:val="22"/>
        </w:rPr>
        <w:t>A</w:t>
      </w:r>
      <w:r w:rsidR="00961999" w:rsidRPr="00ED6612">
        <w:rPr>
          <w:rFonts w:ascii="Arial" w:hAnsi="Arial" w:cs="Arial"/>
          <w:i/>
          <w:spacing w:val="-4"/>
          <w:sz w:val="22"/>
        </w:rPr>
        <w:t>r</w:t>
      </w:r>
      <w:r w:rsidR="00961999" w:rsidRPr="00ED6612">
        <w:rPr>
          <w:rFonts w:ascii="Arial" w:hAnsi="Arial" w:cs="Arial"/>
          <w:spacing w:val="-4"/>
          <w:sz w:val="22"/>
        </w:rPr>
        <w:t xml:space="preserve"> tenders (PPAs).</w:t>
      </w:r>
    </w:p>
    <w:p w14:paraId="456043FD" w14:textId="77777777" w:rsidR="00A43383" w:rsidRPr="00ED6612" w:rsidRDefault="00A43383" w:rsidP="008E3817">
      <w:pPr>
        <w:pStyle w:val="Paragraph"/>
        <w:tabs>
          <w:tab w:val="clear" w:pos="720"/>
          <w:tab w:val="num" w:pos="1800"/>
        </w:tabs>
        <w:spacing w:afterLines="80" w:after="192"/>
        <w:ind w:firstLine="0"/>
        <w:rPr>
          <w:rFonts w:ascii="Arial" w:hAnsi="Arial" w:cs="Arial"/>
          <w:spacing w:val="-4"/>
          <w:sz w:val="22"/>
        </w:rPr>
      </w:pPr>
    </w:p>
    <w:p w14:paraId="456043FE" w14:textId="77777777" w:rsidR="009E6A77" w:rsidRPr="00ED6612" w:rsidRDefault="009E6A77" w:rsidP="009E6A77">
      <w:pPr>
        <w:pStyle w:val="Paragraph"/>
        <w:tabs>
          <w:tab w:val="clear" w:pos="720"/>
          <w:tab w:val="num" w:pos="1800"/>
        </w:tabs>
        <w:spacing w:after="0"/>
        <w:ind w:firstLine="0"/>
        <w:rPr>
          <w:rFonts w:ascii="Arial" w:hAnsi="Arial" w:cs="Arial"/>
          <w:b/>
          <w:sz w:val="20"/>
          <w:szCs w:val="20"/>
        </w:rPr>
      </w:pPr>
      <w:r w:rsidRPr="00ED6612">
        <w:rPr>
          <w:rFonts w:ascii="Arial" w:hAnsi="Arial" w:cs="Arial"/>
          <w:b/>
          <w:sz w:val="20"/>
          <w:szCs w:val="20"/>
        </w:rPr>
        <w:lastRenderedPageBreak/>
        <w:t>Table 2.</w:t>
      </w:r>
      <w:r w:rsidR="00A43FBD" w:rsidRPr="00ED6612">
        <w:rPr>
          <w:rFonts w:ascii="Arial" w:hAnsi="Arial" w:cs="Arial"/>
          <w:b/>
          <w:sz w:val="20"/>
          <w:szCs w:val="20"/>
        </w:rPr>
        <w:t>1</w:t>
      </w:r>
      <w:r w:rsidRPr="00ED6612">
        <w:rPr>
          <w:rFonts w:ascii="Arial" w:hAnsi="Arial" w:cs="Arial"/>
          <w:b/>
          <w:sz w:val="20"/>
          <w:szCs w:val="20"/>
        </w:rPr>
        <w:t>.</w:t>
      </w:r>
      <w:r w:rsidR="008C441D" w:rsidRPr="00ED6612">
        <w:rPr>
          <w:rFonts w:ascii="Arial" w:hAnsi="Arial" w:cs="Arial"/>
          <w:b/>
          <w:sz w:val="20"/>
          <w:szCs w:val="20"/>
        </w:rPr>
        <w:t>-</w:t>
      </w:r>
      <w:r w:rsidRPr="00ED6612">
        <w:rPr>
          <w:rFonts w:ascii="Arial" w:hAnsi="Arial" w:cs="Arial"/>
          <w:b/>
          <w:sz w:val="20"/>
          <w:szCs w:val="20"/>
        </w:rPr>
        <w:t xml:space="preserve"> Disbursement schedule</w:t>
      </w:r>
    </w:p>
    <w:tbl>
      <w:tblPr>
        <w:tblStyle w:val="LightShading-Accent11"/>
        <w:tblW w:w="7920" w:type="dxa"/>
        <w:tblInd w:w="720" w:type="dxa"/>
        <w:tblLayout w:type="fixed"/>
        <w:tblLook w:val="04A0" w:firstRow="1" w:lastRow="0" w:firstColumn="1" w:lastColumn="0" w:noHBand="0" w:noVBand="1"/>
      </w:tblPr>
      <w:tblGrid>
        <w:gridCol w:w="3150"/>
        <w:gridCol w:w="810"/>
        <w:gridCol w:w="810"/>
        <w:gridCol w:w="720"/>
        <w:gridCol w:w="720"/>
        <w:gridCol w:w="900"/>
        <w:gridCol w:w="810"/>
      </w:tblGrid>
      <w:tr w:rsidR="009E6A77" w:rsidRPr="00ED6612" w14:paraId="45604406" w14:textId="77777777" w:rsidTr="00CC2F2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50" w:type="dxa"/>
            <w:vAlign w:val="center"/>
          </w:tcPr>
          <w:p w14:paraId="456043FF" w14:textId="77777777" w:rsidR="009E6A77" w:rsidRPr="00ED6612" w:rsidRDefault="009E6A77" w:rsidP="00737136">
            <w:pPr>
              <w:pStyle w:val="Paragraph"/>
              <w:tabs>
                <w:tab w:val="clear" w:pos="720"/>
              </w:tabs>
              <w:spacing w:before="20" w:after="20" w:line="360" w:lineRule="auto"/>
              <w:ind w:left="0" w:firstLine="0"/>
              <w:jc w:val="center"/>
              <w:rPr>
                <w:rFonts w:ascii="Arial" w:hAnsi="Arial" w:cs="Arial"/>
                <w:color w:val="auto"/>
                <w:sz w:val="18"/>
                <w:szCs w:val="18"/>
              </w:rPr>
            </w:pPr>
          </w:p>
        </w:tc>
        <w:tc>
          <w:tcPr>
            <w:tcW w:w="810" w:type="dxa"/>
            <w:vAlign w:val="center"/>
          </w:tcPr>
          <w:p w14:paraId="45604400" w14:textId="77777777" w:rsidR="009E6A77" w:rsidRPr="00ED6612" w:rsidRDefault="009E6A77" w:rsidP="00737136">
            <w:pPr>
              <w:pStyle w:val="Paragraph"/>
              <w:tabs>
                <w:tab w:val="clear" w:pos="720"/>
              </w:tabs>
              <w:spacing w:before="20" w:after="20" w:line="360" w:lineRule="auto"/>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color w:val="auto"/>
                <w:sz w:val="18"/>
                <w:szCs w:val="18"/>
              </w:rPr>
            </w:pPr>
            <w:r w:rsidRPr="00ED6612">
              <w:rPr>
                <w:rFonts w:ascii="Arial" w:hAnsi="Arial" w:cs="Arial"/>
                <w:color w:val="auto"/>
                <w:sz w:val="18"/>
                <w:szCs w:val="18"/>
              </w:rPr>
              <w:t>Y1</w:t>
            </w:r>
          </w:p>
        </w:tc>
        <w:tc>
          <w:tcPr>
            <w:tcW w:w="810" w:type="dxa"/>
            <w:vAlign w:val="center"/>
          </w:tcPr>
          <w:p w14:paraId="45604401" w14:textId="77777777" w:rsidR="009E6A77" w:rsidRPr="00ED6612" w:rsidRDefault="009E6A77" w:rsidP="00737136">
            <w:pPr>
              <w:pStyle w:val="Paragraph"/>
              <w:tabs>
                <w:tab w:val="clear" w:pos="720"/>
              </w:tabs>
              <w:spacing w:before="20" w:after="20" w:line="360" w:lineRule="auto"/>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color w:val="auto"/>
                <w:sz w:val="18"/>
                <w:szCs w:val="18"/>
              </w:rPr>
            </w:pPr>
            <w:r w:rsidRPr="00ED6612">
              <w:rPr>
                <w:rFonts w:ascii="Arial" w:hAnsi="Arial" w:cs="Arial"/>
                <w:color w:val="auto"/>
                <w:sz w:val="18"/>
                <w:szCs w:val="18"/>
              </w:rPr>
              <w:t>Y2</w:t>
            </w:r>
          </w:p>
        </w:tc>
        <w:tc>
          <w:tcPr>
            <w:tcW w:w="720" w:type="dxa"/>
            <w:vAlign w:val="center"/>
          </w:tcPr>
          <w:p w14:paraId="45604402" w14:textId="77777777" w:rsidR="009E6A77" w:rsidRPr="00ED6612" w:rsidRDefault="009E6A77" w:rsidP="00737136">
            <w:pPr>
              <w:pStyle w:val="Paragraph"/>
              <w:tabs>
                <w:tab w:val="clear" w:pos="720"/>
              </w:tabs>
              <w:spacing w:before="20" w:after="20" w:line="360" w:lineRule="auto"/>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color w:val="auto"/>
                <w:sz w:val="18"/>
                <w:szCs w:val="18"/>
              </w:rPr>
            </w:pPr>
            <w:r w:rsidRPr="00ED6612">
              <w:rPr>
                <w:rFonts w:ascii="Arial" w:hAnsi="Arial" w:cs="Arial"/>
                <w:color w:val="auto"/>
                <w:sz w:val="18"/>
                <w:szCs w:val="18"/>
              </w:rPr>
              <w:t>Y3</w:t>
            </w:r>
          </w:p>
        </w:tc>
        <w:tc>
          <w:tcPr>
            <w:tcW w:w="720" w:type="dxa"/>
            <w:vAlign w:val="center"/>
          </w:tcPr>
          <w:p w14:paraId="45604403" w14:textId="77777777" w:rsidR="009E6A77" w:rsidRPr="00ED6612" w:rsidRDefault="009E6A77" w:rsidP="00737136">
            <w:pPr>
              <w:pStyle w:val="Paragraph"/>
              <w:tabs>
                <w:tab w:val="clear" w:pos="720"/>
              </w:tabs>
              <w:spacing w:before="20" w:after="20" w:line="360" w:lineRule="auto"/>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color w:val="auto"/>
                <w:sz w:val="18"/>
                <w:szCs w:val="18"/>
              </w:rPr>
            </w:pPr>
            <w:r w:rsidRPr="00ED6612">
              <w:rPr>
                <w:rFonts w:ascii="Arial" w:hAnsi="Arial" w:cs="Arial"/>
                <w:color w:val="auto"/>
                <w:sz w:val="18"/>
                <w:szCs w:val="18"/>
              </w:rPr>
              <w:t>Y4</w:t>
            </w:r>
          </w:p>
        </w:tc>
        <w:tc>
          <w:tcPr>
            <w:tcW w:w="900" w:type="dxa"/>
            <w:vAlign w:val="center"/>
          </w:tcPr>
          <w:p w14:paraId="45604404" w14:textId="77777777" w:rsidR="009E6A77" w:rsidRPr="00ED6612" w:rsidRDefault="009E6A77" w:rsidP="00737136">
            <w:pPr>
              <w:pStyle w:val="Paragraph"/>
              <w:tabs>
                <w:tab w:val="clear" w:pos="720"/>
              </w:tabs>
              <w:spacing w:before="20" w:after="20" w:line="360" w:lineRule="auto"/>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color w:val="auto"/>
                <w:sz w:val="18"/>
                <w:szCs w:val="18"/>
              </w:rPr>
            </w:pPr>
            <w:r w:rsidRPr="00ED6612">
              <w:rPr>
                <w:rFonts w:ascii="Arial" w:hAnsi="Arial" w:cs="Arial"/>
                <w:color w:val="auto"/>
                <w:sz w:val="18"/>
                <w:szCs w:val="18"/>
              </w:rPr>
              <w:t>Y5</w:t>
            </w:r>
          </w:p>
        </w:tc>
        <w:tc>
          <w:tcPr>
            <w:tcW w:w="810" w:type="dxa"/>
          </w:tcPr>
          <w:p w14:paraId="45604405" w14:textId="77777777" w:rsidR="009E6A77" w:rsidRPr="00ED6612" w:rsidRDefault="009E6A77" w:rsidP="00737136">
            <w:pPr>
              <w:pStyle w:val="Paragraph"/>
              <w:tabs>
                <w:tab w:val="clear" w:pos="720"/>
              </w:tabs>
              <w:spacing w:before="20" w:after="20" w:line="360" w:lineRule="auto"/>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color w:val="auto"/>
                <w:sz w:val="18"/>
                <w:szCs w:val="18"/>
              </w:rPr>
            </w:pPr>
            <w:r w:rsidRPr="00ED6612">
              <w:rPr>
                <w:rFonts w:ascii="Arial" w:hAnsi="Arial" w:cs="Arial"/>
                <w:color w:val="auto"/>
                <w:sz w:val="18"/>
                <w:szCs w:val="18"/>
              </w:rPr>
              <w:t>Total</w:t>
            </w:r>
          </w:p>
        </w:tc>
      </w:tr>
      <w:tr w:rsidR="009E6A77" w:rsidRPr="00ED6612" w14:paraId="4560440E" w14:textId="77777777" w:rsidTr="00CC2F2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50" w:type="dxa"/>
          </w:tcPr>
          <w:p w14:paraId="45604407" w14:textId="1A5817BD" w:rsidR="009E6A77" w:rsidRPr="00ED6612" w:rsidRDefault="009E6A77" w:rsidP="00737136">
            <w:pPr>
              <w:pStyle w:val="Paragraph"/>
              <w:tabs>
                <w:tab w:val="clear" w:pos="720"/>
              </w:tabs>
              <w:spacing w:before="20" w:after="20" w:line="360" w:lineRule="auto"/>
              <w:ind w:left="0" w:firstLine="0"/>
              <w:rPr>
                <w:rFonts w:ascii="Arial" w:hAnsi="Arial" w:cs="Arial"/>
                <w:color w:val="auto"/>
                <w:sz w:val="18"/>
                <w:szCs w:val="18"/>
              </w:rPr>
            </w:pPr>
            <w:r w:rsidRPr="00ED6612">
              <w:rPr>
                <w:rFonts w:ascii="Arial" w:hAnsi="Arial" w:cs="Arial"/>
                <w:color w:val="auto"/>
                <w:sz w:val="18"/>
                <w:szCs w:val="18"/>
              </w:rPr>
              <w:t xml:space="preserve">Financing from </w:t>
            </w:r>
            <w:r w:rsidR="00D11E5F">
              <w:rPr>
                <w:rFonts w:ascii="Arial" w:hAnsi="Arial" w:cs="Arial"/>
                <w:color w:val="auto"/>
                <w:sz w:val="18"/>
                <w:szCs w:val="18"/>
              </w:rPr>
              <w:t>project</w:t>
            </w:r>
            <w:r w:rsidRPr="00ED6612">
              <w:rPr>
                <w:rFonts w:ascii="Arial" w:hAnsi="Arial" w:cs="Arial"/>
                <w:color w:val="auto"/>
                <w:sz w:val="18"/>
                <w:szCs w:val="18"/>
              </w:rPr>
              <w:t xml:space="preserve"> (USD)</w:t>
            </w:r>
          </w:p>
        </w:tc>
        <w:tc>
          <w:tcPr>
            <w:tcW w:w="810" w:type="dxa"/>
          </w:tcPr>
          <w:p w14:paraId="45604408" w14:textId="77777777" w:rsidR="009E6A77" w:rsidRPr="00ED6612" w:rsidRDefault="00961999" w:rsidP="00737136">
            <w:pPr>
              <w:pStyle w:val="Paragraph"/>
              <w:tabs>
                <w:tab w:val="clear" w:pos="720"/>
              </w:tabs>
              <w:spacing w:before="20" w:after="20" w:line="360" w:lineRule="auto"/>
              <w:ind w:left="0" w:firstLine="0"/>
              <w:jc w:val="center"/>
              <w:cnfStyle w:val="000000100000" w:firstRow="0" w:lastRow="0" w:firstColumn="0" w:lastColumn="0" w:oddVBand="0" w:evenVBand="0" w:oddHBand="1" w:evenHBand="0" w:firstRowFirstColumn="0" w:firstRowLastColumn="0" w:lastRowFirstColumn="0" w:lastRowLastColumn="0"/>
              <w:rPr>
                <w:rFonts w:ascii="Arial" w:hAnsi="Arial" w:cs="Arial"/>
                <w:color w:val="auto"/>
                <w:sz w:val="18"/>
                <w:szCs w:val="18"/>
              </w:rPr>
            </w:pPr>
            <w:r w:rsidRPr="00ED6612">
              <w:rPr>
                <w:rFonts w:ascii="Arial" w:hAnsi="Arial" w:cs="Arial"/>
                <w:color w:val="auto"/>
                <w:sz w:val="18"/>
                <w:szCs w:val="18"/>
              </w:rPr>
              <w:t>15.5</w:t>
            </w:r>
          </w:p>
        </w:tc>
        <w:tc>
          <w:tcPr>
            <w:tcW w:w="810" w:type="dxa"/>
          </w:tcPr>
          <w:p w14:paraId="45604409" w14:textId="77777777" w:rsidR="009E6A77" w:rsidRPr="00ED6612" w:rsidRDefault="00961999" w:rsidP="00737136">
            <w:pPr>
              <w:pStyle w:val="Paragraph"/>
              <w:tabs>
                <w:tab w:val="clear" w:pos="720"/>
              </w:tabs>
              <w:spacing w:before="20" w:after="20" w:line="360" w:lineRule="auto"/>
              <w:ind w:left="0" w:firstLine="0"/>
              <w:jc w:val="center"/>
              <w:cnfStyle w:val="000000100000" w:firstRow="0" w:lastRow="0" w:firstColumn="0" w:lastColumn="0" w:oddVBand="0" w:evenVBand="0" w:oddHBand="1" w:evenHBand="0" w:firstRowFirstColumn="0" w:firstRowLastColumn="0" w:lastRowFirstColumn="0" w:lastRowLastColumn="0"/>
              <w:rPr>
                <w:rFonts w:ascii="Arial" w:hAnsi="Arial" w:cs="Arial"/>
                <w:color w:val="auto"/>
                <w:sz w:val="18"/>
                <w:szCs w:val="18"/>
              </w:rPr>
            </w:pPr>
            <w:r w:rsidRPr="00ED6612">
              <w:rPr>
                <w:rFonts w:ascii="Arial" w:hAnsi="Arial" w:cs="Arial"/>
                <w:color w:val="auto"/>
                <w:sz w:val="18"/>
                <w:szCs w:val="18"/>
              </w:rPr>
              <w:t>31.0</w:t>
            </w:r>
          </w:p>
        </w:tc>
        <w:tc>
          <w:tcPr>
            <w:tcW w:w="720" w:type="dxa"/>
          </w:tcPr>
          <w:p w14:paraId="4560440A" w14:textId="77777777" w:rsidR="009E6A77" w:rsidRPr="00ED6612" w:rsidRDefault="00961999" w:rsidP="00737136">
            <w:pPr>
              <w:pStyle w:val="Paragraph"/>
              <w:tabs>
                <w:tab w:val="clear" w:pos="720"/>
              </w:tabs>
              <w:spacing w:before="20" w:after="20" w:line="360" w:lineRule="auto"/>
              <w:ind w:left="0" w:firstLine="0"/>
              <w:jc w:val="center"/>
              <w:cnfStyle w:val="000000100000" w:firstRow="0" w:lastRow="0" w:firstColumn="0" w:lastColumn="0" w:oddVBand="0" w:evenVBand="0" w:oddHBand="1" w:evenHBand="0" w:firstRowFirstColumn="0" w:firstRowLastColumn="0" w:lastRowFirstColumn="0" w:lastRowLastColumn="0"/>
              <w:rPr>
                <w:rFonts w:ascii="Arial" w:hAnsi="Arial" w:cs="Arial"/>
                <w:color w:val="auto"/>
                <w:sz w:val="18"/>
                <w:szCs w:val="18"/>
              </w:rPr>
            </w:pPr>
            <w:r w:rsidRPr="00ED6612">
              <w:rPr>
                <w:rFonts w:ascii="Arial" w:hAnsi="Arial" w:cs="Arial"/>
                <w:color w:val="auto"/>
                <w:sz w:val="18"/>
                <w:szCs w:val="18"/>
              </w:rPr>
              <w:t>43.3</w:t>
            </w:r>
          </w:p>
        </w:tc>
        <w:tc>
          <w:tcPr>
            <w:tcW w:w="720" w:type="dxa"/>
          </w:tcPr>
          <w:p w14:paraId="4560440B" w14:textId="77777777" w:rsidR="009E6A77" w:rsidRPr="00ED6612" w:rsidRDefault="00961999" w:rsidP="00737136">
            <w:pPr>
              <w:pStyle w:val="Paragraph"/>
              <w:tabs>
                <w:tab w:val="clear" w:pos="720"/>
              </w:tabs>
              <w:spacing w:before="20" w:after="20" w:line="360" w:lineRule="auto"/>
              <w:ind w:left="0" w:firstLine="0"/>
              <w:jc w:val="center"/>
              <w:cnfStyle w:val="000000100000" w:firstRow="0" w:lastRow="0" w:firstColumn="0" w:lastColumn="0" w:oddVBand="0" w:evenVBand="0" w:oddHBand="1" w:evenHBand="0" w:firstRowFirstColumn="0" w:firstRowLastColumn="0" w:lastRowFirstColumn="0" w:lastRowLastColumn="0"/>
              <w:rPr>
                <w:rFonts w:ascii="Arial" w:hAnsi="Arial" w:cs="Arial"/>
                <w:color w:val="auto"/>
                <w:sz w:val="18"/>
                <w:szCs w:val="18"/>
              </w:rPr>
            </w:pPr>
            <w:r w:rsidRPr="00ED6612">
              <w:rPr>
                <w:rFonts w:ascii="Arial" w:hAnsi="Arial" w:cs="Arial"/>
                <w:color w:val="auto"/>
                <w:sz w:val="18"/>
                <w:szCs w:val="18"/>
              </w:rPr>
              <w:t>54.1</w:t>
            </w:r>
          </w:p>
        </w:tc>
        <w:tc>
          <w:tcPr>
            <w:tcW w:w="900" w:type="dxa"/>
          </w:tcPr>
          <w:p w14:paraId="4560440C" w14:textId="77777777" w:rsidR="009E6A77" w:rsidRPr="00ED6612" w:rsidRDefault="00961999" w:rsidP="00737136">
            <w:pPr>
              <w:pStyle w:val="Paragraph"/>
              <w:tabs>
                <w:tab w:val="clear" w:pos="720"/>
              </w:tabs>
              <w:spacing w:before="20" w:after="20" w:line="360" w:lineRule="auto"/>
              <w:ind w:left="0" w:firstLine="0"/>
              <w:jc w:val="center"/>
              <w:cnfStyle w:val="000000100000" w:firstRow="0" w:lastRow="0" w:firstColumn="0" w:lastColumn="0" w:oddVBand="0" w:evenVBand="0" w:oddHBand="1" w:evenHBand="0" w:firstRowFirstColumn="0" w:firstRowLastColumn="0" w:lastRowFirstColumn="0" w:lastRowLastColumn="0"/>
              <w:rPr>
                <w:rFonts w:ascii="Arial" w:hAnsi="Arial" w:cs="Arial"/>
                <w:color w:val="auto"/>
                <w:sz w:val="18"/>
                <w:szCs w:val="18"/>
              </w:rPr>
            </w:pPr>
            <w:r w:rsidRPr="00ED6612">
              <w:rPr>
                <w:rFonts w:ascii="Arial" w:hAnsi="Arial" w:cs="Arial"/>
                <w:color w:val="auto"/>
                <w:sz w:val="18"/>
                <w:szCs w:val="18"/>
              </w:rPr>
              <w:t>16.1</w:t>
            </w:r>
          </w:p>
        </w:tc>
        <w:tc>
          <w:tcPr>
            <w:tcW w:w="810" w:type="dxa"/>
          </w:tcPr>
          <w:p w14:paraId="4560440D" w14:textId="77777777" w:rsidR="009E6A77" w:rsidRPr="00ED6612" w:rsidRDefault="008C441D" w:rsidP="00737136">
            <w:pPr>
              <w:pStyle w:val="Paragraph"/>
              <w:tabs>
                <w:tab w:val="clear" w:pos="720"/>
              </w:tabs>
              <w:spacing w:before="20" w:after="20" w:line="360" w:lineRule="auto"/>
              <w:ind w:left="0" w:firstLine="0"/>
              <w:jc w:val="center"/>
              <w:cnfStyle w:val="000000100000" w:firstRow="0" w:lastRow="0" w:firstColumn="0" w:lastColumn="0" w:oddVBand="0" w:evenVBand="0" w:oddHBand="1" w:evenHBand="0" w:firstRowFirstColumn="0" w:firstRowLastColumn="0" w:lastRowFirstColumn="0" w:lastRowLastColumn="0"/>
              <w:rPr>
                <w:rFonts w:ascii="Arial" w:hAnsi="Arial" w:cs="Arial"/>
                <w:color w:val="auto"/>
                <w:sz w:val="18"/>
                <w:szCs w:val="18"/>
              </w:rPr>
            </w:pPr>
            <w:r w:rsidRPr="00ED6612">
              <w:rPr>
                <w:rFonts w:ascii="Arial" w:hAnsi="Arial" w:cs="Arial"/>
                <w:color w:val="auto"/>
                <w:sz w:val="18"/>
                <w:szCs w:val="18"/>
              </w:rPr>
              <w:t>160</w:t>
            </w:r>
          </w:p>
        </w:tc>
      </w:tr>
      <w:tr w:rsidR="009E6A77" w:rsidRPr="00ED6612" w14:paraId="45604416" w14:textId="77777777" w:rsidTr="00CC2F2E">
        <w:tc>
          <w:tcPr>
            <w:cnfStyle w:val="001000000000" w:firstRow="0" w:lastRow="0" w:firstColumn="1" w:lastColumn="0" w:oddVBand="0" w:evenVBand="0" w:oddHBand="0" w:evenHBand="0" w:firstRowFirstColumn="0" w:firstRowLastColumn="0" w:lastRowFirstColumn="0" w:lastRowLastColumn="0"/>
            <w:tcW w:w="3150" w:type="dxa"/>
          </w:tcPr>
          <w:p w14:paraId="4560440F" w14:textId="77777777" w:rsidR="009E6A77" w:rsidRPr="00ED6612" w:rsidRDefault="009E6A77" w:rsidP="00737136">
            <w:pPr>
              <w:pStyle w:val="Paragraph"/>
              <w:tabs>
                <w:tab w:val="clear" w:pos="720"/>
              </w:tabs>
              <w:spacing w:before="20" w:after="20" w:line="360" w:lineRule="auto"/>
              <w:ind w:left="0" w:firstLine="0"/>
              <w:rPr>
                <w:rFonts w:ascii="Arial" w:hAnsi="Arial" w:cs="Arial"/>
                <w:color w:val="auto"/>
                <w:sz w:val="18"/>
                <w:szCs w:val="18"/>
              </w:rPr>
            </w:pPr>
            <w:r w:rsidRPr="00ED6612">
              <w:rPr>
                <w:rFonts w:ascii="Arial" w:hAnsi="Arial" w:cs="Arial"/>
                <w:color w:val="auto"/>
                <w:sz w:val="18"/>
                <w:szCs w:val="18"/>
              </w:rPr>
              <w:t>Beneficiary sub projects (number)</w:t>
            </w:r>
          </w:p>
        </w:tc>
        <w:tc>
          <w:tcPr>
            <w:tcW w:w="810" w:type="dxa"/>
          </w:tcPr>
          <w:p w14:paraId="45604410" w14:textId="77777777" w:rsidR="009E6A77" w:rsidRPr="00ED6612" w:rsidRDefault="008253DA" w:rsidP="00737136">
            <w:pPr>
              <w:pStyle w:val="Paragraph"/>
              <w:tabs>
                <w:tab w:val="clear" w:pos="720"/>
              </w:tabs>
              <w:spacing w:before="20" w:after="20" w:line="360" w:lineRule="auto"/>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color w:val="auto"/>
                <w:sz w:val="18"/>
                <w:szCs w:val="18"/>
              </w:rPr>
            </w:pPr>
            <w:r w:rsidRPr="00ED6612">
              <w:rPr>
                <w:rFonts w:ascii="Arial" w:hAnsi="Arial" w:cs="Arial"/>
                <w:color w:val="auto"/>
                <w:sz w:val="18"/>
                <w:szCs w:val="18"/>
              </w:rPr>
              <w:t>4</w:t>
            </w:r>
          </w:p>
        </w:tc>
        <w:tc>
          <w:tcPr>
            <w:tcW w:w="810" w:type="dxa"/>
          </w:tcPr>
          <w:p w14:paraId="45604411" w14:textId="77777777" w:rsidR="009E6A77" w:rsidRPr="00ED6612" w:rsidRDefault="008253DA" w:rsidP="00737136">
            <w:pPr>
              <w:pStyle w:val="Paragraph"/>
              <w:tabs>
                <w:tab w:val="clear" w:pos="720"/>
              </w:tabs>
              <w:spacing w:before="20" w:after="20" w:line="360" w:lineRule="auto"/>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color w:val="auto"/>
                <w:sz w:val="18"/>
                <w:szCs w:val="18"/>
              </w:rPr>
            </w:pPr>
            <w:r w:rsidRPr="00ED6612">
              <w:rPr>
                <w:rFonts w:ascii="Arial" w:hAnsi="Arial" w:cs="Arial"/>
                <w:color w:val="auto"/>
                <w:sz w:val="18"/>
                <w:szCs w:val="18"/>
              </w:rPr>
              <w:t>10</w:t>
            </w:r>
          </w:p>
        </w:tc>
        <w:tc>
          <w:tcPr>
            <w:tcW w:w="720" w:type="dxa"/>
          </w:tcPr>
          <w:p w14:paraId="45604412" w14:textId="77777777" w:rsidR="009E6A77" w:rsidRPr="00ED6612" w:rsidRDefault="008253DA" w:rsidP="00737136">
            <w:pPr>
              <w:pStyle w:val="Paragraph"/>
              <w:tabs>
                <w:tab w:val="clear" w:pos="720"/>
              </w:tabs>
              <w:spacing w:before="20" w:after="20" w:line="360" w:lineRule="auto"/>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color w:val="auto"/>
                <w:sz w:val="18"/>
                <w:szCs w:val="18"/>
              </w:rPr>
            </w:pPr>
            <w:r w:rsidRPr="00ED6612">
              <w:rPr>
                <w:rFonts w:ascii="Arial" w:hAnsi="Arial" w:cs="Arial"/>
                <w:color w:val="auto"/>
                <w:sz w:val="18"/>
                <w:szCs w:val="18"/>
              </w:rPr>
              <w:t>27</w:t>
            </w:r>
          </w:p>
        </w:tc>
        <w:tc>
          <w:tcPr>
            <w:tcW w:w="720" w:type="dxa"/>
          </w:tcPr>
          <w:p w14:paraId="45604413" w14:textId="77777777" w:rsidR="009E6A77" w:rsidRPr="00ED6612" w:rsidRDefault="008253DA" w:rsidP="00737136">
            <w:pPr>
              <w:pStyle w:val="Paragraph"/>
              <w:tabs>
                <w:tab w:val="clear" w:pos="720"/>
              </w:tabs>
              <w:spacing w:before="20" w:after="20" w:line="360" w:lineRule="auto"/>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color w:val="auto"/>
                <w:sz w:val="18"/>
                <w:szCs w:val="18"/>
              </w:rPr>
            </w:pPr>
            <w:r w:rsidRPr="00ED6612">
              <w:rPr>
                <w:rFonts w:ascii="Arial" w:hAnsi="Arial" w:cs="Arial"/>
                <w:color w:val="auto"/>
                <w:sz w:val="18"/>
                <w:szCs w:val="18"/>
              </w:rPr>
              <w:t>39</w:t>
            </w:r>
          </w:p>
        </w:tc>
        <w:tc>
          <w:tcPr>
            <w:tcW w:w="900" w:type="dxa"/>
          </w:tcPr>
          <w:p w14:paraId="45604414" w14:textId="77777777" w:rsidR="009E6A77" w:rsidRPr="00ED6612" w:rsidRDefault="008253DA" w:rsidP="00737136">
            <w:pPr>
              <w:pStyle w:val="Paragraph"/>
              <w:tabs>
                <w:tab w:val="clear" w:pos="720"/>
              </w:tabs>
              <w:spacing w:before="20" w:after="20" w:line="360" w:lineRule="auto"/>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color w:val="auto"/>
                <w:sz w:val="18"/>
                <w:szCs w:val="18"/>
              </w:rPr>
            </w:pPr>
            <w:r w:rsidRPr="00ED6612">
              <w:rPr>
                <w:rFonts w:ascii="Arial" w:hAnsi="Arial" w:cs="Arial"/>
                <w:color w:val="auto"/>
                <w:sz w:val="18"/>
                <w:szCs w:val="18"/>
              </w:rPr>
              <w:t>51</w:t>
            </w:r>
          </w:p>
        </w:tc>
        <w:tc>
          <w:tcPr>
            <w:tcW w:w="810" w:type="dxa"/>
          </w:tcPr>
          <w:p w14:paraId="45604415" w14:textId="77777777" w:rsidR="009E6A77" w:rsidRPr="00ED6612" w:rsidRDefault="008253DA" w:rsidP="00737136">
            <w:pPr>
              <w:pStyle w:val="Paragraph"/>
              <w:tabs>
                <w:tab w:val="clear" w:pos="720"/>
              </w:tabs>
              <w:spacing w:before="20" w:after="20" w:line="360" w:lineRule="auto"/>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color w:val="auto"/>
                <w:sz w:val="18"/>
                <w:szCs w:val="18"/>
              </w:rPr>
            </w:pPr>
            <w:r w:rsidRPr="00ED6612">
              <w:rPr>
                <w:rFonts w:ascii="Arial" w:hAnsi="Arial" w:cs="Arial"/>
                <w:color w:val="auto"/>
                <w:sz w:val="18"/>
                <w:szCs w:val="18"/>
              </w:rPr>
              <w:t>131</w:t>
            </w:r>
          </w:p>
        </w:tc>
      </w:tr>
    </w:tbl>
    <w:p w14:paraId="45604417" w14:textId="06876CDC" w:rsidR="004A6A0F" w:rsidRPr="00ED6612" w:rsidRDefault="004A6A0F" w:rsidP="008E3817">
      <w:pPr>
        <w:pStyle w:val="Paragraph"/>
        <w:numPr>
          <w:ilvl w:val="1"/>
          <w:numId w:val="4"/>
        </w:numPr>
        <w:tabs>
          <w:tab w:val="num" w:pos="720"/>
        </w:tabs>
        <w:spacing w:afterLines="80" w:after="192"/>
        <w:ind w:left="720" w:hanging="720"/>
        <w:rPr>
          <w:rFonts w:ascii="Arial" w:hAnsi="Arial" w:cs="Arial"/>
          <w:sz w:val="22"/>
        </w:rPr>
      </w:pPr>
      <w:r w:rsidRPr="00ED6612">
        <w:rPr>
          <w:rFonts w:ascii="Arial" w:hAnsi="Arial" w:cs="Arial"/>
          <w:sz w:val="22"/>
        </w:rPr>
        <w:t xml:space="preserve">Annual projections for each category have been estimated </w:t>
      </w:r>
      <w:r w:rsidR="0030330D" w:rsidRPr="00ED6612">
        <w:rPr>
          <w:rFonts w:ascii="Arial" w:hAnsi="Arial" w:cs="Arial"/>
          <w:sz w:val="22"/>
        </w:rPr>
        <w:t xml:space="preserve">based on a </w:t>
      </w:r>
      <w:r w:rsidRPr="00ED6612">
        <w:rPr>
          <w:rFonts w:ascii="Arial" w:hAnsi="Arial" w:cs="Arial"/>
          <w:sz w:val="22"/>
        </w:rPr>
        <w:t xml:space="preserve">distribution of </w:t>
      </w:r>
      <w:r w:rsidR="0030330D" w:rsidRPr="00ED6612">
        <w:rPr>
          <w:rFonts w:ascii="Arial" w:hAnsi="Arial" w:cs="Arial"/>
          <w:sz w:val="22"/>
        </w:rPr>
        <w:t xml:space="preserve">financial closing/implementation of </w:t>
      </w:r>
      <w:r w:rsidRPr="00ED6612">
        <w:rPr>
          <w:rFonts w:ascii="Arial" w:hAnsi="Arial" w:cs="Arial"/>
          <w:sz w:val="22"/>
        </w:rPr>
        <w:t xml:space="preserve">the total number of projects </w:t>
      </w:r>
      <w:r w:rsidR="0030330D" w:rsidRPr="00ED6612">
        <w:rPr>
          <w:rFonts w:ascii="Arial" w:hAnsi="Arial" w:cs="Arial"/>
          <w:sz w:val="22"/>
        </w:rPr>
        <w:t xml:space="preserve">throughout </w:t>
      </w:r>
      <w:r w:rsidRPr="00ED6612">
        <w:rPr>
          <w:rFonts w:ascii="Arial" w:hAnsi="Arial" w:cs="Arial"/>
          <w:sz w:val="22"/>
        </w:rPr>
        <w:t>the 5-year execution period</w:t>
      </w:r>
      <w:r w:rsidR="008253DA" w:rsidRPr="00ED6612">
        <w:rPr>
          <w:rFonts w:ascii="Arial" w:hAnsi="Arial" w:cs="Arial"/>
          <w:sz w:val="22"/>
        </w:rPr>
        <w:t xml:space="preserve">, following discussions </w:t>
      </w:r>
      <w:r w:rsidR="002310DF" w:rsidRPr="00ED6612">
        <w:rPr>
          <w:rFonts w:ascii="Arial" w:hAnsi="Arial" w:cs="Arial"/>
          <w:sz w:val="22"/>
        </w:rPr>
        <w:t xml:space="preserve">and agreements </w:t>
      </w:r>
      <w:r w:rsidR="008253DA" w:rsidRPr="00ED6612">
        <w:rPr>
          <w:rFonts w:ascii="Arial" w:hAnsi="Arial" w:cs="Arial"/>
          <w:sz w:val="22"/>
        </w:rPr>
        <w:t>with BICE</w:t>
      </w:r>
      <w:r w:rsidR="001938EB" w:rsidRPr="00ED6612">
        <w:rPr>
          <w:rStyle w:val="FootnoteReference"/>
          <w:rFonts w:ascii="Arial" w:hAnsi="Arial" w:cs="Arial"/>
          <w:sz w:val="22"/>
        </w:rPr>
        <w:footnoteReference w:id="17"/>
      </w:r>
      <w:r w:rsidR="008253DA" w:rsidRPr="00ED6612">
        <w:rPr>
          <w:rFonts w:ascii="Arial" w:hAnsi="Arial" w:cs="Arial"/>
          <w:sz w:val="22"/>
        </w:rPr>
        <w:t xml:space="preserve"> and IDB experience with similar </w:t>
      </w:r>
      <w:r w:rsidR="00D11E5F">
        <w:rPr>
          <w:rFonts w:ascii="Arial" w:hAnsi="Arial" w:cs="Arial"/>
          <w:sz w:val="22"/>
        </w:rPr>
        <w:t>project</w:t>
      </w:r>
      <w:r w:rsidR="008253DA" w:rsidRPr="00ED6612">
        <w:rPr>
          <w:rFonts w:ascii="Arial" w:hAnsi="Arial" w:cs="Arial"/>
          <w:sz w:val="22"/>
        </w:rPr>
        <w:t>s on programming and pace of disbursements</w:t>
      </w:r>
      <w:r w:rsidRPr="00ED6612">
        <w:rPr>
          <w:rFonts w:ascii="Arial" w:hAnsi="Arial" w:cs="Arial"/>
          <w:sz w:val="22"/>
        </w:rPr>
        <w:t xml:space="preserve">. The sum of the annual percentages is equal to 100% of the target </w:t>
      </w:r>
      <w:r w:rsidR="008253DA" w:rsidRPr="00ED6612">
        <w:rPr>
          <w:rFonts w:ascii="Arial" w:hAnsi="Arial" w:cs="Arial"/>
          <w:sz w:val="22"/>
        </w:rPr>
        <w:t>for each category of projects, namely RE or EE</w:t>
      </w:r>
      <w:r w:rsidRPr="00ED6612">
        <w:rPr>
          <w:rFonts w:ascii="Arial" w:hAnsi="Arial" w:cs="Arial"/>
          <w:sz w:val="22"/>
        </w:rPr>
        <w:t xml:space="preserve">. For example, for </w:t>
      </w:r>
      <w:r w:rsidR="008253DA" w:rsidRPr="00ED6612">
        <w:rPr>
          <w:rFonts w:ascii="Arial" w:hAnsi="Arial" w:cs="Arial"/>
          <w:sz w:val="22"/>
        </w:rPr>
        <w:t xml:space="preserve">RE </w:t>
      </w:r>
      <w:r w:rsidRPr="00ED6612">
        <w:rPr>
          <w:rFonts w:ascii="Arial" w:hAnsi="Arial" w:cs="Arial"/>
          <w:sz w:val="22"/>
        </w:rPr>
        <w:t xml:space="preserve">projects, distribution considers </w:t>
      </w:r>
      <w:r w:rsidR="008253DA" w:rsidRPr="00ED6612">
        <w:rPr>
          <w:rFonts w:ascii="Arial" w:hAnsi="Arial" w:cs="Arial"/>
          <w:sz w:val="22"/>
        </w:rPr>
        <w:t xml:space="preserve">the timeframe to complete implementation of the projects from the moment of financial close (an average of 18 months); hence, </w:t>
      </w:r>
      <w:r w:rsidR="0030330D" w:rsidRPr="00ED6612">
        <w:rPr>
          <w:rFonts w:ascii="Arial" w:hAnsi="Arial" w:cs="Arial"/>
          <w:sz w:val="22"/>
        </w:rPr>
        <w:t>while financing occurs on the first year, accounting of projects that begin operation starts in year 2. In both RE and EE cases, the</w:t>
      </w:r>
      <w:r w:rsidRPr="00ED6612">
        <w:rPr>
          <w:rFonts w:ascii="Arial" w:hAnsi="Arial" w:cs="Arial"/>
          <w:sz w:val="22"/>
        </w:rPr>
        <w:t xml:space="preserve"> annual growth </w:t>
      </w:r>
      <w:r w:rsidR="0030330D" w:rsidRPr="00ED6612">
        <w:rPr>
          <w:rFonts w:ascii="Arial" w:hAnsi="Arial" w:cs="Arial"/>
          <w:sz w:val="22"/>
        </w:rPr>
        <w:t xml:space="preserve">takes </w:t>
      </w:r>
      <w:r w:rsidRPr="00ED6612">
        <w:rPr>
          <w:rFonts w:ascii="Arial" w:hAnsi="Arial" w:cs="Arial"/>
          <w:sz w:val="22"/>
        </w:rPr>
        <w:t>into account an initial learning stage and a progressive increase of the number of projects,</w:t>
      </w:r>
      <w:r w:rsidR="0030330D" w:rsidRPr="00ED6612">
        <w:rPr>
          <w:rFonts w:ascii="Arial" w:hAnsi="Arial" w:cs="Arial"/>
          <w:sz w:val="22"/>
        </w:rPr>
        <w:t xml:space="preserve"> especially in the case of EE.</w:t>
      </w:r>
      <w:r w:rsidRPr="00ED6612">
        <w:rPr>
          <w:rFonts w:ascii="Arial" w:hAnsi="Arial" w:cs="Arial"/>
          <w:sz w:val="22"/>
        </w:rPr>
        <w:t xml:space="preserve"> </w:t>
      </w:r>
      <w:r w:rsidR="0030330D" w:rsidRPr="00ED6612">
        <w:rPr>
          <w:rFonts w:ascii="Arial" w:hAnsi="Arial" w:cs="Arial"/>
          <w:sz w:val="22"/>
        </w:rPr>
        <w:t xml:space="preserve">The reason for this is </w:t>
      </w:r>
      <w:r w:rsidRPr="00ED6612">
        <w:rPr>
          <w:rFonts w:ascii="Arial" w:hAnsi="Arial" w:cs="Arial"/>
          <w:sz w:val="22"/>
        </w:rPr>
        <w:t xml:space="preserve">that it is expected that the </w:t>
      </w:r>
      <w:r w:rsidR="00D11E5F">
        <w:rPr>
          <w:rFonts w:ascii="Arial" w:hAnsi="Arial" w:cs="Arial"/>
          <w:sz w:val="22"/>
        </w:rPr>
        <w:t>project</w:t>
      </w:r>
      <w:r w:rsidRPr="00ED6612">
        <w:rPr>
          <w:rFonts w:ascii="Arial" w:hAnsi="Arial" w:cs="Arial"/>
          <w:sz w:val="22"/>
        </w:rPr>
        <w:t xml:space="preserve"> will engage more suppliers and customers interested in technology solutions and the BICE </w:t>
      </w:r>
      <w:r w:rsidR="00D11E5F">
        <w:rPr>
          <w:rFonts w:ascii="Arial" w:hAnsi="Arial" w:cs="Arial"/>
          <w:sz w:val="22"/>
        </w:rPr>
        <w:t>project</w:t>
      </w:r>
      <w:r w:rsidRPr="00ED6612">
        <w:rPr>
          <w:rFonts w:ascii="Arial" w:hAnsi="Arial" w:cs="Arial"/>
          <w:sz w:val="22"/>
        </w:rPr>
        <w:t>.</w:t>
      </w:r>
    </w:p>
    <w:p w14:paraId="45604418" w14:textId="77777777" w:rsidR="0023067A" w:rsidRPr="00ED6612" w:rsidRDefault="0023067A" w:rsidP="0023067A">
      <w:pPr>
        <w:pStyle w:val="Paragraph"/>
        <w:tabs>
          <w:tab w:val="clear" w:pos="720"/>
        </w:tabs>
        <w:spacing w:after="0"/>
        <w:ind w:left="0" w:firstLine="720"/>
        <w:rPr>
          <w:rFonts w:ascii="Arial" w:hAnsi="Arial" w:cs="Arial"/>
          <w:b/>
          <w:sz w:val="20"/>
          <w:szCs w:val="20"/>
        </w:rPr>
      </w:pPr>
      <w:r w:rsidRPr="00ED6612">
        <w:rPr>
          <w:rFonts w:ascii="Arial" w:hAnsi="Arial" w:cs="Arial"/>
          <w:b/>
          <w:sz w:val="20"/>
          <w:szCs w:val="20"/>
        </w:rPr>
        <w:t>Table 2.</w:t>
      </w:r>
      <w:r w:rsidR="00A43FBD" w:rsidRPr="00ED6612">
        <w:rPr>
          <w:rFonts w:ascii="Arial" w:hAnsi="Arial" w:cs="Arial"/>
          <w:b/>
          <w:sz w:val="20"/>
          <w:szCs w:val="20"/>
        </w:rPr>
        <w:t>2</w:t>
      </w:r>
      <w:r w:rsidRPr="00ED6612">
        <w:rPr>
          <w:rFonts w:ascii="Arial" w:hAnsi="Arial" w:cs="Arial"/>
          <w:b/>
          <w:sz w:val="20"/>
          <w:szCs w:val="20"/>
        </w:rPr>
        <w:t>.- Distribution of projects per year</w:t>
      </w:r>
    </w:p>
    <w:tbl>
      <w:tblPr>
        <w:tblStyle w:val="LightShading-Accent11"/>
        <w:tblW w:w="7920" w:type="dxa"/>
        <w:tblInd w:w="738" w:type="dxa"/>
        <w:tblLayout w:type="fixed"/>
        <w:tblLook w:val="04A0" w:firstRow="1" w:lastRow="0" w:firstColumn="1" w:lastColumn="0" w:noHBand="0" w:noVBand="1"/>
      </w:tblPr>
      <w:tblGrid>
        <w:gridCol w:w="2880"/>
        <w:gridCol w:w="1080"/>
        <w:gridCol w:w="990"/>
        <w:gridCol w:w="900"/>
        <w:gridCol w:w="1080"/>
        <w:gridCol w:w="990"/>
      </w:tblGrid>
      <w:tr w:rsidR="0023067A" w:rsidRPr="00ED6612" w14:paraId="4560441F" w14:textId="77777777" w:rsidTr="0023067A">
        <w:trPr>
          <w:cnfStyle w:val="100000000000" w:firstRow="1" w:lastRow="0" w:firstColumn="0" w:lastColumn="0" w:oddVBand="0" w:evenVBand="0" w:oddHBand="0" w:evenHBand="0" w:firstRowFirstColumn="0" w:firstRowLastColumn="0" w:lastRowFirstColumn="0" w:lastRowLastColumn="0"/>
          <w:trHeight w:val="98"/>
        </w:trPr>
        <w:tc>
          <w:tcPr>
            <w:cnfStyle w:val="001000000000" w:firstRow="0" w:lastRow="0" w:firstColumn="1" w:lastColumn="0" w:oddVBand="0" w:evenVBand="0" w:oddHBand="0" w:evenHBand="0" w:firstRowFirstColumn="0" w:firstRowLastColumn="0" w:lastRowFirstColumn="0" w:lastRowLastColumn="0"/>
            <w:tcW w:w="2880" w:type="dxa"/>
          </w:tcPr>
          <w:p w14:paraId="45604419" w14:textId="77777777" w:rsidR="004A6A0F" w:rsidRPr="00ED6612" w:rsidRDefault="004A6A0F" w:rsidP="00737136">
            <w:pPr>
              <w:spacing w:before="20" w:after="20"/>
              <w:rPr>
                <w:rFonts w:ascii="Arial" w:eastAsia="Times New Roman" w:hAnsi="Arial" w:cs="Arial"/>
                <w:color w:val="000000"/>
                <w:sz w:val="18"/>
                <w:szCs w:val="18"/>
              </w:rPr>
            </w:pPr>
          </w:p>
        </w:tc>
        <w:tc>
          <w:tcPr>
            <w:tcW w:w="1080" w:type="dxa"/>
            <w:noWrap/>
            <w:hideMark/>
          </w:tcPr>
          <w:p w14:paraId="4560441A" w14:textId="77777777" w:rsidR="004A6A0F" w:rsidRPr="00ED6612" w:rsidRDefault="004A6A0F" w:rsidP="00737136">
            <w:pPr>
              <w:spacing w:before="20" w:after="20"/>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Cs w:val="0"/>
                <w:color w:val="000000"/>
                <w:sz w:val="18"/>
                <w:szCs w:val="18"/>
              </w:rPr>
            </w:pPr>
            <w:r w:rsidRPr="00ED6612">
              <w:rPr>
                <w:rFonts w:ascii="Arial" w:eastAsia="Times New Roman" w:hAnsi="Arial" w:cs="Arial"/>
                <w:bCs w:val="0"/>
                <w:color w:val="000000"/>
                <w:sz w:val="18"/>
                <w:szCs w:val="18"/>
              </w:rPr>
              <w:t>Y1</w:t>
            </w:r>
          </w:p>
        </w:tc>
        <w:tc>
          <w:tcPr>
            <w:tcW w:w="990" w:type="dxa"/>
            <w:noWrap/>
            <w:hideMark/>
          </w:tcPr>
          <w:p w14:paraId="4560441B" w14:textId="77777777" w:rsidR="004A6A0F" w:rsidRPr="00ED6612" w:rsidRDefault="004A6A0F" w:rsidP="00737136">
            <w:pPr>
              <w:spacing w:before="20" w:after="20"/>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Cs w:val="0"/>
                <w:color w:val="000000"/>
                <w:sz w:val="18"/>
                <w:szCs w:val="18"/>
              </w:rPr>
            </w:pPr>
            <w:r w:rsidRPr="00ED6612">
              <w:rPr>
                <w:rFonts w:ascii="Arial" w:eastAsia="Times New Roman" w:hAnsi="Arial" w:cs="Arial"/>
                <w:bCs w:val="0"/>
                <w:color w:val="000000"/>
                <w:sz w:val="18"/>
                <w:szCs w:val="18"/>
              </w:rPr>
              <w:t>Y2</w:t>
            </w:r>
          </w:p>
        </w:tc>
        <w:tc>
          <w:tcPr>
            <w:tcW w:w="900" w:type="dxa"/>
            <w:noWrap/>
            <w:hideMark/>
          </w:tcPr>
          <w:p w14:paraId="4560441C" w14:textId="77777777" w:rsidR="004A6A0F" w:rsidRPr="00ED6612" w:rsidRDefault="004A6A0F" w:rsidP="00737136">
            <w:pPr>
              <w:spacing w:before="20" w:after="20"/>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Cs w:val="0"/>
                <w:color w:val="000000"/>
                <w:sz w:val="18"/>
                <w:szCs w:val="18"/>
              </w:rPr>
            </w:pPr>
            <w:r w:rsidRPr="00ED6612">
              <w:rPr>
                <w:rFonts w:ascii="Arial" w:eastAsia="Times New Roman" w:hAnsi="Arial" w:cs="Arial"/>
                <w:bCs w:val="0"/>
                <w:color w:val="000000"/>
                <w:sz w:val="18"/>
                <w:szCs w:val="18"/>
              </w:rPr>
              <w:t>Y3</w:t>
            </w:r>
          </w:p>
        </w:tc>
        <w:tc>
          <w:tcPr>
            <w:tcW w:w="1080" w:type="dxa"/>
            <w:noWrap/>
            <w:hideMark/>
          </w:tcPr>
          <w:p w14:paraId="4560441D" w14:textId="77777777" w:rsidR="004A6A0F" w:rsidRPr="00ED6612" w:rsidRDefault="004A6A0F" w:rsidP="00737136">
            <w:pPr>
              <w:spacing w:before="20" w:after="20"/>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Cs w:val="0"/>
                <w:color w:val="000000"/>
                <w:sz w:val="18"/>
                <w:szCs w:val="18"/>
              </w:rPr>
            </w:pPr>
            <w:r w:rsidRPr="00ED6612">
              <w:rPr>
                <w:rFonts w:ascii="Arial" w:eastAsia="Times New Roman" w:hAnsi="Arial" w:cs="Arial"/>
                <w:bCs w:val="0"/>
                <w:color w:val="000000"/>
                <w:sz w:val="18"/>
                <w:szCs w:val="18"/>
              </w:rPr>
              <w:t>Y4</w:t>
            </w:r>
          </w:p>
        </w:tc>
        <w:tc>
          <w:tcPr>
            <w:tcW w:w="990" w:type="dxa"/>
            <w:noWrap/>
            <w:hideMark/>
          </w:tcPr>
          <w:p w14:paraId="4560441E" w14:textId="77777777" w:rsidR="004A6A0F" w:rsidRPr="00ED6612" w:rsidRDefault="004A6A0F" w:rsidP="00737136">
            <w:pPr>
              <w:spacing w:before="20" w:after="20"/>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Cs w:val="0"/>
                <w:color w:val="000000"/>
                <w:sz w:val="18"/>
                <w:szCs w:val="18"/>
              </w:rPr>
            </w:pPr>
            <w:r w:rsidRPr="00ED6612">
              <w:rPr>
                <w:rFonts w:ascii="Arial" w:eastAsia="Times New Roman" w:hAnsi="Arial" w:cs="Arial"/>
                <w:bCs w:val="0"/>
                <w:color w:val="000000"/>
                <w:sz w:val="18"/>
                <w:szCs w:val="18"/>
              </w:rPr>
              <w:t>Y5</w:t>
            </w:r>
          </w:p>
        </w:tc>
      </w:tr>
      <w:tr w:rsidR="004A6A0F" w:rsidRPr="00ED6612" w14:paraId="45604426" w14:textId="77777777" w:rsidTr="0030330D">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2880" w:type="dxa"/>
            <w:hideMark/>
          </w:tcPr>
          <w:p w14:paraId="45604420" w14:textId="77777777" w:rsidR="004A6A0F" w:rsidRPr="00ED6612" w:rsidRDefault="00740448" w:rsidP="00737136">
            <w:pPr>
              <w:spacing w:before="20" w:after="20"/>
              <w:rPr>
                <w:rFonts w:ascii="Arial" w:eastAsia="Times New Roman" w:hAnsi="Arial" w:cs="Arial"/>
                <w:b w:val="0"/>
                <w:bCs w:val="0"/>
                <w:iCs/>
                <w:color w:val="000000"/>
                <w:sz w:val="18"/>
                <w:szCs w:val="18"/>
              </w:rPr>
            </w:pPr>
            <w:r w:rsidRPr="00ED6612">
              <w:rPr>
                <w:rFonts w:ascii="Arial" w:eastAsia="Times New Roman" w:hAnsi="Arial" w:cs="Arial"/>
                <w:b w:val="0"/>
                <w:color w:val="000000"/>
                <w:sz w:val="18"/>
                <w:szCs w:val="18"/>
              </w:rPr>
              <w:t xml:space="preserve">RE </w:t>
            </w:r>
            <w:r w:rsidR="004A6A0F" w:rsidRPr="00ED6612">
              <w:rPr>
                <w:rFonts w:ascii="Arial" w:eastAsia="Times New Roman" w:hAnsi="Arial" w:cs="Arial"/>
                <w:b w:val="0"/>
                <w:color w:val="000000"/>
                <w:sz w:val="18"/>
                <w:szCs w:val="18"/>
              </w:rPr>
              <w:t>Biogas</w:t>
            </w:r>
            <w:r w:rsidR="0030330D" w:rsidRPr="00ED6612">
              <w:rPr>
                <w:rFonts w:ascii="Arial" w:eastAsia="Times New Roman" w:hAnsi="Arial" w:cs="Arial"/>
                <w:b w:val="0"/>
                <w:color w:val="000000"/>
                <w:sz w:val="18"/>
                <w:szCs w:val="18"/>
              </w:rPr>
              <w:t>/Biomass</w:t>
            </w:r>
          </w:p>
        </w:tc>
        <w:tc>
          <w:tcPr>
            <w:tcW w:w="1080" w:type="dxa"/>
            <w:noWrap/>
          </w:tcPr>
          <w:p w14:paraId="45604421" w14:textId="77777777" w:rsidR="004A6A0F" w:rsidRPr="00ED6612" w:rsidRDefault="0030330D" w:rsidP="00737136">
            <w:pPr>
              <w:spacing w:before="20" w:after="20"/>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ED6612">
              <w:rPr>
                <w:rFonts w:ascii="Arial" w:eastAsia="Times New Roman" w:hAnsi="Arial" w:cs="Arial"/>
                <w:color w:val="000000"/>
                <w:sz w:val="18"/>
                <w:szCs w:val="18"/>
              </w:rPr>
              <w:t>0</w:t>
            </w:r>
          </w:p>
        </w:tc>
        <w:tc>
          <w:tcPr>
            <w:tcW w:w="990" w:type="dxa"/>
            <w:noWrap/>
          </w:tcPr>
          <w:p w14:paraId="45604422" w14:textId="77777777" w:rsidR="004A6A0F" w:rsidRPr="00ED6612" w:rsidRDefault="0030330D" w:rsidP="00737136">
            <w:pPr>
              <w:spacing w:before="20" w:after="20"/>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ED6612">
              <w:rPr>
                <w:rFonts w:ascii="Arial" w:eastAsia="Times New Roman" w:hAnsi="Arial" w:cs="Arial"/>
                <w:color w:val="000000"/>
                <w:sz w:val="18"/>
                <w:szCs w:val="18"/>
              </w:rPr>
              <w:t>2</w:t>
            </w:r>
          </w:p>
        </w:tc>
        <w:tc>
          <w:tcPr>
            <w:tcW w:w="900" w:type="dxa"/>
            <w:noWrap/>
          </w:tcPr>
          <w:p w14:paraId="45604423" w14:textId="77777777" w:rsidR="004A6A0F" w:rsidRPr="00ED6612" w:rsidRDefault="0030330D" w:rsidP="00737136">
            <w:pPr>
              <w:spacing w:before="20" w:after="20"/>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ED6612">
              <w:rPr>
                <w:rFonts w:ascii="Arial" w:eastAsia="Times New Roman" w:hAnsi="Arial" w:cs="Arial"/>
                <w:color w:val="000000"/>
                <w:sz w:val="18"/>
                <w:szCs w:val="18"/>
              </w:rPr>
              <w:t>4</w:t>
            </w:r>
          </w:p>
        </w:tc>
        <w:tc>
          <w:tcPr>
            <w:tcW w:w="1080" w:type="dxa"/>
            <w:noWrap/>
          </w:tcPr>
          <w:p w14:paraId="45604424" w14:textId="77777777" w:rsidR="004A6A0F" w:rsidRPr="00ED6612" w:rsidRDefault="0030330D" w:rsidP="00737136">
            <w:pPr>
              <w:spacing w:before="20" w:after="20"/>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ED6612">
              <w:rPr>
                <w:rFonts w:ascii="Arial" w:eastAsia="Times New Roman" w:hAnsi="Arial" w:cs="Arial"/>
                <w:color w:val="000000"/>
                <w:sz w:val="18"/>
                <w:szCs w:val="18"/>
              </w:rPr>
              <w:t>5</w:t>
            </w:r>
          </w:p>
        </w:tc>
        <w:tc>
          <w:tcPr>
            <w:tcW w:w="990" w:type="dxa"/>
            <w:noWrap/>
          </w:tcPr>
          <w:p w14:paraId="45604425" w14:textId="77777777" w:rsidR="004A6A0F" w:rsidRPr="00ED6612" w:rsidRDefault="0030330D" w:rsidP="00737136">
            <w:pPr>
              <w:spacing w:before="20" w:after="20"/>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ED6612">
              <w:rPr>
                <w:rFonts w:ascii="Arial" w:eastAsia="Times New Roman" w:hAnsi="Arial" w:cs="Arial"/>
                <w:color w:val="000000"/>
                <w:sz w:val="18"/>
                <w:szCs w:val="18"/>
              </w:rPr>
              <w:t>6</w:t>
            </w:r>
          </w:p>
        </w:tc>
      </w:tr>
      <w:tr w:rsidR="004A6A0F" w:rsidRPr="00ED6612" w14:paraId="4560442D" w14:textId="77777777" w:rsidTr="0030330D">
        <w:trPr>
          <w:trHeight w:val="315"/>
        </w:trPr>
        <w:tc>
          <w:tcPr>
            <w:cnfStyle w:val="001000000000" w:firstRow="0" w:lastRow="0" w:firstColumn="1" w:lastColumn="0" w:oddVBand="0" w:evenVBand="0" w:oddHBand="0" w:evenHBand="0" w:firstRowFirstColumn="0" w:firstRowLastColumn="0" w:lastRowFirstColumn="0" w:lastRowLastColumn="0"/>
            <w:tcW w:w="2880" w:type="dxa"/>
            <w:noWrap/>
            <w:hideMark/>
          </w:tcPr>
          <w:p w14:paraId="45604427" w14:textId="77777777" w:rsidR="004A6A0F" w:rsidRPr="00ED6612" w:rsidRDefault="004A6A0F" w:rsidP="00737136">
            <w:pPr>
              <w:spacing w:before="20" w:after="20"/>
              <w:rPr>
                <w:rFonts w:ascii="Arial" w:eastAsia="Times New Roman" w:hAnsi="Arial" w:cs="Arial"/>
                <w:b w:val="0"/>
                <w:color w:val="000000"/>
                <w:sz w:val="18"/>
                <w:szCs w:val="18"/>
              </w:rPr>
            </w:pPr>
            <w:r w:rsidRPr="00ED6612">
              <w:rPr>
                <w:rFonts w:ascii="Arial" w:eastAsia="Times New Roman" w:hAnsi="Arial" w:cs="Arial"/>
                <w:b w:val="0"/>
                <w:color w:val="000000"/>
                <w:sz w:val="18"/>
                <w:szCs w:val="18"/>
              </w:rPr>
              <w:t>Energy efficiency</w:t>
            </w:r>
          </w:p>
        </w:tc>
        <w:tc>
          <w:tcPr>
            <w:tcW w:w="1080" w:type="dxa"/>
            <w:noWrap/>
          </w:tcPr>
          <w:p w14:paraId="45604428" w14:textId="77777777" w:rsidR="004A6A0F" w:rsidRPr="00ED6612" w:rsidRDefault="0030330D" w:rsidP="00737136">
            <w:pPr>
              <w:spacing w:before="20" w:after="20"/>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ED6612">
              <w:rPr>
                <w:rFonts w:ascii="Arial" w:eastAsia="Times New Roman" w:hAnsi="Arial" w:cs="Arial"/>
                <w:color w:val="000000"/>
                <w:sz w:val="18"/>
                <w:szCs w:val="18"/>
              </w:rPr>
              <w:t>4</w:t>
            </w:r>
          </w:p>
        </w:tc>
        <w:tc>
          <w:tcPr>
            <w:tcW w:w="990" w:type="dxa"/>
            <w:noWrap/>
          </w:tcPr>
          <w:p w14:paraId="45604429" w14:textId="77777777" w:rsidR="004A6A0F" w:rsidRPr="00ED6612" w:rsidRDefault="0030330D" w:rsidP="00737136">
            <w:pPr>
              <w:spacing w:before="20" w:after="20"/>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ED6612">
              <w:rPr>
                <w:rFonts w:ascii="Arial" w:eastAsia="Times New Roman" w:hAnsi="Arial" w:cs="Arial"/>
                <w:color w:val="000000"/>
                <w:sz w:val="18"/>
                <w:szCs w:val="18"/>
              </w:rPr>
              <w:t>8</w:t>
            </w:r>
          </w:p>
        </w:tc>
        <w:tc>
          <w:tcPr>
            <w:tcW w:w="900" w:type="dxa"/>
            <w:noWrap/>
          </w:tcPr>
          <w:p w14:paraId="4560442A" w14:textId="77777777" w:rsidR="004A6A0F" w:rsidRPr="00ED6612" w:rsidRDefault="0030330D" w:rsidP="00737136">
            <w:pPr>
              <w:spacing w:before="20" w:after="20"/>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ED6612">
              <w:rPr>
                <w:rFonts w:ascii="Arial" w:eastAsia="Times New Roman" w:hAnsi="Arial" w:cs="Arial"/>
                <w:color w:val="000000"/>
                <w:sz w:val="18"/>
                <w:szCs w:val="18"/>
              </w:rPr>
              <w:t>23</w:t>
            </w:r>
          </w:p>
        </w:tc>
        <w:tc>
          <w:tcPr>
            <w:tcW w:w="1080" w:type="dxa"/>
            <w:noWrap/>
          </w:tcPr>
          <w:p w14:paraId="4560442B" w14:textId="77777777" w:rsidR="004A6A0F" w:rsidRPr="00ED6612" w:rsidRDefault="0030330D" w:rsidP="00737136">
            <w:pPr>
              <w:spacing w:before="20" w:after="20"/>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ED6612">
              <w:rPr>
                <w:rFonts w:ascii="Arial" w:eastAsia="Times New Roman" w:hAnsi="Arial" w:cs="Arial"/>
                <w:color w:val="000000"/>
                <w:sz w:val="18"/>
                <w:szCs w:val="18"/>
              </w:rPr>
              <w:t>34</w:t>
            </w:r>
          </w:p>
        </w:tc>
        <w:tc>
          <w:tcPr>
            <w:tcW w:w="990" w:type="dxa"/>
            <w:noWrap/>
          </w:tcPr>
          <w:p w14:paraId="4560442C" w14:textId="77777777" w:rsidR="004A6A0F" w:rsidRPr="00ED6612" w:rsidRDefault="0030330D" w:rsidP="00737136">
            <w:pPr>
              <w:spacing w:before="20" w:after="20"/>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ED6612">
              <w:rPr>
                <w:rFonts w:ascii="Arial" w:eastAsia="Times New Roman" w:hAnsi="Arial" w:cs="Arial"/>
                <w:color w:val="000000"/>
                <w:sz w:val="18"/>
                <w:szCs w:val="18"/>
              </w:rPr>
              <w:t>45</w:t>
            </w:r>
          </w:p>
        </w:tc>
      </w:tr>
    </w:tbl>
    <w:p w14:paraId="4560442E" w14:textId="77777777" w:rsidR="009E6A77" w:rsidRPr="00ED6612" w:rsidRDefault="009E6A77" w:rsidP="008E3817">
      <w:pPr>
        <w:pStyle w:val="Paragraph"/>
        <w:numPr>
          <w:ilvl w:val="1"/>
          <w:numId w:val="4"/>
        </w:numPr>
        <w:tabs>
          <w:tab w:val="num" w:pos="720"/>
        </w:tabs>
        <w:spacing w:afterLines="80" w:after="192"/>
        <w:ind w:left="720" w:hanging="720"/>
        <w:rPr>
          <w:rFonts w:ascii="Arial" w:hAnsi="Arial" w:cs="Arial"/>
          <w:sz w:val="22"/>
        </w:rPr>
      </w:pPr>
      <w:r w:rsidRPr="00ED6612">
        <w:rPr>
          <w:rFonts w:ascii="Arial" w:hAnsi="Arial" w:cs="Arial"/>
          <w:sz w:val="22"/>
        </w:rPr>
        <w:t xml:space="preserve">Based on information collected from </w:t>
      </w:r>
      <w:r w:rsidR="0030330D" w:rsidRPr="00ED6612">
        <w:rPr>
          <w:rFonts w:ascii="Arial" w:hAnsi="Arial" w:cs="Arial"/>
          <w:sz w:val="22"/>
        </w:rPr>
        <w:t xml:space="preserve">BICE, the Ministry of Energy and Mines, </w:t>
      </w:r>
      <w:r w:rsidRPr="00ED6612">
        <w:rPr>
          <w:rFonts w:ascii="Arial" w:hAnsi="Arial" w:cs="Arial"/>
          <w:sz w:val="22"/>
        </w:rPr>
        <w:t xml:space="preserve">technology service providers, local and international experts on the field and relevant studies available, parameters have been established for a typical project (in average terms) </w:t>
      </w:r>
      <w:r w:rsidR="00037662" w:rsidRPr="00ED6612">
        <w:rPr>
          <w:rFonts w:ascii="Arial" w:hAnsi="Arial" w:cs="Arial"/>
          <w:sz w:val="22"/>
        </w:rPr>
        <w:t>for each of these</w:t>
      </w:r>
      <w:r w:rsidRPr="00ED6612">
        <w:rPr>
          <w:rFonts w:ascii="Arial" w:hAnsi="Arial" w:cs="Arial"/>
          <w:sz w:val="22"/>
        </w:rPr>
        <w:t xml:space="preserve"> technologies and subsectors. The data is presented in Table 2.</w:t>
      </w:r>
      <w:r w:rsidR="00037662" w:rsidRPr="00ED6612">
        <w:rPr>
          <w:rFonts w:ascii="Arial" w:hAnsi="Arial" w:cs="Arial"/>
          <w:sz w:val="22"/>
        </w:rPr>
        <w:t>3</w:t>
      </w:r>
      <w:r w:rsidR="00ED2FFA" w:rsidRPr="00ED6612">
        <w:rPr>
          <w:rFonts w:ascii="Arial" w:hAnsi="Arial" w:cs="Arial"/>
          <w:sz w:val="22"/>
        </w:rPr>
        <w:t xml:space="preserve"> and 2.4</w:t>
      </w:r>
      <w:r w:rsidRPr="00ED6612">
        <w:rPr>
          <w:rFonts w:ascii="Arial" w:hAnsi="Arial" w:cs="Arial"/>
          <w:sz w:val="22"/>
        </w:rPr>
        <w:t>.</w:t>
      </w:r>
    </w:p>
    <w:p w14:paraId="4560442F" w14:textId="77777777" w:rsidR="009E6A77" w:rsidRPr="00ED6612" w:rsidRDefault="009E6A77" w:rsidP="009E6A77">
      <w:pPr>
        <w:pStyle w:val="Paragraph"/>
        <w:tabs>
          <w:tab w:val="clear" w:pos="720"/>
          <w:tab w:val="num" w:pos="1800"/>
        </w:tabs>
        <w:spacing w:after="0"/>
        <w:ind w:firstLine="0"/>
        <w:rPr>
          <w:rFonts w:ascii="Arial" w:eastAsia="Times New Roman" w:hAnsi="Arial" w:cs="Arial"/>
          <w:b/>
          <w:sz w:val="20"/>
          <w:szCs w:val="20"/>
        </w:rPr>
      </w:pPr>
      <w:bookmarkStart w:id="29" w:name="_Hlk501026286"/>
      <w:r w:rsidRPr="00ED6612">
        <w:rPr>
          <w:rFonts w:ascii="Arial" w:hAnsi="Arial" w:cs="Arial"/>
          <w:b/>
          <w:sz w:val="20"/>
          <w:szCs w:val="20"/>
        </w:rPr>
        <w:t>Table 2.</w:t>
      </w:r>
      <w:r w:rsidR="00037662" w:rsidRPr="00ED6612">
        <w:rPr>
          <w:rFonts w:ascii="Arial" w:hAnsi="Arial" w:cs="Arial"/>
          <w:b/>
          <w:sz w:val="20"/>
          <w:szCs w:val="20"/>
        </w:rPr>
        <w:t>3</w:t>
      </w:r>
      <w:r w:rsidRPr="00ED6612">
        <w:rPr>
          <w:rFonts w:ascii="Arial" w:hAnsi="Arial" w:cs="Arial"/>
          <w:b/>
          <w:sz w:val="20"/>
          <w:szCs w:val="20"/>
        </w:rPr>
        <w:t>.</w:t>
      </w:r>
      <w:r w:rsidR="00911CB1" w:rsidRPr="00ED6612">
        <w:rPr>
          <w:rFonts w:ascii="Arial" w:hAnsi="Arial" w:cs="Arial"/>
          <w:b/>
          <w:sz w:val="20"/>
          <w:szCs w:val="20"/>
        </w:rPr>
        <w:t>-</w:t>
      </w:r>
      <w:r w:rsidRPr="00ED6612">
        <w:rPr>
          <w:rFonts w:ascii="Arial" w:hAnsi="Arial" w:cs="Arial"/>
          <w:b/>
          <w:sz w:val="20"/>
          <w:szCs w:val="20"/>
        </w:rPr>
        <w:t xml:space="preserve"> </w:t>
      </w:r>
      <w:r w:rsidRPr="00ED6612">
        <w:rPr>
          <w:rFonts w:ascii="Arial" w:eastAsia="Times New Roman" w:hAnsi="Arial" w:cs="Arial"/>
          <w:b/>
          <w:sz w:val="20"/>
          <w:szCs w:val="20"/>
        </w:rPr>
        <w:t>Parameters for a typical project by technology/subsector</w:t>
      </w:r>
    </w:p>
    <w:tbl>
      <w:tblPr>
        <w:tblStyle w:val="LightShading-Accent11"/>
        <w:tblW w:w="7949" w:type="dxa"/>
        <w:tblInd w:w="720" w:type="dxa"/>
        <w:tblLook w:val="04A0" w:firstRow="1" w:lastRow="0" w:firstColumn="1" w:lastColumn="0" w:noHBand="0" w:noVBand="1"/>
      </w:tblPr>
      <w:tblGrid>
        <w:gridCol w:w="2605"/>
        <w:gridCol w:w="1175"/>
        <w:gridCol w:w="782"/>
        <w:gridCol w:w="1317"/>
        <w:gridCol w:w="958"/>
        <w:gridCol w:w="1112"/>
      </w:tblGrid>
      <w:tr w:rsidR="00CC614F" w:rsidRPr="00ED6612" w14:paraId="45604434" w14:textId="77777777" w:rsidTr="007F3E0C">
        <w:trPr>
          <w:cnfStyle w:val="100000000000" w:firstRow="1" w:lastRow="0" w:firstColumn="0" w:lastColumn="0" w:oddVBand="0" w:evenVBand="0" w:oddHBand="0" w:evenHBand="0"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2605" w:type="dxa"/>
            <w:noWrap/>
            <w:vAlign w:val="center"/>
            <w:hideMark/>
          </w:tcPr>
          <w:p w14:paraId="45604430" w14:textId="77777777" w:rsidR="00CC614F" w:rsidRPr="00ED6612" w:rsidRDefault="00CC614F" w:rsidP="007F3E0C">
            <w:pPr>
              <w:jc w:val="center"/>
              <w:rPr>
                <w:rFonts w:ascii="Arial" w:eastAsia="Times New Roman" w:hAnsi="Arial" w:cs="Arial"/>
                <w:color w:val="auto"/>
                <w:sz w:val="18"/>
                <w:szCs w:val="18"/>
              </w:rPr>
            </w:pPr>
          </w:p>
        </w:tc>
        <w:tc>
          <w:tcPr>
            <w:tcW w:w="1175" w:type="dxa"/>
            <w:tcBorders>
              <w:right w:val="single" w:sz="4" w:space="0" w:color="auto"/>
            </w:tcBorders>
            <w:noWrap/>
            <w:vAlign w:val="center"/>
            <w:hideMark/>
          </w:tcPr>
          <w:p w14:paraId="45604431" w14:textId="77777777" w:rsidR="00CC614F" w:rsidRPr="00ED6612" w:rsidRDefault="00CC614F" w:rsidP="007F3E0C">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8"/>
                <w:szCs w:val="18"/>
              </w:rPr>
            </w:pPr>
          </w:p>
        </w:tc>
        <w:tc>
          <w:tcPr>
            <w:tcW w:w="2099" w:type="dxa"/>
            <w:gridSpan w:val="2"/>
            <w:tcBorders>
              <w:left w:val="single" w:sz="4" w:space="0" w:color="auto"/>
              <w:right w:val="single" w:sz="4" w:space="0" w:color="auto"/>
            </w:tcBorders>
            <w:noWrap/>
            <w:vAlign w:val="center"/>
            <w:hideMark/>
          </w:tcPr>
          <w:p w14:paraId="45604432" w14:textId="77777777" w:rsidR="00CC614F" w:rsidRPr="00ED6612" w:rsidRDefault="00CC614F" w:rsidP="00F15253">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8"/>
                <w:szCs w:val="18"/>
              </w:rPr>
            </w:pPr>
            <w:r w:rsidRPr="00ED6612">
              <w:rPr>
                <w:rFonts w:ascii="Arial" w:eastAsia="Times New Roman" w:hAnsi="Arial" w:cs="Arial"/>
                <w:color w:val="auto"/>
                <w:sz w:val="18"/>
                <w:szCs w:val="18"/>
              </w:rPr>
              <w:t>RE (biogas/biomass)</w:t>
            </w:r>
          </w:p>
        </w:tc>
        <w:tc>
          <w:tcPr>
            <w:tcW w:w="2070" w:type="dxa"/>
            <w:gridSpan w:val="2"/>
            <w:tcBorders>
              <w:left w:val="single" w:sz="4" w:space="0" w:color="auto"/>
            </w:tcBorders>
            <w:noWrap/>
            <w:vAlign w:val="center"/>
            <w:hideMark/>
          </w:tcPr>
          <w:p w14:paraId="45604433" w14:textId="77777777" w:rsidR="00CC614F" w:rsidRPr="00ED6612" w:rsidRDefault="00CC614F" w:rsidP="007F3E0C">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8"/>
                <w:szCs w:val="18"/>
              </w:rPr>
            </w:pPr>
            <w:r w:rsidRPr="00ED6612">
              <w:rPr>
                <w:rFonts w:ascii="Arial" w:eastAsia="Times New Roman" w:hAnsi="Arial" w:cs="Arial"/>
                <w:color w:val="auto"/>
                <w:sz w:val="18"/>
                <w:szCs w:val="18"/>
              </w:rPr>
              <w:t>EE</w:t>
            </w:r>
          </w:p>
        </w:tc>
      </w:tr>
      <w:tr w:rsidR="00CC614F" w:rsidRPr="00ED6612" w14:paraId="4560443B" w14:textId="77777777" w:rsidTr="007F3E0C">
        <w:trPr>
          <w:cnfStyle w:val="000000100000" w:firstRow="0" w:lastRow="0" w:firstColumn="0" w:lastColumn="0" w:oddVBand="0" w:evenVBand="0" w:oddHBand="1" w:evenHBand="0" w:firstRowFirstColumn="0" w:firstRowLastColumn="0" w:lastRowFirstColumn="0" w:lastRowLastColumn="0"/>
          <w:trHeight w:val="345"/>
        </w:trPr>
        <w:tc>
          <w:tcPr>
            <w:cnfStyle w:val="001000000000" w:firstRow="0" w:lastRow="0" w:firstColumn="1" w:lastColumn="0" w:oddVBand="0" w:evenVBand="0" w:oddHBand="0" w:evenHBand="0" w:firstRowFirstColumn="0" w:firstRowLastColumn="0" w:lastRowFirstColumn="0" w:lastRowLastColumn="0"/>
            <w:tcW w:w="2605" w:type="dxa"/>
            <w:noWrap/>
            <w:hideMark/>
          </w:tcPr>
          <w:p w14:paraId="45604435" w14:textId="77777777" w:rsidR="00CC614F" w:rsidRPr="00ED6612" w:rsidRDefault="00CC614F" w:rsidP="00CC614F">
            <w:pPr>
              <w:rPr>
                <w:rFonts w:ascii="Arial" w:eastAsia="Times New Roman" w:hAnsi="Arial" w:cs="Arial"/>
                <w:b w:val="0"/>
                <w:color w:val="auto"/>
                <w:sz w:val="18"/>
                <w:szCs w:val="18"/>
              </w:rPr>
            </w:pPr>
            <w:r w:rsidRPr="00ED6612">
              <w:rPr>
                <w:rFonts w:ascii="Arial" w:eastAsia="Times New Roman" w:hAnsi="Arial" w:cs="Arial"/>
                <w:b w:val="0"/>
                <w:color w:val="auto"/>
                <w:sz w:val="18"/>
                <w:szCs w:val="18"/>
              </w:rPr>
              <w:t>Production factor</w:t>
            </w:r>
            <w:r w:rsidR="002310DF" w:rsidRPr="00ED6612">
              <w:rPr>
                <w:rStyle w:val="FootnoteReference"/>
                <w:rFonts w:ascii="Arial" w:eastAsia="Times New Roman" w:hAnsi="Arial" w:cs="Arial"/>
                <w:b w:val="0"/>
                <w:color w:val="auto"/>
                <w:sz w:val="18"/>
                <w:szCs w:val="18"/>
              </w:rPr>
              <w:footnoteReference w:id="18"/>
            </w:r>
          </w:p>
        </w:tc>
        <w:tc>
          <w:tcPr>
            <w:tcW w:w="1175" w:type="dxa"/>
            <w:tcBorders>
              <w:right w:val="single" w:sz="4" w:space="0" w:color="auto"/>
            </w:tcBorders>
            <w:noWrap/>
            <w:hideMark/>
          </w:tcPr>
          <w:p w14:paraId="45604436" w14:textId="77777777" w:rsidR="00CC614F" w:rsidRPr="00ED6612" w:rsidRDefault="00CC614F" w:rsidP="00CC614F">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8"/>
                <w:szCs w:val="18"/>
              </w:rPr>
            </w:pPr>
            <w:r w:rsidRPr="00ED6612">
              <w:rPr>
                <w:rFonts w:ascii="Arial" w:eastAsia="Times New Roman" w:hAnsi="Arial" w:cs="Arial"/>
                <w:color w:val="auto"/>
                <w:sz w:val="18"/>
                <w:szCs w:val="18"/>
              </w:rPr>
              <w:t> </w:t>
            </w:r>
          </w:p>
        </w:tc>
        <w:tc>
          <w:tcPr>
            <w:tcW w:w="782" w:type="dxa"/>
            <w:tcBorders>
              <w:left w:val="single" w:sz="4" w:space="0" w:color="auto"/>
            </w:tcBorders>
            <w:noWrap/>
            <w:hideMark/>
          </w:tcPr>
          <w:p w14:paraId="45604437" w14:textId="77777777" w:rsidR="00CC614F" w:rsidRPr="00ED6612" w:rsidRDefault="00CC614F" w:rsidP="00CC614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8"/>
                <w:szCs w:val="18"/>
              </w:rPr>
            </w:pPr>
            <w:r w:rsidRPr="00ED6612">
              <w:rPr>
                <w:rFonts w:ascii="Arial" w:eastAsia="Times New Roman" w:hAnsi="Arial" w:cs="Arial"/>
                <w:color w:val="auto"/>
                <w:sz w:val="18"/>
                <w:szCs w:val="18"/>
              </w:rPr>
              <w:t>0.8</w:t>
            </w:r>
          </w:p>
        </w:tc>
        <w:tc>
          <w:tcPr>
            <w:tcW w:w="1317" w:type="dxa"/>
            <w:tcBorders>
              <w:right w:val="single" w:sz="4" w:space="0" w:color="auto"/>
            </w:tcBorders>
            <w:noWrap/>
            <w:hideMark/>
          </w:tcPr>
          <w:p w14:paraId="45604438" w14:textId="77777777" w:rsidR="00CC614F" w:rsidRPr="00ED6612" w:rsidRDefault="00CC614F" w:rsidP="00CC614F">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8"/>
                <w:szCs w:val="18"/>
              </w:rPr>
            </w:pPr>
            <w:r w:rsidRPr="00ED6612">
              <w:rPr>
                <w:rFonts w:ascii="Arial" w:eastAsia="Times New Roman" w:hAnsi="Arial" w:cs="Arial"/>
                <w:color w:val="auto"/>
                <w:sz w:val="18"/>
                <w:szCs w:val="18"/>
              </w:rPr>
              <w:t> </w:t>
            </w:r>
          </w:p>
        </w:tc>
        <w:tc>
          <w:tcPr>
            <w:tcW w:w="958" w:type="dxa"/>
            <w:tcBorders>
              <w:left w:val="single" w:sz="4" w:space="0" w:color="auto"/>
            </w:tcBorders>
            <w:noWrap/>
            <w:hideMark/>
          </w:tcPr>
          <w:p w14:paraId="45604439" w14:textId="77777777" w:rsidR="00CC614F" w:rsidRPr="00ED6612" w:rsidRDefault="00CC614F" w:rsidP="00CC614F">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8"/>
                <w:szCs w:val="18"/>
              </w:rPr>
            </w:pPr>
            <w:r w:rsidRPr="00ED6612">
              <w:rPr>
                <w:rFonts w:ascii="Arial" w:eastAsia="Times New Roman" w:hAnsi="Arial" w:cs="Arial"/>
                <w:color w:val="auto"/>
                <w:sz w:val="18"/>
                <w:szCs w:val="18"/>
              </w:rPr>
              <w:t> </w:t>
            </w:r>
          </w:p>
        </w:tc>
        <w:tc>
          <w:tcPr>
            <w:tcW w:w="1112" w:type="dxa"/>
            <w:noWrap/>
            <w:hideMark/>
          </w:tcPr>
          <w:p w14:paraId="4560443A" w14:textId="77777777" w:rsidR="00CC614F" w:rsidRPr="00ED6612" w:rsidRDefault="00CC614F" w:rsidP="00CC614F">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8"/>
                <w:szCs w:val="18"/>
              </w:rPr>
            </w:pPr>
            <w:r w:rsidRPr="00ED6612">
              <w:rPr>
                <w:rFonts w:ascii="Arial" w:eastAsia="Times New Roman" w:hAnsi="Arial" w:cs="Arial"/>
                <w:color w:val="auto"/>
                <w:sz w:val="18"/>
                <w:szCs w:val="18"/>
              </w:rPr>
              <w:t> </w:t>
            </w:r>
          </w:p>
        </w:tc>
      </w:tr>
      <w:tr w:rsidR="00CC614F" w:rsidRPr="00ED6612" w14:paraId="45604442" w14:textId="77777777" w:rsidTr="007F3E0C">
        <w:trPr>
          <w:trHeight w:val="345"/>
        </w:trPr>
        <w:tc>
          <w:tcPr>
            <w:cnfStyle w:val="001000000000" w:firstRow="0" w:lastRow="0" w:firstColumn="1" w:lastColumn="0" w:oddVBand="0" w:evenVBand="0" w:oddHBand="0" w:evenHBand="0" w:firstRowFirstColumn="0" w:firstRowLastColumn="0" w:lastRowFirstColumn="0" w:lastRowLastColumn="0"/>
            <w:tcW w:w="2605" w:type="dxa"/>
            <w:noWrap/>
            <w:hideMark/>
          </w:tcPr>
          <w:p w14:paraId="4560443C" w14:textId="77777777" w:rsidR="00CC614F" w:rsidRPr="00ED6612" w:rsidRDefault="00CC614F" w:rsidP="00CC614F">
            <w:pPr>
              <w:rPr>
                <w:rFonts w:ascii="Arial" w:eastAsia="Times New Roman" w:hAnsi="Arial" w:cs="Arial"/>
                <w:b w:val="0"/>
                <w:color w:val="auto"/>
                <w:sz w:val="18"/>
                <w:szCs w:val="18"/>
              </w:rPr>
            </w:pPr>
            <w:r w:rsidRPr="00ED6612">
              <w:rPr>
                <w:rFonts w:ascii="Arial" w:eastAsia="Times New Roman" w:hAnsi="Arial" w:cs="Arial"/>
                <w:b w:val="0"/>
                <w:color w:val="auto"/>
                <w:sz w:val="18"/>
                <w:szCs w:val="18"/>
              </w:rPr>
              <w:t>Average plant capacity</w:t>
            </w:r>
          </w:p>
        </w:tc>
        <w:tc>
          <w:tcPr>
            <w:tcW w:w="1175" w:type="dxa"/>
            <w:tcBorders>
              <w:right w:val="single" w:sz="4" w:space="0" w:color="auto"/>
            </w:tcBorders>
            <w:noWrap/>
            <w:hideMark/>
          </w:tcPr>
          <w:p w14:paraId="4560443D" w14:textId="77777777" w:rsidR="00CC614F" w:rsidRPr="00ED6612" w:rsidRDefault="00CC614F" w:rsidP="00CC614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8"/>
                <w:szCs w:val="18"/>
              </w:rPr>
            </w:pPr>
            <w:r w:rsidRPr="00ED6612">
              <w:rPr>
                <w:rFonts w:ascii="Arial" w:eastAsia="Times New Roman" w:hAnsi="Arial" w:cs="Arial"/>
                <w:color w:val="auto"/>
                <w:sz w:val="18"/>
                <w:szCs w:val="18"/>
              </w:rPr>
              <w:t> </w:t>
            </w:r>
          </w:p>
        </w:tc>
        <w:tc>
          <w:tcPr>
            <w:tcW w:w="782" w:type="dxa"/>
            <w:tcBorders>
              <w:left w:val="single" w:sz="4" w:space="0" w:color="auto"/>
            </w:tcBorders>
            <w:noWrap/>
            <w:hideMark/>
          </w:tcPr>
          <w:p w14:paraId="4560443E" w14:textId="77777777" w:rsidR="00CC614F" w:rsidRPr="00ED6612" w:rsidRDefault="00CC614F" w:rsidP="00CC614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8"/>
                <w:szCs w:val="18"/>
              </w:rPr>
            </w:pPr>
            <w:r w:rsidRPr="00ED6612">
              <w:rPr>
                <w:rFonts w:ascii="Arial" w:eastAsia="Times New Roman" w:hAnsi="Arial" w:cs="Arial"/>
                <w:color w:val="auto"/>
                <w:sz w:val="18"/>
                <w:szCs w:val="18"/>
              </w:rPr>
              <w:t>2</w:t>
            </w:r>
          </w:p>
        </w:tc>
        <w:tc>
          <w:tcPr>
            <w:tcW w:w="1317" w:type="dxa"/>
            <w:tcBorders>
              <w:right w:val="single" w:sz="4" w:space="0" w:color="auto"/>
            </w:tcBorders>
            <w:noWrap/>
            <w:hideMark/>
          </w:tcPr>
          <w:p w14:paraId="4560443F" w14:textId="77777777" w:rsidR="00CC614F" w:rsidRPr="00ED6612" w:rsidRDefault="00CC614F" w:rsidP="00CC614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8"/>
                <w:szCs w:val="18"/>
              </w:rPr>
            </w:pPr>
            <w:r w:rsidRPr="00ED6612">
              <w:rPr>
                <w:rFonts w:ascii="Arial" w:eastAsia="Times New Roman" w:hAnsi="Arial" w:cs="Arial"/>
                <w:color w:val="auto"/>
                <w:sz w:val="18"/>
                <w:szCs w:val="18"/>
              </w:rPr>
              <w:t>MW</w:t>
            </w:r>
          </w:p>
        </w:tc>
        <w:tc>
          <w:tcPr>
            <w:tcW w:w="958" w:type="dxa"/>
            <w:tcBorders>
              <w:left w:val="single" w:sz="4" w:space="0" w:color="auto"/>
            </w:tcBorders>
            <w:noWrap/>
            <w:hideMark/>
          </w:tcPr>
          <w:p w14:paraId="45604440" w14:textId="77777777" w:rsidR="00CC614F" w:rsidRPr="00ED6612" w:rsidRDefault="00CC614F" w:rsidP="00CC614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8"/>
                <w:szCs w:val="18"/>
              </w:rPr>
            </w:pPr>
            <w:r w:rsidRPr="00ED6612">
              <w:rPr>
                <w:rFonts w:ascii="Arial" w:eastAsia="Times New Roman" w:hAnsi="Arial" w:cs="Arial"/>
                <w:color w:val="auto"/>
                <w:sz w:val="18"/>
                <w:szCs w:val="18"/>
              </w:rPr>
              <w:t> </w:t>
            </w:r>
          </w:p>
        </w:tc>
        <w:tc>
          <w:tcPr>
            <w:tcW w:w="1112" w:type="dxa"/>
            <w:noWrap/>
            <w:hideMark/>
          </w:tcPr>
          <w:p w14:paraId="45604441" w14:textId="77777777" w:rsidR="00CC614F" w:rsidRPr="00ED6612" w:rsidRDefault="00CC614F" w:rsidP="00CC614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8"/>
                <w:szCs w:val="18"/>
              </w:rPr>
            </w:pPr>
            <w:r w:rsidRPr="00ED6612">
              <w:rPr>
                <w:rFonts w:ascii="Arial" w:eastAsia="Times New Roman" w:hAnsi="Arial" w:cs="Arial"/>
                <w:color w:val="auto"/>
                <w:sz w:val="18"/>
                <w:szCs w:val="18"/>
              </w:rPr>
              <w:t> </w:t>
            </w:r>
          </w:p>
        </w:tc>
      </w:tr>
      <w:tr w:rsidR="00CC614F" w:rsidRPr="00ED6612" w14:paraId="45604449" w14:textId="77777777" w:rsidTr="007F3E0C">
        <w:trPr>
          <w:cnfStyle w:val="000000100000" w:firstRow="0" w:lastRow="0" w:firstColumn="0" w:lastColumn="0" w:oddVBand="0" w:evenVBand="0" w:oddHBand="1" w:evenHBand="0" w:firstRowFirstColumn="0" w:firstRowLastColumn="0" w:lastRowFirstColumn="0" w:lastRowLastColumn="0"/>
          <w:trHeight w:val="345"/>
        </w:trPr>
        <w:tc>
          <w:tcPr>
            <w:cnfStyle w:val="001000000000" w:firstRow="0" w:lastRow="0" w:firstColumn="1" w:lastColumn="0" w:oddVBand="0" w:evenVBand="0" w:oddHBand="0" w:evenHBand="0" w:firstRowFirstColumn="0" w:firstRowLastColumn="0" w:lastRowFirstColumn="0" w:lastRowLastColumn="0"/>
            <w:tcW w:w="2605" w:type="dxa"/>
            <w:noWrap/>
            <w:hideMark/>
          </w:tcPr>
          <w:p w14:paraId="45604443" w14:textId="77777777" w:rsidR="00CC614F" w:rsidRPr="00ED6612" w:rsidRDefault="00CC614F" w:rsidP="00CC614F">
            <w:pPr>
              <w:rPr>
                <w:rFonts w:ascii="Arial" w:eastAsia="Times New Roman" w:hAnsi="Arial" w:cs="Arial"/>
                <w:b w:val="0"/>
                <w:color w:val="auto"/>
                <w:sz w:val="18"/>
                <w:szCs w:val="18"/>
              </w:rPr>
            </w:pPr>
            <w:r w:rsidRPr="00ED6612">
              <w:rPr>
                <w:rFonts w:ascii="Arial" w:eastAsia="Times New Roman" w:hAnsi="Arial" w:cs="Arial"/>
                <w:b w:val="0"/>
                <w:color w:val="auto"/>
                <w:sz w:val="18"/>
                <w:szCs w:val="18"/>
              </w:rPr>
              <w:t>Average loan</w:t>
            </w:r>
          </w:p>
        </w:tc>
        <w:tc>
          <w:tcPr>
            <w:tcW w:w="1175" w:type="dxa"/>
            <w:tcBorders>
              <w:right w:val="single" w:sz="4" w:space="0" w:color="auto"/>
            </w:tcBorders>
            <w:noWrap/>
            <w:hideMark/>
          </w:tcPr>
          <w:p w14:paraId="45604444" w14:textId="77777777" w:rsidR="00CC614F" w:rsidRPr="00ED6612" w:rsidRDefault="00CC614F" w:rsidP="00CC614F">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8"/>
                <w:szCs w:val="18"/>
              </w:rPr>
            </w:pPr>
            <w:r w:rsidRPr="00ED6612">
              <w:rPr>
                <w:rFonts w:ascii="Arial" w:eastAsia="Times New Roman" w:hAnsi="Arial" w:cs="Arial"/>
                <w:color w:val="auto"/>
                <w:sz w:val="18"/>
                <w:szCs w:val="18"/>
              </w:rPr>
              <w:t> </w:t>
            </w:r>
          </w:p>
        </w:tc>
        <w:tc>
          <w:tcPr>
            <w:tcW w:w="782" w:type="dxa"/>
            <w:tcBorders>
              <w:left w:val="single" w:sz="4" w:space="0" w:color="auto"/>
            </w:tcBorders>
            <w:noWrap/>
            <w:hideMark/>
          </w:tcPr>
          <w:p w14:paraId="45604445" w14:textId="77777777" w:rsidR="00CC614F" w:rsidRPr="00ED6612" w:rsidRDefault="00CC614F" w:rsidP="00CC614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8"/>
                <w:szCs w:val="18"/>
              </w:rPr>
            </w:pPr>
            <w:r w:rsidRPr="00ED6612">
              <w:rPr>
                <w:rFonts w:ascii="Arial" w:eastAsia="Times New Roman" w:hAnsi="Arial" w:cs="Arial"/>
                <w:color w:val="auto"/>
                <w:sz w:val="18"/>
                <w:szCs w:val="18"/>
              </w:rPr>
              <w:t>7</w:t>
            </w:r>
          </w:p>
        </w:tc>
        <w:tc>
          <w:tcPr>
            <w:tcW w:w="1317" w:type="dxa"/>
            <w:tcBorders>
              <w:right w:val="single" w:sz="4" w:space="0" w:color="auto"/>
            </w:tcBorders>
            <w:noWrap/>
            <w:hideMark/>
          </w:tcPr>
          <w:p w14:paraId="45604446" w14:textId="77777777" w:rsidR="00CC614F" w:rsidRPr="00ED6612" w:rsidRDefault="00CC614F" w:rsidP="00CC614F">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8"/>
                <w:szCs w:val="18"/>
              </w:rPr>
            </w:pPr>
            <w:r w:rsidRPr="00ED6612">
              <w:rPr>
                <w:rFonts w:ascii="Arial" w:eastAsia="Times New Roman" w:hAnsi="Arial" w:cs="Arial"/>
                <w:color w:val="auto"/>
                <w:sz w:val="18"/>
                <w:szCs w:val="18"/>
              </w:rPr>
              <w:t>MUSD</w:t>
            </w:r>
          </w:p>
        </w:tc>
        <w:tc>
          <w:tcPr>
            <w:tcW w:w="958" w:type="dxa"/>
            <w:tcBorders>
              <w:left w:val="single" w:sz="4" w:space="0" w:color="auto"/>
            </w:tcBorders>
            <w:noWrap/>
            <w:hideMark/>
          </w:tcPr>
          <w:p w14:paraId="45604447" w14:textId="77777777" w:rsidR="00CC614F" w:rsidRPr="00ED6612" w:rsidRDefault="00CC614F" w:rsidP="00CC614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8"/>
                <w:szCs w:val="18"/>
              </w:rPr>
            </w:pPr>
            <w:r w:rsidRPr="00ED6612">
              <w:rPr>
                <w:rFonts w:ascii="Arial" w:eastAsia="Times New Roman" w:hAnsi="Arial" w:cs="Arial"/>
                <w:color w:val="auto"/>
                <w:sz w:val="18"/>
                <w:szCs w:val="18"/>
              </w:rPr>
              <w:t>0.35</w:t>
            </w:r>
          </w:p>
        </w:tc>
        <w:tc>
          <w:tcPr>
            <w:tcW w:w="1112" w:type="dxa"/>
            <w:noWrap/>
            <w:hideMark/>
          </w:tcPr>
          <w:p w14:paraId="45604448" w14:textId="77777777" w:rsidR="00CC614F" w:rsidRPr="00ED6612" w:rsidRDefault="00CC614F" w:rsidP="00CC614F">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8"/>
                <w:szCs w:val="18"/>
              </w:rPr>
            </w:pPr>
            <w:r w:rsidRPr="00ED6612">
              <w:rPr>
                <w:rFonts w:ascii="Arial" w:eastAsia="Times New Roman" w:hAnsi="Arial" w:cs="Arial"/>
                <w:color w:val="auto"/>
                <w:sz w:val="18"/>
                <w:szCs w:val="18"/>
              </w:rPr>
              <w:t>MUSD</w:t>
            </w:r>
          </w:p>
        </w:tc>
      </w:tr>
      <w:tr w:rsidR="00CC614F" w:rsidRPr="00ED6612" w14:paraId="45604450" w14:textId="77777777" w:rsidTr="007F3E0C">
        <w:trPr>
          <w:trHeight w:val="345"/>
        </w:trPr>
        <w:tc>
          <w:tcPr>
            <w:cnfStyle w:val="001000000000" w:firstRow="0" w:lastRow="0" w:firstColumn="1" w:lastColumn="0" w:oddVBand="0" w:evenVBand="0" w:oddHBand="0" w:evenHBand="0" w:firstRowFirstColumn="0" w:firstRowLastColumn="0" w:lastRowFirstColumn="0" w:lastRowLastColumn="0"/>
            <w:tcW w:w="2605" w:type="dxa"/>
            <w:noWrap/>
            <w:hideMark/>
          </w:tcPr>
          <w:p w14:paraId="4560444A" w14:textId="77777777" w:rsidR="00CC614F" w:rsidRPr="00ED6612" w:rsidRDefault="00CC614F" w:rsidP="00CC614F">
            <w:pPr>
              <w:rPr>
                <w:rFonts w:ascii="Arial" w:eastAsia="Times New Roman" w:hAnsi="Arial" w:cs="Arial"/>
                <w:b w:val="0"/>
                <w:color w:val="auto"/>
                <w:sz w:val="18"/>
                <w:szCs w:val="18"/>
              </w:rPr>
            </w:pPr>
            <w:r w:rsidRPr="00ED6612">
              <w:rPr>
                <w:rFonts w:ascii="Arial" w:eastAsia="Times New Roman" w:hAnsi="Arial" w:cs="Arial"/>
                <w:b w:val="0"/>
                <w:color w:val="auto"/>
                <w:sz w:val="18"/>
                <w:szCs w:val="18"/>
              </w:rPr>
              <w:t>Average total investment</w:t>
            </w:r>
          </w:p>
        </w:tc>
        <w:tc>
          <w:tcPr>
            <w:tcW w:w="1175" w:type="dxa"/>
            <w:tcBorders>
              <w:right w:val="single" w:sz="4" w:space="0" w:color="auto"/>
            </w:tcBorders>
            <w:noWrap/>
            <w:hideMark/>
          </w:tcPr>
          <w:p w14:paraId="4560444B" w14:textId="77777777" w:rsidR="00CC614F" w:rsidRPr="00ED6612" w:rsidRDefault="00CC614F" w:rsidP="00CC614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8"/>
                <w:szCs w:val="18"/>
              </w:rPr>
            </w:pPr>
            <w:r w:rsidRPr="00ED6612">
              <w:rPr>
                <w:rFonts w:ascii="Arial" w:eastAsia="Times New Roman" w:hAnsi="Arial" w:cs="Arial"/>
                <w:color w:val="auto"/>
                <w:sz w:val="18"/>
                <w:szCs w:val="18"/>
              </w:rPr>
              <w:t> </w:t>
            </w:r>
          </w:p>
        </w:tc>
        <w:tc>
          <w:tcPr>
            <w:tcW w:w="782" w:type="dxa"/>
            <w:tcBorders>
              <w:left w:val="single" w:sz="4" w:space="0" w:color="auto"/>
              <w:bottom w:val="single" w:sz="8" w:space="0" w:color="4F81BD" w:themeColor="accent1"/>
            </w:tcBorders>
            <w:noWrap/>
            <w:hideMark/>
          </w:tcPr>
          <w:p w14:paraId="4560444C" w14:textId="77777777" w:rsidR="00CC614F" w:rsidRPr="00ED6612" w:rsidRDefault="00CC614F" w:rsidP="00CC614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8"/>
                <w:szCs w:val="18"/>
              </w:rPr>
            </w:pPr>
            <w:r w:rsidRPr="00ED6612">
              <w:rPr>
                <w:rFonts w:ascii="Arial" w:eastAsia="Times New Roman" w:hAnsi="Arial" w:cs="Arial"/>
                <w:color w:val="auto"/>
                <w:sz w:val="18"/>
                <w:szCs w:val="18"/>
              </w:rPr>
              <w:t>10</w:t>
            </w:r>
          </w:p>
        </w:tc>
        <w:tc>
          <w:tcPr>
            <w:tcW w:w="1317" w:type="dxa"/>
            <w:tcBorders>
              <w:bottom w:val="single" w:sz="8" w:space="0" w:color="4F81BD" w:themeColor="accent1"/>
              <w:right w:val="single" w:sz="4" w:space="0" w:color="auto"/>
            </w:tcBorders>
            <w:noWrap/>
            <w:hideMark/>
          </w:tcPr>
          <w:p w14:paraId="4560444D" w14:textId="77777777" w:rsidR="00CC614F" w:rsidRPr="00ED6612" w:rsidRDefault="00CC614F" w:rsidP="00CC614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8"/>
                <w:szCs w:val="18"/>
              </w:rPr>
            </w:pPr>
            <w:r w:rsidRPr="00ED6612">
              <w:rPr>
                <w:rFonts w:ascii="Arial" w:eastAsia="Times New Roman" w:hAnsi="Arial" w:cs="Arial"/>
                <w:color w:val="auto"/>
                <w:sz w:val="18"/>
                <w:szCs w:val="18"/>
              </w:rPr>
              <w:t>MUSD</w:t>
            </w:r>
          </w:p>
        </w:tc>
        <w:tc>
          <w:tcPr>
            <w:tcW w:w="958" w:type="dxa"/>
            <w:tcBorders>
              <w:left w:val="single" w:sz="4" w:space="0" w:color="auto"/>
            </w:tcBorders>
            <w:noWrap/>
            <w:hideMark/>
          </w:tcPr>
          <w:p w14:paraId="4560444E" w14:textId="77777777" w:rsidR="00CC614F" w:rsidRPr="00ED6612" w:rsidRDefault="00CC614F" w:rsidP="00CC614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8"/>
                <w:szCs w:val="18"/>
              </w:rPr>
            </w:pPr>
            <w:r w:rsidRPr="00ED6612">
              <w:rPr>
                <w:rFonts w:ascii="Arial" w:eastAsia="Times New Roman" w:hAnsi="Arial" w:cs="Arial"/>
                <w:color w:val="auto"/>
                <w:sz w:val="18"/>
                <w:szCs w:val="18"/>
              </w:rPr>
              <w:t>0.50</w:t>
            </w:r>
          </w:p>
        </w:tc>
        <w:tc>
          <w:tcPr>
            <w:tcW w:w="1112" w:type="dxa"/>
            <w:noWrap/>
            <w:hideMark/>
          </w:tcPr>
          <w:p w14:paraId="4560444F" w14:textId="77777777" w:rsidR="00CC614F" w:rsidRPr="00ED6612" w:rsidRDefault="00CC614F" w:rsidP="00CC614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8"/>
                <w:szCs w:val="18"/>
              </w:rPr>
            </w:pPr>
            <w:r w:rsidRPr="00ED6612">
              <w:rPr>
                <w:rFonts w:ascii="Arial" w:eastAsia="Times New Roman" w:hAnsi="Arial" w:cs="Arial"/>
                <w:color w:val="auto"/>
                <w:sz w:val="18"/>
                <w:szCs w:val="18"/>
              </w:rPr>
              <w:t>MUSD</w:t>
            </w:r>
          </w:p>
        </w:tc>
      </w:tr>
    </w:tbl>
    <w:p w14:paraId="45604451" w14:textId="77777777" w:rsidR="00DA32AE" w:rsidRPr="00ED6612" w:rsidRDefault="00DA32AE" w:rsidP="007F3E0C">
      <w:pPr>
        <w:pStyle w:val="Paragraph"/>
        <w:tabs>
          <w:tab w:val="clear" w:pos="720"/>
          <w:tab w:val="num" w:pos="1800"/>
        </w:tabs>
        <w:spacing w:before="0" w:after="240"/>
        <w:ind w:firstLine="0"/>
        <w:rPr>
          <w:rFonts w:ascii="Arial" w:eastAsia="Times New Roman" w:hAnsi="Arial" w:cs="Arial"/>
          <w:sz w:val="16"/>
          <w:szCs w:val="20"/>
        </w:rPr>
      </w:pPr>
      <w:r w:rsidRPr="00ED6612">
        <w:rPr>
          <w:rFonts w:ascii="Arial" w:eastAsia="Times New Roman" w:hAnsi="Arial" w:cs="Arial"/>
          <w:sz w:val="16"/>
          <w:szCs w:val="20"/>
        </w:rPr>
        <w:lastRenderedPageBreak/>
        <w:t>MUSD = millions of USD</w:t>
      </w:r>
    </w:p>
    <w:p w14:paraId="45604452" w14:textId="77777777" w:rsidR="00CC614F" w:rsidRPr="00ED6612" w:rsidRDefault="00CC614F" w:rsidP="009E6A77">
      <w:pPr>
        <w:pStyle w:val="Paragraph"/>
        <w:tabs>
          <w:tab w:val="clear" w:pos="720"/>
          <w:tab w:val="num" w:pos="1800"/>
        </w:tabs>
        <w:spacing w:after="0"/>
        <w:ind w:firstLine="0"/>
        <w:rPr>
          <w:rFonts w:ascii="Arial" w:eastAsia="Times New Roman" w:hAnsi="Arial" w:cs="Arial"/>
          <w:b/>
          <w:sz w:val="20"/>
          <w:szCs w:val="20"/>
        </w:rPr>
      </w:pPr>
      <w:r w:rsidRPr="00ED6612">
        <w:rPr>
          <w:rFonts w:ascii="Arial" w:eastAsia="Times New Roman" w:hAnsi="Arial" w:cs="Arial"/>
          <w:b/>
          <w:sz w:val="20"/>
          <w:szCs w:val="20"/>
        </w:rPr>
        <w:t xml:space="preserve">Table 2.4.- </w:t>
      </w:r>
      <w:r w:rsidR="00ED2FFA" w:rsidRPr="00ED6612">
        <w:rPr>
          <w:rFonts w:ascii="Arial" w:eastAsia="Times New Roman" w:hAnsi="Arial" w:cs="Arial"/>
          <w:b/>
          <w:sz w:val="20"/>
          <w:szCs w:val="20"/>
        </w:rPr>
        <w:t>Assumed mix of EE technologies and saving parameters</w:t>
      </w:r>
      <w:r w:rsidR="00637B78" w:rsidRPr="00ED6612">
        <w:rPr>
          <w:rStyle w:val="FootnoteReference"/>
          <w:rFonts w:ascii="Arial" w:eastAsia="Times New Roman" w:hAnsi="Arial" w:cs="Arial"/>
          <w:b/>
          <w:sz w:val="20"/>
          <w:szCs w:val="20"/>
        </w:rPr>
        <w:footnoteReference w:id="19"/>
      </w:r>
    </w:p>
    <w:tbl>
      <w:tblPr>
        <w:tblStyle w:val="LightShading-Accent11"/>
        <w:tblW w:w="7920" w:type="dxa"/>
        <w:tblInd w:w="720" w:type="dxa"/>
        <w:tblLook w:val="04A0" w:firstRow="1" w:lastRow="0" w:firstColumn="1" w:lastColumn="0" w:noHBand="0" w:noVBand="1"/>
      </w:tblPr>
      <w:tblGrid>
        <w:gridCol w:w="2340"/>
        <w:gridCol w:w="917"/>
        <w:gridCol w:w="1603"/>
        <w:gridCol w:w="1106"/>
        <w:gridCol w:w="1054"/>
        <w:gridCol w:w="900"/>
      </w:tblGrid>
      <w:tr w:rsidR="00ED2FFA" w:rsidRPr="00ED6612" w14:paraId="45604457" w14:textId="77777777" w:rsidTr="007F3E0C">
        <w:trPr>
          <w:cnfStyle w:val="100000000000" w:firstRow="1" w:lastRow="0" w:firstColumn="0" w:lastColumn="0" w:oddVBand="0" w:evenVBand="0" w:oddHBand="0" w:evenHBand="0" w:firstRowFirstColumn="0" w:firstRowLastColumn="0" w:lastRowFirstColumn="0" w:lastRowLastColumn="0"/>
          <w:trHeight w:val="345"/>
        </w:trPr>
        <w:tc>
          <w:tcPr>
            <w:cnfStyle w:val="001000000000" w:firstRow="0" w:lastRow="0" w:firstColumn="1" w:lastColumn="0" w:oddVBand="0" w:evenVBand="0" w:oddHBand="0" w:evenHBand="0" w:firstRowFirstColumn="0" w:firstRowLastColumn="0" w:lastRowFirstColumn="0" w:lastRowLastColumn="0"/>
            <w:tcW w:w="2340" w:type="dxa"/>
            <w:noWrap/>
            <w:vAlign w:val="center"/>
            <w:hideMark/>
          </w:tcPr>
          <w:p w14:paraId="45604453" w14:textId="77777777" w:rsidR="00ED2FFA" w:rsidRPr="00ED6612" w:rsidRDefault="00ED2FFA" w:rsidP="007F3E0C">
            <w:pPr>
              <w:jc w:val="center"/>
              <w:rPr>
                <w:rFonts w:ascii="Arial" w:eastAsia="Times New Roman" w:hAnsi="Arial" w:cs="Arial"/>
                <w:color w:val="auto"/>
                <w:sz w:val="18"/>
                <w:szCs w:val="18"/>
              </w:rPr>
            </w:pPr>
            <w:r w:rsidRPr="00ED6612">
              <w:rPr>
                <w:rFonts w:ascii="Arial" w:eastAsia="Times New Roman" w:hAnsi="Arial" w:cs="Arial"/>
                <w:color w:val="auto"/>
                <w:sz w:val="18"/>
                <w:szCs w:val="18"/>
              </w:rPr>
              <w:t>Technology</w:t>
            </w:r>
          </w:p>
        </w:tc>
        <w:tc>
          <w:tcPr>
            <w:tcW w:w="917" w:type="dxa"/>
            <w:tcBorders>
              <w:right w:val="single" w:sz="4" w:space="0" w:color="auto"/>
            </w:tcBorders>
            <w:noWrap/>
            <w:vAlign w:val="center"/>
            <w:hideMark/>
          </w:tcPr>
          <w:p w14:paraId="45604454" w14:textId="77777777" w:rsidR="00ED2FFA" w:rsidRPr="00ED6612" w:rsidRDefault="00ED2FFA" w:rsidP="007F3E0C">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8"/>
                <w:szCs w:val="18"/>
              </w:rPr>
            </w:pPr>
            <w:r w:rsidRPr="00ED6612">
              <w:rPr>
                <w:rFonts w:ascii="Arial" w:eastAsia="Times New Roman" w:hAnsi="Arial" w:cs="Arial"/>
                <w:color w:val="auto"/>
                <w:sz w:val="18"/>
                <w:szCs w:val="18"/>
              </w:rPr>
              <w:t># of projects</w:t>
            </w:r>
          </w:p>
        </w:tc>
        <w:tc>
          <w:tcPr>
            <w:tcW w:w="1603" w:type="dxa"/>
            <w:tcBorders>
              <w:left w:val="single" w:sz="4" w:space="0" w:color="auto"/>
              <w:right w:val="single" w:sz="4" w:space="0" w:color="auto"/>
            </w:tcBorders>
            <w:vAlign w:val="center"/>
            <w:hideMark/>
          </w:tcPr>
          <w:p w14:paraId="45604455" w14:textId="77777777" w:rsidR="00ED2FFA" w:rsidRPr="00ED6612" w:rsidRDefault="00ED2FFA" w:rsidP="007F3E0C">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8"/>
                <w:szCs w:val="18"/>
              </w:rPr>
            </w:pPr>
            <w:r w:rsidRPr="00ED6612">
              <w:rPr>
                <w:rFonts w:ascii="Arial" w:eastAsia="Times New Roman" w:hAnsi="Arial" w:cs="Arial"/>
                <w:color w:val="auto"/>
                <w:sz w:val="18"/>
                <w:szCs w:val="18"/>
              </w:rPr>
              <w:t>Energy consumption (baseline)</w:t>
            </w:r>
          </w:p>
        </w:tc>
        <w:tc>
          <w:tcPr>
            <w:tcW w:w="3060" w:type="dxa"/>
            <w:gridSpan w:val="3"/>
            <w:tcBorders>
              <w:left w:val="single" w:sz="4" w:space="0" w:color="auto"/>
            </w:tcBorders>
            <w:vAlign w:val="center"/>
            <w:hideMark/>
          </w:tcPr>
          <w:p w14:paraId="45604456" w14:textId="77777777" w:rsidR="00ED2FFA" w:rsidRPr="00ED6612" w:rsidRDefault="00ED2FFA" w:rsidP="00F15253">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8"/>
                <w:szCs w:val="18"/>
              </w:rPr>
            </w:pPr>
            <w:r w:rsidRPr="00ED6612">
              <w:rPr>
                <w:rFonts w:ascii="Arial" w:eastAsia="Times New Roman" w:hAnsi="Arial" w:cs="Arial"/>
                <w:color w:val="auto"/>
                <w:sz w:val="18"/>
                <w:szCs w:val="18"/>
              </w:rPr>
              <w:t>Energy savings per project</w:t>
            </w:r>
          </w:p>
        </w:tc>
      </w:tr>
      <w:tr w:rsidR="00ED2FFA" w:rsidRPr="00ED6612" w14:paraId="4560445E" w14:textId="77777777" w:rsidTr="007F3E0C">
        <w:trPr>
          <w:cnfStyle w:val="000000100000" w:firstRow="0" w:lastRow="0" w:firstColumn="0" w:lastColumn="0" w:oddVBand="0" w:evenVBand="0" w:oddHBand="1" w:evenHBand="0" w:firstRowFirstColumn="0" w:firstRowLastColumn="0" w:lastRowFirstColumn="0" w:lastRowLastColumn="0"/>
          <w:trHeight w:val="259"/>
        </w:trPr>
        <w:tc>
          <w:tcPr>
            <w:cnfStyle w:val="001000000000" w:firstRow="0" w:lastRow="0" w:firstColumn="1" w:lastColumn="0" w:oddVBand="0" w:evenVBand="0" w:oddHBand="0" w:evenHBand="0" w:firstRowFirstColumn="0" w:firstRowLastColumn="0" w:lastRowFirstColumn="0" w:lastRowLastColumn="0"/>
            <w:tcW w:w="2340" w:type="dxa"/>
          </w:tcPr>
          <w:p w14:paraId="45604458" w14:textId="77777777" w:rsidR="00ED2FFA" w:rsidRPr="00ED6612" w:rsidRDefault="00ED2FFA" w:rsidP="00ED2FFA">
            <w:pPr>
              <w:jc w:val="center"/>
              <w:rPr>
                <w:rFonts w:ascii="Arial" w:eastAsia="Times New Roman" w:hAnsi="Arial" w:cs="Arial"/>
                <w:color w:val="auto"/>
                <w:sz w:val="18"/>
                <w:szCs w:val="18"/>
              </w:rPr>
            </w:pPr>
          </w:p>
        </w:tc>
        <w:tc>
          <w:tcPr>
            <w:tcW w:w="917" w:type="dxa"/>
            <w:tcBorders>
              <w:right w:val="single" w:sz="4" w:space="0" w:color="auto"/>
            </w:tcBorders>
          </w:tcPr>
          <w:p w14:paraId="45604459" w14:textId="77777777" w:rsidR="00ED2FFA" w:rsidRPr="00ED6612" w:rsidRDefault="00ED2FFA" w:rsidP="00ED2FFA">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color w:val="auto"/>
                <w:sz w:val="18"/>
                <w:szCs w:val="18"/>
              </w:rPr>
            </w:pPr>
          </w:p>
        </w:tc>
        <w:tc>
          <w:tcPr>
            <w:tcW w:w="1603" w:type="dxa"/>
            <w:tcBorders>
              <w:left w:val="single" w:sz="4" w:space="0" w:color="auto"/>
              <w:right w:val="single" w:sz="4" w:space="0" w:color="auto"/>
            </w:tcBorders>
            <w:hideMark/>
          </w:tcPr>
          <w:p w14:paraId="4560445A" w14:textId="77777777" w:rsidR="00ED2FFA" w:rsidRPr="00ED6612" w:rsidRDefault="00ED2FFA" w:rsidP="00ED2FFA">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8"/>
                <w:szCs w:val="18"/>
              </w:rPr>
            </w:pPr>
            <w:r w:rsidRPr="00ED6612">
              <w:rPr>
                <w:rFonts w:ascii="Arial" w:eastAsia="Times New Roman" w:hAnsi="Arial" w:cs="Arial"/>
                <w:b/>
                <w:bCs/>
                <w:color w:val="auto"/>
                <w:sz w:val="18"/>
                <w:szCs w:val="18"/>
              </w:rPr>
              <w:t>kWh/yr</w:t>
            </w:r>
          </w:p>
        </w:tc>
        <w:tc>
          <w:tcPr>
            <w:tcW w:w="1106" w:type="dxa"/>
            <w:tcBorders>
              <w:left w:val="single" w:sz="4" w:space="0" w:color="auto"/>
            </w:tcBorders>
            <w:hideMark/>
          </w:tcPr>
          <w:p w14:paraId="4560445B" w14:textId="77777777" w:rsidR="00ED2FFA" w:rsidRPr="00ED6612" w:rsidRDefault="00ED2FFA" w:rsidP="00ED2FFA">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8"/>
                <w:szCs w:val="18"/>
              </w:rPr>
            </w:pPr>
            <w:r w:rsidRPr="00ED6612">
              <w:rPr>
                <w:rFonts w:ascii="Arial" w:eastAsia="Times New Roman" w:hAnsi="Arial" w:cs="Arial"/>
                <w:b/>
                <w:bCs/>
                <w:color w:val="auto"/>
                <w:sz w:val="18"/>
                <w:szCs w:val="18"/>
              </w:rPr>
              <w:t>%</w:t>
            </w:r>
          </w:p>
        </w:tc>
        <w:tc>
          <w:tcPr>
            <w:tcW w:w="1054" w:type="dxa"/>
            <w:hideMark/>
          </w:tcPr>
          <w:p w14:paraId="4560445C" w14:textId="77777777" w:rsidR="00ED2FFA" w:rsidRPr="00ED6612" w:rsidRDefault="00ED2FFA" w:rsidP="00ED2FFA">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8"/>
                <w:szCs w:val="18"/>
              </w:rPr>
            </w:pPr>
            <w:r w:rsidRPr="00ED6612">
              <w:rPr>
                <w:rFonts w:ascii="Arial" w:eastAsia="Times New Roman" w:hAnsi="Arial" w:cs="Arial"/>
                <w:b/>
                <w:bCs/>
                <w:color w:val="auto"/>
                <w:sz w:val="18"/>
                <w:szCs w:val="18"/>
              </w:rPr>
              <w:t>KWh/yr</w:t>
            </w:r>
          </w:p>
        </w:tc>
        <w:tc>
          <w:tcPr>
            <w:tcW w:w="900" w:type="dxa"/>
            <w:hideMark/>
          </w:tcPr>
          <w:p w14:paraId="4560445D" w14:textId="77777777" w:rsidR="00ED2FFA" w:rsidRPr="00ED6612" w:rsidRDefault="00ED2FFA" w:rsidP="00ED2FFA">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8"/>
                <w:szCs w:val="18"/>
              </w:rPr>
            </w:pPr>
            <w:r w:rsidRPr="00ED6612">
              <w:rPr>
                <w:rFonts w:ascii="Arial" w:eastAsia="Times New Roman" w:hAnsi="Arial" w:cs="Arial"/>
                <w:b/>
                <w:bCs/>
                <w:color w:val="auto"/>
                <w:sz w:val="18"/>
                <w:szCs w:val="18"/>
              </w:rPr>
              <w:t>Gal/yr</w:t>
            </w:r>
          </w:p>
        </w:tc>
      </w:tr>
      <w:tr w:rsidR="00ED2FFA" w:rsidRPr="00ED6612" w14:paraId="45604465" w14:textId="77777777" w:rsidTr="007F3E0C">
        <w:trPr>
          <w:trHeight w:val="345"/>
        </w:trPr>
        <w:tc>
          <w:tcPr>
            <w:cnfStyle w:val="001000000000" w:firstRow="0" w:lastRow="0" w:firstColumn="1" w:lastColumn="0" w:oddVBand="0" w:evenVBand="0" w:oddHBand="0" w:evenHBand="0" w:firstRowFirstColumn="0" w:firstRowLastColumn="0" w:lastRowFirstColumn="0" w:lastRowLastColumn="0"/>
            <w:tcW w:w="2340" w:type="dxa"/>
            <w:noWrap/>
            <w:hideMark/>
          </w:tcPr>
          <w:p w14:paraId="4560445F" w14:textId="77777777" w:rsidR="00ED2FFA" w:rsidRPr="00ED6612" w:rsidRDefault="00ED2FFA" w:rsidP="007F3E0C">
            <w:pPr>
              <w:rPr>
                <w:rFonts w:ascii="Arial" w:eastAsia="Times New Roman" w:hAnsi="Arial" w:cs="Arial"/>
                <w:b w:val="0"/>
                <w:color w:val="auto"/>
                <w:sz w:val="18"/>
                <w:szCs w:val="18"/>
              </w:rPr>
            </w:pPr>
            <w:r w:rsidRPr="00ED6612">
              <w:rPr>
                <w:rFonts w:ascii="Arial" w:hAnsi="Arial" w:cs="Arial"/>
                <w:b w:val="0"/>
                <w:color w:val="auto"/>
                <w:sz w:val="18"/>
                <w:szCs w:val="18"/>
              </w:rPr>
              <w:t>Solar Water heaters</w:t>
            </w:r>
          </w:p>
        </w:tc>
        <w:tc>
          <w:tcPr>
            <w:tcW w:w="917" w:type="dxa"/>
            <w:tcBorders>
              <w:right w:val="single" w:sz="4" w:space="0" w:color="auto"/>
            </w:tcBorders>
            <w:noWrap/>
            <w:hideMark/>
          </w:tcPr>
          <w:p w14:paraId="45604460" w14:textId="77777777" w:rsidR="00ED2FFA" w:rsidRPr="00ED6612" w:rsidRDefault="00ED2FFA" w:rsidP="00ED2FFA">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8"/>
                <w:szCs w:val="18"/>
              </w:rPr>
            </w:pPr>
            <w:r w:rsidRPr="00ED6612">
              <w:rPr>
                <w:rFonts w:ascii="Arial" w:eastAsia="Times New Roman" w:hAnsi="Arial" w:cs="Arial"/>
                <w:color w:val="auto"/>
                <w:sz w:val="18"/>
                <w:szCs w:val="18"/>
              </w:rPr>
              <w:t>46</w:t>
            </w:r>
          </w:p>
        </w:tc>
        <w:tc>
          <w:tcPr>
            <w:tcW w:w="1603" w:type="dxa"/>
            <w:tcBorders>
              <w:left w:val="single" w:sz="4" w:space="0" w:color="auto"/>
              <w:right w:val="single" w:sz="4" w:space="0" w:color="auto"/>
            </w:tcBorders>
            <w:hideMark/>
          </w:tcPr>
          <w:p w14:paraId="45604461" w14:textId="77777777" w:rsidR="00ED2FFA" w:rsidRPr="00ED6612" w:rsidRDefault="00ED2FFA" w:rsidP="00ED2FFA">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8"/>
                <w:szCs w:val="18"/>
              </w:rPr>
            </w:pPr>
            <w:r w:rsidRPr="00ED6612">
              <w:rPr>
                <w:rFonts w:ascii="Arial" w:eastAsia="Times New Roman" w:hAnsi="Arial" w:cs="Arial"/>
                <w:color w:val="auto"/>
                <w:sz w:val="18"/>
                <w:szCs w:val="18"/>
              </w:rPr>
              <w:t>32,385</w:t>
            </w:r>
          </w:p>
        </w:tc>
        <w:tc>
          <w:tcPr>
            <w:tcW w:w="1106" w:type="dxa"/>
            <w:tcBorders>
              <w:left w:val="single" w:sz="4" w:space="0" w:color="auto"/>
            </w:tcBorders>
            <w:noWrap/>
            <w:hideMark/>
          </w:tcPr>
          <w:p w14:paraId="45604462" w14:textId="77777777" w:rsidR="00ED2FFA" w:rsidRPr="00ED6612" w:rsidRDefault="00ED2FFA" w:rsidP="007B43F0">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8"/>
                <w:szCs w:val="18"/>
              </w:rPr>
            </w:pPr>
            <w:r w:rsidRPr="00ED6612">
              <w:rPr>
                <w:rFonts w:ascii="Arial" w:eastAsia="Times New Roman" w:hAnsi="Arial" w:cs="Arial"/>
                <w:color w:val="auto"/>
                <w:sz w:val="18"/>
                <w:szCs w:val="18"/>
              </w:rPr>
              <w:t>60%</w:t>
            </w:r>
          </w:p>
        </w:tc>
        <w:tc>
          <w:tcPr>
            <w:tcW w:w="1054" w:type="dxa"/>
            <w:hideMark/>
          </w:tcPr>
          <w:p w14:paraId="45604463" w14:textId="77777777" w:rsidR="00ED2FFA" w:rsidRPr="00ED6612" w:rsidRDefault="00ED2FFA" w:rsidP="00ED2FF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8"/>
                <w:szCs w:val="18"/>
              </w:rPr>
            </w:pPr>
          </w:p>
        </w:tc>
        <w:tc>
          <w:tcPr>
            <w:tcW w:w="900" w:type="dxa"/>
            <w:hideMark/>
          </w:tcPr>
          <w:p w14:paraId="45604464" w14:textId="77777777" w:rsidR="00ED2FFA" w:rsidRPr="00ED6612" w:rsidRDefault="00ED2FFA" w:rsidP="00ED2FFA">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8"/>
                <w:szCs w:val="18"/>
              </w:rPr>
            </w:pPr>
            <w:r w:rsidRPr="00ED6612">
              <w:rPr>
                <w:rFonts w:ascii="Arial" w:eastAsia="Times New Roman" w:hAnsi="Arial" w:cs="Arial"/>
                <w:color w:val="auto"/>
                <w:sz w:val="18"/>
                <w:szCs w:val="18"/>
              </w:rPr>
              <w:t>19,431</w:t>
            </w:r>
          </w:p>
        </w:tc>
      </w:tr>
      <w:tr w:rsidR="00ED2FFA" w:rsidRPr="00ED6612" w14:paraId="4560446C" w14:textId="77777777" w:rsidTr="007F3E0C">
        <w:trPr>
          <w:cnfStyle w:val="000000100000" w:firstRow="0" w:lastRow="0" w:firstColumn="0" w:lastColumn="0" w:oddVBand="0" w:evenVBand="0" w:oddHBand="1" w:evenHBand="0" w:firstRowFirstColumn="0" w:firstRowLastColumn="0" w:lastRowFirstColumn="0" w:lastRowLastColumn="0"/>
          <w:trHeight w:val="345"/>
        </w:trPr>
        <w:tc>
          <w:tcPr>
            <w:cnfStyle w:val="001000000000" w:firstRow="0" w:lastRow="0" w:firstColumn="1" w:lastColumn="0" w:oddVBand="0" w:evenVBand="0" w:oddHBand="0" w:evenHBand="0" w:firstRowFirstColumn="0" w:firstRowLastColumn="0" w:lastRowFirstColumn="0" w:lastRowLastColumn="0"/>
            <w:tcW w:w="2340" w:type="dxa"/>
            <w:noWrap/>
            <w:hideMark/>
          </w:tcPr>
          <w:p w14:paraId="45604466" w14:textId="77777777" w:rsidR="00ED2FFA" w:rsidRPr="00ED6612" w:rsidRDefault="00ED2FFA" w:rsidP="007B43F0">
            <w:pPr>
              <w:rPr>
                <w:rFonts w:ascii="Arial" w:eastAsia="Times New Roman" w:hAnsi="Arial" w:cs="Arial"/>
                <w:b w:val="0"/>
                <w:color w:val="auto"/>
                <w:sz w:val="18"/>
                <w:szCs w:val="18"/>
              </w:rPr>
            </w:pPr>
            <w:r w:rsidRPr="00ED6612">
              <w:rPr>
                <w:rFonts w:ascii="Arial" w:hAnsi="Arial" w:cs="Arial"/>
                <w:b w:val="0"/>
                <w:color w:val="auto"/>
                <w:sz w:val="18"/>
                <w:szCs w:val="18"/>
              </w:rPr>
              <w:t>Efficient boilers</w:t>
            </w:r>
          </w:p>
        </w:tc>
        <w:tc>
          <w:tcPr>
            <w:tcW w:w="917" w:type="dxa"/>
            <w:tcBorders>
              <w:right w:val="single" w:sz="4" w:space="0" w:color="auto"/>
            </w:tcBorders>
            <w:noWrap/>
            <w:hideMark/>
          </w:tcPr>
          <w:p w14:paraId="45604467" w14:textId="77777777" w:rsidR="00ED2FFA" w:rsidRPr="00ED6612" w:rsidRDefault="00ED2FFA" w:rsidP="00ED2FFA">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8"/>
                <w:szCs w:val="18"/>
              </w:rPr>
            </w:pPr>
            <w:r w:rsidRPr="00ED6612">
              <w:rPr>
                <w:rFonts w:ascii="Arial" w:eastAsia="Times New Roman" w:hAnsi="Arial" w:cs="Arial"/>
                <w:color w:val="auto"/>
                <w:sz w:val="18"/>
                <w:szCs w:val="18"/>
              </w:rPr>
              <w:t>17</w:t>
            </w:r>
          </w:p>
        </w:tc>
        <w:tc>
          <w:tcPr>
            <w:tcW w:w="1603" w:type="dxa"/>
            <w:tcBorders>
              <w:left w:val="single" w:sz="4" w:space="0" w:color="auto"/>
              <w:right w:val="single" w:sz="4" w:space="0" w:color="auto"/>
            </w:tcBorders>
            <w:hideMark/>
          </w:tcPr>
          <w:p w14:paraId="45604468" w14:textId="77777777" w:rsidR="00ED2FFA" w:rsidRPr="00ED6612" w:rsidRDefault="00ED2FFA" w:rsidP="00ED2FFA">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8"/>
                <w:szCs w:val="18"/>
              </w:rPr>
            </w:pPr>
            <w:r w:rsidRPr="00ED6612">
              <w:rPr>
                <w:rFonts w:ascii="Arial" w:eastAsia="Times New Roman" w:hAnsi="Arial" w:cs="Arial"/>
                <w:color w:val="auto"/>
                <w:sz w:val="18"/>
                <w:szCs w:val="18"/>
              </w:rPr>
              <w:t>760,010</w:t>
            </w:r>
          </w:p>
        </w:tc>
        <w:tc>
          <w:tcPr>
            <w:tcW w:w="1106" w:type="dxa"/>
            <w:tcBorders>
              <w:left w:val="single" w:sz="4" w:space="0" w:color="auto"/>
            </w:tcBorders>
            <w:noWrap/>
            <w:hideMark/>
          </w:tcPr>
          <w:p w14:paraId="45604469" w14:textId="77777777" w:rsidR="00ED2FFA" w:rsidRPr="00ED6612" w:rsidRDefault="00ED2FFA" w:rsidP="007B43F0">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8"/>
                <w:szCs w:val="18"/>
              </w:rPr>
            </w:pPr>
            <w:r w:rsidRPr="00ED6612">
              <w:rPr>
                <w:rFonts w:ascii="Arial" w:eastAsia="Times New Roman" w:hAnsi="Arial" w:cs="Arial"/>
                <w:color w:val="auto"/>
                <w:sz w:val="18"/>
                <w:szCs w:val="18"/>
              </w:rPr>
              <w:t>6%</w:t>
            </w:r>
          </w:p>
        </w:tc>
        <w:tc>
          <w:tcPr>
            <w:tcW w:w="1054" w:type="dxa"/>
            <w:hideMark/>
          </w:tcPr>
          <w:p w14:paraId="4560446A" w14:textId="77777777" w:rsidR="00ED2FFA" w:rsidRPr="00ED6612" w:rsidRDefault="00ED2FFA" w:rsidP="00ED2FF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8"/>
                <w:szCs w:val="18"/>
              </w:rPr>
            </w:pPr>
          </w:p>
        </w:tc>
        <w:tc>
          <w:tcPr>
            <w:tcW w:w="900" w:type="dxa"/>
            <w:hideMark/>
          </w:tcPr>
          <w:p w14:paraId="4560446B" w14:textId="77777777" w:rsidR="00ED2FFA" w:rsidRPr="00ED6612" w:rsidRDefault="00ED2FFA" w:rsidP="00ED2FFA">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8"/>
                <w:szCs w:val="18"/>
              </w:rPr>
            </w:pPr>
            <w:r w:rsidRPr="00ED6612">
              <w:rPr>
                <w:rFonts w:ascii="Arial" w:eastAsia="Times New Roman" w:hAnsi="Arial" w:cs="Arial"/>
                <w:color w:val="auto"/>
                <w:sz w:val="18"/>
                <w:szCs w:val="18"/>
              </w:rPr>
              <w:t>45,601</w:t>
            </w:r>
          </w:p>
        </w:tc>
      </w:tr>
      <w:tr w:rsidR="00ED2FFA" w:rsidRPr="00ED6612" w14:paraId="45604473" w14:textId="77777777" w:rsidTr="007F3E0C">
        <w:trPr>
          <w:trHeight w:val="345"/>
        </w:trPr>
        <w:tc>
          <w:tcPr>
            <w:cnfStyle w:val="001000000000" w:firstRow="0" w:lastRow="0" w:firstColumn="1" w:lastColumn="0" w:oddVBand="0" w:evenVBand="0" w:oddHBand="0" w:evenHBand="0" w:firstRowFirstColumn="0" w:firstRowLastColumn="0" w:lastRowFirstColumn="0" w:lastRowLastColumn="0"/>
            <w:tcW w:w="2340" w:type="dxa"/>
            <w:noWrap/>
            <w:hideMark/>
          </w:tcPr>
          <w:p w14:paraId="4560446D" w14:textId="77777777" w:rsidR="00ED2FFA" w:rsidRPr="00ED6612" w:rsidRDefault="00ED2FFA" w:rsidP="007B43F0">
            <w:pPr>
              <w:rPr>
                <w:rFonts w:ascii="Arial" w:eastAsia="Times New Roman" w:hAnsi="Arial" w:cs="Arial"/>
                <w:b w:val="0"/>
                <w:color w:val="auto"/>
                <w:sz w:val="18"/>
                <w:szCs w:val="18"/>
              </w:rPr>
            </w:pPr>
            <w:r w:rsidRPr="00ED6612">
              <w:rPr>
                <w:rFonts w:ascii="Arial" w:hAnsi="Arial" w:cs="Arial"/>
                <w:b w:val="0"/>
                <w:color w:val="auto"/>
                <w:sz w:val="18"/>
                <w:szCs w:val="18"/>
              </w:rPr>
              <w:t>Electric motors</w:t>
            </w:r>
          </w:p>
        </w:tc>
        <w:tc>
          <w:tcPr>
            <w:tcW w:w="917" w:type="dxa"/>
            <w:tcBorders>
              <w:right w:val="single" w:sz="4" w:space="0" w:color="auto"/>
            </w:tcBorders>
            <w:noWrap/>
            <w:hideMark/>
          </w:tcPr>
          <w:p w14:paraId="4560446E" w14:textId="77777777" w:rsidR="00ED2FFA" w:rsidRPr="00ED6612" w:rsidRDefault="00ED2FFA" w:rsidP="00ED2FFA">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8"/>
                <w:szCs w:val="18"/>
              </w:rPr>
            </w:pPr>
            <w:r w:rsidRPr="00ED6612">
              <w:rPr>
                <w:rFonts w:ascii="Arial" w:eastAsia="Times New Roman" w:hAnsi="Arial" w:cs="Arial"/>
                <w:color w:val="auto"/>
                <w:sz w:val="18"/>
                <w:szCs w:val="18"/>
              </w:rPr>
              <w:t>17</w:t>
            </w:r>
          </w:p>
        </w:tc>
        <w:tc>
          <w:tcPr>
            <w:tcW w:w="1603" w:type="dxa"/>
            <w:tcBorders>
              <w:left w:val="single" w:sz="4" w:space="0" w:color="auto"/>
              <w:right w:val="single" w:sz="4" w:space="0" w:color="auto"/>
            </w:tcBorders>
            <w:hideMark/>
          </w:tcPr>
          <w:p w14:paraId="4560446F" w14:textId="77777777" w:rsidR="00ED2FFA" w:rsidRPr="00ED6612" w:rsidRDefault="00ED2FFA" w:rsidP="00ED2FFA">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8"/>
                <w:szCs w:val="18"/>
              </w:rPr>
            </w:pPr>
            <w:r w:rsidRPr="00ED6612">
              <w:rPr>
                <w:rFonts w:ascii="Arial" w:eastAsia="Times New Roman" w:hAnsi="Arial" w:cs="Arial"/>
                <w:color w:val="auto"/>
                <w:sz w:val="18"/>
                <w:szCs w:val="18"/>
              </w:rPr>
              <w:t>3,163,392</w:t>
            </w:r>
          </w:p>
        </w:tc>
        <w:tc>
          <w:tcPr>
            <w:tcW w:w="1106" w:type="dxa"/>
            <w:tcBorders>
              <w:left w:val="single" w:sz="4" w:space="0" w:color="auto"/>
            </w:tcBorders>
            <w:noWrap/>
            <w:hideMark/>
          </w:tcPr>
          <w:p w14:paraId="45604470" w14:textId="77777777" w:rsidR="00ED2FFA" w:rsidRPr="00ED6612" w:rsidRDefault="00ED2FFA" w:rsidP="007B43F0">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8"/>
                <w:szCs w:val="18"/>
              </w:rPr>
            </w:pPr>
            <w:r w:rsidRPr="00ED6612">
              <w:rPr>
                <w:rFonts w:ascii="Arial" w:eastAsia="Times New Roman" w:hAnsi="Arial" w:cs="Arial"/>
                <w:color w:val="auto"/>
                <w:sz w:val="18"/>
                <w:szCs w:val="18"/>
              </w:rPr>
              <w:t>5%</w:t>
            </w:r>
          </w:p>
        </w:tc>
        <w:tc>
          <w:tcPr>
            <w:tcW w:w="1054" w:type="dxa"/>
            <w:hideMark/>
          </w:tcPr>
          <w:p w14:paraId="45604471" w14:textId="77777777" w:rsidR="00ED2FFA" w:rsidRPr="00ED6612" w:rsidRDefault="00ED2FFA" w:rsidP="00ED2FFA">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8"/>
                <w:szCs w:val="18"/>
              </w:rPr>
            </w:pPr>
            <w:r w:rsidRPr="00ED6612">
              <w:rPr>
                <w:rFonts w:ascii="Arial" w:eastAsia="Times New Roman" w:hAnsi="Arial" w:cs="Arial"/>
                <w:color w:val="auto"/>
                <w:sz w:val="18"/>
                <w:szCs w:val="18"/>
              </w:rPr>
              <w:t>158,170</w:t>
            </w:r>
          </w:p>
        </w:tc>
        <w:tc>
          <w:tcPr>
            <w:tcW w:w="900" w:type="dxa"/>
            <w:noWrap/>
            <w:hideMark/>
          </w:tcPr>
          <w:p w14:paraId="45604472" w14:textId="77777777" w:rsidR="00ED2FFA" w:rsidRPr="00ED6612" w:rsidRDefault="00ED2FFA" w:rsidP="00ED2FF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8"/>
                <w:szCs w:val="18"/>
              </w:rPr>
            </w:pPr>
            <w:r w:rsidRPr="00ED6612">
              <w:rPr>
                <w:rFonts w:ascii="Arial" w:eastAsia="Times New Roman" w:hAnsi="Arial" w:cs="Arial"/>
                <w:color w:val="auto"/>
                <w:sz w:val="18"/>
                <w:szCs w:val="18"/>
              </w:rPr>
              <w:t> </w:t>
            </w:r>
          </w:p>
        </w:tc>
      </w:tr>
      <w:tr w:rsidR="00ED2FFA" w:rsidRPr="00ED6612" w14:paraId="4560447A" w14:textId="77777777" w:rsidTr="007F3E0C">
        <w:trPr>
          <w:cnfStyle w:val="000000100000" w:firstRow="0" w:lastRow="0" w:firstColumn="0" w:lastColumn="0" w:oddVBand="0" w:evenVBand="0" w:oddHBand="1" w:evenHBand="0" w:firstRowFirstColumn="0" w:firstRowLastColumn="0" w:lastRowFirstColumn="0" w:lastRowLastColumn="0"/>
          <w:trHeight w:val="345"/>
        </w:trPr>
        <w:tc>
          <w:tcPr>
            <w:cnfStyle w:val="001000000000" w:firstRow="0" w:lastRow="0" w:firstColumn="1" w:lastColumn="0" w:oddVBand="0" w:evenVBand="0" w:oddHBand="0" w:evenHBand="0" w:firstRowFirstColumn="0" w:firstRowLastColumn="0" w:lastRowFirstColumn="0" w:lastRowLastColumn="0"/>
            <w:tcW w:w="2340" w:type="dxa"/>
            <w:noWrap/>
            <w:hideMark/>
          </w:tcPr>
          <w:p w14:paraId="45604474" w14:textId="77777777" w:rsidR="00ED2FFA" w:rsidRPr="00ED6612" w:rsidRDefault="00ED2FFA" w:rsidP="007B43F0">
            <w:pPr>
              <w:rPr>
                <w:rFonts w:ascii="Arial" w:eastAsia="Times New Roman" w:hAnsi="Arial" w:cs="Arial"/>
                <w:b w:val="0"/>
                <w:color w:val="auto"/>
                <w:sz w:val="18"/>
                <w:szCs w:val="18"/>
              </w:rPr>
            </w:pPr>
            <w:r w:rsidRPr="00ED6612">
              <w:rPr>
                <w:rFonts w:ascii="Arial" w:hAnsi="Arial" w:cs="Arial"/>
                <w:b w:val="0"/>
                <w:color w:val="auto"/>
                <w:sz w:val="18"/>
                <w:szCs w:val="18"/>
              </w:rPr>
              <w:t>Refrigeration systems</w:t>
            </w:r>
          </w:p>
        </w:tc>
        <w:tc>
          <w:tcPr>
            <w:tcW w:w="917" w:type="dxa"/>
            <w:tcBorders>
              <w:right w:val="single" w:sz="4" w:space="0" w:color="auto"/>
            </w:tcBorders>
            <w:noWrap/>
            <w:hideMark/>
          </w:tcPr>
          <w:p w14:paraId="45604475" w14:textId="77777777" w:rsidR="00ED2FFA" w:rsidRPr="00ED6612" w:rsidRDefault="00ED2FFA" w:rsidP="00ED2FFA">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8"/>
                <w:szCs w:val="18"/>
              </w:rPr>
            </w:pPr>
            <w:r w:rsidRPr="00ED6612">
              <w:rPr>
                <w:rFonts w:ascii="Arial" w:eastAsia="Times New Roman" w:hAnsi="Arial" w:cs="Arial"/>
                <w:color w:val="auto"/>
                <w:sz w:val="18"/>
                <w:szCs w:val="18"/>
              </w:rPr>
              <w:t>11</w:t>
            </w:r>
          </w:p>
        </w:tc>
        <w:tc>
          <w:tcPr>
            <w:tcW w:w="1603" w:type="dxa"/>
            <w:tcBorders>
              <w:left w:val="single" w:sz="4" w:space="0" w:color="auto"/>
              <w:right w:val="single" w:sz="4" w:space="0" w:color="auto"/>
            </w:tcBorders>
            <w:hideMark/>
          </w:tcPr>
          <w:p w14:paraId="45604476" w14:textId="77777777" w:rsidR="00ED2FFA" w:rsidRPr="00ED6612" w:rsidRDefault="00ED2FFA" w:rsidP="00ED2FFA">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8"/>
                <w:szCs w:val="18"/>
              </w:rPr>
            </w:pPr>
            <w:r w:rsidRPr="00ED6612">
              <w:rPr>
                <w:rFonts w:ascii="Arial" w:eastAsia="Times New Roman" w:hAnsi="Arial" w:cs="Arial"/>
                <w:color w:val="auto"/>
                <w:sz w:val="18"/>
                <w:szCs w:val="18"/>
              </w:rPr>
              <w:t>4,274,880</w:t>
            </w:r>
          </w:p>
        </w:tc>
        <w:tc>
          <w:tcPr>
            <w:tcW w:w="1106" w:type="dxa"/>
            <w:tcBorders>
              <w:left w:val="single" w:sz="4" w:space="0" w:color="auto"/>
            </w:tcBorders>
            <w:noWrap/>
            <w:hideMark/>
          </w:tcPr>
          <w:p w14:paraId="45604477" w14:textId="77777777" w:rsidR="00ED2FFA" w:rsidRPr="00ED6612" w:rsidRDefault="00ED2FFA" w:rsidP="007B43F0">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8"/>
                <w:szCs w:val="18"/>
              </w:rPr>
            </w:pPr>
            <w:r w:rsidRPr="00ED6612">
              <w:rPr>
                <w:rFonts w:ascii="Arial" w:eastAsia="Times New Roman" w:hAnsi="Arial" w:cs="Arial"/>
                <w:color w:val="auto"/>
                <w:sz w:val="18"/>
                <w:szCs w:val="18"/>
              </w:rPr>
              <w:t>27%</w:t>
            </w:r>
          </w:p>
        </w:tc>
        <w:tc>
          <w:tcPr>
            <w:tcW w:w="1054" w:type="dxa"/>
            <w:hideMark/>
          </w:tcPr>
          <w:p w14:paraId="45604478" w14:textId="77777777" w:rsidR="00ED2FFA" w:rsidRPr="00ED6612" w:rsidRDefault="00ED2FFA" w:rsidP="00ED2FFA">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8"/>
                <w:szCs w:val="18"/>
              </w:rPr>
            </w:pPr>
            <w:r w:rsidRPr="00ED6612">
              <w:rPr>
                <w:rFonts w:ascii="Arial" w:eastAsia="Times New Roman" w:hAnsi="Arial" w:cs="Arial"/>
                <w:color w:val="auto"/>
                <w:sz w:val="18"/>
                <w:szCs w:val="18"/>
              </w:rPr>
              <w:t>1,154,218</w:t>
            </w:r>
          </w:p>
        </w:tc>
        <w:tc>
          <w:tcPr>
            <w:tcW w:w="900" w:type="dxa"/>
            <w:noWrap/>
            <w:hideMark/>
          </w:tcPr>
          <w:p w14:paraId="45604479" w14:textId="77777777" w:rsidR="00ED2FFA" w:rsidRPr="00ED6612" w:rsidRDefault="00ED2FFA" w:rsidP="00ED2FFA">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8"/>
                <w:szCs w:val="18"/>
              </w:rPr>
            </w:pPr>
            <w:r w:rsidRPr="00ED6612">
              <w:rPr>
                <w:rFonts w:ascii="Arial" w:eastAsia="Times New Roman" w:hAnsi="Arial" w:cs="Arial"/>
                <w:color w:val="auto"/>
                <w:sz w:val="18"/>
                <w:szCs w:val="18"/>
              </w:rPr>
              <w:t> </w:t>
            </w:r>
          </w:p>
        </w:tc>
      </w:tr>
      <w:tr w:rsidR="00ED2FFA" w:rsidRPr="00ED6612" w14:paraId="45604481" w14:textId="77777777" w:rsidTr="007F3E0C">
        <w:trPr>
          <w:trHeight w:val="345"/>
        </w:trPr>
        <w:tc>
          <w:tcPr>
            <w:cnfStyle w:val="001000000000" w:firstRow="0" w:lastRow="0" w:firstColumn="1" w:lastColumn="0" w:oddVBand="0" w:evenVBand="0" w:oddHBand="0" w:evenHBand="0" w:firstRowFirstColumn="0" w:firstRowLastColumn="0" w:lastRowFirstColumn="0" w:lastRowLastColumn="0"/>
            <w:tcW w:w="2340" w:type="dxa"/>
            <w:noWrap/>
            <w:hideMark/>
          </w:tcPr>
          <w:p w14:paraId="4560447B" w14:textId="77777777" w:rsidR="00ED2FFA" w:rsidRPr="00ED6612" w:rsidRDefault="00ED2FFA" w:rsidP="007B43F0">
            <w:pPr>
              <w:rPr>
                <w:rFonts w:ascii="Arial" w:eastAsia="Times New Roman" w:hAnsi="Arial" w:cs="Arial"/>
                <w:b w:val="0"/>
                <w:color w:val="auto"/>
                <w:sz w:val="18"/>
                <w:szCs w:val="18"/>
              </w:rPr>
            </w:pPr>
            <w:r w:rsidRPr="00ED6612">
              <w:rPr>
                <w:rFonts w:ascii="Arial" w:hAnsi="Arial" w:cs="Arial"/>
                <w:b w:val="0"/>
                <w:color w:val="auto"/>
                <w:sz w:val="18"/>
                <w:szCs w:val="18"/>
              </w:rPr>
              <w:t>Air conditioning</w:t>
            </w:r>
          </w:p>
        </w:tc>
        <w:tc>
          <w:tcPr>
            <w:tcW w:w="917" w:type="dxa"/>
            <w:tcBorders>
              <w:right w:val="single" w:sz="4" w:space="0" w:color="auto"/>
            </w:tcBorders>
            <w:noWrap/>
            <w:hideMark/>
          </w:tcPr>
          <w:p w14:paraId="4560447C" w14:textId="77777777" w:rsidR="00ED2FFA" w:rsidRPr="00ED6612" w:rsidRDefault="00ED2FFA" w:rsidP="00ED2FFA">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8"/>
                <w:szCs w:val="18"/>
              </w:rPr>
            </w:pPr>
            <w:r w:rsidRPr="00ED6612">
              <w:rPr>
                <w:rFonts w:ascii="Arial" w:eastAsia="Times New Roman" w:hAnsi="Arial" w:cs="Arial"/>
                <w:color w:val="auto"/>
                <w:sz w:val="18"/>
                <w:szCs w:val="18"/>
              </w:rPr>
              <w:t>17</w:t>
            </w:r>
          </w:p>
        </w:tc>
        <w:tc>
          <w:tcPr>
            <w:tcW w:w="1603" w:type="dxa"/>
            <w:tcBorders>
              <w:left w:val="single" w:sz="4" w:space="0" w:color="auto"/>
              <w:right w:val="single" w:sz="4" w:space="0" w:color="auto"/>
            </w:tcBorders>
            <w:hideMark/>
          </w:tcPr>
          <w:p w14:paraId="4560447D" w14:textId="77777777" w:rsidR="00ED2FFA" w:rsidRPr="00ED6612" w:rsidRDefault="00ED2FFA" w:rsidP="00ED2FFA">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8"/>
                <w:szCs w:val="18"/>
              </w:rPr>
            </w:pPr>
            <w:r w:rsidRPr="00ED6612">
              <w:rPr>
                <w:rFonts w:ascii="Arial" w:eastAsia="Times New Roman" w:hAnsi="Arial" w:cs="Arial"/>
                <w:color w:val="auto"/>
                <w:sz w:val="18"/>
                <w:szCs w:val="18"/>
              </w:rPr>
              <w:t>2,275,165</w:t>
            </w:r>
          </w:p>
        </w:tc>
        <w:tc>
          <w:tcPr>
            <w:tcW w:w="1106" w:type="dxa"/>
            <w:tcBorders>
              <w:left w:val="single" w:sz="4" w:space="0" w:color="auto"/>
            </w:tcBorders>
            <w:noWrap/>
            <w:hideMark/>
          </w:tcPr>
          <w:p w14:paraId="4560447E" w14:textId="77777777" w:rsidR="00ED2FFA" w:rsidRPr="00ED6612" w:rsidRDefault="00ED2FFA" w:rsidP="007B43F0">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8"/>
                <w:szCs w:val="18"/>
              </w:rPr>
            </w:pPr>
            <w:r w:rsidRPr="00ED6612">
              <w:rPr>
                <w:rFonts w:ascii="Arial" w:eastAsia="Times New Roman" w:hAnsi="Arial" w:cs="Arial"/>
                <w:color w:val="auto"/>
                <w:sz w:val="18"/>
                <w:szCs w:val="18"/>
              </w:rPr>
              <w:t>20%</w:t>
            </w:r>
          </w:p>
        </w:tc>
        <w:tc>
          <w:tcPr>
            <w:tcW w:w="1054" w:type="dxa"/>
            <w:hideMark/>
          </w:tcPr>
          <w:p w14:paraId="4560447F" w14:textId="77777777" w:rsidR="00ED2FFA" w:rsidRPr="00ED6612" w:rsidRDefault="00ED2FFA" w:rsidP="00ED2FFA">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8"/>
                <w:szCs w:val="18"/>
              </w:rPr>
            </w:pPr>
            <w:r w:rsidRPr="00ED6612">
              <w:rPr>
                <w:rFonts w:ascii="Arial" w:eastAsia="Times New Roman" w:hAnsi="Arial" w:cs="Arial"/>
                <w:color w:val="auto"/>
                <w:sz w:val="18"/>
                <w:szCs w:val="18"/>
              </w:rPr>
              <w:t>455,033</w:t>
            </w:r>
          </w:p>
        </w:tc>
        <w:tc>
          <w:tcPr>
            <w:tcW w:w="900" w:type="dxa"/>
            <w:noWrap/>
            <w:hideMark/>
          </w:tcPr>
          <w:p w14:paraId="45604480" w14:textId="77777777" w:rsidR="00ED2FFA" w:rsidRPr="00ED6612" w:rsidRDefault="00ED2FFA" w:rsidP="00ED2FF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8"/>
                <w:szCs w:val="18"/>
              </w:rPr>
            </w:pPr>
            <w:r w:rsidRPr="00ED6612">
              <w:rPr>
                <w:rFonts w:ascii="Arial" w:eastAsia="Times New Roman" w:hAnsi="Arial" w:cs="Arial"/>
                <w:color w:val="auto"/>
                <w:sz w:val="18"/>
                <w:szCs w:val="18"/>
              </w:rPr>
              <w:t> </w:t>
            </w:r>
          </w:p>
        </w:tc>
      </w:tr>
      <w:tr w:rsidR="00ED2FFA" w:rsidRPr="00ED6612" w14:paraId="45604488" w14:textId="77777777" w:rsidTr="007F3E0C">
        <w:trPr>
          <w:cnfStyle w:val="000000100000" w:firstRow="0" w:lastRow="0" w:firstColumn="0" w:lastColumn="0" w:oddVBand="0" w:evenVBand="0" w:oddHBand="1" w:evenHBand="0" w:firstRowFirstColumn="0" w:firstRowLastColumn="0" w:lastRowFirstColumn="0" w:lastRowLastColumn="0"/>
          <w:trHeight w:val="345"/>
        </w:trPr>
        <w:tc>
          <w:tcPr>
            <w:cnfStyle w:val="001000000000" w:firstRow="0" w:lastRow="0" w:firstColumn="1" w:lastColumn="0" w:oddVBand="0" w:evenVBand="0" w:oddHBand="0" w:evenHBand="0" w:firstRowFirstColumn="0" w:firstRowLastColumn="0" w:lastRowFirstColumn="0" w:lastRowLastColumn="0"/>
            <w:tcW w:w="2340" w:type="dxa"/>
            <w:noWrap/>
            <w:hideMark/>
          </w:tcPr>
          <w:p w14:paraId="45604482" w14:textId="77777777" w:rsidR="00ED2FFA" w:rsidRPr="00ED6612" w:rsidRDefault="00ED2FFA" w:rsidP="007B43F0">
            <w:pPr>
              <w:rPr>
                <w:rFonts w:ascii="Arial" w:eastAsia="Times New Roman" w:hAnsi="Arial" w:cs="Arial"/>
                <w:b w:val="0"/>
                <w:color w:val="auto"/>
                <w:sz w:val="18"/>
                <w:szCs w:val="18"/>
              </w:rPr>
            </w:pPr>
            <w:r w:rsidRPr="00ED6612">
              <w:rPr>
                <w:rFonts w:ascii="Arial" w:hAnsi="Arial" w:cs="Arial"/>
                <w:b w:val="0"/>
                <w:color w:val="auto"/>
                <w:sz w:val="18"/>
                <w:szCs w:val="18"/>
              </w:rPr>
              <w:t>Cogeneration</w:t>
            </w:r>
          </w:p>
        </w:tc>
        <w:tc>
          <w:tcPr>
            <w:tcW w:w="917" w:type="dxa"/>
            <w:tcBorders>
              <w:right w:val="single" w:sz="4" w:space="0" w:color="auto"/>
            </w:tcBorders>
            <w:noWrap/>
            <w:hideMark/>
          </w:tcPr>
          <w:p w14:paraId="45604483" w14:textId="77777777" w:rsidR="00ED2FFA" w:rsidRPr="00ED6612" w:rsidRDefault="00ED2FFA" w:rsidP="00ED2FFA">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8"/>
                <w:szCs w:val="18"/>
              </w:rPr>
            </w:pPr>
            <w:r w:rsidRPr="00ED6612">
              <w:rPr>
                <w:rFonts w:ascii="Arial" w:eastAsia="Times New Roman" w:hAnsi="Arial" w:cs="Arial"/>
                <w:color w:val="auto"/>
                <w:sz w:val="18"/>
                <w:szCs w:val="18"/>
              </w:rPr>
              <w:t>6</w:t>
            </w:r>
          </w:p>
        </w:tc>
        <w:tc>
          <w:tcPr>
            <w:tcW w:w="1603" w:type="dxa"/>
            <w:tcBorders>
              <w:left w:val="single" w:sz="4" w:space="0" w:color="auto"/>
              <w:bottom w:val="nil"/>
              <w:right w:val="single" w:sz="4" w:space="0" w:color="auto"/>
            </w:tcBorders>
            <w:hideMark/>
          </w:tcPr>
          <w:p w14:paraId="45604484" w14:textId="77777777" w:rsidR="00ED2FFA" w:rsidRPr="00ED6612" w:rsidRDefault="00ED2FFA" w:rsidP="00ED2FFA">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8"/>
                <w:szCs w:val="18"/>
              </w:rPr>
            </w:pPr>
            <w:r w:rsidRPr="00ED6612">
              <w:rPr>
                <w:rFonts w:ascii="Arial" w:eastAsia="Times New Roman" w:hAnsi="Arial" w:cs="Arial"/>
                <w:color w:val="auto"/>
                <w:sz w:val="18"/>
                <w:szCs w:val="18"/>
              </w:rPr>
              <w:t>525,600</w:t>
            </w:r>
          </w:p>
        </w:tc>
        <w:tc>
          <w:tcPr>
            <w:tcW w:w="1106" w:type="dxa"/>
            <w:tcBorders>
              <w:left w:val="single" w:sz="4" w:space="0" w:color="auto"/>
            </w:tcBorders>
            <w:noWrap/>
            <w:hideMark/>
          </w:tcPr>
          <w:p w14:paraId="45604485" w14:textId="77777777" w:rsidR="00ED2FFA" w:rsidRPr="00ED6612" w:rsidRDefault="00ED2FFA" w:rsidP="007B43F0">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8"/>
                <w:szCs w:val="18"/>
              </w:rPr>
            </w:pPr>
            <w:r w:rsidRPr="00ED6612">
              <w:rPr>
                <w:rFonts w:ascii="Arial" w:eastAsia="Times New Roman" w:hAnsi="Arial" w:cs="Arial"/>
                <w:color w:val="auto"/>
                <w:sz w:val="18"/>
                <w:szCs w:val="18"/>
              </w:rPr>
              <w:t>35%</w:t>
            </w:r>
          </w:p>
        </w:tc>
        <w:tc>
          <w:tcPr>
            <w:tcW w:w="1054" w:type="dxa"/>
            <w:hideMark/>
          </w:tcPr>
          <w:p w14:paraId="45604486" w14:textId="77777777" w:rsidR="00ED2FFA" w:rsidRPr="00ED6612" w:rsidRDefault="00ED2FFA" w:rsidP="00ED2FFA">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8"/>
                <w:szCs w:val="18"/>
              </w:rPr>
            </w:pPr>
            <w:r w:rsidRPr="00ED6612">
              <w:rPr>
                <w:rFonts w:ascii="Arial" w:eastAsia="Times New Roman" w:hAnsi="Arial" w:cs="Arial"/>
                <w:color w:val="auto"/>
                <w:sz w:val="18"/>
                <w:szCs w:val="18"/>
              </w:rPr>
              <w:t>183,960</w:t>
            </w:r>
          </w:p>
        </w:tc>
        <w:tc>
          <w:tcPr>
            <w:tcW w:w="900" w:type="dxa"/>
            <w:noWrap/>
            <w:hideMark/>
          </w:tcPr>
          <w:p w14:paraId="45604487" w14:textId="77777777" w:rsidR="00ED2FFA" w:rsidRPr="00ED6612" w:rsidRDefault="00ED2FFA" w:rsidP="00ED2FFA">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8"/>
                <w:szCs w:val="18"/>
              </w:rPr>
            </w:pPr>
            <w:r w:rsidRPr="00ED6612">
              <w:rPr>
                <w:rFonts w:ascii="Arial" w:eastAsia="Times New Roman" w:hAnsi="Arial" w:cs="Arial"/>
                <w:color w:val="auto"/>
                <w:sz w:val="18"/>
                <w:szCs w:val="18"/>
              </w:rPr>
              <w:t> </w:t>
            </w:r>
          </w:p>
        </w:tc>
      </w:tr>
      <w:tr w:rsidR="00ED2FFA" w:rsidRPr="00ED6612" w14:paraId="4560448F" w14:textId="77777777" w:rsidTr="007F3E0C">
        <w:trPr>
          <w:trHeight w:val="345"/>
        </w:trPr>
        <w:tc>
          <w:tcPr>
            <w:cnfStyle w:val="001000000000" w:firstRow="0" w:lastRow="0" w:firstColumn="1" w:lastColumn="0" w:oddVBand="0" w:evenVBand="0" w:oddHBand="0" w:evenHBand="0" w:firstRowFirstColumn="0" w:firstRowLastColumn="0" w:lastRowFirstColumn="0" w:lastRowLastColumn="0"/>
            <w:tcW w:w="2340" w:type="dxa"/>
            <w:tcBorders>
              <w:bottom w:val="single" w:sz="4" w:space="0" w:color="auto"/>
            </w:tcBorders>
            <w:noWrap/>
            <w:hideMark/>
          </w:tcPr>
          <w:p w14:paraId="45604489" w14:textId="77777777" w:rsidR="00ED2FFA" w:rsidRPr="00ED6612" w:rsidRDefault="00ED2FFA" w:rsidP="007B43F0">
            <w:pPr>
              <w:rPr>
                <w:rFonts w:ascii="Arial" w:eastAsia="Times New Roman" w:hAnsi="Arial" w:cs="Arial"/>
                <w:b w:val="0"/>
                <w:color w:val="auto"/>
                <w:sz w:val="18"/>
                <w:szCs w:val="18"/>
              </w:rPr>
            </w:pPr>
            <w:r w:rsidRPr="00ED6612">
              <w:rPr>
                <w:rFonts w:ascii="Arial" w:eastAsia="Times New Roman" w:hAnsi="Arial" w:cs="Arial"/>
                <w:b w:val="0"/>
                <w:bCs w:val="0"/>
                <w:color w:val="auto"/>
                <w:sz w:val="18"/>
                <w:szCs w:val="18"/>
              </w:rPr>
              <w:t>Total</w:t>
            </w:r>
          </w:p>
        </w:tc>
        <w:tc>
          <w:tcPr>
            <w:tcW w:w="917" w:type="dxa"/>
            <w:tcBorders>
              <w:bottom w:val="single" w:sz="4" w:space="0" w:color="auto"/>
              <w:right w:val="single" w:sz="4" w:space="0" w:color="auto"/>
            </w:tcBorders>
            <w:noWrap/>
            <w:hideMark/>
          </w:tcPr>
          <w:p w14:paraId="4560448A" w14:textId="77777777" w:rsidR="00ED2FFA" w:rsidRPr="00ED6612" w:rsidRDefault="00ED2FFA" w:rsidP="00ED2FFA">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color w:val="auto"/>
                <w:sz w:val="18"/>
                <w:szCs w:val="18"/>
              </w:rPr>
            </w:pPr>
            <w:r w:rsidRPr="00ED6612">
              <w:rPr>
                <w:rFonts w:ascii="Arial" w:eastAsia="Times New Roman" w:hAnsi="Arial" w:cs="Arial"/>
                <w:bCs/>
                <w:color w:val="auto"/>
                <w:sz w:val="18"/>
                <w:szCs w:val="18"/>
              </w:rPr>
              <w:t>114</w:t>
            </w:r>
          </w:p>
        </w:tc>
        <w:tc>
          <w:tcPr>
            <w:tcW w:w="1603" w:type="dxa"/>
            <w:tcBorders>
              <w:top w:val="nil"/>
              <w:left w:val="single" w:sz="4" w:space="0" w:color="auto"/>
              <w:bottom w:val="single" w:sz="4" w:space="0" w:color="auto"/>
              <w:right w:val="single" w:sz="4" w:space="0" w:color="auto"/>
            </w:tcBorders>
            <w:noWrap/>
            <w:hideMark/>
          </w:tcPr>
          <w:p w14:paraId="4560448B" w14:textId="77777777" w:rsidR="00ED2FFA" w:rsidRPr="00ED6612" w:rsidRDefault="00ED2FFA" w:rsidP="00ED2FFA">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auto"/>
                <w:sz w:val="18"/>
                <w:szCs w:val="18"/>
              </w:rPr>
            </w:pPr>
            <w:r w:rsidRPr="00ED6612">
              <w:rPr>
                <w:rFonts w:ascii="Arial" w:eastAsia="Times New Roman" w:hAnsi="Arial" w:cs="Arial"/>
                <w:b/>
                <w:bCs/>
                <w:color w:val="auto"/>
                <w:sz w:val="18"/>
                <w:szCs w:val="18"/>
              </w:rPr>
              <w:t> </w:t>
            </w:r>
          </w:p>
        </w:tc>
        <w:tc>
          <w:tcPr>
            <w:tcW w:w="1106" w:type="dxa"/>
            <w:tcBorders>
              <w:left w:val="single" w:sz="4" w:space="0" w:color="auto"/>
              <w:bottom w:val="single" w:sz="4" w:space="0" w:color="auto"/>
            </w:tcBorders>
            <w:noWrap/>
            <w:hideMark/>
          </w:tcPr>
          <w:p w14:paraId="4560448C" w14:textId="77777777" w:rsidR="00ED2FFA" w:rsidRPr="00ED6612" w:rsidRDefault="00ED2FFA" w:rsidP="00ED2FFA">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auto"/>
                <w:sz w:val="18"/>
                <w:szCs w:val="18"/>
              </w:rPr>
            </w:pPr>
            <w:r w:rsidRPr="00ED6612">
              <w:rPr>
                <w:rFonts w:ascii="Arial" w:eastAsia="Times New Roman" w:hAnsi="Arial" w:cs="Arial"/>
                <w:b/>
                <w:bCs/>
                <w:color w:val="auto"/>
                <w:sz w:val="18"/>
                <w:szCs w:val="18"/>
              </w:rPr>
              <w:t> </w:t>
            </w:r>
          </w:p>
        </w:tc>
        <w:tc>
          <w:tcPr>
            <w:tcW w:w="1054" w:type="dxa"/>
            <w:tcBorders>
              <w:bottom w:val="single" w:sz="4" w:space="0" w:color="auto"/>
            </w:tcBorders>
            <w:noWrap/>
            <w:hideMark/>
          </w:tcPr>
          <w:p w14:paraId="4560448D" w14:textId="77777777" w:rsidR="00ED2FFA" w:rsidRPr="00ED6612" w:rsidRDefault="00ED2FFA" w:rsidP="00ED2FFA">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auto"/>
                <w:sz w:val="18"/>
                <w:szCs w:val="18"/>
              </w:rPr>
            </w:pPr>
            <w:r w:rsidRPr="00ED6612">
              <w:rPr>
                <w:rFonts w:ascii="Arial" w:eastAsia="Times New Roman" w:hAnsi="Arial" w:cs="Arial"/>
                <w:b/>
                <w:bCs/>
                <w:color w:val="auto"/>
                <w:sz w:val="18"/>
                <w:szCs w:val="18"/>
              </w:rPr>
              <w:t> </w:t>
            </w:r>
          </w:p>
        </w:tc>
        <w:tc>
          <w:tcPr>
            <w:tcW w:w="900" w:type="dxa"/>
            <w:tcBorders>
              <w:bottom w:val="single" w:sz="4" w:space="0" w:color="auto"/>
            </w:tcBorders>
            <w:noWrap/>
            <w:hideMark/>
          </w:tcPr>
          <w:p w14:paraId="4560448E" w14:textId="77777777" w:rsidR="00ED2FFA" w:rsidRPr="00ED6612" w:rsidRDefault="00ED2FFA" w:rsidP="00ED2FFA">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auto"/>
                <w:sz w:val="18"/>
                <w:szCs w:val="18"/>
              </w:rPr>
            </w:pPr>
            <w:r w:rsidRPr="00ED6612">
              <w:rPr>
                <w:rFonts w:ascii="Arial" w:eastAsia="Times New Roman" w:hAnsi="Arial" w:cs="Arial"/>
                <w:b/>
                <w:bCs/>
                <w:color w:val="auto"/>
                <w:sz w:val="18"/>
                <w:szCs w:val="18"/>
              </w:rPr>
              <w:t> </w:t>
            </w:r>
          </w:p>
        </w:tc>
      </w:tr>
      <w:tr w:rsidR="00ED2FFA" w:rsidRPr="00ED6612" w14:paraId="45604494" w14:textId="77777777" w:rsidTr="007F3E0C">
        <w:trPr>
          <w:cnfStyle w:val="000000100000" w:firstRow="0" w:lastRow="0" w:firstColumn="0" w:lastColumn="0" w:oddVBand="0" w:evenVBand="0" w:oddHBand="1" w:evenHBand="0" w:firstRowFirstColumn="0" w:firstRowLastColumn="0" w:lastRowFirstColumn="0" w:lastRowLastColumn="0"/>
          <w:trHeight w:val="345"/>
        </w:trPr>
        <w:tc>
          <w:tcPr>
            <w:cnfStyle w:val="001000000000" w:firstRow="0" w:lastRow="0" w:firstColumn="1" w:lastColumn="0" w:oddVBand="0" w:evenVBand="0" w:oddHBand="0" w:evenHBand="0" w:firstRowFirstColumn="0" w:firstRowLastColumn="0" w:lastRowFirstColumn="0" w:lastRowLastColumn="0"/>
            <w:tcW w:w="4860" w:type="dxa"/>
            <w:gridSpan w:val="3"/>
            <w:tcBorders>
              <w:top w:val="single" w:sz="4" w:space="0" w:color="auto"/>
              <w:bottom w:val="single" w:sz="8" w:space="0" w:color="4F81BD" w:themeColor="accent1"/>
              <w:right w:val="single" w:sz="4" w:space="0" w:color="auto"/>
            </w:tcBorders>
            <w:noWrap/>
            <w:hideMark/>
          </w:tcPr>
          <w:p w14:paraId="45604490" w14:textId="77777777" w:rsidR="00ED2FFA" w:rsidRPr="00ED6612" w:rsidRDefault="00ED2FFA" w:rsidP="00ED2FFA">
            <w:pPr>
              <w:rPr>
                <w:rFonts w:ascii="Arial" w:eastAsia="Times New Roman" w:hAnsi="Arial" w:cs="Arial"/>
                <w:bCs w:val="0"/>
                <w:color w:val="auto"/>
                <w:sz w:val="18"/>
                <w:szCs w:val="18"/>
              </w:rPr>
            </w:pPr>
            <w:r w:rsidRPr="00ED6612">
              <w:rPr>
                <w:rFonts w:ascii="Arial" w:eastAsia="Times New Roman" w:hAnsi="Arial" w:cs="Arial"/>
                <w:b w:val="0"/>
                <w:color w:val="auto"/>
                <w:sz w:val="18"/>
                <w:szCs w:val="18"/>
              </w:rPr>
              <w:t> Average energy savings per project</w:t>
            </w:r>
          </w:p>
        </w:tc>
        <w:tc>
          <w:tcPr>
            <w:tcW w:w="1106" w:type="dxa"/>
            <w:tcBorders>
              <w:top w:val="single" w:sz="4" w:space="0" w:color="auto"/>
              <w:left w:val="single" w:sz="4" w:space="0" w:color="auto"/>
              <w:bottom w:val="single" w:sz="8" w:space="0" w:color="4F81BD" w:themeColor="accent1"/>
            </w:tcBorders>
            <w:noWrap/>
            <w:hideMark/>
          </w:tcPr>
          <w:p w14:paraId="45604491" w14:textId="77777777" w:rsidR="00ED2FFA" w:rsidRPr="00ED6612" w:rsidRDefault="00ED2FFA" w:rsidP="00ED2FFA">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8"/>
                <w:szCs w:val="18"/>
              </w:rPr>
            </w:pPr>
            <w:r w:rsidRPr="00ED6612">
              <w:rPr>
                <w:rFonts w:ascii="Arial" w:eastAsia="Times New Roman" w:hAnsi="Arial" w:cs="Arial"/>
                <w:color w:val="auto"/>
                <w:sz w:val="18"/>
                <w:szCs w:val="18"/>
              </w:rPr>
              <w:t> </w:t>
            </w:r>
          </w:p>
        </w:tc>
        <w:tc>
          <w:tcPr>
            <w:tcW w:w="1054" w:type="dxa"/>
            <w:tcBorders>
              <w:top w:val="single" w:sz="4" w:space="0" w:color="auto"/>
              <w:bottom w:val="single" w:sz="8" w:space="0" w:color="4F81BD" w:themeColor="accent1"/>
            </w:tcBorders>
            <w:hideMark/>
          </w:tcPr>
          <w:p w14:paraId="45604492" w14:textId="77777777" w:rsidR="00ED2FFA" w:rsidRPr="00ED6612" w:rsidRDefault="00ED2FFA" w:rsidP="00ED2FFA">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Cs/>
                <w:color w:val="auto"/>
                <w:sz w:val="18"/>
                <w:szCs w:val="18"/>
              </w:rPr>
            </w:pPr>
            <w:r w:rsidRPr="00ED6612">
              <w:rPr>
                <w:rFonts w:ascii="Arial" w:eastAsia="Times New Roman" w:hAnsi="Arial" w:cs="Arial"/>
                <w:bCs/>
                <w:color w:val="auto"/>
                <w:sz w:val="18"/>
                <w:szCs w:val="18"/>
              </w:rPr>
              <w:t>474,992</w:t>
            </w:r>
          </w:p>
        </w:tc>
        <w:tc>
          <w:tcPr>
            <w:tcW w:w="900" w:type="dxa"/>
            <w:tcBorders>
              <w:top w:val="single" w:sz="4" w:space="0" w:color="auto"/>
              <w:bottom w:val="single" w:sz="8" w:space="0" w:color="4F81BD" w:themeColor="accent1"/>
            </w:tcBorders>
            <w:hideMark/>
          </w:tcPr>
          <w:p w14:paraId="45604493" w14:textId="77777777" w:rsidR="00ED2FFA" w:rsidRPr="00ED6612" w:rsidRDefault="00ED2FFA" w:rsidP="00ED2FFA">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Cs/>
                <w:color w:val="auto"/>
                <w:sz w:val="18"/>
                <w:szCs w:val="18"/>
              </w:rPr>
            </w:pPr>
            <w:r w:rsidRPr="00ED6612">
              <w:rPr>
                <w:rFonts w:ascii="Arial" w:eastAsia="Times New Roman" w:hAnsi="Arial" w:cs="Arial"/>
                <w:bCs/>
                <w:color w:val="auto"/>
                <w:sz w:val="18"/>
                <w:szCs w:val="18"/>
              </w:rPr>
              <w:t>44,531</w:t>
            </w:r>
          </w:p>
        </w:tc>
      </w:tr>
      <w:bookmarkEnd w:id="29"/>
    </w:tbl>
    <w:p w14:paraId="45604495" w14:textId="77777777" w:rsidR="009E6A77" w:rsidRPr="00ED6612" w:rsidRDefault="009E6A77" w:rsidP="009E6A77">
      <w:pPr>
        <w:spacing w:after="0" w:line="240" w:lineRule="auto"/>
        <w:rPr>
          <w:sz w:val="4"/>
          <w:szCs w:val="4"/>
        </w:rPr>
      </w:pPr>
    </w:p>
    <w:p w14:paraId="45604496" w14:textId="20FC6DCE" w:rsidR="009E6A77" w:rsidRPr="00ED6612" w:rsidRDefault="009E6A77" w:rsidP="008E3817">
      <w:pPr>
        <w:pStyle w:val="Paragraph"/>
        <w:numPr>
          <w:ilvl w:val="1"/>
          <w:numId w:val="4"/>
        </w:numPr>
        <w:tabs>
          <w:tab w:val="num" w:pos="720"/>
        </w:tabs>
        <w:spacing w:afterLines="80" w:after="192"/>
        <w:ind w:left="720" w:hanging="720"/>
        <w:rPr>
          <w:rFonts w:ascii="Arial" w:hAnsi="Arial" w:cs="Arial"/>
          <w:sz w:val="22"/>
        </w:rPr>
      </w:pPr>
      <w:bookmarkStart w:id="30" w:name="_Ref501206684"/>
      <w:r w:rsidRPr="00ED6612">
        <w:rPr>
          <w:rFonts w:ascii="Arial" w:hAnsi="Arial" w:cs="Arial"/>
          <w:b/>
          <w:sz w:val="22"/>
        </w:rPr>
        <w:t>Investment and O&amp;M costs:</w:t>
      </w:r>
      <w:r w:rsidRPr="00ED6612">
        <w:rPr>
          <w:rFonts w:ascii="Arial" w:hAnsi="Arial" w:cs="Arial"/>
          <w:sz w:val="22"/>
        </w:rPr>
        <w:t xml:space="preserve"> Investment costs are assumed to be fully covered by financing from the </w:t>
      </w:r>
      <w:r w:rsidR="00D11E5F">
        <w:rPr>
          <w:rFonts w:ascii="Arial" w:hAnsi="Arial" w:cs="Arial"/>
          <w:sz w:val="22"/>
        </w:rPr>
        <w:t>project</w:t>
      </w:r>
      <w:r w:rsidRPr="00ED6612">
        <w:rPr>
          <w:rFonts w:ascii="Arial" w:hAnsi="Arial" w:cs="Arial"/>
          <w:sz w:val="22"/>
        </w:rPr>
        <w:t xml:space="preserve"> (including </w:t>
      </w:r>
      <w:r w:rsidR="0023067A" w:rsidRPr="00ED6612">
        <w:rPr>
          <w:rFonts w:ascii="Arial" w:hAnsi="Arial" w:cs="Arial"/>
          <w:sz w:val="22"/>
        </w:rPr>
        <w:t>BICE</w:t>
      </w:r>
      <w:r w:rsidRPr="00ED6612">
        <w:rPr>
          <w:rFonts w:ascii="Arial" w:hAnsi="Arial" w:cs="Arial"/>
          <w:sz w:val="22"/>
        </w:rPr>
        <w:t xml:space="preserve"> counterpart) plus the private funding complementing this financing (equity and/or additional financing from sources other than </w:t>
      </w:r>
      <w:r w:rsidR="0023067A" w:rsidRPr="00ED6612">
        <w:rPr>
          <w:rFonts w:ascii="Arial" w:hAnsi="Arial" w:cs="Arial"/>
          <w:sz w:val="22"/>
        </w:rPr>
        <w:t>BICE and the IDB</w:t>
      </w:r>
      <w:r w:rsidRPr="00ED6612">
        <w:rPr>
          <w:rFonts w:ascii="Arial" w:hAnsi="Arial" w:cs="Arial"/>
          <w:sz w:val="22"/>
        </w:rPr>
        <w:t xml:space="preserve">). Investment costs are accounted for entirely at the time of start of implementation of each project; the assumption is that these will cover the initial costs of starting up and deployment of </w:t>
      </w:r>
      <w:r w:rsidR="0023067A" w:rsidRPr="00ED6612">
        <w:rPr>
          <w:rFonts w:ascii="Arial" w:hAnsi="Arial" w:cs="Arial"/>
          <w:sz w:val="22"/>
        </w:rPr>
        <w:t xml:space="preserve">RE and </w:t>
      </w:r>
      <w:r w:rsidRPr="00ED6612">
        <w:rPr>
          <w:rFonts w:ascii="Arial" w:hAnsi="Arial" w:cs="Arial"/>
          <w:sz w:val="22"/>
        </w:rPr>
        <w:t xml:space="preserve">EE technologies. </w:t>
      </w:r>
      <w:r w:rsidRPr="00ED6612">
        <w:rPr>
          <w:rFonts w:ascii="Arial" w:hAnsi="Arial" w:cs="Arial"/>
          <w:spacing w:val="-5"/>
          <w:sz w:val="22"/>
        </w:rPr>
        <w:t>Projects are expected to start operations and produce benefits (associated to the production and/or savings of energy) after the end of the installation of the system is completed</w:t>
      </w:r>
      <w:r w:rsidR="0023067A" w:rsidRPr="00ED6612">
        <w:rPr>
          <w:rFonts w:ascii="Arial" w:hAnsi="Arial" w:cs="Arial"/>
          <w:spacing w:val="-5"/>
          <w:sz w:val="22"/>
        </w:rPr>
        <w:t xml:space="preserve">, </w:t>
      </w:r>
      <w:r w:rsidR="0030330D" w:rsidRPr="00ED6612">
        <w:rPr>
          <w:rFonts w:ascii="Arial" w:hAnsi="Arial" w:cs="Arial"/>
          <w:spacing w:val="-5"/>
          <w:sz w:val="22"/>
        </w:rPr>
        <w:t xml:space="preserve">which in some cases (particularly in RE projects) will happen on a year following </w:t>
      </w:r>
      <w:r w:rsidR="000316EB" w:rsidRPr="00ED6612">
        <w:rPr>
          <w:rFonts w:ascii="Arial" w:hAnsi="Arial" w:cs="Arial"/>
          <w:spacing w:val="-5"/>
          <w:sz w:val="22"/>
        </w:rPr>
        <w:t>that in which</w:t>
      </w:r>
      <w:r w:rsidR="00E46C24" w:rsidRPr="00ED6612">
        <w:rPr>
          <w:rFonts w:ascii="Arial" w:hAnsi="Arial" w:cs="Arial"/>
          <w:spacing w:val="-5"/>
          <w:sz w:val="22"/>
        </w:rPr>
        <w:t xml:space="preserve"> </w:t>
      </w:r>
      <w:r w:rsidR="0023067A" w:rsidRPr="00ED6612">
        <w:rPr>
          <w:rFonts w:ascii="Arial" w:hAnsi="Arial" w:cs="Arial"/>
          <w:spacing w:val="-5"/>
          <w:sz w:val="22"/>
        </w:rPr>
        <w:t>the investment is accounted for</w:t>
      </w:r>
      <w:r w:rsidRPr="00ED6612">
        <w:rPr>
          <w:rFonts w:ascii="Arial" w:hAnsi="Arial" w:cs="Arial"/>
          <w:spacing w:val="-5"/>
          <w:sz w:val="22"/>
        </w:rPr>
        <w:t>.</w:t>
      </w:r>
      <w:r w:rsidRPr="00ED6612">
        <w:rPr>
          <w:rFonts w:ascii="Arial" w:hAnsi="Arial" w:cs="Arial"/>
          <w:spacing w:val="-5"/>
          <w:sz w:val="22"/>
          <w:vertAlign w:val="superscript"/>
        </w:rPr>
        <w:footnoteReference w:id="20"/>
      </w:r>
      <w:r w:rsidRPr="00ED6612">
        <w:rPr>
          <w:rFonts w:ascii="Arial" w:hAnsi="Arial" w:cs="Arial"/>
          <w:spacing w:val="-5"/>
          <w:sz w:val="22"/>
        </w:rPr>
        <w:t xml:space="preserve"> Likewise, O&amp;M costs </w:t>
      </w:r>
      <w:r w:rsidRPr="00ED6612">
        <w:rPr>
          <w:rFonts w:ascii="Arial" w:hAnsi="Arial" w:cs="Arial"/>
          <w:sz w:val="22"/>
        </w:rPr>
        <w:t>will be included yearly starting from the year in which each project begins operations</w:t>
      </w:r>
      <w:r w:rsidRPr="00ED6612">
        <w:rPr>
          <w:rFonts w:ascii="Arial" w:hAnsi="Arial" w:cs="Arial"/>
          <w:spacing w:val="-5"/>
          <w:sz w:val="22"/>
        </w:rPr>
        <w:t xml:space="preserve">. From then on, lifetime of projects is assumed to be equal to </w:t>
      </w:r>
      <w:r w:rsidR="00334B0A" w:rsidRPr="00ED6612">
        <w:rPr>
          <w:rFonts w:ascii="Arial" w:hAnsi="Arial" w:cs="Arial"/>
          <w:spacing w:val="-5"/>
          <w:sz w:val="22"/>
        </w:rPr>
        <w:t>2</w:t>
      </w:r>
      <w:r w:rsidR="007F2061" w:rsidRPr="00ED6612">
        <w:rPr>
          <w:rFonts w:ascii="Arial" w:hAnsi="Arial" w:cs="Arial"/>
          <w:spacing w:val="-5"/>
          <w:sz w:val="22"/>
        </w:rPr>
        <w:t>0 years</w:t>
      </w:r>
      <w:r w:rsidRPr="00ED6612">
        <w:rPr>
          <w:rFonts w:ascii="Arial" w:hAnsi="Arial" w:cs="Arial"/>
          <w:spacing w:val="-5"/>
          <w:sz w:val="22"/>
        </w:rPr>
        <w:t>, regardless of the type of technology and usage</w:t>
      </w:r>
      <w:r w:rsidRPr="00ED6612">
        <w:rPr>
          <w:rFonts w:ascii="Arial" w:hAnsi="Arial" w:cs="Arial"/>
          <w:sz w:val="22"/>
        </w:rPr>
        <w:t>.</w:t>
      </w:r>
      <w:bookmarkEnd w:id="30"/>
    </w:p>
    <w:p w14:paraId="45604497" w14:textId="77777777" w:rsidR="009E6A77" w:rsidRPr="00ED6612" w:rsidRDefault="009E6A77" w:rsidP="009E6A77">
      <w:pPr>
        <w:pStyle w:val="Paragraph"/>
        <w:tabs>
          <w:tab w:val="clear" w:pos="720"/>
          <w:tab w:val="num" w:pos="1800"/>
        </w:tabs>
        <w:spacing w:after="0"/>
        <w:ind w:firstLine="0"/>
        <w:rPr>
          <w:rFonts w:ascii="Arial" w:eastAsia="Times New Roman" w:hAnsi="Arial" w:cs="Arial"/>
          <w:b/>
          <w:sz w:val="20"/>
          <w:szCs w:val="20"/>
        </w:rPr>
      </w:pPr>
      <w:r w:rsidRPr="00ED6612">
        <w:rPr>
          <w:rFonts w:ascii="Arial" w:hAnsi="Arial" w:cs="Arial"/>
          <w:b/>
          <w:sz w:val="20"/>
          <w:szCs w:val="20"/>
        </w:rPr>
        <w:t>Table 2.</w:t>
      </w:r>
      <w:r w:rsidR="00DA32AE" w:rsidRPr="00ED6612">
        <w:rPr>
          <w:rFonts w:ascii="Arial" w:hAnsi="Arial" w:cs="Arial"/>
          <w:b/>
          <w:sz w:val="20"/>
          <w:szCs w:val="20"/>
        </w:rPr>
        <w:t>5</w:t>
      </w:r>
      <w:r w:rsidRPr="00ED6612">
        <w:rPr>
          <w:rFonts w:ascii="Arial" w:hAnsi="Arial" w:cs="Arial"/>
          <w:b/>
          <w:sz w:val="20"/>
          <w:szCs w:val="20"/>
        </w:rPr>
        <w:t>.</w:t>
      </w:r>
      <w:r w:rsidR="00A84F96" w:rsidRPr="00ED6612">
        <w:rPr>
          <w:rFonts w:ascii="Arial" w:hAnsi="Arial" w:cs="Arial"/>
          <w:b/>
          <w:sz w:val="20"/>
          <w:szCs w:val="20"/>
        </w:rPr>
        <w:t>-</w:t>
      </w:r>
      <w:r w:rsidRPr="00ED6612">
        <w:rPr>
          <w:rFonts w:ascii="Arial" w:hAnsi="Arial" w:cs="Arial"/>
          <w:b/>
          <w:sz w:val="20"/>
          <w:szCs w:val="20"/>
        </w:rPr>
        <w:t xml:space="preserve"> </w:t>
      </w:r>
      <w:r w:rsidR="00E636CA" w:rsidRPr="00ED6612">
        <w:rPr>
          <w:rFonts w:ascii="Arial" w:hAnsi="Arial" w:cs="Arial"/>
          <w:b/>
          <w:sz w:val="20"/>
          <w:szCs w:val="20"/>
        </w:rPr>
        <w:t xml:space="preserve">Standard </w:t>
      </w:r>
      <w:r w:rsidR="00E636CA" w:rsidRPr="00ED6612">
        <w:rPr>
          <w:rFonts w:ascii="Arial" w:eastAsia="Times New Roman" w:hAnsi="Arial" w:cs="Arial"/>
          <w:b/>
          <w:sz w:val="20"/>
          <w:szCs w:val="20"/>
        </w:rPr>
        <w:t>c</w:t>
      </w:r>
      <w:r w:rsidRPr="00ED6612">
        <w:rPr>
          <w:rFonts w:ascii="Arial" w:eastAsia="Times New Roman" w:hAnsi="Arial" w:cs="Arial"/>
          <w:b/>
          <w:sz w:val="20"/>
          <w:szCs w:val="20"/>
        </w:rPr>
        <w:t>osts of a typical project by technology</w:t>
      </w:r>
      <w:r w:rsidR="00637B78" w:rsidRPr="00ED6612">
        <w:rPr>
          <w:rStyle w:val="FootnoteReference"/>
          <w:rFonts w:ascii="Arial" w:eastAsia="Times New Roman" w:hAnsi="Arial" w:cs="Arial"/>
          <w:b/>
          <w:sz w:val="20"/>
          <w:szCs w:val="20"/>
        </w:rPr>
        <w:footnoteReference w:id="21"/>
      </w:r>
    </w:p>
    <w:tbl>
      <w:tblPr>
        <w:tblStyle w:val="LightShading-Accent11"/>
        <w:tblW w:w="8024" w:type="dxa"/>
        <w:tblInd w:w="720" w:type="dxa"/>
        <w:tblLook w:val="04A0" w:firstRow="1" w:lastRow="0" w:firstColumn="1" w:lastColumn="0" w:noHBand="0" w:noVBand="1"/>
      </w:tblPr>
      <w:tblGrid>
        <w:gridCol w:w="3690"/>
        <w:gridCol w:w="900"/>
        <w:gridCol w:w="1216"/>
        <w:gridCol w:w="881"/>
        <w:gridCol w:w="1337"/>
      </w:tblGrid>
      <w:tr w:rsidR="00DA32AE" w:rsidRPr="00ED6612" w14:paraId="4560449B" w14:textId="77777777" w:rsidTr="007B43F0">
        <w:trPr>
          <w:cnfStyle w:val="100000000000" w:firstRow="1" w:lastRow="0" w:firstColumn="0" w:lastColumn="0" w:oddVBand="0" w:evenVBand="0" w:oddHBand="0" w:evenHBand="0" w:firstRowFirstColumn="0" w:firstRowLastColumn="0" w:lastRowFirstColumn="0" w:lastRowLastColumn="0"/>
          <w:trHeight w:val="345"/>
        </w:trPr>
        <w:tc>
          <w:tcPr>
            <w:cnfStyle w:val="001000000000" w:firstRow="0" w:lastRow="0" w:firstColumn="1" w:lastColumn="0" w:oddVBand="0" w:evenVBand="0" w:oddHBand="0" w:evenHBand="0" w:firstRowFirstColumn="0" w:firstRowLastColumn="0" w:lastRowFirstColumn="0" w:lastRowLastColumn="0"/>
            <w:tcW w:w="3690" w:type="dxa"/>
            <w:tcBorders>
              <w:right w:val="single" w:sz="4" w:space="0" w:color="auto"/>
            </w:tcBorders>
            <w:noWrap/>
            <w:vAlign w:val="center"/>
            <w:hideMark/>
          </w:tcPr>
          <w:p w14:paraId="45604498" w14:textId="77777777" w:rsidR="00DA32AE" w:rsidRPr="00ED6612" w:rsidRDefault="00DA32AE" w:rsidP="00F15253">
            <w:pPr>
              <w:rPr>
                <w:rFonts w:ascii="Arial" w:eastAsia="Times New Roman" w:hAnsi="Arial" w:cs="Arial"/>
                <w:color w:val="auto"/>
                <w:sz w:val="18"/>
                <w:szCs w:val="18"/>
              </w:rPr>
            </w:pPr>
          </w:p>
        </w:tc>
        <w:tc>
          <w:tcPr>
            <w:tcW w:w="2116" w:type="dxa"/>
            <w:gridSpan w:val="2"/>
            <w:tcBorders>
              <w:left w:val="single" w:sz="4" w:space="0" w:color="auto"/>
              <w:right w:val="single" w:sz="4" w:space="0" w:color="auto"/>
            </w:tcBorders>
            <w:noWrap/>
            <w:vAlign w:val="center"/>
            <w:hideMark/>
          </w:tcPr>
          <w:p w14:paraId="45604499" w14:textId="77777777" w:rsidR="00DA32AE" w:rsidRPr="00ED6612" w:rsidRDefault="00DA32AE" w:rsidP="007B43F0">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auto"/>
                <w:sz w:val="18"/>
                <w:szCs w:val="18"/>
              </w:rPr>
            </w:pPr>
            <w:r w:rsidRPr="00ED6612">
              <w:rPr>
                <w:rFonts w:ascii="Arial" w:eastAsia="Times New Roman" w:hAnsi="Arial" w:cs="Arial"/>
                <w:color w:val="auto"/>
                <w:sz w:val="18"/>
                <w:szCs w:val="18"/>
              </w:rPr>
              <w:t>RE</w:t>
            </w:r>
            <w:r w:rsidR="00E636CA" w:rsidRPr="00ED6612">
              <w:rPr>
                <w:rFonts w:ascii="Arial" w:eastAsia="Times New Roman" w:hAnsi="Arial" w:cs="Arial"/>
                <w:color w:val="auto"/>
                <w:sz w:val="18"/>
                <w:szCs w:val="18"/>
              </w:rPr>
              <w:t xml:space="preserve"> (biogas/biomass)</w:t>
            </w:r>
          </w:p>
        </w:tc>
        <w:tc>
          <w:tcPr>
            <w:tcW w:w="2218" w:type="dxa"/>
            <w:gridSpan w:val="2"/>
            <w:tcBorders>
              <w:left w:val="single" w:sz="4" w:space="0" w:color="auto"/>
            </w:tcBorders>
            <w:noWrap/>
            <w:vAlign w:val="center"/>
          </w:tcPr>
          <w:p w14:paraId="4560449A" w14:textId="77777777" w:rsidR="00DA32AE" w:rsidRPr="00ED6612" w:rsidRDefault="00DA32AE" w:rsidP="007B43F0">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8"/>
                <w:szCs w:val="18"/>
              </w:rPr>
            </w:pPr>
            <w:r w:rsidRPr="00ED6612">
              <w:rPr>
                <w:rFonts w:ascii="Arial" w:eastAsia="Times New Roman" w:hAnsi="Arial" w:cs="Arial"/>
                <w:color w:val="auto"/>
                <w:sz w:val="18"/>
                <w:szCs w:val="18"/>
              </w:rPr>
              <w:t>EE</w:t>
            </w:r>
          </w:p>
        </w:tc>
      </w:tr>
      <w:tr w:rsidR="00DA32AE" w:rsidRPr="00ED6612" w14:paraId="456044A1" w14:textId="77777777" w:rsidTr="007B43F0">
        <w:trPr>
          <w:cnfStyle w:val="000000100000" w:firstRow="0" w:lastRow="0" w:firstColumn="0" w:lastColumn="0" w:oddVBand="0" w:evenVBand="0" w:oddHBand="1" w:evenHBand="0" w:firstRowFirstColumn="0" w:firstRowLastColumn="0" w:lastRowFirstColumn="0" w:lastRowLastColumn="0"/>
          <w:trHeight w:val="345"/>
        </w:trPr>
        <w:tc>
          <w:tcPr>
            <w:cnfStyle w:val="001000000000" w:firstRow="0" w:lastRow="0" w:firstColumn="1" w:lastColumn="0" w:oddVBand="0" w:evenVBand="0" w:oddHBand="0" w:evenHBand="0" w:firstRowFirstColumn="0" w:firstRowLastColumn="0" w:lastRowFirstColumn="0" w:lastRowLastColumn="0"/>
            <w:tcW w:w="3690" w:type="dxa"/>
            <w:tcBorders>
              <w:right w:val="single" w:sz="4" w:space="0" w:color="auto"/>
            </w:tcBorders>
            <w:noWrap/>
            <w:vAlign w:val="center"/>
            <w:hideMark/>
          </w:tcPr>
          <w:p w14:paraId="4560449C" w14:textId="77777777" w:rsidR="00DA32AE" w:rsidRPr="00ED6612" w:rsidRDefault="00DA32AE" w:rsidP="00F15253">
            <w:pPr>
              <w:rPr>
                <w:rFonts w:ascii="Arial" w:eastAsia="Times New Roman" w:hAnsi="Arial" w:cs="Arial"/>
                <w:b w:val="0"/>
                <w:color w:val="auto"/>
                <w:sz w:val="18"/>
                <w:szCs w:val="18"/>
              </w:rPr>
            </w:pPr>
            <w:r w:rsidRPr="00ED6612">
              <w:rPr>
                <w:rFonts w:ascii="Arial" w:eastAsia="Times New Roman" w:hAnsi="Arial" w:cs="Arial"/>
                <w:b w:val="0"/>
                <w:color w:val="auto"/>
                <w:sz w:val="18"/>
                <w:szCs w:val="18"/>
              </w:rPr>
              <w:t>Investment costs</w:t>
            </w:r>
          </w:p>
        </w:tc>
        <w:tc>
          <w:tcPr>
            <w:tcW w:w="900" w:type="dxa"/>
            <w:tcBorders>
              <w:left w:val="single" w:sz="4" w:space="0" w:color="auto"/>
            </w:tcBorders>
            <w:noWrap/>
            <w:vAlign w:val="center"/>
            <w:hideMark/>
          </w:tcPr>
          <w:p w14:paraId="4560449D" w14:textId="77777777" w:rsidR="00DA32AE" w:rsidRPr="00ED6612" w:rsidRDefault="00DA32AE" w:rsidP="007B43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8"/>
                <w:szCs w:val="18"/>
              </w:rPr>
            </w:pPr>
            <w:r w:rsidRPr="00ED6612">
              <w:rPr>
                <w:rFonts w:ascii="Arial" w:eastAsia="Times New Roman" w:hAnsi="Arial" w:cs="Arial"/>
                <w:color w:val="auto"/>
                <w:sz w:val="18"/>
                <w:szCs w:val="18"/>
              </w:rPr>
              <w:t xml:space="preserve">5,000 </w:t>
            </w:r>
          </w:p>
        </w:tc>
        <w:tc>
          <w:tcPr>
            <w:tcW w:w="1216" w:type="dxa"/>
            <w:tcBorders>
              <w:right w:val="single" w:sz="4" w:space="0" w:color="auto"/>
            </w:tcBorders>
            <w:noWrap/>
            <w:vAlign w:val="center"/>
            <w:hideMark/>
          </w:tcPr>
          <w:p w14:paraId="4560449E" w14:textId="77777777" w:rsidR="00DA32AE" w:rsidRPr="00ED6612" w:rsidRDefault="00DA32AE" w:rsidP="00F15253">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8"/>
                <w:szCs w:val="18"/>
              </w:rPr>
            </w:pPr>
            <w:r w:rsidRPr="00ED6612">
              <w:rPr>
                <w:rFonts w:ascii="Arial" w:eastAsia="Times New Roman" w:hAnsi="Arial" w:cs="Arial"/>
                <w:color w:val="auto"/>
                <w:sz w:val="18"/>
                <w:szCs w:val="18"/>
              </w:rPr>
              <w:t xml:space="preserve"> mUS</w:t>
            </w:r>
            <w:r w:rsidR="00FA2A64" w:rsidRPr="00ED6612">
              <w:rPr>
                <w:rFonts w:ascii="Arial" w:eastAsia="Times New Roman" w:hAnsi="Arial" w:cs="Arial"/>
                <w:color w:val="auto"/>
                <w:sz w:val="18"/>
                <w:szCs w:val="18"/>
              </w:rPr>
              <w:t>$</w:t>
            </w:r>
            <w:r w:rsidRPr="00ED6612">
              <w:rPr>
                <w:rFonts w:ascii="Arial" w:eastAsia="Times New Roman" w:hAnsi="Arial" w:cs="Arial"/>
                <w:color w:val="auto"/>
                <w:sz w:val="18"/>
                <w:szCs w:val="18"/>
              </w:rPr>
              <w:t xml:space="preserve">/MW </w:t>
            </w:r>
          </w:p>
        </w:tc>
        <w:tc>
          <w:tcPr>
            <w:tcW w:w="881" w:type="dxa"/>
            <w:tcBorders>
              <w:left w:val="single" w:sz="4" w:space="0" w:color="auto"/>
            </w:tcBorders>
            <w:noWrap/>
            <w:vAlign w:val="center"/>
            <w:hideMark/>
          </w:tcPr>
          <w:p w14:paraId="4560449F" w14:textId="77777777" w:rsidR="00DA32AE" w:rsidRPr="00ED6612" w:rsidRDefault="00DA32AE" w:rsidP="007B43F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8"/>
                <w:szCs w:val="18"/>
              </w:rPr>
            </w:pPr>
            <w:r w:rsidRPr="00ED6612">
              <w:rPr>
                <w:rFonts w:ascii="Arial" w:eastAsia="Times New Roman" w:hAnsi="Arial" w:cs="Arial"/>
                <w:color w:val="auto"/>
                <w:sz w:val="18"/>
                <w:szCs w:val="18"/>
              </w:rPr>
              <w:t xml:space="preserve">500 </w:t>
            </w:r>
          </w:p>
        </w:tc>
        <w:tc>
          <w:tcPr>
            <w:tcW w:w="1337" w:type="dxa"/>
            <w:noWrap/>
            <w:vAlign w:val="center"/>
            <w:hideMark/>
          </w:tcPr>
          <w:p w14:paraId="456044A0" w14:textId="77777777" w:rsidR="00DA32AE" w:rsidRPr="00ED6612" w:rsidRDefault="00DA32AE" w:rsidP="00F15253">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8"/>
                <w:szCs w:val="18"/>
              </w:rPr>
            </w:pPr>
            <w:r w:rsidRPr="00ED6612">
              <w:rPr>
                <w:rFonts w:ascii="Arial" w:eastAsia="Times New Roman" w:hAnsi="Arial" w:cs="Arial"/>
                <w:color w:val="auto"/>
                <w:sz w:val="18"/>
                <w:szCs w:val="18"/>
              </w:rPr>
              <w:t>mUS</w:t>
            </w:r>
            <w:r w:rsidR="00FA2A64" w:rsidRPr="00ED6612">
              <w:rPr>
                <w:rFonts w:ascii="Arial" w:eastAsia="Times New Roman" w:hAnsi="Arial" w:cs="Arial"/>
                <w:color w:val="auto"/>
                <w:sz w:val="18"/>
                <w:szCs w:val="18"/>
              </w:rPr>
              <w:t>$</w:t>
            </w:r>
            <w:r w:rsidRPr="00ED6612">
              <w:rPr>
                <w:rFonts w:ascii="Arial" w:eastAsia="Times New Roman" w:hAnsi="Arial" w:cs="Arial"/>
                <w:color w:val="auto"/>
                <w:sz w:val="18"/>
                <w:szCs w:val="18"/>
              </w:rPr>
              <w:t>/project</w:t>
            </w:r>
          </w:p>
        </w:tc>
      </w:tr>
      <w:tr w:rsidR="00DA32AE" w:rsidRPr="00ED6612" w14:paraId="456044A7" w14:textId="77777777" w:rsidTr="007B43F0">
        <w:trPr>
          <w:trHeight w:val="345"/>
        </w:trPr>
        <w:tc>
          <w:tcPr>
            <w:cnfStyle w:val="001000000000" w:firstRow="0" w:lastRow="0" w:firstColumn="1" w:lastColumn="0" w:oddVBand="0" w:evenVBand="0" w:oddHBand="0" w:evenHBand="0" w:firstRowFirstColumn="0" w:firstRowLastColumn="0" w:lastRowFirstColumn="0" w:lastRowLastColumn="0"/>
            <w:tcW w:w="3690" w:type="dxa"/>
            <w:tcBorders>
              <w:right w:val="single" w:sz="4" w:space="0" w:color="auto"/>
            </w:tcBorders>
            <w:noWrap/>
            <w:vAlign w:val="center"/>
            <w:hideMark/>
          </w:tcPr>
          <w:p w14:paraId="456044A2" w14:textId="77777777" w:rsidR="00DA32AE" w:rsidRPr="00ED6612" w:rsidRDefault="00DA32AE" w:rsidP="00F15253">
            <w:pPr>
              <w:rPr>
                <w:rFonts w:ascii="Arial" w:eastAsia="Times New Roman" w:hAnsi="Arial" w:cs="Arial"/>
                <w:b w:val="0"/>
                <w:color w:val="auto"/>
                <w:sz w:val="18"/>
                <w:szCs w:val="18"/>
              </w:rPr>
            </w:pPr>
            <w:r w:rsidRPr="00ED6612">
              <w:rPr>
                <w:rFonts w:ascii="Arial" w:eastAsia="Times New Roman" w:hAnsi="Arial" w:cs="Arial"/>
                <w:b w:val="0"/>
                <w:color w:val="auto"/>
                <w:sz w:val="18"/>
                <w:szCs w:val="18"/>
              </w:rPr>
              <w:t>O&amp;M costs</w:t>
            </w:r>
          </w:p>
        </w:tc>
        <w:tc>
          <w:tcPr>
            <w:tcW w:w="900" w:type="dxa"/>
            <w:tcBorders>
              <w:left w:val="single" w:sz="4" w:space="0" w:color="auto"/>
              <w:bottom w:val="single" w:sz="8" w:space="0" w:color="4F81BD" w:themeColor="accent1"/>
            </w:tcBorders>
            <w:noWrap/>
            <w:vAlign w:val="center"/>
            <w:hideMark/>
          </w:tcPr>
          <w:p w14:paraId="456044A3" w14:textId="77777777" w:rsidR="00DA32AE" w:rsidRPr="00ED6612" w:rsidRDefault="00DA32AE" w:rsidP="007B43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8"/>
                <w:szCs w:val="18"/>
              </w:rPr>
            </w:pPr>
            <w:r w:rsidRPr="00ED6612">
              <w:rPr>
                <w:rFonts w:ascii="Arial" w:eastAsia="Times New Roman" w:hAnsi="Arial" w:cs="Arial"/>
                <w:color w:val="auto"/>
                <w:sz w:val="18"/>
                <w:szCs w:val="18"/>
              </w:rPr>
              <w:t xml:space="preserve">0.015 </w:t>
            </w:r>
          </w:p>
        </w:tc>
        <w:tc>
          <w:tcPr>
            <w:tcW w:w="1216" w:type="dxa"/>
            <w:tcBorders>
              <w:bottom w:val="single" w:sz="8" w:space="0" w:color="4F81BD" w:themeColor="accent1"/>
              <w:right w:val="single" w:sz="4" w:space="0" w:color="auto"/>
            </w:tcBorders>
            <w:noWrap/>
            <w:vAlign w:val="center"/>
            <w:hideMark/>
          </w:tcPr>
          <w:p w14:paraId="456044A4" w14:textId="77777777" w:rsidR="00DA32AE" w:rsidRPr="00ED6612" w:rsidRDefault="00DA32AE" w:rsidP="00F1525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8"/>
                <w:szCs w:val="18"/>
              </w:rPr>
            </w:pPr>
            <w:r w:rsidRPr="00ED6612">
              <w:rPr>
                <w:rFonts w:ascii="Arial" w:eastAsia="Times New Roman" w:hAnsi="Arial" w:cs="Arial"/>
                <w:color w:val="auto"/>
                <w:sz w:val="18"/>
                <w:szCs w:val="18"/>
              </w:rPr>
              <w:t xml:space="preserve"> US</w:t>
            </w:r>
            <w:r w:rsidR="00FA2A64" w:rsidRPr="00ED6612">
              <w:rPr>
                <w:rFonts w:ascii="Arial" w:eastAsia="Times New Roman" w:hAnsi="Arial" w:cs="Arial"/>
                <w:color w:val="auto"/>
                <w:sz w:val="18"/>
                <w:szCs w:val="18"/>
              </w:rPr>
              <w:t>$</w:t>
            </w:r>
            <w:r w:rsidRPr="00ED6612">
              <w:rPr>
                <w:rFonts w:ascii="Arial" w:eastAsia="Times New Roman" w:hAnsi="Arial" w:cs="Arial"/>
                <w:color w:val="auto"/>
                <w:sz w:val="18"/>
                <w:szCs w:val="18"/>
              </w:rPr>
              <w:t xml:space="preserve">/MWh </w:t>
            </w:r>
          </w:p>
        </w:tc>
        <w:tc>
          <w:tcPr>
            <w:tcW w:w="881" w:type="dxa"/>
            <w:tcBorders>
              <w:left w:val="single" w:sz="4" w:space="0" w:color="auto"/>
            </w:tcBorders>
            <w:noWrap/>
            <w:vAlign w:val="center"/>
            <w:hideMark/>
          </w:tcPr>
          <w:p w14:paraId="456044A5" w14:textId="77777777" w:rsidR="00DA32AE" w:rsidRPr="00ED6612" w:rsidRDefault="00DA32AE" w:rsidP="007B43F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8"/>
                <w:szCs w:val="18"/>
              </w:rPr>
            </w:pPr>
            <w:r w:rsidRPr="00ED6612">
              <w:rPr>
                <w:rFonts w:ascii="Arial" w:eastAsia="Times New Roman" w:hAnsi="Arial" w:cs="Arial"/>
                <w:color w:val="auto"/>
                <w:sz w:val="18"/>
                <w:szCs w:val="18"/>
              </w:rPr>
              <w:t xml:space="preserve">0.02 </w:t>
            </w:r>
          </w:p>
        </w:tc>
        <w:tc>
          <w:tcPr>
            <w:tcW w:w="1337" w:type="dxa"/>
            <w:noWrap/>
            <w:vAlign w:val="center"/>
            <w:hideMark/>
          </w:tcPr>
          <w:p w14:paraId="456044A6" w14:textId="77777777" w:rsidR="00DA32AE" w:rsidRPr="00ED6612" w:rsidRDefault="00DA32AE" w:rsidP="00F1525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8"/>
                <w:szCs w:val="18"/>
              </w:rPr>
            </w:pPr>
            <w:r w:rsidRPr="00ED6612">
              <w:rPr>
                <w:rFonts w:ascii="Arial" w:eastAsia="Times New Roman" w:hAnsi="Arial" w:cs="Arial"/>
                <w:color w:val="auto"/>
                <w:sz w:val="18"/>
                <w:szCs w:val="18"/>
              </w:rPr>
              <w:t>% of CAPEX</w:t>
            </w:r>
          </w:p>
        </w:tc>
      </w:tr>
    </w:tbl>
    <w:p w14:paraId="456044A8" w14:textId="77777777" w:rsidR="00E46C24" w:rsidRPr="00ED6612" w:rsidRDefault="00E46C24" w:rsidP="007B43F0">
      <w:pPr>
        <w:pStyle w:val="Paragraph"/>
        <w:tabs>
          <w:tab w:val="clear" w:pos="720"/>
          <w:tab w:val="num" w:pos="1800"/>
        </w:tabs>
        <w:spacing w:before="0"/>
        <w:ind w:firstLine="0"/>
        <w:rPr>
          <w:rFonts w:ascii="Arial" w:eastAsia="Times New Roman" w:hAnsi="Arial" w:cs="Arial"/>
          <w:sz w:val="16"/>
          <w:szCs w:val="20"/>
        </w:rPr>
      </w:pPr>
      <w:r w:rsidRPr="00ED6612">
        <w:rPr>
          <w:rFonts w:ascii="Arial" w:eastAsia="Times New Roman" w:hAnsi="Arial" w:cs="Arial"/>
          <w:sz w:val="16"/>
          <w:szCs w:val="20"/>
        </w:rPr>
        <w:t>mUS</w:t>
      </w:r>
      <w:r w:rsidR="00FA2A64" w:rsidRPr="00ED6612">
        <w:rPr>
          <w:rFonts w:ascii="Arial" w:eastAsia="Times New Roman" w:hAnsi="Arial" w:cs="Arial"/>
          <w:sz w:val="16"/>
          <w:szCs w:val="20"/>
        </w:rPr>
        <w:t>$</w:t>
      </w:r>
      <w:r w:rsidRPr="00ED6612">
        <w:rPr>
          <w:rFonts w:ascii="Arial" w:eastAsia="Times New Roman" w:hAnsi="Arial" w:cs="Arial"/>
          <w:sz w:val="16"/>
          <w:szCs w:val="20"/>
        </w:rPr>
        <w:t xml:space="preserve"> = thousands of US</w:t>
      </w:r>
      <w:r w:rsidR="00FA2A64" w:rsidRPr="00ED6612">
        <w:rPr>
          <w:rFonts w:ascii="Arial" w:eastAsia="Times New Roman" w:hAnsi="Arial" w:cs="Arial"/>
          <w:sz w:val="16"/>
          <w:szCs w:val="20"/>
        </w:rPr>
        <w:t>$.</w:t>
      </w:r>
    </w:p>
    <w:p w14:paraId="456044A9" w14:textId="77777777" w:rsidR="00A84F96" w:rsidRPr="00ED6612" w:rsidRDefault="00A84F96" w:rsidP="00A84F96">
      <w:pPr>
        <w:spacing w:after="0" w:line="240" w:lineRule="auto"/>
        <w:rPr>
          <w:sz w:val="4"/>
          <w:szCs w:val="4"/>
        </w:rPr>
      </w:pPr>
    </w:p>
    <w:p w14:paraId="456044AA" w14:textId="77777777" w:rsidR="009E6A77" w:rsidRPr="00ED6612" w:rsidRDefault="001B3328" w:rsidP="008E3817">
      <w:pPr>
        <w:pStyle w:val="Paragraph"/>
        <w:numPr>
          <w:ilvl w:val="1"/>
          <w:numId w:val="4"/>
        </w:numPr>
        <w:tabs>
          <w:tab w:val="num" w:pos="720"/>
        </w:tabs>
        <w:ind w:left="720" w:hanging="720"/>
        <w:rPr>
          <w:rFonts w:ascii="Arial" w:hAnsi="Arial" w:cs="Arial"/>
          <w:sz w:val="22"/>
        </w:rPr>
      </w:pPr>
      <w:bookmarkStart w:id="31" w:name="_Hlk501205837"/>
      <w:r w:rsidRPr="00ED6612">
        <w:rPr>
          <w:rFonts w:ascii="Arial" w:hAnsi="Arial" w:cs="Arial"/>
          <w:b/>
          <w:sz w:val="22"/>
        </w:rPr>
        <w:t>Other relevant parameters</w:t>
      </w:r>
      <w:r w:rsidR="009E6A77" w:rsidRPr="00ED6612">
        <w:rPr>
          <w:rFonts w:ascii="Arial" w:hAnsi="Arial" w:cs="Arial"/>
          <w:sz w:val="22"/>
        </w:rPr>
        <w:t xml:space="preserve">: </w:t>
      </w:r>
      <w:bookmarkEnd w:id="31"/>
      <w:r w:rsidRPr="00ED6612">
        <w:rPr>
          <w:rFonts w:ascii="Arial" w:hAnsi="Arial" w:cs="Arial"/>
          <w:sz w:val="22"/>
        </w:rPr>
        <w:t xml:space="preserve">In order to </w:t>
      </w:r>
      <w:r w:rsidR="00334B0A" w:rsidRPr="00ED6612">
        <w:rPr>
          <w:rFonts w:ascii="Arial" w:hAnsi="Arial" w:cs="Arial"/>
          <w:sz w:val="22"/>
        </w:rPr>
        <w:t xml:space="preserve">produce calculations of benefits, including </w:t>
      </w:r>
      <w:r w:rsidR="000316EB" w:rsidRPr="00ED6612">
        <w:rPr>
          <w:rFonts w:ascii="Arial" w:hAnsi="Arial" w:cs="Arial"/>
          <w:sz w:val="22"/>
        </w:rPr>
        <w:t xml:space="preserve">difference in energy supply costs </w:t>
      </w:r>
      <w:r w:rsidR="00334B0A" w:rsidRPr="00ED6612">
        <w:rPr>
          <w:rFonts w:ascii="Arial" w:hAnsi="Arial" w:cs="Arial"/>
          <w:sz w:val="22"/>
        </w:rPr>
        <w:t xml:space="preserve">from RE production, savings from EE and </w:t>
      </w:r>
      <w:r w:rsidR="00334B0A" w:rsidRPr="00ED6612">
        <w:rPr>
          <w:rFonts w:ascii="Arial" w:hAnsi="Arial" w:cs="Arial"/>
          <w:sz w:val="22"/>
        </w:rPr>
        <w:lastRenderedPageBreak/>
        <w:t>reduced emissions</w:t>
      </w:r>
      <w:r w:rsidRPr="00ED6612">
        <w:rPr>
          <w:rFonts w:ascii="Arial" w:hAnsi="Arial" w:cs="Arial"/>
          <w:sz w:val="22"/>
        </w:rPr>
        <w:t>, the analysis uses</w:t>
      </w:r>
      <w:r w:rsidR="00334B0A" w:rsidRPr="00ED6612">
        <w:rPr>
          <w:rFonts w:ascii="Arial" w:hAnsi="Arial" w:cs="Arial"/>
          <w:sz w:val="22"/>
        </w:rPr>
        <w:t xml:space="preserve"> </w:t>
      </w:r>
      <w:r w:rsidR="00E46C24" w:rsidRPr="00ED6612">
        <w:rPr>
          <w:rFonts w:ascii="Arial" w:hAnsi="Arial" w:cs="Arial"/>
          <w:sz w:val="22"/>
        </w:rPr>
        <w:t>other relevant</w:t>
      </w:r>
      <w:r w:rsidR="00334B0A" w:rsidRPr="00ED6612">
        <w:rPr>
          <w:rFonts w:ascii="Arial" w:hAnsi="Arial" w:cs="Arial"/>
          <w:sz w:val="22"/>
        </w:rPr>
        <w:t xml:space="preserve"> parameters for which values </w:t>
      </w:r>
      <w:r w:rsidR="00A562CE" w:rsidRPr="00ED6612">
        <w:rPr>
          <w:rFonts w:ascii="Arial" w:hAnsi="Arial" w:cs="Arial"/>
          <w:sz w:val="22"/>
        </w:rPr>
        <w:t xml:space="preserve">and their corresponding sources </w:t>
      </w:r>
      <w:r w:rsidR="00334B0A" w:rsidRPr="00ED6612">
        <w:rPr>
          <w:rFonts w:ascii="Arial" w:hAnsi="Arial" w:cs="Arial"/>
          <w:sz w:val="22"/>
        </w:rPr>
        <w:t>are listed in Table 2.</w:t>
      </w:r>
      <w:r w:rsidR="00E46C24" w:rsidRPr="00ED6612">
        <w:rPr>
          <w:rFonts w:ascii="Arial" w:hAnsi="Arial" w:cs="Arial"/>
          <w:sz w:val="22"/>
        </w:rPr>
        <w:t>6</w:t>
      </w:r>
      <w:r w:rsidR="00A562CE" w:rsidRPr="00ED6612">
        <w:rPr>
          <w:rFonts w:ascii="Arial" w:hAnsi="Arial" w:cs="Arial"/>
          <w:sz w:val="22"/>
        </w:rPr>
        <w:t>.</w:t>
      </w:r>
    </w:p>
    <w:p w14:paraId="456044AB" w14:textId="77777777" w:rsidR="009E6A77" w:rsidRPr="00ED6612" w:rsidRDefault="009E6A77" w:rsidP="009E6A77">
      <w:pPr>
        <w:pStyle w:val="Paragraph"/>
        <w:tabs>
          <w:tab w:val="num" w:pos="1800"/>
        </w:tabs>
        <w:spacing w:after="0"/>
        <w:ind w:firstLine="0"/>
        <w:rPr>
          <w:rFonts w:ascii="Arial" w:hAnsi="Arial" w:cs="Arial"/>
          <w:b/>
          <w:sz w:val="20"/>
        </w:rPr>
      </w:pPr>
      <w:r w:rsidRPr="00ED6612">
        <w:rPr>
          <w:rFonts w:ascii="Arial" w:hAnsi="Arial" w:cs="Arial"/>
          <w:b/>
          <w:sz w:val="20"/>
        </w:rPr>
        <w:t>Table 2.</w:t>
      </w:r>
      <w:r w:rsidR="00E46C24" w:rsidRPr="00ED6612">
        <w:rPr>
          <w:rFonts w:ascii="Arial" w:hAnsi="Arial" w:cs="Arial"/>
          <w:b/>
          <w:sz w:val="20"/>
        </w:rPr>
        <w:t>6</w:t>
      </w:r>
      <w:r w:rsidR="001B3328" w:rsidRPr="00ED6612">
        <w:rPr>
          <w:rFonts w:ascii="Arial" w:hAnsi="Arial" w:cs="Arial"/>
          <w:b/>
          <w:sz w:val="20"/>
        </w:rPr>
        <w:t>.-</w:t>
      </w:r>
      <w:r w:rsidRPr="00ED6612">
        <w:rPr>
          <w:rFonts w:ascii="Arial" w:hAnsi="Arial" w:cs="Arial"/>
          <w:b/>
          <w:sz w:val="20"/>
        </w:rPr>
        <w:t xml:space="preserve"> </w:t>
      </w:r>
      <w:r w:rsidR="001B3328" w:rsidRPr="00ED6612">
        <w:rPr>
          <w:rFonts w:ascii="Arial" w:hAnsi="Arial" w:cs="Arial"/>
          <w:b/>
          <w:sz w:val="20"/>
        </w:rPr>
        <w:t>Assumed</w:t>
      </w:r>
      <w:r w:rsidRPr="00ED6612">
        <w:rPr>
          <w:rFonts w:ascii="Arial" w:hAnsi="Arial" w:cs="Arial"/>
          <w:b/>
          <w:sz w:val="20"/>
        </w:rPr>
        <w:t xml:space="preserve"> </w:t>
      </w:r>
      <w:r w:rsidR="001B3328" w:rsidRPr="00ED6612">
        <w:rPr>
          <w:rFonts w:ascii="Arial" w:hAnsi="Arial" w:cs="Arial"/>
          <w:b/>
          <w:sz w:val="20"/>
        </w:rPr>
        <w:t>values for other relevant parameters</w:t>
      </w:r>
    </w:p>
    <w:tbl>
      <w:tblPr>
        <w:tblStyle w:val="LightShading-Accent11"/>
        <w:tblW w:w="8100" w:type="dxa"/>
        <w:tblInd w:w="720" w:type="dxa"/>
        <w:tblLayout w:type="fixed"/>
        <w:tblLook w:val="04A0" w:firstRow="1" w:lastRow="0" w:firstColumn="1" w:lastColumn="0" w:noHBand="0" w:noVBand="1"/>
      </w:tblPr>
      <w:tblGrid>
        <w:gridCol w:w="2430"/>
        <w:gridCol w:w="782"/>
        <w:gridCol w:w="1073"/>
        <w:gridCol w:w="3815"/>
      </w:tblGrid>
      <w:tr w:rsidR="00A562CE" w:rsidRPr="00ED6612" w14:paraId="456044B0" w14:textId="77777777" w:rsidTr="007B43F0">
        <w:trPr>
          <w:cnfStyle w:val="100000000000" w:firstRow="1" w:lastRow="0" w:firstColumn="0" w:lastColumn="0" w:oddVBand="0" w:evenVBand="0" w:oddHBand="0"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2430" w:type="dxa"/>
            <w:noWrap/>
            <w:hideMark/>
          </w:tcPr>
          <w:p w14:paraId="456044AC" w14:textId="77777777" w:rsidR="00A562CE" w:rsidRPr="00ED6612" w:rsidRDefault="00A562CE" w:rsidP="001B3328">
            <w:pPr>
              <w:rPr>
                <w:rFonts w:ascii="Arial" w:eastAsia="Times New Roman" w:hAnsi="Arial" w:cs="Arial"/>
                <w:color w:val="auto"/>
                <w:sz w:val="18"/>
                <w:szCs w:val="18"/>
              </w:rPr>
            </w:pPr>
            <w:r w:rsidRPr="00ED6612">
              <w:rPr>
                <w:rFonts w:ascii="Arial" w:eastAsia="Times New Roman" w:hAnsi="Arial" w:cs="Arial"/>
                <w:color w:val="auto"/>
                <w:sz w:val="18"/>
                <w:szCs w:val="18"/>
              </w:rPr>
              <w:t>Parameter</w:t>
            </w:r>
          </w:p>
        </w:tc>
        <w:tc>
          <w:tcPr>
            <w:tcW w:w="782" w:type="dxa"/>
            <w:noWrap/>
            <w:hideMark/>
          </w:tcPr>
          <w:p w14:paraId="456044AD" w14:textId="77777777" w:rsidR="00A562CE" w:rsidRPr="00ED6612" w:rsidRDefault="00A562CE" w:rsidP="001B3328">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8"/>
                <w:szCs w:val="18"/>
              </w:rPr>
            </w:pPr>
            <w:r w:rsidRPr="00ED6612">
              <w:rPr>
                <w:rFonts w:ascii="Arial" w:eastAsia="Times New Roman" w:hAnsi="Arial" w:cs="Arial"/>
                <w:color w:val="auto"/>
                <w:sz w:val="18"/>
                <w:szCs w:val="18"/>
              </w:rPr>
              <w:t>Value</w:t>
            </w:r>
          </w:p>
        </w:tc>
        <w:tc>
          <w:tcPr>
            <w:tcW w:w="1073" w:type="dxa"/>
            <w:noWrap/>
            <w:hideMark/>
          </w:tcPr>
          <w:p w14:paraId="456044AE" w14:textId="77777777" w:rsidR="00A562CE" w:rsidRPr="00ED6612" w:rsidRDefault="00A562CE" w:rsidP="001B3328">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8"/>
                <w:szCs w:val="18"/>
              </w:rPr>
            </w:pPr>
            <w:r w:rsidRPr="00ED6612">
              <w:rPr>
                <w:rFonts w:ascii="Arial" w:eastAsia="Times New Roman" w:hAnsi="Arial" w:cs="Arial"/>
                <w:color w:val="auto"/>
                <w:sz w:val="18"/>
                <w:szCs w:val="18"/>
              </w:rPr>
              <w:t>Unit</w:t>
            </w:r>
          </w:p>
        </w:tc>
        <w:tc>
          <w:tcPr>
            <w:tcW w:w="3815" w:type="dxa"/>
          </w:tcPr>
          <w:p w14:paraId="456044AF" w14:textId="77777777" w:rsidR="00A562CE" w:rsidRPr="00ED6612" w:rsidRDefault="00A562CE" w:rsidP="001B3328">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8"/>
                <w:szCs w:val="18"/>
              </w:rPr>
            </w:pPr>
            <w:r w:rsidRPr="00ED6612">
              <w:rPr>
                <w:rFonts w:ascii="Arial" w:eastAsia="Times New Roman" w:hAnsi="Arial" w:cs="Arial"/>
                <w:color w:val="auto"/>
                <w:sz w:val="18"/>
                <w:szCs w:val="18"/>
              </w:rPr>
              <w:t>Source</w:t>
            </w:r>
          </w:p>
        </w:tc>
      </w:tr>
      <w:tr w:rsidR="00A562CE" w:rsidRPr="00ED6612" w14:paraId="456044B5" w14:textId="77777777" w:rsidTr="007B43F0">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2430" w:type="dxa"/>
            <w:tcBorders>
              <w:top w:val="single" w:sz="8" w:space="0" w:color="4F81BD" w:themeColor="accent1"/>
              <w:bottom w:val="nil"/>
            </w:tcBorders>
            <w:noWrap/>
            <w:hideMark/>
          </w:tcPr>
          <w:p w14:paraId="456044B1" w14:textId="77777777" w:rsidR="00A562CE" w:rsidRPr="00ED6612" w:rsidRDefault="00E46C24" w:rsidP="007B43F0">
            <w:pPr>
              <w:rPr>
                <w:rFonts w:ascii="Arial" w:eastAsia="Times New Roman" w:hAnsi="Arial" w:cs="Arial"/>
                <w:b w:val="0"/>
                <w:color w:val="auto"/>
                <w:sz w:val="18"/>
                <w:szCs w:val="18"/>
              </w:rPr>
            </w:pPr>
            <w:r w:rsidRPr="00ED6612">
              <w:rPr>
                <w:rFonts w:ascii="Arial" w:eastAsia="Times New Roman" w:hAnsi="Arial" w:cs="Arial"/>
                <w:b w:val="0"/>
                <w:color w:val="auto"/>
                <w:sz w:val="18"/>
                <w:szCs w:val="18"/>
              </w:rPr>
              <w:t>Marginal cost of energy</w:t>
            </w:r>
          </w:p>
        </w:tc>
        <w:tc>
          <w:tcPr>
            <w:tcW w:w="782" w:type="dxa"/>
            <w:tcBorders>
              <w:top w:val="single" w:sz="8" w:space="0" w:color="4F81BD" w:themeColor="accent1"/>
              <w:bottom w:val="nil"/>
            </w:tcBorders>
            <w:noWrap/>
            <w:hideMark/>
          </w:tcPr>
          <w:p w14:paraId="456044B2" w14:textId="77777777" w:rsidR="00A562CE" w:rsidRPr="00ED6612" w:rsidRDefault="00447431" w:rsidP="001B3328">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8"/>
                <w:szCs w:val="18"/>
              </w:rPr>
            </w:pPr>
            <w:r w:rsidRPr="00ED6612">
              <w:rPr>
                <w:rFonts w:ascii="Arial" w:eastAsia="Times New Roman" w:hAnsi="Arial" w:cs="Arial"/>
                <w:color w:val="auto"/>
                <w:sz w:val="18"/>
                <w:szCs w:val="18"/>
              </w:rPr>
              <w:t>175.4</w:t>
            </w:r>
          </w:p>
        </w:tc>
        <w:tc>
          <w:tcPr>
            <w:tcW w:w="1073" w:type="dxa"/>
            <w:tcBorders>
              <w:top w:val="single" w:sz="8" w:space="0" w:color="4F81BD" w:themeColor="accent1"/>
              <w:bottom w:val="nil"/>
            </w:tcBorders>
            <w:noWrap/>
            <w:hideMark/>
          </w:tcPr>
          <w:p w14:paraId="456044B3" w14:textId="77777777" w:rsidR="00A562CE" w:rsidRPr="00ED6612" w:rsidRDefault="00A562CE" w:rsidP="00334B0A">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8"/>
                <w:szCs w:val="18"/>
              </w:rPr>
            </w:pPr>
            <w:r w:rsidRPr="00ED6612">
              <w:rPr>
                <w:rFonts w:ascii="Arial" w:eastAsia="Times New Roman" w:hAnsi="Arial" w:cs="Arial"/>
                <w:color w:val="auto"/>
                <w:sz w:val="18"/>
                <w:szCs w:val="18"/>
              </w:rPr>
              <w:t>US</w:t>
            </w:r>
            <w:r w:rsidR="00FA2A64" w:rsidRPr="00ED6612">
              <w:rPr>
                <w:rFonts w:ascii="Arial" w:eastAsia="Times New Roman" w:hAnsi="Arial" w:cs="Arial"/>
                <w:color w:val="auto"/>
                <w:sz w:val="18"/>
                <w:szCs w:val="18"/>
              </w:rPr>
              <w:t>$</w:t>
            </w:r>
            <w:r w:rsidRPr="00ED6612">
              <w:rPr>
                <w:rFonts w:ascii="Arial" w:eastAsia="Times New Roman" w:hAnsi="Arial" w:cs="Arial"/>
                <w:color w:val="auto"/>
                <w:sz w:val="18"/>
                <w:szCs w:val="18"/>
              </w:rPr>
              <w:t>/MWh</w:t>
            </w:r>
          </w:p>
        </w:tc>
        <w:tc>
          <w:tcPr>
            <w:tcW w:w="3815" w:type="dxa"/>
            <w:tcBorders>
              <w:top w:val="single" w:sz="8" w:space="0" w:color="4F81BD" w:themeColor="accent1"/>
              <w:bottom w:val="nil"/>
            </w:tcBorders>
          </w:tcPr>
          <w:p w14:paraId="456044B4" w14:textId="77777777" w:rsidR="00A562CE" w:rsidRPr="00ED6612" w:rsidRDefault="00E46C24" w:rsidP="00334B0A">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8"/>
                <w:szCs w:val="18"/>
              </w:rPr>
            </w:pPr>
            <w:r w:rsidRPr="00ED6612">
              <w:rPr>
                <w:rFonts w:ascii="Arial" w:eastAsia="Times New Roman" w:hAnsi="Arial" w:cs="Arial"/>
                <w:color w:val="auto"/>
                <w:sz w:val="18"/>
                <w:szCs w:val="18"/>
              </w:rPr>
              <w:t>See Annex I</w:t>
            </w:r>
          </w:p>
        </w:tc>
      </w:tr>
      <w:tr w:rsidR="00A562CE" w:rsidRPr="00ED6612" w14:paraId="456044BA" w14:textId="77777777" w:rsidTr="007B43F0">
        <w:trPr>
          <w:trHeight w:val="285"/>
        </w:trPr>
        <w:tc>
          <w:tcPr>
            <w:cnfStyle w:val="001000000000" w:firstRow="0" w:lastRow="0" w:firstColumn="1" w:lastColumn="0" w:oddVBand="0" w:evenVBand="0" w:oddHBand="0" w:evenHBand="0" w:firstRowFirstColumn="0" w:firstRowLastColumn="0" w:lastRowFirstColumn="0" w:lastRowLastColumn="0"/>
            <w:tcW w:w="2430" w:type="dxa"/>
            <w:tcBorders>
              <w:top w:val="nil"/>
            </w:tcBorders>
            <w:noWrap/>
            <w:hideMark/>
          </w:tcPr>
          <w:p w14:paraId="456044B6" w14:textId="77777777" w:rsidR="00A562CE" w:rsidRPr="00ED6612" w:rsidRDefault="00A562CE" w:rsidP="007B43F0">
            <w:pPr>
              <w:rPr>
                <w:rFonts w:ascii="Arial" w:eastAsia="Times New Roman" w:hAnsi="Arial" w:cs="Arial"/>
                <w:b w:val="0"/>
                <w:color w:val="auto"/>
                <w:sz w:val="18"/>
                <w:szCs w:val="18"/>
              </w:rPr>
            </w:pPr>
            <w:r w:rsidRPr="00ED6612">
              <w:rPr>
                <w:rFonts w:ascii="Arial" w:eastAsia="Times New Roman" w:hAnsi="Arial" w:cs="Arial"/>
                <w:b w:val="0"/>
                <w:color w:val="auto"/>
                <w:sz w:val="18"/>
                <w:szCs w:val="18"/>
              </w:rPr>
              <w:t>Carbon reduction</w:t>
            </w:r>
            <w:r w:rsidR="00E46C24" w:rsidRPr="00ED6612">
              <w:rPr>
                <w:rFonts w:ascii="Arial" w:eastAsia="Times New Roman" w:hAnsi="Arial" w:cs="Arial"/>
                <w:b w:val="0"/>
                <w:color w:val="auto"/>
                <w:sz w:val="18"/>
                <w:szCs w:val="18"/>
              </w:rPr>
              <w:t xml:space="preserve"> price</w:t>
            </w:r>
            <w:r w:rsidR="0051506E" w:rsidRPr="00ED6612">
              <w:rPr>
                <w:rFonts w:ascii="Arial" w:eastAsia="Times New Roman" w:hAnsi="Arial" w:cs="Arial"/>
                <w:b w:val="0"/>
                <w:color w:val="auto"/>
                <w:sz w:val="18"/>
                <w:szCs w:val="18"/>
                <w:vertAlign w:val="superscript"/>
              </w:rPr>
              <w:footnoteReference w:id="22"/>
            </w:r>
          </w:p>
        </w:tc>
        <w:tc>
          <w:tcPr>
            <w:tcW w:w="782" w:type="dxa"/>
            <w:tcBorders>
              <w:top w:val="nil"/>
            </w:tcBorders>
            <w:noWrap/>
            <w:hideMark/>
          </w:tcPr>
          <w:p w14:paraId="456044B7" w14:textId="77777777" w:rsidR="00A562CE" w:rsidRPr="00ED6612" w:rsidRDefault="00A562CE" w:rsidP="001B3328">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8"/>
                <w:szCs w:val="18"/>
              </w:rPr>
            </w:pPr>
            <w:r w:rsidRPr="00ED6612">
              <w:rPr>
                <w:rFonts w:ascii="Arial" w:eastAsia="Times New Roman" w:hAnsi="Arial" w:cs="Arial"/>
                <w:color w:val="auto"/>
                <w:sz w:val="18"/>
                <w:szCs w:val="18"/>
              </w:rPr>
              <w:t>9</w:t>
            </w:r>
          </w:p>
        </w:tc>
        <w:tc>
          <w:tcPr>
            <w:tcW w:w="1073" w:type="dxa"/>
            <w:tcBorders>
              <w:top w:val="nil"/>
            </w:tcBorders>
            <w:noWrap/>
            <w:hideMark/>
          </w:tcPr>
          <w:p w14:paraId="456044B8" w14:textId="77777777" w:rsidR="00A562CE" w:rsidRPr="00ED6612" w:rsidRDefault="00A562CE" w:rsidP="00334B0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8"/>
                <w:szCs w:val="18"/>
              </w:rPr>
            </w:pPr>
            <w:r w:rsidRPr="00ED6612">
              <w:rPr>
                <w:rFonts w:ascii="Arial" w:eastAsia="Times New Roman" w:hAnsi="Arial" w:cs="Arial"/>
                <w:color w:val="auto"/>
                <w:sz w:val="18"/>
                <w:szCs w:val="18"/>
              </w:rPr>
              <w:t>US</w:t>
            </w:r>
            <w:r w:rsidR="00FA2A64" w:rsidRPr="00ED6612">
              <w:rPr>
                <w:rFonts w:ascii="Arial" w:eastAsia="Times New Roman" w:hAnsi="Arial" w:cs="Arial"/>
                <w:color w:val="auto"/>
                <w:sz w:val="18"/>
                <w:szCs w:val="18"/>
              </w:rPr>
              <w:t>$</w:t>
            </w:r>
            <w:r w:rsidRPr="00ED6612">
              <w:rPr>
                <w:rFonts w:ascii="Arial" w:eastAsia="Times New Roman" w:hAnsi="Arial" w:cs="Arial"/>
                <w:color w:val="auto"/>
                <w:sz w:val="18"/>
                <w:szCs w:val="18"/>
              </w:rPr>
              <w:t>/tCO</w:t>
            </w:r>
            <w:r w:rsidRPr="00ED6612">
              <w:rPr>
                <w:rFonts w:ascii="Arial" w:eastAsia="Times New Roman" w:hAnsi="Arial" w:cs="Arial"/>
                <w:color w:val="auto"/>
                <w:sz w:val="18"/>
                <w:szCs w:val="18"/>
                <w:vertAlign w:val="subscript"/>
              </w:rPr>
              <w:t>2</w:t>
            </w:r>
          </w:p>
        </w:tc>
        <w:tc>
          <w:tcPr>
            <w:tcW w:w="3815" w:type="dxa"/>
            <w:tcBorders>
              <w:top w:val="nil"/>
            </w:tcBorders>
          </w:tcPr>
          <w:p w14:paraId="456044B9" w14:textId="77777777" w:rsidR="00A562CE" w:rsidRPr="00ED6612" w:rsidRDefault="00D11E5F" w:rsidP="00334B0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rPr>
            </w:pPr>
            <w:hyperlink r:id="rId14" w:history="1">
              <w:r w:rsidR="0051506E" w:rsidRPr="00ED6612">
                <w:rPr>
                  <w:rStyle w:val="Hyperlink"/>
                  <w:rFonts w:ascii="Arial" w:eastAsia="Times New Roman" w:hAnsi="Arial" w:cs="Arial"/>
                  <w:sz w:val="18"/>
                  <w:szCs w:val="18"/>
                </w:rPr>
                <w:t>http://www.finanzen.net/rohstoffe/co2-emissionsrechte</w:t>
              </w:r>
            </w:hyperlink>
            <w:r w:rsidR="0051506E" w:rsidRPr="00ED6612">
              <w:rPr>
                <w:rFonts w:ascii="Arial" w:eastAsia="Times New Roman" w:hAnsi="Arial" w:cs="Arial"/>
                <w:color w:val="auto"/>
                <w:sz w:val="18"/>
                <w:szCs w:val="18"/>
              </w:rPr>
              <w:t xml:space="preserve"> (January 2017)</w:t>
            </w:r>
          </w:p>
        </w:tc>
      </w:tr>
      <w:tr w:rsidR="00E46C24" w:rsidRPr="00ED6612" w14:paraId="456044BC" w14:textId="77777777" w:rsidTr="007B43F0">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8100" w:type="dxa"/>
            <w:gridSpan w:val="4"/>
            <w:noWrap/>
            <w:hideMark/>
          </w:tcPr>
          <w:p w14:paraId="456044BB" w14:textId="77777777" w:rsidR="00E46C24" w:rsidRPr="00ED6612" w:rsidRDefault="00E46C24" w:rsidP="00C72359">
            <w:pPr>
              <w:rPr>
                <w:rFonts w:ascii="Arial" w:eastAsia="Times New Roman" w:hAnsi="Arial" w:cs="Arial"/>
                <w:color w:val="auto"/>
                <w:sz w:val="18"/>
                <w:szCs w:val="18"/>
                <w:highlight w:val="yellow"/>
              </w:rPr>
            </w:pPr>
            <w:r w:rsidRPr="00ED6612">
              <w:rPr>
                <w:rFonts w:ascii="Arial" w:eastAsia="Times New Roman" w:hAnsi="Arial" w:cs="Arial"/>
                <w:color w:val="auto"/>
                <w:sz w:val="18"/>
                <w:szCs w:val="18"/>
              </w:rPr>
              <w:t xml:space="preserve">Energy </w:t>
            </w:r>
            <w:r w:rsidR="00437569" w:rsidRPr="00ED6612">
              <w:rPr>
                <w:rFonts w:ascii="Arial" w:eastAsia="Times New Roman" w:hAnsi="Arial" w:cs="Arial"/>
                <w:color w:val="auto"/>
                <w:sz w:val="18"/>
                <w:szCs w:val="18"/>
              </w:rPr>
              <w:t xml:space="preserve">consumption </w:t>
            </w:r>
            <w:r w:rsidRPr="00ED6612">
              <w:rPr>
                <w:rFonts w:ascii="Arial" w:eastAsia="Times New Roman" w:hAnsi="Arial" w:cs="Arial"/>
                <w:color w:val="auto"/>
                <w:sz w:val="18"/>
                <w:szCs w:val="18"/>
              </w:rPr>
              <w:t>costs (industrial):</w:t>
            </w:r>
          </w:p>
        </w:tc>
      </w:tr>
      <w:tr w:rsidR="00E46C24" w:rsidRPr="00D11E5F" w14:paraId="456044C4" w14:textId="77777777" w:rsidTr="007B43F0">
        <w:trPr>
          <w:trHeight w:val="285"/>
        </w:trPr>
        <w:tc>
          <w:tcPr>
            <w:cnfStyle w:val="001000000000" w:firstRow="0" w:lastRow="0" w:firstColumn="1" w:lastColumn="0" w:oddVBand="0" w:evenVBand="0" w:oddHBand="0" w:evenHBand="0" w:firstRowFirstColumn="0" w:firstRowLastColumn="0" w:lastRowFirstColumn="0" w:lastRowLastColumn="0"/>
            <w:tcW w:w="2430" w:type="dxa"/>
            <w:noWrap/>
            <w:hideMark/>
          </w:tcPr>
          <w:p w14:paraId="456044BD" w14:textId="77777777" w:rsidR="00E46C24" w:rsidRPr="00ED6612" w:rsidRDefault="00E46C24" w:rsidP="00C72359">
            <w:pPr>
              <w:rPr>
                <w:rFonts w:ascii="Arial" w:eastAsia="Times New Roman" w:hAnsi="Arial" w:cs="Arial"/>
                <w:b w:val="0"/>
                <w:color w:val="auto"/>
                <w:sz w:val="18"/>
                <w:szCs w:val="18"/>
              </w:rPr>
            </w:pPr>
            <w:r w:rsidRPr="00ED6612">
              <w:rPr>
                <w:rFonts w:ascii="Arial" w:eastAsia="Times New Roman" w:hAnsi="Arial" w:cs="Arial"/>
                <w:b w:val="0"/>
                <w:color w:val="auto"/>
                <w:sz w:val="18"/>
                <w:szCs w:val="18"/>
              </w:rPr>
              <w:t>Gas *</w:t>
            </w:r>
          </w:p>
        </w:tc>
        <w:tc>
          <w:tcPr>
            <w:tcW w:w="782" w:type="dxa"/>
            <w:noWrap/>
            <w:hideMark/>
          </w:tcPr>
          <w:p w14:paraId="456044BE" w14:textId="77777777" w:rsidR="00E46C24" w:rsidRPr="00ED6612" w:rsidRDefault="00E46C24" w:rsidP="00C7235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8"/>
                <w:szCs w:val="18"/>
              </w:rPr>
            </w:pPr>
            <w:r w:rsidRPr="00ED6612">
              <w:rPr>
                <w:rFonts w:ascii="Arial" w:eastAsia="Times New Roman" w:hAnsi="Arial" w:cs="Arial"/>
                <w:color w:val="auto"/>
                <w:sz w:val="18"/>
                <w:szCs w:val="18"/>
              </w:rPr>
              <w:t>1.89</w:t>
            </w:r>
          </w:p>
        </w:tc>
        <w:tc>
          <w:tcPr>
            <w:tcW w:w="1073" w:type="dxa"/>
            <w:noWrap/>
            <w:hideMark/>
          </w:tcPr>
          <w:p w14:paraId="456044BF" w14:textId="77777777" w:rsidR="00E46C24" w:rsidRPr="00ED6612" w:rsidRDefault="00E46C24" w:rsidP="00C7235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8"/>
                <w:szCs w:val="18"/>
              </w:rPr>
            </w:pPr>
            <w:r w:rsidRPr="00ED6612">
              <w:rPr>
                <w:rFonts w:ascii="Arial" w:eastAsia="Times New Roman" w:hAnsi="Arial" w:cs="Arial"/>
                <w:color w:val="auto"/>
                <w:sz w:val="18"/>
                <w:szCs w:val="18"/>
              </w:rPr>
              <w:t>US</w:t>
            </w:r>
            <w:r w:rsidR="00FA2A64" w:rsidRPr="00ED6612">
              <w:rPr>
                <w:rFonts w:ascii="Arial" w:eastAsia="Times New Roman" w:hAnsi="Arial" w:cs="Arial"/>
                <w:color w:val="auto"/>
                <w:sz w:val="18"/>
                <w:szCs w:val="18"/>
              </w:rPr>
              <w:t>$</w:t>
            </w:r>
            <w:r w:rsidRPr="00ED6612">
              <w:rPr>
                <w:rFonts w:ascii="Arial" w:eastAsia="Times New Roman" w:hAnsi="Arial" w:cs="Arial"/>
                <w:color w:val="auto"/>
                <w:sz w:val="18"/>
                <w:szCs w:val="18"/>
              </w:rPr>
              <w:t>/m</w:t>
            </w:r>
            <w:r w:rsidRPr="00ED6612">
              <w:rPr>
                <w:rFonts w:ascii="Arial" w:eastAsia="Times New Roman" w:hAnsi="Arial" w:cs="Arial"/>
                <w:color w:val="auto"/>
                <w:sz w:val="18"/>
                <w:szCs w:val="18"/>
                <w:vertAlign w:val="superscript"/>
              </w:rPr>
              <w:t>3</w:t>
            </w:r>
          </w:p>
        </w:tc>
        <w:tc>
          <w:tcPr>
            <w:tcW w:w="3815" w:type="dxa"/>
          </w:tcPr>
          <w:p w14:paraId="456044C0" w14:textId="77777777" w:rsidR="00E46C24" w:rsidRPr="00CA05BC" w:rsidRDefault="00E46C24" w:rsidP="00C7235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i/>
                <w:color w:val="auto"/>
                <w:sz w:val="18"/>
                <w:szCs w:val="18"/>
                <w:lang w:val="es-ES_tradnl"/>
              </w:rPr>
            </w:pPr>
            <w:r w:rsidRPr="00CA05BC">
              <w:rPr>
                <w:rFonts w:ascii="Arial" w:eastAsia="Times New Roman" w:hAnsi="Arial" w:cs="Arial"/>
                <w:i/>
                <w:color w:val="auto"/>
                <w:sz w:val="18"/>
                <w:szCs w:val="18"/>
                <w:lang w:val="es-ES_tradnl"/>
              </w:rPr>
              <w:t>Análisis comparativo de las tarifas eléctricas</w:t>
            </w:r>
          </w:p>
          <w:p w14:paraId="456044C1" w14:textId="77777777" w:rsidR="00E46C24" w:rsidRPr="00CA05BC" w:rsidRDefault="00E46C24" w:rsidP="00C7235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i/>
                <w:color w:val="auto"/>
                <w:sz w:val="18"/>
                <w:szCs w:val="18"/>
                <w:lang w:val="es-ES_tradnl"/>
              </w:rPr>
            </w:pPr>
            <w:r w:rsidRPr="00CA05BC">
              <w:rPr>
                <w:rFonts w:ascii="Arial" w:eastAsia="Times New Roman" w:hAnsi="Arial" w:cs="Arial"/>
                <w:i/>
                <w:color w:val="auto"/>
                <w:sz w:val="18"/>
                <w:szCs w:val="18"/>
                <w:lang w:val="es-ES_tradnl"/>
              </w:rPr>
              <w:t>en la Argentina y en América del Sur</w:t>
            </w:r>
            <w:r w:rsidRPr="00CA05BC">
              <w:rPr>
                <w:rFonts w:ascii="Arial" w:eastAsia="Times New Roman" w:hAnsi="Arial" w:cs="Arial"/>
                <w:color w:val="auto"/>
                <w:sz w:val="18"/>
                <w:szCs w:val="18"/>
                <w:lang w:val="es-ES_tradnl"/>
              </w:rPr>
              <w:t xml:space="preserve">, March 2016, </w:t>
            </w:r>
            <w:r w:rsidRPr="00CA05BC">
              <w:rPr>
                <w:rFonts w:ascii="Arial" w:eastAsia="Times New Roman" w:hAnsi="Arial" w:cs="Arial"/>
                <w:i/>
                <w:color w:val="auto"/>
                <w:sz w:val="18"/>
                <w:szCs w:val="18"/>
                <w:lang w:val="es-ES_tradnl"/>
              </w:rPr>
              <w:t>Centro de Estudio de la Regulación</w:t>
            </w:r>
          </w:p>
          <w:p w14:paraId="456044C2" w14:textId="77777777" w:rsidR="00E46C24" w:rsidRPr="00CA05BC" w:rsidRDefault="00E46C24" w:rsidP="00C7235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i/>
                <w:color w:val="auto"/>
                <w:sz w:val="18"/>
                <w:szCs w:val="18"/>
                <w:lang w:val="es-ES_tradnl"/>
              </w:rPr>
            </w:pPr>
            <w:r w:rsidRPr="00CA05BC">
              <w:rPr>
                <w:rFonts w:ascii="Arial" w:eastAsia="Times New Roman" w:hAnsi="Arial" w:cs="Arial"/>
                <w:i/>
                <w:color w:val="auto"/>
                <w:sz w:val="18"/>
                <w:szCs w:val="18"/>
                <w:lang w:val="es-ES_tradnl"/>
              </w:rPr>
              <w:t>Económica de los Servicios Públicos</w:t>
            </w:r>
          </w:p>
          <w:p w14:paraId="456044C3" w14:textId="77777777" w:rsidR="00E46C24" w:rsidRPr="00CA05BC" w:rsidRDefault="00E46C24" w:rsidP="00C7235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8"/>
                <w:szCs w:val="18"/>
                <w:lang w:val="es-ES_tradnl"/>
              </w:rPr>
            </w:pPr>
            <w:r w:rsidRPr="00CA05BC">
              <w:rPr>
                <w:rFonts w:ascii="Arial" w:eastAsia="Times New Roman" w:hAnsi="Arial" w:cs="Arial"/>
                <w:i/>
                <w:color w:val="auto"/>
                <w:sz w:val="18"/>
                <w:szCs w:val="18"/>
                <w:lang w:val="es-ES_tradnl"/>
              </w:rPr>
              <w:t>Universidad de Belgrano,</w:t>
            </w:r>
            <w:r w:rsidRPr="00CA05BC">
              <w:rPr>
                <w:rFonts w:ascii="Arial" w:eastAsia="Times New Roman" w:hAnsi="Arial" w:cs="Arial"/>
                <w:color w:val="auto"/>
                <w:sz w:val="18"/>
                <w:szCs w:val="18"/>
                <w:lang w:val="es-ES_tradnl"/>
              </w:rPr>
              <w:t xml:space="preserve"> Chapter 4; </w:t>
            </w:r>
            <w:r w:rsidRPr="00CA05BC">
              <w:rPr>
                <w:rFonts w:ascii="Arial" w:eastAsia="Times New Roman" w:hAnsi="Arial" w:cs="Arial"/>
                <w:bCs/>
                <w:i/>
                <w:color w:val="auto"/>
                <w:sz w:val="18"/>
                <w:szCs w:val="18"/>
                <w:lang w:val="es-ES_tradnl"/>
              </w:rPr>
              <w:t>Subsidios a la energía, devaluación y precios</w:t>
            </w:r>
            <w:r w:rsidRPr="00CA05BC">
              <w:rPr>
                <w:rFonts w:ascii="Arial" w:eastAsia="Times New Roman" w:hAnsi="Arial" w:cs="Arial"/>
                <w:bCs/>
                <w:color w:val="auto"/>
                <w:sz w:val="18"/>
                <w:szCs w:val="18"/>
                <w:lang w:val="es-ES_tradnl"/>
              </w:rPr>
              <w:t>; Navajas, Fernando, 2015.</w:t>
            </w:r>
          </w:p>
        </w:tc>
      </w:tr>
      <w:tr w:rsidR="00E46C24" w:rsidRPr="00ED6612" w14:paraId="456044C9" w14:textId="77777777" w:rsidTr="007B43F0">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2430" w:type="dxa"/>
            <w:noWrap/>
            <w:hideMark/>
          </w:tcPr>
          <w:p w14:paraId="456044C5" w14:textId="77777777" w:rsidR="00E46C24" w:rsidRPr="00ED6612" w:rsidRDefault="00E46C24" w:rsidP="00C72359">
            <w:pPr>
              <w:rPr>
                <w:rFonts w:ascii="Arial" w:eastAsia="Times New Roman" w:hAnsi="Arial" w:cs="Arial"/>
                <w:b w:val="0"/>
                <w:color w:val="auto"/>
                <w:sz w:val="18"/>
                <w:szCs w:val="18"/>
              </w:rPr>
            </w:pPr>
            <w:r w:rsidRPr="00ED6612">
              <w:rPr>
                <w:rFonts w:ascii="Arial" w:eastAsia="Times New Roman" w:hAnsi="Arial" w:cs="Arial"/>
                <w:b w:val="0"/>
                <w:color w:val="auto"/>
                <w:sz w:val="18"/>
                <w:szCs w:val="18"/>
              </w:rPr>
              <w:t>Electricity *</w:t>
            </w:r>
          </w:p>
        </w:tc>
        <w:tc>
          <w:tcPr>
            <w:tcW w:w="782" w:type="dxa"/>
            <w:noWrap/>
            <w:hideMark/>
          </w:tcPr>
          <w:p w14:paraId="456044C6" w14:textId="77777777" w:rsidR="00E46C24" w:rsidRPr="00ED6612" w:rsidRDefault="00E46C24" w:rsidP="00C72359">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8"/>
                <w:szCs w:val="18"/>
              </w:rPr>
            </w:pPr>
            <w:r w:rsidRPr="00ED6612">
              <w:rPr>
                <w:rFonts w:ascii="Arial" w:eastAsia="Times New Roman" w:hAnsi="Arial" w:cs="Arial"/>
                <w:color w:val="auto"/>
                <w:sz w:val="18"/>
                <w:szCs w:val="18"/>
              </w:rPr>
              <w:t>0.20</w:t>
            </w:r>
          </w:p>
        </w:tc>
        <w:tc>
          <w:tcPr>
            <w:tcW w:w="1073" w:type="dxa"/>
            <w:noWrap/>
            <w:hideMark/>
          </w:tcPr>
          <w:p w14:paraId="456044C7" w14:textId="77777777" w:rsidR="00E46C24" w:rsidRPr="00ED6612" w:rsidRDefault="00E46C24" w:rsidP="00C7235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8"/>
                <w:szCs w:val="18"/>
              </w:rPr>
            </w:pPr>
            <w:r w:rsidRPr="00ED6612">
              <w:rPr>
                <w:rFonts w:ascii="Arial" w:eastAsia="Times New Roman" w:hAnsi="Arial" w:cs="Arial"/>
                <w:color w:val="auto"/>
                <w:sz w:val="18"/>
                <w:szCs w:val="18"/>
              </w:rPr>
              <w:t>US</w:t>
            </w:r>
            <w:r w:rsidR="00FA2A64" w:rsidRPr="00ED6612">
              <w:rPr>
                <w:rFonts w:ascii="Arial" w:eastAsia="Times New Roman" w:hAnsi="Arial" w:cs="Arial"/>
                <w:color w:val="auto"/>
                <w:sz w:val="18"/>
                <w:szCs w:val="18"/>
              </w:rPr>
              <w:t>$</w:t>
            </w:r>
            <w:r w:rsidRPr="00ED6612">
              <w:rPr>
                <w:rFonts w:ascii="Arial" w:eastAsia="Times New Roman" w:hAnsi="Arial" w:cs="Arial"/>
                <w:color w:val="auto"/>
                <w:sz w:val="18"/>
                <w:szCs w:val="18"/>
              </w:rPr>
              <w:t>/KWh</w:t>
            </w:r>
          </w:p>
        </w:tc>
        <w:tc>
          <w:tcPr>
            <w:tcW w:w="3815" w:type="dxa"/>
          </w:tcPr>
          <w:p w14:paraId="456044C8" w14:textId="77777777" w:rsidR="00E46C24" w:rsidRPr="00ED6612" w:rsidRDefault="00E46C24" w:rsidP="00C7235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8"/>
                <w:szCs w:val="18"/>
                <w:highlight w:val="yellow"/>
              </w:rPr>
            </w:pPr>
            <w:r w:rsidRPr="00ED6612">
              <w:rPr>
                <w:rFonts w:ascii="Arial" w:eastAsia="Times New Roman" w:hAnsi="Arial" w:cs="Arial"/>
                <w:color w:val="auto"/>
                <w:sz w:val="18"/>
                <w:szCs w:val="18"/>
              </w:rPr>
              <w:t>Same as above</w:t>
            </w:r>
            <w:r w:rsidRPr="00ED6612">
              <w:rPr>
                <w:rFonts w:ascii="Arial" w:eastAsia="Times New Roman" w:hAnsi="Arial" w:cs="Arial"/>
                <w:bCs/>
                <w:color w:val="auto"/>
                <w:sz w:val="18"/>
                <w:szCs w:val="18"/>
              </w:rPr>
              <w:t>.</w:t>
            </w:r>
          </w:p>
        </w:tc>
      </w:tr>
      <w:tr w:rsidR="00E46C24" w:rsidRPr="00ED6612" w14:paraId="456044CE" w14:textId="77777777" w:rsidTr="007B43F0">
        <w:trPr>
          <w:trHeight w:val="293"/>
        </w:trPr>
        <w:tc>
          <w:tcPr>
            <w:cnfStyle w:val="001000000000" w:firstRow="0" w:lastRow="0" w:firstColumn="1" w:lastColumn="0" w:oddVBand="0" w:evenVBand="0" w:oddHBand="0" w:evenHBand="0" w:firstRowFirstColumn="0" w:firstRowLastColumn="0" w:lastRowFirstColumn="0" w:lastRowLastColumn="0"/>
            <w:tcW w:w="2430" w:type="dxa"/>
            <w:noWrap/>
            <w:hideMark/>
          </w:tcPr>
          <w:p w14:paraId="456044CA" w14:textId="77777777" w:rsidR="00E46C24" w:rsidRPr="00ED6612" w:rsidRDefault="00E46C24" w:rsidP="00C72359">
            <w:pPr>
              <w:rPr>
                <w:rFonts w:ascii="Arial" w:eastAsia="Times New Roman" w:hAnsi="Arial" w:cs="Arial"/>
                <w:b w:val="0"/>
                <w:color w:val="auto"/>
                <w:sz w:val="18"/>
                <w:szCs w:val="18"/>
              </w:rPr>
            </w:pPr>
            <w:r w:rsidRPr="00ED6612">
              <w:rPr>
                <w:rFonts w:ascii="Arial" w:eastAsia="Times New Roman" w:hAnsi="Arial" w:cs="Arial"/>
                <w:b w:val="0"/>
                <w:color w:val="auto"/>
                <w:sz w:val="18"/>
                <w:szCs w:val="18"/>
              </w:rPr>
              <w:t>Conversion factor Gal to m</w:t>
            </w:r>
            <w:r w:rsidRPr="00ED6612">
              <w:rPr>
                <w:rFonts w:ascii="Arial" w:eastAsia="Times New Roman" w:hAnsi="Arial" w:cs="Arial"/>
                <w:b w:val="0"/>
                <w:color w:val="auto"/>
                <w:sz w:val="18"/>
                <w:szCs w:val="18"/>
                <w:vertAlign w:val="superscript"/>
              </w:rPr>
              <w:t>3</w:t>
            </w:r>
          </w:p>
        </w:tc>
        <w:tc>
          <w:tcPr>
            <w:tcW w:w="782" w:type="dxa"/>
            <w:noWrap/>
            <w:hideMark/>
          </w:tcPr>
          <w:p w14:paraId="456044CB" w14:textId="77777777" w:rsidR="00E46C24" w:rsidRPr="00ED6612" w:rsidRDefault="00E46C24" w:rsidP="00C7235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8"/>
                <w:szCs w:val="18"/>
              </w:rPr>
            </w:pPr>
            <w:r w:rsidRPr="00ED6612">
              <w:rPr>
                <w:rFonts w:ascii="Arial" w:eastAsia="Times New Roman" w:hAnsi="Arial" w:cs="Arial"/>
                <w:color w:val="auto"/>
                <w:sz w:val="18"/>
                <w:szCs w:val="18"/>
              </w:rPr>
              <w:t>264.15</w:t>
            </w:r>
          </w:p>
        </w:tc>
        <w:tc>
          <w:tcPr>
            <w:tcW w:w="1073" w:type="dxa"/>
            <w:noWrap/>
            <w:hideMark/>
          </w:tcPr>
          <w:p w14:paraId="456044CC" w14:textId="77777777" w:rsidR="00E46C24" w:rsidRPr="00ED6612" w:rsidRDefault="00E46C24" w:rsidP="00C7235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8"/>
                <w:szCs w:val="18"/>
              </w:rPr>
            </w:pPr>
            <w:r w:rsidRPr="00ED6612">
              <w:rPr>
                <w:rFonts w:ascii="Arial" w:eastAsia="Times New Roman" w:hAnsi="Arial" w:cs="Arial"/>
                <w:color w:val="auto"/>
                <w:sz w:val="18"/>
                <w:szCs w:val="18"/>
              </w:rPr>
              <w:t>Gal/m</w:t>
            </w:r>
            <w:r w:rsidRPr="00ED6612">
              <w:rPr>
                <w:rFonts w:ascii="Arial" w:eastAsia="Times New Roman" w:hAnsi="Arial" w:cs="Arial"/>
                <w:color w:val="auto"/>
                <w:sz w:val="18"/>
                <w:szCs w:val="18"/>
                <w:vertAlign w:val="superscript"/>
              </w:rPr>
              <w:t>3</w:t>
            </w:r>
          </w:p>
        </w:tc>
        <w:tc>
          <w:tcPr>
            <w:tcW w:w="3815" w:type="dxa"/>
          </w:tcPr>
          <w:p w14:paraId="456044CD" w14:textId="77777777" w:rsidR="00E46C24" w:rsidRPr="00ED6612" w:rsidRDefault="00E46C24" w:rsidP="00C7235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highlight w:val="yellow"/>
              </w:rPr>
            </w:pPr>
            <w:r w:rsidRPr="00ED6612">
              <w:rPr>
                <w:rFonts w:ascii="Arial" w:eastAsia="Times New Roman" w:hAnsi="Arial" w:cs="Arial"/>
                <w:color w:val="auto"/>
                <w:sz w:val="18"/>
                <w:szCs w:val="18"/>
              </w:rPr>
              <w:t>n.a.</w:t>
            </w:r>
          </w:p>
        </w:tc>
      </w:tr>
      <w:tr w:rsidR="00725864" w:rsidRPr="00ED6612" w14:paraId="456044D0" w14:textId="77777777" w:rsidTr="007B43F0">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8100" w:type="dxa"/>
            <w:gridSpan w:val="4"/>
            <w:noWrap/>
            <w:hideMark/>
          </w:tcPr>
          <w:p w14:paraId="456044CF" w14:textId="77777777" w:rsidR="00725864" w:rsidRPr="00ED6612" w:rsidRDefault="00725864" w:rsidP="00F15253">
            <w:pPr>
              <w:rPr>
                <w:rFonts w:ascii="Arial" w:eastAsia="Times New Roman" w:hAnsi="Arial" w:cs="Arial"/>
                <w:sz w:val="18"/>
                <w:szCs w:val="18"/>
                <w:highlight w:val="yellow"/>
              </w:rPr>
            </w:pPr>
            <w:r w:rsidRPr="00ED6612">
              <w:rPr>
                <w:rFonts w:ascii="Arial" w:eastAsia="Times New Roman" w:hAnsi="Arial" w:cs="Arial"/>
                <w:color w:val="auto"/>
                <w:sz w:val="18"/>
                <w:szCs w:val="18"/>
              </w:rPr>
              <w:t>CO2 emission factors:</w:t>
            </w:r>
          </w:p>
        </w:tc>
      </w:tr>
      <w:tr w:rsidR="00A562CE" w:rsidRPr="00ED6612" w14:paraId="456044D5" w14:textId="77777777" w:rsidTr="007B43F0">
        <w:trPr>
          <w:trHeight w:val="285"/>
        </w:trPr>
        <w:tc>
          <w:tcPr>
            <w:cnfStyle w:val="001000000000" w:firstRow="0" w:lastRow="0" w:firstColumn="1" w:lastColumn="0" w:oddVBand="0" w:evenVBand="0" w:oddHBand="0" w:evenHBand="0" w:firstRowFirstColumn="0" w:firstRowLastColumn="0" w:lastRowFirstColumn="0" w:lastRowLastColumn="0"/>
            <w:tcW w:w="2430" w:type="dxa"/>
            <w:noWrap/>
            <w:hideMark/>
          </w:tcPr>
          <w:p w14:paraId="456044D1" w14:textId="77777777" w:rsidR="00A562CE" w:rsidRPr="00ED6612" w:rsidRDefault="00A562CE" w:rsidP="007B43F0">
            <w:pPr>
              <w:rPr>
                <w:rFonts w:ascii="Arial" w:eastAsia="Times New Roman" w:hAnsi="Arial" w:cs="Arial"/>
                <w:b w:val="0"/>
                <w:color w:val="auto"/>
                <w:sz w:val="18"/>
                <w:szCs w:val="18"/>
              </w:rPr>
            </w:pPr>
            <w:r w:rsidRPr="00ED6612">
              <w:rPr>
                <w:rFonts w:ascii="Arial" w:eastAsia="Times New Roman" w:hAnsi="Arial" w:cs="Arial"/>
                <w:b w:val="0"/>
                <w:color w:val="auto"/>
                <w:sz w:val="18"/>
                <w:szCs w:val="18"/>
              </w:rPr>
              <w:t>Electricity</w:t>
            </w:r>
          </w:p>
        </w:tc>
        <w:tc>
          <w:tcPr>
            <w:tcW w:w="782" w:type="dxa"/>
            <w:noWrap/>
            <w:hideMark/>
          </w:tcPr>
          <w:p w14:paraId="456044D2" w14:textId="77777777" w:rsidR="00A562CE" w:rsidRPr="00ED6612" w:rsidRDefault="00A562CE" w:rsidP="001B3328">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8"/>
                <w:szCs w:val="18"/>
              </w:rPr>
            </w:pPr>
            <w:r w:rsidRPr="00ED6612">
              <w:rPr>
                <w:rFonts w:ascii="Arial" w:eastAsia="Times New Roman" w:hAnsi="Arial" w:cs="Arial"/>
                <w:color w:val="auto"/>
                <w:sz w:val="18"/>
                <w:szCs w:val="18"/>
              </w:rPr>
              <w:t>0.535</w:t>
            </w:r>
          </w:p>
        </w:tc>
        <w:tc>
          <w:tcPr>
            <w:tcW w:w="1073" w:type="dxa"/>
            <w:noWrap/>
            <w:hideMark/>
          </w:tcPr>
          <w:p w14:paraId="456044D3" w14:textId="77777777" w:rsidR="00A562CE" w:rsidRPr="00ED6612" w:rsidRDefault="00A562CE" w:rsidP="00334B0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8"/>
                <w:szCs w:val="18"/>
              </w:rPr>
            </w:pPr>
            <w:r w:rsidRPr="00ED6612">
              <w:rPr>
                <w:rFonts w:ascii="Arial" w:eastAsia="Times New Roman" w:hAnsi="Arial" w:cs="Arial"/>
                <w:color w:val="auto"/>
                <w:sz w:val="18"/>
                <w:szCs w:val="18"/>
              </w:rPr>
              <w:t>tCO</w:t>
            </w:r>
            <w:r w:rsidRPr="00ED6612">
              <w:rPr>
                <w:rFonts w:ascii="Arial" w:eastAsia="Times New Roman" w:hAnsi="Arial" w:cs="Arial"/>
                <w:color w:val="auto"/>
                <w:sz w:val="18"/>
                <w:szCs w:val="18"/>
                <w:vertAlign w:val="subscript"/>
              </w:rPr>
              <w:t>2</w:t>
            </w:r>
            <w:r w:rsidRPr="00ED6612">
              <w:rPr>
                <w:rFonts w:ascii="Arial" w:eastAsia="Times New Roman" w:hAnsi="Arial" w:cs="Arial"/>
                <w:color w:val="auto"/>
                <w:sz w:val="18"/>
                <w:szCs w:val="18"/>
              </w:rPr>
              <w:t>/MWh</w:t>
            </w:r>
          </w:p>
        </w:tc>
        <w:tc>
          <w:tcPr>
            <w:tcW w:w="3815" w:type="dxa"/>
          </w:tcPr>
          <w:p w14:paraId="456044D4" w14:textId="77777777" w:rsidR="00A562CE" w:rsidRPr="00ED6612" w:rsidRDefault="00D11E5F" w:rsidP="00334B0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rPr>
            </w:pPr>
            <w:hyperlink r:id="rId15" w:history="1">
              <w:r w:rsidR="00C051BE" w:rsidRPr="00ED6612">
                <w:rPr>
                  <w:rStyle w:val="Hyperlink"/>
                  <w:rFonts w:ascii="Arial" w:eastAsia="Times New Roman" w:hAnsi="Arial" w:cs="Arial"/>
                  <w:sz w:val="18"/>
                  <w:szCs w:val="18"/>
                </w:rPr>
                <w:t>https://www.minem.gob.ar/www/830/25597/calculo-del-factor-de-emision-de-co2-de-la-red-argentina-de-energia-electrica</w:t>
              </w:r>
            </w:hyperlink>
          </w:p>
        </w:tc>
      </w:tr>
      <w:tr w:rsidR="00A562CE" w:rsidRPr="00ED6612" w14:paraId="456044DA" w14:textId="77777777" w:rsidTr="007B43F0">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2430" w:type="dxa"/>
            <w:noWrap/>
            <w:hideMark/>
          </w:tcPr>
          <w:p w14:paraId="456044D6" w14:textId="77777777" w:rsidR="00A562CE" w:rsidRPr="00ED6612" w:rsidRDefault="00A562CE" w:rsidP="007B43F0">
            <w:pPr>
              <w:rPr>
                <w:rFonts w:ascii="Arial" w:eastAsia="Times New Roman" w:hAnsi="Arial" w:cs="Arial"/>
                <w:b w:val="0"/>
                <w:color w:val="auto"/>
                <w:sz w:val="18"/>
                <w:szCs w:val="18"/>
              </w:rPr>
            </w:pPr>
            <w:r w:rsidRPr="00ED6612">
              <w:rPr>
                <w:rFonts w:ascii="Arial" w:eastAsia="Times New Roman" w:hAnsi="Arial" w:cs="Arial"/>
                <w:b w:val="0"/>
                <w:color w:val="auto"/>
                <w:sz w:val="18"/>
                <w:szCs w:val="18"/>
              </w:rPr>
              <w:t>Fossil fuel</w:t>
            </w:r>
          </w:p>
        </w:tc>
        <w:tc>
          <w:tcPr>
            <w:tcW w:w="782" w:type="dxa"/>
            <w:noWrap/>
            <w:hideMark/>
          </w:tcPr>
          <w:p w14:paraId="456044D7" w14:textId="77777777" w:rsidR="00A562CE" w:rsidRPr="00ED6612" w:rsidRDefault="00A562CE" w:rsidP="001B3328">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8"/>
                <w:szCs w:val="18"/>
              </w:rPr>
            </w:pPr>
            <w:r w:rsidRPr="00ED6612">
              <w:rPr>
                <w:rFonts w:ascii="Arial" w:eastAsia="Times New Roman" w:hAnsi="Arial" w:cs="Arial"/>
                <w:color w:val="auto"/>
                <w:sz w:val="18"/>
                <w:szCs w:val="18"/>
              </w:rPr>
              <w:t>0.015</w:t>
            </w:r>
          </w:p>
        </w:tc>
        <w:tc>
          <w:tcPr>
            <w:tcW w:w="1073" w:type="dxa"/>
            <w:noWrap/>
            <w:hideMark/>
          </w:tcPr>
          <w:p w14:paraId="456044D8" w14:textId="77777777" w:rsidR="00A562CE" w:rsidRPr="00ED6612" w:rsidRDefault="00A562CE" w:rsidP="00334B0A">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8"/>
                <w:szCs w:val="18"/>
              </w:rPr>
            </w:pPr>
            <w:r w:rsidRPr="00ED6612">
              <w:rPr>
                <w:rFonts w:ascii="Arial" w:eastAsia="Times New Roman" w:hAnsi="Arial" w:cs="Arial"/>
                <w:color w:val="auto"/>
                <w:sz w:val="18"/>
                <w:szCs w:val="18"/>
              </w:rPr>
              <w:t>tCO</w:t>
            </w:r>
            <w:r w:rsidRPr="00ED6612">
              <w:rPr>
                <w:rFonts w:ascii="Arial" w:eastAsia="Times New Roman" w:hAnsi="Arial" w:cs="Arial"/>
                <w:color w:val="auto"/>
                <w:sz w:val="18"/>
                <w:szCs w:val="18"/>
                <w:vertAlign w:val="subscript"/>
              </w:rPr>
              <w:t>2</w:t>
            </w:r>
            <w:r w:rsidRPr="00ED6612">
              <w:rPr>
                <w:rFonts w:ascii="Arial" w:eastAsia="Times New Roman" w:hAnsi="Arial" w:cs="Arial"/>
                <w:color w:val="auto"/>
                <w:sz w:val="18"/>
                <w:szCs w:val="18"/>
              </w:rPr>
              <w:t>/Gal</w:t>
            </w:r>
          </w:p>
        </w:tc>
        <w:tc>
          <w:tcPr>
            <w:tcW w:w="3815" w:type="dxa"/>
          </w:tcPr>
          <w:p w14:paraId="456044D9" w14:textId="77777777" w:rsidR="00A562CE" w:rsidRPr="00ED6612" w:rsidRDefault="00B879BB" w:rsidP="00334B0A">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highlight w:val="yellow"/>
              </w:rPr>
            </w:pPr>
            <w:r w:rsidRPr="00ED6612">
              <w:rPr>
                <w:rFonts w:ascii="Arial" w:eastAsia="Times New Roman" w:hAnsi="Arial" w:cs="Arial"/>
                <w:color w:val="auto"/>
                <w:sz w:val="18"/>
                <w:szCs w:val="18"/>
              </w:rPr>
              <w:t>Ministry of Energy</w:t>
            </w:r>
            <w:r w:rsidR="00E46C24" w:rsidRPr="00ED6612">
              <w:rPr>
                <w:rFonts w:ascii="Arial" w:eastAsia="Times New Roman" w:hAnsi="Arial" w:cs="Arial"/>
                <w:color w:val="auto"/>
                <w:sz w:val="18"/>
                <w:szCs w:val="18"/>
              </w:rPr>
              <w:t xml:space="preserve"> and Mines</w:t>
            </w:r>
            <w:r w:rsidRPr="00ED6612">
              <w:rPr>
                <w:rFonts w:ascii="Arial" w:eastAsia="Times New Roman" w:hAnsi="Arial" w:cs="Arial"/>
                <w:color w:val="auto"/>
                <w:sz w:val="18"/>
                <w:szCs w:val="18"/>
              </w:rPr>
              <w:t xml:space="preserve"> of Argentina</w:t>
            </w:r>
          </w:p>
        </w:tc>
      </w:tr>
    </w:tbl>
    <w:p w14:paraId="456044DB" w14:textId="77777777" w:rsidR="001D2476" w:rsidRPr="00ED6612" w:rsidRDefault="005E2E4B" w:rsidP="001D2476">
      <w:pPr>
        <w:pStyle w:val="FirstHeading"/>
        <w:spacing w:before="0" w:after="240"/>
        <w:ind w:firstLine="0"/>
        <w:rPr>
          <w:rFonts w:ascii="Arial" w:hAnsi="Arial" w:cs="Arial"/>
          <w:b w:val="0"/>
          <w:sz w:val="16"/>
        </w:rPr>
      </w:pPr>
      <w:bookmarkStart w:id="32" w:name="_Toc503527895"/>
      <w:r w:rsidRPr="00ED6612">
        <w:rPr>
          <w:rFonts w:ascii="Arial" w:hAnsi="Arial" w:cs="Arial"/>
          <w:b w:val="0"/>
          <w:sz w:val="18"/>
        </w:rPr>
        <w:t>*</w:t>
      </w:r>
      <w:r w:rsidRPr="00ED6612">
        <w:rPr>
          <w:rFonts w:ascii="Arial" w:hAnsi="Arial" w:cs="Arial"/>
          <w:b w:val="0"/>
          <w:sz w:val="16"/>
        </w:rPr>
        <w:t xml:space="preserve"> </w:t>
      </w:r>
      <w:r w:rsidR="001D2476" w:rsidRPr="00ED6612">
        <w:rPr>
          <w:rFonts w:ascii="Arial" w:hAnsi="Arial" w:cs="Arial"/>
          <w:b w:val="0"/>
          <w:sz w:val="16"/>
        </w:rPr>
        <w:t>The price of electricity that the clients pay correspond to the real tariff applied of 0.03 US</w:t>
      </w:r>
      <w:r w:rsidR="00FA2A64" w:rsidRPr="00ED6612">
        <w:rPr>
          <w:rFonts w:ascii="Arial" w:hAnsi="Arial" w:cs="Arial"/>
          <w:b w:val="0"/>
          <w:sz w:val="16"/>
        </w:rPr>
        <w:t>$</w:t>
      </w:r>
      <w:r w:rsidR="001D2476" w:rsidRPr="00ED6612">
        <w:rPr>
          <w:rFonts w:ascii="Arial" w:hAnsi="Arial" w:cs="Arial"/>
          <w:b w:val="0"/>
          <w:sz w:val="16"/>
        </w:rPr>
        <w:t xml:space="preserve">/kWh. However, for the purpose of the economic analysis, this price considers the real cost of the service (eliminating the impact of the subsidy, which </w:t>
      </w:r>
      <w:r w:rsidR="00E636CA" w:rsidRPr="00ED6612">
        <w:rPr>
          <w:rFonts w:ascii="Arial" w:hAnsi="Arial" w:cs="Arial"/>
          <w:b w:val="0"/>
          <w:sz w:val="16"/>
        </w:rPr>
        <w:t xml:space="preserve">would </w:t>
      </w:r>
      <w:r w:rsidR="001D2476" w:rsidRPr="00ED6612">
        <w:rPr>
          <w:rFonts w:ascii="Arial" w:hAnsi="Arial" w:cs="Arial"/>
          <w:b w:val="0"/>
          <w:sz w:val="16"/>
        </w:rPr>
        <w:t>distort the evaluation) to determine its economic value</w:t>
      </w:r>
      <w:r w:rsidRPr="00ED6612">
        <w:rPr>
          <w:rFonts w:ascii="Arial" w:hAnsi="Arial" w:cs="Arial"/>
          <w:b w:val="0"/>
          <w:sz w:val="16"/>
        </w:rPr>
        <w:t>. It is estimated that the price paid by consumers corresponds to some 13.3% to 16% of the real cost of the service. The same applies to the price of gas, for which the tariff of 0.66 US</w:t>
      </w:r>
      <w:r w:rsidR="00FA2A64" w:rsidRPr="00ED6612">
        <w:rPr>
          <w:rFonts w:ascii="Arial" w:hAnsi="Arial" w:cs="Arial"/>
          <w:b w:val="0"/>
          <w:sz w:val="16"/>
        </w:rPr>
        <w:t>$</w:t>
      </w:r>
      <w:r w:rsidRPr="00ED6612">
        <w:rPr>
          <w:rFonts w:ascii="Arial" w:hAnsi="Arial" w:cs="Arial"/>
          <w:b w:val="0"/>
          <w:sz w:val="16"/>
        </w:rPr>
        <w:t>/m3 corresponds to 35% of the real cost of the service.</w:t>
      </w:r>
      <w:r w:rsidR="009A6BA7" w:rsidRPr="00ED6612">
        <w:rPr>
          <w:rStyle w:val="FootnoteReference"/>
          <w:rFonts w:ascii="Arial" w:hAnsi="Arial" w:cs="Arial"/>
          <w:b w:val="0"/>
          <w:sz w:val="16"/>
        </w:rPr>
        <w:footnoteReference w:id="23"/>
      </w:r>
    </w:p>
    <w:p w14:paraId="456044DC" w14:textId="77777777" w:rsidR="0041755E" w:rsidRPr="00ED6612" w:rsidRDefault="009E6A77" w:rsidP="0041755E">
      <w:pPr>
        <w:pStyle w:val="FirstHeading"/>
        <w:rPr>
          <w:rFonts w:ascii="Arial" w:hAnsi="Arial" w:cs="Arial"/>
          <w:sz w:val="22"/>
        </w:rPr>
      </w:pPr>
      <w:r w:rsidRPr="00ED6612">
        <w:rPr>
          <w:rFonts w:ascii="Arial" w:hAnsi="Arial" w:cs="Arial"/>
          <w:sz w:val="22"/>
        </w:rPr>
        <w:t>C</w:t>
      </w:r>
      <w:r w:rsidR="0041755E" w:rsidRPr="00ED6612">
        <w:rPr>
          <w:rFonts w:ascii="Arial" w:hAnsi="Arial" w:cs="Arial"/>
          <w:sz w:val="22"/>
        </w:rPr>
        <w:t>.</w:t>
      </w:r>
      <w:r w:rsidR="0041755E" w:rsidRPr="00ED6612">
        <w:rPr>
          <w:rFonts w:ascii="Arial" w:hAnsi="Arial" w:cs="Arial"/>
          <w:sz w:val="22"/>
        </w:rPr>
        <w:tab/>
      </w:r>
      <w:r w:rsidR="003356A2" w:rsidRPr="00ED6612">
        <w:rPr>
          <w:rFonts w:ascii="Arial" w:hAnsi="Arial" w:cs="Arial"/>
          <w:sz w:val="22"/>
        </w:rPr>
        <w:t xml:space="preserve">Identification and quantification of economic </w:t>
      </w:r>
      <w:r w:rsidR="00625C4B" w:rsidRPr="00ED6612">
        <w:rPr>
          <w:rFonts w:ascii="Arial" w:hAnsi="Arial" w:cs="Arial"/>
          <w:sz w:val="22"/>
        </w:rPr>
        <w:t xml:space="preserve">costs and </w:t>
      </w:r>
      <w:r w:rsidR="003356A2" w:rsidRPr="00ED6612">
        <w:rPr>
          <w:rFonts w:ascii="Arial" w:hAnsi="Arial" w:cs="Arial"/>
          <w:sz w:val="22"/>
        </w:rPr>
        <w:t>benefits</w:t>
      </w:r>
      <w:bookmarkEnd w:id="32"/>
    </w:p>
    <w:p w14:paraId="456044DD" w14:textId="6EC319A6" w:rsidR="008F447C" w:rsidRPr="00ED6612" w:rsidRDefault="008F447C" w:rsidP="008E3817">
      <w:pPr>
        <w:pStyle w:val="Paragraph"/>
        <w:numPr>
          <w:ilvl w:val="1"/>
          <w:numId w:val="4"/>
        </w:numPr>
        <w:tabs>
          <w:tab w:val="num" w:pos="720"/>
        </w:tabs>
        <w:spacing w:afterLines="80" w:after="192"/>
        <w:ind w:left="720" w:hanging="720"/>
        <w:rPr>
          <w:rFonts w:ascii="Arial" w:hAnsi="Arial" w:cs="Arial"/>
          <w:sz w:val="22"/>
        </w:rPr>
      </w:pPr>
      <w:r w:rsidRPr="00ED6612">
        <w:rPr>
          <w:rFonts w:ascii="Arial" w:hAnsi="Arial" w:cs="Arial"/>
          <w:b/>
          <w:sz w:val="22"/>
        </w:rPr>
        <w:t>Costs</w:t>
      </w:r>
      <w:r w:rsidRPr="00ED6612">
        <w:rPr>
          <w:rFonts w:ascii="Arial" w:hAnsi="Arial" w:cs="Arial"/>
          <w:sz w:val="22"/>
        </w:rPr>
        <w:t xml:space="preserve"> of the </w:t>
      </w:r>
      <w:r w:rsidR="00D11E5F">
        <w:rPr>
          <w:rFonts w:ascii="Arial" w:hAnsi="Arial" w:cs="Arial"/>
          <w:sz w:val="22"/>
        </w:rPr>
        <w:t>project</w:t>
      </w:r>
      <w:r w:rsidRPr="00ED6612">
        <w:rPr>
          <w:rFonts w:ascii="Arial" w:hAnsi="Arial" w:cs="Arial"/>
          <w:sz w:val="22"/>
        </w:rPr>
        <w:t xml:space="preserve"> are composed by the initial investment costs plus O&amp;M costs of the projects. Investment costs are accounted for entirely at the </w:t>
      </w:r>
      <w:r w:rsidR="000316EB" w:rsidRPr="00ED6612">
        <w:rPr>
          <w:rFonts w:ascii="Arial" w:hAnsi="Arial" w:cs="Arial"/>
          <w:sz w:val="22"/>
        </w:rPr>
        <w:t>first year of projections for each project, following the distribution in Table 2.3</w:t>
      </w:r>
      <w:r w:rsidRPr="00ED6612">
        <w:rPr>
          <w:rFonts w:ascii="Arial" w:hAnsi="Arial" w:cs="Arial"/>
          <w:sz w:val="22"/>
        </w:rPr>
        <w:t>; the assumption is that these will cover the initial costs of starting up and deployment of the RE and EE technologies.</w:t>
      </w:r>
      <w:r w:rsidR="000316EB" w:rsidRPr="00ED6612">
        <w:rPr>
          <w:rStyle w:val="FootnoteReference"/>
          <w:rFonts w:ascii="Arial" w:hAnsi="Arial" w:cs="Arial"/>
          <w:sz w:val="22"/>
        </w:rPr>
        <w:footnoteReference w:id="24"/>
      </w:r>
      <w:r w:rsidRPr="00ED6612">
        <w:rPr>
          <w:rFonts w:ascii="Arial" w:hAnsi="Arial" w:cs="Arial"/>
          <w:sz w:val="22"/>
        </w:rPr>
        <w:t xml:space="preserve"> O&amp;M costs will be included yearly starting from the year in which each project begins operations (for </w:t>
      </w:r>
      <w:r w:rsidR="000316EB" w:rsidRPr="00ED6612">
        <w:rPr>
          <w:rFonts w:ascii="Arial" w:hAnsi="Arial" w:cs="Arial"/>
          <w:sz w:val="22"/>
        </w:rPr>
        <w:t xml:space="preserve">RE </w:t>
      </w:r>
      <w:r w:rsidRPr="00ED6612">
        <w:rPr>
          <w:rFonts w:ascii="Arial" w:hAnsi="Arial" w:cs="Arial"/>
          <w:sz w:val="22"/>
        </w:rPr>
        <w:t>projects, considered to be one year after the investment is made).</w:t>
      </w:r>
    </w:p>
    <w:p w14:paraId="456044DE" w14:textId="57977882" w:rsidR="008F447C" w:rsidRPr="00ED6612" w:rsidRDefault="008F447C" w:rsidP="008E3817">
      <w:pPr>
        <w:pStyle w:val="Paragraph"/>
        <w:numPr>
          <w:ilvl w:val="1"/>
          <w:numId w:val="4"/>
        </w:numPr>
        <w:tabs>
          <w:tab w:val="num" w:pos="720"/>
        </w:tabs>
        <w:spacing w:afterLines="80" w:after="192"/>
        <w:ind w:left="720" w:hanging="720"/>
        <w:rPr>
          <w:rFonts w:ascii="Arial" w:hAnsi="Arial" w:cs="Arial"/>
          <w:sz w:val="22"/>
        </w:rPr>
      </w:pPr>
      <w:r w:rsidRPr="00ED6612">
        <w:rPr>
          <w:rFonts w:ascii="Arial" w:hAnsi="Arial" w:cs="Arial"/>
          <w:sz w:val="22"/>
        </w:rPr>
        <w:lastRenderedPageBreak/>
        <w:t xml:space="preserve">The abovementioned investment costs are assumed to be fully covered by financing from the </w:t>
      </w:r>
      <w:r w:rsidR="00D11E5F">
        <w:rPr>
          <w:rFonts w:ascii="Arial" w:hAnsi="Arial" w:cs="Arial"/>
          <w:sz w:val="22"/>
        </w:rPr>
        <w:t>project</w:t>
      </w:r>
      <w:r w:rsidRPr="00ED6612">
        <w:rPr>
          <w:rFonts w:ascii="Arial" w:hAnsi="Arial" w:cs="Arial"/>
          <w:sz w:val="22"/>
        </w:rPr>
        <w:t xml:space="preserve"> (including </w:t>
      </w:r>
      <w:r w:rsidR="001B3328" w:rsidRPr="00ED6612">
        <w:rPr>
          <w:rFonts w:ascii="Arial" w:hAnsi="Arial" w:cs="Arial"/>
          <w:sz w:val="22"/>
        </w:rPr>
        <w:t>BICE</w:t>
      </w:r>
      <w:r w:rsidRPr="00ED6612">
        <w:rPr>
          <w:rFonts w:ascii="Arial" w:hAnsi="Arial" w:cs="Arial"/>
          <w:sz w:val="22"/>
        </w:rPr>
        <w:t xml:space="preserve"> counterpart) plus the private funding complementing this financing (equity and/or additional financing from sources other than </w:t>
      </w:r>
      <w:r w:rsidR="001B3328" w:rsidRPr="00ED6612">
        <w:rPr>
          <w:rFonts w:ascii="Arial" w:hAnsi="Arial" w:cs="Arial"/>
          <w:sz w:val="22"/>
        </w:rPr>
        <w:t>BICE and the IDB</w:t>
      </w:r>
      <w:r w:rsidRPr="00ED6612">
        <w:rPr>
          <w:rFonts w:ascii="Arial" w:hAnsi="Arial" w:cs="Arial"/>
          <w:sz w:val="22"/>
        </w:rPr>
        <w:t>).</w:t>
      </w:r>
    </w:p>
    <w:p w14:paraId="456044DF" w14:textId="77777777" w:rsidR="001B3328" w:rsidRPr="00ED6612" w:rsidRDefault="001B3328" w:rsidP="008E3817">
      <w:pPr>
        <w:pStyle w:val="Paragraph"/>
        <w:numPr>
          <w:ilvl w:val="1"/>
          <w:numId w:val="4"/>
        </w:numPr>
        <w:tabs>
          <w:tab w:val="num" w:pos="720"/>
        </w:tabs>
        <w:spacing w:afterLines="80" w:after="192"/>
        <w:ind w:left="720" w:hanging="720"/>
        <w:rPr>
          <w:rFonts w:ascii="Arial" w:hAnsi="Arial" w:cs="Arial"/>
          <w:sz w:val="22"/>
        </w:rPr>
      </w:pPr>
      <w:r w:rsidRPr="00ED6612">
        <w:rPr>
          <w:rFonts w:ascii="Arial" w:hAnsi="Arial" w:cs="Arial"/>
          <w:sz w:val="22"/>
        </w:rPr>
        <w:t>Additional costs associated to the complementary TC to be approved separately are also included, as activities under this TC are considered essential to the successful deployment of projects financed (see ¶</w:t>
      </w:r>
      <w:r w:rsidRPr="00ED6612">
        <w:rPr>
          <w:rFonts w:ascii="Arial" w:hAnsi="Arial" w:cs="Arial"/>
          <w:sz w:val="22"/>
        </w:rPr>
        <w:fldChar w:fldCharType="begin"/>
      </w:r>
      <w:r w:rsidRPr="00ED6612">
        <w:rPr>
          <w:rFonts w:ascii="Arial" w:hAnsi="Arial" w:cs="Arial"/>
          <w:sz w:val="22"/>
        </w:rPr>
        <w:instrText xml:space="preserve"> REF _Ref503448360 \r \h </w:instrText>
      </w:r>
      <w:r w:rsidRPr="00ED6612">
        <w:rPr>
          <w:rFonts w:ascii="Arial" w:hAnsi="Arial" w:cs="Arial"/>
          <w:sz w:val="22"/>
        </w:rPr>
      </w:r>
      <w:r w:rsidRPr="00ED6612">
        <w:rPr>
          <w:rFonts w:ascii="Arial" w:hAnsi="Arial" w:cs="Arial"/>
          <w:sz w:val="22"/>
        </w:rPr>
        <w:fldChar w:fldCharType="separate"/>
      </w:r>
      <w:r w:rsidRPr="00ED6612">
        <w:rPr>
          <w:rFonts w:ascii="Arial" w:hAnsi="Arial" w:cs="Arial"/>
          <w:sz w:val="22"/>
        </w:rPr>
        <w:t>1.7</w:t>
      </w:r>
      <w:r w:rsidRPr="00ED6612">
        <w:rPr>
          <w:rFonts w:ascii="Arial" w:hAnsi="Arial" w:cs="Arial"/>
          <w:sz w:val="22"/>
        </w:rPr>
        <w:fldChar w:fldCharType="end"/>
      </w:r>
      <w:r w:rsidRPr="00ED6612">
        <w:rPr>
          <w:rFonts w:ascii="Arial" w:hAnsi="Arial" w:cs="Arial"/>
          <w:sz w:val="22"/>
        </w:rPr>
        <w:t>).</w:t>
      </w:r>
    </w:p>
    <w:p w14:paraId="456044E0" w14:textId="77777777" w:rsidR="009E6A77" w:rsidRPr="00ED6612" w:rsidRDefault="001B3328" w:rsidP="008E3817">
      <w:pPr>
        <w:pStyle w:val="Paragraph"/>
        <w:numPr>
          <w:ilvl w:val="1"/>
          <w:numId w:val="4"/>
        </w:numPr>
        <w:spacing w:afterLines="80" w:after="192"/>
        <w:ind w:left="720" w:hanging="720"/>
        <w:rPr>
          <w:rFonts w:ascii="Arial" w:hAnsi="Arial" w:cs="Arial"/>
          <w:sz w:val="22"/>
        </w:rPr>
      </w:pPr>
      <w:r w:rsidRPr="00ED6612">
        <w:rPr>
          <w:rFonts w:ascii="Arial" w:hAnsi="Arial" w:cs="Arial"/>
          <w:b/>
          <w:sz w:val="22"/>
        </w:rPr>
        <w:t>B</w:t>
      </w:r>
      <w:r w:rsidR="009E6A77" w:rsidRPr="00ED6612">
        <w:rPr>
          <w:rFonts w:ascii="Arial" w:hAnsi="Arial" w:cs="Arial"/>
          <w:b/>
          <w:sz w:val="22"/>
        </w:rPr>
        <w:t>enefits</w:t>
      </w:r>
      <w:r w:rsidR="009E6A77" w:rsidRPr="00ED6612">
        <w:rPr>
          <w:rFonts w:ascii="Arial" w:hAnsi="Arial" w:cs="Arial"/>
          <w:sz w:val="22"/>
        </w:rPr>
        <w:t xml:space="preserve"> include three main elements: </w:t>
      </w:r>
      <w:r w:rsidR="00334B0A" w:rsidRPr="00ED6612">
        <w:rPr>
          <w:rFonts w:ascii="Arial" w:hAnsi="Arial" w:cs="Arial"/>
          <w:sz w:val="22"/>
        </w:rPr>
        <w:t xml:space="preserve">i) </w:t>
      </w:r>
      <w:r w:rsidR="008D3280" w:rsidRPr="00ED6612">
        <w:rPr>
          <w:rFonts w:ascii="Arial" w:hAnsi="Arial" w:cs="Arial"/>
          <w:sz w:val="22"/>
        </w:rPr>
        <w:t>the difference in energy supply costs for the new installed capacity added</w:t>
      </w:r>
      <w:r w:rsidR="00334B0A" w:rsidRPr="00ED6612">
        <w:rPr>
          <w:rFonts w:ascii="Arial" w:hAnsi="Arial" w:cs="Arial"/>
          <w:sz w:val="22"/>
        </w:rPr>
        <w:t>, as a result of electricity produced by the</w:t>
      </w:r>
      <w:r w:rsidR="008D3280" w:rsidRPr="00ED6612">
        <w:rPr>
          <w:rFonts w:ascii="Arial" w:hAnsi="Arial" w:cs="Arial"/>
          <w:sz w:val="22"/>
        </w:rPr>
        <w:t xml:space="preserve"> RE projects financed</w:t>
      </w:r>
      <w:r w:rsidR="00334B0A" w:rsidRPr="00ED6612">
        <w:rPr>
          <w:rFonts w:ascii="Arial" w:hAnsi="Arial" w:cs="Arial"/>
          <w:sz w:val="22"/>
        </w:rPr>
        <w:t>; (ii) the foregone energy costs (energy savings) produced by installing and operating more modern and efficient equipment</w:t>
      </w:r>
      <w:r w:rsidR="008D3280" w:rsidRPr="00ED6612">
        <w:rPr>
          <w:rFonts w:ascii="Arial" w:hAnsi="Arial" w:cs="Arial"/>
          <w:sz w:val="22"/>
        </w:rPr>
        <w:t xml:space="preserve"> with the EE projects financed</w:t>
      </w:r>
      <w:r w:rsidR="00334B0A" w:rsidRPr="00ED6612">
        <w:rPr>
          <w:rFonts w:ascii="Arial" w:hAnsi="Arial" w:cs="Arial"/>
          <w:sz w:val="22"/>
        </w:rPr>
        <w:t>; and</w:t>
      </w:r>
      <w:r w:rsidR="009E6A77" w:rsidRPr="00ED6612">
        <w:rPr>
          <w:rFonts w:ascii="Arial" w:hAnsi="Arial" w:cs="Arial"/>
          <w:sz w:val="22"/>
        </w:rPr>
        <w:t xml:space="preserve"> (iii) abated costs derived from the avoided future GHG emissions</w:t>
      </w:r>
      <w:r w:rsidR="00437C25" w:rsidRPr="00ED6612">
        <w:rPr>
          <w:rFonts w:ascii="Arial" w:hAnsi="Arial" w:cs="Arial"/>
          <w:sz w:val="22"/>
        </w:rPr>
        <w:t xml:space="preserve"> from both RE and EE projects financed</w:t>
      </w:r>
      <w:r w:rsidR="009E6A77" w:rsidRPr="00ED6612">
        <w:rPr>
          <w:rFonts w:ascii="Arial" w:hAnsi="Arial" w:cs="Arial"/>
          <w:sz w:val="22"/>
        </w:rPr>
        <w:t xml:space="preserve"> (see ¶</w:t>
      </w:r>
      <w:r w:rsidR="009E6A77" w:rsidRPr="00ED6612">
        <w:rPr>
          <w:rFonts w:ascii="Arial" w:hAnsi="Arial" w:cs="Arial"/>
          <w:sz w:val="22"/>
        </w:rPr>
        <w:fldChar w:fldCharType="begin"/>
      </w:r>
      <w:r w:rsidR="009E6A77" w:rsidRPr="00ED6612">
        <w:rPr>
          <w:rFonts w:ascii="Arial" w:hAnsi="Arial" w:cs="Arial"/>
          <w:sz w:val="22"/>
        </w:rPr>
        <w:instrText xml:space="preserve"> REF _Ref459974999 \r \h  \* MERGEFORMAT </w:instrText>
      </w:r>
      <w:r w:rsidR="009E6A77" w:rsidRPr="00ED6612">
        <w:rPr>
          <w:rFonts w:ascii="Arial" w:hAnsi="Arial" w:cs="Arial"/>
          <w:sz w:val="22"/>
        </w:rPr>
      </w:r>
      <w:r w:rsidR="009E6A77" w:rsidRPr="00ED6612">
        <w:rPr>
          <w:rFonts w:ascii="Arial" w:hAnsi="Arial" w:cs="Arial"/>
          <w:sz w:val="22"/>
        </w:rPr>
        <w:fldChar w:fldCharType="end"/>
      </w:r>
      <w:r w:rsidR="00334B0A" w:rsidRPr="00ED6612">
        <w:rPr>
          <w:rFonts w:ascii="Arial" w:hAnsi="Arial" w:cs="Arial"/>
          <w:sz w:val="22"/>
        </w:rPr>
        <w:fldChar w:fldCharType="begin"/>
      </w:r>
      <w:r w:rsidR="00334B0A" w:rsidRPr="00ED6612">
        <w:rPr>
          <w:rFonts w:ascii="Arial" w:hAnsi="Arial" w:cs="Arial"/>
          <w:sz w:val="22"/>
        </w:rPr>
        <w:instrText xml:space="preserve"> REF _Ref503472898 \r \h </w:instrText>
      </w:r>
      <w:r w:rsidR="00334B0A" w:rsidRPr="00ED6612">
        <w:rPr>
          <w:rFonts w:ascii="Arial" w:hAnsi="Arial" w:cs="Arial"/>
          <w:sz w:val="22"/>
        </w:rPr>
      </w:r>
      <w:r w:rsidR="00334B0A" w:rsidRPr="00ED6612">
        <w:rPr>
          <w:rFonts w:ascii="Arial" w:hAnsi="Arial" w:cs="Arial"/>
          <w:sz w:val="22"/>
        </w:rPr>
        <w:fldChar w:fldCharType="separate"/>
      </w:r>
      <w:r w:rsidR="00334B0A" w:rsidRPr="00ED6612">
        <w:rPr>
          <w:rFonts w:ascii="Arial" w:hAnsi="Arial" w:cs="Arial"/>
          <w:sz w:val="22"/>
        </w:rPr>
        <w:t>2.6</w:t>
      </w:r>
      <w:r w:rsidR="00334B0A" w:rsidRPr="00ED6612">
        <w:rPr>
          <w:rFonts w:ascii="Arial" w:hAnsi="Arial" w:cs="Arial"/>
          <w:sz w:val="22"/>
        </w:rPr>
        <w:fldChar w:fldCharType="end"/>
      </w:r>
      <w:r w:rsidR="009E6A77" w:rsidRPr="00ED6612">
        <w:rPr>
          <w:rFonts w:ascii="Arial" w:hAnsi="Arial" w:cs="Arial"/>
          <w:sz w:val="22"/>
        </w:rPr>
        <w:t>).</w:t>
      </w:r>
    </w:p>
    <w:p w14:paraId="456044E1" w14:textId="77777777" w:rsidR="009E6A77" w:rsidRPr="00ED6612" w:rsidRDefault="009E6A77" w:rsidP="009E6A77">
      <w:pPr>
        <w:pStyle w:val="Paragraph"/>
        <w:pBdr>
          <w:top w:val="single" w:sz="4" w:space="1" w:color="4F81BD" w:themeColor="accent1"/>
          <w:left w:val="single" w:sz="4" w:space="4" w:color="4F81BD" w:themeColor="accent1"/>
          <w:bottom w:val="single" w:sz="4" w:space="1" w:color="4F81BD" w:themeColor="accent1"/>
          <w:right w:val="single" w:sz="4" w:space="4" w:color="4F81BD" w:themeColor="accent1"/>
        </w:pBdr>
        <w:tabs>
          <w:tab w:val="clear" w:pos="720"/>
        </w:tabs>
        <w:spacing w:afterLines="80" w:after="192"/>
        <w:ind w:firstLine="0"/>
        <w:jc w:val="center"/>
        <w:rPr>
          <w:rFonts w:ascii="Arial" w:hAnsi="Arial" w:cs="Arial"/>
          <w:color w:val="4F81BD" w:themeColor="accent1"/>
          <w:sz w:val="20"/>
          <w:szCs w:val="24"/>
        </w:rPr>
      </w:pPr>
      <w:r w:rsidRPr="00ED6612">
        <w:rPr>
          <w:rFonts w:ascii="Arial" w:hAnsi="Arial" w:cs="Arial"/>
          <w:color w:val="4F81BD" w:themeColor="accent1"/>
          <w:sz w:val="20"/>
          <w:szCs w:val="24"/>
        </w:rPr>
        <w:t>Economic benefits (US</w:t>
      </w:r>
      <w:r w:rsidR="00DB7504" w:rsidRPr="00ED6612">
        <w:rPr>
          <w:rFonts w:ascii="Arial" w:hAnsi="Arial" w:cs="Arial"/>
          <w:color w:val="4F81BD" w:themeColor="accent1"/>
          <w:sz w:val="20"/>
          <w:szCs w:val="24"/>
        </w:rPr>
        <w:t>$</w:t>
      </w:r>
      <w:r w:rsidRPr="00ED6612">
        <w:rPr>
          <w:rFonts w:ascii="Arial" w:hAnsi="Arial" w:cs="Arial"/>
          <w:color w:val="4F81BD" w:themeColor="accent1"/>
          <w:sz w:val="20"/>
          <w:szCs w:val="24"/>
        </w:rPr>
        <w:t xml:space="preserve">) = </w:t>
      </w:r>
      <w:r w:rsidR="00437C25" w:rsidRPr="00ED6612">
        <w:rPr>
          <w:rFonts w:ascii="Arial" w:hAnsi="Arial" w:cs="Arial"/>
          <w:color w:val="4F81BD" w:themeColor="accent1"/>
          <w:sz w:val="20"/>
          <w:szCs w:val="24"/>
        </w:rPr>
        <w:t>Difference in energy supply costs</w:t>
      </w:r>
      <w:r w:rsidR="00334B0A" w:rsidRPr="00ED6612">
        <w:rPr>
          <w:rFonts w:ascii="Arial" w:hAnsi="Arial" w:cs="Arial"/>
          <w:color w:val="4F81BD" w:themeColor="accent1"/>
          <w:sz w:val="20"/>
          <w:szCs w:val="24"/>
        </w:rPr>
        <w:t xml:space="preserve"> </w:t>
      </w:r>
      <w:r w:rsidRPr="00ED6612">
        <w:rPr>
          <w:rFonts w:ascii="Arial" w:hAnsi="Arial" w:cs="Arial"/>
          <w:color w:val="4F81BD" w:themeColor="accent1"/>
          <w:sz w:val="20"/>
          <w:szCs w:val="24"/>
        </w:rPr>
        <w:t xml:space="preserve">from </w:t>
      </w:r>
      <w:r w:rsidR="00334B0A" w:rsidRPr="00ED6612">
        <w:rPr>
          <w:rFonts w:ascii="Arial" w:hAnsi="Arial" w:cs="Arial"/>
          <w:color w:val="4F81BD" w:themeColor="accent1"/>
          <w:sz w:val="20"/>
          <w:szCs w:val="24"/>
        </w:rPr>
        <w:t>RE</w:t>
      </w:r>
      <w:r w:rsidRPr="00ED6612">
        <w:rPr>
          <w:rFonts w:ascii="Arial" w:hAnsi="Arial" w:cs="Arial"/>
          <w:color w:val="4F81BD" w:themeColor="accent1"/>
          <w:sz w:val="20"/>
          <w:szCs w:val="24"/>
        </w:rPr>
        <w:t xml:space="preserve"> + </w:t>
      </w:r>
      <w:r w:rsidR="00334B0A" w:rsidRPr="00ED6612">
        <w:rPr>
          <w:rFonts w:ascii="Arial" w:hAnsi="Arial" w:cs="Arial"/>
          <w:color w:val="4F81BD" w:themeColor="accent1"/>
          <w:sz w:val="20"/>
          <w:szCs w:val="24"/>
        </w:rPr>
        <w:t>Foregone costs from EE</w:t>
      </w:r>
      <w:r w:rsidRPr="00ED6612">
        <w:rPr>
          <w:rFonts w:ascii="Arial" w:hAnsi="Arial" w:cs="Arial"/>
          <w:color w:val="4F81BD" w:themeColor="accent1"/>
          <w:sz w:val="20"/>
          <w:szCs w:val="24"/>
        </w:rPr>
        <w:t xml:space="preserve"> + Abated costs of emissions</w:t>
      </w:r>
    </w:p>
    <w:p w14:paraId="456044E2" w14:textId="77777777" w:rsidR="00B32D1D" w:rsidRPr="00ED6612" w:rsidRDefault="00B32D1D" w:rsidP="00B32D1D">
      <w:pPr>
        <w:pStyle w:val="Paragraph"/>
        <w:tabs>
          <w:tab w:val="clear" w:pos="720"/>
        </w:tabs>
        <w:spacing w:before="0" w:after="0"/>
        <w:ind w:firstLine="0"/>
        <w:rPr>
          <w:rFonts w:ascii="Arial" w:hAnsi="Arial" w:cs="Arial"/>
          <w:spacing w:val="-4"/>
          <w:sz w:val="14"/>
          <w:szCs w:val="14"/>
        </w:rPr>
      </w:pPr>
    </w:p>
    <w:p w14:paraId="456044E3" w14:textId="4329FB41" w:rsidR="00334B0A" w:rsidRPr="00ED6612" w:rsidRDefault="00334B0A" w:rsidP="008E3817">
      <w:pPr>
        <w:pStyle w:val="Paragraph"/>
        <w:numPr>
          <w:ilvl w:val="1"/>
          <w:numId w:val="4"/>
        </w:numPr>
        <w:spacing w:afterLines="80" w:after="192"/>
        <w:ind w:left="720" w:hanging="720"/>
        <w:rPr>
          <w:rFonts w:ascii="Arial" w:hAnsi="Arial" w:cs="Arial"/>
          <w:spacing w:val="-4"/>
          <w:sz w:val="22"/>
        </w:rPr>
      </w:pPr>
      <w:r w:rsidRPr="00ED6612">
        <w:rPr>
          <w:rFonts w:ascii="Arial" w:hAnsi="Arial" w:cs="Arial"/>
          <w:spacing w:val="-4"/>
          <w:sz w:val="22"/>
        </w:rPr>
        <w:t xml:space="preserve">The first set of benefits is determined by </w:t>
      </w:r>
      <w:r w:rsidRPr="00ED6612">
        <w:rPr>
          <w:rFonts w:ascii="Arial" w:hAnsi="Arial" w:cs="Arial"/>
          <w:sz w:val="22"/>
        </w:rPr>
        <w:t xml:space="preserve">the </w:t>
      </w:r>
      <w:r w:rsidR="00FC50D5" w:rsidRPr="00ED6612">
        <w:rPr>
          <w:rFonts w:ascii="Arial" w:hAnsi="Arial" w:cs="Arial"/>
          <w:sz w:val="22"/>
        </w:rPr>
        <w:t>difference in energy supply costs</w:t>
      </w:r>
      <w:r w:rsidR="00963A82" w:rsidRPr="00ED6612">
        <w:rPr>
          <w:rFonts w:ascii="Arial" w:hAnsi="Arial" w:cs="Arial"/>
          <w:sz w:val="22"/>
        </w:rPr>
        <w:t xml:space="preserve"> when comparing energy</w:t>
      </w:r>
      <w:r w:rsidR="00FC50D5" w:rsidRPr="00ED6612">
        <w:rPr>
          <w:rFonts w:ascii="Arial" w:hAnsi="Arial" w:cs="Arial"/>
          <w:sz w:val="22"/>
        </w:rPr>
        <w:t xml:space="preserve"> </w:t>
      </w:r>
      <w:r w:rsidRPr="00ED6612">
        <w:rPr>
          <w:rFonts w:ascii="Arial" w:hAnsi="Arial" w:cs="Arial"/>
          <w:sz w:val="22"/>
        </w:rPr>
        <w:t xml:space="preserve">generated </w:t>
      </w:r>
      <w:r w:rsidR="00963A82" w:rsidRPr="00ED6612">
        <w:rPr>
          <w:rFonts w:ascii="Arial" w:hAnsi="Arial" w:cs="Arial"/>
          <w:sz w:val="22"/>
        </w:rPr>
        <w:t xml:space="preserve">and provided to the system </w:t>
      </w:r>
      <w:r w:rsidRPr="00ED6612">
        <w:rPr>
          <w:rFonts w:ascii="Arial" w:hAnsi="Arial" w:cs="Arial"/>
          <w:sz w:val="22"/>
        </w:rPr>
        <w:t xml:space="preserve">by the </w:t>
      </w:r>
      <w:r w:rsidR="00963A82" w:rsidRPr="00ED6612">
        <w:rPr>
          <w:rFonts w:ascii="Arial" w:hAnsi="Arial" w:cs="Arial"/>
          <w:sz w:val="22"/>
        </w:rPr>
        <w:t>RE projects financed</w:t>
      </w:r>
      <w:r w:rsidRPr="00ED6612">
        <w:rPr>
          <w:rFonts w:ascii="Arial" w:hAnsi="Arial" w:cs="Arial"/>
          <w:sz w:val="22"/>
        </w:rPr>
        <w:t xml:space="preserve"> </w:t>
      </w:r>
      <w:r w:rsidR="00A562CE" w:rsidRPr="00ED6612">
        <w:rPr>
          <w:rFonts w:ascii="Arial" w:hAnsi="Arial" w:cs="Arial"/>
          <w:sz w:val="22"/>
        </w:rPr>
        <w:t xml:space="preserve"> (in this case, biomass and biogas)</w:t>
      </w:r>
      <w:r w:rsidR="00963A82" w:rsidRPr="00ED6612">
        <w:rPr>
          <w:rFonts w:ascii="Arial" w:hAnsi="Arial" w:cs="Arial"/>
          <w:sz w:val="22"/>
        </w:rPr>
        <w:t xml:space="preserve"> and that same amount of energy generated and provided to the system by other sources in the absence of the </w:t>
      </w:r>
      <w:r w:rsidR="00D11E5F">
        <w:rPr>
          <w:rFonts w:ascii="Arial" w:hAnsi="Arial" w:cs="Arial"/>
          <w:sz w:val="22"/>
        </w:rPr>
        <w:t>project</w:t>
      </w:r>
      <w:r w:rsidR="00A562CE" w:rsidRPr="00ED6612">
        <w:rPr>
          <w:rFonts w:ascii="Arial" w:hAnsi="Arial" w:cs="Arial"/>
          <w:sz w:val="22"/>
        </w:rPr>
        <w:t xml:space="preserve">. </w:t>
      </w:r>
      <w:r w:rsidR="00FA0581" w:rsidRPr="00ED6612">
        <w:rPr>
          <w:rFonts w:ascii="Arial" w:hAnsi="Arial" w:cs="Arial"/>
          <w:sz w:val="22"/>
        </w:rPr>
        <w:t xml:space="preserve">In the without </w:t>
      </w:r>
      <w:r w:rsidR="00D11E5F">
        <w:rPr>
          <w:rFonts w:ascii="Arial" w:hAnsi="Arial" w:cs="Arial"/>
          <w:sz w:val="22"/>
        </w:rPr>
        <w:t>project</w:t>
      </w:r>
      <w:r w:rsidR="00FA0581" w:rsidRPr="00ED6612">
        <w:rPr>
          <w:rFonts w:ascii="Arial" w:hAnsi="Arial" w:cs="Arial"/>
          <w:sz w:val="22"/>
        </w:rPr>
        <w:t xml:space="preserve"> scenario, the equivalent amount of energy that would have been produced by the beneficiary projects must be provided to the system by a mix of traditional sources (largely </w:t>
      </w:r>
      <w:r w:rsidR="00447431" w:rsidRPr="00ED6612">
        <w:rPr>
          <w:rFonts w:ascii="Arial" w:hAnsi="Arial" w:cs="Arial"/>
          <w:sz w:val="22"/>
        </w:rPr>
        <w:t>generated from fossil fuels, mainly natural gas</w:t>
      </w:r>
      <w:r w:rsidR="00FA0581" w:rsidRPr="00ED6612">
        <w:rPr>
          <w:rFonts w:ascii="Arial" w:hAnsi="Arial" w:cs="Arial"/>
          <w:sz w:val="22"/>
        </w:rPr>
        <w:t>) and the cost of providing this energy is assumed to be the average marginal cost of the system.</w:t>
      </w:r>
      <w:r w:rsidR="00FA0581" w:rsidRPr="00ED6612">
        <w:rPr>
          <w:rStyle w:val="FootnoteReference"/>
          <w:rFonts w:ascii="Arial" w:hAnsi="Arial" w:cs="Arial"/>
          <w:sz w:val="22"/>
        </w:rPr>
        <w:footnoteReference w:id="25"/>
      </w:r>
      <w:r w:rsidR="00FA0581" w:rsidRPr="00ED6612">
        <w:rPr>
          <w:rFonts w:ascii="Arial" w:hAnsi="Arial" w:cs="Arial"/>
          <w:sz w:val="22"/>
        </w:rPr>
        <w:t xml:space="preserve"> A detailed analysis for this assumption in included in Annex I. </w:t>
      </w:r>
    </w:p>
    <w:p w14:paraId="456044E4" w14:textId="77777777" w:rsidR="00334B0A" w:rsidRPr="00ED6612" w:rsidRDefault="00FA0581" w:rsidP="008E3817">
      <w:pPr>
        <w:pStyle w:val="Paragraph"/>
        <w:pBdr>
          <w:top w:val="single" w:sz="4" w:space="1" w:color="4F81BD" w:themeColor="accent1"/>
          <w:left w:val="single" w:sz="4" w:space="4" w:color="4F81BD" w:themeColor="accent1"/>
          <w:bottom w:val="single" w:sz="4" w:space="1" w:color="4F81BD" w:themeColor="accent1"/>
          <w:right w:val="single" w:sz="4" w:space="4" w:color="4F81BD" w:themeColor="accent1"/>
        </w:pBdr>
        <w:tabs>
          <w:tab w:val="clear" w:pos="720"/>
        </w:tabs>
        <w:spacing w:afterLines="80" w:after="192"/>
        <w:ind w:left="3330" w:hanging="2610"/>
        <w:rPr>
          <w:rFonts w:ascii="Arial" w:hAnsi="Arial" w:cs="Arial"/>
          <w:color w:val="4F81BD" w:themeColor="accent1"/>
          <w:sz w:val="20"/>
          <w:szCs w:val="24"/>
        </w:rPr>
      </w:pPr>
      <w:r w:rsidRPr="00ED6612">
        <w:rPr>
          <w:rFonts w:ascii="Arial" w:hAnsi="Arial" w:cs="Arial"/>
          <w:color w:val="4F81BD" w:themeColor="accent1"/>
          <w:sz w:val="20"/>
          <w:szCs w:val="24"/>
        </w:rPr>
        <w:t xml:space="preserve">Difference in energy supply = </w:t>
      </w:r>
      <w:r w:rsidR="00A510A4" w:rsidRPr="00ED6612">
        <w:rPr>
          <w:rFonts w:ascii="Arial" w:hAnsi="Arial" w:cs="Arial"/>
          <w:color w:val="4F81BD" w:themeColor="accent1"/>
          <w:sz w:val="20"/>
          <w:szCs w:val="24"/>
        </w:rPr>
        <w:t>C</w:t>
      </w:r>
      <w:r w:rsidRPr="00ED6612">
        <w:rPr>
          <w:rFonts w:ascii="Arial" w:hAnsi="Arial" w:cs="Arial"/>
          <w:color w:val="4F81BD" w:themeColor="accent1"/>
          <w:sz w:val="20"/>
          <w:szCs w:val="24"/>
        </w:rPr>
        <w:t>osts of addi</w:t>
      </w:r>
      <w:r w:rsidR="00A510A4" w:rsidRPr="00ED6612">
        <w:rPr>
          <w:rFonts w:ascii="Arial" w:hAnsi="Arial" w:cs="Arial"/>
          <w:color w:val="4F81BD" w:themeColor="accent1"/>
          <w:sz w:val="20"/>
          <w:szCs w:val="24"/>
        </w:rPr>
        <w:t>ng</w:t>
      </w:r>
      <w:r w:rsidRPr="00ED6612">
        <w:rPr>
          <w:rFonts w:ascii="Arial" w:hAnsi="Arial" w:cs="Arial"/>
          <w:color w:val="4F81BD" w:themeColor="accent1"/>
          <w:sz w:val="20"/>
          <w:szCs w:val="24"/>
        </w:rPr>
        <w:t xml:space="preserve"> RE capacity to supply clean energy (US$) – Costs of supplying equivalent amount of energy from other sources (US$)</w:t>
      </w:r>
    </w:p>
    <w:p w14:paraId="456044E5" w14:textId="77777777" w:rsidR="009E6A77" w:rsidRPr="00ED6612" w:rsidRDefault="00334B0A" w:rsidP="008E3817">
      <w:pPr>
        <w:pStyle w:val="Paragraph"/>
        <w:numPr>
          <w:ilvl w:val="1"/>
          <w:numId w:val="4"/>
        </w:numPr>
        <w:spacing w:afterLines="80" w:after="192"/>
        <w:ind w:left="720" w:hanging="720"/>
        <w:rPr>
          <w:rFonts w:ascii="Arial" w:hAnsi="Arial" w:cs="Arial"/>
          <w:sz w:val="22"/>
        </w:rPr>
      </w:pPr>
      <w:r w:rsidRPr="00ED6612">
        <w:rPr>
          <w:rFonts w:ascii="Arial" w:hAnsi="Arial" w:cs="Arial"/>
          <w:sz w:val="22"/>
        </w:rPr>
        <w:t>Benefits from energy savings are</w:t>
      </w:r>
      <w:r w:rsidR="009E6A77" w:rsidRPr="00ED6612">
        <w:rPr>
          <w:rFonts w:ascii="Arial" w:hAnsi="Arial" w:cs="Arial"/>
          <w:sz w:val="22"/>
        </w:rPr>
        <w:t xml:space="preserve"> obtained by calculating the difference between energy costs associated to equipment currently in operation, and the energy costs generated by the new/efficient equipment (i.e. </w:t>
      </w:r>
      <w:r w:rsidR="009E6A77" w:rsidRPr="00ED6612">
        <w:rPr>
          <w:rFonts w:ascii="Arial" w:hAnsi="Arial" w:cs="Arial"/>
          <w:spacing w:val="-4"/>
          <w:sz w:val="22"/>
        </w:rPr>
        <w:t>the costs that will be avoided by covering the same energy needs with the new efficient systems)</w:t>
      </w:r>
      <w:r w:rsidR="009E6A77" w:rsidRPr="00ED6612">
        <w:rPr>
          <w:rFonts w:ascii="Arial" w:hAnsi="Arial" w:cs="Arial"/>
          <w:sz w:val="22"/>
        </w:rPr>
        <w:t>. The calculation is made using projected prices of energy and average consumption of each technology and subsector under analysis.</w:t>
      </w:r>
      <w:r w:rsidR="0077197E" w:rsidRPr="00ED6612">
        <w:rPr>
          <w:rFonts w:ascii="Arial" w:hAnsi="Arial" w:cs="Arial"/>
          <w:sz w:val="22"/>
        </w:rPr>
        <w:t xml:space="preserve"> </w:t>
      </w:r>
      <w:r w:rsidR="00382D16" w:rsidRPr="00ED6612">
        <w:rPr>
          <w:rFonts w:ascii="Arial" w:hAnsi="Arial" w:cs="Arial"/>
          <w:sz w:val="22"/>
        </w:rPr>
        <w:t>It should be noted tha</w:t>
      </w:r>
      <w:r w:rsidR="00F769E2" w:rsidRPr="00ED6612">
        <w:rPr>
          <w:rFonts w:ascii="Arial" w:hAnsi="Arial" w:cs="Arial"/>
          <w:sz w:val="22"/>
        </w:rPr>
        <w:t xml:space="preserve">t </w:t>
      </w:r>
      <w:r w:rsidR="0077197E" w:rsidRPr="00ED6612">
        <w:rPr>
          <w:rFonts w:ascii="Arial" w:hAnsi="Arial" w:cs="Arial"/>
          <w:sz w:val="22"/>
        </w:rPr>
        <w:t>the energy costs used for this calculation</w:t>
      </w:r>
      <w:r w:rsidR="00382D16" w:rsidRPr="00ED6612">
        <w:rPr>
          <w:rFonts w:ascii="Arial" w:hAnsi="Arial" w:cs="Arial"/>
          <w:sz w:val="22"/>
        </w:rPr>
        <w:t xml:space="preserve"> have been adjusted to </w:t>
      </w:r>
      <w:r w:rsidR="00F769E2" w:rsidRPr="00ED6612">
        <w:rPr>
          <w:rFonts w:ascii="Arial" w:hAnsi="Arial" w:cs="Arial"/>
          <w:sz w:val="22"/>
        </w:rPr>
        <w:t>eliminate</w:t>
      </w:r>
      <w:r w:rsidR="00382D16" w:rsidRPr="00ED6612">
        <w:rPr>
          <w:rFonts w:ascii="Arial" w:hAnsi="Arial" w:cs="Arial"/>
          <w:sz w:val="22"/>
        </w:rPr>
        <w:t xml:space="preserve"> the subsidy element (see</w:t>
      </w:r>
      <w:r w:rsidR="00FA2A64" w:rsidRPr="00ED6612">
        <w:rPr>
          <w:rFonts w:ascii="Arial" w:hAnsi="Arial" w:cs="Arial"/>
          <w:sz w:val="22"/>
        </w:rPr>
        <w:t> </w:t>
      </w:r>
      <w:r w:rsidR="00382D16" w:rsidRPr="00ED6612">
        <w:rPr>
          <w:rFonts w:ascii="Arial" w:hAnsi="Arial" w:cs="Arial"/>
          <w:sz w:val="22"/>
        </w:rPr>
        <w:t>Table 2.6)</w:t>
      </w:r>
      <w:r w:rsidR="00F769E2" w:rsidRPr="00ED6612">
        <w:rPr>
          <w:rFonts w:ascii="Arial" w:hAnsi="Arial" w:cs="Arial"/>
          <w:sz w:val="22"/>
        </w:rPr>
        <w:t xml:space="preserve"> and determine the real cost. With this, the analysis intends to eliminate distortions in the overall assessment as well as include a quantification </w:t>
      </w:r>
      <w:r w:rsidR="00F769E2" w:rsidRPr="00ED6612">
        <w:rPr>
          <w:rFonts w:ascii="Arial" w:hAnsi="Arial" w:cs="Arial"/>
          <w:sz w:val="22"/>
        </w:rPr>
        <w:lastRenderedPageBreak/>
        <w:t>of</w:t>
      </w:r>
      <w:r w:rsidR="00382D16" w:rsidRPr="00ED6612">
        <w:rPr>
          <w:rFonts w:ascii="Arial" w:hAnsi="Arial" w:cs="Arial"/>
          <w:sz w:val="22"/>
        </w:rPr>
        <w:t xml:space="preserve"> long</w:t>
      </w:r>
      <w:r w:rsidR="00F769E2" w:rsidRPr="00ED6612">
        <w:rPr>
          <w:rFonts w:ascii="Arial" w:hAnsi="Arial" w:cs="Arial"/>
          <w:sz w:val="22"/>
        </w:rPr>
        <w:t>-</w:t>
      </w:r>
      <w:r w:rsidR="00382D16" w:rsidRPr="00ED6612">
        <w:rPr>
          <w:rFonts w:ascii="Arial" w:hAnsi="Arial" w:cs="Arial"/>
          <w:sz w:val="22"/>
        </w:rPr>
        <w:t>term, cumulative savings for the government that avoids the subsidy imbedded in the energy consumption price.</w:t>
      </w:r>
    </w:p>
    <w:p w14:paraId="456044E6" w14:textId="77777777" w:rsidR="009E6A77" w:rsidRPr="00ED6612" w:rsidRDefault="009E6A77" w:rsidP="008E3817">
      <w:pPr>
        <w:pStyle w:val="Paragraph"/>
        <w:pBdr>
          <w:top w:val="single" w:sz="4" w:space="1" w:color="4F81BD" w:themeColor="accent1"/>
          <w:left w:val="single" w:sz="4" w:space="4" w:color="4F81BD" w:themeColor="accent1"/>
          <w:bottom w:val="single" w:sz="4" w:space="1" w:color="4F81BD" w:themeColor="accent1"/>
          <w:right w:val="single" w:sz="4" w:space="4" w:color="4F81BD" w:themeColor="accent1"/>
        </w:pBdr>
        <w:tabs>
          <w:tab w:val="clear" w:pos="720"/>
        </w:tabs>
        <w:spacing w:before="60" w:after="40"/>
        <w:ind w:left="3060" w:hanging="2340"/>
        <w:rPr>
          <w:rFonts w:ascii="Arial" w:hAnsi="Arial" w:cs="Arial"/>
          <w:color w:val="4F81BD" w:themeColor="accent1"/>
          <w:sz w:val="20"/>
          <w:szCs w:val="24"/>
        </w:rPr>
      </w:pPr>
      <w:r w:rsidRPr="00ED6612">
        <w:rPr>
          <w:rFonts w:ascii="Arial" w:hAnsi="Arial" w:cs="Arial"/>
          <w:color w:val="4F81BD" w:themeColor="accent1"/>
          <w:sz w:val="20"/>
          <w:szCs w:val="24"/>
        </w:rPr>
        <w:t>Foregone costs</w:t>
      </w:r>
      <w:r w:rsidR="00A562CE" w:rsidRPr="00ED6612">
        <w:rPr>
          <w:rFonts w:ascii="Arial" w:hAnsi="Arial" w:cs="Arial"/>
          <w:color w:val="4F81BD" w:themeColor="accent1"/>
          <w:sz w:val="20"/>
          <w:szCs w:val="24"/>
        </w:rPr>
        <w:t xml:space="preserve"> from EE</w:t>
      </w:r>
      <w:r w:rsidRPr="00ED6612">
        <w:rPr>
          <w:rFonts w:ascii="Arial" w:hAnsi="Arial" w:cs="Arial"/>
          <w:color w:val="4F81BD" w:themeColor="accent1"/>
          <w:sz w:val="20"/>
          <w:szCs w:val="24"/>
        </w:rPr>
        <w:t xml:space="preserve"> = Cost of energy consumed with old equipment </w:t>
      </w:r>
      <w:r w:rsidR="00DB7504" w:rsidRPr="00ED6612">
        <w:rPr>
          <w:rFonts w:ascii="Arial" w:hAnsi="Arial" w:cs="Arial"/>
          <w:color w:val="4F81BD" w:themeColor="accent1"/>
          <w:sz w:val="20"/>
          <w:szCs w:val="24"/>
        </w:rPr>
        <w:t>(US$</w:t>
      </w:r>
      <w:r w:rsidRPr="00ED6612">
        <w:rPr>
          <w:rFonts w:ascii="Arial" w:hAnsi="Arial" w:cs="Arial"/>
          <w:color w:val="4F81BD" w:themeColor="accent1"/>
          <w:sz w:val="20"/>
          <w:szCs w:val="24"/>
        </w:rPr>
        <w:t>) – Cost of energy consumed with new/efficient equipment</w:t>
      </w:r>
      <w:r w:rsidR="00DB7504" w:rsidRPr="00ED6612">
        <w:rPr>
          <w:rFonts w:ascii="Arial" w:hAnsi="Arial" w:cs="Arial"/>
          <w:color w:val="4F81BD" w:themeColor="accent1"/>
          <w:sz w:val="20"/>
          <w:szCs w:val="24"/>
        </w:rPr>
        <w:t xml:space="preserve"> (US$</w:t>
      </w:r>
      <w:r w:rsidRPr="00ED6612">
        <w:rPr>
          <w:rFonts w:ascii="Arial" w:hAnsi="Arial" w:cs="Arial"/>
          <w:color w:val="4F81BD" w:themeColor="accent1"/>
          <w:sz w:val="20"/>
          <w:szCs w:val="24"/>
        </w:rPr>
        <w:t>)</w:t>
      </w:r>
    </w:p>
    <w:p w14:paraId="456044E7" w14:textId="77777777" w:rsidR="009E6A77" w:rsidRPr="00ED6612" w:rsidRDefault="009E6A77" w:rsidP="008E3817">
      <w:pPr>
        <w:pStyle w:val="Paragraph"/>
        <w:numPr>
          <w:ilvl w:val="1"/>
          <w:numId w:val="4"/>
        </w:numPr>
        <w:spacing w:afterLines="80" w:after="192"/>
        <w:ind w:left="720" w:hanging="720"/>
        <w:rPr>
          <w:rFonts w:ascii="Arial" w:hAnsi="Arial" w:cs="Arial"/>
          <w:sz w:val="22"/>
        </w:rPr>
      </w:pPr>
      <w:r w:rsidRPr="00ED6612">
        <w:rPr>
          <w:rFonts w:ascii="Arial" w:hAnsi="Arial" w:cs="Arial"/>
          <w:sz w:val="22"/>
        </w:rPr>
        <w:t>A third portion of benefits (abated costs of emissions) uses a monetary value of GHG emissions reduced by the projects financed, determined by the unit price of a metric ton of C0</w:t>
      </w:r>
      <w:r w:rsidRPr="00ED6612">
        <w:rPr>
          <w:rFonts w:ascii="Arial" w:hAnsi="Arial" w:cs="Arial"/>
          <w:sz w:val="22"/>
          <w:vertAlign w:val="subscript"/>
        </w:rPr>
        <w:t>2</w:t>
      </w:r>
      <w:r w:rsidRPr="00ED6612">
        <w:rPr>
          <w:rFonts w:ascii="Arial" w:hAnsi="Arial" w:cs="Arial"/>
          <w:sz w:val="22"/>
        </w:rPr>
        <w:t xml:space="preserve"> in the international market</w:t>
      </w:r>
      <w:r w:rsidR="0051506E" w:rsidRPr="00ED6612">
        <w:rPr>
          <w:rFonts w:ascii="Arial" w:hAnsi="Arial" w:cs="Arial"/>
          <w:sz w:val="22"/>
        </w:rPr>
        <w:t xml:space="preserve"> (see table 2.</w:t>
      </w:r>
      <w:r w:rsidR="00E46C24" w:rsidRPr="00ED6612">
        <w:rPr>
          <w:rFonts w:ascii="Arial" w:hAnsi="Arial" w:cs="Arial"/>
          <w:sz w:val="22"/>
        </w:rPr>
        <w:t>6</w:t>
      </w:r>
      <w:r w:rsidR="0051506E" w:rsidRPr="00ED6612">
        <w:rPr>
          <w:rFonts w:ascii="Arial" w:hAnsi="Arial" w:cs="Arial"/>
          <w:sz w:val="22"/>
        </w:rPr>
        <w:t>)</w:t>
      </w:r>
      <w:r w:rsidRPr="00ED6612">
        <w:rPr>
          <w:rFonts w:ascii="Arial" w:hAnsi="Arial" w:cs="Arial"/>
          <w:sz w:val="22"/>
        </w:rPr>
        <w:t>.</w:t>
      </w:r>
      <w:r w:rsidR="0051506E" w:rsidRPr="00ED6612">
        <w:rPr>
          <w:rFonts w:ascii="Arial" w:hAnsi="Arial" w:cs="Arial"/>
          <w:sz w:val="22"/>
        </w:rPr>
        <w:t xml:space="preserve"> Emission reductions are calculated by multiplying the energy savings produced by the sub projects financed, by its corresponding conversion factor, also included in table 2.</w:t>
      </w:r>
      <w:r w:rsidR="00E46C24" w:rsidRPr="00ED6612">
        <w:rPr>
          <w:rFonts w:ascii="Arial" w:hAnsi="Arial" w:cs="Arial"/>
          <w:sz w:val="22"/>
        </w:rPr>
        <w:t>6</w:t>
      </w:r>
      <w:r w:rsidR="0051506E" w:rsidRPr="00ED6612">
        <w:rPr>
          <w:rFonts w:ascii="Arial" w:hAnsi="Arial" w:cs="Arial"/>
          <w:sz w:val="22"/>
        </w:rPr>
        <w:t>.</w:t>
      </w:r>
    </w:p>
    <w:p w14:paraId="456044E8" w14:textId="77777777" w:rsidR="009E6A77" w:rsidRPr="00ED6612" w:rsidRDefault="009E6A77" w:rsidP="008E3817">
      <w:pPr>
        <w:pStyle w:val="Paragraph"/>
        <w:pBdr>
          <w:top w:val="single" w:sz="4" w:space="1" w:color="4F81BD" w:themeColor="accent1"/>
          <w:left w:val="single" w:sz="4" w:space="4" w:color="4F81BD" w:themeColor="accent1"/>
          <w:bottom w:val="single" w:sz="4" w:space="1" w:color="4F81BD" w:themeColor="accent1"/>
          <w:right w:val="single" w:sz="4" w:space="4" w:color="4F81BD" w:themeColor="accent1"/>
        </w:pBdr>
        <w:tabs>
          <w:tab w:val="clear" w:pos="720"/>
          <w:tab w:val="num" w:pos="1800"/>
        </w:tabs>
        <w:spacing w:afterLines="80" w:after="192"/>
        <w:ind w:firstLine="0"/>
        <w:rPr>
          <w:rFonts w:ascii="Arial" w:hAnsi="Arial" w:cs="Arial"/>
          <w:color w:val="4F81BD" w:themeColor="accent1"/>
          <w:sz w:val="20"/>
          <w:szCs w:val="24"/>
        </w:rPr>
      </w:pPr>
      <w:r w:rsidRPr="00ED6612">
        <w:rPr>
          <w:rFonts w:ascii="Arial" w:hAnsi="Arial" w:cs="Arial"/>
          <w:color w:val="4F81BD" w:themeColor="accent1"/>
          <w:sz w:val="20"/>
          <w:szCs w:val="24"/>
        </w:rPr>
        <w:t>Abated costs of emissions = TM CO</w:t>
      </w:r>
      <w:r w:rsidRPr="00ED6612">
        <w:rPr>
          <w:rFonts w:ascii="Arial" w:hAnsi="Arial" w:cs="Arial"/>
          <w:color w:val="4F81BD" w:themeColor="accent1"/>
          <w:sz w:val="20"/>
          <w:szCs w:val="24"/>
          <w:vertAlign w:val="subscript"/>
        </w:rPr>
        <w:t>2</w:t>
      </w:r>
      <w:r w:rsidRPr="00ED6612">
        <w:rPr>
          <w:rFonts w:ascii="Arial" w:hAnsi="Arial" w:cs="Arial"/>
          <w:color w:val="4F81BD" w:themeColor="accent1"/>
          <w:sz w:val="20"/>
          <w:szCs w:val="24"/>
        </w:rPr>
        <w:t xml:space="preserve"> displaced x Price per TM CO</w:t>
      </w:r>
      <w:r w:rsidRPr="00ED6612">
        <w:rPr>
          <w:rFonts w:ascii="Arial" w:hAnsi="Arial" w:cs="Arial"/>
          <w:color w:val="4F81BD" w:themeColor="accent1"/>
          <w:sz w:val="20"/>
          <w:szCs w:val="24"/>
          <w:vertAlign w:val="subscript"/>
        </w:rPr>
        <w:t>2</w:t>
      </w:r>
      <w:r w:rsidR="00DB7504" w:rsidRPr="00ED6612">
        <w:rPr>
          <w:rFonts w:ascii="Arial" w:hAnsi="Arial" w:cs="Arial"/>
          <w:color w:val="4F81BD" w:themeColor="accent1"/>
          <w:sz w:val="20"/>
          <w:szCs w:val="24"/>
        </w:rPr>
        <w:t xml:space="preserve"> (US$</w:t>
      </w:r>
      <w:r w:rsidRPr="00ED6612">
        <w:rPr>
          <w:rFonts w:ascii="Arial" w:hAnsi="Arial" w:cs="Arial"/>
          <w:color w:val="4F81BD" w:themeColor="accent1"/>
          <w:sz w:val="20"/>
          <w:szCs w:val="24"/>
        </w:rPr>
        <w:t>)</w:t>
      </w:r>
      <w:r w:rsidRPr="00ED6612">
        <w:rPr>
          <w:rFonts w:ascii="Arial" w:hAnsi="Arial" w:cs="Arial"/>
          <w:color w:val="4F81BD" w:themeColor="accent1"/>
          <w:sz w:val="20"/>
          <w:szCs w:val="24"/>
        </w:rPr>
        <w:tab/>
      </w:r>
    </w:p>
    <w:p w14:paraId="456044E9" w14:textId="77777777" w:rsidR="008F447C" w:rsidRPr="00ED6612" w:rsidRDefault="008F447C" w:rsidP="008E3817">
      <w:pPr>
        <w:pStyle w:val="Paragraph"/>
        <w:pBdr>
          <w:top w:val="single" w:sz="4" w:space="1" w:color="4F81BD" w:themeColor="accent1"/>
          <w:left w:val="single" w:sz="4" w:space="4" w:color="4F81BD" w:themeColor="accent1"/>
          <w:bottom w:val="single" w:sz="4" w:space="1" w:color="4F81BD" w:themeColor="accent1"/>
          <w:right w:val="single" w:sz="4" w:space="4" w:color="4F81BD" w:themeColor="accent1"/>
        </w:pBdr>
        <w:tabs>
          <w:tab w:val="clear" w:pos="720"/>
          <w:tab w:val="num" w:pos="1800"/>
        </w:tabs>
        <w:spacing w:afterLines="80" w:after="192"/>
        <w:ind w:firstLine="0"/>
        <w:rPr>
          <w:rFonts w:ascii="Arial" w:hAnsi="Arial" w:cs="Arial"/>
          <w:color w:val="4F81BD" w:themeColor="accent1"/>
          <w:sz w:val="20"/>
          <w:szCs w:val="24"/>
        </w:rPr>
      </w:pPr>
      <w:r w:rsidRPr="00ED6612">
        <w:rPr>
          <w:rFonts w:ascii="Arial" w:hAnsi="Arial" w:cs="Arial"/>
          <w:color w:val="4F81BD" w:themeColor="accent1"/>
          <w:sz w:val="20"/>
          <w:szCs w:val="24"/>
        </w:rPr>
        <w:t>CO</w:t>
      </w:r>
      <w:r w:rsidRPr="00ED6612">
        <w:rPr>
          <w:rFonts w:ascii="Arial" w:hAnsi="Arial" w:cs="Arial"/>
          <w:color w:val="4F81BD" w:themeColor="accent1"/>
          <w:sz w:val="20"/>
          <w:szCs w:val="24"/>
          <w:vertAlign w:val="subscript"/>
        </w:rPr>
        <w:t>2</w:t>
      </w:r>
      <w:r w:rsidRPr="00ED6612">
        <w:rPr>
          <w:rFonts w:ascii="Arial" w:hAnsi="Arial" w:cs="Arial"/>
          <w:color w:val="4F81BD" w:themeColor="accent1"/>
          <w:sz w:val="20"/>
          <w:szCs w:val="24"/>
        </w:rPr>
        <w:t xml:space="preserve"> displaced = Conversion factor x Energy saved</w:t>
      </w:r>
    </w:p>
    <w:p w14:paraId="456044EA" w14:textId="77777777" w:rsidR="00DD078D" w:rsidRPr="00ED6612" w:rsidRDefault="004F5DCB" w:rsidP="008E3817">
      <w:pPr>
        <w:pStyle w:val="Chapter"/>
        <w:numPr>
          <w:ilvl w:val="0"/>
          <w:numId w:val="4"/>
        </w:numPr>
        <w:tabs>
          <w:tab w:val="clear" w:pos="1440"/>
          <w:tab w:val="clear" w:pos="1800"/>
          <w:tab w:val="left" w:pos="360"/>
        </w:tabs>
        <w:spacing w:before="360"/>
        <w:ind w:left="0" w:firstLine="0"/>
        <w:rPr>
          <w:rFonts w:ascii="Arial" w:hAnsi="Arial" w:cs="Arial"/>
        </w:rPr>
      </w:pPr>
      <w:bookmarkStart w:id="33" w:name="_Toc503527896"/>
      <w:bookmarkEnd w:id="13"/>
      <w:r w:rsidRPr="00ED6612">
        <w:rPr>
          <w:rFonts w:ascii="Arial" w:hAnsi="Arial" w:cs="Arial"/>
        </w:rPr>
        <w:t>Other Considerations</w:t>
      </w:r>
      <w:bookmarkEnd w:id="33"/>
    </w:p>
    <w:p w14:paraId="456044EB" w14:textId="77777777" w:rsidR="00725864" w:rsidRPr="00ED6612" w:rsidRDefault="006960BA" w:rsidP="008E3817">
      <w:pPr>
        <w:pStyle w:val="Paragraph"/>
        <w:numPr>
          <w:ilvl w:val="1"/>
          <w:numId w:val="4"/>
        </w:numPr>
        <w:tabs>
          <w:tab w:val="num" w:pos="720"/>
        </w:tabs>
        <w:spacing w:afterLines="80" w:after="192"/>
        <w:ind w:left="720" w:hanging="720"/>
        <w:rPr>
          <w:rFonts w:ascii="Arial" w:hAnsi="Arial" w:cs="Arial"/>
          <w:sz w:val="22"/>
        </w:rPr>
      </w:pPr>
      <w:bookmarkStart w:id="34" w:name="_Ref387160323"/>
      <w:r w:rsidRPr="00ED6612">
        <w:rPr>
          <w:rFonts w:ascii="Arial" w:hAnsi="Arial" w:cs="Arial"/>
          <w:sz w:val="22"/>
        </w:rPr>
        <w:t>It is assumed that</w:t>
      </w:r>
      <w:r w:rsidR="009E6A77" w:rsidRPr="00ED6612">
        <w:rPr>
          <w:rFonts w:ascii="Arial" w:hAnsi="Arial" w:cs="Arial"/>
          <w:sz w:val="22"/>
        </w:rPr>
        <w:t xml:space="preserve"> after the very </w:t>
      </w:r>
      <w:r w:rsidR="00ED797D" w:rsidRPr="00ED6612">
        <w:rPr>
          <w:rFonts w:ascii="Arial" w:hAnsi="Arial" w:cs="Arial"/>
          <w:sz w:val="22"/>
        </w:rPr>
        <w:t xml:space="preserve">recession context, </w:t>
      </w:r>
      <w:r w:rsidRPr="00ED6612">
        <w:rPr>
          <w:rFonts w:ascii="Arial" w:hAnsi="Arial" w:cs="Arial"/>
          <w:sz w:val="22"/>
        </w:rPr>
        <w:t xml:space="preserve">the </w:t>
      </w:r>
      <w:r w:rsidR="009E6A77" w:rsidRPr="00ED6612">
        <w:rPr>
          <w:rFonts w:ascii="Arial" w:hAnsi="Arial" w:cs="Arial"/>
          <w:sz w:val="22"/>
        </w:rPr>
        <w:t xml:space="preserve">positive growth trends achieved by the </w:t>
      </w:r>
      <w:r w:rsidRPr="00ED6612">
        <w:rPr>
          <w:rFonts w:ascii="Arial" w:hAnsi="Arial" w:cs="Arial"/>
          <w:sz w:val="22"/>
        </w:rPr>
        <w:t xml:space="preserve">country </w:t>
      </w:r>
      <w:r w:rsidR="009E6A77" w:rsidRPr="00ED6612">
        <w:rPr>
          <w:rFonts w:ascii="Arial" w:hAnsi="Arial" w:cs="Arial"/>
          <w:sz w:val="22"/>
        </w:rPr>
        <w:t xml:space="preserve">in the past year </w:t>
      </w:r>
      <w:r w:rsidRPr="00ED6612">
        <w:rPr>
          <w:rFonts w:ascii="Arial" w:hAnsi="Arial" w:cs="Arial"/>
          <w:sz w:val="22"/>
        </w:rPr>
        <w:t xml:space="preserve">will </w:t>
      </w:r>
      <w:r w:rsidR="009E6A77" w:rsidRPr="00ED6612">
        <w:rPr>
          <w:rFonts w:ascii="Arial" w:hAnsi="Arial" w:cs="Arial"/>
          <w:sz w:val="22"/>
        </w:rPr>
        <w:t xml:space="preserve">remain </w:t>
      </w:r>
      <w:r w:rsidRPr="00ED6612">
        <w:rPr>
          <w:rFonts w:ascii="Arial" w:hAnsi="Arial" w:cs="Arial"/>
          <w:sz w:val="22"/>
        </w:rPr>
        <w:t xml:space="preserve">stable and conditions conducive to </w:t>
      </w:r>
      <w:r w:rsidR="00ED797D" w:rsidRPr="00ED6612">
        <w:rPr>
          <w:rFonts w:ascii="Arial" w:hAnsi="Arial" w:cs="Arial"/>
          <w:sz w:val="22"/>
        </w:rPr>
        <w:t xml:space="preserve">sustaining </w:t>
      </w:r>
      <w:r w:rsidRPr="00ED6612">
        <w:rPr>
          <w:rFonts w:ascii="Arial" w:hAnsi="Arial" w:cs="Arial"/>
          <w:sz w:val="22"/>
        </w:rPr>
        <w:t xml:space="preserve">investment </w:t>
      </w:r>
      <w:r w:rsidR="009E6A77" w:rsidRPr="00ED6612">
        <w:rPr>
          <w:rFonts w:ascii="Arial" w:hAnsi="Arial" w:cs="Arial"/>
          <w:sz w:val="22"/>
        </w:rPr>
        <w:t xml:space="preserve">will continue </w:t>
      </w:r>
      <w:r w:rsidR="00ED797D" w:rsidRPr="00ED6612">
        <w:rPr>
          <w:rFonts w:ascii="Arial" w:hAnsi="Arial" w:cs="Arial"/>
          <w:sz w:val="22"/>
        </w:rPr>
        <w:t xml:space="preserve">to </w:t>
      </w:r>
      <w:r w:rsidR="009E6A77" w:rsidRPr="00ED6612">
        <w:rPr>
          <w:rFonts w:ascii="Arial" w:hAnsi="Arial" w:cs="Arial"/>
          <w:sz w:val="22"/>
        </w:rPr>
        <w:t xml:space="preserve">be </w:t>
      </w:r>
      <w:r w:rsidR="00ED797D" w:rsidRPr="00ED6612">
        <w:rPr>
          <w:rFonts w:ascii="Arial" w:hAnsi="Arial" w:cs="Arial"/>
          <w:sz w:val="22"/>
        </w:rPr>
        <w:t>suppor</w:t>
      </w:r>
      <w:r w:rsidR="009E6A77" w:rsidRPr="00ED6612">
        <w:rPr>
          <w:rFonts w:ascii="Arial" w:hAnsi="Arial" w:cs="Arial"/>
          <w:sz w:val="22"/>
        </w:rPr>
        <w:t>ted in the medium to long term</w:t>
      </w:r>
      <w:r w:rsidRPr="00ED6612">
        <w:rPr>
          <w:rFonts w:ascii="Arial" w:hAnsi="Arial" w:cs="Arial"/>
          <w:sz w:val="22"/>
        </w:rPr>
        <w:t>.</w:t>
      </w:r>
    </w:p>
    <w:p w14:paraId="456044EC" w14:textId="5591EB59" w:rsidR="006960BA" w:rsidRPr="00ED6612" w:rsidRDefault="00CC2F2E" w:rsidP="008E3817">
      <w:pPr>
        <w:pStyle w:val="Paragraph"/>
        <w:numPr>
          <w:ilvl w:val="1"/>
          <w:numId w:val="4"/>
        </w:numPr>
        <w:tabs>
          <w:tab w:val="num" w:pos="720"/>
        </w:tabs>
        <w:spacing w:afterLines="80" w:after="192"/>
        <w:ind w:left="720" w:hanging="720"/>
        <w:rPr>
          <w:rFonts w:ascii="Arial" w:hAnsi="Arial" w:cs="Arial"/>
          <w:sz w:val="22"/>
        </w:rPr>
      </w:pPr>
      <w:r w:rsidRPr="00ED6612">
        <w:rPr>
          <w:rFonts w:ascii="Arial" w:hAnsi="Arial" w:cs="Arial"/>
          <w:sz w:val="22"/>
        </w:rPr>
        <w:t xml:space="preserve">The </w:t>
      </w:r>
      <w:r w:rsidR="00D11E5F">
        <w:rPr>
          <w:rFonts w:ascii="Arial" w:hAnsi="Arial" w:cs="Arial"/>
          <w:sz w:val="22"/>
        </w:rPr>
        <w:t>project</w:t>
      </w:r>
      <w:r w:rsidRPr="00ED6612">
        <w:rPr>
          <w:rFonts w:ascii="Arial" w:hAnsi="Arial" w:cs="Arial"/>
          <w:sz w:val="22"/>
        </w:rPr>
        <w:t xml:space="preserve"> is not expected to generate a crowding out effect, since it is assumed that the current demand for financing exceeds supply and the intervention of BICE responds to the need to fill this financing gap</w:t>
      </w:r>
      <w:r w:rsidR="00ED797D" w:rsidRPr="00ED6612">
        <w:rPr>
          <w:rFonts w:ascii="Arial" w:hAnsi="Arial" w:cs="Arial"/>
          <w:sz w:val="22"/>
        </w:rPr>
        <w:t>.</w:t>
      </w:r>
      <w:r w:rsidR="00510A79" w:rsidRPr="00ED6612">
        <w:rPr>
          <w:rFonts w:ascii="Arial" w:hAnsi="Arial" w:cs="Arial"/>
          <w:sz w:val="22"/>
        </w:rPr>
        <w:t xml:space="preserve"> Likewise,</w:t>
      </w:r>
      <w:r w:rsidRPr="00ED6612">
        <w:rPr>
          <w:rFonts w:ascii="Arial" w:hAnsi="Arial" w:cs="Arial"/>
          <w:sz w:val="22"/>
        </w:rPr>
        <w:t xml:space="preserve"> specifically related to the RE projects to be financed and due to their relatively small size,</w:t>
      </w:r>
      <w:r w:rsidR="00510A79" w:rsidRPr="00ED6612">
        <w:rPr>
          <w:rFonts w:ascii="Arial" w:hAnsi="Arial" w:cs="Arial"/>
          <w:sz w:val="22"/>
        </w:rPr>
        <w:t xml:space="preserve"> it is considered that the</w:t>
      </w:r>
      <w:r w:rsidRPr="00ED6612">
        <w:rPr>
          <w:rFonts w:ascii="Arial" w:hAnsi="Arial" w:cs="Arial"/>
          <w:sz w:val="22"/>
        </w:rPr>
        <w:t>se</w:t>
      </w:r>
      <w:r w:rsidR="00510A79" w:rsidRPr="00ED6612">
        <w:rPr>
          <w:rFonts w:ascii="Arial" w:hAnsi="Arial" w:cs="Arial"/>
          <w:sz w:val="22"/>
        </w:rPr>
        <w:t xml:space="preserve"> will not have a considerable effect on </w:t>
      </w:r>
      <w:r w:rsidR="00807924" w:rsidRPr="00ED6612">
        <w:rPr>
          <w:rFonts w:ascii="Arial" w:hAnsi="Arial" w:cs="Arial"/>
          <w:sz w:val="22"/>
        </w:rPr>
        <w:t>the marginal generation cost</w:t>
      </w:r>
      <w:r w:rsidRPr="00ED6612">
        <w:rPr>
          <w:rFonts w:ascii="Arial" w:hAnsi="Arial" w:cs="Arial"/>
          <w:sz w:val="22"/>
        </w:rPr>
        <w:t xml:space="preserve"> of electricity</w:t>
      </w:r>
      <w:r w:rsidR="00807924" w:rsidRPr="00ED6612">
        <w:rPr>
          <w:rFonts w:ascii="Arial" w:hAnsi="Arial" w:cs="Arial"/>
          <w:sz w:val="22"/>
        </w:rPr>
        <w:t xml:space="preserve">, </w:t>
      </w:r>
      <w:r w:rsidR="00510A79" w:rsidRPr="00ED6612">
        <w:rPr>
          <w:rFonts w:ascii="Arial" w:hAnsi="Arial" w:cs="Arial"/>
          <w:sz w:val="22"/>
        </w:rPr>
        <w:t xml:space="preserve">spot market prices, and on the grid emission’s factor.  </w:t>
      </w:r>
    </w:p>
    <w:p w14:paraId="456044ED" w14:textId="5ABA498E" w:rsidR="00D65516" w:rsidRPr="00ED6612" w:rsidRDefault="00D65516" w:rsidP="008E3817">
      <w:pPr>
        <w:pStyle w:val="Paragraph"/>
        <w:numPr>
          <w:ilvl w:val="1"/>
          <w:numId w:val="4"/>
        </w:numPr>
        <w:tabs>
          <w:tab w:val="num" w:pos="720"/>
        </w:tabs>
        <w:spacing w:afterLines="80" w:after="192"/>
        <w:ind w:left="720" w:hanging="720"/>
        <w:rPr>
          <w:rFonts w:ascii="Arial" w:hAnsi="Arial" w:cs="Arial"/>
          <w:sz w:val="22"/>
        </w:rPr>
      </w:pPr>
      <w:bookmarkStart w:id="35" w:name="_Ref460256498"/>
      <w:bookmarkStart w:id="36" w:name="_Ref506829431"/>
      <w:bookmarkStart w:id="37" w:name="_Ref459814494"/>
      <w:bookmarkEnd w:id="34"/>
      <w:r w:rsidRPr="00ED6612">
        <w:rPr>
          <w:rFonts w:ascii="Arial" w:hAnsi="Arial" w:cs="Arial"/>
          <w:sz w:val="22"/>
        </w:rPr>
        <w:t xml:space="preserve">The financing of RE </w:t>
      </w:r>
      <w:r w:rsidR="00CC2F2E" w:rsidRPr="00ED6612">
        <w:rPr>
          <w:rFonts w:ascii="Arial" w:hAnsi="Arial" w:cs="Arial"/>
          <w:sz w:val="22"/>
        </w:rPr>
        <w:t>projects</w:t>
      </w:r>
      <w:r w:rsidRPr="00ED6612">
        <w:rPr>
          <w:rFonts w:ascii="Arial" w:hAnsi="Arial" w:cs="Arial"/>
          <w:sz w:val="22"/>
        </w:rPr>
        <w:t xml:space="preserve"> is typically based on the existence of long term contracts with </w:t>
      </w:r>
      <w:r w:rsidR="00C25972" w:rsidRPr="00ED6612">
        <w:rPr>
          <w:rFonts w:ascii="Arial" w:hAnsi="Arial" w:cs="Arial"/>
          <w:sz w:val="22"/>
        </w:rPr>
        <w:t>Argentina’s</w:t>
      </w:r>
      <w:r w:rsidRPr="00ED6612">
        <w:rPr>
          <w:rFonts w:ascii="Arial" w:hAnsi="Arial" w:cs="Arial"/>
          <w:sz w:val="22"/>
        </w:rPr>
        <w:t xml:space="preserve"> </w:t>
      </w:r>
      <w:r w:rsidR="00C25972" w:rsidRPr="00ED6612">
        <w:rPr>
          <w:rFonts w:ascii="Arial" w:hAnsi="Arial" w:cs="Arial"/>
          <w:i/>
          <w:sz w:val="22"/>
        </w:rPr>
        <w:t xml:space="preserve">Compañía Administradora del Mercado Mayorista Eléctrico </w:t>
      </w:r>
      <w:r w:rsidR="00C25972" w:rsidRPr="00ED6612">
        <w:rPr>
          <w:rFonts w:ascii="Arial" w:hAnsi="Arial" w:cs="Arial"/>
          <w:sz w:val="22"/>
        </w:rPr>
        <w:t>(CAMMESA)</w:t>
      </w:r>
      <w:r w:rsidRPr="00ED6612">
        <w:rPr>
          <w:rFonts w:ascii="Arial" w:hAnsi="Arial" w:cs="Arial"/>
          <w:sz w:val="22"/>
        </w:rPr>
        <w:t>, awarded via a formal bidding process based on price</w:t>
      </w:r>
      <w:r w:rsidR="00B944EE" w:rsidRPr="00ED6612">
        <w:rPr>
          <w:rFonts w:ascii="Arial" w:hAnsi="Arial" w:cs="Arial"/>
          <w:sz w:val="22"/>
        </w:rPr>
        <w:t xml:space="preserve"> (see</w:t>
      </w:r>
      <w:r w:rsidR="00FA2A64" w:rsidRPr="00ED6612">
        <w:rPr>
          <w:rFonts w:ascii="Arial" w:hAnsi="Arial" w:cs="Arial"/>
          <w:sz w:val="22"/>
        </w:rPr>
        <w:t> </w:t>
      </w:r>
      <w:r w:rsidR="00B944EE" w:rsidRPr="00ED6612">
        <w:rPr>
          <w:rFonts w:ascii="Arial" w:hAnsi="Arial" w:cs="Arial"/>
          <w:sz w:val="22"/>
        </w:rPr>
        <w:t>Table 3.1)</w:t>
      </w:r>
      <w:r w:rsidRPr="00ED6612">
        <w:rPr>
          <w:rFonts w:ascii="Arial" w:hAnsi="Arial" w:cs="Arial"/>
          <w:sz w:val="22"/>
        </w:rPr>
        <w:t xml:space="preserve">, which allows for a stable framework within which private developers can analyze the </w:t>
      </w:r>
      <w:r w:rsidR="00510A79" w:rsidRPr="00ED6612">
        <w:rPr>
          <w:rFonts w:ascii="Arial" w:hAnsi="Arial" w:cs="Arial"/>
          <w:sz w:val="22"/>
        </w:rPr>
        <w:t xml:space="preserve">financial </w:t>
      </w:r>
      <w:r w:rsidRPr="00ED6612">
        <w:rPr>
          <w:rFonts w:ascii="Arial" w:hAnsi="Arial" w:cs="Arial"/>
          <w:sz w:val="22"/>
        </w:rPr>
        <w:t xml:space="preserve">viability of specific projects. Hence, voluntary participation of the private sector under market conditions and at </w:t>
      </w:r>
      <w:r w:rsidR="00510A79" w:rsidRPr="00ED6612">
        <w:rPr>
          <w:rFonts w:ascii="Arial" w:hAnsi="Arial" w:cs="Arial"/>
          <w:sz w:val="22"/>
        </w:rPr>
        <w:t xml:space="preserve">a </w:t>
      </w:r>
      <w:r w:rsidRPr="00ED6612">
        <w:rPr>
          <w:rFonts w:ascii="Arial" w:hAnsi="Arial" w:cs="Arial"/>
          <w:sz w:val="22"/>
        </w:rPr>
        <w:t xml:space="preserve">bidding price is indicative that the expected value of these projects will result in net </w:t>
      </w:r>
      <w:r w:rsidR="00510A79" w:rsidRPr="00ED6612">
        <w:rPr>
          <w:rFonts w:ascii="Arial" w:hAnsi="Arial" w:cs="Arial"/>
          <w:sz w:val="22"/>
        </w:rPr>
        <w:t xml:space="preserve">financial </w:t>
      </w:r>
      <w:r w:rsidRPr="00ED6612">
        <w:rPr>
          <w:rFonts w:ascii="Arial" w:hAnsi="Arial" w:cs="Arial"/>
          <w:sz w:val="22"/>
        </w:rPr>
        <w:t xml:space="preserve">profits (i.e. </w:t>
      </w:r>
      <w:r w:rsidR="00510A79" w:rsidRPr="00ED6612">
        <w:rPr>
          <w:rFonts w:ascii="Arial" w:hAnsi="Arial" w:cs="Arial"/>
          <w:sz w:val="22"/>
        </w:rPr>
        <w:t xml:space="preserve">financial </w:t>
      </w:r>
      <w:r w:rsidRPr="00ED6612">
        <w:rPr>
          <w:rFonts w:ascii="Arial" w:hAnsi="Arial" w:cs="Arial"/>
          <w:sz w:val="22"/>
        </w:rPr>
        <w:t xml:space="preserve">costs are lower than </w:t>
      </w:r>
      <w:r w:rsidR="00510A79" w:rsidRPr="00ED6612">
        <w:rPr>
          <w:rFonts w:ascii="Arial" w:hAnsi="Arial" w:cs="Arial"/>
          <w:sz w:val="22"/>
        </w:rPr>
        <w:t xml:space="preserve">financial </w:t>
      </w:r>
      <w:r w:rsidRPr="00ED6612">
        <w:rPr>
          <w:rFonts w:ascii="Arial" w:hAnsi="Arial" w:cs="Arial"/>
          <w:sz w:val="22"/>
        </w:rPr>
        <w:t xml:space="preserve">benefits from a private perspective). In this sense, </w:t>
      </w:r>
      <w:r w:rsidR="00510A79" w:rsidRPr="00ED6612">
        <w:rPr>
          <w:rFonts w:ascii="Arial" w:hAnsi="Arial" w:cs="Arial"/>
          <w:sz w:val="22"/>
        </w:rPr>
        <w:t xml:space="preserve">the financial viability of </w:t>
      </w:r>
      <w:r w:rsidR="00CC2F2E" w:rsidRPr="00ED6612">
        <w:rPr>
          <w:rFonts w:ascii="Arial" w:hAnsi="Arial" w:cs="Arial"/>
          <w:sz w:val="22"/>
        </w:rPr>
        <w:t xml:space="preserve">RE projects under </w:t>
      </w:r>
      <w:r w:rsidR="00510A79" w:rsidRPr="00ED6612">
        <w:rPr>
          <w:rFonts w:ascii="Arial" w:hAnsi="Arial" w:cs="Arial"/>
          <w:sz w:val="22"/>
        </w:rPr>
        <w:t xml:space="preserve">the </w:t>
      </w:r>
      <w:r w:rsidR="00D11E5F">
        <w:rPr>
          <w:rFonts w:ascii="Arial" w:hAnsi="Arial" w:cs="Arial"/>
          <w:sz w:val="22"/>
        </w:rPr>
        <w:t>project</w:t>
      </w:r>
      <w:r w:rsidR="00510A79" w:rsidRPr="00ED6612">
        <w:rPr>
          <w:rFonts w:ascii="Arial" w:hAnsi="Arial" w:cs="Arial"/>
          <w:sz w:val="22"/>
        </w:rPr>
        <w:t xml:space="preserve"> is guaranteed</w:t>
      </w:r>
      <w:r w:rsidRPr="00ED6612">
        <w:rPr>
          <w:rFonts w:ascii="Arial" w:hAnsi="Arial" w:cs="Arial"/>
          <w:sz w:val="22"/>
        </w:rPr>
        <w:t>.</w:t>
      </w:r>
      <w:bookmarkEnd w:id="35"/>
      <w:r w:rsidR="00CC2F2E" w:rsidRPr="00ED6612">
        <w:rPr>
          <w:rFonts w:ascii="Arial" w:hAnsi="Arial" w:cs="Arial"/>
          <w:sz w:val="22"/>
        </w:rPr>
        <w:t xml:space="preserve"> With regards to EE projects, </w:t>
      </w:r>
      <w:r w:rsidR="00B944EE" w:rsidRPr="00ED6612">
        <w:rPr>
          <w:rFonts w:ascii="Arial" w:hAnsi="Arial" w:cs="Arial"/>
          <w:sz w:val="22"/>
        </w:rPr>
        <w:t>the market study identified a market size of over 70,000 SME and analyzed energy-intensive sub sectors with a potential for developing eligible projects for at least US$60 million investment. T</w:t>
      </w:r>
      <w:r w:rsidR="00CC2F2E" w:rsidRPr="00ED6612">
        <w:rPr>
          <w:rFonts w:ascii="Arial" w:hAnsi="Arial" w:cs="Arial"/>
          <w:sz w:val="22"/>
        </w:rPr>
        <w:t>he introduction of the various mechanisms complementing the financing, via the activities supported by the TC AR-</w:t>
      </w:r>
      <w:r w:rsidR="00C72359" w:rsidRPr="00ED6612">
        <w:rPr>
          <w:rFonts w:ascii="Arial" w:hAnsi="Arial" w:cs="Arial"/>
          <w:sz w:val="22"/>
        </w:rPr>
        <w:t>T1213</w:t>
      </w:r>
      <w:r w:rsidR="00CC2F2E" w:rsidRPr="00ED6612">
        <w:rPr>
          <w:rFonts w:ascii="Arial" w:hAnsi="Arial" w:cs="Arial"/>
          <w:sz w:val="22"/>
        </w:rPr>
        <w:t xml:space="preserve">, are assumed to </w:t>
      </w:r>
      <w:r w:rsidR="00B944EE" w:rsidRPr="00ED6612">
        <w:rPr>
          <w:rFonts w:ascii="Arial" w:hAnsi="Arial" w:cs="Arial"/>
          <w:sz w:val="22"/>
        </w:rPr>
        <w:t xml:space="preserve">stimulate this demand and to </w:t>
      </w:r>
      <w:r w:rsidR="00CC2F2E" w:rsidRPr="00ED6612">
        <w:rPr>
          <w:rFonts w:ascii="Arial" w:hAnsi="Arial" w:cs="Arial"/>
          <w:sz w:val="22"/>
        </w:rPr>
        <w:t xml:space="preserve">fully cover the risks associated to </w:t>
      </w:r>
      <w:r w:rsidR="00141E0C" w:rsidRPr="00ED6612">
        <w:rPr>
          <w:rFonts w:ascii="Arial" w:hAnsi="Arial" w:cs="Arial"/>
          <w:sz w:val="22"/>
        </w:rPr>
        <w:t xml:space="preserve">the achievement of </w:t>
      </w:r>
      <w:r w:rsidR="00CC2F2E" w:rsidRPr="00ED6612">
        <w:rPr>
          <w:rFonts w:ascii="Arial" w:hAnsi="Arial" w:cs="Arial"/>
          <w:sz w:val="22"/>
        </w:rPr>
        <w:t xml:space="preserve">energy savings needed to generate returns as </w:t>
      </w:r>
      <w:r w:rsidR="00141E0C" w:rsidRPr="00ED6612">
        <w:rPr>
          <w:rFonts w:ascii="Arial" w:hAnsi="Arial" w:cs="Arial"/>
          <w:sz w:val="22"/>
        </w:rPr>
        <w:t>planned.</w:t>
      </w:r>
      <w:bookmarkEnd w:id="36"/>
    </w:p>
    <w:p w14:paraId="456044EE" w14:textId="77777777" w:rsidR="00A43383" w:rsidRPr="00ED6612" w:rsidRDefault="00A43383" w:rsidP="008E3817">
      <w:pPr>
        <w:pStyle w:val="Paragraph"/>
        <w:tabs>
          <w:tab w:val="clear" w:pos="720"/>
          <w:tab w:val="num" w:pos="1800"/>
        </w:tabs>
        <w:spacing w:afterLines="80" w:after="192"/>
        <w:ind w:firstLine="0"/>
        <w:rPr>
          <w:rFonts w:ascii="Arial" w:hAnsi="Arial" w:cs="Arial"/>
          <w:sz w:val="22"/>
        </w:rPr>
      </w:pPr>
    </w:p>
    <w:p w14:paraId="456044EF" w14:textId="77777777" w:rsidR="00A43383" w:rsidRPr="00ED6612" w:rsidRDefault="00A43383" w:rsidP="008E3817">
      <w:pPr>
        <w:pStyle w:val="Paragraph"/>
        <w:tabs>
          <w:tab w:val="clear" w:pos="720"/>
          <w:tab w:val="num" w:pos="1800"/>
        </w:tabs>
        <w:spacing w:afterLines="80" w:after="192"/>
        <w:ind w:firstLine="0"/>
        <w:rPr>
          <w:rFonts w:ascii="Arial" w:hAnsi="Arial" w:cs="Arial"/>
          <w:sz w:val="22"/>
        </w:rPr>
      </w:pPr>
    </w:p>
    <w:p w14:paraId="456044F0" w14:textId="77777777" w:rsidR="00A43383" w:rsidRPr="00ED6612" w:rsidRDefault="00A43383" w:rsidP="008E3817">
      <w:pPr>
        <w:pStyle w:val="Paragraph"/>
        <w:tabs>
          <w:tab w:val="clear" w:pos="720"/>
          <w:tab w:val="num" w:pos="1800"/>
        </w:tabs>
        <w:spacing w:afterLines="80" w:after="192"/>
        <w:ind w:firstLine="0"/>
        <w:rPr>
          <w:rFonts w:ascii="Arial" w:hAnsi="Arial" w:cs="Arial"/>
          <w:sz w:val="22"/>
        </w:rPr>
      </w:pPr>
    </w:p>
    <w:p w14:paraId="456044F1" w14:textId="77777777" w:rsidR="00B944EE" w:rsidRPr="00ED6612" w:rsidRDefault="00B944EE" w:rsidP="00871AF4">
      <w:pPr>
        <w:pStyle w:val="Paragraph"/>
        <w:tabs>
          <w:tab w:val="clear" w:pos="720"/>
          <w:tab w:val="num" w:pos="1800"/>
        </w:tabs>
        <w:spacing w:after="0"/>
        <w:ind w:firstLine="0"/>
        <w:rPr>
          <w:rFonts w:ascii="Arial" w:hAnsi="Arial" w:cs="Arial"/>
          <w:b/>
          <w:sz w:val="20"/>
        </w:rPr>
      </w:pPr>
      <w:r w:rsidRPr="00ED6612">
        <w:rPr>
          <w:rFonts w:ascii="Arial" w:hAnsi="Arial" w:cs="Arial"/>
          <w:b/>
          <w:sz w:val="20"/>
        </w:rPr>
        <w:lastRenderedPageBreak/>
        <w:t xml:space="preserve">Table 3.1.- Current status of </w:t>
      </w:r>
      <w:r w:rsidRPr="00ED6612">
        <w:rPr>
          <w:rFonts w:ascii="Arial" w:hAnsi="Arial" w:cs="Arial"/>
          <w:b/>
          <w:i/>
          <w:sz w:val="20"/>
        </w:rPr>
        <w:t>Renov</w:t>
      </w:r>
      <w:r w:rsidR="00C049C1" w:rsidRPr="00ED6612">
        <w:rPr>
          <w:rFonts w:ascii="Arial" w:hAnsi="Arial" w:cs="Arial"/>
          <w:b/>
          <w:i/>
          <w:sz w:val="20"/>
        </w:rPr>
        <w:t>a</w:t>
      </w:r>
      <w:r w:rsidRPr="00ED6612">
        <w:rPr>
          <w:rFonts w:ascii="Arial" w:hAnsi="Arial" w:cs="Arial"/>
          <w:b/>
          <w:i/>
          <w:sz w:val="20"/>
        </w:rPr>
        <w:t>r</w:t>
      </w:r>
      <w:r w:rsidRPr="00ED6612">
        <w:rPr>
          <w:rFonts w:ascii="Arial" w:hAnsi="Arial" w:cs="Arial"/>
          <w:b/>
          <w:sz w:val="20"/>
        </w:rPr>
        <w:t xml:space="preserve"> tenders and projects awarded *</w:t>
      </w:r>
    </w:p>
    <w:tbl>
      <w:tblPr>
        <w:tblStyle w:val="LightShading-Accent11"/>
        <w:tblW w:w="7920" w:type="dxa"/>
        <w:tblInd w:w="720" w:type="dxa"/>
        <w:tblLook w:val="04A0" w:firstRow="1" w:lastRow="0" w:firstColumn="1" w:lastColumn="0" w:noHBand="0" w:noVBand="1"/>
      </w:tblPr>
      <w:tblGrid>
        <w:gridCol w:w="1440"/>
        <w:gridCol w:w="1117"/>
        <w:gridCol w:w="1160"/>
        <w:gridCol w:w="1143"/>
        <w:gridCol w:w="1020"/>
        <w:gridCol w:w="1020"/>
        <w:gridCol w:w="1020"/>
      </w:tblGrid>
      <w:tr w:rsidR="00DD4306" w:rsidRPr="00ED6612" w14:paraId="456044F8" w14:textId="77777777" w:rsidTr="00DD4306">
        <w:trPr>
          <w:cnfStyle w:val="100000000000" w:firstRow="1" w:lastRow="0" w:firstColumn="0" w:lastColumn="0" w:oddVBand="0" w:evenVBand="0" w:oddHBand="0"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2557" w:type="dxa"/>
            <w:gridSpan w:val="2"/>
            <w:noWrap/>
            <w:hideMark/>
          </w:tcPr>
          <w:p w14:paraId="456044F2" w14:textId="77777777" w:rsidR="00B944EE" w:rsidRPr="00ED6612" w:rsidRDefault="00B944EE" w:rsidP="00B944EE">
            <w:pPr>
              <w:rPr>
                <w:rFonts w:ascii="Arial" w:eastAsia="Times New Roman" w:hAnsi="Arial" w:cs="Arial"/>
                <w:color w:val="000000"/>
                <w:sz w:val="18"/>
                <w:szCs w:val="18"/>
              </w:rPr>
            </w:pPr>
            <w:r w:rsidRPr="00ED6612">
              <w:rPr>
                <w:rFonts w:ascii="Arial" w:eastAsia="Times New Roman" w:hAnsi="Arial" w:cs="Arial"/>
                <w:color w:val="000000"/>
                <w:sz w:val="18"/>
                <w:szCs w:val="18"/>
              </w:rPr>
              <w:t>Number of projects</w:t>
            </w:r>
          </w:p>
        </w:tc>
        <w:tc>
          <w:tcPr>
            <w:tcW w:w="1160" w:type="dxa"/>
            <w:noWrap/>
            <w:hideMark/>
          </w:tcPr>
          <w:p w14:paraId="456044F3" w14:textId="77777777" w:rsidR="00B944EE" w:rsidRPr="00ED6612" w:rsidRDefault="00B944EE" w:rsidP="00B944EE">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p>
        </w:tc>
        <w:tc>
          <w:tcPr>
            <w:tcW w:w="1143" w:type="dxa"/>
            <w:noWrap/>
            <w:hideMark/>
          </w:tcPr>
          <w:p w14:paraId="456044F4" w14:textId="77777777" w:rsidR="00B944EE" w:rsidRPr="00ED6612" w:rsidRDefault="00B944EE" w:rsidP="00B944EE">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8"/>
                <w:szCs w:val="18"/>
              </w:rPr>
            </w:pPr>
          </w:p>
        </w:tc>
        <w:tc>
          <w:tcPr>
            <w:tcW w:w="1020" w:type="dxa"/>
            <w:noWrap/>
            <w:hideMark/>
          </w:tcPr>
          <w:p w14:paraId="456044F5" w14:textId="77777777" w:rsidR="00B944EE" w:rsidRPr="00ED6612" w:rsidRDefault="00B944EE" w:rsidP="00B944EE">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8"/>
                <w:szCs w:val="18"/>
              </w:rPr>
            </w:pPr>
          </w:p>
        </w:tc>
        <w:tc>
          <w:tcPr>
            <w:tcW w:w="1020" w:type="dxa"/>
            <w:noWrap/>
            <w:hideMark/>
          </w:tcPr>
          <w:p w14:paraId="456044F6" w14:textId="77777777" w:rsidR="00B944EE" w:rsidRPr="00ED6612" w:rsidRDefault="00B944EE" w:rsidP="00B944EE">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8"/>
                <w:szCs w:val="18"/>
              </w:rPr>
            </w:pPr>
          </w:p>
        </w:tc>
        <w:tc>
          <w:tcPr>
            <w:tcW w:w="1020" w:type="dxa"/>
            <w:noWrap/>
            <w:hideMark/>
          </w:tcPr>
          <w:p w14:paraId="456044F7" w14:textId="77777777" w:rsidR="00B944EE" w:rsidRPr="00ED6612" w:rsidRDefault="00B944EE" w:rsidP="00B944EE">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8"/>
                <w:szCs w:val="18"/>
              </w:rPr>
            </w:pPr>
          </w:p>
        </w:tc>
      </w:tr>
      <w:tr w:rsidR="00DD4306" w:rsidRPr="00ED6612" w14:paraId="45604500" w14:textId="77777777" w:rsidTr="00DD4306">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1440" w:type="dxa"/>
            <w:noWrap/>
            <w:vAlign w:val="center"/>
            <w:hideMark/>
          </w:tcPr>
          <w:p w14:paraId="456044F9" w14:textId="77777777" w:rsidR="00B944EE" w:rsidRPr="00ED6612" w:rsidRDefault="00B944EE" w:rsidP="00871AF4">
            <w:pPr>
              <w:jc w:val="center"/>
              <w:rPr>
                <w:rFonts w:ascii="Arial" w:eastAsia="Times New Roman" w:hAnsi="Arial" w:cs="Arial"/>
                <w:b w:val="0"/>
                <w:color w:val="auto"/>
                <w:sz w:val="18"/>
                <w:szCs w:val="18"/>
              </w:rPr>
            </w:pPr>
          </w:p>
        </w:tc>
        <w:tc>
          <w:tcPr>
            <w:tcW w:w="1117" w:type="dxa"/>
            <w:noWrap/>
            <w:vAlign w:val="center"/>
            <w:hideMark/>
          </w:tcPr>
          <w:p w14:paraId="456044FA" w14:textId="77777777" w:rsidR="00B944EE" w:rsidRPr="00ED6612" w:rsidRDefault="00B944EE" w:rsidP="00F15253">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Cs/>
                <w:color w:val="auto"/>
                <w:sz w:val="18"/>
                <w:szCs w:val="18"/>
              </w:rPr>
            </w:pPr>
            <w:r w:rsidRPr="00ED6612">
              <w:rPr>
                <w:rFonts w:ascii="Arial" w:eastAsia="Times New Roman" w:hAnsi="Arial" w:cs="Arial"/>
                <w:bCs/>
                <w:color w:val="auto"/>
                <w:sz w:val="18"/>
                <w:szCs w:val="18"/>
              </w:rPr>
              <w:t>Wind</w:t>
            </w:r>
          </w:p>
        </w:tc>
        <w:tc>
          <w:tcPr>
            <w:tcW w:w="1160" w:type="dxa"/>
            <w:noWrap/>
            <w:vAlign w:val="center"/>
            <w:hideMark/>
          </w:tcPr>
          <w:p w14:paraId="456044FB" w14:textId="77777777" w:rsidR="00B944EE" w:rsidRPr="00ED6612" w:rsidRDefault="00B944EE" w:rsidP="007F3E0C">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Cs/>
                <w:color w:val="auto"/>
                <w:sz w:val="18"/>
                <w:szCs w:val="18"/>
              </w:rPr>
            </w:pPr>
            <w:r w:rsidRPr="00ED6612">
              <w:rPr>
                <w:rFonts w:ascii="Arial" w:eastAsia="Times New Roman" w:hAnsi="Arial" w:cs="Arial"/>
                <w:bCs/>
                <w:color w:val="auto"/>
                <w:sz w:val="18"/>
                <w:szCs w:val="18"/>
              </w:rPr>
              <w:t>Solar</w:t>
            </w:r>
          </w:p>
        </w:tc>
        <w:tc>
          <w:tcPr>
            <w:tcW w:w="1143" w:type="dxa"/>
            <w:noWrap/>
            <w:vAlign w:val="center"/>
            <w:hideMark/>
          </w:tcPr>
          <w:p w14:paraId="456044FC" w14:textId="77777777" w:rsidR="00B944EE" w:rsidRPr="00ED6612" w:rsidRDefault="00B944EE" w:rsidP="007B43F0">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Cs/>
                <w:color w:val="auto"/>
                <w:sz w:val="18"/>
                <w:szCs w:val="18"/>
              </w:rPr>
            </w:pPr>
            <w:r w:rsidRPr="00ED6612">
              <w:rPr>
                <w:rFonts w:ascii="Arial" w:eastAsia="Times New Roman" w:hAnsi="Arial" w:cs="Arial"/>
                <w:bCs/>
                <w:color w:val="auto"/>
                <w:sz w:val="18"/>
                <w:szCs w:val="18"/>
              </w:rPr>
              <w:t>Hydro</w:t>
            </w:r>
          </w:p>
        </w:tc>
        <w:tc>
          <w:tcPr>
            <w:tcW w:w="1020" w:type="dxa"/>
            <w:noWrap/>
            <w:vAlign w:val="center"/>
            <w:hideMark/>
          </w:tcPr>
          <w:p w14:paraId="456044FD" w14:textId="77777777" w:rsidR="00B944EE" w:rsidRPr="00ED6612" w:rsidRDefault="00B944EE" w:rsidP="007B43F0">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8"/>
                <w:szCs w:val="18"/>
              </w:rPr>
            </w:pPr>
            <w:r w:rsidRPr="00ED6612">
              <w:rPr>
                <w:rFonts w:ascii="Arial" w:eastAsia="Times New Roman" w:hAnsi="Arial" w:cs="Arial"/>
                <w:b/>
                <w:bCs/>
                <w:color w:val="auto"/>
                <w:sz w:val="18"/>
                <w:szCs w:val="18"/>
              </w:rPr>
              <w:t>Biomass</w:t>
            </w:r>
          </w:p>
        </w:tc>
        <w:tc>
          <w:tcPr>
            <w:tcW w:w="1020" w:type="dxa"/>
            <w:noWrap/>
            <w:vAlign w:val="center"/>
            <w:hideMark/>
          </w:tcPr>
          <w:p w14:paraId="456044FE" w14:textId="77777777" w:rsidR="00B944EE" w:rsidRPr="00ED6612" w:rsidRDefault="00B944EE" w:rsidP="007B43F0">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8"/>
                <w:szCs w:val="18"/>
              </w:rPr>
            </w:pPr>
            <w:r w:rsidRPr="00ED6612">
              <w:rPr>
                <w:rFonts w:ascii="Arial" w:eastAsia="Times New Roman" w:hAnsi="Arial" w:cs="Arial"/>
                <w:b/>
                <w:bCs/>
                <w:color w:val="auto"/>
                <w:sz w:val="18"/>
                <w:szCs w:val="18"/>
              </w:rPr>
              <w:t>Biogas</w:t>
            </w:r>
          </w:p>
        </w:tc>
        <w:tc>
          <w:tcPr>
            <w:tcW w:w="1020" w:type="dxa"/>
            <w:noWrap/>
            <w:vAlign w:val="center"/>
            <w:hideMark/>
          </w:tcPr>
          <w:p w14:paraId="456044FF" w14:textId="77777777" w:rsidR="00B944EE" w:rsidRPr="00ED6612" w:rsidRDefault="00B944EE" w:rsidP="007B43F0">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Cs/>
                <w:color w:val="auto"/>
                <w:sz w:val="18"/>
                <w:szCs w:val="18"/>
              </w:rPr>
            </w:pPr>
            <w:r w:rsidRPr="00ED6612">
              <w:rPr>
                <w:rFonts w:ascii="Arial" w:eastAsia="Times New Roman" w:hAnsi="Arial" w:cs="Arial"/>
                <w:bCs/>
                <w:color w:val="auto"/>
                <w:sz w:val="18"/>
                <w:szCs w:val="18"/>
              </w:rPr>
              <w:t>Total</w:t>
            </w:r>
          </w:p>
        </w:tc>
      </w:tr>
      <w:tr w:rsidR="00B944EE" w:rsidRPr="00ED6612" w14:paraId="45604508" w14:textId="77777777" w:rsidTr="00871AF4">
        <w:trPr>
          <w:trHeight w:val="285"/>
        </w:trPr>
        <w:tc>
          <w:tcPr>
            <w:cnfStyle w:val="001000000000" w:firstRow="0" w:lastRow="0" w:firstColumn="1" w:lastColumn="0" w:oddVBand="0" w:evenVBand="0" w:oddHBand="0" w:evenHBand="0" w:firstRowFirstColumn="0" w:firstRowLastColumn="0" w:lastRowFirstColumn="0" w:lastRowLastColumn="0"/>
            <w:tcW w:w="1440" w:type="dxa"/>
            <w:noWrap/>
            <w:vAlign w:val="center"/>
            <w:hideMark/>
          </w:tcPr>
          <w:p w14:paraId="45604501" w14:textId="77777777" w:rsidR="00B944EE" w:rsidRPr="00ED6612" w:rsidRDefault="00B944EE" w:rsidP="00F15253">
            <w:pPr>
              <w:rPr>
                <w:rFonts w:ascii="Arial" w:eastAsia="Times New Roman" w:hAnsi="Arial" w:cs="Arial"/>
                <w:b w:val="0"/>
                <w:color w:val="000000"/>
                <w:sz w:val="18"/>
                <w:szCs w:val="18"/>
              </w:rPr>
            </w:pPr>
            <w:r w:rsidRPr="00ED6612">
              <w:rPr>
                <w:rFonts w:ascii="Arial" w:eastAsia="Times New Roman" w:hAnsi="Arial" w:cs="Arial"/>
                <w:b w:val="0"/>
                <w:color w:val="000000"/>
                <w:sz w:val="18"/>
                <w:szCs w:val="18"/>
              </w:rPr>
              <w:t>Renov 1.0</w:t>
            </w:r>
          </w:p>
        </w:tc>
        <w:tc>
          <w:tcPr>
            <w:tcW w:w="1117" w:type="dxa"/>
            <w:noWrap/>
            <w:vAlign w:val="center"/>
            <w:hideMark/>
          </w:tcPr>
          <w:p w14:paraId="45604502" w14:textId="77777777" w:rsidR="00B944EE" w:rsidRPr="00ED6612" w:rsidRDefault="00B944EE" w:rsidP="00871AF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ED6612">
              <w:rPr>
                <w:rFonts w:ascii="Arial" w:eastAsia="Times New Roman" w:hAnsi="Arial" w:cs="Arial"/>
                <w:color w:val="000000"/>
                <w:sz w:val="18"/>
                <w:szCs w:val="18"/>
              </w:rPr>
              <w:t>12</w:t>
            </w:r>
          </w:p>
        </w:tc>
        <w:tc>
          <w:tcPr>
            <w:tcW w:w="1160" w:type="dxa"/>
            <w:noWrap/>
            <w:vAlign w:val="center"/>
            <w:hideMark/>
          </w:tcPr>
          <w:p w14:paraId="45604503" w14:textId="77777777" w:rsidR="00B944EE" w:rsidRPr="00ED6612" w:rsidRDefault="00B944EE" w:rsidP="00871AF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ED6612">
              <w:rPr>
                <w:rFonts w:ascii="Arial" w:eastAsia="Times New Roman" w:hAnsi="Arial" w:cs="Arial"/>
                <w:color w:val="000000"/>
                <w:sz w:val="18"/>
                <w:szCs w:val="18"/>
              </w:rPr>
              <w:t>4</w:t>
            </w:r>
          </w:p>
        </w:tc>
        <w:tc>
          <w:tcPr>
            <w:tcW w:w="1143" w:type="dxa"/>
            <w:noWrap/>
            <w:vAlign w:val="center"/>
            <w:hideMark/>
          </w:tcPr>
          <w:p w14:paraId="45604504" w14:textId="77777777" w:rsidR="00B944EE" w:rsidRPr="00ED6612" w:rsidRDefault="00B944EE" w:rsidP="00871AF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ED6612">
              <w:rPr>
                <w:rFonts w:ascii="Arial" w:eastAsia="Times New Roman" w:hAnsi="Arial" w:cs="Arial"/>
                <w:color w:val="000000"/>
                <w:sz w:val="18"/>
                <w:szCs w:val="18"/>
              </w:rPr>
              <w:t>5</w:t>
            </w:r>
          </w:p>
        </w:tc>
        <w:tc>
          <w:tcPr>
            <w:tcW w:w="1020" w:type="dxa"/>
            <w:noWrap/>
            <w:vAlign w:val="center"/>
            <w:hideMark/>
          </w:tcPr>
          <w:p w14:paraId="45604505" w14:textId="77777777" w:rsidR="00B944EE" w:rsidRPr="00ED6612" w:rsidRDefault="00B944EE" w:rsidP="00871AF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auto"/>
                <w:sz w:val="18"/>
                <w:szCs w:val="18"/>
              </w:rPr>
            </w:pPr>
            <w:r w:rsidRPr="00ED6612">
              <w:rPr>
                <w:rFonts w:ascii="Arial" w:eastAsia="Times New Roman" w:hAnsi="Arial" w:cs="Arial"/>
                <w:b/>
                <w:color w:val="auto"/>
                <w:sz w:val="18"/>
                <w:szCs w:val="18"/>
              </w:rPr>
              <w:t>2</w:t>
            </w:r>
          </w:p>
        </w:tc>
        <w:tc>
          <w:tcPr>
            <w:tcW w:w="1020" w:type="dxa"/>
            <w:noWrap/>
            <w:vAlign w:val="center"/>
            <w:hideMark/>
          </w:tcPr>
          <w:p w14:paraId="45604506" w14:textId="77777777" w:rsidR="00B944EE" w:rsidRPr="00ED6612" w:rsidRDefault="00B944EE" w:rsidP="00871AF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auto"/>
                <w:sz w:val="18"/>
                <w:szCs w:val="18"/>
              </w:rPr>
            </w:pPr>
            <w:r w:rsidRPr="00ED6612">
              <w:rPr>
                <w:rFonts w:ascii="Arial" w:eastAsia="Times New Roman" w:hAnsi="Arial" w:cs="Arial"/>
                <w:b/>
                <w:color w:val="auto"/>
                <w:sz w:val="18"/>
                <w:szCs w:val="18"/>
              </w:rPr>
              <w:t>6</w:t>
            </w:r>
          </w:p>
        </w:tc>
        <w:tc>
          <w:tcPr>
            <w:tcW w:w="1020" w:type="dxa"/>
            <w:noWrap/>
            <w:vAlign w:val="center"/>
            <w:hideMark/>
          </w:tcPr>
          <w:p w14:paraId="45604507" w14:textId="77777777" w:rsidR="00B944EE" w:rsidRPr="00ED6612" w:rsidRDefault="00B944EE" w:rsidP="00871AF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ED6612">
              <w:rPr>
                <w:rFonts w:ascii="Arial" w:eastAsia="Times New Roman" w:hAnsi="Arial" w:cs="Arial"/>
                <w:color w:val="000000"/>
                <w:sz w:val="18"/>
                <w:szCs w:val="18"/>
              </w:rPr>
              <w:t>29</w:t>
            </w:r>
          </w:p>
        </w:tc>
      </w:tr>
      <w:tr w:rsidR="00B944EE" w:rsidRPr="00ED6612" w14:paraId="45604510" w14:textId="77777777" w:rsidTr="00871AF4">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1440" w:type="dxa"/>
            <w:noWrap/>
            <w:vAlign w:val="center"/>
            <w:hideMark/>
          </w:tcPr>
          <w:p w14:paraId="45604509" w14:textId="77777777" w:rsidR="00B944EE" w:rsidRPr="00ED6612" w:rsidRDefault="00B944EE" w:rsidP="00F15253">
            <w:pPr>
              <w:rPr>
                <w:rFonts w:ascii="Arial" w:eastAsia="Times New Roman" w:hAnsi="Arial" w:cs="Arial"/>
                <w:b w:val="0"/>
                <w:color w:val="000000"/>
                <w:sz w:val="18"/>
                <w:szCs w:val="18"/>
              </w:rPr>
            </w:pPr>
            <w:r w:rsidRPr="00ED6612">
              <w:rPr>
                <w:rFonts w:ascii="Arial" w:eastAsia="Times New Roman" w:hAnsi="Arial" w:cs="Arial"/>
                <w:b w:val="0"/>
                <w:color w:val="000000"/>
                <w:sz w:val="18"/>
                <w:szCs w:val="18"/>
              </w:rPr>
              <w:t>Renov 1.5</w:t>
            </w:r>
          </w:p>
        </w:tc>
        <w:tc>
          <w:tcPr>
            <w:tcW w:w="1117" w:type="dxa"/>
            <w:noWrap/>
            <w:vAlign w:val="center"/>
            <w:hideMark/>
          </w:tcPr>
          <w:p w14:paraId="4560450A" w14:textId="77777777" w:rsidR="00B944EE" w:rsidRPr="00ED6612" w:rsidRDefault="00B944EE" w:rsidP="00871AF4">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ED6612">
              <w:rPr>
                <w:rFonts w:ascii="Arial" w:eastAsia="Times New Roman" w:hAnsi="Arial" w:cs="Arial"/>
                <w:color w:val="000000"/>
                <w:sz w:val="18"/>
                <w:szCs w:val="18"/>
              </w:rPr>
              <w:t>10</w:t>
            </w:r>
          </w:p>
        </w:tc>
        <w:tc>
          <w:tcPr>
            <w:tcW w:w="1160" w:type="dxa"/>
            <w:noWrap/>
            <w:vAlign w:val="center"/>
            <w:hideMark/>
          </w:tcPr>
          <w:p w14:paraId="4560450B" w14:textId="77777777" w:rsidR="00B944EE" w:rsidRPr="00ED6612" w:rsidRDefault="00B944EE" w:rsidP="00871AF4">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ED6612">
              <w:rPr>
                <w:rFonts w:ascii="Arial" w:eastAsia="Times New Roman" w:hAnsi="Arial" w:cs="Arial"/>
                <w:color w:val="000000"/>
                <w:sz w:val="18"/>
                <w:szCs w:val="18"/>
              </w:rPr>
              <w:t>20</w:t>
            </w:r>
          </w:p>
        </w:tc>
        <w:tc>
          <w:tcPr>
            <w:tcW w:w="1143" w:type="dxa"/>
            <w:noWrap/>
            <w:vAlign w:val="center"/>
            <w:hideMark/>
          </w:tcPr>
          <w:p w14:paraId="4560450C" w14:textId="77777777" w:rsidR="00B944EE" w:rsidRPr="00ED6612" w:rsidRDefault="00B944EE" w:rsidP="00871AF4">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p>
        </w:tc>
        <w:tc>
          <w:tcPr>
            <w:tcW w:w="1020" w:type="dxa"/>
            <w:noWrap/>
            <w:vAlign w:val="center"/>
            <w:hideMark/>
          </w:tcPr>
          <w:p w14:paraId="4560450D" w14:textId="77777777" w:rsidR="00B944EE" w:rsidRPr="00ED6612" w:rsidRDefault="00B944EE" w:rsidP="00871AF4">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color w:val="auto"/>
                <w:sz w:val="18"/>
                <w:szCs w:val="18"/>
              </w:rPr>
            </w:pPr>
          </w:p>
        </w:tc>
        <w:tc>
          <w:tcPr>
            <w:tcW w:w="1020" w:type="dxa"/>
            <w:noWrap/>
            <w:vAlign w:val="center"/>
            <w:hideMark/>
          </w:tcPr>
          <w:p w14:paraId="4560450E" w14:textId="77777777" w:rsidR="00B944EE" w:rsidRPr="00ED6612" w:rsidRDefault="00B944EE" w:rsidP="00871AF4">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color w:val="auto"/>
                <w:sz w:val="18"/>
                <w:szCs w:val="18"/>
              </w:rPr>
            </w:pPr>
          </w:p>
        </w:tc>
        <w:tc>
          <w:tcPr>
            <w:tcW w:w="1020" w:type="dxa"/>
            <w:noWrap/>
            <w:vAlign w:val="center"/>
            <w:hideMark/>
          </w:tcPr>
          <w:p w14:paraId="4560450F" w14:textId="77777777" w:rsidR="00B944EE" w:rsidRPr="00ED6612" w:rsidRDefault="00B944EE" w:rsidP="00871AF4">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ED6612">
              <w:rPr>
                <w:rFonts w:ascii="Arial" w:eastAsia="Times New Roman" w:hAnsi="Arial" w:cs="Arial"/>
                <w:color w:val="000000"/>
                <w:sz w:val="18"/>
                <w:szCs w:val="18"/>
              </w:rPr>
              <w:t>30</w:t>
            </w:r>
          </w:p>
        </w:tc>
      </w:tr>
      <w:tr w:rsidR="00B944EE" w:rsidRPr="00ED6612" w14:paraId="45604518" w14:textId="77777777" w:rsidTr="00871AF4">
        <w:trPr>
          <w:trHeight w:val="285"/>
        </w:trPr>
        <w:tc>
          <w:tcPr>
            <w:cnfStyle w:val="001000000000" w:firstRow="0" w:lastRow="0" w:firstColumn="1" w:lastColumn="0" w:oddVBand="0" w:evenVBand="0" w:oddHBand="0" w:evenHBand="0" w:firstRowFirstColumn="0" w:firstRowLastColumn="0" w:lastRowFirstColumn="0" w:lastRowLastColumn="0"/>
            <w:tcW w:w="1440" w:type="dxa"/>
            <w:noWrap/>
            <w:vAlign w:val="center"/>
            <w:hideMark/>
          </w:tcPr>
          <w:p w14:paraId="45604511" w14:textId="77777777" w:rsidR="00B944EE" w:rsidRPr="00ED6612" w:rsidRDefault="00B944EE" w:rsidP="00F15253">
            <w:pPr>
              <w:rPr>
                <w:rFonts w:ascii="Arial" w:eastAsia="Times New Roman" w:hAnsi="Arial" w:cs="Arial"/>
                <w:b w:val="0"/>
                <w:color w:val="000000"/>
                <w:sz w:val="18"/>
                <w:szCs w:val="18"/>
              </w:rPr>
            </w:pPr>
            <w:r w:rsidRPr="00ED6612">
              <w:rPr>
                <w:rFonts w:ascii="Arial" w:eastAsia="Times New Roman" w:hAnsi="Arial" w:cs="Arial"/>
                <w:b w:val="0"/>
                <w:color w:val="000000"/>
                <w:sz w:val="18"/>
                <w:szCs w:val="18"/>
              </w:rPr>
              <w:t>Renov 2.0</w:t>
            </w:r>
          </w:p>
        </w:tc>
        <w:tc>
          <w:tcPr>
            <w:tcW w:w="1117" w:type="dxa"/>
            <w:noWrap/>
            <w:vAlign w:val="center"/>
            <w:hideMark/>
          </w:tcPr>
          <w:p w14:paraId="45604512" w14:textId="77777777" w:rsidR="00B944EE" w:rsidRPr="00ED6612" w:rsidRDefault="00B944EE" w:rsidP="00871AF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ED6612">
              <w:rPr>
                <w:rFonts w:ascii="Arial" w:eastAsia="Times New Roman" w:hAnsi="Arial" w:cs="Arial"/>
                <w:color w:val="000000"/>
                <w:sz w:val="18"/>
                <w:szCs w:val="18"/>
              </w:rPr>
              <w:t>8</w:t>
            </w:r>
          </w:p>
        </w:tc>
        <w:tc>
          <w:tcPr>
            <w:tcW w:w="1160" w:type="dxa"/>
            <w:noWrap/>
            <w:vAlign w:val="center"/>
            <w:hideMark/>
          </w:tcPr>
          <w:p w14:paraId="45604513" w14:textId="77777777" w:rsidR="00B944EE" w:rsidRPr="00ED6612" w:rsidRDefault="00B944EE" w:rsidP="00871AF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ED6612">
              <w:rPr>
                <w:rFonts w:ascii="Arial" w:eastAsia="Times New Roman" w:hAnsi="Arial" w:cs="Arial"/>
                <w:color w:val="000000"/>
                <w:sz w:val="18"/>
                <w:szCs w:val="18"/>
              </w:rPr>
              <w:t>12</w:t>
            </w:r>
          </w:p>
        </w:tc>
        <w:tc>
          <w:tcPr>
            <w:tcW w:w="1143" w:type="dxa"/>
            <w:noWrap/>
            <w:vAlign w:val="center"/>
            <w:hideMark/>
          </w:tcPr>
          <w:p w14:paraId="45604514" w14:textId="77777777" w:rsidR="00B944EE" w:rsidRPr="00ED6612" w:rsidRDefault="00B944EE" w:rsidP="00871AF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ED6612">
              <w:rPr>
                <w:rFonts w:ascii="Arial" w:eastAsia="Times New Roman" w:hAnsi="Arial" w:cs="Arial"/>
                <w:color w:val="000000"/>
                <w:sz w:val="18"/>
                <w:szCs w:val="18"/>
              </w:rPr>
              <w:t>9</w:t>
            </w:r>
          </w:p>
        </w:tc>
        <w:tc>
          <w:tcPr>
            <w:tcW w:w="1020" w:type="dxa"/>
            <w:noWrap/>
            <w:vAlign w:val="center"/>
            <w:hideMark/>
          </w:tcPr>
          <w:p w14:paraId="45604515" w14:textId="77777777" w:rsidR="00B944EE" w:rsidRPr="00ED6612" w:rsidRDefault="00B944EE" w:rsidP="00871AF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auto"/>
                <w:sz w:val="18"/>
                <w:szCs w:val="18"/>
              </w:rPr>
            </w:pPr>
            <w:r w:rsidRPr="00ED6612">
              <w:rPr>
                <w:rFonts w:ascii="Arial" w:eastAsia="Times New Roman" w:hAnsi="Arial" w:cs="Arial"/>
                <w:b/>
                <w:color w:val="auto"/>
                <w:sz w:val="18"/>
                <w:szCs w:val="18"/>
              </w:rPr>
              <w:t>14</w:t>
            </w:r>
          </w:p>
        </w:tc>
        <w:tc>
          <w:tcPr>
            <w:tcW w:w="1020" w:type="dxa"/>
            <w:noWrap/>
            <w:vAlign w:val="center"/>
            <w:hideMark/>
          </w:tcPr>
          <w:p w14:paraId="45604516" w14:textId="77777777" w:rsidR="00B944EE" w:rsidRPr="00ED6612" w:rsidRDefault="00B944EE" w:rsidP="00871AF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auto"/>
                <w:sz w:val="18"/>
                <w:szCs w:val="18"/>
              </w:rPr>
            </w:pPr>
            <w:r w:rsidRPr="00ED6612">
              <w:rPr>
                <w:rFonts w:ascii="Arial" w:eastAsia="Times New Roman" w:hAnsi="Arial" w:cs="Arial"/>
                <w:b/>
                <w:color w:val="auto"/>
                <w:sz w:val="18"/>
                <w:szCs w:val="18"/>
              </w:rPr>
              <w:t>23</w:t>
            </w:r>
          </w:p>
        </w:tc>
        <w:tc>
          <w:tcPr>
            <w:tcW w:w="1020" w:type="dxa"/>
            <w:noWrap/>
            <w:vAlign w:val="center"/>
            <w:hideMark/>
          </w:tcPr>
          <w:p w14:paraId="45604517" w14:textId="77777777" w:rsidR="00B944EE" w:rsidRPr="00ED6612" w:rsidRDefault="00B944EE" w:rsidP="00871AF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ED6612">
              <w:rPr>
                <w:rFonts w:ascii="Arial" w:eastAsia="Times New Roman" w:hAnsi="Arial" w:cs="Arial"/>
                <w:color w:val="000000"/>
                <w:sz w:val="18"/>
                <w:szCs w:val="18"/>
              </w:rPr>
              <w:t>66</w:t>
            </w:r>
          </w:p>
        </w:tc>
      </w:tr>
      <w:tr w:rsidR="00B944EE" w:rsidRPr="00ED6612" w14:paraId="45604520" w14:textId="77777777" w:rsidTr="00871AF4">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1440" w:type="dxa"/>
            <w:noWrap/>
            <w:vAlign w:val="center"/>
            <w:hideMark/>
          </w:tcPr>
          <w:p w14:paraId="45604519" w14:textId="77777777" w:rsidR="00B944EE" w:rsidRPr="00ED6612" w:rsidRDefault="00B944EE" w:rsidP="00F15253">
            <w:pPr>
              <w:rPr>
                <w:rFonts w:ascii="Arial" w:eastAsia="Times New Roman" w:hAnsi="Arial" w:cs="Arial"/>
                <w:b w:val="0"/>
                <w:color w:val="000000"/>
                <w:sz w:val="18"/>
                <w:szCs w:val="18"/>
              </w:rPr>
            </w:pPr>
            <w:r w:rsidRPr="00ED6612">
              <w:rPr>
                <w:rFonts w:ascii="Arial" w:eastAsia="Times New Roman" w:hAnsi="Arial" w:cs="Arial"/>
                <w:b w:val="0"/>
                <w:color w:val="000000"/>
                <w:sz w:val="18"/>
                <w:szCs w:val="18"/>
              </w:rPr>
              <w:t>Renov 2.5</w:t>
            </w:r>
          </w:p>
        </w:tc>
        <w:tc>
          <w:tcPr>
            <w:tcW w:w="1117" w:type="dxa"/>
            <w:noWrap/>
            <w:vAlign w:val="center"/>
            <w:hideMark/>
          </w:tcPr>
          <w:p w14:paraId="4560451A" w14:textId="77777777" w:rsidR="00B944EE" w:rsidRPr="00ED6612" w:rsidRDefault="00B944EE" w:rsidP="00871AF4">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ED6612">
              <w:rPr>
                <w:rFonts w:ascii="Arial" w:eastAsia="Times New Roman" w:hAnsi="Arial" w:cs="Arial"/>
                <w:color w:val="000000"/>
                <w:sz w:val="18"/>
                <w:szCs w:val="18"/>
              </w:rPr>
              <w:t>4</w:t>
            </w:r>
          </w:p>
        </w:tc>
        <w:tc>
          <w:tcPr>
            <w:tcW w:w="1160" w:type="dxa"/>
            <w:noWrap/>
            <w:vAlign w:val="center"/>
            <w:hideMark/>
          </w:tcPr>
          <w:p w14:paraId="4560451B" w14:textId="77777777" w:rsidR="00B944EE" w:rsidRPr="00ED6612" w:rsidRDefault="00B944EE" w:rsidP="00871AF4">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ED6612">
              <w:rPr>
                <w:rFonts w:ascii="Arial" w:eastAsia="Times New Roman" w:hAnsi="Arial" w:cs="Arial"/>
                <w:color w:val="000000"/>
                <w:sz w:val="18"/>
                <w:szCs w:val="18"/>
              </w:rPr>
              <w:t>5</w:t>
            </w:r>
          </w:p>
        </w:tc>
        <w:tc>
          <w:tcPr>
            <w:tcW w:w="1143" w:type="dxa"/>
            <w:noWrap/>
            <w:vAlign w:val="center"/>
            <w:hideMark/>
          </w:tcPr>
          <w:p w14:paraId="4560451C" w14:textId="77777777" w:rsidR="00B944EE" w:rsidRPr="00ED6612" w:rsidRDefault="00B944EE" w:rsidP="00871AF4">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p>
        </w:tc>
        <w:tc>
          <w:tcPr>
            <w:tcW w:w="1020" w:type="dxa"/>
            <w:noWrap/>
            <w:vAlign w:val="center"/>
            <w:hideMark/>
          </w:tcPr>
          <w:p w14:paraId="4560451D" w14:textId="77777777" w:rsidR="00B944EE" w:rsidRPr="00ED6612" w:rsidRDefault="00B944EE" w:rsidP="00871AF4">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color w:val="auto"/>
                <w:sz w:val="18"/>
                <w:szCs w:val="18"/>
              </w:rPr>
            </w:pPr>
            <w:r w:rsidRPr="00ED6612">
              <w:rPr>
                <w:rFonts w:ascii="Arial" w:eastAsia="Times New Roman" w:hAnsi="Arial" w:cs="Arial"/>
                <w:b/>
                <w:color w:val="auto"/>
                <w:sz w:val="18"/>
                <w:szCs w:val="18"/>
              </w:rPr>
              <w:t>2</w:t>
            </w:r>
          </w:p>
        </w:tc>
        <w:tc>
          <w:tcPr>
            <w:tcW w:w="1020" w:type="dxa"/>
            <w:noWrap/>
            <w:vAlign w:val="center"/>
            <w:hideMark/>
          </w:tcPr>
          <w:p w14:paraId="4560451E" w14:textId="77777777" w:rsidR="00B944EE" w:rsidRPr="00ED6612" w:rsidRDefault="00B944EE" w:rsidP="00871AF4">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color w:val="auto"/>
                <w:sz w:val="18"/>
                <w:szCs w:val="18"/>
              </w:rPr>
            </w:pPr>
            <w:r w:rsidRPr="00ED6612">
              <w:rPr>
                <w:rFonts w:ascii="Arial" w:eastAsia="Times New Roman" w:hAnsi="Arial" w:cs="Arial"/>
                <w:b/>
                <w:color w:val="auto"/>
                <w:sz w:val="18"/>
                <w:szCs w:val="18"/>
              </w:rPr>
              <w:t>11</w:t>
            </w:r>
          </w:p>
        </w:tc>
        <w:tc>
          <w:tcPr>
            <w:tcW w:w="1020" w:type="dxa"/>
            <w:noWrap/>
            <w:vAlign w:val="center"/>
            <w:hideMark/>
          </w:tcPr>
          <w:p w14:paraId="4560451F" w14:textId="77777777" w:rsidR="00B944EE" w:rsidRPr="00ED6612" w:rsidRDefault="00B944EE" w:rsidP="00871AF4">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ED6612">
              <w:rPr>
                <w:rFonts w:ascii="Arial" w:eastAsia="Times New Roman" w:hAnsi="Arial" w:cs="Arial"/>
                <w:color w:val="000000"/>
                <w:sz w:val="18"/>
                <w:szCs w:val="18"/>
              </w:rPr>
              <w:t>22</w:t>
            </w:r>
          </w:p>
        </w:tc>
      </w:tr>
      <w:tr w:rsidR="00B944EE" w:rsidRPr="00ED6612" w14:paraId="45604528" w14:textId="77777777" w:rsidTr="00871AF4">
        <w:trPr>
          <w:trHeight w:val="285"/>
        </w:trPr>
        <w:tc>
          <w:tcPr>
            <w:cnfStyle w:val="001000000000" w:firstRow="0" w:lastRow="0" w:firstColumn="1" w:lastColumn="0" w:oddVBand="0" w:evenVBand="0" w:oddHBand="0" w:evenHBand="0" w:firstRowFirstColumn="0" w:firstRowLastColumn="0" w:lastRowFirstColumn="0" w:lastRowLastColumn="0"/>
            <w:tcW w:w="1440" w:type="dxa"/>
            <w:noWrap/>
            <w:vAlign w:val="center"/>
            <w:hideMark/>
          </w:tcPr>
          <w:p w14:paraId="45604521" w14:textId="77777777" w:rsidR="00B944EE" w:rsidRPr="00ED6612" w:rsidRDefault="00B944EE" w:rsidP="00F15253">
            <w:pPr>
              <w:rPr>
                <w:rFonts w:ascii="Arial" w:eastAsia="Times New Roman" w:hAnsi="Arial" w:cs="Arial"/>
                <w:b w:val="0"/>
                <w:color w:val="000000"/>
                <w:sz w:val="18"/>
                <w:szCs w:val="18"/>
              </w:rPr>
            </w:pPr>
            <w:r w:rsidRPr="00ED6612">
              <w:rPr>
                <w:rFonts w:ascii="Arial" w:eastAsia="Times New Roman" w:hAnsi="Arial" w:cs="Arial"/>
                <w:b w:val="0"/>
                <w:color w:val="000000"/>
                <w:sz w:val="18"/>
                <w:szCs w:val="18"/>
              </w:rPr>
              <w:t>Total</w:t>
            </w:r>
          </w:p>
        </w:tc>
        <w:tc>
          <w:tcPr>
            <w:tcW w:w="1117" w:type="dxa"/>
            <w:noWrap/>
            <w:vAlign w:val="center"/>
            <w:hideMark/>
          </w:tcPr>
          <w:p w14:paraId="45604522" w14:textId="77777777" w:rsidR="00B944EE" w:rsidRPr="00ED6612" w:rsidRDefault="00B944EE" w:rsidP="00871AF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color w:val="000000"/>
                <w:sz w:val="18"/>
                <w:szCs w:val="18"/>
              </w:rPr>
            </w:pPr>
            <w:r w:rsidRPr="00ED6612">
              <w:rPr>
                <w:rFonts w:ascii="Arial" w:eastAsia="Times New Roman" w:hAnsi="Arial" w:cs="Arial"/>
                <w:bCs/>
                <w:color w:val="000000"/>
                <w:sz w:val="18"/>
                <w:szCs w:val="18"/>
              </w:rPr>
              <w:t>34</w:t>
            </w:r>
          </w:p>
        </w:tc>
        <w:tc>
          <w:tcPr>
            <w:tcW w:w="1160" w:type="dxa"/>
            <w:noWrap/>
            <w:vAlign w:val="center"/>
            <w:hideMark/>
          </w:tcPr>
          <w:p w14:paraId="45604523" w14:textId="77777777" w:rsidR="00B944EE" w:rsidRPr="00ED6612" w:rsidRDefault="00B944EE" w:rsidP="00871AF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color w:val="000000"/>
                <w:sz w:val="18"/>
                <w:szCs w:val="18"/>
              </w:rPr>
            </w:pPr>
            <w:r w:rsidRPr="00ED6612">
              <w:rPr>
                <w:rFonts w:ascii="Arial" w:eastAsia="Times New Roman" w:hAnsi="Arial" w:cs="Arial"/>
                <w:bCs/>
                <w:color w:val="000000"/>
                <w:sz w:val="18"/>
                <w:szCs w:val="18"/>
              </w:rPr>
              <w:t>41</w:t>
            </w:r>
          </w:p>
        </w:tc>
        <w:tc>
          <w:tcPr>
            <w:tcW w:w="1143" w:type="dxa"/>
            <w:noWrap/>
            <w:vAlign w:val="center"/>
            <w:hideMark/>
          </w:tcPr>
          <w:p w14:paraId="45604524" w14:textId="77777777" w:rsidR="00B944EE" w:rsidRPr="00ED6612" w:rsidRDefault="00B944EE" w:rsidP="00871AF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color w:val="000000"/>
                <w:sz w:val="18"/>
                <w:szCs w:val="18"/>
              </w:rPr>
            </w:pPr>
            <w:r w:rsidRPr="00ED6612">
              <w:rPr>
                <w:rFonts w:ascii="Arial" w:eastAsia="Times New Roman" w:hAnsi="Arial" w:cs="Arial"/>
                <w:bCs/>
                <w:color w:val="000000"/>
                <w:sz w:val="18"/>
                <w:szCs w:val="18"/>
              </w:rPr>
              <w:t>14</w:t>
            </w:r>
          </w:p>
        </w:tc>
        <w:tc>
          <w:tcPr>
            <w:tcW w:w="1020" w:type="dxa"/>
            <w:noWrap/>
            <w:vAlign w:val="center"/>
            <w:hideMark/>
          </w:tcPr>
          <w:p w14:paraId="45604525" w14:textId="77777777" w:rsidR="00B944EE" w:rsidRPr="00ED6612" w:rsidRDefault="00B944EE" w:rsidP="00871AF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auto"/>
                <w:sz w:val="18"/>
                <w:szCs w:val="18"/>
              </w:rPr>
            </w:pPr>
            <w:r w:rsidRPr="00ED6612">
              <w:rPr>
                <w:rFonts w:ascii="Arial" w:eastAsia="Times New Roman" w:hAnsi="Arial" w:cs="Arial"/>
                <w:b/>
                <w:bCs/>
                <w:color w:val="auto"/>
                <w:sz w:val="18"/>
                <w:szCs w:val="18"/>
              </w:rPr>
              <w:t>18</w:t>
            </w:r>
          </w:p>
        </w:tc>
        <w:tc>
          <w:tcPr>
            <w:tcW w:w="1020" w:type="dxa"/>
            <w:noWrap/>
            <w:vAlign w:val="center"/>
            <w:hideMark/>
          </w:tcPr>
          <w:p w14:paraId="45604526" w14:textId="77777777" w:rsidR="00B944EE" w:rsidRPr="00ED6612" w:rsidRDefault="00B944EE" w:rsidP="00871AF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auto"/>
                <w:sz w:val="18"/>
                <w:szCs w:val="18"/>
              </w:rPr>
            </w:pPr>
            <w:r w:rsidRPr="00ED6612">
              <w:rPr>
                <w:rFonts w:ascii="Arial" w:eastAsia="Times New Roman" w:hAnsi="Arial" w:cs="Arial"/>
                <w:b/>
                <w:bCs/>
                <w:color w:val="auto"/>
                <w:sz w:val="18"/>
                <w:szCs w:val="18"/>
              </w:rPr>
              <w:t>40</w:t>
            </w:r>
          </w:p>
        </w:tc>
        <w:tc>
          <w:tcPr>
            <w:tcW w:w="1020" w:type="dxa"/>
            <w:noWrap/>
            <w:vAlign w:val="center"/>
            <w:hideMark/>
          </w:tcPr>
          <w:p w14:paraId="45604527" w14:textId="77777777" w:rsidR="00B944EE" w:rsidRPr="00ED6612" w:rsidRDefault="00B944EE" w:rsidP="00871AF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color w:val="000000"/>
                <w:sz w:val="18"/>
                <w:szCs w:val="18"/>
              </w:rPr>
            </w:pPr>
            <w:r w:rsidRPr="00ED6612">
              <w:rPr>
                <w:rFonts w:ascii="Arial" w:eastAsia="Times New Roman" w:hAnsi="Arial" w:cs="Arial"/>
                <w:bCs/>
                <w:color w:val="000000"/>
                <w:sz w:val="18"/>
                <w:szCs w:val="18"/>
              </w:rPr>
              <w:t>147</w:t>
            </w:r>
          </w:p>
        </w:tc>
      </w:tr>
      <w:tr w:rsidR="00B944EE" w:rsidRPr="00ED6612" w14:paraId="45604530" w14:textId="77777777" w:rsidTr="00871AF4">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1440" w:type="dxa"/>
            <w:noWrap/>
            <w:vAlign w:val="center"/>
            <w:hideMark/>
          </w:tcPr>
          <w:p w14:paraId="45604529" w14:textId="77777777" w:rsidR="00B944EE" w:rsidRPr="00ED6612" w:rsidRDefault="00B944EE" w:rsidP="00871AF4">
            <w:pPr>
              <w:rPr>
                <w:rFonts w:ascii="Arial" w:eastAsia="Times New Roman" w:hAnsi="Arial" w:cs="Arial"/>
                <w:color w:val="000000"/>
                <w:sz w:val="18"/>
                <w:szCs w:val="18"/>
              </w:rPr>
            </w:pPr>
          </w:p>
        </w:tc>
        <w:tc>
          <w:tcPr>
            <w:tcW w:w="1117" w:type="dxa"/>
            <w:noWrap/>
            <w:vAlign w:val="center"/>
            <w:hideMark/>
          </w:tcPr>
          <w:p w14:paraId="4560452A" w14:textId="77777777" w:rsidR="00B944EE" w:rsidRPr="00ED6612" w:rsidRDefault="00B944EE" w:rsidP="00871AF4">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rPr>
            </w:pPr>
          </w:p>
        </w:tc>
        <w:tc>
          <w:tcPr>
            <w:tcW w:w="1160" w:type="dxa"/>
            <w:noWrap/>
            <w:vAlign w:val="center"/>
            <w:hideMark/>
          </w:tcPr>
          <w:p w14:paraId="4560452B" w14:textId="77777777" w:rsidR="00B944EE" w:rsidRPr="00ED6612" w:rsidRDefault="00B944EE" w:rsidP="00871AF4">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rPr>
            </w:pPr>
          </w:p>
        </w:tc>
        <w:tc>
          <w:tcPr>
            <w:tcW w:w="1143" w:type="dxa"/>
            <w:noWrap/>
            <w:vAlign w:val="center"/>
            <w:hideMark/>
          </w:tcPr>
          <w:p w14:paraId="4560452C" w14:textId="77777777" w:rsidR="00B944EE" w:rsidRPr="00ED6612" w:rsidRDefault="00B944EE" w:rsidP="00871AF4">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rPr>
            </w:pPr>
          </w:p>
        </w:tc>
        <w:tc>
          <w:tcPr>
            <w:tcW w:w="1020" w:type="dxa"/>
            <w:noWrap/>
            <w:vAlign w:val="center"/>
            <w:hideMark/>
          </w:tcPr>
          <w:p w14:paraId="4560452D" w14:textId="77777777" w:rsidR="00B944EE" w:rsidRPr="00ED6612" w:rsidRDefault="00B944EE" w:rsidP="00871AF4">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color w:val="auto"/>
                <w:sz w:val="18"/>
                <w:szCs w:val="18"/>
              </w:rPr>
            </w:pPr>
          </w:p>
        </w:tc>
        <w:tc>
          <w:tcPr>
            <w:tcW w:w="1020" w:type="dxa"/>
            <w:noWrap/>
            <w:vAlign w:val="center"/>
            <w:hideMark/>
          </w:tcPr>
          <w:p w14:paraId="4560452E" w14:textId="77777777" w:rsidR="00B944EE" w:rsidRPr="00ED6612" w:rsidRDefault="00B944EE" w:rsidP="00871AF4">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color w:val="auto"/>
                <w:sz w:val="18"/>
                <w:szCs w:val="18"/>
              </w:rPr>
            </w:pPr>
          </w:p>
        </w:tc>
        <w:tc>
          <w:tcPr>
            <w:tcW w:w="1020" w:type="dxa"/>
            <w:noWrap/>
            <w:vAlign w:val="center"/>
            <w:hideMark/>
          </w:tcPr>
          <w:p w14:paraId="4560452F" w14:textId="77777777" w:rsidR="00B944EE" w:rsidRPr="00ED6612" w:rsidRDefault="00B944EE" w:rsidP="00871AF4">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rPr>
            </w:pPr>
          </w:p>
        </w:tc>
      </w:tr>
      <w:tr w:rsidR="00B944EE" w:rsidRPr="00ED6612" w14:paraId="45604536" w14:textId="77777777" w:rsidTr="00871AF4">
        <w:trPr>
          <w:trHeight w:val="285"/>
        </w:trPr>
        <w:tc>
          <w:tcPr>
            <w:cnfStyle w:val="001000000000" w:firstRow="0" w:lastRow="0" w:firstColumn="1" w:lastColumn="0" w:oddVBand="0" w:evenVBand="0" w:oddHBand="0" w:evenHBand="0" w:firstRowFirstColumn="0" w:firstRowLastColumn="0" w:lastRowFirstColumn="0" w:lastRowLastColumn="0"/>
            <w:tcW w:w="3717" w:type="dxa"/>
            <w:gridSpan w:val="3"/>
            <w:noWrap/>
            <w:vAlign w:val="center"/>
            <w:hideMark/>
          </w:tcPr>
          <w:p w14:paraId="45604531" w14:textId="77777777" w:rsidR="00B944EE" w:rsidRPr="00ED6612" w:rsidRDefault="00B944EE" w:rsidP="00F15253">
            <w:pPr>
              <w:rPr>
                <w:rFonts w:ascii="Arial" w:eastAsia="Times New Roman" w:hAnsi="Arial" w:cs="Arial"/>
                <w:color w:val="000000"/>
                <w:sz w:val="18"/>
                <w:szCs w:val="18"/>
              </w:rPr>
            </w:pPr>
            <w:r w:rsidRPr="00ED6612">
              <w:rPr>
                <w:rFonts w:ascii="Arial" w:eastAsia="Times New Roman" w:hAnsi="Arial" w:cs="Arial"/>
                <w:color w:val="000000"/>
                <w:sz w:val="18"/>
                <w:szCs w:val="18"/>
              </w:rPr>
              <w:t>Capacity contracted (MW)</w:t>
            </w:r>
          </w:p>
        </w:tc>
        <w:tc>
          <w:tcPr>
            <w:tcW w:w="1143" w:type="dxa"/>
            <w:noWrap/>
            <w:vAlign w:val="center"/>
            <w:hideMark/>
          </w:tcPr>
          <w:p w14:paraId="45604532" w14:textId="77777777" w:rsidR="00B944EE" w:rsidRPr="00ED6612" w:rsidRDefault="00B944EE" w:rsidP="00871AF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8"/>
                <w:szCs w:val="18"/>
              </w:rPr>
            </w:pPr>
          </w:p>
        </w:tc>
        <w:tc>
          <w:tcPr>
            <w:tcW w:w="1020" w:type="dxa"/>
            <w:noWrap/>
            <w:vAlign w:val="center"/>
            <w:hideMark/>
          </w:tcPr>
          <w:p w14:paraId="45604533" w14:textId="77777777" w:rsidR="00B944EE" w:rsidRPr="00ED6612" w:rsidRDefault="00B944EE" w:rsidP="00871AF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auto"/>
                <w:sz w:val="18"/>
                <w:szCs w:val="18"/>
              </w:rPr>
            </w:pPr>
          </w:p>
        </w:tc>
        <w:tc>
          <w:tcPr>
            <w:tcW w:w="1020" w:type="dxa"/>
            <w:noWrap/>
            <w:vAlign w:val="center"/>
            <w:hideMark/>
          </w:tcPr>
          <w:p w14:paraId="45604534" w14:textId="77777777" w:rsidR="00B944EE" w:rsidRPr="00ED6612" w:rsidRDefault="00B944EE" w:rsidP="00871AF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auto"/>
                <w:sz w:val="18"/>
                <w:szCs w:val="18"/>
              </w:rPr>
            </w:pPr>
          </w:p>
        </w:tc>
        <w:tc>
          <w:tcPr>
            <w:tcW w:w="1020" w:type="dxa"/>
            <w:noWrap/>
            <w:vAlign w:val="center"/>
            <w:hideMark/>
          </w:tcPr>
          <w:p w14:paraId="45604535" w14:textId="77777777" w:rsidR="00B944EE" w:rsidRPr="00ED6612" w:rsidRDefault="00B944EE" w:rsidP="00871AF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rPr>
            </w:pPr>
          </w:p>
        </w:tc>
      </w:tr>
      <w:tr w:rsidR="00DD4306" w:rsidRPr="00ED6612" w14:paraId="4560453E" w14:textId="77777777" w:rsidTr="00DD4306">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1440" w:type="dxa"/>
            <w:noWrap/>
            <w:vAlign w:val="center"/>
            <w:hideMark/>
          </w:tcPr>
          <w:p w14:paraId="45604537" w14:textId="77777777" w:rsidR="00B944EE" w:rsidRPr="00ED6612" w:rsidRDefault="00B944EE" w:rsidP="00F15253">
            <w:pPr>
              <w:rPr>
                <w:rFonts w:ascii="Arial" w:eastAsia="Times New Roman" w:hAnsi="Arial" w:cs="Arial"/>
                <w:b w:val="0"/>
                <w:color w:val="auto"/>
                <w:sz w:val="18"/>
                <w:szCs w:val="18"/>
              </w:rPr>
            </w:pPr>
          </w:p>
        </w:tc>
        <w:tc>
          <w:tcPr>
            <w:tcW w:w="1117" w:type="dxa"/>
            <w:noWrap/>
            <w:vAlign w:val="center"/>
            <w:hideMark/>
          </w:tcPr>
          <w:p w14:paraId="45604538" w14:textId="77777777" w:rsidR="00B944EE" w:rsidRPr="00ED6612" w:rsidRDefault="00B944EE" w:rsidP="007F3E0C">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Cs/>
                <w:color w:val="auto"/>
                <w:sz w:val="18"/>
                <w:szCs w:val="18"/>
              </w:rPr>
            </w:pPr>
            <w:r w:rsidRPr="00ED6612">
              <w:rPr>
                <w:rFonts w:ascii="Arial" w:eastAsia="Times New Roman" w:hAnsi="Arial" w:cs="Arial"/>
                <w:bCs/>
                <w:color w:val="auto"/>
                <w:sz w:val="18"/>
                <w:szCs w:val="18"/>
              </w:rPr>
              <w:t>Wind</w:t>
            </w:r>
          </w:p>
        </w:tc>
        <w:tc>
          <w:tcPr>
            <w:tcW w:w="1160" w:type="dxa"/>
            <w:noWrap/>
            <w:vAlign w:val="center"/>
            <w:hideMark/>
          </w:tcPr>
          <w:p w14:paraId="45604539" w14:textId="77777777" w:rsidR="00B944EE" w:rsidRPr="00ED6612" w:rsidRDefault="00B944EE" w:rsidP="007B43F0">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Cs/>
                <w:color w:val="auto"/>
                <w:sz w:val="18"/>
                <w:szCs w:val="18"/>
              </w:rPr>
            </w:pPr>
            <w:r w:rsidRPr="00ED6612">
              <w:rPr>
                <w:rFonts w:ascii="Arial" w:eastAsia="Times New Roman" w:hAnsi="Arial" w:cs="Arial"/>
                <w:bCs/>
                <w:color w:val="auto"/>
                <w:sz w:val="18"/>
                <w:szCs w:val="18"/>
              </w:rPr>
              <w:t>Solar</w:t>
            </w:r>
          </w:p>
        </w:tc>
        <w:tc>
          <w:tcPr>
            <w:tcW w:w="1143" w:type="dxa"/>
            <w:noWrap/>
            <w:vAlign w:val="center"/>
            <w:hideMark/>
          </w:tcPr>
          <w:p w14:paraId="4560453A" w14:textId="77777777" w:rsidR="00B944EE" w:rsidRPr="00ED6612" w:rsidRDefault="00B944EE" w:rsidP="007B43F0">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Cs/>
                <w:color w:val="auto"/>
                <w:sz w:val="18"/>
                <w:szCs w:val="18"/>
              </w:rPr>
            </w:pPr>
            <w:r w:rsidRPr="00ED6612">
              <w:rPr>
                <w:rFonts w:ascii="Arial" w:eastAsia="Times New Roman" w:hAnsi="Arial" w:cs="Arial"/>
                <w:bCs/>
                <w:color w:val="auto"/>
                <w:sz w:val="18"/>
                <w:szCs w:val="18"/>
              </w:rPr>
              <w:t>Hydro</w:t>
            </w:r>
          </w:p>
        </w:tc>
        <w:tc>
          <w:tcPr>
            <w:tcW w:w="1020" w:type="dxa"/>
            <w:noWrap/>
            <w:vAlign w:val="center"/>
            <w:hideMark/>
          </w:tcPr>
          <w:p w14:paraId="4560453B" w14:textId="77777777" w:rsidR="00B944EE" w:rsidRPr="00ED6612" w:rsidRDefault="00B944EE" w:rsidP="007B43F0">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8"/>
                <w:szCs w:val="18"/>
              </w:rPr>
            </w:pPr>
            <w:r w:rsidRPr="00ED6612">
              <w:rPr>
                <w:rFonts w:ascii="Arial" w:eastAsia="Times New Roman" w:hAnsi="Arial" w:cs="Arial"/>
                <w:b/>
                <w:bCs/>
                <w:color w:val="auto"/>
                <w:sz w:val="18"/>
                <w:szCs w:val="18"/>
              </w:rPr>
              <w:t>Biomass</w:t>
            </w:r>
          </w:p>
        </w:tc>
        <w:tc>
          <w:tcPr>
            <w:tcW w:w="1020" w:type="dxa"/>
            <w:noWrap/>
            <w:vAlign w:val="center"/>
            <w:hideMark/>
          </w:tcPr>
          <w:p w14:paraId="4560453C" w14:textId="77777777" w:rsidR="00B944EE" w:rsidRPr="00ED6612" w:rsidRDefault="00B944EE" w:rsidP="007B43F0">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8"/>
                <w:szCs w:val="18"/>
              </w:rPr>
            </w:pPr>
            <w:r w:rsidRPr="00ED6612">
              <w:rPr>
                <w:rFonts w:ascii="Arial" w:eastAsia="Times New Roman" w:hAnsi="Arial" w:cs="Arial"/>
                <w:b/>
                <w:bCs/>
                <w:color w:val="auto"/>
                <w:sz w:val="18"/>
                <w:szCs w:val="18"/>
              </w:rPr>
              <w:t>Biogas</w:t>
            </w:r>
          </w:p>
        </w:tc>
        <w:tc>
          <w:tcPr>
            <w:tcW w:w="1020" w:type="dxa"/>
            <w:noWrap/>
            <w:vAlign w:val="center"/>
            <w:hideMark/>
          </w:tcPr>
          <w:p w14:paraId="4560453D" w14:textId="77777777" w:rsidR="00B944EE" w:rsidRPr="00ED6612" w:rsidRDefault="00B944EE" w:rsidP="007B43F0">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Cs/>
                <w:color w:val="auto"/>
                <w:sz w:val="18"/>
                <w:szCs w:val="18"/>
              </w:rPr>
            </w:pPr>
            <w:r w:rsidRPr="00ED6612">
              <w:rPr>
                <w:rFonts w:ascii="Arial" w:eastAsia="Times New Roman" w:hAnsi="Arial" w:cs="Arial"/>
                <w:bCs/>
                <w:color w:val="auto"/>
                <w:sz w:val="18"/>
                <w:szCs w:val="18"/>
              </w:rPr>
              <w:t>Total</w:t>
            </w:r>
          </w:p>
        </w:tc>
      </w:tr>
      <w:tr w:rsidR="00B944EE" w:rsidRPr="00ED6612" w14:paraId="45604546" w14:textId="77777777" w:rsidTr="00871AF4">
        <w:trPr>
          <w:trHeight w:val="285"/>
        </w:trPr>
        <w:tc>
          <w:tcPr>
            <w:cnfStyle w:val="001000000000" w:firstRow="0" w:lastRow="0" w:firstColumn="1" w:lastColumn="0" w:oddVBand="0" w:evenVBand="0" w:oddHBand="0" w:evenHBand="0" w:firstRowFirstColumn="0" w:firstRowLastColumn="0" w:lastRowFirstColumn="0" w:lastRowLastColumn="0"/>
            <w:tcW w:w="1440" w:type="dxa"/>
            <w:noWrap/>
            <w:vAlign w:val="center"/>
            <w:hideMark/>
          </w:tcPr>
          <w:p w14:paraId="4560453F" w14:textId="77777777" w:rsidR="00B944EE" w:rsidRPr="00ED6612" w:rsidRDefault="00B944EE" w:rsidP="00F15253">
            <w:pPr>
              <w:rPr>
                <w:rFonts w:ascii="Arial" w:eastAsia="Times New Roman" w:hAnsi="Arial" w:cs="Arial"/>
                <w:b w:val="0"/>
                <w:color w:val="000000"/>
                <w:sz w:val="18"/>
                <w:szCs w:val="18"/>
              </w:rPr>
            </w:pPr>
            <w:r w:rsidRPr="00ED6612">
              <w:rPr>
                <w:rFonts w:ascii="Arial" w:eastAsia="Times New Roman" w:hAnsi="Arial" w:cs="Arial"/>
                <w:b w:val="0"/>
                <w:color w:val="000000"/>
                <w:sz w:val="18"/>
                <w:szCs w:val="18"/>
              </w:rPr>
              <w:t>Renov 1.0</w:t>
            </w:r>
          </w:p>
        </w:tc>
        <w:tc>
          <w:tcPr>
            <w:tcW w:w="1117" w:type="dxa"/>
            <w:noWrap/>
            <w:vAlign w:val="center"/>
            <w:hideMark/>
          </w:tcPr>
          <w:p w14:paraId="45604540" w14:textId="77777777" w:rsidR="00B944EE" w:rsidRPr="00ED6612" w:rsidRDefault="00B944EE" w:rsidP="00871AF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ED6612">
              <w:rPr>
                <w:rFonts w:ascii="Arial" w:eastAsia="Times New Roman" w:hAnsi="Arial" w:cs="Arial"/>
                <w:color w:val="000000"/>
                <w:sz w:val="18"/>
                <w:szCs w:val="18"/>
              </w:rPr>
              <w:t>708</w:t>
            </w:r>
          </w:p>
        </w:tc>
        <w:tc>
          <w:tcPr>
            <w:tcW w:w="1160" w:type="dxa"/>
            <w:noWrap/>
            <w:vAlign w:val="center"/>
            <w:hideMark/>
          </w:tcPr>
          <w:p w14:paraId="45604541" w14:textId="77777777" w:rsidR="00B944EE" w:rsidRPr="00ED6612" w:rsidRDefault="00B944EE" w:rsidP="00871AF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ED6612">
              <w:rPr>
                <w:rFonts w:ascii="Arial" w:eastAsia="Times New Roman" w:hAnsi="Arial" w:cs="Arial"/>
                <w:color w:val="000000"/>
                <w:sz w:val="18"/>
                <w:szCs w:val="18"/>
              </w:rPr>
              <w:t>400</w:t>
            </w:r>
          </w:p>
        </w:tc>
        <w:tc>
          <w:tcPr>
            <w:tcW w:w="1143" w:type="dxa"/>
            <w:noWrap/>
            <w:vAlign w:val="center"/>
            <w:hideMark/>
          </w:tcPr>
          <w:p w14:paraId="45604542" w14:textId="77777777" w:rsidR="00B944EE" w:rsidRPr="00ED6612" w:rsidRDefault="00B944EE" w:rsidP="00871AF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ED6612">
              <w:rPr>
                <w:rFonts w:ascii="Arial" w:eastAsia="Times New Roman" w:hAnsi="Arial" w:cs="Arial"/>
                <w:color w:val="000000"/>
                <w:sz w:val="18"/>
                <w:szCs w:val="18"/>
              </w:rPr>
              <w:t>11</w:t>
            </w:r>
          </w:p>
        </w:tc>
        <w:tc>
          <w:tcPr>
            <w:tcW w:w="1020" w:type="dxa"/>
            <w:noWrap/>
            <w:vAlign w:val="center"/>
            <w:hideMark/>
          </w:tcPr>
          <w:p w14:paraId="45604543" w14:textId="77777777" w:rsidR="00B944EE" w:rsidRPr="00ED6612" w:rsidRDefault="00B944EE" w:rsidP="00871AF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auto"/>
                <w:sz w:val="18"/>
                <w:szCs w:val="18"/>
              </w:rPr>
            </w:pPr>
            <w:r w:rsidRPr="00ED6612">
              <w:rPr>
                <w:rFonts w:ascii="Arial" w:eastAsia="Times New Roman" w:hAnsi="Arial" w:cs="Arial"/>
                <w:b/>
                <w:color w:val="auto"/>
                <w:sz w:val="18"/>
                <w:szCs w:val="18"/>
              </w:rPr>
              <w:t>15</w:t>
            </w:r>
          </w:p>
        </w:tc>
        <w:tc>
          <w:tcPr>
            <w:tcW w:w="1020" w:type="dxa"/>
            <w:noWrap/>
            <w:vAlign w:val="center"/>
            <w:hideMark/>
          </w:tcPr>
          <w:p w14:paraId="45604544" w14:textId="77777777" w:rsidR="00B944EE" w:rsidRPr="00ED6612" w:rsidRDefault="00B944EE" w:rsidP="00871AF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auto"/>
                <w:sz w:val="18"/>
                <w:szCs w:val="18"/>
              </w:rPr>
            </w:pPr>
            <w:r w:rsidRPr="00ED6612">
              <w:rPr>
                <w:rFonts w:ascii="Arial" w:eastAsia="Times New Roman" w:hAnsi="Arial" w:cs="Arial"/>
                <w:b/>
                <w:color w:val="auto"/>
                <w:sz w:val="18"/>
                <w:szCs w:val="18"/>
              </w:rPr>
              <w:t>9</w:t>
            </w:r>
          </w:p>
        </w:tc>
        <w:tc>
          <w:tcPr>
            <w:tcW w:w="1020" w:type="dxa"/>
            <w:noWrap/>
            <w:vAlign w:val="center"/>
            <w:hideMark/>
          </w:tcPr>
          <w:p w14:paraId="45604545" w14:textId="77777777" w:rsidR="00B944EE" w:rsidRPr="00ED6612" w:rsidRDefault="00B944EE" w:rsidP="00871AF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ED6612">
              <w:rPr>
                <w:rFonts w:ascii="Arial" w:eastAsia="Times New Roman" w:hAnsi="Arial" w:cs="Arial"/>
                <w:color w:val="000000"/>
                <w:sz w:val="18"/>
                <w:szCs w:val="18"/>
              </w:rPr>
              <w:t>1,143</w:t>
            </w:r>
          </w:p>
        </w:tc>
      </w:tr>
      <w:tr w:rsidR="00DD4306" w:rsidRPr="00ED6612" w14:paraId="4560454E" w14:textId="77777777" w:rsidTr="00DD4306">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1440" w:type="dxa"/>
            <w:noWrap/>
            <w:vAlign w:val="center"/>
            <w:hideMark/>
          </w:tcPr>
          <w:p w14:paraId="45604547" w14:textId="77777777" w:rsidR="00B944EE" w:rsidRPr="00ED6612" w:rsidRDefault="00B944EE" w:rsidP="00F15253">
            <w:pPr>
              <w:rPr>
                <w:rFonts w:ascii="Arial" w:eastAsia="Times New Roman" w:hAnsi="Arial" w:cs="Arial"/>
                <w:b w:val="0"/>
                <w:color w:val="000000"/>
                <w:sz w:val="18"/>
                <w:szCs w:val="18"/>
              </w:rPr>
            </w:pPr>
            <w:r w:rsidRPr="00ED6612">
              <w:rPr>
                <w:rFonts w:ascii="Arial" w:eastAsia="Times New Roman" w:hAnsi="Arial" w:cs="Arial"/>
                <w:b w:val="0"/>
                <w:color w:val="000000"/>
                <w:sz w:val="18"/>
                <w:szCs w:val="18"/>
              </w:rPr>
              <w:t>Renov 1.5</w:t>
            </w:r>
          </w:p>
        </w:tc>
        <w:tc>
          <w:tcPr>
            <w:tcW w:w="1117" w:type="dxa"/>
            <w:noWrap/>
            <w:vAlign w:val="center"/>
            <w:hideMark/>
          </w:tcPr>
          <w:p w14:paraId="45604548" w14:textId="77777777" w:rsidR="00B944EE" w:rsidRPr="00ED6612" w:rsidRDefault="00B944EE" w:rsidP="00871AF4">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ED6612">
              <w:rPr>
                <w:rFonts w:ascii="Arial" w:eastAsia="Times New Roman" w:hAnsi="Arial" w:cs="Arial"/>
                <w:color w:val="000000"/>
                <w:sz w:val="18"/>
                <w:szCs w:val="18"/>
              </w:rPr>
              <w:t>765</w:t>
            </w:r>
          </w:p>
        </w:tc>
        <w:tc>
          <w:tcPr>
            <w:tcW w:w="1160" w:type="dxa"/>
            <w:noWrap/>
            <w:vAlign w:val="center"/>
            <w:hideMark/>
          </w:tcPr>
          <w:p w14:paraId="45604549" w14:textId="77777777" w:rsidR="00B944EE" w:rsidRPr="00ED6612" w:rsidRDefault="00B944EE" w:rsidP="00871AF4">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ED6612">
              <w:rPr>
                <w:rFonts w:ascii="Arial" w:eastAsia="Times New Roman" w:hAnsi="Arial" w:cs="Arial"/>
                <w:color w:val="000000"/>
                <w:sz w:val="18"/>
                <w:szCs w:val="18"/>
              </w:rPr>
              <w:t>516</w:t>
            </w:r>
          </w:p>
        </w:tc>
        <w:tc>
          <w:tcPr>
            <w:tcW w:w="1143" w:type="dxa"/>
            <w:noWrap/>
            <w:vAlign w:val="center"/>
            <w:hideMark/>
          </w:tcPr>
          <w:p w14:paraId="4560454A" w14:textId="77777777" w:rsidR="00B944EE" w:rsidRPr="00ED6612" w:rsidRDefault="00B944EE" w:rsidP="00871AF4">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p>
        </w:tc>
        <w:tc>
          <w:tcPr>
            <w:tcW w:w="1020" w:type="dxa"/>
            <w:noWrap/>
            <w:vAlign w:val="center"/>
            <w:hideMark/>
          </w:tcPr>
          <w:p w14:paraId="4560454B" w14:textId="77777777" w:rsidR="00B944EE" w:rsidRPr="00ED6612" w:rsidRDefault="00B944EE" w:rsidP="00871AF4">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color w:val="auto"/>
                <w:sz w:val="18"/>
                <w:szCs w:val="18"/>
              </w:rPr>
            </w:pPr>
          </w:p>
        </w:tc>
        <w:tc>
          <w:tcPr>
            <w:tcW w:w="1020" w:type="dxa"/>
            <w:noWrap/>
            <w:vAlign w:val="center"/>
            <w:hideMark/>
          </w:tcPr>
          <w:p w14:paraId="4560454C" w14:textId="77777777" w:rsidR="00B944EE" w:rsidRPr="00ED6612" w:rsidRDefault="00B944EE" w:rsidP="00871AF4">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color w:val="auto"/>
                <w:sz w:val="18"/>
                <w:szCs w:val="18"/>
              </w:rPr>
            </w:pPr>
          </w:p>
        </w:tc>
        <w:tc>
          <w:tcPr>
            <w:tcW w:w="1020" w:type="dxa"/>
            <w:noWrap/>
            <w:vAlign w:val="center"/>
            <w:hideMark/>
          </w:tcPr>
          <w:p w14:paraId="4560454D" w14:textId="77777777" w:rsidR="00B944EE" w:rsidRPr="00ED6612" w:rsidRDefault="00B944EE" w:rsidP="00871AF4">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ED6612">
              <w:rPr>
                <w:rFonts w:ascii="Arial" w:eastAsia="Times New Roman" w:hAnsi="Arial" w:cs="Arial"/>
                <w:color w:val="000000"/>
                <w:sz w:val="18"/>
                <w:szCs w:val="18"/>
              </w:rPr>
              <w:t>1,282</w:t>
            </w:r>
          </w:p>
        </w:tc>
      </w:tr>
      <w:tr w:rsidR="00B944EE" w:rsidRPr="00ED6612" w14:paraId="45604556" w14:textId="77777777" w:rsidTr="00871AF4">
        <w:trPr>
          <w:trHeight w:val="285"/>
        </w:trPr>
        <w:tc>
          <w:tcPr>
            <w:cnfStyle w:val="001000000000" w:firstRow="0" w:lastRow="0" w:firstColumn="1" w:lastColumn="0" w:oddVBand="0" w:evenVBand="0" w:oddHBand="0" w:evenHBand="0" w:firstRowFirstColumn="0" w:firstRowLastColumn="0" w:lastRowFirstColumn="0" w:lastRowLastColumn="0"/>
            <w:tcW w:w="1440" w:type="dxa"/>
            <w:noWrap/>
            <w:vAlign w:val="center"/>
            <w:hideMark/>
          </w:tcPr>
          <w:p w14:paraId="4560454F" w14:textId="77777777" w:rsidR="00B944EE" w:rsidRPr="00ED6612" w:rsidRDefault="00B944EE" w:rsidP="00F15253">
            <w:pPr>
              <w:rPr>
                <w:rFonts w:ascii="Arial" w:eastAsia="Times New Roman" w:hAnsi="Arial" w:cs="Arial"/>
                <w:b w:val="0"/>
                <w:color w:val="000000"/>
                <w:sz w:val="18"/>
                <w:szCs w:val="18"/>
              </w:rPr>
            </w:pPr>
            <w:r w:rsidRPr="00ED6612">
              <w:rPr>
                <w:rFonts w:ascii="Arial" w:eastAsia="Times New Roman" w:hAnsi="Arial" w:cs="Arial"/>
                <w:b w:val="0"/>
                <w:color w:val="000000"/>
                <w:sz w:val="18"/>
                <w:szCs w:val="18"/>
              </w:rPr>
              <w:t>Renov 2.0</w:t>
            </w:r>
          </w:p>
        </w:tc>
        <w:tc>
          <w:tcPr>
            <w:tcW w:w="1117" w:type="dxa"/>
            <w:noWrap/>
            <w:vAlign w:val="center"/>
            <w:hideMark/>
          </w:tcPr>
          <w:p w14:paraId="45604550" w14:textId="77777777" w:rsidR="00B944EE" w:rsidRPr="00ED6612" w:rsidRDefault="00B944EE" w:rsidP="00871AF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ED6612">
              <w:rPr>
                <w:rFonts w:ascii="Arial" w:eastAsia="Times New Roman" w:hAnsi="Arial" w:cs="Arial"/>
                <w:color w:val="000000"/>
                <w:sz w:val="18"/>
                <w:szCs w:val="18"/>
              </w:rPr>
              <w:t>666</w:t>
            </w:r>
          </w:p>
        </w:tc>
        <w:tc>
          <w:tcPr>
            <w:tcW w:w="1160" w:type="dxa"/>
            <w:noWrap/>
            <w:vAlign w:val="center"/>
            <w:hideMark/>
          </w:tcPr>
          <w:p w14:paraId="45604551" w14:textId="77777777" w:rsidR="00B944EE" w:rsidRPr="00ED6612" w:rsidRDefault="00B944EE" w:rsidP="00871AF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ED6612">
              <w:rPr>
                <w:rFonts w:ascii="Arial" w:eastAsia="Times New Roman" w:hAnsi="Arial" w:cs="Arial"/>
                <w:color w:val="000000"/>
                <w:sz w:val="18"/>
                <w:szCs w:val="18"/>
              </w:rPr>
              <w:t>557</w:t>
            </w:r>
          </w:p>
        </w:tc>
        <w:tc>
          <w:tcPr>
            <w:tcW w:w="1143" w:type="dxa"/>
            <w:noWrap/>
            <w:vAlign w:val="center"/>
            <w:hideMark/>
          </w:tcPr>
          <w:p w14:paraId="45604552" w14:textId="77777777" w:rsidR="00B944EE" w:rsidRPr="00ED6612" w:rsidRDefault="00B944EE" w:rsidP="00871AF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ED6612">
              <w:rPr>
                <w:rFonts w:ascii="Arial" w:eastAsia="Times New Roman" w:hAnsi="Arial" w:cs="Arial"/>
                <w:color w:val="000000"/>
                <w:sz w:val="18"/>
                <w:szCs w:val="18"/>
              </w:rPr>
              <w:t>21</w:t>
            </w:r>
          </w:p>
        </w:tc>
        <w:tc>
          <w:tcPr>
            <w:tcW w:w="1020" w:type="dxa"/>
            <w:noWrap/>
            <w:vAlign w:val="center"/>
            <w:hideMark/>
          </w:tcPr>
          <w:p w14:paraId="45604553" w14:textId="77777777" w:rsidR="00B944EE" w:rsidRPr="00ED6612" w:rsidRDefault="00B944EE" w:rsidP="00871AF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auto"/>
                <w:sz w:val="18"/>
                <w:szCs w:val="18"/>
              </w:rPr>
            </w:pPr>
            <w:r w:rsidRPr="00ED6612">
              <w:rPr>
                <w:rFonts w:ascii="Arial" w:eastAsia="Times New Roman" w:hAnsi="Arial" w:cs="Arial"/>
                <w:b/>
                <w:color w:val="auto"/>
                <w:sz w:val="18"/>
                <w:szCs w:val="18"/>
              </w:rPr>
              <w:t>117</w:t>
            </w:r>
          </w:p>
        </w:tc>
        <w:tc>
          <w:tcPr>
            <w:tcW w:w="1020" w:type="dxa"/>
            <w:noWrap/>
            <w:vAlign w:val="center"/>
            <w:hideMark/>
          </w:tcPr>
          <w:p w14:paraId="45604554" w14:textId="77777777" w:rsidR="00B944EE" w:rsidRPr="00ED6612" w:rsidRDefault="00B944EE" w:rsidP="00871AF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auto"/>
                <w:sz w:val="18"/>
                <w:szCs w:val="18"/>
              </w:rPr>
            </w:pPr>
            <w:r w:rsidRPr="00ED6612">
              <w:rPr>
                <w:rFonts w:ascii="Arial" w:eastAsia="Times New Roman" w:hAnsi="Arial" w:cs="Arial"/>
                <w:b/>
                <w:color w:val="auto"/>
                <w:sz w:val="18"/>
                <w:szCs w:val="18"/>
              </w:rPr>
              <w:t>48</w:t>
            </w:r>
          </w:p>
        </w:tc>
        <w:tc>
          <w:tcPr>
            <w:tcW w:w="1020" w:type="dxa"/>
            <w:noWrap/>
            <w:vAlign w:val="center"/>
            <w:hideMark/>
          </w:tcPr>
          <w:p w14:paraId="45604555" w14:textId="77777777" w:rsidR="00B944EE" w:rsidRPr="00ED6612" w:rsidRDefault="00B944EE" w:rsidP="00871AF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ED6612">
              <w:rPr>
                <w:rFonts w:ascii="Arial" w:eastAsia="Times New Roman" w:hAnsi="Arial" w:cs="Arial"/>
                <w:color w:val="000000"/>
                <w:sz w:val="18"/>
                <w:szCs w:val="18"/>
              </w:rPr>
              <w:t>1,409</w:t>
            </w:r>
          </w:p>
        </w:tc>
      </w:tr>
      <w:tr w:rsidR="00DD4306" w:rsidRPr="00ED6612" w14:paraId="4560455E" w14:textId="77777777" w:rsidTr="00DD4306">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1440" w:type="dxa"/>
            <w:noWrap/>
            <w:vAlign w:val="center"/>
            <w:hideMark/>
          </w:tcPr>
          <w:p w14:paraId="45604557" w14:textId="77777777" w:rsidR="00B944EE" w:rsidRPr="00ED6612" w:rsidRDefault="00B944EE" w:rsidP="00F15253">
            <w:pPr>
              <w:rPr>
                <w:rFonts w:ascii="Arial" w:eastAsia="Times New Roman" w:hAnsi="Arial" w:cs="Arial"/>
                <w:b w:val="0"/>
                <w:color w:val="000000"/>
                <w:sz w:val="18"/>
                <w:szCs w:val="18"/>
              </w:rPr>
            </w:pPr>
            <w:r w:rsidRPr="00ED6612">
              <w:rPr>
                <w:rFonts w:ascii="Arial" w:eastAsia="Times New Roman" w:hAnsi="Arial" w:cs="Arial"/>
                <w:b w:val="0"/>
                <w:color w:val="000000"/>
                <w:sz w:val="18"/>
                <w:szCs w:val="18"/>
              </w:rPr>
              <w:t>Renov 2.5</w:t>
            </w:r>
          </w:p>
        </w:tc>
        <w:tc>
          <w:tcPr>
            <w:tcW w:w="1117" w:type="dxa"/>
            <w:noWrap/>
            <w:vAlign w:val="center"/>
            <w:hideMark/>
          </w:tcPr>
          <w:p w14:paraId="45604558" w14:textId="77777777" w:rsidR="00B944EE" w:rsidRPr="00ED6612" w:rsidRDefault="00B944EE" w:rsidP="00871AF4">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ED6612">
              <w:rPr>
                <w:rFonts w:ascii="Arial" w:eastAsia="Times New Roman" w:hAnsi="Arial" w:cs="Arial"/>
                <w:color w:val="000000"/>
                <w:sz w:val="18"/>
                <w:szCs w:val="18"/>
              </w:rPr>
              <w:t>328</w:t>
            </w:r>
          </w:p>
        </w:tc>
        <w:tc>
          <w:tcPr>
            <w:tcW w:w="1160" w:type="dxa"/>
            <w:noWrap/>
            <w:vAlign w:val="center"/>
            <w:hideMark/>
          </w:tcPr>
          <w:p w14:paraId="45604559" w14:textId="77777777" w:rsidR="00B944EE" w:rsidRPr="00ED6612" w:rsidRDefault="00B944EE" w:rsidP="00871AF4">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ED6612">
              <w:rPr>
                <w:rFonts w:ascii="Arial" w:eastAsia="Times New Roman" w:hAnsi="Arial" w:cs="Arial"/>
                <w:color w:val="000000"/>
                <w:sz w:val="18"/>
                <w:szCs w:val="18"/>
              </w:rPr>
              <w:t>260</w:t>
            </w:r>
          </w:p>
        </w:tc>
        <w:tc>
          <w:tcPr>
            <w:tcW w:w="1143" w:type="dxa"/>
            <w:noWrap/>
            <w:vAlign w:val="center"/>
            <w:hideMark/>
          </w:tcPr>
          <w:p w14:paraId="4560455A" w14:textId="77777777" w:rsidR="00B944EE" w:rsidRPr="00ED6612" w:rsidRDefault="00B944EE" w:rsidP="00871AF4">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p>
        </w:tc>
        <w:tc>
          <w:tcPr>
            <w:tcW w:w="1020" w:type="dxa"/>
            <w:noWrap/>
            <w:vAlign w:val="center"/>
            <w:hideMark/>
          </w:tcPr>
          <w:p w14:paraId="4560455B" w14:textId="77777777" w:rsidR="00B944EE" w:rsidRPr="00ED6612" w:rsidRDefault="00B944EE" w:rsidP="00871AF4">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color w:val="auto"/>
                <w:sz w:val="18"/>
                <w:szCs w:val="18"/>
              </w:rPr>
            </w:pPr>
            <w:r w:rsidRPr="00ED6612">
              <w:rPr>
                <w:rFonts w:ascii="Arial" w:eastAsia="Times New Roman" w:hAnsi="Arial" w:cs="Arial"/>
                <w:b/>
                <w:color w:val="auto"/>
                <w:sz w:val="18"/>
                <w:szCs w:val="18"/>
              </w:rPr>
              <w:t>26</w:t>
            </w:r>
          </w:p>
        </w:tc>
        <w:tc>
          <w:tcPr>
            <w:tcW w:w="1020" w:type="dxa"/>
            <w:noWrap/>
            <w:vAlign w:val="center"/>
            <w:hideMark/>
          </w:tcPr>
          <w:p w14:paraId="4560455C" w14:textId="77777777" w:rsidR="00B944EE" w:rsidRPr="00ED6612" w:rsidRDefault="00B944EE" w:rsidP="00871AF4">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color w:val="auto"/>
                <w:sz w:val="18"/>
                <w:szCs w:val="18"/>
              </w:rPr>
            </w:pPr>
            <w:r w:rsidRPr="00ED6612">
              <w:rPr>
                <w:rFonts w:ascii="Arial" w:eastAsia="Times New Roman" w:hAnsi="Arial" w:cs="Arial"/>
                <w:b/>
                <w:color w:val="auto"/>
                <w:sz w:val="18"/>
                <w:szCs w:val="18"/>
              </w:rPr>
              <w:t>21</w:t>
            </w:r>
          </w:p>
        </w:tc>
        <w:tc>
          <w:tcPr>
            <w:tcW w:w="1020" w:type="dxa"/>
            <w:noWrap/>
            <w:vAlign w:val="center"/>
            <w:hideMark/>
          </w:tcPr>
          <w:p w14:paraId="4560455D" w14:textId="77777777" w:rsidR="00B944EE" w:rsidRPr="00ED6612" w:rsidRDefault="00B944EE" w:rsidP="00871AF4">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ED6612">
              <w:rPr>
                <w:rFonts w:ascii="Arial" w:eastAsia="Times New Roman" w:hAnsi="Arial" w:cs="Arial"/>
                <w:color w:val="000000"/>
                <w:sz w:val="18"/>
                <w:szCs w:val="18"/>
              </w:rPr>
              <w:t>634</w:t>
            </w:r>
          </w:p>
        </w:tc>
      </w:tr>
      <w:tr w:rsidR="00DD4306" w:rsidRPr="00ED6612" w14:paraId="45604566" w14:textId="77777777" w:rsidTr="00DD4306">
        <w:trPr>
          <w:trHeight w:val="285"/>
        </w:trPr>
        <w:tc>
          <w:tcPr>
            <w:cnfStyle w:val="001000000000" w:firstRow="0" w:lastRow="0" w:firstColumn="1" w:lastColumn="0" w:oddVBand="0" w:evenVBand="0" w:oddHBand="0" w:evenHBand="0" w:firstRowFirstColumn="0" w:firstRowLastColumn="0" w:lastRowFirstColumn="0" w:lastRowLastColumn="0"/>
            <w:tcW w:w="1440" w:type="dxa"/>
            <w:noWrap/>
            <w:vAlign w:val="center"/>
            <w:hideMark/>
          </w:tcPr>
          <w:p w14:paraId="4560455F" w14:textId="77777777" w:rsidR="00B944EE" w:rsidRPr="00ED6612" w:rsidRDefault="00B944EE" w:rsidP="00F15253">
            <w:pPr>
              <w:rPr>
                <w:rFonts w:ascii="Arial" w:eastAsia="Times New Roman" w:hAnsi="Arial" w:cs="Arial"/>
                <w:b w:val="0"/>
                <w:color w:val="000000"/>
                <w:sz w:val="18"/>
                <w:szCs w:val="18"/>
              </w:rPr>
            </w:pPr>
            <w:r w:rsidRPr="00ED6612">
              <w:rPr>
                <w:rFonts w:ascii="Arial" w:eastAsia="Times New Roman" w:hAnsi="Arial" w:cs="Arial"/>
                <w:b w:val="0"/>
                <w:color w:val="000000"/>
                <w:sz w:val="18"/>
                <w:szCs w:val="18"/>
              </w:rPr>
              <w:t>Total</w:t>
            </w:r>
          </w:p>
        </w:tc>
        <w:tc>
          <w:tcPr>
            <w:tcW w:w="1117" w:type="dxa"/>
            <w:noWrap/>
            <w:vAlign w:val="center"/>
            <w:hideMark/>
          </w:tcPr>
          <w:p w14:paraId="45604560" w14:textId="77777777" w:rsidR="00B944EE" w:rsidRPr="00ED6612" w:rsidRDefault="00B944EE" w:rsidP="00871AF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color w:val="000000"/>
                <w:sz w:val="18"/>
                <w:szCs w:val="18"/>
              </w:rPr>
            </w:pPr>
            <w:r w:rsidRPr="00ED6612">
              <w:rPr>
                <w:rFonts w:ascii="Arial" w:eastAsia="Times New Roman" w:hAnsi="Arial" w:cs="Arial"/>
                <w:bCs/>
                <w:color w:val="000000"/>
                <w:sz w:val="18"/>
                <w:szCs w:val="18"/>
              </w:rPr>
              <w:t>2,467</w:t>
            </w:r>
          </w:p>
        </w:tc>
        <w:tc>
          <w:tcPr>
            <w:tcW w:w="1160" w:type="dxa"/>
            <w:noWrap/>
            <w:vAlign w:val="center"/>
            <w:hideMark/>
          </w:tcPr>
          <w:p w14:paraId="45604561" w14:textId="77777777" w:rsidR="00B944EE" w:rsidRPr="00ED6612" w:rsidRDefault="00B944EE" w:rsidP="00871AF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color w:val="000000"/>
                <w:sz w:val="18"/>
                <w:szCs w:val="18"/>
              </w:rPr>
            </w:pPr>
            <w:r w:rsidRPr="00ED6612">
              <w:rPr>
                <w:rFonts w:ascii="Arial" w:eastAsia="Times New Roman" w:hAnsi="Arial" w:cs="Arial"/>
                <w:bCs/>
                <w:color w:val="000000"/>
                <w:sz w:val="18"/>
                <w:szCs w:val="18"/>
              </w:rPr>
              <w:t>1,733</w:t>
            </w:r>
          </w:p>
        </w:tc>
        <w:tc>
          <w:tcPr>
            <w:tcW w:w="1143" w:type="dxa"/>
            <w:noWrap/>
            <w:vAlign w:val="center"/>
            <w:hideMark/>
          </w:tcPr>
          <w:p w14:paraId="45604562" w14:textId="77777777" w:rsidR="00B944EE" w:rsidRPr="00ED6612" w:rsidRDefault="00B944EE" w:rsidP="00871AF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color w:val="000000"/>
                <w:sz w:val="18"/>
                <w:szCs w:val="18"/>
              </w:rPr>
            </w:pPr>
            <w:r w:rsidRPr="00ED6612">
              <w:rPr>
                <w:rFonts w:ascii="Arial" w:eastAsia="Times New Roman" w:hAnsi="Arial" w:cs="Arial"/>
                <w:bCs/>
                <w:color w:val="000000"/>
                <w:sz w:val="18"/>
                <w:szCs w:val="18"/>
              </w:rPr>
              <w:t>32</w:t>
            </w:r>
          </w:p>
        </w:tc>
        <w:tc>
          <w:tcPr>
            <w:tcW w:w="1020" w:type="dxa"/>
            <w:noWrap/>
            <w:vAlign w:val="center"/>
            <w:hideMark/>
          </w:tcPr>
          <w:p w14:paraId="45604563" w14:textId="77777777" w:rsidR="00B944EE" w:rsidRPr="00ED6612" w:rsidRDefault="00B944EE" w:rsidP="00871AF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auto"/>
                <w:sz w:val="18"/>
                <w:szCs w:val="18"/>
              </w:rPr>
            </w:pPr>
            <w:r w:rsidRPr="00ED6612">
              <w:rPr>
                <w:rFonts w:ascii="Arial" w:eastAsia="Times New Roman" w:hAnsi="Arial" w:cs="Arial"/>
                <w:b/>
                <w:bCs/>
                <w:color w:val="auto"/>
                <w:sz w:val="18"/>
                <w:szCs w:val="18"/>
              </w:rPr>
              <w:t>158</w:t>
            </w:r>
          </w:p>
        </w:tc>
        <w:tc>
          <w:tcPr>
            <w:tcW w:w="1020" w:type="dxa"/>
            <w:noWrap/>
            <w:vAlign w:val="center"/>
            <w:hideMark/>
          </w:tcPr>
          <w:p w14:paraId="45604564" w14:textId="77777777" w:rsidR="00B944EE" w:rsidRPr="00ED6612" w:rsidRDefault="00B944EE" w:rsidP="00871AF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auto"/>
                <w:sz w:val="18"/>
                <w:szCs w:val="18"/>
              </w:rPr>
            </w:pPr>
            <w:r w:rsidRPr="00ED6612">
              <w:rPr>
                <w:rFonts w:ascii="Arial" w:eastAsia="Times New Roman" w:hAnsi="Arial" w:cs="Arial"/>
                <w:b/>
                <w:bCs/>
                <w:color w:val="auto"/>
                <w:sz w:val="18"/>
                <w:szCs w:val="18"/>
              </w:rPr>
              <w:t>78</w:t>
            </w:r>
          </w:p>
        </w:tc>
        <w:tc>
          <w:tcPr>
            <w:tcW w:w="1020" w:type="dxa"/>
            <w:noWrap/>
            <w:vAlign w:val="center"/>
            <w:hideMark/>
          </w:tcPr>
          <w:p w14:paraId="45604565" w14:textId="77777777" w:rsidR="00B944EE" w:rsidRPr="00ED6612" w:rsidRDefault="00B944EE" w:rsidP="00871AF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color w:val="000000"/>
                <w:sz w:val="18"/>
                <w:szCs w:val="18"/>
              </w:rPr>
            </w:pPr>
            <w:r w:rsidRPr="00ED6612">
              <w:rPr>
                <w:rFonts w:ascii="Arial" w:eastAsia="Times New Roman" w:hAnsi="Arial" w:cs="Arial"/>
                <w:bCs/>
                <w:color w:val="000000"/>
                <w:sz w:val="18"/>
                <w:szCs w:val="18"/>
              </w:rPr>
              <w:t>4,467</w:t>
            </w:r>
          </w:p>
        </w:tc>
      </w:tr>
    </w:tbl>
    <w:p w14:paraId="45604567" w14:textId="77777777" w:rsidR="00B944EE" w:rsidRPr="00ED6612" w:rsidRDefault="00B944EE" w:rsidP="00871AF4">
      <w:pPr>
        <w:pStyle w:val="Paragraph"/>
        <w:tabs>
          <w:tab w:val="clear" w:pos="720"/>
          <w:tab w:val="num" w:pos="1800"/>
        </w:tabs>
        <w:spacing w:before="0" w:afterLines="80" w:after="192"/>
        <w:ind w:firstLine="0"/>
        <w:rPr>
          <w:rFonts w:ascii="Arial" w:hAnsi="Arial" w:cs="Arial"/>
          <w:sz w:val="18"/>
        </w:rPr>
      </w:pPr>
      <w:r w:rsidRPr="00ED6612">
        <w:rPr>
          <w:rFonts w:ascii="Arial" w:hAnsi="Arial" w:cs="Arial"/>
          <w:sz w:val="18"/>
        </w:rPr>
        <w:t>* Information is current as of December 2017</w:t>
      </w:r>
    </w:p>
    <w:bookmarkEnd w:id="37"/>
    <w:p w14:paraId="45604568" w14:textId="1737DC1D" w:rsidR="00141E0C" w:rsidRPr="00ED6612" w:rsidRDefault="00141E0C" w:rsidP="008E3817">
      <w:pPr>
        <w:pStyle w:val="Paragraph"/>
        <w:numPr>
          <w:ilvl w:val="1"/>
          <w:numId w:val="4"/>
        </w:numPr>
        <w:spacing w:afterLines="80" w:after="192"/>
        <w:ind w:left="720" w:hanging="720"/>
        <w:rPr>
          <w:rFonts w:ascii="Arial" w:hAnsi="Arial" w:cs="Arial"/>
          <w:sz w:val="22"/>
        </w:rPr>
      </w:pPr>
      <w:r w:rsidRPr="00ED6612">
        <w:rPr>
          <w:rFonts w:ascii="Arial" w:hAnsi="Arial" w:cs="Arial"/>
          <w:sz w:val="22"/>
        </w:rPr>
        <w:t xml:space="preserve">Related to the above, an assumption is made that all complementary TC activities included in the </w:t>
      </w:r>
      <w:r w:rsidR="00D11E5F">
        <w:rPr>
          <w:rFonts w:ascii="Arial" w:hAnsi="Arial" w:cs="Arial"/>
          <w:sz w:val="22"/>
        </w:rPr>
        <w:t>project</w:t>
      </w:r>
      <w:r w:rsidRPr="00ED6612">
        <w:rPr>
          <w:rFonts w:ascii="Arial" w:hAnsi="Arial" w:cs="Arial"/>
          <w:sz w:val="22"/>
        </w:rPr>
        <w:t xml:space="preserve"> AR-</w:t>
      </w:r>
      <w:r w:rsidR="00C72359" w:rsidRPr="00ED6612">
        <w:rPr>
          <w:rFonts w:ascii="Arial" w:hAnsi="Arial" w:cs="Arial"/>
          <w:sz w:val="22"/>
        </w:rPr>
        <w:t xml:space="preserve">T1213 </w:t>
      </w:r>
      <w:r w:rsidRPr="00ED6612">
        <w:rPr>
          <w:rFonts w:ascii="Arial" w:hAnsi="Arial" w:cs="Arial"/>
          <w:sz w:val="22"/>
        </w:rPr>
        <w:t>(see ¶</w:t>
      </w:r>
      <w:r w:rsidRPr="00ED6612">
        <w:rPr>
          <w:rFonts w:ascii="Arial" w:hAnsi="Arial" w:cs="Arial"/>
          <w:sz w:val="22"/>
        </w:rPr>
        <w:fldChar w:fldCharType="begin"/>
      </w:r>
      <w:r w:rsidRPr="00ED6612">
        <w:rPr>
          <w:rFonts w:ascii="Arial" w:hAnsi="Arial" w:cs="Arial"/>
          <w:sz w:val="22"/>
        </w:rPr>
        <w:instrText xml:space="preserve"> REF _Ref503448360 \r \h </w:instrText>
      </w:r>
      <w:r w:rsidRPr="00ED6612">
        <w:rPr>
          <w:rFonts w:ascii="Arial" w:hAnsi="Arial" w:cs="Arial"/>
          <w:sz w:val="22"/>
        </w:rPr>
      </w:r>
      <w:r w:rsidRPr="00ED6612">
        <w:rPr>
          <w:rFonts w:ascii="Arial" w:hAnsi="Arial" w:cs="Arial"/>
          <w:sz w:val="22"/>
        </w:rPr>
        <w:fldChar w:fldCharType="separate"/>
      </w:r>
      <w:r w:rsidRPr="00ED6612">
        <w:rPr>
          <w:rFonts w:ascii="Arial" w:hAnsi="Arial" w:cs="Arial"/>
          <w:sz w:val="22"/>
        </w:rPr>
        <w:t>1.7</w:t>
      </w:r>
      <w:r w:rsidRPr="00ED6612">
        <w:rPr>
          <w:rFonts w:ascii="Arial" w:hAnsi="Arial" w:cs="Arial"/>
          <w:sz w:val="22"/>
        </w:rPr>
        <w:fldChar w:fldCharType="end"/>
      </w:r>
      <w:r w:rsidRPr="00ED6612">
        <w:rPr>
          <w:rFonts w:ascii="Arial" w:hAnsi="Arial" w:cs="Arial"/>
          <w:sz w:val="22"/>
        </w:rPr>
        <w:t xml:space="preserve">) will be successfully deployed and effective in raising awareness among all relevant actors in the sector on the convenience, opportunity and need to introduce </w:t>
      </w:r>
      <w:r w:rsidR="00725864" w:rsidRPr="00ED6612">
        <w:rPr>
          <w:rFonts w:ascii="Arial" w:hAnsi="Arial" w:cs="Arial"/>
          <w:sz w:val="22"/>
        </w:rPr>
        <w:t xml:space="preserve">RE and </w:t>
      </w:r>
      <w:r w:rsidRPr="00ED6612">
        <w:rPr>
          <w:rFonts w:ascii="Arial" w:hAnsi="Arial" w:cs="Arial"/>
          <w:sz w:val="22"/>
        </w:rPr>
        <w:t xml:space="preserve">EE improvements. </w:t>
      </w:r>
    </w:p>
    <w:p w14:paraId="45604569" w14:textId="5FE5601B" w:rsidR="007C55B9" w:rsidRPr="00ED6612" w:rsidRDefault="00141E0C" w:rsidP="008E3817">
      <w:pPr>
        <w:pStyle w:val="Paragraph"/>
        <w:numPr>
          <w:ilvl w:val="1"/>
          <w:numId w:val="4"/>
        </w:numPr>
        <w:spacing w:afterLines="80" w:after="192"/>
        <w:ind w:left="720" w:hanging="720"/>
        <w:rPr>
          <w:rFonts w:ascii="Arial" w:hAnsi="Arial" w:cs="Arial"/>
        </w:rPr>
      </w:pPr>
      <w:r w:rsidRPr="00ED6612">
        <w:rPr>
          <w:rFonts w:ascii="Arial" w:hAnsi="Arial" w:cs="Arial"/>
          <w:sz w:val="22"/>
        </w:rPr>
        <w:t xml:space="preserve">The analysis is </w:t>
      </w:r>
      <w:r w:rsidR="007C55B9" w:rsidRPr="00ED6612">
        <w:rPr>
          <w:rFonts w:ascii="Arial" w:hAnsi="Arial" w:cs="Arial"/>
          <w:sz w:val="22"/>
        </w:rPr>
        <w:t xml:space="preserve">considered </w:t>
      </w:r>
      <w:r w:rsidRPr="00ED6612">
        <w:rPr>
          <w:rFonts w:ascii="Arial" w:hAnsi="Arial" w:cs="Arial"/>
          <w:sz w:val="22"/>
        </w:rPr>
        <w:t xml:space="preserve">conservative, as it </w:t>
      </w:r>
      <w:r w:rsidR="007C55B9" w:rsidRPr="00ED6612">
        <w:rPr>
          <w:rFonts w:ascii="Arial" w:hAnsi="Arial" w:cs="Arial"/>
          <w:sz w:val="22"/>
        </w:rPr>
        <w:t xml:space="preserve">does not incorporate </w:t>
      </w:r>
      <w:r w:rsidR="00725864" w:rsidRPr="00ED6612">
        <w:rPr>
          <w:rFonts w:ascii="Arial" w:hAnsi="Arial" w:cs="Arial"/>
          <w:sz w:val="22"/>
        </w:rPr>
        <w:t>some</w:t>
      </w:r>
      <w:r w:rsidR="007C55B9" w:rsidRPr="00ED6612">
        <w:rPr>
          <w:rFonts w:ascii="Arial" w:hAnsi="Arial" w:cs="Arial"/>
          <w:sz w:val="22"/>
        </w:rPr>
        <w:t xml:space="preserve"> </w:t>
      </w:r>
      <w:r w:rsidRPr="00ED6612">
        <w:rPr>
          <w:rFonts w:ascii="Arial" w:hAnsi="Arial" w:cs="Arial"/>
          <w:sz w:val="22"/>
        </w:rPr>
        <w:t xml:space="preserve">additional </w:t>
      </w:r>
      <w:r w:rsidR="007C55B9" w:rsidRPr="00ED6612">
        <w:rPr>
          <w:rFonts w:ascii="Arial" w:hAnsi="Arial" w:cs="Arial"/>
          <w:sz w:val="22"/>
        </w:rPr>
        <w:t>c</w:t>
      </w:r>
      <w:r w:rsidRPr="00ED6612">
        <w:rPr>
          <w:rFonts w:ascii="Arial" w:hAnsi="Arial" w:cs="Arial"/>
          <w:sz w:val="22"/>
        </w:rPr>
        <w:t>o-benefits,</w:t>
      </w:r>
      <w:r w:rsidR="007C55B9" w:rsidRPr="00ED6612">
        <w:rPr>
          <w:rFonts w:ascii="Arial" w:hAnsi="Arial" w:cs="Arial"/>
          <w:sz w:val="22"/>
        </w:rPr>
        <w:t xml:space="preserve"> which </w:t>
      </w:r>
      <w:r w:rsidRPr="00ED6612">
        <w:rPr>
          <w:rFonts w:ascii="Arial" w:hAnsi="Arial" w:cs="Arial"/>
          <w:sz w:val="22"/>
        </w:rPr>
        <w:t>are not possible to quantify accurately</w:t>
      </w:r>
      <w:r w:rsidR="007C55B9" w:rsidRPr="00ED6612">
        <w:rPr>
          <w:rFonts w:ascii="Arial" w:hAnsi="Arial" w:cs="Arial"/>
          <w:sz w:val="22"/>
        </w:rPr>
        <w:t xml:space="preserve"> within the scope of the </w:t>
      </w:r>
      <w:r w:rsidR="00D11E5F">
        <w:rPr>
          <w:rFonts w:ascii="Arial" w:hAnsi="Arial" w:cs="Arial"/>
          <w:sz w:val="22"/>
        </w:rPr>
        <w:t>project</w:t>
      </w:r>
      <w:r w:rsidRPr="00ED6612">
        <w:rPr>
          <w:rFonts w:ascii="Arial" w:hAnsi="Arial" w:cs="Arial"/>
          <w:sz w:val="20"/>
        </w:rPr>
        <w:t>.</w:t>
      </w:r>
      <w:r w:rsidR="007C55B9" w:rsidRPr="00ED6612">
        <w:rPr>
          <w:rFonts w:ascii="Arial" w:hAnsi="Arial" w:cs="Arial"/>
          <w:sz w:val="20"/>
        </w:rPr>
        <w:t xml:space="preserve"> </w:t>
      </w:r>
      <w:r w:rsidR="007C55B9" w:rsidRPr="00ED6612">
        <w:rPr>
          <w:rFonts w:ascii="Arial" w:hAnsi="Arial" w:cs="Arial"/>
          <w:sz w:val="22"/>
        </w:rPr>
        <w:t xml:space="preserve">There are far-reaching social and economic benefits for society that result from reducing carbon emissions and ensuring universal access to modern energy services. In general, access to affordable and non-polluting energy services is a prerequisite for achieving economic empowerment and poverty reduction. </w:t>
      </w:r>
      <w:r w:rsidR="00174A04" w:rsidRPr="00ED6612">
        <w:rPr>
          <w:rFonts w:ascii="Arial" w:hAnsi="Arial" w:cs="Arial"/>
          <w:sz w:val="22"/>
        </w:rPr>
        <w:t>Specifically, some of the c</w:t>
      </w:r>
      <w:r w:rsidR="007C55B9" w:rsidRPr="00ED6612">
        <w:rPr>
          <w:rFonts w:ascii="Arial" w:hAnsi="Arial" w:cs="Arial"/>
          <w:sz w:val="22"/>
        </w:rPr>
        <w:t xml:space="preserve">o-benefits expected as a result of </w:t>
      </w:r>
      <w:r w:rsidR="00D11E5F">
        <w:rPr>
          <w:rFonts w:ascii="Arial" w:hAnsi="Arial" w:cs="Arial"/>
          <w:sz w:val="22"/>
        </w:rPr>
        <w:t>project</w:t>
      </w:r>
      <w:r w:rsidR="007C55B9" w:rsidRPr="00ED6612">
        <w:rPr>
          <w:rFonts w:ascii="Arial" w:hAnsi="Arial" w:cs="Arial"/>
          <w:sz w:val="22"/>
        </w:rPr>
        <w:t xml:space="preserve"> implementation</w:t>
      </w:r>
      <w:r w:rsidR="00174A04" w:rsidRPr="00ED6612">
        <w:rPr>
          <w:rFonts w:ascii="Arial" w:hAnsi="Arial" w:cs="Arial"/>
          <w:sz w:val="22"/>
        </w:rPr>
        <w:t xml:space="preserve"> include:</w:t>
      </w:r>
    </w:p>
    <w:p w14:paraId="4560456A" w14:textId="77777777" w:rsidR="00D24EEC" w:rsidRPr="00ED6612" w:rsidRDefault="007C55B9" w:rsidP="008E3817">
      <w:pPr>
        <w:pStyle w:val="Paragraph"/>
        <w:numPr>
          <w:ilvl w:val="1"/>
          <w:numId w:val="6"/>
        </w:numPr>
        <w:tabs>
          <w:tab w:val="clear" w:pos="1476"/>
        </w:tabs>
        <w:spacing w:afterLines="80" w:after="192"/>
        <w:ind w:hanging="396"/>
        <w:rPr>
          <w:rFonts w:ascii="Arial" w:hAnsi="Arial" w:cs="Arial"/>
        </w:rPr>
      </w:pPr>
      <w:r w:rsidRPr="00ED6612">
        <w:rPr>
          <w:rFonts w:ascii="Arial" w:hAnsi="Arial" w:cs="Arial"/>
          <w:sz w:val="22"/>
        </w:rPr>
        <w:t>Positive effects on long-term net reductions on electricity consumer prices (relative to non-subsidized prices) and avoided costs due to a reduced dependency on fuel imports and fuel price volatility (particularly in Argentina, which has been a net importer of energy since 2011), savings in reduced infrastructure investments for energy supply</w:t>
      </w:r>
      <w:r w:rsidR="00D24EEC" w:rsidRPr="00ED6612">
        <w:rPr>
          <w:rFonts w:ascii="Arial" w:hAnsi="Arial" w:cs="Arial"/>
          <w:sz w:val="22"/>
        </w:rPr>
        <w:t xml:space="preserve"> (generation, transmission and distribution)</w:t>
      </w:r>
      <w:r w:rsidRPr="00ED6612">
        <w:rPr>
          <w:rFonts w:ascii="Arial" w:hAnsi="Arial" w:cs="Arial"/>
          <w:sz w:val="22"/>
        </w:rPr>
        <w:t xml:space="preserve">, </w:t>
      </w:r>
      <w:r w:rsidR="00D24EEC" w:rsidRPr="00ED6612">
        <w:rPr>
          <w:rFonts w:ascii="Arial" w:hAnsi="Arial" w:cs="Arial"/>
          <w:sz w:val="22"/>
        </w:rPr>
        <w:t>improved system reliability, the possibility to delay or defer</w:t>
      </w:r>
      <w:r w:rsidRPr="00ED6612">
        <w:rPr>
          <w:rFonts w:ascii="Arial" w:hAnsi="Arial" w:cs="Arial"/>
          <w:sz w:val="22"/>
        </w:rPr>
        <w:t xml:space="preserve"> investments in generation capacity and </w:t>
      </w:r>
      <w:r w:rsidR="00D24EEC" w:rsidRPr="00ED6612">
        <w:rPr>
          <w:rFonts w:ascii="Arial" w:hAnsi="Arial" w:cs="Arial"/>
          <w:sz w:val="22"/>
        </w:rPr>
        <w:t xml:space="preserve">system upgrades, </w:t>
      </w:r>
      <w:r w:rsidRPr="00ED6612">
        <w:rPr>
          <w:rFonts w:ascii="Arial" w:hAnsi="Arial" w:cs="Arial"/>
          <w:sz w:val="22"/>
        </w:rPr>
        <w:t>significant savings in electricity subsidies.</w:t>
      </w:r>
    </w:p>
    <w:p w14:paraId="4560456B" w14:textId="7B27A8F4" w:rsidR="007C55B9" w:rsidRPr="00ED6612" w:rsidRDefault="00174A04" w:rsidP="008E3817">
      <w:pPr>
        <w:pStyle w:val="Paragraph"/>
        <w:numPr>
          <w:ilvl w:val="1"/>
          <w:numId w:val="6"/>
        </w:numPr>
        <w:spacing w:afterLines="80" w:after="192"/>
        <w:ind w:hanging="396"/>
        <w:rPr>
          <w:rFonts w:ascii="Arial" w:hAnsi="Arial" w:cs="Arial"/>
          <w:sz w:val="22"/>
        </w:rPr>
      </w:pPr>
      <w:r w:rsidRPr="00ED6612">
        <w:rPr>
          <w:rFonts w:ascii="Arial" w:hAnsi="Arial" w:cs="Arial"/>
          <w:sz w:val="22"/>
        </w:rPr>
        <w:t>Especially i</w:t>
      </w:r>
      <w:r w:rsidR="007C55B9" w:rsidRPr="00ED6612">
        <w:rPr>
          <w:rFonts w:ascii="Arial" w:hAnsi="Arial" w:cs="Arial"/>
          <w:sz w:val="22"/>
        </w:rPr>
        <w:t xml:space="preserve">n the case of SMEs that will be </w:t>
      </w:r>
      <w:r w:rsidRPr="00ED6612">
        <w:rPr>
          <w:rFonts w:ascii="Arial" w:hAnsi="Arial" w:cs="Arial"/>
          <w:sz w:val="22"/>
        </w:rPr>
        <w:t>investing in</w:t>
      </w:r>
      <w:r w:rsidR="007C55B9" w:rsidRPr="00ED6612">
        <w:rPr>
          <w:rFonts w:ascii="Arial" w:hAnsi="Arial" w:cs="Arial"/>
          <w:sz w:val="22"/>
        </w:rPr>
        <w:t xml:space="preserve"> EE </w:t>
      </w:r>
      <w:r w:rsidRPr="00ED6612">
        <w:rPr>
          <w:rFonts w:ascii="Arial" w:hAnsi="Arial" w:cs="Arial"/>
          <w:sz w:val="22"/>
        </w:rPr>
        <w:t xml:space="preserve">as a result of the </w:t>
      </w:r>
      <w:r w:rsidR="00D11E5F">
        <w:rPr>
          <w:rFonts w:ascii="Arial" w:hAnsi="Arial" w:cs="Arial"/>
          <w:sz w:val="22"/>
        </w:rPr>
        <w:t>project</w:t>
      </w:r>
      <w:r w:rsidR="007C55B9" w:rsidRPr="00ED6612">
        <w:rPr>
          <w:rFonts w:ascii="Arial" w:hAnsi="Arial" w:cs="Arial"/>
          <w:sz w:val="22"/>
        </w:rPr>
        <w:t>, their operation will become more cost-efficient</w:t>
      </w:r>
      <w:r w:rsidRPr="00ED6612">
        <w:rPr>
          <w:rFonts w:ascii="Arial" w:hAnsi="Arial" w:cs="Arial"/>
          <w:sz w:val="22"/>
        </w:rPr>
        <w:t>, which has a direct impact in their competitiveness</w:t>
      </w:r>
      <w:r w:rsidR="00D24EEC" w:rsidRPr="00ED6612">
        <w:rPr>
          <w:rFonts w:ascii="Arial" w:hAnsi="Arial" w:cs="Arial"/>
          <w:sz w:val="22"/>
        </w:rPr>
        <w:t>, profitability, production and product quality, and improving the working environment while also reducing costs for O&amp;M and for environmental compliance</w:t>
      </w:r>
      <w:r w:rsidRPr="00ED6612">
        <w:rPr>
          <w:rFonts w:ascii="Arial" w:hAnsi="Arial" w:cs="Arial"/>
          <w:sz w:val="22"/>
        </w:rPr>
        <w:t>.</w:t>
      </w:r>
      <w:r w:rsidR="00D24EEC" w:rsidRPr="00ED6612">
        <w:rPr>
          <w:rStyle w:val="FootnoteReference"/>
          <w:rFonts w:ascii="Arial" w:hAnsi="Arial" w:cs="Arial"/>
          <w:sz w:val="22"/>
        </w:rPr>
        <w:footnoteReference w:id="26"/>
      </w:r>
      <w:r w:rsidR="007C55B9" w:rsidRPr="00ED6612">
        <w:rPr>
          <w:rFonts w:ascii="Arial" w:hAnsi="Arial" w:cs="Arial"/>
          <w:sz w:val="22"/>
        </w:rPr>
        <w:t xml:space="preserve"> Where projects include </w:t>
      </w:r>
      <w:r w:rsidR="007C55B9" w:rsidRPr="00ED6612">
        <w:rPr>
          <w:rFonts w:ascii="Arial" w:hAnsi="Arial" w:cs="Arial"/>
          <w:sz w:val="22"/>
        </w:rPr>
        <w:lastRenderedPageBreak/>
        <w:t>trade-intensive industries, productivity gains could translate in increased inflows of foreign exchange.</w:t>
      </w:r>
      <w:r w:rsidR="00D24EEC" w:rsidRPr="00ED6612">
        <w:rPr>
          <w:rFonts w:ascii="Arial" w:hAnsi="Arial" w:cs="Arial"/>
          <w:sz w:val="22"/>
        </w:rPr>
        <w:t xml:space="preserve"> </w:t>
      </w:r>
    </w:p>
    <w:p w14:paraId="4560456C" w14:textId="77777777" w:rsidR="007C55B9" w:rsidRPr="00ED6612" w:rsidRDefault="00174A04" w:rsidP="008E3817">
      <w:pPr>
        <w:pStyle w:val="Paragraph"/>
        <w:numPr>
          <w:ilvl w:val="1"/>
          <w:numId w:val="6"/>
        </w:numPr>
        <w:spacing w:afterLines="80" w:after="192"/>
        <w:ind w:hanging="396"/>
        <w:rPr>
          <w:rFonts w:ascii="Arial" w:hAnsi="Arial" w:cs="Arial"/>
          <w:sz w:val="22"/>
        </w:rPr>
      </w:pPr>
      <w:r w:rsidRPr="00ED6612">
        <w:rPr>
          <w:rFonts w:ascii="Arial" w:hAnsi="Arial" w:cs="Arial"/>
          <w:sz w:val="22"/>
        </w:rPr>
        <w:t>A</w:t>
      </w:r>
      <w:r w:rsidR="007C55B9" w:rsidRPr="00ED6612">
        <w:rPr>
          <w:rFonts w:ascii="Arial" w:hAnsi="Arial" w:cs="Arial"/>
          <w:sz w:val="22"/>
        </w:rPr>
        <w:t xml:space="preserve"> range of local and regional air quality benefits, as air pollution from energy generation includes SO2, NOx, and Mercury (Hg), in addition to GHG emissions.</w:t>
      </w:r>
    </w:p>
    <w:p w14:paraId="4560456D" w14:textId="77777777" w:rsidR="007C55B9" w:rsidRPr="00ED6612" w:rsidRDefault="007C55B9" w:rsidP="008E3817">
      <w:pPr>
        <w:pStyle w:val="Paragraph"/>
        <w:numPr>
          <w:ilvl w:val="1"/>
          <w:numId w:val="6"/>
        </w:numPr>
        <w:spacing w:afterLines="80" w:after="192"/>
        <w:ind w:hanging="396"/>
        <w:rPr>
          <w:rFonts w:ascii="Arial" w:hAnsi="Arial" w:cs="Arial"/>
          <w:sz w:val="22"/>
        </w:rPr>
      </w:pPr>
      <w:r w:rsidRPr="00ED6612">
        <w:rPr>
          <w:rFonts w:ascii="Arial" w:hAnsi="Arial" w:cs="Arial"/>
          <w:sz w:val="22"/>
        </w:rPr>
        <w:t>Develop</w:t>
      </w:r>
      <w:r w:rsidR="002C7FC7" w:rsidRPr="00ED6612">
        <w:rPr>
          <w:rFonts w:ascii="Arial" w:hAnsi="Arial" w:cs="Arial"/>
          <w:sz w:val="22"/>
        </w:rPr>
        <w:t xml:space="preserve">ment of </w:t>
      </w:r>
      <w:r w:rsidRPr="00ED6612">
        <w:rPr>
          <w:rFonts w:ascii="Arial" w:hAnsi="Arial" w:cs="Arial"/>
          <w:sz w:val="22"/>
        </w:rPr>
        <w:t xml:space="preserve">the </w:t>
      </w:r>
      <w:r w:rsidR="002C7FC7" w:rsidRPr="00ED6612">
        <w:rPr>
          <w:rFonts w:ascii="Arial" w:hAnsi="Arial" w:cs="Arial"/>
          <w:sz w:val="22"/>
        </w:rPr>
        <w:t xml:space="preserve">local </w:t>
      </w:r>
      <w:r w:rsidRPr="00ED6612">
        <w:rPr>
          <w:rFonts w:ascii="Arial" w:hAnsi="Arial" w:cs="Arial"/>
          <w:sz w:val="22"/>
        </w:rPr>
        <w:t>industry</w:t>
      </w:r>
      <w:r w:rsidR="002C7FC7" w:rsidRPr="00ED6612">
        <w:rPr>
          <w:rFonts w:ascii="Arial" w:hAnsi="Arial" w:cs="Arial"/>
          <w:sz w:val="22"/>
        </w:rPr>
        <w:t xml:space="preserve"> and</w:t>
      </w:r>
      <w:r w:rsidRPr="00ED6612">
        <w:rPr>
          <w:rFonts w:ascii="Arial" w:hAnsi="Arial" w:cs="Arial"/>
          <w:sz w:val="22"/>
        </w:rPr>
        <w:t xml:space="preserve"> new sources of employment (at the preparation, development and operation stages of projects)</w:t>
      </w:r>
      <w:r w:rsidR="002C7FC7" w:rsidRPr="00ED6612">
        <w:rPr>
          <w:rFonts w:ascii="Arial" w:hAnsi="Arial" w:cs="Arial"/>
          <w:sz w:val="22"/>
        </w:rPr>
        <w:t xml:space="preserve">. </w:t>
      </w:r>
      <w:r w:rsidRPr="00ED6612">
        <w:rPr>
          <w:rFonts w:ascii="Arial" w:hAnsi="Arial" w:cs="Arial"/>
          <w:sz w:val="22"/>
        </w:rPr>
        <w:t xml:space="preserve">The total direct and indirect </w:t>
      </w:r>
      <w:r w:rsidR="002C7FC7" w:rsidRPr="00ED6612">
        <w:rPr>
          <w:rFonts w:ascii="Arial" w:hAnsi="Arial" w:cs="Arial"/>
          <w:sz w:val="22"/>
        </w:rPr>
        <w:t xml:space="preserve">jobs created will depend on the number and size </w:t>
      </w:r>
      <w:r w:rsidRPr="00ED6612">
        <w:rPr>
          <w:rFonts w:ascii="Arial" w:hAnsi="Arial" w:cs="Arial"/>
          <w:sz w:val="22"/>
        </w:rPr>
        <w:t xml:space="preserve">of </w:t>
      </w:r>
      <w:r w:rsidR="002C7FC7" w:rsidRPr="00ED6612">
        <w:rPr>
          <w:rFonts w:ascii="Arial" w:hAnsi="Arial" w:cs="Arial"/>
          <w:sz w:val="22"/>
        </w:rPr>
        <w:t>projects financed</w:t>
      </w:r>
      <w:r w:rsidRPr="00ED6612">
        <w:rPr>
          <w:rFonts w:ascii="Arial" w:hAnsi="Arial" w:cs="Arial"/>
          <w:sz w:val="22"/>
        </w:rPr>
        <w:t>.</w:t>
      </w:r>
      <w:r w:rsidRPr="00ED6612">
        <w:rPr>
          <w:rFonts w:ascii="Arial" w:hAnsi="Arial" w:cs="Arial"/>
          <w:sz w:val="22"/>
          <w:vertAlign w:val="superscript"/>
        </w:rPr>
        <w:footnoteReference w:id="27"/>
      </w:r>
      <w:r w:rsidRPr="00ED6612">
        <w:rPr>
          <w:rFonts w:ascii="Arial" w:hAnsi="Arial" w:cs="Arial"/>
          <w:sz w:val="22"/>
        </w:rPr>
        <w:t xml:space="preserve"> </w:t>
      </w:r>
    </w:p>
    <w:p w14:paraId="4560456E" w14:textId="77777777" w:rsidR="00141E0C" w:rsidRPr="00ED6612" w:rsidRDefault="007C55B9" w:rsidP="008E3817">
      <w:pPr>
        <w:pStyle w:val="Paragraph"/>
        <w:numPr>
          <w:ilvl w:val="1"/>
          <w:numId w:val="6"/>
        </w:numPr>
        <w:spacing w:afterLines="80" w:after="192"/>
        <w:ind w:hanging="396"/>
        <w:rPr>
          <w:rFonts w:ascii="Arial" w:hAnsi="Arial" w:cs="Arial"/>
          <w:sz w:val="22"/>
        </w:rPr>
      </w:pPr>
      <w:r w:rsidRPr="00ED6612">
        <w:rPr>
          <w:rFonts w:ascii="Arial" w:hAnsi="Arial" w:cs="Arial"/>
          <w:sz w:val="22"/>
        </w:rPr>
        <w:t>Energy projects that support the use of locally available sources for productive uses can provide opportunities for women’s entrepreneurship, for example, in local enterprises that can deliver reliable energy services based on RE and EE technologies</w:t>
      </w:r>
      <w:r w:rsidR="00C55849" w:rsidRPr="00ED6612">
        <w:rPr>
          <w:rFonts w:ascii="Arial" w:hAnsi="Arial" w:cs="Arial"/>
          <w:sz w:val="22"/>
        </w:rPr>
        <w:t>. The complementary TC AR-</w:t>
      </w:r>
      <w:r w:rsidR="00C72359" w:rsidRPr="00ED6612">
        <w:rPr>
          <w:rFonts w:ascii="Arial" w:hAnsi="Arial" w:cs="Arial"/>
          <w:sz w:val="22"/>
        </w:rPr>
        <w:t>T1213</w:t>
      </w:r>
      <w:r w:rsidR="00C55849" w:rsidRPr="00ED6612">
        <w:rPr>
          <w:rFonts w:ascii="Arial" w:hAnsi="Arial" w:cs="Arial"/>
          <w:sz w:val="22"/>
        </w:rPr>
        <w:t xml:space="preserve"> includes resources to finance activities aimed to encourage women’s interest in these sectors, facilitating access to information and training to women, and promoting greater gender parity in the sector’s workforce.</w:t>
      </w:r>
      <w:r w:rsidR="00C55849" w:rsidRPr="00ED6612">
        <w:rPr>
          <w:rFonts w:ascii="Arial" w:hAnsi="Arial" w:cs="Arial"/>
          <w:sz w:val="22"/>
          <w:vertAlign w:val="superscript"/>
        </w:rPr>
        <w:footnoteReference w:id="28"/>
      </w:r>
    </w:p>
    <w:p w14:paraId="4560456F" w14:textId="77777777" w:rsidR="00607DCB" w:rsidRPr="00ED6612" w:rsidRDefault="00607DCB" w:rsidP="008E3817">
      <w:pPr>
        <w:pStyle w:val="Paragraph"/>
        <w:numPr>
          <w:ilvl w:val="1"/>
          <w:numId w:val="6"/>
        </w:numPr>
        <w:tabs>
          <w:tab w:val="clear" w:pos="1476"/>
        </w:tabs>
        <w:spacing w:afterLines="80" w:after="192"/>
        <w:ind w:hanging="396"/>
        <w:rPr>
          <w:rFonts w:ascii="Arial" w:hAnsi="Arial" w:cs="Arial"/>
        </w:rPr>
      </w:pPr>
      <w:r w:rsidRPr="00ED6612">
        <w:rPr>
          <w:rFonts w:ascii="Arial" w:hAnsi="Arial" w:cs="Arial"/>
          <w:sz w:val="22"/>
        </w:rPr>
        <w:t>Macroeconomic and public budget impact, whether by reducing government expenditures on energy or by generating increased tax revenues.</w:t>
      </w:r>
    </w:p>
    <w:p w14:paraId="45604570" w14:textId="77777777" w:rsidR="00107710" w:rsidRPr="00ED6612" w:rsidRDefault="00107710" w:rsidP="008E3817">
      <w:pPr>
        <w:pStyle w:val="Chapter"/>
        <w:numPr>
          <w:ilvl w:val="0"/>
          <w:numId w:val="4"/>
        </w:numPr>
        <w:tabs>
          <w:tab w:val="clear" w:pos="1440"/>
          <w:tab w:val="clear" w:pos="1800"/>
          <w:tab w:val="left" w:pos="360"/>
        </w:tabs>
        <w:spacing w:before="360"/>
        <w:ind w:left="0" w:firstLine="0"/>
        <w:rPr>
          <w:rFonts w:ascii="Arial" w:hAnsi="Arial" w:cs="Arial"/>
        </w:rPr>
      </w:pPr>
      <w:bookmarkStart w:id="38" w:name="_Toc503527897"/>
      <w:bookmarkStart w:id="39" w:name="_Toc298764672"/>
      <w:r w:rsidRPr="00ED6612">
        <w:rPr>
          <w:rFonts w:ascii="Arial" w:hAnsi="Arial" w:cs="Arial"/>
        </w:rPr>
        <w:t xml:space="preserve">Results </w:t>
      </w:r>
      <w:r w:rsidR="004F5DCB" w:rsidRPr="00ED6612">
        <w:rPr>
          <w:rFonts w:ascii="Arial" w:hAnsi="Arial" w:cs="Arial"/>
        </w:rPr>
        <w:t>of the</w:t>
      </w:r>
      <w:r w:rsidRPr="00ED6612">
        <w:rPr>
          <w:rFonts w:ascii="Arial" w:hAnsi="Arial" w:cs="Arial"/>
        </w:rPr>
        <w:t xml:space="preserve"> An</w:t>
      </w:r>
      <w:r w:rsidR="004F5DCB" w:rsidRPr="00ED6612">
        <w:rPr>
          <w:rFonts w:ascii="Arial" w:hAnsi="Arial" w:cs="Arial"/>
        </w:rPr>
        <w:t>a</w:t>
      </w:r>
      <w:r w:rsidRPr="00ED6612">
        <w:rPr>
          <w:rFonts w:ascii="Arial" w:hAnsi="Arial" w:cs="Arial"/>
        </w:rPr>
        <w:t>l</w:t>
      </w:r>
      <w:r w:rsidR="004F5DCB" w:rsidRPr="00ED6612">
        <w:rPr>
          <w:rFonts w:ascii="Arial" w:hAnsi="Arial" w:cs="Arial"/>
        </w:rPr>
        <w:t>y</w:t>
      </w:r>
      <w:r w:rsidRPr="00ED6612">
        <w:rPr>
          <w:rFonts w:ascii="Arial" w:hAnsi="Arial" w:cs="Arial"/>
        </w:rPr>
        <w:t>sis</w:t>
      </w:r>
      <w:bookmarkEnd w:id="38"/>
    </w:p>
    <w:p w14:paraId="45604571" w14:textId="2C04E6F8" w:rsidR="00141E0C" w:rsidRPr="00ED6612" w:rsidRDefault="00D11AFB" w:rsidP="008E3817">
      <w:pPr>
        <w:pStyle w:val="Paragraph"/>
        <w:numPr>
          <w:ilvl w:val="1"/>
          <w:numId w:val="4"/>
        </w:numPr>
        <w:tabs>
          <w:tab w:val="num" w:pos="720"/>
        </w:tabs>
        <w:spacing w:afterLines="80" w:after="192"/>
        <w:ind w:left="720" w:hanging="720"/>
        <w:rPr>
          <w:rFonts w:ascii="Arial" w:hAnsi="Arial" w:cs="Arial"/>
          <w:sz w:val="22"/>
        </w:rPr>
      </w:pPr>
      <w:r w:rsidRPr="00ED6612">
        <w:rPr>
          <w:rFonts w:ascii="Arial" w:hAnsi="Arial" w:cs="Arial"/>
          <w:sz w:val="22"/>
        </w:rPr>
        <w:t>Based on the considerations described in the sections above</w:t>
      </w:r>
      <w:r w:rsidR="00141E0C" w:rsidRPr="00ED6612">
        <w:rPr>
          <w:rFonts w:ascii="Arial" w:hAnsi="Arial" w:cs="Arial"/>
          <w:sz w:val="22"/>
        </w:rPr>
        <w:t xml:space="preserve">, the net present value of the </w:t>
      </w:r>
      <w:r w:rsidR="00D11E5F">
        <w:rPr>
          <w:rFonts w:ascii="Arial" w:hAnsi="Arial" w:cs="Arial"/>
          <w:sz w:val="22"/>
        </w:rPr>
        <w:t>project</w:t>
      </w:r>
      <w:r w:rsidR="00141E0C" w:rsidRPr="00ED6612">
        <w:rPr>
          <w:rFonts w:ascii="Arial" w:hAnsi="Arial" w:cs="Arial"/>
          <w:sz w:val="22"/>
        </w:rPr>
        <w:t xml:space="preserve"> is estimated in US$</w:t>
      </w:r>
      <w:r w:rsidR="00C049C1" w:rsidRPr="00ED6612">
        <w:rPr>
          <w:rFonts w:ascii="Arial" w:hAnsi="Arial" w:cs="Arial"/>
          <w:sz w:val="22"/>
        </w:rPr>
        <w:t>87.24</w:t>
      </w:r>
      <w:r w:rsidR="00141E0C" w:rsidRPr="00ED6612">
        <w:rPr>
          <w:rFonts w:ascii="Arial" w:hAnsi="Arial" w:cs="Arial"/>
          <w:sz w:val="22"/>
        </w:rPr>
        <w:t xml:space="preserve"> million</w:t>
      </w:r>
      <w:r w:rsidR="00C55849" w:rsidRPr="00ED6612">
        <w:rPr>
          <w:rFonts w:ascii="Arial" w:hAnsi="Arial" w:cs="Arial"/>
          <w:sz w:val="22"/>
        </w:rPr>
        <w:t xml:space="preserve"> and its internal rate of return is </w:t>
      </w:r>
      <w:r w:rsidR="00C049C1" w:rsidRPr="00ED6612">
        <w:rPr>
          <w:rFonts w:ascii="Arial" w:hAnsi="Arial" w:cs="Arial"/>
          <w:sz w:val="22"/>
        </w:rPr>
        <w:t>20.1</w:t>
      </w:r>
      <w:r w:rsidR="00C55849" w:rsidRPr="00ED6612">
        <w:rPr>
          <w:rFonts w:ascii="Arial" w:hAnsi="Arial" w:cs="Arial"/>
          <w:sz w:val="22"/>
        </w:rPr>
        <w:t>%</w:t>
      </w:r>
      <w:r w:rsidR="00141E0C" w:rsidRPr="00ED6612">
        <w:rPr>
          <w:rFonts w:ascii="Arial" w:hAnsi="Arial" w:cs="Arial"/>
          <w:sz w:val="22"/>
        </w:rPr>
        <w:t>. A table with detailed calculations for the period of analysis is shown in Annex I</w:t>
      </w:r>
      <w:r w:rsidR="00447431" w:rsidRPr="00ED6612">
        <w:rPr>
          <w:rFonts w:ascii="Arial" w:hAnsi="Arial" w:cs="Arial"/>
          <w:sz w:val="22"/>
        </w:rPr>
        <w:t>I</w:t>
      </w:r>
      <w:r w:rsidR="00141E0C" w:rsidRPr="00ED6612">
        <w:rPr>
          <w:rFonts w:ascii="Arial" w:hAnsi="Arial" w:cs="Arial"/>
          <w:sz w:val="22"/>
        </w:rPr>
        <w:t>.</w:t>
      </w:r>
    </w:p>
    <w:p w14:paraId="45604572" w14:textId="77777777" w:rsidR="00141E0C" w:rsidRPr="00ED6612" w:rsidRDefault="00141E0C" w:rsidP="00141E0C">
      <w:pPr>
        <w:pStyle w:val="Paragraph"/>
        <w:tabs>
          <w:tab w:val="clear" w:pos="720"/>
        </w:tabs>
        <w:spacing w:after="0"/>
        <w:ind w:left="0" w:firstLine="720"/>
        <w:rPr>
          <w:rFonts w:ascii="Arial" w:hAnsi="Arial" w:cs="Arial"/>
          <w:b/>
          <w:sz w:val="22"/>
        </w:rPr>
      </w:pPr>
      <w:r w:rsidRPr="00ED6612">
        <w:rPr>
          <w:rFonts w:ascii="Arial" w:eastAsia="Times New Roman" w:hAnsi="Arial" w:cs="Arial"/>
          <w:b/>
          <w:bCs/>
          <w:sz w:val="20"/>
          <w:szCs w:val="20"/>
        </w:rPr>
        <w:t>Table 4.1.- Summary of results</w:t>
      </w:r>
    </w:p>
    <w:tbl>
      <w:tblPr>
        <w:tblStyle w:val="LightShading-Accent11"/>
        <w:tblW w:w="7920" w:type="dxa"/>
        <w:tblInd w:w="720" w:type="dxa"/>
        <w:tblLook w:val="04A0" w:firstRow="1" w:lastRow="0" w:firstColumn="1" w:lastColumn="0" w:noHBand="0" w:noVBand="1"/>
      </w:tblPr>
      <w:tblGrid>
        <w:gridCol w:w="3780"/>
        <w:gridCol w:w="990"/>
        <w:gridCol w:w="908"/>
        <w:gridCol w:w="442"/>
        <w:gridCol w:w="1800"/>
      </w:tblGrid>
      <w:tr w:rsidR="00141E0C" w:rsidRPr="00ED6612" w14:paraId="45604578" w14:textId="77777777" w:rsidTr="002C7FC7">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780" w:type="dxa"/>
            <w:hideMark/>
          </w:tcPr>
          <w:p w14:paraId="45604573" w14:textId="77777777" w:rsidR="00141E0C" w:rsidRPr="00ED6612" w:rsidRDefault="00141E0C" w:rsidP="002C7FC7">
            <w:pPr>
              <w:rPr>
                <w:rFonts w:ascii="Arial" w:eastAsia="Times New Roman" w:hAnsi="Arial" w:cs="Arial"/>
                <w:b w:val="0"/>
                <w:bCs w:val="0"/>
                <w:color w:val="auto"/>
                <w:sz w:val="20"/>
                <w:szCs w:val="20"/>
              </w:rPr>
            </w:pPr>
          </w:p>
        </w:tc>
        <w:tc>
          <w:tcPr>
            <w:tcW w:w="990" w:type="dxa"/>
            <w:noWrap/>
            <w:hideMark/>
          </w:tcPr>
          <w:p w14:paraId="45604574" w14:textId="77777777" w:rsidR="00141E0C" w:rsidRPr="00ED6612" w:rsidRDefault="00141E0C" w:rsidP="002C7FC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color w:val="auto"/>
                <w:sz w:val="20"/>
                <w:szCs w:val="20"/>
              </w:rPr>
            </w:pPr>
          </w:p>
        </w:tc>
        <w:tc>
          <w:tcPr>
            <w:tcW w:w="908" w:type="dxa"/>
            <w:noWrap/>
            <w:hideMark/>
          </w:tcPr>
          <w:p w14:paraId="45604575" w14:textId="77777777" w:rsidR="00141E0C" w:rsidRPr="00ED6612" w:rsidRDefault="00141E0C" w:rsidP="002C7FC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color w:val="auto"/>
                <w:sz w:val="20"/>
                <w:szCs w:val="20"/>
              </w:rPr>
            </w:pPr>
          </w:p>
        </w:tc>
        <w:tc>
          <w:tcPr>
            <w:tcW w:w="442" w:type="dxa"/>
            <w:tcBorders>
              <w:right w:val="single" w:sz="4" w:space="0" w:color="4F81BD" w:themeColor="accent1"/>
            </w:tcBorders>
            <w:noWrap/>
            <w:hideMark/>
          </w:tcPr>
          <w:p w14:paraId="45604576" w14:textId="77777777" w:rsidR="00141E0C" w:rsidRPr="00ED6612" w:rsidRDefault="00141E0C" w:rsidP="002C7FC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color w:val="auto"/>
                <w:sz w:val="20"/>
                <w:szCs w:val="20"/>
              </w:rPr>
            </w:pPr>
          </w:p>
        </w:tc>
        <w:tc>
          <w:tcPr>
            <w:tcW w:w="1800" w:type="dxa"/>
            <w:tcBorders>
              <w:left w:val="single" w:sz="4" w:space="0" w:color="4F81BD" w:themeColor="accent1"/>
            </w:tcBorders>
          </w:tcPr>
          <w:p w14:paraId="45604577" w14:textId="77777777" w:rsidR="00141E0C" w:rsidRPr="00ED6612" w:rsidRDefault="00141E0C" w:rsidP="002C7FC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color w:val="auto"/>
                <w:sz w:val="20"/>
                <w:szCs w:val="20"/>
              </w:rPr>
            </w:pPr>
            <w:r w:rsidRPr="00ED6612">
              <w:rPr>
                <w:rFonts w:ascii="Arial" w:eastAsia="Times New Roman" w:hAnsi="Arial" w:cs="Arial"/>
                <w:b w:val="0"/>
                <w:color w:val="auto"/>
                <w:sz w:val="20"/>
                <w:szCs w:val="20"/>
              </w:rPr>
              <w:t>Value</w:t>
            </w:r>
          </w:p>
        </w:tc>
      </w:tr>
      <w:tr w:rsidR="00141E0C" w:rsidRPr="00ED6612" w14:paraId="4560457E" w14:textId="77777777" w:rsidTr="002C7FC7">
        <w:trPr>
          <w:cnfStyle w:val="000000100000" w:firstRow="0" w:lastRow="0" w:firstColumn="0" w:lastColumn="0" w:oddVBand="0" w:evenVBand="0" w:oddHBand="1"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3780" w:type="dxa"/>
            <w:hideMark/>
          </w:tcPr>
          <w:p w14:paraId="45604579" w14:textId="77777777" w:rsidR="00141E0C" w:rsidRPr="00ED6612" w:rsidRDefault="00141E0C" w:rsidP="002C7FC7">
            <w:pPr>
              <w:spacing w:before="40" w:after="40"/>
              <w:rPr>
                <w:rFonts w:ascii="Arial" w:eastAsia="Times New Roman" w:hAnsi="Arial" w:cs="Arial"/>
                <w:b w:val="0"/>
                <w:color w:val="auto"/>
                <w:sz w:val="20"/>
                <w:szCs w:val="20"/>
              </w:rPr>
            </w:pPr>
            <w:r w:rsidRPr="00ED6612">
              <w:rPr>
                <w:rFonts w:ascii="Arial" w:eastAsia="Times New Roman" w:hAnsi="Arial" w:cs="Arial"/>
                <w:b w:val="0"/>
                <w:color w:val="auto"/>
                <w:sz w:val="20"/>
                <w:szCs w:val="20"/>
              </w:rPr>
              <w:t>Net Present Value (millions of US</w:t>
            </w:r>
            <w:r w:rsidR="00DB7504" w:rsidRPr="00ED6612">
              <w:rPr>
                <w:rFonts w:ascii="Arial" w:eastAsia="Times New Roman" w:hAnsi="Arial" w:cs="Arial"/>
                <w:b w:val="0"/>
                <w:color w:val="auto"/>
                <w:sz w:val="20"/>
                <w:szCs w:val="20"/>
              </w:rPr>
              <w:t>$</w:t>
            </w:r>
            <w:r w:rsidRPr="00ED6612">
              <w:rPr>
                <w:rFonts w:ascii="Arial" w:eastAsia="Times New Roman" w:hAnsi="Arial" w:cs="Arial"/>
                <w:b w:val="0"/>
                <w:color w:val="auto"/>
                <w:sz w:val="20"/>
                <w:szCs w:val="20"/>
              </w:rPr>
              <w:t>)</w:t>
            </w:r>
          </w:p>
        </w:tc>
        <w:tc>
          <w:tcPr>
            <w:tcW w:w="990" w:type="dxa"/>
            <w:noWrap/>
            <w:hideMark/>
          </w:tcPr>
          <w:p w14:paraId="4560457A" w14:textId="77777777" w:rsidR="00141E0C" w:rsidRPr="00ED6612" w:rsidRDefault="00141E0C" w:rsidP="002C7FC7">
            <w:pPr>
              <w:spacing w:before="40" w:after="40"/>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color w:val="auto"/>
                <w:sz w:val="20"/>
                <w:szCs w:val="20"/>
              </w:rPr>
            </w:pPr>
          </w:p>
        </w:tc>
        <w:tc>
          <w:tcPr>
            <w:tcW w:w="908" w:type="dxa"/>
            <w:noWrap/>
            <w:hideMark/>
          </w:tcPr>
          <w:p w14:paraId="4560457B" w14:textId="77777777" w:rsidR="00141E0C" w:rsidRPr="00ED6612" w:rsidRDefault="00141E0C" w:rsidP="002C7FC7">
            <w:pPr>
              <w:spacing w:before="40" w:after="40"/>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color w:val="auto"/>
                <w:sz w:val="20"/>
                <w:szCs w:val="20"/>
              </w:rPr>
            </w:pPr>
          </w:p>
        </w:tc>
        <w:tc>
          <w:tcPr>
            <w:tcW w:w="442" w:type="dxa"/>
            <w:tcBorders>
              <w:right w:val="single" w:sz="4" w:space="0" w:color="4F81BD" w:themeColor="accent1"/>
            </w:tcBorders>
            <w:noWrap/>
            <w:hideMark/>
          </w:tcPr>
          <w:p w14:paraId="4560457C" w14:textId="77777777" w:rsidR="00141E0C" w:rsidRPr="00ED6612" w:rsidRDefault="00141E0C" w:rsidP="002C7FC7">
            <w:pPr>
              <w:spacing w:before="40" w:after="40"/>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color w:val="auto"/>
                <w:sz w:val="20"/>
                <w:szCs w:val="20"/>
              </w:rPr>
            </w:pPr>
          </w:p>
        </w:tc>
        <w:tc>
          <w:tcPr>
            <w:tcW w:w="1800" w:type="dxa"/>
            <w:tcBorders>
              <w:left w:val="single" w:sz="4" w:space="0" w:color="4F81BD" w:themeColor="accent1"/>
            </w:tcBorders>
          </w:tcPr>
          <w:p w14:paraId="4560457D" w14:textId="77777777" w:rsidR="00141E0C" w:rsidRPr="00ED6612" w:rsidRDefault="00C049C1" w:rsidP="002C7FC7">
            <w:pPr>
              <w:spacing w:before="40" w:after="40"/>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color w:val="auto"/>
                <w:sz w:val="20"/>
                <w:szCs w:val="20"/>
              </w:rPr>
            </w:pPr>
            <w:r w:rsidRPr="00ED6612">
              <w:rPr>
                <w:rFonts w:ascii="Arial" w:eastAsia="Times New Roman" w:hAnsi="Arial" w:cs="Arial"/>
                <w:b/>
                <w:color w:val="auto"/>
                <w:sz w:val="20"/>
                <w:szCs w:val="20"/>
              </w:rPr>
              <w:t>87.24</w:t>
            </w:r>
          </w:p>
        </w:tc>
      </w:tr>
      <w:tr w:rsidR="00141E0C" w:rsidRPr="00ED6612" w14:paraId="45604584" w14:textId="77777777" w:rsidTr="002C7FC7">
        <w:trPr>
          <w:trHeight w:val="292"/>
        </w:trPr>
        <w:tc>
          <w:tcPr>
            <w:cnfStyle w:val="001000000000" w:firstRow="0" w:lastRow="0" w:firstColumn="1" w:lastColumn="0" w:oddVBand="0" w:evenVBand="0" w:oddHBand="0" w:evenHBand="0" w:firstRowFirstColumn="0" w:firstRowLastColumn="0" w:lastRowFirstColumn="0" w:lastRowLastColumn="0"/>
            <w:tcW w:w="3780" w:type="dxa"/>
          </w:tcPr>
          <w:p w14:paraId="4560457F" w14:textId="77777777" w:rsidR="00141E0C" w:rsidRPr="00ED6612" w:rsidRDefault="00141E0C" w:rsidP="002C7FC7">
            <w:pPr>
              <w:spacing w:before="40" w:after="40"/>
              <w:rPr>
                <w:rFonts w:ascii="Arial" w:eastAsia="Times New Roman" w:hAnsi="Arial" w:cs="Arial"/>
                <w:b w:val="0"/>
                <w:color w:val="auto"/>
                <w:sz w:val="20"/>
                <w:szCs w:val="20"/>
              </w:rPr>
            </w:pPr>
            <w:r w:rsidRPr="00ED6612">
              <w:rPr>
                <w:rFonts w:ascii="Arial" w:eastAsia="Times New Roman" w:hAnsi="Arial" w:cs="Arial"/>
                <w:b w:val="0"/>
                <w:color w:val="auto"/>
                <w:sz w:val="20"/>
                <w:szCs w:val="20"/>
              </w:rPr>
              <w:t>Internal Rate of Return (%)</w:t>
            </w:r>
          </w:p>
        </w:tc>
        <w:tc>
          <w:tcPr>
            <w:tcW w:w="990" w:type="dxa"/>
            <w:noWrap/>
          </w:tcPr>
          <w:p w14:paraId="45604580" w14:textId="77777777" w:rsidR="00141E0C" w:rsidRPr="00ED6612" w:rsidRDefault="00141E0C" w:rsidP="002C7FC7">
            <w:pPr>
              <w:spacing w:before="40" w:after="40"/>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auto"/>
                <w:sz w:val="20"/>
                <w:szCs w:val="20"/>
              </w:rPr>
            </w:pPr>
          </w:p>
        </w:tc>
        <w:tc>
          <w:tcPr>
            <w:tcW w:w="908" w:type="dxa"/>
            <w:noWrap/>
          </w:tcPr>
          <w:p w14:paraId="45604581" w14:textId="77777777" w:rsidR="00141E0C" w:rsidRPr="00ED6612" w:rsidRDefault="00141E0C" w:rsidP="002C7FC7">
            <w:pPr>
              <w:spacing w:before="40" w:after="40"/>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auto"/>
                <w:sz w:val="20"/>
                <w:szCs w:val="20"/>
              </w:rPr>
            </w:pPr>
          </w:p>
        </w:tc>
        <w:tc>
          <w:tcPr>
            <w:tcW w:w="442" w:type="dxa"/>
            <w:tcBorders>
              <w:right w:val="single" w:sz="4" w:space="0" w:color="4F81BD" w:themeColor="accent1"/>
            </w:tcBorders>
            <w:noWrap/>
          </w:tcPr>
          <w:p w14:paraId="45604582" w14:textId="77777777" w:rsidR="00141E0C" w:rsidRPr="00ED6612" w:rsidRDefault="00141E0C" w:rsidP="002C7FC7">
            <w:pPr>
              <w:spacing w:before="40" w:after="40"/>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auto"/>
                <w:sz w:val="20"/>
                <w:szCs w:val="20"/>
              </w:rPr>
            </w:pPr>
          </w:p>
        </w:tc>
        <w:tc>
          <w:tcPr>
            <w:tcW w:w="1800" w:type="dxa"/>
            <w:tcBorders>
              <w:left w:val="single" w:sz="4" w:space="0" w:color="4F81BD" w:themeColor="accent1"/>
            </w:tcBorders>
          </w:tcPr>
          <w:p w14:paraId="45604583" w14:textId="77777777" w:rsidR="00141E0C" w:rsidRPr="00ED6612" w:rsidDel="00DA2200" w:rsidRDefault="00C049C1" w:rsidP="002C7FC7">
            <w:pPr>
              <w:spacing w:before="40" w:after="40"/>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auto"/>
                <w:sz w:val="20"/>
                <w:szCs w:val="20"/>
              </w:rPr>
            </w:pPr>
            <w:r w:rsidRPr="00ED6612">
              <w:rPr>
                <w:rFonts w:ascii="Arial" w:eastAsia="Times New Roman" w:hAnsi="Arial" w:cs="Arial"/>
                <w:b/>
                <w:color w:val="auto"/>
                <w:sz w:val="20"/>
                <w:szCs w:val="20"/>
              </w:rPr>
              <w:t>20.1</w:t>
            </w:r>
          </w:p>
        </w:tc>
      </w:tr>
    </w:tbl>
    <w:p w14:paraId="45604585" w14:textId="77777777" w:rsidR="00E5795B" w:rsidRPr="00ED6612" w:rsidRDefault="00E5795B" w:rsidP="008E3817">
      <w:pPr>
        <w:pStyle w:val="Chapter"/>
        <w:numPr>
          <w:ilvl w:val="0"/>
          <w:numId w:val="4"/>
        </w:numPr>
        <w:tabs>
          <w:tab w:val="clear" w:pos="1440"/>
          <w:tab w:val="clear" w:pos="1800"/>
          <w:tab w:val="left" w:pos="360"/>
        </w:tabs>
        <w:spacing w:before="360"/>
        <w:ind w:left="0" w:firstLine="0"/>
        <w:rPr>
          <w:rFonts w:ascii="Arial" w:hAnsi="Arial" w:cs="Arial"/>
        </w:rPr>
      </w:pPr>
      <w:bookmarkStart w:id="40" w:name="_Toc503527898"/>
      <w:r w:rsidRPr="00ED6612">
        <w:rPr>
          <w:rFonts w:ascii="Arial" w:hAnsi="Arial" w:cs="Arial"/>
        </w:rPr>
        <w:t>Sensi</w:t>
      </w:r>
      <w:bookmarkEnd w:id="39"/>
      <w:r w:rsidR="004F5DCB" w:rsidRPr="00ED6612">
        <w:rPr>
          <w:rFonts w:ascii="Arial" w:hAnsi="Arial" w:cs="Arial"/>
        </w:rPr>
        <w:t>tivity Analysis</w:t>
      </w:r>
      <w:bookmarkEnd w:id="40"/>
    </w:p>
    <w:p w14:paraId="45604586" w14:textId="6D93E28B" w:rsidR="002C6C43" w:rsidRPr="00ED6612" w:rsidRDefault="00141E0C" w:rsidP="008E3817">
      <w:pPr>
        <w:pStyle w:val="Paragraph"/>
        <w:numPr>
          <w:ilvl w:val="1"/>
          <w:numId w:val="4"/>
        </w:numPr>
        <w:tabs>
          <w:tab w:val="num" w:pos="720"/>
        </w:tabs>
        <w:spacing w:afterLines="80" w:after="192"/>
        <w:ind w:left="720" w:hanging="720"/>
        <w:rPr>
          <w:rFonts w:ascii="Arial" w:hAnsi="Arial" w:cs="Arial"/>
          <w:sz w:val="22"/>
        </w:rPr>
      </w:pPr>
      <w:r w:rsidRPr="00ED6612">
        <w:rPr>
          <w:rFonts w:ascii="Arial" w:hAnsi="Arial" w:cs="Arial"/>
          <w:sz w:val="22"/>
        </w:rPr>
        <w:t>For the</w:t>
      </w:r>
      <w:r w:rsidR="002C6C43" w:rsidRPr="00ED6612">
        <w:rPr>
          <w:rFonts w:ascii="Arial" w:hAnsi="Arial" w:cs="Arial"/>
          <w:sz w:val="22"/>
        </w:rPr>
        <w:t xml:space="preserve"> sensitivity analysis is included in this section, </w:t>
      </w:r>
      <w:r w:rsidRPr="00ED6612">
        <w:rPr>
          <w:rFonts w:ascii="Arial" w:hAnsi="Arial" w:cs="Arial"/>
          <w:sz w:val="22"/>
        </w:rPr>
        <w:t xml:space="preserve">assumptions are modified in order to test the tolerance of the </w:t>
      </w:r>
      <w:r w:rsidR="00D11E5F">
        <w:rPr>
          <w:rFonts w:ascii="Arial" w:hAnsi="Arial" w:cs="Arial"/>
          <w:sz w:val="22"/>
        </w:rPr>
        <w:t>project</w:t>
      </w:r>
      <w:r w:rsidRPr="00ED6612">
        <w:rPr>
          <w:rFonts w:ascii="Arial" w:hAnsi="Arial" w:cs="Arial"/>
          <w:sz w:val="22"/>
        </w:rPr>
        <w:t xml:space="preserve"> to variations on the conditions that may have an impact on the results established above. For this purpose,</w:t>
      </w:r>
      <w:r w:rsidR="002C6C43" w:rsidRPr="00ED6612">
        <w:rPr>
          <w:rFonts w:ascii="Arial" w:hAnsi="Arial" w:cs="Arial"/>
          <w:sz w:val="22"/>
        </w:rPr>
        <w:t xml:space="preserve"> </w:t>
      </w:r>
      <w:r w:rsidRPr="00ED6612">
        <w:rPr>
          <w:rFonts w:ascii="Arial" w:hAnsi="Arial" w:cs="Arial"/>
          <w:sz w:val="22"/>
        </w:rPr>
        <w:t xml:space="preserve">the values of </w:t>
      </w:r>
      <w:r w:rsidR="005072C5" w:rsidRPr="00ED6612">
        <w:rPr>
          <w:rFonts w:ascii="Arial" w:hAnsi="Arial" w:cs="Arial"/>
          <w:sz w:val="22"/>
        </w:rPr>
        <w:t xml:space="preserve">some </w:t>
      </w:r>
      <w:r w:rsidR="002C6C43" w:rsidRPr="00ED6612">
        <w:rPr>
          <w:rFonts w:ascii="Arial" w:hAnsi="Arial" w:cs="Arial"/>
          <w:sz w:val="22"/>
        </w:rPr>
        <w:t xml:space="preserve">key variables used for the base analysis are </w:t>
      </w:r>
      <w:r w:rsidRPr="00ED6612">
        <w:rPr>
          <w:rFonts w:ascii="Arial" w:hAnsi="Arial" w:cs="Arial"/>
          <w:sz w:val="22"/>
        </w:rPr>
        <w:t>changed</w:t>
      </w:r>
      <w:r w:rsidR="002C6C43" w:rsidRPr="00ED6612">
        <w:rPr>
          <w:rFonts w:ascii="Arial" w:hAnsi="Arial" w:cs="Arial"/>
          <w:sz w:val="22"/>
        </w:rPr>
        <w:t xml:space="preserve"> in order to determine their impact with regards to the potential </w:t>
      </w:r>
      <w:r w:rsidR="00B21F0F" w:rsidRPr="00ED6612">
        <w:rPr>
          <w:rFonts w:ascii="Arial" w:hAnsi="Arial" w:cs="Arial"/>
          <w:sz w:val="22"/>
        </w:rPr>
        <w:t xml:space="preserve">net value of the </w:t>
      </w:r>
      <w:r w:rsidR="00D11E5F">
        <w:rPr>
          <w:rFonts w:ascii="Arial" w:hAnsi="Arial" w:cs="Arial"/>
          <w:sz w:val="22"/>
        </w:rPr>
        <w:t>project</w:t>
      </w:r>
      <w:r w:rsidR="00B21F0F" w:rsidRPr="00ED6612">
        <w:rPr>
          <w:rFonts w:ascii="Arial" w:hAnsi="Arial" w:cs="Arial"/>
          <w:sz w:val="22"/>
        </w:rPr>
        <w:t>. These changes seek to build alternative scenarios that in most cases are not likely to occur, but serve to add robustness to the base analysis</w:t>
      </w:r>
      <w:r w:rsidR="002C6C43" w:rsidRPr="00ED6612">
        <w:rPr>
          <w:rFonts w:ascii="Arial" w:hAnsi="Arial" w:cs="Arial"/>
          <w:sz w:val="22"/>
        </w:rPr>
        <w:t>.</w:t>
      </w:r>
    </w:p>
    <w:p w14:paraId="45604587" w14:textId="753E353B" w:rsidR="00CB5A36" w:rsidRPr="00ED6612" w:rsidRDefault="00B21F0F" w:rsidP="008E3817">
      <w:pPr>
        <w:pStyle w:val="Paragraph"/>
        <w:numPr>
          <w:ilvl w:val="1"/>
          <w:numId w:val="4"/>
        </w:numPr>
        <w:tabs>
          <w:tab w:val="num" w:pos="720"/>
        </w:tabs>
        <w:spacing w:afterLines="80" w:after="192"/>
        <w:ind w:left="720" w:hanging="720"/>
        <w:rPr>
          <w:rFonts w:ascii="Arial" w:hAnsi="Arial" w:cs="Arial"/>
          <w:sz w:val="22"/>
        </w:rPr>
      </w:pPr>
      <w:r w:rsidRPr="00ED6612">
        <w:rPr>
          <w:rFonts w:ascii="Arial" w:hAnsi="Arial" w:cs="Arial"/>
          <w:sz w:val="22"/>
        </w:rPr>
        <w:lastRenderedPageBreak/>
        <w:t xml:space="preserve">While all variables used in this analysis (and assumptions related to them) may be affected by factors out of the control of the </w:t>
      </w:r>
      <w:r w:rsidR="00D11E5F">
        <w:rPr>
          <w:rFonts w:ascii="Arial" w:hAnsi="Arial" w:cs="Arial"/>
          <w:sz w:val="22"/>
        </w:rPr>
        <w:t>project</w:t>
      </w:r>
      <w:r w:rsidRPr="00ED6612">
        <w:rPr>
          <w:rFonts w:ascii="Arial" w:hAnsi="Arial" w:cs="Arial"/>
          <w:sz w:val="22"/>
        </w:rPr>
        <w:t xml:space="preserve"> execution, the selection of parameters included in this section was determined on account of their criticalness in the quantification of results, both overall and at the project level</w:t>
      </w:r>
      <w:r w:rsidR="004C457B" w:rsidRPr="00ED6612">
        <w:rPr>
          <w:rFonts w:ascii="Arial" w:hAnsi="Arial" w:cs="Arial"/>
          <w:sz w:val="22"/>
        </w:rPr>
        <w:t>. Following is a brief explanation on the parameters used and the corresponding test values</w:t>
      </w:r>
      <w:r w:rsidR="00CF23CC" w:rsidRPr="00ED6612">
        <w:rPr>
          <w:rFonts w:ascii="Arial" w:hAnsi="Arial" w:cs="Arial"/>
          <w:sz w:val="22"/>
        </w:rPr>
        <w:t>:</w:t>
      </w:r>
    </w:p>
    <w:p w14:paraId="45604588" w14:textId="2193CC7D" w:rsidR="00437569" w:rsidRPr="00ED6612" w:rsidRDefault="00437569" w:rsidP="008E3817">
      <w:pPr>
        <w:pStyle w:val="Paragraph"/>
        <w:numPr>
          <w:ilvl w:val="2"/>
          <w:numId w:val="4"/>
        </w:numPr>
        <w:spacing w:afterLines="80" w:after="192"/>
        <w:ind w:left="990" w:hanging="270"/>
        <w:rPr>
          <w:rFonts w:ascii="Arial" w:hAnsi="Arial" w:cs="Arial"/>
          <w:sz w:val="22"/>
        </w:rPr>
      </w:pPr>
      <w:r w:rsidRPr="00ED6612">
        <w:rPr>
          <w:rFonts w:ascii="Arial" w:hAnsi="Arial" w:cs="Arial"/>
          <w:sz w:val="22"/>
        </w:rPr>
        <w:t xml:space="preserve">The sensitivity of the </w:t>
      </w:r>
      <w:r w:rsidR="00D11E5F">
        <w:rPr>
          <w:rFonts w:ascii="Arial" w:hAnsi="Arial" w:cs="Arial"/>
          <w:sz w:val="22"/>
        </w:rPr>
        <w:t>project</w:t>
      </w:r>
      <w:r w:rsidRPr="00ED6612">
        <w:rPr>
          <w:rFonts w:ascii="Arial" w:hAnsi="Arial" w:cs="Arial"/>
          <w:sz w:val="22"/>
        </w:rPr>
        <w:t xml:space="preserve"> to the marginal cost of generation was verified by using an alternative scenario</w:t>
      </w:r>
      <w:r w:rsidR="00CE6E1B" w:rsidRPr="00ED6612">
        <w:rPr>
          <w:rFonts w:ascii="Arial" w:hAnsi="Arial" w:cs="Arial"/>
          <w:sz w:val="22"/>
        </w:rPr>
        <w:t xml:space="preserve"> in which </w:t>
      </w:r>
      <w:r w:rsidR="00C049C1" w:rsidRPr="00ED6612">
        <w:rPr>
          <w:rFonts w:ascii="Arial" w:hAnsi="Arial" w:cs="Arial"/>
          <w:sz w:val="22"/>
        </w:rPr>
        <w:t xml:space="preserve">the gas oil price variation is considered </w:t>
      </w:r>
      <w:r w:rsidR="00507406" w:rsidRPr="00ED6612">
        <w:rPr>
          <w:rFonts w:ascii="Arial" w:hAnsi="Arial" w:cs="Arial"/>
          <w:sz w:val="22"/>
        </w:rPr>
        <w:t xml:space="preserve">to obtain the lowest probable marginal cost. As cost of generation is defined by the most expensive unit, which works with gas oil, its variable costs will be associated with this fuel. Using available data on </w:t>
      </w:r>
      <w:r w:rsidR="00C049C1" w:rsidRPr="00ED6612">
        <w:rPr>
          <w:rFonts w:ascii="Arial" w:hAnsi="Arial" w:cs="Arial"/>
          <w:sz w:val="22"/>
        </w:rPr>
        <w:t>gas oil historic price</w:t>
      </w:r>
      <w:r w:rsidR="00507406" w:rsidRPr="00ED6612">
        <w:rPr>
          <w:rFonts w:ascii="Arial" w:hAnsi="Arial" w:cs="Arial"/>
          <w:sz w:val="22"/>
        </w:rPr>
        <w:t xml:space="preserve"> (period</w:t>
      </w:r>
      <w:r w:rsidR="00C049C1" w:rsidRPr="00ED6612">
        <w:rPr>
          <w:rFonts w:ascii="Arial" w:hAnsi="Arial" w:cs="Arial"/>
          <w:sz w:val="22"/>
        </w:rPr>
        <w:t xml:space="preserve"> 2005</w:t>
      </w:r>
      <w:r w:rsidR="00507406" w:rsidRPr="00ED6612">
        <w:rPr>
          <w:rFonts w:ascii="Arial" w:hAnsi="Arial" w:cs="Arial"/>
          <w:sz w:val="22"/>
        </w:rPr>
        <w:t xml:space="preserve">-2017) the variation in fuel prices is </w:t>
      </w:r>
      <w:bookmarkStart w:id="41" w:name="_Hlk506196412"/>
      <w:r w:rsidR="00507406" w:rsidRPr="00ED6612">
        <w:rPr>
          <w:rFonts w:ascii="Arial" w:hAnsi="Arial" w:cs="Arial"/>
          <w:sz w:val="22"/>
        </w:rPr>
        <w:t>calculated (+/- 27.7%</w:t>
      </w:r>
      <w:bookmarkEnd w:id="41"/>
      <w:r w:rsidR="00507406" w:rsidRPr="00ED6612">
        <w:rPr>
          <w:rFonts w:ascii="Arial" w:hAnsi="Arial" w:cs="Arial"/>
          <w:sz w:val="22"/>
        </w:rPr>
        <w:t>) and used to determine a lowest price within this range of time for the marginal cost of generation.</w:t>
      </w:r>
      <w:r w:rsidR="006636AB" w:rsidRPr="00ED6612">
        <w:rPr>
          <w:rFonts w:ascii="Arial" w:hAnsi="Arial" w:cs="Arial"/>
          <w:sz w:val="22"/>
        </w:rPr>
        <w:t xml:space="preserve"> This cost</w:t>
      </w:r>
      <w:r w:rsidR="00CE6E1B" w:rsidRPr="00ED6612">
        <w:rPr>
          <w:rFonts w:ascii="Arial" w:hAnsi="Arial" w:cs="Arial"/>
          <w:sz w:val="22"/>
        </w:rPr>
        <w:t xml:space="preserve"> is equal to</w:t>
      </w:r>
      <w:r w:rsidR="006636AB" w:rsidRPr="00ED6612">
        <w:rPr>
          <w:rFonts w:ascii="Arial" w:hAnsi="Arial" w:cs="Arial"/>
          <w:sz w:val="22"/>
        </w:rPr>
        <w:t xml:space="preserve"> </w:t>
      </w:r>
      <w:r w:rsidR="00507406" w:rsidRPr="00ED6612">
        <w:rPr>
          <w:rFonts w:ascii="Arial" w:hAnsi="Arial" w:cs="Arial"/>
          <w:sz w:val="22"/>
        </w:rPr>
        <w:t>126.81 US$/MWh (s</w:t>
      </w:r>
      <w:r w:rsidRPr="00ED6612">
        <w:rPr>
          <w:rFonts w:ascii="Arial" w:hAnsi="Arial" w:cs="Arial"/>
          <w:sz w:val="22"/>
        </w:rPr>
        <w:t>ee Annex I for more detail</w:t>
      </w:r>
      <w:r w:rsidR="00CE6E1B" w:rsidRPr="00ED6612">
        <w:rPr>
          <w:rFonts w:ascii="Arial" w:hAnsi="Arial" w:cs="Arial"/>
          <w:sz w:val="22"/>
        </w:rPr>
        <w:t>).</w:t>
      </w:r>
    </w:p>
    <w:p w14:paraId="45604589" w14:textId="77777777" w:rsidR="009F39DE" w:rsidRPr="00ED6612" w:rsidRDefault="009F39DE" w:rsidP="008E3817">
      <w:pPr>
        <w:pStyle w:val="Paragraph"/>
        <w:numPr>
          <w:ilvl w:val="2"/>
          <w:numId w:val="4"/>
        </w:numPr>
        <w:spacing w:afterLines="80" w:after="192"/>
        <w:ind w:left="990" w:hanging="270"/>
        <w:rPr>
          <w:rFonts w:ascii="Arial" w:hAnsi="Arial" w:cs="Arial"/>
          <w:sz w:val="22"/>
        </w:rPr>
      </w:pPr>
      <w:r w:rsidRPr="00ED6612">
        <w:rPr>
          <w:rFonts w:ascii="Arial" w:hAnsi="Arial" w:cs="Arial"/>
          <w:sz w:val="22"/>
        </w:rPr>
        <w:t xml:space="preserve">With regards to energy consumption costs (related to EE projects), values are reduced for the two energy sources considered (electricity and fuel) in order to test a decrease in the energy savings benefit (as the foregone costs of consuming this energy will be lower. A 10% </w:t>
      </w:r>
      <w:r w:rsidR="00EB5D7E" w:rsidRPr="00ED6612">
        <w:rPr>
          <w:rFonts w:ascii="Arial" w:hAnsi="Arial" w:cs="Arial"/>
          <w:sz w:val="22"/>
        </w:rPr>
        <w:t>cut</w:t>
      </w:r>
      <w:r w:rsidRPr="00ED6612">
        <w:rPr>
          <w:rFonts w:ascii="Arial" w:hAnsi="Arial" w:cs="Arial"/>
          <w:sz w:val="22"/>
        </w:rPr>
        <w:t xml:space="preserve"> is considered sufficient for this test, as reductions in tariffs are not likely to occur in the short to medium term (especially due to the important subsidy element that is still involved in these tariffs).</w:t>
      </w:r>
    </w:p>
    <w:p w14:paraId="4560458A" w14:textId="77777777" w:rsidR="003222F6" w:rsidRPr="00ED6612" w:rsidRDefault="003222F6" w:rsidP="008E3817">
      <w:pPr>
        <w:pStyle w:val="Paragraph"/>
        <w:numPr>
          <w:ilvl w:val="2"/>
          <w:numId w:val="4"/>
        </w:numPr>
        <w:spacing w:afterLines="80" w:after="192"/>
        <w:ind w:left="990" w:hanging="270"/>
        <w:rPr>
          <w:rFonts w:ascii="Arial" w:hAnsi="Arial" w:cs="Arial"/>
          <w:sz w:val="22"/>
        </w:rPr>
      </w:pPr>
      <w:r w:rsidRPr="00ED6612">
        <w:rPr>
          <w:rFonts w:ascii="Arial" w:hAnsi="Arial" w:cs="Arial"/>
          <w:sz w:val="22"/>
        </w:rPr>
        <w:t xml:space="preserve">For the </w:t>
      </w:r>
      <w:r w:rsidR="009F39DE" w:rsidRPr="00ED6612">
        <w:rPr>
          <w:rFonts w:ascii="Arial" w:hAnsi="Arial" w:cs="Arial"/>
          <w:sz w:val="22"/>
        </w:rPr>
        <w:t>monetary value per ton of CO</w:t>
      </w:r>
      <w:r w:rsidR="009F39DE" w:rsidRPr="00ED6612">
        <w:rPr>
          <w:rFonts w:ascii="Arial" w:hAnsi="Arial" w:cs="Arial"/>
          <w:sz w:val="22"/>
          <w:vertAlign w:val="subscript"/>
        </w:rPr>
        <w:t>2</w:t>
      </w:r>
      <w:r w:rsidR="009F39DE" w:rsidRPr="00ED6612">
        <w:rPr>
          <w:rFonts w:ascii="Arial" w:hAnsi="Arial" w:cs="Arial"/>
          <w:sz w:val="22"/>
        </w:rPr>
        <w:t xml:space="preserve"> emission</w:t>
      </w:r>
      <w:r w:rsidRPr="00ED6612">
        <w:rPr>
          <w:rFonts w:ascii="Arial" w:hAnsi="Arial" w:cs="Arial"/>
          <w:sz w:val="22"/>
        </w:rPr>
        <w:t>, the lowest bound of US$5</w:t>
      </w:r>
      <w:r w:rsidR="00A43383" w:rsidRPr="00ED6612">
        <w:rPr>
          <w:rFonts w:ascii="Arial" w:hAnsi="Arial" w:cs="Arial"/>
          <w:sz w:val="22"/>
        </w:rPr>
        <w:t> </w:t>
      </w:r>
      <w:r w:rsidRPr="00ED6612">
        <w:rPr>
          <w:rFonts w:ascii="Arial" w:hAnsi="Arial" w:cs="Arial"/>
          <w:sz w:val="22"/>
        </w:rPr>
        <w:t>per</w:t>
      </w:r>
      <w:r w:rsidR="00A43383" w:rsidRPr="00ED6612">
        <w:rPr>
          <w:rFonts w:ascii="Arial" w:hAnsi="Arial" w:cs="Arial"/>
          <w:sz w:val="22"/>
        </w:rPr>
        <w:t> </w:t>
      </w:r>
      <w:r w:rsidRPr="00ED6612">
        <w:rPr>
          <w:rFonts w:ascii="Arial" w:hAnsi="Arial" w:cs="Arial"/>
          <w:sz w:val="22"/>
        </w:rPr>
        <w:t>tCO</w:t>
      </w:r>
      <w:r w:rsidRPr="00ED6612">
        <w:rPr>
          <w:rFonts w:ascii="Arial" w:hAnsi="Arial" w:cs="Arial"/>
          <w:sz w:val="22"/>
          <w:vertAlign w:val="subscript"/>
        </w:rPr>
        <w:t>2</w:t>
      </w:r>
      <w:r w:rsidRPr="00ED6612">
        <w:rPr>
          <w:rFonts w:ascii="Arial" w:hAnsi="Arial" w:cs="Arial"/>
          <w:sz w:val="22"/>
        </w:rPr>
        <w:t>, along the lines of existing or potential instruments in other emerging economies (including Korea, China, Mexico and Chile), is used.</w:t>
      </w:r>
      <w:r w:rsidR="00EB5D7E" w:rsidRPr="00ED6612">
        <w:rPr>
          <w:rFonts w:ascii="Arial" w:hAnsi="Arial" w:cs="Arial"/>
          <w:sz w:val="22"/>
        </w:rPr>
        <w:t xml:space="preserve"> A fall in the value of CO</w:t>
      </w:r>
      <w:r w:rsidR="00EB5D7E" w:rsidRPr="00ED6612">
        <w:rPr>
          <w:rFonts w:ascii="Arial" w:hAnsi="Arial" w:cs="Arial"/>
          <w:sz w:val="22"/>
          <w:vertAlign w:val="subscript"/>
        </w:rPr>
        <w:t>2</w:t>
      </w:r>
      <w:r w:rsidR="00EB5D7E" w:rsidRPr="00ED6612">
        <w:rPr>
          <w:rFonts w:ascii="Arial" w:hAnsi="Arial" w:cs="Arial"/>
          <w:sz w:val="22"/>
        </w:rPr>
        <w:t xml:space="preserve"> reduced will have an impact on the abated costs of emissions.</w:t>
      </w:r>
    </w:p>
    <w:p w14:paraId="4560458B" w14:textId="77777777" w:rsidR="00CF23CC" w:rsidRPr="00ED6612" w:rsidRDefault="00F670A3" w:rsidP="008E3817">
      <w:pPr>
        <w:pStyle w:val="Paragraph"/>
        <w:numPr>
          <w:ilvl w:val="2"/>
          <w:numId w:val="4"/>
        </w:numPr>
        <w:tabs>
          <w:tab w:val="clear" w:pos="2304"/>
        </w:tabs>
        <w:spacing w:afterLines="80" w:after="192"/>
        <w:ind w:left="990" w:hanging="270"/>
        <w:rPr>
          <w:rFonts w:ascii="Arial" w:hAnsi="Arial" w:cs="Arial"/>
          <w:sz w:val="22"/>
        </w:rPr>
      </w:pPr>
      <w:r w:rsidRPr="00ED6612">
        <w:rPr>
          <w:rFonts w:ascii="Arial" w:hAnsi="Arial" w:cs="Arial"/>
          <w:sz w:val="22"/>
        </w:rPr>
        <w:t xml:space="preserve">Projects that may not evolve successfully and </w:t>
      </w:r>
      <w:r w:rsidR="00CA0807" w:rsidRPr="00ED6612">
        <w:rPr>
          <w:rFonts w:ascii="Arial" w:hAnsi="Arial" w:cs="Arial"/>
          <w:sz w:val="22"/>
        </w:rPr>
        <w:t>do not achieve production or savings of energy as expected</w:t>
      </w:r>
      <w:r w:rsidRPr="00ED6612">
        <w:rPr>
          <w:rFonts w:ascii="Arial" w:hAnsi="Arial" w:cs="Arial"/>
          <w:sz w:val="22"/>
        </w:rPr>
        <w:t xml:space="preserve"> are considered for the </w:t>
      </w:r>
      <w:r w:rsidR="00CB64A8" w:rsidRPr="00ED6612">
        <w:rPr>
          <w:rFonts w:ascii="Arial" w:hAnsi="Arial" w:cs="Arial"/>
          <w:sz w:val="22"/>
        </w:rPr>
        <w:t>next</w:t>
      </w:r>
      <w:r w:rsidRPr="00ED6612">
        <w:rPr>
          <w:rFonts w:ascii="Arial" w:hAnsi="Arial" w:cs="Arial"/>
          <w:sz w:val="22"/>
        </w:rPr>
        <w:t xml:space="preserve"> scenario. This implies an assumption that after the investment is made and the financing is approved, some of these projects do not become operative</w:t>
      </w:r>
      <w:r w:rsidR="00CA0807" w:rsidRPr="00ED6612">
        <w:rPr>
          <w:rFonts w:ascii="Arial" w:hAnsi="Arial" w:cs="Arial"/>
          <w:sz w:val="22"/>
        </w:rPr>
        <w:t xml:space="preserve"> or fail</w:t>
      </w:r>
      <w:r w:rsidR="0028341E" w:rsidRPr="00ED6612">
        <w:rPr>
          <w:rFonts w:ascii="Arial" w:hAnsi="Arial" w:cs="Arial"/>
          <w:sz w:val="22"/>
        </w:rPr>
        <w:t xml:space="preserve">. This scenario assumes that </w:t>
      </w:r>
      <w:r w:rsidR="00CB64A8" w:rsidRPr="00ED6612">
        <w:rPr>
          <w:rFonts w:ascii="Arial" w:hAnsi="Arial" w:cs="Arial"/>
          <w:sz w:val="22"/>
        </w:rPr>
        <w:t>5</w:t>
      </w:r>
      <w:r w:rsidR="0028341E" w:rsidRPr="00ED6612">
        <w:rPr>
          <w:rFonts w:ascii="Arial" w:hAnsi="Arial" w:cs="Arial"/>
          <w:sz w:val="22"/>
        </w:rPr>
        <w:t xml:space="preserve">% of projects </w:t>
      </w:r>
      <w:r w:rsidR="00CB64A8" w:rsidRPr="00ED6612">
        <w:rPr>
          <w:rFonts w:ascii="Arial" w:hAnsi="Arial" w:cs="Arial"/>
          <w:sz w:val="22"/>
        </w:rPr>
        <w:t xml:space="preserve">in all categories are not fully implemented even though the full amount of the investment was disbursed. </w:t>
      </w:r>
      <w:r w:rsidR="00CA0807" w:rsidRPr="00ED6612">
        <w:rPr>
          <w:rFonts w:ascii="Arial" w:hAnsi="Arial" w:cs="Arial"/>
          <w:sz w:val="22"/>
        </w:rPr>
        <w:t>T</w:t>
      </w:r>
      <w:r w:rsidR="00CB64A8" w:rsidRPr="00ED6612">
        <w:rPr>
          <w:rFonts w:ascii="Arial" w:hAnsi="Arial" w:cs="Arial"/>
          <w:sz w:val="22"/>
        </w:rPr>
        <w:t>he level of bank non-performing loans (NPL) can be taken as a reference for projects that are not able to pay back the loans</w:t>
      </w:r>
      <w:r w:rsidR="00CA0807" w:rsidRPr="00ED6612">
        <w:rPr>
          <w:rFonts w:ascii="Arial" w:hAnsi="Arial" w:cs="Arial"/>
          <w:sz w:val="22"/>
        </w:rPr>
        <w:t xml:space="preserve">. In this sense, </w:t>
      </w:r>
      <w:r w:rsidR="00CB64A8" w:rsidRPr="00ED6612">
        <w:rPr>
          <w:rFonts w:ascii="Arial" w:hAnsi="Arial" w:cs="Arial"/>
          <w:sz w:val="22"/>
        </w:rPr>
        <w:t xml:space="preserve">a 5% of failed projects </w:t>
      </w:r>
      <w:r w:rsidR="0028341E" w:rsidRPr="00ED6612">
        <w:rPr>
          <w:rFonts w:ascii="Arial" w:hAnsi="Arial" w:cs="Arial"/>
          <w:sz w:val="22"/>
        </w:rPr>
        <w:t xml:space="preserve">is considered </w:t>
      </w:r>
      <w:r w:rsidR="00CB64A8" w:rsidRPr="00ED6612">
        <w:rPr>
          <w:rFonts w:ascii="Arial" w:hAnsi="Arial" w:cs="Arial"/>
          <w:sz w:val="22"/>
        </w:rPr>
        <w:t>appropriate</w:t>
      </w:r>
      <w:r w:rsidR="00CA0807" w:rsidRPr="00ED6612">
        <w:rPr>
          <w:rFonts w:ascii="Arial" w:hAnsi="Arial" w:cs="Arial"/>
          <w:sz w:val="22"/>
        </w:rPr>
        <w:t>:</w:t>
      </w:r>
      <w:r w:rsidR="00CB64A8" w:rsidRPr="00ED6612">
        <w:rPr>
          <w:rFonts w:ascii="Arial" w:hAnsi="Arial" w:cs="Arial"/>
          <w:sz w:val="22"/>
        </w:rPr>
        <w:t xml:space="preserve"> </w:t>
      </w:r>
      <w:r w:rsidR="00CA0807" w:rsidRPr="00ED6612">
        <w:rPr>
          <w:rFonts w:ascii="Arial" w:hAnsi="Arial" w:cs="Arial"/>
          <w:sz w:val="22"/>
        </w:rPr>
        <w:t>s</w:t>
      </w:r>
      <w:r w:rsidR="00CB64A8" w:rsidRPr="00ED6612">
        <w:rPr>
          <w:rFonts w:ascii="Arial" w:hAnsi="Arial" w:cs="Arial"/>
          <w:sz w:val="22"/>
        </w:rPr>
        <w:t>ince 2011, Argentina has achieved and maintained NPL levels below 2%</w:t>
      </w:r>
      <w:r w:rsidR="00CB64A8" w:rsidRPr="00ED6612">
        <w:rPr>
          <w:rStyle w:val="FootnoteReference"/>
          <w:rFonts w:ascii="Arial" w:hAnsi="Arial" w:cs="Arial"/>
          <w:sz w:val="22"/>
        </w:rPr>
        <w:footnoteReference w:id="29"/>
      </w:r>
      <w:r w:rsidR="00CB64A8" w:rsidRPr="00ED6612">
        <w:rPr>
          <w:rFonts w:ascii="Arial" w:hAnsi="Arial" w:cs="Arial"/>
          <w:sz w:val="22"/>
        </w:rPr>
        <w:t xml:space="preserve"> and more than doubling that rate is most likely to cover for any impacts </w:t>
      </w:r>
      <w:r w:rsidR="00302FA1" w:rsidRPr="00ED6612">
        <w:rPr>
          <w:rFonts w:ascii="Arial" w:hAnsi="Arial" w:cs="Arial"/>
          <w:sz w:val="22"/>
        </w:rPr>
        <w:t>from</w:t>
      </w:r>
      <w:r w:rsidR="00CB64A8" w:rsidRPr="00ED6612">
        <w:rPr>
          <w:rFonts w:ascii="Arial" w:hAnsi="Arial" w:cs="Arial"/>
          <w:sz w:val="22"/>
        </w:rPr>
        <w:t xml:space="preserve"> the incremental risks associated to these </w:t>
      </w:r>
      <w:r w:rsidR="00302FA1" w:rsidRPr="00ED6612">
        <w:rPr>
          <w:rFonts w:ascii="Arial" w:hAnsi="Arial" w:cs="Arial"/>
          <w:sz w:val="22"/>
        </w:rPr>
        <w:t xml:space="preserve">particular types of </w:t>
      </w:r>
      <w:r w:rsidR="00CB64A8" w:rsidRPr="00ED6612">
        <w:rPr>
          <w:rFonts w:ascii="Arial" w:hAnsi="Arial" w:cs="Arial"/>
          <w:sz w:val="22"/>
        </w:rPr>
        <w:t>projects.</w:t>
      </w:r>
    </w:p>
    <w:p w14:paraId="4560458C" w14:textId="0A83155D" w:rsidR="00B21F0F" w:rsidRPr="00ED6612" w:rsidRDefault="00430159" w:rsidP="008E3817">
      <w:pPr>
        <w:pStyle w:val="Paragraph"/>
        <w:numPr>
          <w:ilvl w:val="2"/>
          <w:numId w:val="4"/>
        </w:numPr>
        <w:tabs>
          <w:tab w:val="clear" w:pos="2304"/>
        </w:tabs>
        <w:spacing w:afterLines="80" w:after="192"/>
        <w:ind w:left="990" w:hanging="270"/>
        <w:rPr>
          <w:rFonts w:ascii="Arial" w:hAnsi="Arial" w:cs="Arial"/>
          <w:sz w:val="22"/>
        </w:rPr>
      </w:pPr>
      <w:r w:rsidRPr="00ED6612">
        <w:rPr>
          <w:rFonts w:ascii="Arial" w:hAnsi="Arial" w:cs="Arial"/>
          <w:iCs/>
          <w:sz w:val="22"/>
        </w:rPr>
        <w:t xml:space="preserve">Given that the </w:t>
      </w:r>
      <w:r w:rsidR="0058740B" w:rsidRPr="00ED6612">
        <w:rPr>
          <w:rFonts w:ascii="Arial" w:hAnsi="Arial" w:cs="Arial"/>
          <w:iCs/>
          <w:sz w:val="22"/>
        </w:rPr>
        <w:t>combination of technologies and sub sectors within the portfolio can have an impact in the results</w:t>
      </w:r>
      <w:r w:rsidRPr="00ED6612">
        <w:rPr>
          <w:rFonts w:ascii="Arial" w:hAnsi="Arial" w:cs="Arial"/>
          <w:iCs/>
          <w:sz w:val="22"/>
        </w:rPr>
        <w:t xml:space="preserve">, </w:t>
      </w:r>
      <w:r w:rsidR="00302FA1" w:rsidRPr="00ED6612">
        <w:rPr>
          <w:rFonts w:ascii="Arial" w:hAnsi="Arial" w:cs="Arial"/>
          <w:iCs/>
          <w:sz w:val="22"/>
        </w:rPr>
        <w:t xml:space="preserve">and the projects to be financed are not known ex ante, </w:t>
      </w:r>
      <w:r w:rsidRPr="00ED6612">
        <w:rPr>
          <w:rFonts w:ascii="Arial" w:hAnsi="Arial" w:cs="Arial"/>
          <w:iCs/>
          <w:sz w:val="22"/>
        </w:rPr>
        <w:t>the allocation of funds</w:t>
      </w:r>
      <w:r w:rsidR="00302FA1" w:rsidRPr="00ED6612">
        <w:rPr>
          <w:rFonts w:ascii="Arial" w:hAnsi="Arial" w:cs="Arial"/>
          <w:iCs/>
          <w:sz w:val="22"/>
        </w:rPr>
        <w:t xml:space="preserve"> assumed for the base analysis</w:t>
      </w:r>
      <w:r w:rsidRPr="00ED6612">
        <w:rPr>
          <w:rFonts w:ascii="Arial" w:hAnsi="Arial" w:cs="Arial"/>
          <w:iCs/>
          <w:sz w:val="22"/>
        </w:rPr>
        <w:t xml:space="preserve"> (</w:t>
      </w:r>
      <w:r w:rsidR="0058740B" w:rsidRPr="00ED6612">
        <w:rPr>
          <w:rFonts w:ascii="Arial" w:hAnsi="Arial" w:cs="Arial"/>
          <w:iCs/>
          <w:sz w:val="22"/>
        </w:rPr>
        <w:t>7</w:t>
      </w:r>
      <w:r w:rsidR="00996ABB" w:rsidRPr="00ED6612">
        <w:rPr>
          <w:rFonts w:ascii="Arial" w:hAnsi="Arial" w:cs="Arial"/>
          <w:iCs/>
          <w:sz w:val="22"/>
        </w:rPr>
        <w:t>5</w:t>
      </w:r>
      <w:r w:rsidRPr="00ED6612">
        <w:rPr>
          <w:rFonts w:ascii="Arial" w:hAnsi="Arial" w:cs="Arial"/>
          <w:iCs/>
          <w:sz w:val="22"/>
        </w:rPr>
        <w:t xml:space="preserve">% RE, </w:t>
      </w:r>
      <w:r w:rsidR="0058740B" w:rsidRPr="00ED6612">
        <w:rPr>
          <w:rFonts w:ascii="Arial" w:hAnsi="Arial" w:cs="Arial"/>
          <w:iCs/>
          <w:sz w:val="22"/>
        </w:rPr>
        <w:t>2</w:t>
      </w:r>
      <w:r w:rsidR="00996ABB" w:rsidRPr="00ED6612">
        <w:rPr>
          <w:rFonts w:ascii="Arial" w:hAnsi="Arial" w:cs="Arial"/>
          <w:iCs/>
          <w:sz w:val="22"/>
        </w:rPr>
        <w:t>5</w:t>
      </w:r>
      <w:r w:rsidR="00285D52" w:rsidRPr="00ED6612">
        <w:rPr>
          <w:rFonts w:ascii="Arial" w:hAnsi="Arial" w:cs="Arial"/>
          <w:iCs/>
          <w:sz w:val="22"/>
        </w:rPr>
        <w:t>% </w:t>
      </w:r>
      <w:r w:rsidRPr="00ED6612">
        <w:rPr>
          <w:rFonts w:ascii="Arial" w:hAnsi="Arial" w:cs="Arial"/>
          <w:iCs/>
          <w:sz w:val="22"/>
        </w:rPr>
        <w:t>EE) is varied to test the impact of having</w:t>
      </w:r>
      <w:r w:rsidR="00996ABB" w:rsidRPr="00ED6612">
        <w:rPr>
          <w:rFonts w:ascii="Arial" w:hAnsi="Arial" w:cs="Arial"/>
          <w:iCs/>
          <w:sz w:val="22"/>
        </w:rPr>
        <w:t>: (i) 100% RE projects and no EE projects in the mix; and (ii)</w:t>
      </w:r>
      <w:r w:rsidRPr="00ED6612">
        <w:rPr>
          <w:rFonts w:ascii="Arial" w:hAnsi="Arial" w:cs="Arial"/>
          <w:iCs/>
          <w:sz w:val="22"/>
        </w:rPr>
        <w:t xml:space="preserve"> less </w:t>
      </w:r>
      <w:r w:rsidR="00302FA1" w:rsidRPr="00ED6612">
        <w:rPr>
          <w:rFonts w:ascii="Arial" w:hAnsi="Arial" w:cs="Arial"/>
          <w:iCs/>
          <w:sz w:val="22"/>
        </w:rPr>
        <w:t>R</w:t>
      </w:r>
      <w:r w:rsidRPr="00ED6612">
        <w:rPr>
          <w:rFonts w:ascii="Arial" w:hAnsi="Arial" w:cs="Arial"/>
          <w:iCs/>
          <w:sz w:val="22"/>
        </w:rPr>
        <w:t>E projects in the mix</w:t>
      </w:r>
      <w:r w:rsidR="00770A5B" w:rsidRPr="00ED6612">
        <w:rPr>
          <w:rFonts w:ascii="Arial" w:hAnsi="Arial" w:cs="Arial"/>
          <w:iCs/>
          <w:sz w:val="22"/>
        </w:rPr>
        <w:t xml:space="preserve"> (60% RE, 40% EE)</w:t>
      </w:r>
      <w:r w:rsidRPr="00ED6612">
        <w:rPr>
          <w:rFonts w:ascii="Arial" w:hAnsi="Arial" w:cs="Arial"/>
          <w:iCs/>
          <w:sz w:val="22"/>
        </w:rPr>
        <w:t>.</w:t>
      </w:r>
      <w:r w:rsidR="00996ABB" w:rsidRPr="00ED6612">
        <w:rPr>
          <w:rStyle w:val="FootnoteReference"/>
          <w:rFonts w:ascii="Arial" w:hAnsi="Arial" w:cs="Arial"/>
          <w:iCs/>
          <w:sz w:val="22"/>
        </w:rPr>
        <w:footnoteReference w:id="30"/>
      </w:r>
      <w:r w:rsidR="00302FA1" w:rsidRPr="00ED6612">
        <w:rPr>
          <w:rFonts w:ascii="Arial" w:hAnsi="Arial" w:cs="Arial"/>
          <w:iCs/>
          <w:sz w:val="22"/>
        </w:rPr>
        <w:t xml:space="preserve"> </w:t>
      </w:r>
      <w:r w:rsidR="00302FA1" w:rsidRPr="00ED6612">
        <w:rPr>
          <w:rFonts w:ascii="Arial" w:hAnsi="Arial" w:cs="Arial"/>
          <w:iCs/>
          <w:sz w:val="22"/>
        </w:rPr>
        <w:lastRenderedPageBreak/>
        <w:t xml:space="preserve">This is simplification of the initial consideration that any mix of projects that is assumed will produce a different NPV and IRR for the overall </w:t>
      </w:r>
      <w:r w:rsidR="00D11E5F">
        <w:rPr>
          <w:rFonts w:ascii="Arial" w:hAnsi="Arial" w:cs="Arial"/>
          <w:iCs/>
          <w:sz w:val="22"/>
        </w:rPr>
        <w:t>project</w:t>
      </w:r>
      <w:r w:rsidR="00770A5B" w:rsidRPr="00ED6612">
        <w:rPr>
          <w:rFonts w:ascii="Arial" w:hAnsi="Arial" w:cs="Arial"/>
          <w:iCs/>
          <w:sz w:val="22"/>
        </w:rPr>
        <w:t>, as differences may exist also within the group of technologies classified as RE or EE</w:t>
      </w:r>
      <w:r w:rsidR="00302FA1" w:rsidRPr="00ED6612">
        <w:rPr>
          <w:rFonts w:ascii="Arial" w:hAnsi="Arial" w:cs="Arial"/>
          <w:iCs/>
          <w:sz w:val="22"/>
        </w:rPr>
        <w:t xml:space="preserve">. Nonetheless, </w:t>
      </w:r>
      <w:r w:rsidR="00C96C7E" w:rsidRPr="00ED6612">
        <w:rPr>
          <w:rFonts w:ascii="Arial" w:hAnsi="Arial" w:cs="Arial"/>
          <w:iCs/>
          <w:sz w:val="22"/>
        </w:rPr>
        <w:t>b</w:t>
      </w:r>
      <w:r w:rsidRPr="00ED6612">
        <w:rPr>
          <w:rFonts w:ascii="Arial" w:hAnsi="Arial" w:cs="Arial"/>
          <w:iCs/>
          <w:sz w:val="22"/>
        </w:rPr>
        <w:t xml:space="preserve">ased on a revision of </w:t>
      </w:r>
      <w:r w:rsidR="00302FA1" w:rsidRPr="00ED6612">
        <w:rPr>
          <w:rFonts w:ascii="Arial" w:hAnsi="Arial" w:cs="Arial"/>
          <w:iCs/>
          <w:sz w:val="22"/>
        </w:rPr>
        <w:t>BICE’s</w:t>
      </w:r>
      <w:r w:rsidRPr="00ED6612">
        <w:rPr>
          <w:rFonts w:ascii="Arial" w:hAnsi="Arial" w:cs="Arial"/>
          <w:iCs/>
          <w:sz w:val="22"/>
        </w:rPr>
        <w:t xml:space="preserve"> </w:t>
      </w:r>
      <w:r w:rsidR="00302FA1" w:rsidRPr="00ED6612">
        <w:rPr>
          <w:rFonts w:ascii="Arial" w:hAnsi="Arial" w:cs="Arial"/>
          <w:iCs/>
          <w:sz w:val="22"/>
        </w:rPr>
        <w:t>ongoing efforts to build a portfolio</w:t>
      </w:r>
      <w:r w:rsidRPr="00ED6612">
        <w:rPr>
          <w:rFonts w:ascii="Arial" w:hAnsi="Arial" w:cs="Arial"/>
          <w:iCs/>
          <w:sz w:val="22"/>
        </w:rPr>
        <w:t xml:space="preserve"> of projects</w:t>
      </w:r>
      <w:r w:rsidR="00302FA1" w:rsidRPr="00ED6612">
        <w:rPr>
          <w:rFonts w:ascii="Arial" w:hAnsi="Arial" w:cs="Arial"/>
          <w:iCs/>
          <w:sz w:val="22"/>
        </w:rPr>
        <w:t xml:space="preserve"> for this </w:t>
      </w:r>
      <w:r w:rsidR="00D11E5F">
        <w:rPr>
          <w:rFonts w:ascii="Arial" w:hAnsi="Arial" w:cs="Arial"/>
          <w:iCs/>
          <w:sz w:val="22"/>
        </w:rPr>
        <w:t>project</w:t>
      </w:r>
      <w:r w:rsidR="00302FA1" w:rsidRPr="00ED6612">
        <w:rPr>
          <w:rFonts w:ascii="Arial" w:hAnsi="Arial" w:cs="Arial"/>
          <w:iCs/>
          <w:sz w:val="22"/>
        </w:rPr>
        <w:t>, and the market study,</w:t>
      </w:r>
      <w:r w:rsidRPr="00ED6612">
        <w:rPr>
          <w:rFonts w:ascii="Arial" w:hAnsi="Arial" w:cs="Arial"/>
          <w:iCs/>
          <w:sz w:val="22"/>
        </w:rPr>
        <w:t xml:space="preserve"> it is not likely that </w:t>
      </w:r>
      <w:r w:rsidR="003F35F7" w:rsidRPr="00ED6612">
        <w:rPr>
          <w:rFonts w:ascii="Arial" w:hAnsi="Arial" w:cs="Arial"/>
          <w:iCs/>
          <w:sz w:val="22"/>
        </w:rPr>
        <w:t>the share of projects used in the base analysis will change considerably</w:t>
      </w:r>
      <w:r w:rsidRPr="00ED6612">
        <w:rPr>
          <w:rFonts w:ascii="Arial" w:hAnsi="Arial" w:cs="Arial"/>
          <w:iCs/>
          <w:sz w:val="22"/>
        </w:rPr>
        <w:t>.</w:t>
      </w:r>
      <w:r w:rsidR="00D00A93" w:rsidRPr="00ED6612">
        <w:rPr>
          <w:rFonts w:ascii="Arial" w:hAnsi="Arial" w:cs="Arial"/>
          <w:iCs/>
          <w:sz w:val="22"/>
        </w:rPr>
        <w:t xml:space="preserve"> Also, the complementary TC includes activities related to support the assessment of risks in each project applying for financing and optimize the use of </w:t>
      </w:r>
      <w:r w:rsidR="00D11E5F">
        <w:rPr>
          <w:rFonts w:ascii="Arial" w:hAnsi="Arial" w:cs="Arial"/>
          <w:iCs/>
          <w:sz w:val="22"/>
        </w:rPr>
        <w:t>project</w:t>
      </w:r>
      <w:r w:rsidR="00D00A93" w:rsidRPr="00ED6612">
        <w:rPr>
          <w:rFonts w:ascii="Arial" w:hAnsi="Arial" w:cs="Arial"/>
          <w:iCs/>
          <w:sz w:val="22"/>
        </w:rPr>
        <w:t xml:space="preserve"> funds.</w:t>
      </w:r>
    </w:p>
    <w:p w14:paraId="4560458D" w14:textId="25E17D53" w:rsidR="00B21F0F" w:rsidRPr="00ED6612" w:rsidRDefault="002C6C43" w:rsidP="008E3817">
      <w:pPr>
        <w:pStyle w:val="Paragraph"/>
        <w:numPr>
          <w:ilvl w:val="1"/>
          <w:numId w:val="4"/>
        </w:numPr>
        <w:tabs>
          <w:tab w:val="num" w:pos="720"/>
        </w:tabs>
        <w:spacing w:afterLines="80" w:after="192"/>
        <w:ind w:left="720" w:hanging="720"/>
        <w:rPr>
          <w:rFonts w:ascii="Arial" w:hAnsi="Arial" w:cs="Arial"/>
          <w:sz w:val="22"/>
        </w:rPr>
      </w:pPr>
      <w:r w:rsidRPr="00ED6612">
        <w:rPr>
          <w:rFonts w:ascii="Arial" w:hAnsi="Arial" w:cs="Arial"/>
          <w:sz w:val="22"/>
        </w:rPr>
        <w:t>T</w:t>
      </w:r>
      <w:r w:rsidR="00B21F0F" w:rsidRPr="00ED6612">
        <w:rPr>
          <w:rFonts w:ascii="Arial" w:hAnsi="Arial" w:cs="Arial"/>
          <w:sz w:val="22"/>
        </w:rPr>
        <w:t xml:space="preserve">he </w:t>
      </w:r>
      <w:r w:rsidR="00A81255" w:rsidRPr="00ED6612">
        <w:rPr>
          <w:rFonts w:ascii="Arial" w:hAnsi="Arial" w:cs="Arial"/>
          <w:sz w:val="22"/>
        </w:rPr>
        <w:t>s</w:t>
      </w:r>
      <w:r w:rsidR="00B21F0F" w:rsidRPr="00ED6612">
        <w:rPr>
          <w:rFonts w:ascii="Arial" w:hAnsi="Arial" w:cs="Arial"/>
          <w:sz w:val="22"/>
        </w:rPr>
        <w:t xml:space="preserve">ensitivity analysis </w:t>
      </w:r>
      <w:r w:rsidR="00A81255" w:rsidRPr="00ED6612">
        <w:rPr>
          <w:rFonts w:ascii="Arial" w:hAnsi="Arial" w:cs="Arial"/>
          <w:sz w:val="22"/>
        </w:rPr>
        <w:t>is</w:t>
      </w:r>
      <w:r w:rsidR="00B21F0F" w:rsidRPr="00ED6612">
        <w:rPr>
          <w:rFonts w:ascii="Arial" w:hAnsi="Arial" w:cs="Arial"/>
          <w:sz w:val="22"/>
        </w:rPr>
        <w:t xml:space="preserve"> summarized in t</w:t>
      </w:r>
      <w:r w:rsidRPr="00ED6612">
        <w:rPr>
          <w:rFonts w:ascii="Arial" w:hAnsi="Arial" w:cs="Arial"/>
          <w:sz w:val="22"/>
        </w:rPr>
        <w:t>able</w:t>
      </w:r>
      <w:r w:rsidR="00935452" w:rsidRPr="00ED6612">
        <w:rPr>
          <w:rFonts w:ascii="Arial" w:hAnsi="Arial" w:cs="Arial"/>
          <w:sz w:val="22"/>
        </w:rPr>
        <w:t xml:space="preserve"> </w:t>
      </w:r>
      <w:r w:rsidR="00F83FDB" w:rsidRPr="00ED6612">
        <w:rPr>
          <w:rFonts w:ascii="Arial" w:hAnsi="Arial" w:cs="Arial"/>
          <w:sz w:val="22"/>
        </w:rPr>
        <w:t>5</w:t>
      </w:r>
      <w:r w:rsidR="00E5795B" w:rsidRPr="00ED6612">
        <w:rPr>
          <w:rFonts w:ascii="Arial" w:hAnsi="Arial" w:cs="Arial"/>
          <w:sz w:val="22"/>
        </w:rPr>
        <w:t>.1</w:t>
      </w:r>
      <w:r w:rsidR="00B21F0F" w:rsidRPr="00ED6612">
        <w:rPr>
          <w:rFonts w:ascii="Arial" w:hAnsi="Arial" w:cs="Arial"/>
          <w:sz w:val="22"/>
        </w:rPr>
        <w:t>, which includes the</w:t>
      </w:r>
      <w:r w:rsidRPr="00ED6612">
        <w:rPr>
          <w:rFonts w:ascii="Arial" w:hAnsi="Arial" w:cs="Arial"/>
          <w:sz w:val="22"/>
        </w:rPr>
        <w:t xml:space="preserve"> test value </w:t>
      </w:r>
      <w:r w:rsidR="00B21F0F" w:rsidRPr="00ED6612">
        <w:rPr>
          <w:rFonts w:ascii="Arial" w:hAnsi="Arial" w:cs="Arial"/>
          <w:sz w:val="22"/>
        </w:rPr>
        <w:t xml:space="preserve">of a particular parameter (alternative </w:t>
      </w:r>
      <w:r w:rsidRPr="00ED6612">
        <w:rPr>
          <w:rFonts w:ascii="Arial" w:hAnsi="Arial" w:cs="Arial"/>
          <w:sz w:val="22"/>
        </w:rPr>
        <w:t>scenario</w:t>
      </w:r>
      <w:r w:rsidR="00B21F0F" w:rsidRPr="00ED6612">
        <w:rPr>
          <w:rFonts w:ascii="Arial" w:hAnsi="Arial" w:cs="Arial"/>
          <w:sz w:val="22"/>
        </w:rPr>
        <w:t xml:space="preserve">), </w:t>
      </w:r>
      <w:r w:rsidRPr="00ED6612">
        <w:rPr>
          <w:rFonts w:ascii="Arial" w:hAnsi="Arial" w:cs="Arial"/>
          <w:sz w:val="22"/>
        </w:rPr>
        <w:t>the adjusted</w:t>
      </w:r>
      <w:r w:rsidR="00C3686B" w:rsidRPr="00ED6612">
        <w:rPr>
          <w:rFonts w:ascii="Arial" w:hAnsi="Arial" w:cs="Arial"/>
          <w:sz w:val="22"/>
        </w:rPr>
        <w:t xml:space="preserve"> </w:t>
      </w:r>
      <w:r w:rsidR="00B21F0F" w:rsidRPr="00ED6612">
        <w:rPr>
          <w:rFonts w:ascii="Arial" w:hAnsi="Arial" w:cs="Arial"/>
          <w:sz w:val="22"/>
        </w:rPr>
        <w:t>ratios (</w:t>
      </w:r>
      <w:r w:rsidRPr="00ED6612">
        <w:rPr>
          <w:rFonts w:ascii="Arial" w:hAnsi="Arial" w:cs="Arial"/>
          <w:sz w:val="22"/>
        </w:rPr>
        <w:t xml:space="preserve">NPV </w:t>
      </w:r>
      <w:r w:rsidR="00B21F0F" w:rsidRPr="00ED6612">
        <w:rPr>
          <w:rFonts w:ascii="Arial" w:hAnsi="Arial" w:cs="Arial"/>
          <w:sz w:val="22"/>
        </w:rPr>
        <w:t xml:space="preserve">and </w:t>
      </w:r>
      <w:r w:rsidR="004529E6" w:rsidRPr="00ED6612">
        <w:rPr>
          <w:rFonts w:ascii="Arial" w:hAnsi="Arial" w:cs="Arial"/>
          <w:sz w:val="22"/>
        </w:rPr>
        <w:t>IRR</w:t>
      </w:r>
      <w:r w:rsidR="00B21F0F" w:rsidRPr="00ED6612">
        <w:rPr>
          <w:rFonts w:ascii="Arial" w:hAnsi="Arial" w:cs="Arial"/>
          <w:sz w:val="22"/>
        </w:rPr>
        <w:t>)</w:t>
      </w:r>
      <w:r w:rsidR="004529E6" w:rsidRPr="00ED6612">
        <w:rPr>
          <w:rFonts w:ascii="Arial" w:hAnsi="Arial" w:cs="Arial"/>
          <w:sz w:val="22"/>
        </w:rPr>
        <w:t xml:space="preserve"> </w:t>
      </w:r>
      <w:r w:rsidRPr="00ED6612">
        <w:rPr>
          <w:rFonts w:ascii="Arial" w:hAnsi="Arial" w:cs="Arial"/>
          <w:sz w:val="22"/>
        </w:rPr>
        <w:t>under the modified scenario</w:t>
      </w:r>
      <w:r w:rsidR="00145E87" w:rsidRPr="00ED6612">
        <w:rPr>
          <w:rFonts w:ascii="Arial" w:hAnsi="Arial" w:cs="Arial"/>
          <w:sz w:val="22"/>
        </w:rPr>
        <w:t xml:space="preserve">, and the break-even value (the value of the parameter under which the NPV of the </w:t>
      </w:r>
      <w:r w:rsidR="00D11E5F">
        <w:rPr>
          <w:rFonts w:ascii="Arial" w:hAnsi="Arial" w:cs="Arial"/>
          <w:sz w:val="22"/>
        </w:rPr>
        <w:t>project</w:t>
      </w:r>
      <w:r w:rsidR="00145E87" w:rsidRPr="00ED6612">
        <w:rPr>
          <w:rFonts w:ascii="Arial" w:hAnsi="Arial" w:cs="Arial"/>
          <w:sz w:val="22"/>
        </w:rPr>
        <w:t xml:space="preserve"> becomes zero)</w:t>
      </w:r>
      <w:r w:rsidR="00DC2B96" w:rsidRPr="00ED6612">
        <w:rPr>
          <w:rFonts w:ascii="Arial" w:hAnsi="Arial" w:cs="Arial"/>
          <w:sz w:val="22"/>
        </w:rPr>
        <w:t>.</w:t>
      </w:r>
    </w:p>
    <w:p w14:paraId="4560458E" w14:textId="77777777" w:rsidR="003F35F7" w:rsidRPr="00ED6612" w:rsidRDefault="003F35F7" w:rsidP="003F35F7">
      <w:pPr>
        <w:pStyle w:val="Paragraph"/>
        <w:tabs>
          <w:tab w:val="clear" w:pos="720"/>
        </w:tabs>
        <w:spacing w:afterLines="80" w:after="192"/>
        <w:ind w:left="0" w:firstLine="720"/>
        <w:rPr>
          <w:b/>
          <w:sz w:val="4"/>
          <w:szCs w:val="4"/>
        </w:rPr>
      </w:pPr>
      <w:r w:rsidRPr="00ED6612">
        <w:rPr>
          <w:rFonts w:ascii="Arial" w:eastAsia="Times New Roman" w:hAnsi="Arial" w:cs="Arial"/>
          <w:b/>
          <w:bCs/>
          <w:sz w:val="20"/>
          <w:szCs w:val="20"/>
        </w:rPr>
        <w:t>Table 5.1.- Summary of sensitivity analysis</w:t>
      </w:r>
    </w:p>
    <w:tbl>
      <w:tblPr>
        <w:tblStyle w:val="LightShading-Accent11"/>
        <w:tblW w:w="8010" w:type="dxa"/>
        <w:tblInd w:w="720" w:type="dxa"/>
        <w:tblLayout w:type="fixed"/>
        <w:tblLook w:val="04A0" w:firstRow="1" w:lastRow="0" w:firstColumn="1" w:lastColumn="0" w:noHBand="0" w:noVBand="1"/>
      </w:tblPr>
      <w:tblGrid>
        <w:gridCol w:w="1980"/>
        <w:gridCol w:w="1600"/>
        <w:gridCol w:w="1370"/>
        <w:gridCol w:w="1019"/>
        <w:gridCol w:w="990"/>
        <w:gridCol w:w="1051"/>
      </w:tblGrid>
      <w:tr w:rsidR="00145E87" w:rsidRPr="00ED6612" w14:paraId="45604595" w14:textId="77777777" w:rsidTr="001365F5">
        <w:trPr>
          <w:cnfStyle w:val="100000000000" w:firstRow="1" w:lastRow="0" w:firstColumn="0" w:lastColumn="0" w:oddVBand="0" w:evenVBand="0" w:oddHBand="0" w:evenHBand="0" w:firstRowFirstColumn="0" w:firstRowLastColumn="0" w:lastRowFirstColumn="0" w:lastRowLastColumn="0"/>
          <w:trHeight w:val="152"/>
          <w:tblHeader/>
        </w:trPr>
        <w:tc>
          <w:tcPr>
            <w:cnfStyle w:val="001000000000" w:firstRow="0" w:lastRow="0" w:firstColumn="1" w:lastColumn="0" w:oddVBand="0" w:evenVBand="0" w:oddHBand="0" w:evenHBand="0" w:firstRowFirstColumn="0" w:firstRowLastColumn="0" w:lastRowFirstColumn="0" w:lastRowLastColumn="0"/>
            <w:tcW w:w="1980" w:type="dxa"/>
            <w:tcBorders>
              <w:right w:val="single" w:sz="4" w:space="0" w:color="365F91" w:themeColor="accent1" w:themeShade="BF"/>
            </w:tcBorders>
            <w:vAlign w:val="center"/>
          </w:tcPr>
          <w:p w14:paraId="4560458F" w14:textId="77777777" w:rsidR="00145E87" w:rsidRPr="00ED6612" w:rsidRDefault="00145E87" w:rsidP="00C53115">
            <w:pPr>
              <w:pStyle w:val="Paragraph"/>
              <w:tabs>
                <w:tab w:val="clear" w:pos="720"/>
              </w:tabs>
              <w:spacing w:before="20" w:after="20"/>
              <w:ind w:left="0" w:firstLine="0"/>
              <w:jc w:val="left"/>
              <w:rPr>
                <w:rFonts w:ascii="Arial" w:hAnsi="Arial" w:cs="Arial"/>
                <w:color w:val="auto"/>
                <w:sz w:val="18"/>
                <w:szCs w:val="20"/>
              </w:rPr>
            </w:pPr>
            <w:r w:rsidRPr="00ED6612">
              <w:rPr>
                <w:rFonts w:ascii="Arial" w:hAnsi="Arial" w:cs="Arial"/>
                <w:color w:val="auto"/>
                <w:sz w:val="18"/>
                <w:szCs w:val="20"/>
              </w:rPr>
              <w:t>Parameter</w:t>
            </w:r>
          </w:p>
        </w:tc>
        <w:tc>
          <w:tcPr>
            <w:tcW w:w="1600" w:type="dxa"/>
            <w:tcBorders>
              <w:left w:val="single" w:sz="4" w:space="0" w:color="365F91" w:themeColor="accent1" w:themeShade="BF"/>
              <w:right w:val="single" w:sz="4" w:space="0" w:color="365F91" w:themeColor="accent1" w:themeShade="BF"/>
            </w:tcBorders>
            <w:vAlign w:val="center"/>
          </w:tcPr>
          <w:p w14:paraId="45604590" w14:textId="77777777" w:rsidR="00145E87" w:rsidRPr="00ED6612" w:rsidRDefault="00145E87" w:rsidP="00C53115">
            <w:pPr>
              <w:pStyle w:val="Paragraph"/>
              <w:tabs>
                <w:tab w:val="clear" w:pos="720"/>
              </w:tabs>
              <w:spacing w:before="20" w:after="20"/>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auto"/>
                <w:sz w:val="18"/>
                <w:szCs w:val="20"/>
              </w:rPr>
            </w:pPr>
            <w:r w:rsidRPr="00ED6612">
              <w:rPr>
                <w:rFonts w:ascii="Arial" w:hAnsi="Arial" w:cs="Arial"/>
                <w:color w:val="auto"/>
                <w:sz w:val="18"/>
                <w:szCs w:val="20"/>
              </w:rPr>
              <w:t>Initial value</w:t>
            </w:r>
          </w:p>
        </w:tc>
        <w:tc>
          <w:tcPr>
            <w:tcW w:w="1370" w:type="dxa"/>
            <w:tcBorders>
              <w:left w:val="single" w:sz="4" w:space="0" w:color="365F91" w:themeColor="accent1" w:themeShade="BF"/>
              <w:right w:val="single" w:sz="4" w:space="0" w:color="365F91" w:themeColor="accent1" w:themeShade="BF"/>
            </w:tcBorders>
            <w:vAlign w:val="center"/>
          </w:tcPr>
          <w:p w14:paraId="45604591" w14:textId="77777777" w:rsidR="00145E87" w:rsidRPr="00ED6612" w:rsidRDefault="00145E87" w:rsidP="00C53115">
            <w:pPr>
              <w:pStyle w:val="Paragraph"/>
              <w:tabs>
                <w:tab w:val="clear" w:pos="720"/>
              </w:tabs>
              <w:spacing w:before="20" w:after="20"/>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auto"/>
                <w:sz w:val="18"/>
                <w:szCs w:val="20"/>
              </w:rPr>
            </w:pPr>
            <w:r w:rsidRPr="00ED6612">
              <w:rPr>
                <w:rFonts w:ascii="Arial" w:hAnsi="Arial" w:cs="Arial"/>
                <w:color w:val="auto"/>
                <w:sz w:val="18"/>
                <w:szCs w:val="20"/>
              </w:rPr>
              <w:t>Test value</w:t>
            </w:r>
          </w:p>
        </w:tc>
        <w:tc>
          <w:tcPr>
            <w:tcW w:w="1019" w:type="dxa"/>
            <w:tcBorders>
              <w:left w:val="single" w:sz="4" w:space="0" w:color="365F91" w:themeColor="accent1" w:themeShade="BF"/>
            </w:tcBorders>
            <w:vAlign w:val="center"/>
          </w:tcPr>
          <w:p w14:paraId="45604592" w14:textId="77777777" w:rsidR="00145E87" w:rsidRPr="00ED6612" w:rsidRDefault="00145E87" w:rsidP="00C53115">
            <w:pPr>
              <w:pStyle w:val="Paragraph"/>
              <w:tabs>
                <w:tab w:val="clear" w:pos="720"/>
              </w:tabs>
              <w:spacing w:before="20" w:after="20"/>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auto"/>
                <w:sz w:val="18"/>
                <w:szCs w:val="20"/>
              </w:rPr>
            </w:pPr>
            <w:r w:rsidRPr="00ED6612">
              <w:rPr>
                <w:rFonts w:ascii="Arial" w:hAnsi="Arial" w:cs="Arial"/>
                <w:color w:val="auto"/>
                <w:sz w:val="18"/>
                <w:szCs w:val="20"/>
              </w:rPr>
              <w:t>Adjusted NPV (MUSD)</w:t>
            </w:r>
          </w:p>
        </w:tc>
        <w:tc>
          <w:tcPr>
            <w:tcW w:w="990" w:type="dxa"/>
            <w:tcBorders>
              <w:left w:val="single" w:sz="4" w:space="0" w:color="365F91" w:themeColor="accent1" w:themeShade="BF"/>
            </w:tcBorders>
            <w:vAlign w:val="center"/>
          </w:tcPr>
          <w:p w14:paraId="45604593" w14:textId="77777777" w:rsidR="00145E87" w:rsidRPr="00ED6612" w:rsidRDefault="00145E87" w:rsidP="00C53115">
            <w:pPr>
              <w:pStyle w:val="Paragraph"/>
              <w:tabs>
                <w:tab w:val="clear" w:pos="720"/>
              </w:tabs>
              <w:spacing w:before="20" w:after="20"/>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color w:val="auto"/>
                <w:sz w:val="18"/>
                <w:szCs w:val="20"/>
              </w:rPr>
            </w:pPr>
            <w:r w:rsidRPr="00ED6612">
              <w:rPr>
                <w:rFonts w:ascii="Arial" w:hAnsi="Arial" w:cs="Arial"/>
                <w:color w:val="auto"/>
                <w:sz w:val="18"/>
                <w:szCs w:val="20"/>
              </w:rPr>
              <w:t>Adjusted IRR (%)</w:t>
            </w:r>
          </w:p>
        </w:tc>
        <w:tc>
          <w:tcPr>
            <w:tcW w:w="1051" w:type="dxa"/>
            <w:tcBorders>
              <w:left w:val="single" w:sz="4" w:space="0" w:color="365F91" w:themeColor="accent1" w:themeShade="BF"/>
            </w:tcBorders>
          </w:tcPr>
          <w:p w14:paraId="45604594" w14:textId="77777777" w:rsidR="00145E87" w:rsidRPr="00ED6612" w:rsidRDefault="005770A6" w:rsidP="00C53115">
            <w:pPr>
              <w:pStyle w:val="Paragraph"/>
              <w:tabs>
                <w:tab w:val="clear" w:pos="720"/>
              </w:tabs>
              <w:spacing w:before="20" w:after="20"/>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color w:val="auto"/>
                <w:sz w:val="18"/>
                <w:szCs w:val="20"/>
              </w:rPr>
            </w:pPr>
            <w:r w:rsidRPr="00ED6612">
              <w:rPr>
                <w:rFonts w:ascii="Arial" w:hAnsi="Arial" w:cs="Arial"/>
                <w:color w:val="auto"/>
                <w:sz w:val="18"/>
                <w:szCs w:val="20"/>
              </w:rPr>
              <w:t>Break-even value</w:t>
            </w:r>
          </w:p>
        </w:tc>
      </w:tr>
      <w:tr w:rsidR="00145E87" w:rsidRPr="00ED6612" w14:paraId="4560459C" w14:textId="77777777" w:rsidTr="001365F5">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1980" w:type="dxa"/>
            <w:tcBorders>
              <w:top w:val="single" w:sz="8" w:space="0" w:color="4F81BD" w:themeColor="accent1"/>
              <w:bottom w:val="nil"/>
              <w:right w:val="single" w:sz="8" w:space="0" w:color="4F81BD" w:themeColor="accent1"/>
            </w:tcBorders>
            <w:vAlign w:val="center"/>
          </w:tcPr>
          <w:p w14:paraId="45604596" w14:textId="77777777" w:rsidR="00145E87" w:rsidRPr="00ED6612" w:rsidRDefault="00145E87" w:rsidP="00F15253">
            <w:pPr>
              <w:pStyle w:val="Paragraph"/>
              <w:tabs>
                <w:tab w:val="clear" w:pos="720"/>
              </w:tabs>
              <w:spacing w:before="20" w:after="20"/>
              <w:ind w:left="0" w:firstLine="0"/>
              <w:jc w:val="left"/>
              <w:rPr>
                <w:rFonts w:ascii="Arial" w:hAnsi="Arial" w:cs="Arial"/>
                <w:b w:val="0"/>
                <w:color w:val="auto"/>
                <w:sz w:val="18"/>
                <w:szCs w:val="20"/>
              </w:rPr>
            </w:pPr>
            <w:r w:rsidRPr="00ED6612">
              <w:rPr>
                <w:rFonts w:ascii="Arial" w:hAnsi="Arial" w:cs="Arial"/>
                <w:b w:val="0"/>
                <w:color w:val="auto"/>
                <w:sz w:val="18"/>
                <w:szCs w:val="20"/>
              </w:rPr>
              <w:t>a. Reduction in marginal cost of energy</w:t>
            </w:r>
          </w:p>
        </w:tc>
        <w:tc>
          <w:tcPr>
            <w:tcW w:w="1600" w:type="dxa"/>
            <w:tcBorders>
              <w:top w:val="single" w:sz="8" w:space="0" w:color="4F81BD" w:themeColor="accent1"/>
              <w:left w:val="single" w:sz="8" w:space="0" w:color="4F81BD" w:themeColor="accent1"/>
              <w:bottom w:val="nil"/>
              <w:right w:val="single" w:sz="8" w:space="0" w:color="4F81BD" w:themeColor="accent1"/>
            </w:tcBorders>
            <w:vAlign w:val="center"/>
          </w:tcPr>
          <w:p w14:paraId="45604597" w14:textId="77777777" w:rsidR="00145E87" w:rsidRPr="00ED6612" w:rsidRDefault="00145E87" w:rsidP="007F3E0C">
            <w:pPr>
              <w:pStyle w:val="Paragraph"/>
              <w:tabs>
                <w:tab w:val="clear" w:pos="720"/>
              </w:tabs>
              <w:spacing w:before="20" w:after="20"/>
              <w:ind w:left="0" w:firstLine="0"/>
              <w:jc w:val="left"/>
              <w:cnfStyle w:val="000000100000" w:firstRow="0" w:lastRow="0" w:firstColumn="0" w:lastColumn="0" w:oddVBand="0" w:evenVBand="0" w:oddHBand="1" w:evenHBand="0" w:firstRowFirstColumn="0" w:firstRowLastColumn="0" w:lastRowFirstColumn="0" w:lastRowLastColumn="0"/>
              <w:rPr>
                <w:rFonts w:ascii="Arial" w:hAnsi="Arial" w:cs="Arial"/>
                <w:color w:val="auto"/>
                <w:sz w:val="18"/>
                <w:szCs w:val="20"/>
              </w:rPr>
            </w:pPr>
            <w:r w:rsidRPr="00ED6612">
              <w:rPr>
                <w:rFonts w:ascii="Arial" w:hAnsi="Arial" w:cs="Arial"/>
                <w:color w:val="auto"/>
                <w:sz w:val="18"/>
                <w:szCs w:val="20"/>
              </w:rPr>
              <w:t>175.37 US$/MWh</w:t>
            </w:r>
          </w:p>
        </w:tc>
        <w:tc>
          <w:tcPr>
            <w:tcW w:w="1370" w:type="dxa"/>
            <w:tcBorders>
              <w:top w:val="single" w:sz="8" w:space="0" w:color="4F81BD" w:themeColor="accent1"/>
              <w:left w:val="single" w:sz="8" w:space="0" w:color="4F81BD" w:themeColor="accent1"/>
              <w:bottom w:val="nil"/>
              <w:right w:val="single" w:sz="8" w:space="0" w:color="4F81BD" w:themeColor="accent1"/>
            </w:tcBorders>
            <w:vAlign w:val="center"/>
          </w:tcPr>
          <w:p w14:paraId="45604598" w14:textId="77777777" w:rsidR="00145E87" w:rsidRPr="00ED6612" w:rsidRDefault="00145E87" w:rsidP="007F3E0C">
            <w:pPr>
              <w:pStyle w:val="Paragraph"/>
              <w:tabs>
                <w:tab w:val="clear" w:pos="720"/>
              </w:tabs>
              <w:spacing w:before="20" w:after="20"/>
              <w:ind w:left="0" w:firstLine="0"/>
              <w:jc w:val="left"/>
              <w:cnfStyle w:val="000000100000" w:firstRow="0" w:lastRow="0" w:firstColumn="0" w:lastColumn="0" w:oddVBand="0" w:evenVBand="0" w:oddHBand="1" w:evenHBand="0" w:firstRowFirstColumn="0" w:firstRowLastColumn="0" w:lastRowFirstColumn="0" w:lastRowLastColumn="0"/>
              <w:rPr>
                <w:rFonts w:ascii="Arial" w:hAnsi="Arial" w:cs="Arial"/>
                <w:color w:val="auto"/>
                <w:sz w:val="18"/>
                <w:szCs w:val="20"/>
              </w:rPr>
            </w:pPr>
            <w:r w:rsidRPr="00ED6612">
              <w:rPr>
                <w:rFonts w:ascii="Arial" w:hAnsi="Arial" w:cs="Arial"/>
                <w:color w:val="auto"/>
                <w:sz w:val="18"/>
                <w:szCs w:val="20"/>
              </w:rPr>
              <w:t>126.81 US$/MWh</w:t>
            </w:r>
          </w:p>
        </w:tc>
        <w:tc>
          <w:tcPr>
            <w:tcW w:w="1019" w:type="dxa"/>
            <w:tcBorders>
              <w:top w:val="single" w:sz="8" w:space="0" w:color="4F81BD" w:themeColor="accent1"/>
              <w:left w:val="single" w:sz="8" w:space="0" w:color="4F81BD" w:themeColor="accent1"/>
              <w:bottom w:val="nil"/>
            </w:tcBorders>
            <w:vAlign w:val="center"/>
          </w:tcPr>
          <w:p w14:paraId="45604599" w14:textId="77777777" w:rsidR="00145E87" w:rsidRPr="00ED6612" w:rsidRDefault="00145E87" w:rsidP="00C53115">
            <w:pPr>
              <w:pStyle w:val="Paragraph"/>
              <w:tabs>
                <w:tab w:val="clear" w:pos="720"/>
              </w:tabs>
              <w:spacing w:before="20" w:after="20"/>
              <w:ind w:left="0" w:firstLine="0"/>
              <w:jc w:val="center"/>
              <w:cnfStyle w:val="000000100000" w:firstRow="0" w:lastRow="0" w:firstColumn="0" w:lastColumn="0" w:oddVBand="0" w:evenVBand="0" w:oddHBand="1" w:evenHBand="0" w:firstRowFirstColumn="0" w:firstRowLastColumn="0" w:lastRowFirstColumn="0" w:lastRowLastColumn="0"/>
              <w:rPr>
                <w:rFonts w:ascii="Arial" w:hAnsi="Arial" w:cs="Arial"/>
                <w:b/>
                <w:color w:val="auto"/>
                <w:sz w:val="18"/>
                <w:szCs w:val="20"/>
              </w:rPr>
            </w:pPr>
            <w:r w:rsidRPr="00ED6612">
              <w:rPr>
                <w:rFonts w:ascii="Arial" w:hAnsi="Arial" w:cs="Arial"/>
                <w:b/>
                <w:color w:val="auto"/>
                <w:sz w:val="18"/>
                <w:szCs w:val="20"/>
              </w:rPr>
              <w:t>30.71</w:t>
            </w:r>
          </w:p>
        </w:tc>
        <w:tc>
          <w:tcPr>
            <w:tcW w:w="990" w:type="dxa"/>
            <w:tcBorders>
              <w:top w:val="single" w:sz="8" w:space="0" w:color="4F81BD" w:themeColor="accent1"/>
              <w:left w:val="single" w:sz="8" w:space="0" w:color="4F81BD" w:themeColor="accent1"/>
              <w:bottom w:val="nil"/>
            </w:tcBorders>
            <w:vAlign w:val="center"/>
          </w:tcPr>
          <w:p w14:paraId="4560459A" w14:textId="77777777" w:rsidR="00145E87" w:rsidRPr="00ED6612" w:rsidRDefault="00145E87" w:rsidP="00C53115">
            <w:pPr>
              <w:pStyle w:val="Paragraph"/>
              <w:tabs>
                <w:tab w:val="clear" w:pos="720"/>
              </w:tabs>
              <w:spacing w:before="20" w:after="20"/>
              <w:ind w:left="0" w:firstLine="0"/>
              <w:jc w:val="center"/>
              <w:cnfStyle w:val="000000100000" w:firstRow="0" w:lastRow="0" w:firstColumn="0" w:lastColumn="0" w:oddVBand="0" w:evenVBand="0" w:oddHBand="1" w:evenHBand="0" w:firstRowFirstColumn="0" w:firstRowLastColumn="0" w:lastRowFirstColumn="0" w:lastRowLastColumn="0"/>
              <w:rPr>
                <w:rFonts w:ascii="Arial" w:hAnsi="Arial" w:cs="Arial"/>
                <w:b/>
                <w:color w:val="auto"/>
                <w:sz w:val="18"/>
                <w:szCs w:val="20"/>
              </w:rPr>
            </w:pPr>
            <w:r w:rsidRPr="00ED6612">
              <w:rPr>
                <w:rFonts w:ascii="Arial" w:hAnsi="Arial" w:cs="Arial"/>
                <w:b/>
                <w:color w:val="auto"/>
                <w:sz w:val="18"/>
                <w:szCs w:val="20"/>
              </w:rPr>
              <w:t>14.8</w:t>
            </w:r>
          </w:p>
        </w:tc>
        <w:tc>
          <w:tcPr>
            <w:tcW w:w="1051" w:type="dxa"/>
            <w:tcBorders>
              <w:top w:val="single" w:sz="8" w:space="0" w:color="4F81BD" w:themeColor="accent1"/>
              <w:left w:val="single" w:sz="8" w:space="0" w:color="4F81BD" w:themeColor="accent1"/>
              <w:bottom w:val="nil"/>
            </w:tcBorders>
            <w:vAlign w:val="center"/>
          </w:tcPr>
          <w:p w14:paraId="4560459B" w14:textId="77777777" w:rsidR="00145E87" w:rsidRPr="00ED6612" w:rsidRDefault="005770A6" w:rsidP="00D066E8">
            <w:pPr>
              <w:pStyle w:val="Paragraph"/>
              <w:tabs>
                <w:tab w:val="clear" w:pos="720"/>
              </w:tabs>
              <w:spacing w:before="20" w:after="20"/>
              <w:ind w:left="0" w:firstLine="0"/>
              <w:jc w:val="center"/>
              <w:cnfStyle w:val="000000100000" w:firstRow="0" w:lastRow="0" w:firstColumn="0" w:lastColumn="0" w:oddVBand="0" w:evenVBand="0" w:oddHBand="1" w:evenHBand="0" w:firstRowFirstColumn="0" w:firstRowLastColumn="0" w:lastRowFirstColumn="0" w:lastRowLastColumn="0"/>
              <w:rPr>
                <w:rFonts w:ascii="Arial" w:hAnsi="Arial" w:cs="Arial"/>
                <w:color w:val="auto"/>
                <w:sz w:val="18"/>
                <w:szCs w:val="20"/>
              </w:rPr>
            </w:pPr>
            <w:r w:rsidRPr="00ED6612">
              <w:rPr>
                <w:rFonts w:ascii="Arial" w:hAnsi="Arial" w:cs="Arial"/>
                <w:color w:val="auto"/>
                <w:sz w:val="18"/>
                <w:szCs w:val="20"/>
              </w:rPr>
              <w:t>100.42</w:t>
            </w:r>
          </w:p>
        </w:tc>
      </w:tr>
      <w:tr w:rsidR="00145E87" w:rsidRPr="00ED6612" w14:paraId="456045A3" w14:textId="77777777" w:rsidTr="001365F5">
        <w:trPr>
          <w:trHeight w:val="513"/>
        </w:trPr>
        <w:tc>
          <w:tcPr>
            <w:cnfStyle w:val="001000000000" w:firstRow="0" w:lastRow="0" w:firstColumn="1" w:lastColumn="0" w:oddVBand="0" w:evenVBand="0" w:oddHBand="0" w:evenHBand="0" w:firstRowFirstColumn="0" w:firstRowLastColumn="0" w:lastRowFirstColumn="0" w:lastRowLastColumn="0"/>
            <w:tcW w:w="1980" w:type="dxa"/>
            <w:tcBorders>
              <w:top w:val="nil"/>
              <w:bottom w:val="nil"/>
              <w:right w:val="single" w:sz="8" w:space="0" w:color="4F81BD" w:themeColor="accent1"/>
            </w:tcBorders>
            <w:vAlign w:val="center"/>
          </w:tcPr>
          <w:p w14:paraId="4560459D" w14:textId="77777777" w:rsidR="00145E87" w:rsidRPr="00ED6612" w:rsidRDefault="00145E87" w:rsidP="00F15253">
            <w:pPr>
              <w:pStyle w:val="Paragraph"/>
              <w:tabs>
                <w:tab w:val="clear" w:pos="720"/>
              </w:tabs>
              <w:spacing w:before="20" w:after="20"/>
              <w:ind w:left="0" w:firstLine="0"/>
              <w:jc w:val="left"/>
              <w:rPr>
                <w:rFonts w:ascii="Arial" w:hAnsi="Arial" w:cs="Arial"/>
                <w:b w:val="0"/>
                <w:color w:val="auto"/>
                <w:sz w:val="18"/>
                <w:szCs w:val="20"/>
              </w:rPr>
            </w:pPr>
            <w:r w:rsidRPr="00ED6612">
              <w:rPr>
                <w:rFonts w:ascii="Arial" w:hAnsi="Arial" w:cs="Arial"/>
                <w:b w:val="0"/>
                <w:color w:val="auto"/>
                <w:sz w:val="18"/>
                <w:szCs w:val="20"/>
              </w:rPr>
              <w:t>b. Reduction in energy consumption cost</w:t>
            </w:r>
          </w:p>
        </w:tc>
        <w:tc>
          <w:tcPr>
            <w:tcW w:w="1600" w:type="dxa"/>
            <w:tcBorders>
              <w:top w:val="nil"/>
              <w:left w:val="single" w:sz="8" w:space="0" w:color="4F81BD" w:themeColor="accent1"/>
              <w:bottom w:val="nil"/>
              <w:right w:val="single" w:sz="8" w:space="0" w:color="4F81BD" w:themeColor="accent1"/>
            </w:tcBorders>
            <w:vAlign w:val="center"/>
          </w:tcPr>
          <w:p w14:paraId="4560459E" w14:textId="77777777" w:rsidR="00145E87" w:rsidRPr="00ED6612" w:rsidRDefault="00145E87" w:rsidP="007F3E0C">
            <w:pPr>
              <w:pStyle w:val="Paragraph"/>
              <w:tabs>
                <w:tab w:val="clear" w:pos="720"/>
              </w:tabs>
              <w:spacing w:before="20" w:after="20"/>
              <w:ind w:left="0" w:firstLine="0"/>
              <w:jc w:val="left"/>
              <w:cnfStyle w:val="000000000000" w:firstRow="0" w:lastRow="0" w:firstColumn="0" w:lastColumn="0" w:oddVBand="0" w:evenVBand="0" w:oddHBand="0" w:evenHBand="0" w:firstRowFirstColumn="0" w:firstRowLastColumn="0" w:lastRowFirstColumn="0" w:lastRowLastColumn="0"/>
              <w:rPr>
                <w:rFonts w:ascii="Arial" w:hAnsi="Arial" w:cs="Arial"/>
                <w:color w:val="auto"/>
                <w:sz w:val="18"/>
                <w:szCs w:val="20"/>
              </w:rPr>
            </w:pPr>
            <w:r w:rsidRPr="00ED6612">
              <w:rPr>
                <w:rFonts w:ascii="Arial" w:hAnsi="Arial" w:cs="Arial"/>
                <w:color w:val="auto"/>
                <w:sz w:val="18"/>
                <w:szCs w:val="20"/>
              </w:rPr>
              <w:t>0.007 US$/Gal; 0.20 US$/KWh</w:t>
            </w:r>
          </w:p>
        </w:tc>
        <w:tc>
          <w:tcPr>
            <w:tcW w:w="1370" w:type="dxa"/>
            <w:tcBorders>
              <w:top w:val="nil"/>
              <w:left w:val="single" w:sz="8" w:space="0" w:color="4F81BD" w:themeColor="accent1"/>
              <w:bottom w:val="nil"/>
              <w:right w:val="single" w:sz="8" w:space="0" w:color="4F81BD" w:themeColor="accent1"/>
            </w:tcBorders>
            <w:vAlign w:val="center"/>
          </w:tcPr>
          <w:p w14:paraId="4560459F" w14:textId="77777777" w:rsidR="00145E87" w:rsidRPr="00ED6612" w:rsidRDefault="00145E87" w:rsidP="007B43F0">
            <w:pPr>
              <w:pStyle w:val="Paragraph"/>
              <w:tabs>
                <w:tab w:val="clear" w:pos="720"/>
              </w:tabs>
              <w:spacing w:before="20" w:after="20"/>
              <w:ind w:left="0" w:firstLine="0"/>
              <w:jc w:val="left"/>
              <w:cnfStyle w:val="000000000000" w:firstRow="0" w:lastRow="0" w:firstColumn="0" w:lastColumn="0" w:oddVBand="0" w:evenVBand="0" w:oddHBand="0" w:evenHBand="0" w:firstRowFirstColumn="0" w:firstRowLastColumn="0" w:lastRowFirstColumn="0" w:lastRowLastColumn="0"/>
              <w:rPr>
                <w:rFonts w:ascii="Arial" w:hAnsi="Arial" w:cs="Arial"/>
                <w:color w:val="auto"/>
                <w:sz w:val="18"/>
                <w:szCs w:val="20"/>
              </w:rPr>
            </w:pPr>
            <w:r w:rsidRPr="00ED6612">
              <w:rPr>
                <w:rFonts w:ascii="Arial" w:hAnsi="Arial" w:cs="Arial"/>
                <w:color w:val="auto"/>
                <w:sz w:val="18"/>
                <w:szCs w:val="20"/>
              </w:rPr>
              <w:t>0.0063 US$/Gal; 0.18 US$/KWh</w:t>
            </w:r>
          </w:p>
        </w:tc>
        <w:tc>
          <w:tcPr>
            <w:tcW w:w="1019" w:type="dxa"/>
            <w:tcBorders>
              <w:top w:val="nil"/>
              <w:left w:val="single" w:sz="8" w:space="0" w:color="4F81BD" w:themeColor="accent1"/>
              <w:bottom w:val="nil"/>
            </w:tcBorders>
            <w:vAlign w:val="center"/>
          </w:tcPr>
          <w:p w14:paraId="456045A0" w14:textId="77777777" w:rsidR="00145E87" w:rsidRPr="00ED6612" w:rsidRDefault="00145E87" w:rsidP="00C53115">
            <w:pPr>
              <w:pStyle w:val="Paragraph"/>
              <w:tabs>
                <w:tab w:val="clear" w:pos="720"/>
              </w:tabs>
              <w:spacing w:before="20" w:after="20"/>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b/>
                <w:color w:val="auto"/>
                <w:sz w:val="18"/>
                <w:szCs w:val="20"/>
              </w:rPr>
            </w:pPr>
            <w:r w:rsidRPr="00ED6612">
              <w:rPr>
                <w:rFonts w:ascii="Arial" w:hAnsi="Arial" w:cs="Arial"/>
                <w:b/>
                <w:color w:val="auto"/>
                <w:sz w:val="18"/>
                <w:szCs w:val="20"/>
              </w:rPr>
              <w:t>84.85</w:t>
            </w:r>
          </w:p>
        </w:tc>
        <w:tc>
          <w:tcPr>
            <w:tcW w:w="990" w:type="dxa"/>
            <w:tcBorders>
              <w:top w:val="nil"/>
              <w:left w:val="single" w:sz="8" w:space="0" w:color="4F81BD" w:themeColor="accent1"/>
              <w:bottom w:val="nil"/>
            </w:tcBorders>
            <w:vAlign w:val="center"/>
          </w:tcPr>
          <w:p w14:paraId="456045A1" w14:textId="77777777" w:rsidR="00145E87" w:rsidRPr="00ED6612" w:rsidRDefault="00145E87" w:rsidP="00C53115">
            <w:pPr>
              <w:pStyle w:val="Paragraph"/>
              <w:tabs>
                <w:tab w:val="clear" w:pos="720"/>
              </w:tabs>
              <w:spacing w:before="20" w:after="20"/>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b/>
                <w:color w:val="auto"/>
                <w:sz w:val="18"/>
                <w:szCs w:val="20"/>
              </w:rPr>
            </w:pPr>
            <w:r w:rsidRPr="00ED6612">
              <w:rPr>
                <w:rFonts w:ascii="Arial" w:hAnsi="Arial" w:cs="Arial"/>
                <w:b/>
                <w:color w:val="auto"/>
                <w:sz w:val="18"/>
                <w:szCs w:val="20"/>
              </w:rPr>
              <w:t>19.9</w:t>
            </w:r>
          </w:p>
        </w:tc>
        <w:tc>
          <w:tcPr>
            <w:tcW w:w="1051" w:type="dxa"/>
            <w:tcBorders>
              <w:top w:val="nil"/>
              <w:left w:val="single" w:sz="8" w:space="0" w:color="4F81BD" w:themeColor="accent1"/>
              <w:bottom w:val="nil"/>
            </w:tcBorders>
            <w:vAlign w:val="center"/>
          </w:tcPr>
          <w:p w14:paraId="456045A2" w14:textId="77777777" w:rsidR="00145E87" w:rsidRPr="00ED6612" w:rsidRDefault="005770A6" w:rsidP="00D066E8">
            <w:pPr>
              <w:pStyle w:val="Paragraph"/>
              <w:tabs>
                <w:tab w:val="clear" w:pos="720"/>
              </w:tabs>
              <w:spacing w:before="20" w:after="20"/>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color w:val="auto"/>
                <w:sz w:val="18"/>
                <w:szCs w:val="20"/>
              </w:rPr>
            </w:pPr>
            <w:r w:rsidRPr="00ED6612">
              <w:rPr>
                <w:rFonts w:ascii="Arial" w:hAnsi="Arial" w:cs="Arial"/>
                <w:color w:val="auto"/>
                <w:sz w:val="18"/>
                <w:szCs w:val="20"/>
              </w:rPr>
              <w:t>-0.54 US$/kWh; -0.02 US$/Gal</w:t>
            </w:r>
          </w:p>
        </w:tc>
      </w:tr>
      <w:tr w:rsidR="00145E87" w:rsidRPr="00ED6612" w14:paraId="456045AA" w14:textId="77777777" w:rsidTr="001365F5">
        <w:trPr>
          <w:cnfStyle w:val="000000100000" w:firstRow="0" w:lastRow="0" w:firstColumn="0" w:lastColumn="0" w:oddVBand="0" w:evenVBand="0" w:oddHBand="1" w:evenHBand="0" w:firstRowFirstColumn="0" w:firstRowLastColumn="0" w:lastRowFirstColumn="0" w:lastRowLastColumn="0"/>
          <w:trHeight w:val="324"/>
        </w:trPr>
        <w:tc>
          <w:tcPr>
            <w:cnfStyle w:val="001000000000" w:firstRow="0" w:lastRow="0" w:firstColumn="1" w:lastColumn="0" w:oddVBand="0" w:evenVBand="0" w:oddHBand="0" w:evenHBand="0" w:firstRowFirstColumn="0" w:firstRowLastColumn="0" w:lastRowFirstColumn="0" w:lastRowLastColumn="0"/>
            <w:tcW w:w="1980" w:type="dxa"/>
            <w:tcBorders>
              <w:top w:val="nil"/>
              <w:bottom w:val="nil"/>
              <w:right w:val="single" w:sz="8" w:space="0" w:color="4F81BD" w:themeColor="accent1"/>
            </w:tcBorders>
            <w:vAlign w:val="center"/>
          </w:tcPr>
          <w:p w14:paraId="456045A4" w14:textId="77777777" w:rsidR="00145E87" w:rsidRPr="00ED6612" w:rsidRDefault="00145E87" w:rsidP="00F15253">
            <w:pPr>
              <w:pStyle w:val="Paragraph"/>
              <w:tabs>
                <w:tab w:val="clear" w:pos="720"/>
              </w:tabs>
              <w:spacing w:before="20" w:after="20"/>
              <w:ind w:left="0" w:firstLine="0"/>
              <w:jc w:val="left"/>
              <w:rPr>
                <w:rFonts w:ascii="Arial" w:hAnsi="Arial" w:cs="Arial"/>
                <w:b w:val="0"/>
                <w:color w:val="auto"/>
                <w:sz w:val="18"/>
                <w:szCs w:val="20"/>
              </w:rPr>
            </w:pPr>
            <w:r w:rsidRPr="00ED6612">
              <w:rPr>
                <w:rFonts w:ascii="Arial" w:hAnsi="Arial" w:cs="Arial"/>
                <w:b w:val="0"/>
                <w:color w:val="auto"/>
                <w:sz w:val="18"/>
                <w:szCs w:val="20"/>
              </w:rPr>
              <w:t>c. Reduction in CO</w:t>
            </w:r>
            <w:r w:rsidRPr="00ED6612">
              <w:rPr>
                <w:rFonts w:ascii="Arial" w:hAnsi="Arial" w:cs="Arial"/>
                <w:b w:val="0"/>
                <w:color w:val="auto"/>
                <w:sz w:val="18"/>
                <w:szCs w:val="20"/>
                <w:vertAlign w:val="subscript"/>
              </w:rPr>
              <w:t>2</w:t>
            </w:r>
            <w:r w:rsidRPr="00ED6612">
              <w:rPr>
                <w:rFonts w:ascii="Arial" w:hAnsi="Arial" w:cs="Arial"/>
                <w:b w:val="0"/>
                <w:color w:val="auto"/>
                <w:sz w:val="18"/>
                <w:szCs w:val="20"/>
              </w:rPr>
              <w:t xml:space="preserve"> price</w:t>
            </w:r>
          </w:p>
        </w:tc>
        <w:tc>
          <w:tcPr>
            <w:tcW w:w="1600" w:type="dxa"/>
            <w:tcBorders>
              <w:top w:val="nil"/>
              <w:left w:val="single" w:sz="8" w:space="0" w:color="4F81BD" w:themeColor="accent1"/>
              <w:bottom w:val="nil"/>
              <w:right w:val="single" w:sz="8" w:space="0" w:color="4F81BD" w:themeColor="accent1"/>
            </w:tcBorders>
            <w:vAlign w:val="center"/>
          </w:tcPr>
          <w:p w14:paraId="456045A5" w14:textId="77777777" w:rsidR="00145E87" w:rsidRPr="00ED6612" w:rsidRDefault="00145E87" w:rsidP="007F3E0C">
            <w:pPr>
              <w:pStyle w:val="Paragraph"/>
              <w:tabs>
                <w:tab w:val="clear" w:pos="720"/>
              </w:tabs>
              <w:spacing w:before="20" w:after="20"/>
              <w:ind w:left="0" w:firstLine="0"/>
              <w:jc w:val="left"/>
              <w:cnfStyle w:val="000000100000" w:firstRow="0" w:lastRow="0" w:firstColumn="0" w:lastColumn="0" w:oddVBand="0" w:evenVBand="0" w:oddHBand="1" w:evenHBand="0" w:firstRowFirstColumn="0" w:firstRowLastColumn="0" w:lastRowFirstColumn="0" w:lastRowLastColumn="0"/>
              <w:rPr>
                <w:rFonts w:ascii="Arial" w:hAnsi="Arial" w:cs="Arial"/>
                <w:color w:val="auto"/>
                <w:sz w:val="18"/>
                <w:szCs w:val="20"/>
              </w:rPr>
            </w:pPr>
            <w:r w:rsidRPr="00ED6612">
              <w:rPr>
                <w:rFonts w:ascii="Arial" w:hAnsi="Arial" w:cs="Arial"/>
                <w:color w:val="auto"/>
                <w:sz w:val="18"/>
                <w:szCs w:val="20"/>
              </w:rPr>
              <w:t>9</w:t>
            </w:r>
            <w:r w:rsidR="005770A6" w:rsidRPr="00ED6612">
              <w:rPr>
                <w:rFonts w:ascii="Arial" w:hAnsi="Arial" w:cs="Arial"/>
                <w:color w:val="auto"/>
                <w:sz w:val="18"/>
                <w:szCs w:val="20"/>
              </w:rPr>
              <w:t xml:space="preserve"> US$</w:t>
            </w:r>
            <w:r w:rsidRPr="00ED6612">
              <w:rPr>
                <w:rFonts w:ascii="Arial" w:hAnsi="Arial" w:cs="Arial"/>
                <w:color w:val="auto"/>
                <w:sz w:val="18"/>
                <w:szCs w:val="20"/>
              </w:rPr>
              <w:t>/tCO</w:t>
            </w:r>
            <w:r w:rsidRPr="00ED6612">
              <w:rPr>
                <w:rFonts w:ascii="Arial" w:hAnsi="Arial" w:cs="Arial"/>
                <w:color w:val="auto"/>
                <w:sz w:val="18"/>
                <w:szCs w:val="20"/>
                <w:vertAlign w:val="subscript"/>
              </w:rPr>
              <w:t>2</w:t>
            </w:r>
          </w:p>
        </w:tc>
        <w:tc>
          <w:tcPr>
            <w:tcW w:w="1370" w:type="dxa"/>
            <w:tcBorders>
              <w:top w:val="nil"/>
              <w:left w:val="single" w:sz="8" w:space="0" w:color="4F81BD" w:themeColor="accent1"/>
              <w:bottom w:val="nil"/>
              <w:right w:val="single" w:sz="8" w:space="0" w:color="4F81BD" w:themeColor="accent1"/>
            </w:tcBorders>
            <w:vAlign w:val="center"/>
          </w:tcPr>
          <w:p w14:paraId="456045A6" w14:textId="77777777" w:rsidR="00145E87" w:rsidRPr="00ED6612" w:rsidRDefault="00145E87" w:rsidP="007B43F0">
            <w:pPr>
              <w:pStyle w:val="Paragraph"/>
              <w:tabs>
                <w:tab w:val="clear" w:pos="720"/>
              </w:tabs>
              <w:spacing w:before="20" w:after="20"/>
              <w:ind w:left="0" w:firstLine="0"/>
              <w:jc w:val="left"/>
              <w:cnfStyle w:val="000000100000" w:firstRow="0" w:lastRow="0" w:firstColumn="0" w:lastColumn="0" w:oddVBand="0" w:evenVBand="0" w:oddHBand="1" w:evenHBand="0" w:firstRowFirstColumn="0" w:firstRowLastColumn="0" w:lastRowFirstColumn="0" w:lastRowLastColumn="0"/>
              <w:rPr>
                <w:rFonts w:ascii="Arial" w:hAnsi="Arial" w:cs="Arial"/>
                <w:color w:val="auto"/>
                <w:sz w:val="18"/>
                <w:szCs w:val="20"/>
              </w:rPr>
            </w:pPr>
            <w:r w:rsidRPr="00ED6612">
              <w:rPr>
                <w:rFonts w:ascii="Arial" w:hAnsi="Arial" w:cs="Arial"/>
                <w:color w:val="auto"/>
                <w:sz w:val="18"/>
                <w:szCs w:val="20"/>
              </w:rPr>
              <w:t>5</w:t>
            </w:r>
            <w:r w:rsidR="005770A6" w:rsidRPr="00ED6612">
              <w:rPr>
                <w:rFonts w:ascii="Arial" w:hAnsi="Arial" w:cs="Arial"/>
                <w:color w:val="auto"/>
                <w:sz w:val="18"/>
                <w:szCs w:val="20"/>
              </w:rPr>
              <w:t xml:space="preserve"> US$</w:t>
            </w:r>
            <w:r w:rsidRPr="00ED6612">
              <w:rPr>
                <w:rFonts w:ascii="Arial" w:hAnsi="Arial" w:cs="Arial"/>
                <w:color w:val="auto"/>
                <w:sz w:val="18"/>
                <w:szCs w:val="20"/>
              </w:rPr>
              <w:t>/tCO</w:t>
            </w:r>
            <w:r w:rsidRPr="00ED6612">
              <w:rPr>
                <w:rFonts w:ascii="Arial" w:hAnsi="Arial" w:cs="Arial"/>
                <w:color w:val="auto"/>
                <w:sz w:val="18"/>
                <w:szCs w:val="20"/>
                <w:vertAlign w:val="subscript"/>
              </w:rPr>
              <w:t>2</w:t>
            </w:r>
          </w:p>
        </w:tc>
        <w:tc>
          <w:tcPr>
            <w:tcW w:w="1019" w:type="dxa"/>
            <w:tcBorders>
              <w:top w:val="nil"/>
              <w:left w:val="single" w:sz="8" w:space="0" w:color="4F81BD" w:themeColor="accent1"/>
              <w:bottom w:val="nil"/>
            </w:tcBorders>
            <w:vAlign w:val="center"/>
          </w:tcPr>
          <w:p w14:paraId="456045A7" w14:textId="77777777" w:rsidR="00145E87" w:rsidRPr="00ED6612" w:rsidRDefault="00145E87" w:rsidP="00C53115">
            <w:pPr>
              <w:pStyle w:val="Paragraph"/>
              <w:tabs>
                <w:tab w:val="clear" w:pos="720"/>
              </w:tabs>
              <w:spacing w:before="20" w:after="20"/>
              <w:ind w:left="0" w:firstLine="0"/>
              <w:jc w:val="center"/>
              <w:cnfStyle w:val="000000100000" w:firstRow="0" w:lastRow="0" w:firstColumn="0" w:lastColumn="0" w:oddVBand="0" w:evenVBand="0" w:oddHBand="1" w:evenHBand="0" w:firstRowFirstColumn="0" w:firstRowLastColumn="0" w:lastRowFirstColumn="0" w:lastRowLastColumn="0"/>
              <w:rPr>
                <w:rFonts w:ascii="Arial" w:hAnsi="Arial" w:cs="Arial"/>
                <w:b/>
                <w:color w:val="auto"/>
                <w:sz w:val="18"/>
                <w:szCs w:val="20"/>
              </w:rPr>
            </w:pPr>
            <w:r w:rsidRPr="00ED6612">
              <w:rPr>
                <w:rFonts w:ascii="Arial" w:hAnsi="Arial" w:cs="Arial"/>
                <w:b/>
                <w:color w:val="auto"/>
                <w:sz w:val="18"/>
                <w:szCs w:val="20"/>
              </w:rPr>
              <w:t>83.71</w:t>
            </w:r>
          </w:p>
        </w:tc>
        <w:tc>
          <w:tcPr>
            <w:tcW w:w="990" w:type="dxa"/>
            <w:tcBorders>
              <w:top w:val="nil"/>
              <w:left w:val="single" w:sz="8" w:space="0" w:color="4F81BD" w:themeColor="accent1"/>
              <w:bottom w:val="nil"/>
            </w:tcBorders>
            <w:vAlign w:val="center"/>
          </w:tcPr>
          <w:p w14:paraId="456045A8" w14:textId="77777777" w:rsidR="00145E87" w:rsidRPr="00ED6612" w:rsidRDefault="00145E87" w:rsidP="00C53115">
            <w:pPr>
              <w:pStyle w:val="Paragraph"/>
              <w:tabs>
                <w:tab w:val="clear" w:pos="720"/>
              </w:tabs>
              <w:spacing w:before="20" w:after="20"/>
              <w:ind w:left="0" w:firstLine="0"/>
              <w:jc w:val="center"/>
              <w:cnfStyle w:val="000000100000" w:firstRow="0" w:lastRow="0" w:firstColumn="0" w:lastColumn="0" w:oddVBand="0" w:evenVBand="0" w:oddHBand="1" w:evenHBand="0" w:firstRowFirstColumn="0" w:firstRowLastColumn="0" w:lastRowFirstColumn="0" w:lastRowLastColumn="0"/>
              <w:rPr>
                <w:rFonts w:ascii="Arial" w:hAnsi="Arial" w:cs="Arial"/>
                <w:b/>
                <w:color w:val="auto"/>
                <w:sz w:val="18"/>
                <w:szCs w:val="20"/>
              </w:rPr>
            </w:pPr>
            <w:r w:rsidRPr="00ED6612">
              <w:rPr>
                <w:rFonts w:ascii="Arial" w:hAnsi="Arial" w:cs="Arial"/>
                <w:b/>
                <w:color w:val="auto"/>
                <w:sz w:val="18"/>
                <w:szCs w:val="20"/>
              </w:rPr>
              <w:t>19.8</w:t>
            </w:r>
          </w:p>
        </w:tc>
        <w:tc>
          <w:tcPr>
            <w:tcW w:w="1051" w:type="dxa"/>
            <w:tcBorders>
              <w:top w:val="nil"/>
              <w:left w:val="single" w:sz="8" w:space="0" w:color="4F81BD" w:themeColor="accent1"/>
              <w:bottom w:val="nil"/>
            </w:tcBorders>
            <w:vAlign w:val="center"/>
          </w:tcPr>
          <w:p w14:paraId="456045A9" w14:textId="77777777" w:rsidR="00145E87" w:rsidRPr="00ED6612" w:rsidRDefault="005770A6" w:rsidP="00D066E8">
            <w:pPr>
              <w:pStyle w:val="Paragraph"/>
              <w:tabs>
                <w:tab w:val="clear" w:pos="720"/>
              </w:tabs>
              <w:spacing w:before="20" w:after="20"/>
              <w:ind w:left="0" w:firstLine="0"/>
              <w:jc w:val="center"/>
              <w:cnfStyle w:val="000000100000" w:firstRow="0" w:lastRow="0" w:firstColumn="0" w:lastColumn="0" w:oddVBand="0" w:evenVBand="0" w:oddHBand="1" w:evenHBand="0" w:firstRowFirstColumn="0" w:firstRowLastColumn="0" w:lastRowFirstColumn="0" w:lastRowLastColumn="0"/>
              <w:rPr>
                <w:rFonts w:ascii="Arial" w:hAnsi="Arial" w:cs="Arial"/>
                <w:color w:val="auto"/>
                <w:sz w:val="18"/>
                <w:szCs w:val="20"/>
              </w:rPr>
            </w:pPr>
            <w:r w:rsidRPr="00ED6612">
              <w:rPr>
                <w:rFonts w:ascii="Arial" w:hAnsi="Arial" w:cs="Arial"/>
                <w:color w:val="auto"/>
                <w:sz w:val="18"/>
                <w:szCs w:val="20"/>
              </w:rPr>
              <w:t>-89.98 US$/tCO</w:t>
            </w:r>
            <w:r w:rsidRPr="00ED6612">
              <w:rPr>
                <w:rFonts w:ascii="Arial" w:hAnsi="Arial" w:cs="Arial"/>
                <w:color w:val="auto"/>
                <w:sz w:val="18"/>
                <w:szCs w:val="20"/>
                <w:vertAlign w:val="subscript"/>
              </w:rPr>
              <w:t>2</w:t>
            </w:r>
          </w:p>
        </w:tc>
      </w:tr>
      <w:tr w:rsidR="00145E87" w:rsidRPr="00ED6612" w14:paraId="456045B1" w14:textId="77777777" w:rsidTr="001365F5">
        <w:trPr>
          <w:trHeight w:val="467"/>
        </w:trPr>
        <w:tc>
          <w:tcPr>
            <w:cnfStyle w:val="001000000000" w:firstRow="0" w:lastRow="0" w:firstColumn="1" w:lastColumn="0" w:oddVBand="0" w:evenVBand="0" w:oddHBand="0" w:evenHBand="0" w:firstRowFirstColumn="0" w:firstRowLastColumn="0" w:lastRowFirstColumn="0" w:lastRowLastColumn="0"/>
            <w:tcW w:w="1980" w:type="dxa"/>
            <w:tcBorders>
              <w:top w:val="nil"/>
              <w:bottom w:val="nil"/>
              <w:right w:val="single" w:sz="8" w:space="0" w:color="4F81BD" w:themeColor="accent1"/>
            </w:tcBorders>
            <w:vAlign w:val="center"/>
          </w:tcPr>
          <w:p w14:paraId="456045AB" w14:textId="77777777" w:rsidR="00145E87" w:rsidRPr="00ED6612" w:rsidRDefault="00145E87" w:rsidP="00F15253">
            <w:pPr>
              <w:pStyle w:val="Paragraph"/>
              <w:tabs>
                <w:tab w:val="clear" w:pos="720"/>
              </w:tabs>
              <w:spacing w:before="20" w:after="20"/>
              <w:ind w:left="165" w:hanging="165"/>
              <w:jc w:val="left"/>
              <w:rPr>
                <w:rFonts w:ascii="Arial" w:hAnsi="Arial" w:cs="Arial"/>
                <w:b w:val="0"/>
                <w:color w:val="auto"/>
                <w:sz w:val="18"/>
                <w:szCs w:val="20"/>
              </w:rPr>
            </w:pPr>
            <w:r w:rsidRPr="00ED6612">
              <w:rPr>
                <w:rFonts w:ascii="Arial" w:hAnsi="Arial" w:cs="Arial"/>
                <w:b w:val="0"/>
                <w:color w:val="auto"/>
                <w:sz w:val="18"/>
                <w:szCs w:val="20"/>
              </w:rPr>
              <w:t>d. Projects successfully implemented after closing of financing</w:t>
            </w:r>
          </w:p>
        </w:tc>
        <w:tc>
          <w:tcPr>
            <w:tcW w:w="1600" w:type="dxa"/>
            <w:tcBorders>
              <w:top w:val="nil"/>
              <w:left w:val="single" w:sz="8" w:space="0" w:color="4F81BD" w:themeColor="accent1"/>
              <w:bottom w:val="nil"/>
              <w:right w:val="single" w:sz="8" w:space="0" w:color="4F81BD" w:themeColor="accent1"/>
            </w:tcBorders>
            <w:vAlign w:val="center"/>
          </w:tcPr>
          <w:p w14:paraId="456045AC" w14:textId="77777777" w:rsidR="00145E87" w:rsidRPr="00ED6612" w:rsidRDefault="00145E87" w:rsidP="00871AF4">
            <w:pPr>
              <w:pStyle w:val="Paragraph"/>
              <w:tabs>
                <w:tab w:val="clear" w:pos="720"/>
              </w:tabs>
              <w:spacing w:before="20" w:after="20"/>
              <w:ind w:left="0" w:firstLine="0"/>
              <w:jc w:val="left"/>
              <w:cnfStyle w:val="000000000000" w:firstRow="0" w:lastRow="0" w:firstColumn="0" w:lastColumn="0" w:oddVBand="0" w:evenVBand="0" w:oddHBand="0" w:evenHBand="0" w:firstRowFirstColumn="0" w:firstRowLastColumn="0" w:lastRowFirstColumn="0" w:lastRowLastColumn="0"/>
              <w:rPr>
                <w:rFonts w:ascii="Arial" w:hAnsi="Arial" w:cs="Arial"/>
                <w:color w:val="auto"/>
                <w:sz w:val="18"/>
                <w:szCs w:val="20"/>
              </w:rPr>
            </w:pPr>
            <w:r w:rsidRPr="00ED6612">
              <w:rPr>
                <w:rFonts w:ascii="Arial" w:hAnsi="Arial" w:cs="Arial"/>
                <w:color w:val="auto"/>
                <w:sz w:val="18"/>
                <w:szCs w:val="20"/>
              </w:rPr>
              <w:t>100%</w:t>
            </w:r>
          </w:p>
        </w:tc>
        <w:tc>
          <w:tcPr>
            <w:tcW w:w="1370" w:type="dxa"/>
            <w:tcBorders>
              <w:top w:val="nil"/>
              <w:left w:val="single" w:sz="8" w:space="0" w:color="4F81BD" w:themeColor="accent1"/>
              <w:bottom w:val="nil"/>
              <w:right w:val="single" w:sz="8" w:space="0" w:color="4F81BD" w:themeColor="accent1"/>
            </w:tcBorders>
            <w:vAlign w:val="center"/>
          </w:tcPr>
          <w:p w14:paraId="456045AD" w14:textId="77777777" w:rsidR="00145E87" w:rsidRPr="00ED6612" w:rsidRDefault="00145E87" w:rsidP="00871AF4">
            <w:pPr>
              <w:pStyle w:val="Paragraph"/>
              <w:tabs>
                <w:tab w:val="clear" w:pos="720"/>
              </w:tabs>
              <w:spacing w:before="20" w:after="20"/>
              <w:ind w:left="0" w:firstLine="0"/>
              <w:jc w:val="left"/>
              <w:cnfStyle w:val="000000000000" w:firstRow="0" w:lastRow="0" w:firstColumn="0" w:lastColumn="0" w:oddVBand="0" w:evenVBand="0" w:oddHBand="0" w:evenHBand="0" w:firstRowFirstColumn="0" w:firstRowLastColumn="0" w:lastRowFirstColumn="0" w:lastRowLastColumn="0"/>
              <w:rPr>
                <w:rFonts w:ascii="Arial" w:hAnsi="Arial" w:cs="Arial"/>
                <w:color w:val="auto"/>
                <w:sz w:val="18"/>
                <w:szCs w:val="20"/>
              </w:rPr>
            </w:pPr>
            <w:r w:rsidRPr="00ED6612">
              <w:rPr>
                <w:rFonts w:ascii="Arial" w:hAnsi="Arial" w:cs="Arial"/>
                <w:color w:val="auto"/>
                <w:sz w:val="18"/>
                <w:szCs w:val="20"/>
              </w:rPr>
              <w:t>95%</w:t>
            </w:r>
          </w:p>
        </w:tc>
        <w:tc>
          <w:tcPr>
            <w:tcW w:w="1019" w:type="dxa"/>
            <w:tcBorders>
              <w:top w:val="nil"/>
              <w:left w:val="single" w:sz="8" w:space="0" w:color="4F81BD" w:themeColor="accent1"/>
              <w:bottom w:val="nil"/>
            </w:tcBorders>
            <w:vAlign w:val="center"/>
          </w:tcPr>
          <w:p w14:paraId="456045AE" w14:textId="77777777" w:rsidR="00145E87" w:rsidRPr="00ED6612" w:rsidRDefault="00145E87" w:rsidP="00C53115">
            <w:pPr>
              <w:pStyle w:val="Paragraph"/>
              <w:tabs>
                <w:tab w:val="clear" w:pos="720"/>
              </w:tabs>
              <w:spacing w:before="20" w:after="20"/>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b/>
                <w:color w:val="auto"/>
                <w:sz w:val="18"/>
                <w:szCs w:val="20"/>
              </w:rPr>
            </w:pPr>
            <w:r w:rsidRPr="00ED6612">
              <w:rPr>
                <w:rFonts w:ascii="Arial" w:hAnsi="Arial" w:cs="Arial"/>
                <w:b/>
                <w:color w:val="auto"/>
                <w:sz w:val="18"/>
                <w:szCs w:val="20"/>
              </w:rPr>
              <w:t>76.48</w:t>
            </w:r>
          </w:p>
        </w:tc>
        <w:tc>
          <w:tcPr>
            <w:tcW w:w="990" w:type="dxa"/>
            <w:tcBorders>
              <w:top w:val="nil"/>
              <w:left w:val="single" w:sz="8" w:space="0" w:color="4F81BD" w:themeColor="accent1"/>
              <w:bottom w:val="nil"/>
            </w:tcBorders>
            <w:vAlign w:val="center"/>
          </w:tcPr>
          <w:p w14:paraId="456045AF" w14:textId="77777777" w:rsidR="00145E87" w:rsidRPr="00ED6612" w:rsidRDefault="00145E87" w:rsidP="00C53115">
            <w:pPr>
              <w:pStyle w:val="Paragraph"/>
              <w:tabs>
                <w:tab w:val="clear" w:pos="720"/>
              </w:tabs>
              <w:spacing w:before="20" w:after="20"/>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b/>
                <w:color w:val="auto"/>
                <w:sz w:val="18"/>
                <w:szCs w:val="20"/>
              </w:rPr>
            </w:pPr>
            <w:r w:rsidRPr="00ED6612">
              <w:rPr>
                <w:rFonts w:ascii="Arial" w:hAnsi="Arial" w:cs="Arial"/>
                <w:b/>
                <w:color w:val="auto"/>
                <w:sz w:val="18"/>
                <w:szCs w:val="20"/>
              </w:rPr>
              <w:t>19.2</w:t>
            </w:r>
          </w:p>
        </w:tc>
        <w:tc>
          <w:tcPr>
            <w:tcW w:w="1051" w:type="dxa"/>
            <w:tcBorders>
              <w:top w:val="nil"/>
              <w:left w:val="single" w:sz="8" w:space="0" w:color="4F81BD" w:themeColor="accent1"/>
              <w:bottom w:val="nil"/>
            </w:tcBorders>
            <w:vAlign w:val="center"/>
          </w:tcPr>
          <w:p w14:paraId="456045B0" w14:textId="77777777" w:rsidR="00145E87" w:rsidRPr="00ED6612" w:rsidRDefault="00B6165A" w:rsidP="00D066E8">
            <w:pPr>
              <w:pStyle w:val="Paragraph"/>
              <w:tabs>
                <w:tab w:val="clear" w:pos="720"/>
              </w:tabs>
              <w:spacing w:before="20" w:after="20"/>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color w:val="auto"/>
                <w:sz w:val="18"/>
                <w:szCs w:val="20"/>
              </w:rPr>
            </w:pPr>
            <w:r w:rsidRPr="00ED6612">
              <w:rPr>
                <w:rFonts w:ascii="Arial" w:hAnsi="Arial" w:cs="Arial"/>
                <w:color w:val="auto"/>
                <w:sz w:val="18"/>
                <w:szCs w:val="20"/>
              </w:rPr>
              <w:t>63%</w:t>
            </w:r>
          </w:p>
        </w:tc>
      </w:tr>
      <w:tr w:rsidR="00145E87" w:rsidRPr="00ED6612" w14:paraId="456045B9" w14:textId="77777777" w:rsidTr="001365F5">
        <w:trPr>
          <w:cnfStyle w:val="000000100000" w:firstRow="0" w:lastRow="0" w:firstColumn="0" w:lastColumn="0" w:oddVBand="0" w:evenVBand="0" w:oddHBand="1" w:evenHBand="0" w:firstRowFirstColumn="0" w:firstRowLastColumn="0" w:lastRowFirstColumn="0" w:lastRowLastColumn="0"/>
          <w:trHeight w:val="467"/>
        </w:trPr>
        <w:tc>
          <w:tcPr>
            <w:cnfStyle w:val="001000000000" w:firstRow="0" w:lastRow="0" w:firstColumn="1" w:lastColumn="0" w:oddVBand="0" w:evenVBand="0" w:oddHBand="0" w:evenHBand="0" w:firstRowFirstColumn="0" w:firstRowLastColumn="0" w:lastRowFirstColumn="0" w:lastRowLastColumn="0"/>
            <w:tcW w:w="1980" w:type="dxa"/>
            <w:vMerge w:val="restart"/>
            <w:tcBorders>
              <w:top w:val="nil"/>
              <w:right w:val="single" w:sz="8" w:space="0" w:color="4F81BD" w:themeColor="accent1"/>
            </w:tcBorders>
          </w:tcPr>
          <w:p w14:paraId="456045B2" w14:textId="77777777" w:rsidR="00145E87" w:rsidRPr="00ED6612" w:rsidDel="0012140E" w:rsidRDefault="00145E87" w:rsidP="00DB1DF0">
            <w:pPr>
              <w:pStyle w:val="Paragraph"/>
              <w:tabs>
                <w:tab w:val="clear" w:pos="720"/>
              </w:tabs>
              <w:spacing w:before="20" w:after="20"/>
              <w:ind w:left="165" w:hanging="165"/>
              <w:jc w:val="left"/>
              <w:rPr>
                <w:rFonts w:ascii="Arial" w:hAnsi="Arial" w:cs="Arial"/>
                <w:bCs w:val="0"/>
                <w:sz w:val="18"/>
                <w:szCs w:val="20"/>
              </w:rPr>
            </w:pPr>
            <w:r w:rsidRPr="00ED6612">
              <w:rPr>
                <w:rFonts w:ascii="Arial" w:hAnsi="Arial" w:cs="Arial"/>
                <w:b w:val="0"/>
                <w:color w:val="auto"/>
                <w:sz w:val="18"/>
                <w:szCs w:val="20"/>
              </w:rPr>
              <w:t>e. Allocation of funds for project mix in portfolio</w:t>
            </w:r>
          </w:p>
          <w:p w14:paraId="456045B3" w14:textId="77777777" w:rsidR="00145E87" w:rsidRPr="00ED6612" w:rsidDel="0012140E" w:rsidRDefault="00145E87" w:rsidP="001365F5">
            <w:pPr>
              <w:pStyle w:val="Paragraph"/>
              <w:spacing w:before="20" w:after="20"/>
              <w:ind w:left="0"/>
              <w:jc w:val="left"/>
              <w:rPr>
                <w:rFonts w:ascii="Arial" w:hAnsi="Arial" w:cs="Arial"/>
                <w:b w:val="0"/>
                <w:sz w:val="18"/>
                <w:szCs w:val="20"/>
              </w:rPr>
            </w:pPr>
          </w:p>
        </w:tc>
        <w:tc>
          <w:tcPr>
            <w:tcW w:w="1600" w:type="dxa"/>
            <w:tcBorders>
              <w:top w:val="nil"/>
              <w:left w:val="single" w:sz="8" w:space="0" w:color="4F81BD" w:themeColor="accent1"/>
              <w:bottom w:val="nil"/>
              <w:right w:val="single" w:sz="8" w:space="0" w:color="4F81BD" w:themeColor="accent1"/>
            </w:tcBorders>
            <w:vAlign w:val="center"/>
          </w:tcPr>
          <w:p w14:paraId="456045B4" w14:textId="77777777" w:rsidR="00145E87" w:rsidRPr="00ED6612" w:rsidRDefault="00145E87" w:rsidP="00871AF4">
            <w:pPr>
              <w:pStyle w:val="Paragraph"/>
              <w:tabs>
                <w:tab w:val="clear" w:pos="720"/>
              </w:tabs>
              <w:spacing w:before="20" w:after="20"/>
              <w:ind w:left="0" w:firstLine="0"/>
              <w:jc w:val="left"/>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ED6612">
              <w:rPr>
                <w:rFonts w:ascii="Arial" w:hAnsi="Arial" w:cs="Arial"/>
                <w:color w:val="auto"/>
                <w:sz w:val="18"/>
                <w:szCs w:val="20"/>
              </w:rPr>
              <w:t>75% RE; 25% EE</w:t>
            </w:r>
          </w:p>
        </w:tc>
        <w:tc>
          <w:tcPr>
            <w:tcW w:w="1370" w:type="dxa"/>
            <w:tcBorders>
              <w:top w:val="nil"/>
              <w:left w:val="single" w:sz="8" w:space="0" w:color="4F81BD" w:themeColor="accent1"/>
              <w:bottom w:val="nil"/>
              <w:right w:val="single" w:sz="8" w:space="0" w:color="4F81BD" w:themeColor="accent1"/>
            </w:tcBorders>
            <w:vAlign w:val="center"/>
          </w:tcPr>
          <w:p w14:paraId="456045B5" w14:textId="77777777" w:rsidR="00145E87" w:rsidRPr="00ED6612" w:rsidRDefault="00145E87" w:rsidP="00871AF4">
            <w:pPr>
              <w:pStyle w:val="Paragraph"/>
              <w:tabs>
                <w:tab w:val="clear" w:pos="720"/>
              </w:tabs>
              <w:spacing w:before="20" w:after="20"/>
              <w:ind w:left="0" w:firstLine="0"/>
              <w:jc w:val="left"/>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ED6612">
              <w:rPr>
                <w:rFonts w:ascii="Arial" w:hAnsi="Arial" w:cs="Arial"/>
                <w:color w:val="auto"/>
                <w:sz w:val="18"/>
                <w:szCs w:val="20"/>
              </w:rPr>
              <w:t>100% RE; 0% EE</w:t>
            </w:r>
          </w:p>
        </w:tc>
        <w:tc>
          <w:tcPr>
            <w:tcW w:w="1019" w:type="dxa"/>
            <w:tcBorders>
              <w:top w:val="nil"/>
              <w:left w:val="single" w:sz="8" w:space="0" w:color="4F81BD" w:themeColor="accent1"/>
              <w:bottom w:val="nil"/>
            </w:tcBorders>
            <w:vAlign w:val="center"/>
          </w:tcPr>
          <w:p w14:paraId="456045B6" w14:textId="77777777" w:rsidR="00145E87" w:rsidRPr="00ED6612" w:rsidDel="003824F8" w:rsidRDefault="00145E87" w:rsidP="006078ED">
            <w:pPr>
              <w:pStyle w:val="Paragraph"/>
              <w:tabs>
                <w:tab w:val="clear" w:pos="720"/>
              </w:tabs>
              <w:spacing w:before="20" w:after="20"/>
              <w:ind w:left="0" w:firstLine="0"/>
              <w:jc w:val="center"/>
              <w:cnfStyle w:val="000000100000" w:firstRow="0" w:lastRow="0" w:firstColumn="0" w:lastColumn="0" w:oddVBand="0" w:evenVBand="0" w:oddHBand="1" w:evenHBand="0" w:firstRowFirstColumn="0" w:firstRowLastColumn="0" w:lastRowFirstColumn="0" w:lastRowLastColumn="0"/>
              <w:rPr>
                <w:rFonts w:ascii="Arial" w:hAnsi="Arial" w:cs="Arial"/>
                <w:b/>
                <w:sz w:val="18"/>
                <w:szCs w:val="20"/>
              </w:rPr>
            </w:pPr>
            <w:r w:rsidRPr="00ED6612">
              <w:rPr>
                <w:rFonts w:ascii="Arial" w:hAnsi="Arial" w:cs="Arial"/>
                <w:b/>
                <w:color w:val="auto"/>
                <w:sz w:val="18"/>
                <w:szCs w:val="20"/>
              </w:rPr>
              <w:t>123.54</w:t>
            </w:r>
          </w:p>
        </w:tc>
        <w:tc>
          <w:tcPr>
            <w:tcW w:w="990" w:type="dxa"/>
            <w:tcBorders>
              <w:top w:val="nil"/>
              <w:left w:val="single" w:sz="8" w:space="0" w:color="4F81BD" w:themeColor="accent1"/>
              <w:bottom w:val="nil"/>
            </w:tcBorders>
            <w:vAlign w:val="center"/>
          </w:tcPr>
          <w:p w14:paraId="456045B7" w14:textId="77777777" w:rsidR="00145E87" w:rsidRPr="00ED6612" w:rsidDel="003824F8" w:rsidRDefault="00145E87" w:rsidP="006078ED">
            <w:pPr>
              <w:pStyle w:val="Paragraph"/>
              <w:tabs>
                <w:tab w:val="clear" w:pos="720"/>
              </w:tabs>
              <w:spacing w:before="20" w:after="20"/>
              <w:ind w:left="0" w:firstLine="0"/>
              <w:jc w:val="center"/>
              <w:cnfStyle w:val="000000100000" w:firstRow="0" w:lastRow="0" w:firstColumn="0" w:lastColumn="0" w:oddVBand="0" w:evenVBand="0" w:oddHBand="1" w:evenHBand="0" w:firstRowFirstColumn="0" w:firstRowLastColumn="0" w:lastRowFirstColumn="0" w:lastRowLastColumn="0"/>
              <w:rPr>
                <w:rFonts w:ascii="Arial" w:hAnsi="Arial" w:cs="Arial"/>
                <w:b/>
                <w:sz w:val="18"/>
                <w:szCs w:val="20"/>
              </w:rPr>
            </w:pPr>
            <w:r w:rsidRPr="00ED6612">
              <w:rPr>
                <w:rFonts w:ascii="Arial" w:hAnsi="Arial" w:cs="Arial"/>
                <w:b/>
                <w:color w:val="auto"/>
                <w:sz w:val="18"/>
                <w:szCs w:val="20"/>
              </w:rPr>
              <w:t>22.5</w:t>
            </w:r>
          </w:p>
        </w:tc>
        <w:tc>
          <w:tcPr>
            <w:tcW w:w="1051" w:type="dxa"/>
            <w:tcBorders>
              <w:top w:val="nil"/>
              <w:left w:val="single" w:sz="8" w:space="0" w:color="4F81BD" w:themeColor="accent1"/>
              <w:bottom w:val="nil"/>
            </w:tcBorders>
            <w:vAlign w:val="center"/>
          </w:tcPr>
          <w:p w14:paraId="456045B8" w14:textId="77777777" w:rsidR="00145E87" w:rsidRPr="00ED6612" w:rsidRDefault="005770A6" w:rsidP="00D066E8">
            <w:pPr>
              <w:pStyle w:val="Paragraph"/>
              <w:tabs>
                <w:tab w:val="clear" w:pos="720"/>
              </w:tabs>
              <w:spacing w:before="20" w:after="20"/>
              <w:ind w:left="0" w:firstLine="0"/>
              <w:jc w:val="center"/>
              <w:cnfStyle w:val="000000100000" w:firstRow="0" w:lastRow="0" w:firstColumn="0" w:lastColumn="0" w:oddVBand="0" w:evenVBand="0" w:oddHBand="1" w:evenHBand="0" w:firstRowFirstColumn="0" w:firstRowLastColumn="0" w:lastRowFirstColumn="0" w:lastRowLastColumn="0"/>
              <w:rPr>
                <w:rFonts w:ascii="Arial" w:hAnsi="Arial" w:cs="Arial"/>
                <w:color w:val="auto"/>
                <w:sz w:val="18"/>
                <w:szCs w:val="20"/>
              </w:rPr>
            </w:pPr>
            <w:r w:rsidRPr="00ED6612">
              <w:rPr>
                <w:rFonts w:ascii="Arial" w:hAnsi="Arial" w:cs="Arial"/>
                <w:color w:val="auto"/>
                <w:sz w:val="18"/>
                <w:szCs w:val="20"/>
              </w:rPr>
              <w:t>n.a.</w:t>
            </w:r>
          </w:p>
        </w:tc>
      </w:tr>
      <w:tr w:rsidR="00145E87" w:rsidRPr="00ED6612" w14:paraId="456045C0" w14:textId="77777777" w:rsidTr="001365F5">
        <w:trPr>
          <w:trHeight w:val="467"/>
        </w:trPr>
        <w:tc>
          <w:tcPr>
            <w:cnfStyle w:val="001000000000" w:firstRow="0" w:lastRow="0" w:firstColumn="1" w:lastColumn="0" w:oddVBand="0" w:evenVBand="0" w:oddHBand="0" w:evenHBand="0" w:firstRowFirstColumn="0" w:firstRowLastColumn="0" w:lastRowFirstColumn="0" w:lastRowLastColumn="0"/>
            <w:tcW w:w="1980" w:type="dxa"/>
            <w:vMerge/>
            <w:tcBorders>
              <w:bottom w:val="single" w:sz="8" w:space="0" w:color="4F81BD" w:themeColor="accent1"/>
              <w:right w:val="single" w:sz="8" w:space="0" w:color="4F81BD" w:themeColor="accent1"/>
            </w:tcBorders>
            <w:vAlign w:val="center"/>
          </w:tcPr>
          <w:p w14:paraId="456045BA" w14:textId="77777777" w:rsidR="00145E87" w:rsidRPr="00ED6612" w:rsidRDefault="00145E87" w:rsidP="007B43F0">
            <w:pPr>
              <w:pStyle w:val="Paragraph"/>
              <w:tabs>
                <w:tab w:val="clear" w:pos="720"/>
              </w:tabs>
              <w:spacing w:before="20" w:after="20"/>
              <w:ind w:left="0" w:firstLine="0"/>
              <w:jc w:val="left"/>
              <w:rPr>
                <w:rFonts w:ascii="Arial" w:hAnsi="Arial" w:cs="Arial"/>
                <w:b w:val="0"/>
                <w:color w:val="auto"/>
                <w:sz w:val="18"/>
                <w:szCs w:val="20"/>
              </w:rPr>
            </w:pPr>
          </w:p>
        </w:tc>
        <w:tc>
          <w:tcPr>
            <w:tcW w:w="1600" w:type="dxa"/>
            <w:tcBorders>
              <w:top w:val="nil"/>
              <w:left w:val="single" w:sz="8" w:space="0" w:color="4F81BD" w:themeColor="accent1"/>
              <w:bottom w:val="single" w:sz="8" w:space="0" w:color="4F81BD" w:themeColor="accent1"/>
              <w:right w:val="single" w:sz="8" w:space="0" w:color="4F81BD" w:themeColor="accent1"/>
            </w:tcBorders>
            <w:vAlign w:val="center"/>
          </w:tcPr>
          <w:p w14:paraId="456045BB" w14:textId="77777777" w:rsidR="00145E87" w:rsidRPr="00ED6612" w:rsidRDefault="00145E87" w:rsidP="007B43F0">
            <w:pPr>
              <w:pStyle w:val="Paragraph"/>
              <w:tabs>
                <w:tab w:val="clear" w:pos="720"/>
              </w:tabs>
              <w:spacing w:before="20" w:after="20"/>
              <w:ind w:left="0" w:firstLine="0"/>
              <w:jc w:val="left"/>
              <w:cnfStyle w:val="000000000000" w:firstRow="0" w:lastRow="0" w:firstColumn="0" w:lastColumn="0" w:oddVBand="0" w:evenVBand="0" w:oddHBand="0" w:evenHBand="0" w:firstRowFirstColumn="0" w:firstRowLastColumn="0" w:lastRowFirstColumn="0" w:lastRowLastColumn="0"/>
              <w:rPr>
                <w:rFonts w:ascii="Arial" w:hAnsi="Arial" w:cs="Arial"/>
                <w:color w:val="auto"/>
                <w:sz w:val="18"/>
                <w:szCs w:val="20"/>
              </w:rPr>
            </w:pPr>
            <w:r w:rsidRPr="00ED6612">
              <w:rPr>
                <w:rFonts w:ascii="Arial" w:hAnsi="Arial" w:cs="Arial"/>
                <w:color w:val="auto"/>
                <w:sz w:val="18"/>
                <w:szCs w:val="20"/>
              </w:rPr>
              <w:t xml:space="preserve">75% </w:t>
            </w:r>
            <w:bookmarkStart w:id="42" w:name="_Hlk501211940"/>
            <w:r w:rsidRPr="00ED6612">
              <w:rPr>
                <w:rFonts w:ascii="Arial" w:hAnsi="Arial" w:cs="Arial"/>
                <w:color w:val="auto"/>
                <w:sz w:val="18"/>
                <w:szCs w:val="20"/>
              </w:rPr>
              <w:t xml:space="preserve">RE; 25% </w:t>
            </w:r>
            <w:bookmarkEnd w:id="42"/>
            <w:r w:rsidRPr="00ED6612">
              <w:rPr>
                <w:rFonts w:ascii="Arial" w:hAnsi="Arial" w:cs="Arial"/>
                <w:color w:val="auto"/>
                <w:sz w:val="18"/>
                <w:szCs w:val="20"/>
              </w:rPr>
              <w:t>EE</w:t>
            </w:r>
          </w:p>
        </w:tc>
        <w:tc>
          <w:tcPr>
            <w:tcW w:w="1370" w:type="dxa"/>
            <w:tcBorders>
              <w:top w:val="nil"/>
              <w:left w:val="single" w:sz="8" w:space="0" w:color="4F81BD" w:themeColor="accent1"/>
              <w:bottom w:val="single" w:sz="8" w:space="0" w:color="4F81BD" w:themeColor="accent1"/>
              <w:right w:val="single" w:sz="8" w:space="0" w:color="4F81BD" w:themeColor="accent1"/>
            </w:tcBorders>
            <w:vAlign w:val="center"/>
          </w:tcPr>
          <w:p w14:paraId="456045BC" w14:textId="77777777" w:rsidR="00145E87" w:rsidRPr="00ED6612" w:rsidRDefault="00145E87" w:rsidP="007B43F0">
            <w:pPr>
              <w:pStyle w:val="Paragraph"/>
              <w:tabs>
                <w:tab w:val="clear" w:pos="720"/>
              </w:tabs>
              <w:spacing w:before="20" w:after="20"/>
              <w:ind w:left="0" w:firstLine="0"/>
              <w:jc w:val="left"/>
              <w:cnfStyle w:val="000000000000" w:firstRow="0" w:lastRow="0" w:firstColumn="0" w:lastColumn="0" w:oddVBand="0" w:evenVBand="0" w:oddHBand="0" w:evenHBand="0" w:firstRowFirstColumn="0" w:firstRowLastColumn="0" w:lastRowFirstColumn="0" w:lastRowLastColumn="0"/>
              <w:rPr>
                <w:rFonts w:ascii="Arial" w:hAnsi="Arial" w:cs="Arial"/>
                <w:color w:val="auto"/>
                <w:sz w:val="18"/>
                <w:szCs w:val="20"/>
              </w:rPr>
            </w:pPr>
            <w:r w:rsidRPr="00ED6612">
              <w:rPr>
                <w:rFonts w:ascii="Arial" w:hAnsi="Arial" w:cs="Arial"/>
                <w:color w:val="auto"/>
                <w:sz w:val="18"/>
                <w:szCs w:val="20"/>
              </w:rPr>
              <w:t>60% RE; 40% EE</w:t>
            </w:r>
          </w:p>
        </w:tc>
        <w:tc>
          <w:tcPr>
            <w:tcW w:w="1019" w:type="dxa"/>
            <w:tcBorders>
              <w:top w:val="nil"/>
              <w:left w:val="single" w:sz="8" w:space="0" w:color="4F81BD" w:themeColor="accent1"/>
              <w:bottom w:val="single" w:sz="8" w:space="0" w:color="4F81BD" w:themeColor="accent1"/>
            </w:tcBorders>
            <w:vAlign w:val="center"/>
          </w:tcPr>
          <w:p w14:paraId="456045BD" w14:textId="77777777" w:rsidR="00145E87" w:rsidRPr="00ED6612" w:rsidRDefault="00145E87" w:rsidP="006078ED">
            <w:pPr>
              <w:pStyle w:val="Paragraph"/>
              <w:tabs>
                <w:tab w:val="clear" w:pos="720"/>
              </w:tabs>
              <w:spacing w:before="20" w:after="20"/>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b/>
                <w:color w:val="auto"/>
                <w:sz w:val="18"/>
                <w:szCs w:val="20"/>
              </w:rPr>
            </w:pPr>
            <w:r w:rsidRPr="00ED6612">
              <w:rPr>
                <w:rFonts w:ascii="Arial" w:hAnsi="Arial" w:cs="Arial"/>
                <w:b/>
                <w:color w:val="auto"/>
                <w:sz w:val="18"/>
                <w:szCs w:val="20"/>
              </w:rPr>
              <w:t>70.15</w:t>
            </w:r>
          </w:p>
        </w:tc>
        <w:tc>
          <w:tcPr>
            <w:tcW w:w="990" w:type="dxa"/>
            <w:tcBorders>
              <w:top w:val="nil"/>
              <w:left w:val="single" w:sz="8" w:space="0" w:color="4F81BD" w:themeColor="accent1"/>
              <w:bottom w:val="single" w:sz="8" w:space="0" w:color="4F81BD" w:themeColor="accent1"/>
            </w:tcBorders>
            <w:vAlign w:val="center"/>
          </w:tcPr>
          <w:p w14:paraId="456045BE" w14:textId="77777777" w:rsidR="00145E87" w:rsidRPr="00ED6612" w:rsidRDefault="00145E87" w:rsidP="006078ED">
            <w:pPr>
              <w:pStyle w:val="Paragraph"/>
              <w:tabs>
                <w:tab w:val="clear" w:pos="720"/>
              </w:tabs>
              <w:spacing w:before="20" w:after="20"/>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b/>
                <w:color w:val="auto"/>
                <w:sz w:val="18"/>
                <w:szCs w:val="20"/>
              </w:rPr>
            </w:pPr>
            <w:r w:rsidRPr="00ED6612">
              <w:rPr>
                <w:rFonts w:ascii="Arial" w:hAnsi="Arial" w:cs="Arial"/>
                <w:b/>
                <w:color w:val="auto"/>
                <w:sz w:val="18"/>
                <w:szCs w:val="20"/>
              </w:rPr>
              <w:t>18.6</w:t>
            </w:r>
          </w:p>
        </w:tc>
        <w:tc>
          <w:tcPr>
            <w:tcW w:w="1051" w:type="dxa"/>
            <w:tcBorders>
              <w:top w:val="nil"/>
              <w:left w:val="single" w:sz="8" w:space="0" w:color="4F81BD" w:themeColor="accent1"/>
              <w:bottom w:val="single" w:sz="8" w:space="0" w:color="4F81BD" w:themeColor="accent1"/>
            </w:tcBorders>
            <w:vAlign w:val="center"/>
          </w:tcPr>
          <w:p w14:paraId="456045BF" w14:textId="77777777" w:rsidR="00145E87" w:rsidRPr="00ED6612" w:rsidRDefault="00D066E8" w:rsidP="00D066E8">
            <w:pPr>
              <w:pStyle w:val="Paragraph"/>
              <w:tabs>
                <w:tab w:val="clear" w:pos="720"/>
              </w:tabs>
              <w:spacing w:before="20" w:after="20"/>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color w:val="auto"/>
                <w:sz w:val="18"/>
                <w:szCs w:val="20"/>
              </w:rPr>
            </w:pPr>
            <w:r w:rsidRPr="00ED6612">
              <w:rPr>
                <w:rFonts w:ascii="Arial" w:hAnsi="Arial" w:cs="Arial"/>
                <w:color w:val="auto"/>
                <w:sz w:val="18"/>
                <w:szCs w:val="20"/>
              </w:rPr>
              <w:t>n.a.</w:t>
            </w:r>
          </w:p>
        </w:tc>
      </w:tr>
    </w:tbl>
    <w:p w14:paraId="456045C1" w14:textId="116192A6" w:rsidR="007C55B9" w:rsidRPr="00ED6612" w:rsidRDefault="007C55B9" w:rsidP="008E3817">
      <w:pPr>
        <w:pStyle w:val="Paragraph"/>
        <w:numPr>
          <w:ilvl w:val="1"/>
          <w:numId w:val="4"/>
        </w:numPr>
        <w:spacing w:afterLines="80" w:after="192"/>
        <w:ind w:left="720" w:hanging="720"/>
        <w:rPr>
          <w:rFonts w:ascii="Arial" w:hAnsi="Arial" w:cs="Arial"/>
          <w:sz w:val="22"/>
        </w:rPr>
      </w:pPr>
      <w:r w:rsidRPr="00ED6612">
        <w:rPr>
          <w:rFonts w:ascii="Arial" w:hAnsi="Arial" w:cs="Arial"/>
          <w:sz w:val="22"/>
        </w:rPr>
        <w:t>The results of the sensitivity analysis show that the net economic benefit</w:t>
      </w:r>
      <w:r w:rsidR="00D00A93" w:rsidRPr="00ED6612">
        <w:rPr>
          <w:rFonts w:ascii="Arial" w:hAnsi="Arial" w:cs="Arial"/>
          <w:sz w:val="22"/>
        </w:rPr>
        <w:t xml:space="preserve"> of the </w:t>
      </w:r>
      <w:r w:rsidR="00D11E5F">
        <w:rPr>
          <w:rFonts w:ascii="Arial" w:hAnsi="Arial" w:cs="Arial"/>
          <w:sz w:val="22"/>
        </w:rPr>
        <w:t>project</w:t>
      </w:r>
      <w:r w:rsidR="00D00A93" w:rsidRPr="00ED6612">
        <w:rPr>
          <w:rFonts w:ascii="Arial" w:hAnsi="Arial" w:cs="Arial"/>
          <w:sz w:val="22"/>
        </w:rPr>
        <w:t xml:space="preserve">, calculated following the methodology proposed, </w:t>
      </w:r>
      <w:r w:rsidRPr="00ED6612">
        <w:rPr>
          <w:rFonts w:ascii="Arial" w:hAnsi="Arial" w:cs="Arial"/>
          <w:sz w:val="22"/>
        </w:rPr>
        <w:t xml:space="preserve">is not particularly elastic to </w:t>
      </w:r>
      <w:r w:rsidR="00D00A93" w:rsidRPr="00ED6612">
        <w:rPr>
          <w:rFonts w:ascii="Arial" w:hAnsi="Arial" w:cs="Arial"/>
          <w:sz w:val="22"/>
        </w:rPr>
        <w:t>the majority</w:t>
      </w:r>
      <w:r w:rsidRPr="00ED6612">
        <w:rPr>
          <w:rFonts w:ascii="Arial" w:hAnsi="Arial" w:cs="Arial"/>
          <w:sz w:val="22"/>
        </w:rPr>
        <w:t xml:space="preserve"> of the parameters</w:t>
      </w:r>
      <w:r w:rsidR="00D00A93" w:rsidRPr="00ED6612">
        <w:rPr>
          <w:rFonts w:ascii="Arial" w:hAnsi="Arial" w:cs="Arial"/>
          <w:sz w:val="22"/>
        </w:rPr>
        <w:t xml:space="preserve"> under study</w:t>
      </w:r>
      <w:r w:rsidR="00D066E8" w:rsidRPr="00ED6612">
        <w:rPr>
          <w:rFonts w:ascii="Arial" w:hAnsi="Arial" w:cs="Arial"/>
          <w:sz w:val="22"/>
        </w:rPr>
        <w:t>, individually</w:t>
      </w:r>
      <w:r w:rsidR="00D00A93" w:rsidRPr="00ED6612">
        <w:rPr>
          <w:rFonts w:ascii="Arial" w:hAnsi="Arial" w:cs="Arial"/>
          <w:sz w:val="22"/>
        </w:rPr>
        <w:t xml:space="preserve">, and only changes to a relevant extent if we consider a </w:t>
      </w:r>
      <w:r w:rsidR="006F63CD" w:rsidRPr="00ED6612">
        <w:rPr>
          <w:rFonts w:ascii="Arial" w:hAnsi="Arial" w:cs="Arial"/>
          <w:sz w:val="22"/>
        </w:rPr>
        <w:t>change in the</w:t>
      </w:r>
      <w:r w:rsidR="006078ED" w:rsidRPr="00ED6612">
        <w:rPr>
          <w:rFonts w:ascii="Arial" w:hAnsi="Arial" w:cs="Arial"/>
          <w:sz w:val="22"/>
        </w:rPr>
        <w:t xml:space="preserve"> marginal cost of energy</w:t>
      </w:r>
      <w:r w:rsidR="00D00A93" w:rsidRPr="00ED6612">
        <w:rPr>
          <w:rFonts w:ascii="Arial" w:hAnsi="Arial" w:cs="Arial"/>
          <w:sz w:val="22"/>
        </w:rPr>
        <w:t>.</w:t>
      </w:r>
      <w:r w:rsidR="00D066E8" w:rsidRPr="00ED6612">
        <w:rPr>
          <w:rFonts w:ascii="Arial" w:hAnsi="Arial" w:cs="Arial"/>
          <w:sz w:val="22"/>
        </w:rPr>
        <w:t xml:space="preserve"> Furthermore, when analyzing the combined effect of</w:t>
      </w:r>
      <w:r w:rsidR="003564C2" w:rsidRPr="00ED6612">
        <w:rPr>
          <w:rFonts w:ascii="Arial" w:hAnsi="Arial" w:cs="Arial"/>
          <w:sz w:val="22"/>
        </w:rPr>
        <w:t>: (i)</w:t>
      </w:r>
      <w:r w:rsidR="00D066E8" w:rsidRPr="00ED6612">
        <w:rPr>
          <w:rFonts w:ascii="Arial" w:hAnsi="Arial" w:cs="Arial"/>
          <w:sz w:val="22"/>
        </w:rPr>
        <w:t xml:space="preserve"> </w:t>
      </w:r>
      <w:r w:rsidR="003564C2" w:rsidRPr="00ED6612">
        <w:rPr>
          <w:rFonts w:ascii="Arial" w:hAnsi="Arial" w:cs="Arial"/>
          <w:sz w:val="22"/>
        </w:rPr>
        <w:t xml:space="preserve">scenarios </w:t>
      </w:r>
      <w:r w:rsidR="00D066E8" w:rsidRPr="00ED6612">
        <w:rPr>
          <w:rFonts w:ascii="Arial" w:hAnsi="Arial" w:cs="Arial"/>
          <w:sz w:val="22"/>
        </w:rPr>
        <w:t xml:space="preserve">a, b, c and d, the economic value of the </w:t>
      </w:r>
      <w:r w:rsidR="00D11E5F">
        <w:rPr>
          <w:rFonts w:ascii="Arial" w:hAnsi="Arial" w:cs="Arial"/>
          <w:sz w:val="22"/>
        </w:rPr>
        <w:t>project</w:t>
      </w:r>
      <w:r w:rsidR="00D066E8" w:rsidRPr="00ED6612">
        <w:rPr>
          <w:rFonts w:ascii="Arial" w:hAnsi="Arial" w:cs="Arial"/>
          <w:sz w:val="22"/>
        </w:rPr>
        <w:t xml:space="preserve"> remains positive, at US$16.3 million, while the IRR falls to 13.5%</w:t>
      </w:r>
      <w:r w:rsidR="003564C2" w:rsidRPr="00ED6612">
        <w:rPr>
          <w:rFonts w:ascii="Arial" w:hAnsi="Arial" w:cs="Arial"/>
          <w:sz w:val="22"/>
        </w:rPr>
        <w:t xml:space="preserve">; and (ii) scenarios a, b, c, d, and e </w:t>
      </w:r>
      <w:r w:rsidR="004C457B" w:rsidRPr="00ED6612">
        <w:rPr>
          <w:rFonts w:ascii="Arial" w:hAnsi="Arial" w:cs="Arial"/>
          <w:sz w:val="22"/>
        </w:rPr>
        <w:t>(</w:t>
      </w:r>
      <w:r w:rsidR="003564C2" w:rsidRPr="00ED6612">
        <w:rPr>
          <w:rFonts w:ascii="Arial" w:hAnsi="Arial" w:cs="Arial"/>
          <w:sz w:val="22"/>
        </w:rPr>
        <w:t>60% RE and 40% EE</w:t>
      </w:r>
      <w:r w:rsidR="004C457B" w:rsidRPr="00ED6612">
        <w:rPr>
          <w:rFonts w:ascii="Arial" w:hAnsi="Arial" w:cs="Arial"/>
          <w:sz w:val="22"/>
        </w:rPr>
        <w:t>)</w:t>
      </w:r>
      <w:r w:rsidR="003564C2" w:rsidRPr="00ED6612">
        <w:rPr>
          <w:rFonts w:ascii="Arial" w:hAnsi="Arial" w:cs="Arial"/>
          <w:sz w:val="22"/>
        </w:rPr>
        <w:t>,</w:t>
      </w:r>
      <w:r w:rsidR="004C457B" w:rsidRPr="00ED6612">
        <w:rPr>
          <w:rStyle w:val="FootnoteReference"/>
          <w:rFonts w:ascii="Arial" w:hAnsi="Arial" w:cs="Arial"/>
          <w:sz w:val="22"/>
        </w:rPr>
        <w:footnoteReference w:id="31"/>
      </w:r>
      <w:r w:rsidR="003564C2" w:rsidRPr="00ED6612">
        <w:rPr>
          <w:rFonts w:ascii="Arial" w:hAnsi="Arial" w:cs="Arial"/>
          <w:sz w:val="22"/>
        </w:rPr>
        <w:t xml:space="preserve"> </w:t>
      </w:r>
      <w:r w:rsidR="004C457B" w:rsidRPr="00ED6612">
        <w:rPr>
          <w:rFonts w:ascii="Arial" w:hAnsi="Arial" w:cs="Arial"/>
          <w:sz w:val="22"/>
        </w:rPr>
        <w:t>the resulting economic value is US$6.6 million, with a 12.6% IRR.</w:t>
      </w:r>
    </w:p>
    <w:p w14:paraId="456045C2" w14:textId="77777777" w:rsidR="00D00A93" w:rsidRPr="00ED6612" w:rsidRDefault="0039595E" w:rsidP="008E3817">
      <w:pPr>
        <w:pStyle w:val="Paragraph"/>
        <w:numPr>
          <w:ilvl w:val="1"/>
          <w:numId w:val="4"/>
        </w:numPr>
        <w:spacing w:afterLines="80" w:after="192"/>
        <w:ind w:left="720" w:hanging="720"/>
        <w:rPr>
          <w:rFonts w:ascii="Arial" w:hAnsi="Arial" w:cs="Arial"/>
          <w:sz w:val="22"/>
        </w:rPr>
      </w:pPr>
      <w:r w:rsidRPr="00ED6612">
        <w:rPr>
          <w:rFonts w:ascii="Arial" w:hAnsi="Arial" w:cs="Arial"/>
          <w:sz w:val="22"/>
        </w:rPr>
        <w:t xml:space="preserve">Some </w:t>
      </w:r>
      <w:r w:rsidR="00D00A93" w:rsidRPr="00ED6612">
        <w:rPr>
          <w:rFonts w:ascii="Arial" w:hAnsi="Arial" w:cs="Arial"/>
          <w:sz w:val="22"/>
        </w:rPr>
        <w:t>important considerations to take from this exercise include:</w:t>
      </w:r>
    </w:p>
    <w:p w14:paraId="456045C3" w14:textId="1D24697A" w:rsidR="0039595E" w:rsidRPr="00ED6612" w:rsidRDefault="0039595E" w:rsidP="008E3817">
      <w:pPr>
        <w:pStyle w:val="Paragraph"/>
        <w:numPr>
          <w:ilvl w:val="2"/>
          <w:numId w:val="8"/>
        </w:numPr>
        <w:tabs>
          <w:tab w:val="clear" w:pos="2304"/>
        </w:tabs>
        <w:spacing w:afterLines="80" w:after="192"/>
        <w:ind w:left="1440" w:hanging="360"/>
        <w:rPr>
          <w:rFonts w:ascii="Arial" w:hAnsi="Arial" w:cs="Arial"/>
          <w:sz w:val="22"/>
        </w:rPr>
      </w:pPr>
      <w:r w:rsidRPr="00ED6612">
        <w:rPr>
          <w:rFonts w:ascii="Arial" w:hAnsi="Arial" w:cs="Arial"/>
          <w:sz w:val="22"/>
        </w:rPr>
        <w:t xml:space="preserve">All else equal, </w:t>
      </w:r>
      <w:r w:rsidRPr="00ED6612">
        <w:rPr>
          <w:rFonts w:ascii="Arial" w:hAnsi="Arial" w:cs="Arial"/>
          <w:iCs/>
          <w:sz w:val="22"/>
        </w:rPr>
        <w:t>the contribution of RE projects to the NPV is higher than that of EE projects</w:t>
      </w:r>
      <w:r w:rsidR="006078ED" w:rsidRPr="00ED6612">
        <w:rPr>
          <w:rFonts w:ascii="Arial" w:hAnsi="Arial" w:cs="Arial"/>
          <w:iCs/>
          <w:sz w:val="22"/>
        </w:rPr>
        <w:t xml:space="preserve">. </w:t>
      </w:r>
      <w:r w:rsidRPr="00ED6612">
        <w:rPr>
          <w:rFonts w:ascii="Arial" w:hAnsi="Arial" w:cs="Arial"/>
          <w:sz w:val="22"/>
        </w:rPr>
        <w:t xml:space="preserve">From the beneficiary SMEs’ perspective, a financial analysis would incorporate the positive impact of the financing in the cash flows of </w:t>
      </w:r>
      <w:r w:rsidRPr="00ED6612">
        <w:rPr>
          <w:rFonts w:ascii="Arial" w:hAnsi="Arial" w:cs="Arial"/>
          <w:sz w:val="22"/>
        </w:rPr>
        <w:lastRenderedPageBreak/>
        <w:t>these projects</w:t>
      </w:r>
      <w:r w:rsidR="00437569" w:rsidRPr="00ED6612">
        <w:rPr>
          <w:rFonts w:ascii="Arial" w:hAnsi="Arial" w:cs="Arial"/>
          <w:sz w:val="22"/>
        </w:rPr>
        <w:t xml:space="preserve"> and, </w:t>
      </w:r>
      <w:r w:rsidR="00437569" w:rsidRPr="00ED6612">
        <w:rPr>
          <w:rFonts w:ascii="Arial" w:hAnsi="Arial" w:cs="Arial"/>
          <w:iCs/>
          <w:sz w:val="22"/>
        </w:rPr>
        <w:t>a</w:t>
      </w:r>
      <w:r w:rsidRPr="00ED6612">
        <w:rPr>
          <w:rFonts w:ascii="Arial" w:hAnsi="Arial" w:cs="Arial"/>
          <w:iCs/>
          <w:sz w:val="22"/>
        </w:rPr>
        <w:t xml:space="preserve">t any rate, it is considered unlikely that a particular project will in practice produce negative returns if adequate financing from the </w:t>
      </w:r>
      <w:r w:rsidR="00D11E5F">
        <w:rPr>
          <w:rFonts w:ascii="Arial" w:hAnsi="Arial" w:cs="Arial"/>
          <w:iCs/>
          <w:sz w:val="22"/>
        </w:rPr>
        <w:t>project</w:t>
      </w:r>
      <w:r w:rsidRPr="00ED6612">
        <w:rPr>
          <w:rFonts w:ascii="Arial" w:hAnsi="Arial" w:cs="Arial"/>
          <w:iCs/>
          <w:sz w:val="22"/>
        </w:rPr>
        <w:t xml:space="preserve"> is available.</w:t>
      </w:r>
    </w:p>
    <w:p w14:paraId="456045C4" w14:textId="7B29888D" w:rsidR="00437569" w:rsidRPr="00ED6612" w:rsidRDefault="00437569" w:rsidP="008E3817">
      <w:pPr>
        <w:pStyle w:val="Paragraph"/>
        <w:numPr>
          <w:ilvl w:val="2"/>
          <w:numId w:val="8"/>
        </w:numPr>
        <w:tabs>
          <w:tab w:val="clear" w:pos="2304"/>
        </w:tabs>
        <w:spacing w:afterLines="80" w:after="192"/>
        <w:ind w:left="1440" w:hanging="360"/>
        <w:rPr>
          <w:rFonts w:ascii="Arial" w:hAnsi="Arial" w:cs="Arial"/>
          <w:sz w:val="22"/>
        </w:rPr>
      </w:pPr>
      <w:r w:rsidRPr="00ED6612">
        <w:rPr>
          <w:rFonts w:ascii="Arial" w:hAnsi="Arial" w:cs="Arial"/>
          <w:iCs/>
          <w:sz w:val="22"/>
        </w:rPr>
        <w:t xml:space="preserve">The economic viability of the overall </w:t>
      </w:r>
      <w:r w:rsidR="00D11E5F">
        <w:rPr>
          <w:rFonts w:ascii="Arial" w:hAnsi="Arial" w:cs="Arial"/>
          <w:iCs/>
          <w:sz w:val="22"/>
        </w:rPr>
        <w:t>project</w:t>
      </w:r>
      <w:r w:rsidRPr="00ED6612">
        <w:rPr>
          <w:rFonts w:ascii="Arial" w:hAnsi="Arial" w:cs="Arial"/>
          <w:iCs/>
          <w:sz w:val="22"/>
        </w:rPr>
        <w:t xml:space="preserve"> is dependent to an important extent on the </w:t>
      </w:r>
      <w:r w:rsidRPr="00ED6612">
        <w:rPr>
          <w:rFonts w:ascii="Arial" w:hAnsi="Arial" w:cs="Arial"/>
          <w:sz w:val="22"/>
        </w:rPr>
        <w:t xml:space="preserve">energy supply cost in the alternative scenario, that considers that there are no investments in RE projects, and that a mix of traditional generation sources will provide the electricity to the system. This means that the economic value of the </w:t>
      </w:r>
      <w:r w:rsidR="00D11E5F">
        <w:rPr>
          <w:rFonts w:ascii="Arial" w:hAnsi="Arial" w:cs="Arial"/>
          <w:sz w:val="22"/>
        </w:rPr>
        <w:t>project</w:t>
      </w:r>
      <w:r w:rsidRPr="00ED6612">
        <w:rPr>
          <w:rFonts w:ascii="Arial" w:hAnsi="Arial" w:cs="Arial"/>
          <w:sz w:val="22"/>
        </w:rPr>
        <w:t xml:space="preserve"> depends largely on which technologies would be implemented in the absence of the </w:t>
      </w:r>
      <w:r w:rsidR="00D11E5F">
        <w:rPr>
          <w:rFonts w:ascii="Arial" w:hAnsi="Arial" w:cs="Arial"/>
          <w:sz w:val="22"/>
        </w:rPr>
        <w:t>project</w:t>
      </w:r>
      <w:r w:rsidRPr="00ED6612">
        <w:rPr>
          <w:rFonts w:ascii="Arial" w:hAnsi="Arial" w:cs="Arial"/>
          <w:sz w:val="22"/>
        </w:rPr>
        <w:t xml:space="preserve"> (to cover the same amount of energy), and their generation costs. The break</w:t>
      </w:r>
      <w:r w:rsidR="00A43383" w:rsidRPr="00ED6612">
        <w:rPr>
          <w:rFonts w:ascii="Arial" w:hAnsi="Arial" w:cs="Arial"/>
          <w:sz w:val="22"/>
        </w:rPr>
        <w:t>˗</w:t>
      </w:r>
      <w:r w:rsidRPr="00ED6612">
        <w:rPr>
          <w:rFonts w:ascii="Arial" w:hAnsi="Arial" w:cs="Arial"/>
          <w:sz w:val="22"/>
        </w:rPr>
        <w:t xml:space="preserve">even marginal generation cost of the counterfactual scenario for the </w:t>
      </w:r>
      <w:r w:rsidR="00D11E5F">
        <w:rPr>
          <w:rFonts w:ascii="Arial" w:hAnsi="Arial" w:cs="Arial"/>
          <w:sz w:val="22"/>
        </w:rPr>
        <w:t>project</w:t>
      </w:r>
      <w:r w:rsidRPr="00ED6612">
        <w:rPr>
          <w:rFonts w:ascii="Arial" w:hAnsi="Arial" w:cs="Arial"/>
          <w:sz w:val="22"/>
        </w:rPr>
        <w:t xml:space="preserve"> to be viable</w:t>
      </w:r>
      <w:r w:rsidR="006A56E7" w:rsidRPr="00ED6612">
        <w:rPr>
          <w:rFonts w:ascii="Arial" w:hAnsi="Arial" w:cs="Arial"/>
          <w:sz w:val="22"/>
        </w:rPr>
        <w:t>, under the methodology of analysis proposed,</w:t>
      </w:r>
      <w:r w:rsidRPr="00ED6612">
        <w:rPr>
          <w:rFonts w:ascii="Arial" w:hAnsi="Arial" w:cs="Arial"/>
          <w:sz w:val="22"/>
        </w:rPr>
        <w:t xml:space="preserve"> is </w:t>
      </w:r>
      <w:r w:rsidR="00CE6E1B" w:rsidRPr="00ED6612">
        <w:rPr>
          <w:rFonts w:ascii="Arial" w:hAnsi="Arial" w:cs="Arial"/>
          <w:sz w:val="22"/>
        </w:rPr>
        <w:t>100.42</w:t>
      </w:r>
      <w:r w:rsidRPr="00ED6612">
        <w:rPr>
          <w:rFonts w:ascii="Arial" w:hAnsi="Arial" w:cs="Arial"/>
          <w:sz w:val="22"/>
        </w:rPr>
        <w:t xml:space="preserve"> US$/MWh.</w:t>
      </w:r>
    </w:p>
    <w:p w14:paraId="456045C5" w14:textId="631DA1EA" w:rsidR="007C55B9" w:rsidRPr="00ED6612" w:rsidRDefault="007C55B9" w:rsidP="008E3817">
      <w:pPr>
        <w:pStyle w:val="Paragraph"/>
        <w:numPr>
          <w:ilvl w:val="2"/>
          <w:numId w:val="8"/>
        </w:numPr>
        <w:tabs>
          <w:tab w:val="clear" w:pos="2304"/>
        </w:tabs>
        <w:spacing w:afterLines="80" w:after="192"/>
        <w:ind w:left="1440" w:hanging="360"/>
        <w:rPr>
          <w:rFonts w:ascii="Arial" w:hAnsi="Arial" w:cs="Arial"/>
          <w:sz w:val="22"/>
        </w:rPr>
      </w:pPr>
      <w:r w:rsidRPr="00ED6612">
        <w:rPr>
          <w:rFonts w:ascii="Arial" w:hAnsi="Arial" w:cs="Arial"/>
          <w:sz w:val="22"/>
        </w:rPr>
        <w:t xml:space="preserve">As </w:t>
      </w:r>
      <w:r w:rsidR="00437569" w:rsidRPr="00ED6612">
        <w:rPr>
          <w:rFonts w:ascii="Arial" w:hAnsi="Arial" w:cs="Arial"/>
          <w:sz w:val="22"/>
        </w:rPr>
        <w:t>an important</w:t>
      </w:r>
      <w:r w:rsidRPr="00ED6612">
        <w:rPr>
          <w:rFonts w:ascii="Arial" w:hAnsi="Arial" w:cs="Arial"/>
          <w:sz w:val="22"/>
        </w:rPr>
        <w:t xml:space="preserve"> </w:t>
      </w:r>
      <w:r w:rsidR="00437569" w:rsidRPr="00ED6612">
        <w:rPr>
          <w:rFonts w:ascii="Arial" w:hAnsi="Arial" w:cs="Arial"/>
          <w:sz w:val="22"/>
        </w:rPr>
        <w:t>amount of value</w:t>
      </w:r>
      <w:r w:rsidRPr="00ED6612">
        <w:rPr>
          <w:rFonts w:ascii="Arial" w:hAnsi="Arial" w:cs="Arial"/>
          <w:sz w:val="22"/>
        </w:rPr>
        <w:t xml:space="preserve"> is </w:t>
      </w:r>
      <w:r w:rsidR="00AD50B4" w:rsidRPr="00ED6612">
        <w:rPr>
          <w:rFonts w:ascii="Arial" w:hAnsi="Arial" w:cs="Arial"/>
          <w:sz w:val="22"/>
        </w:rPr>
        <w:t xml:space="preserve">associated to energy </w:t>
      </w:r>
      <w:r w:rsidR="00437569" w:rsidRPr="00ED6612">
        <w:rPr>
          <w:rFonts w:ascii="Arial" w:hAnsi="Arial" w:cs="Arial"/>
          <w:sz w:val="22"/>
        </w:rPr>
        <w:t xml:space="preserve">consumption costs </w:t>
      </w:r>
      <w:r w:rsidR="00AD50B4" w:rsidRPr="00ED6612">
        <w:rPr>
          <w:rFonts w:ascii="Arial" w:hAnsi="Arial" w:cs="Arial"/>
          <w:sz w:val="22"/>
        </w:rPr>
        <w:t xml:space="preserve">and to </w:t>
      </w:r>
      <w:r w:rsidR="00437569" w:rsidRPr="00ED6612">
        <w:rPr>
          <w:rFonts w:ascii="Arial" w:hAnsi="Arial" w:cs="Arial"/>
          <w:sz w:val="22"/>
        </w:rPr>
        <w:t xml:space="preserve">the level and price of </w:t>
      </w:r>
      <w:r w:rsidR="00AD50B4" w:rsidRPr="00ED6612">
        <w:rPr>
          <w:rFonts w:ascii="Arial" w:hAnsi="Arial" w:cs="Arial"/>
          <w:sz w:val="22"/>
        </w:rPr>
        <w:t>CO</w:t>
      </w:r>
      <w:r w:rsidR="00AD50B4" w:rsidRPr="00ED6612">
        <w:rPr>
          <w:rFonts w:ascii="Arial" w:hAnsi="Arial" w:cs="Arial"/>
          <w:sz w:val="22"/>
          <w:vertAlign w:val="subscript"/>
        </w:rPr>
        <w:t>2</w:t>
      </w:r>
      <w:r w:rsidR="00AD50B4" w:rsidRPr="00ED6612">
        <w:rPr>
          <w:rFonts w:ascii="Arial" w:hAnsi="Arial" w:cs="Arial"/>
          <w:sz w:val="22"/>
        </w:rPr>
        <w:t xml:space="preserve"> emissions, it is important to highlight the robustness of the </w:t>
      </w:r>
      <w:r w:rsidR="00D11E5F">
        <w:rPr>
          <w:rFonts w:ascii="Arial" w:hAnsi="Arial" w:cs="Arial"/>
          <w:sz w:val="22"/>
        </w:rPr>
        <w:t>project</w:t>
      </w:r>
      <w:r w:rsidR="00AD50B4" w:rsidRPr="00ED6612">
        <w:rPr>
          <w:rFonts w:ascii="Arial" w:hAnsi="Arial" w:cs="Arial"/>
          <w:sz w:val="22"/>
        </w:rPr>
        <w:t xml:space="preserve"> when </w:t>
      </w:r>
      <w:r w:rsidR="00437569" w:rsidRPr="00ED6612">
        <w:rPr>
          <w:rFonts w:ascii="Arial" w:hAnsi="Arial" w:cs="Arial"/>
          <w:sz w:val="22"/>
        </w:rPr>
        <w:t xml:space="preserve">these </w:t>
      </w:r>
      <w:r w:rsidR="00AD50B4" w:rsidRPr="00ED6612">
        <w:rPr>
          <w:rFonts w:ascii="Arial" w:hAnsi="Arial" w:cs="Arial"/>
          <w:sz w:val="22"/>
        </w:rPr>
        <w:t>variables are tested.</w:t>
      </w:r>
      <w:r w:rsidR="005770A6" w:rsidRPr="00ED6612">
        <w:rPr>
          <w:rFonts w:ascii="Arial" w:hAnsi="Arial" w:cs="Arial"/>
          <w:sz w:val="22"/>
        </w:rPr>
        <w:t xml:space="preserve"> The break-even value of both the energy consumption costs and the price of CO</w:t>
      </w:r>
      <w:r w:rsidR="005770A6" w:rsidRPr="00ED6612">
        <w:rPr>
          <w:rFonts w:ascii="Arial" w:hAnsi="Arial" w:cs="Arial"/>
          <w:sz w:val="22"/>
          <w:vertAlign w:val="subscript"/>
        </w:rPr>
        <w:t>2</w:t>
      </w:r>
      <w:r w:rsidR="005770A6" w:rsidRPr="00ED6612">
        <w:rPr>
          <w:rFonts w:ascii="Arial" w:hAnsi="Arial" w:cs="Arial"/>
          <w:sz w:val="22"/>
        </w:rPr>
        <w:t xml:space="preserve"> turn out negative</w:t>
      </w:r>
      <w:r w:rsidR="00D066E8" w:rsidRPr="00ED6612">
        <w:rPr>
          <w:rFonts w:ascii="Arial" w:hAnsi="Arial" w:cs="Arial"/>
          <w:sz w:val="22"/>
        </w:rPr>
        <w:t>, which is not a reasonable scenario</w:t>
      </w:r>
      <w:r w:rsidR="005770A6" w:rsidRPr="00ED6612">
        <w:rPr>
          <w:rFonts w:ascii="Arial" w:hAnsi="Arial" w:cs="Arial"/>
          <w:sz w:val="22"/>
        </w:rPr>
        <w:t>.</w:t>
      </w:r>
    </w:p>
    <w:p w14:paraId="456045C6" w14:textId="685DFA4B" w:rsidR="007C55B9" w:rsidRPr="00ED6612" w:rsidRDefault="007C55B9" w:rsidP="008E3817">
      <w:pPr>
        <w:pStyle w:val="Paragraph"/>
        <w:numPr>
          <w:ilvl w:val="2"/>
          <w:numId w:val="8"/>
        </w:numPr>
        <w:tabs>
          <w:tab w:val="clear" w:pos="2304"/>
        </w:tabs>
        <w:spacing w:afterLines="80" w:after="192"/>
        <w:ind w:left="1440" w:hanging="360"/>
        <w:rPr>
          <w:rFonts w:ascii="Arial" w:hAnsi="Arial" w:cs="Arial"/>
          <w:sz w:val="22"/>
        </w:rPr>
      </w:pPr>
      <w:r w:rsidRPr="00ED6612">
        <w:rPr>
          <w:rFonts w:ascii="Arial" w:hAnsi="Arial" w:cs="Arial"/>
          <w:sz w:val="22"/>
        </w:rPr>
        <w:t xml:space="preserve">A </w:t>
      </w:r>
      <w:r w:rsidR="00437569" w:rsidRPr="00ED6612">
        <w:rPr>
          <w:rFonts w:ascii="Arial" w:hAnsi="Arial" w:cs="Arial"/>
          <w:sz w:val="22"/>
        </w:rPr>
        <w:t xml:space="preserve">slightly higher </w:t>
      </w:r>
      <w:r w:rsidRPr="00ED6612">
        <w:rPr>
          <w:rFonts w:ascii="Arial" w:hAnsi="Arial" w:cs="Arial"/>
          <w:sz w:val="22"/>
        </w:rPr>
        <w:t xml:space="preserve">effect is shown when assuming </w:t>
      </w:r>
      <w:r w:rsidR="00AD50B4" w:rsidRPr="00ED6612">
        <w:rPr>
          <w:rFonts w:ascii="Arial" w:hAnsi="Arial" w:cs="Arial"/>
          <w:sz w:val="22"/>
        </w:rPr>
        <w:t>that a portion</w:t>
      </w:r>
      <w:r w:rsidRPr="00ED6612">
        <w:rPr>
          <w:rFonts w:ascii="Arial" w:hAnsi="Arial" w:cs="Arial"/>
          <w:sz w:val="22"/>
        </w:rPr>
        <w:t xml:space="preserve"> of the projects </w:t>
      </w:r>
      <w:r w:rsidR="00AD50B4" w:rsidRPr="00ED6612">
        <w:rPr>
          <w:rFonts w:ascii="Arial" w:hAnsi="Arial" w:cs="Arial"/>
          <w:sz w:val="22"/>
        </w:rPr>
        <w:t>do</w:t>
      </w:r>
      <w:r w:rsidRPr="00ED6612">
        <w:rPr>
          <w:rFonts w:ascii="Arial" w:hAnsi="Arial" w:cs="Arial"/>
          <w:sz w:val="22"/>
        </w:rPr>
        <w:t xml:space="preserve"> not materialize</w:t>
      </w:r>
      <w:r w:rsidR="00AD50B4" w:rsidRPr="00ED6612">
        <w:rPr>
          <w:rFonts w:ascii="Arial" w:hAnsi="Arial" w:cs="Arial"/>
          <w:sz w:val="22"/>
        </w:rPr>
        <w:t xml:space="preserve">, even after investments for these unsuccessful projects have been </w:t>
      </w:r>
      <w:r w:rsidR="00437569" w:rsidRPr="00ED6612">
        <w:rPr>
          <w:rFonts w:ascii="Arial" w:hAnsi="Arial" w:cs="Arial"/>
          <w:sz w:val="22"/>
        </w:rPr>
        <w:t xml:space="preserve">accounted for </w:t>
      </w:r>
      <w:r w:rsidR="00AD50B4" w:rsidRPr="00ED6612">
        <w:rPr>
          <w:rFonts w:ascii="Arial" w:hAnsi="Arial" w:cs="Arial"/>
          <w:sz w:val="22"/>
        </w:rPr>
        <w:t xml:space="preserve">in </w:t>
      </w:r>
      <w:r w:rsidR="00F969D8" w:rsidRPr="00ED6612">
        <w:rPr>
          <w:rFonts w:ascii="Arial" w:hAnsi="Arial" w:cs="Arial"/>
          <w:sz w:val="22"/>
        </w:rPr>
        <w:t>their</w:t>
      </w:r>
      <w:r w:rsidR="00AD50B4" w:rsidRPr="00ED6612">
        <w:rPr>
          <w:rFonts w:ascii="Arial" w:hAnsi="Arial" w:cs="Arial"/>
          <w:sz w:val="22"/>
        </w:rPr>
        <w:t xml:space="preserve"> entirety</w:t>
      </w:r>
      <w:r w:rsidRPr="00ED6612">
        <w:rPr>
          <w:rFonts w:ascii="Arial" w:hAnsi="Arial" w:cs="Arial"/>
          <w:sz w:val="22"/>
        </w:rPr>
        <w:t>.</w:t>
      </w:r>
      <w:r w:rsidR="00437569" w:rsidRPr="00ED6612">
        <w:rPr>
          <w:rFonts w:ascii="Arial" w:hAnsi="Arial" w:cs="Arial"/>
          <w:sz w:val="22"/>
        </w:rPr>
        <w:t xml:space="preserve"> Still, the economic value of the project remains positive under this scenario.</w:t>
      </w:r>
      <w:r w:rsidR="00D066E8" w:rsidRPr="00ED6612">
        <w:rPr>
          <w:rFonts w:ascii="Arial" w:hAnsi="Arial" w:cs="Arial"/>
          <w:sz w:val="22"/>
        </w:rPr>
        <w:t xml:space="preserve"> The break-even value for this test is 63% which means a highly unlikely 37% or more of the projects would have to fail to make the </w:t>
      </w:r>
      <w:r w:rsidR="00D11E5F">
        <w:rPr>
          <w:rFonts w:ascii="Arial" w:hAnsi="Arial" w:cs="Arial"/>
          <w:sz w:val="22"/>
        </w:rPr>
        <w:t>project</w:t>
      </w:r>
      <w:r w:rsidR="00D066E8" w:rsidRPr="00ED6612">
        <w:rPr>
          <w:rFonts w:ascii="Arial" w:hAnsi="Arial" w:cs="Arial"/>
          <w:sz w:val="22"/>
        </w:rPr>
        <w:t xml:space="preserve"> economically unviable.</w:t>
      </w:r>
    </w:p>
    <w:p w14:paraId="456045C7" w14:textId="77777777" w:rsidR="00E5795B" w:rsidRPr="00ED6612" w:rsidRDefault="00E5795B" w:rsidP="008E3817">
      <w:pPr>
        <w:pStyle w:val="Chapter"/>
        <w:numPr>
          <w:ilvl w:val="0"/>
          <w:numId w:val="4"/>
        </w:numPr>
        <w:tabs>
          <w:tab w:val="clear" w:pos="1440"/>
          <w:tab w:val="clear" w:pos="1800"/>
          <w:tab w:val="left" w:pos="360"/>
        </w:tabs>
        <w:spacing w:before="360"/>
        <w:ind w:left="0" w:firstLine="0"/>
        <w:rPr>
          <w:rFonts w:ascii="Arial" w:hAnsi="Arial" w:cs="Arial"/>
        </w:rPr>
      </w:pPr>
      <w:bookmarkStart w:id="43" w:name="_Toc503527899"/>
      <w:r w:rsidRPr="00ED6612">
        <w:rPr>
          <w:rFonts w:ascii="Arial" w:hAnsi="Arial" w:cs="Arial"/>
        </w:rPr>
        <w:t>Conclusions</w:t>
      </w:r>
      <w:bookmarkEnd w:id="43"/>
    </w:p>
    <w:p w14:paraId="456045C8" w14:textId="760FA3C2" w:rsidR="00966481" w:rsidRPr="00ED6612" w:rsidRDefault="00966481" w:rsidP="008E3817">
      <w:pPr>
        <w:pStyle w:val="Paragraph"/>
        <w:numPr>
          <w:ilvl w:val="1"/>
          <w:numId w:val="4"/>
        </w:numPr>
        <w:tabs>
          <w:tab w:val="num" w:pos="720"/>
        </w:tabs>
        <w:spacing w:afterLines="80" w:after="192"/>
        <w:ind w:left="720" w:hanging="720"/>
        <w:rPr>
          <w:rFonts w:ascii="Arial" w:hAnsi="Arial" w:cs="Arial"/>
          <w:sz w:val="22"/>
        </w:rPr>
      </w:pPr>
      <w:r w:rsidRPr="00ED6612">
        <w:rPr>
          <w:rFonts w:ascii="Arial" w:hAnsi="Arial" w:cs="Arial"/>
          <w:sz w:val="22"/>
        </w:rPr>
        <w:t>The</w:t>
      </w:r>
      <w:r w:rsidR="00D5511A" w:rsidRPr="00ED6612">
        <w:rPr>
          <w:rFonts w:ascii="Arial" w:hAnsi="Arial" w:cs="Arial"/>
          <w:sz w:val="22"/>
        </w:rPr>
        <w:t xml:space="preserve"> presented CBA seeks to bring greater objectivity into the decision making of IDB approval of the “Promoting risk mitigation instruments and finance for renewable energy and energy efficiency investments” </w:t>
      </w:r>
      <w:r w:rsidR="00D11E5F">
        <w:rPr>
          <w:rFonts w:ascii="Arial" w:hAnsi="Arial" w:cs="Arial"/>
          <w:sz w:val="22"/>
        </w:rPr>
        <w:t>project</w:t>
      </w:r>
      <w:r w:rsidR="00D5511A" w:rsidRPr="00ED6612">
        <w:rPr>
          <w:rFonts w:ascii="Arial" w:hAnsi="Arial" w:cs="Arial"/>
          <w:sz w:val="22"/>
        </w:rPr>
        <w:t xml:space="preserve"> in Argentina. Throughout the sections of the document, the analysis identifies all relevant benefits and costs of the </w:t>
      </w:r>
      <w:r w:rsidR="00D11E5F">
        <w:rPr>
          <w:rFonts w:ascii="Arial" w:hAnsi="Arial" w:cs="Arial"/>
          <w:sz w:val="22"/>
        </w:rPr>
        <w:t>project</w:t>
      </w:r>
      <w:r w:rsidR="00D5511A" w:rsidRPr="00ED6612">
        <w:rPr>
          <w:rFonts w:ascii="Arial" w:hAnsi="Arial" w:cs="Arial"/>
          <w:sz w:val="22"/>
        </w:rPr>
        <w:t xml:space="preserve">’s particular scheme, and quantifies them in monetary terms. </w:t>
      </w:r>
      <w:r w:rsidR="004D05A9" w:rsidRPr="00ED6612">
        <w:rPr>
          <w:rFonts w:ascii="Arial" w:hAnsi="Arial" w:cs="Arial"/>
          <w:sz w:val="22"/>
        </w:rPr>
        <w:t>Results</w:t>
      </w:r>
      <w:r w:rsidRPr="00ED6612">
        <w:rPr>
          <w:rFonts w:ascii="Arial" w:hAnsi="Arial" w:cs="Arial"/>
          <w:sz w:val="22"/>
        </w:rPr>
        <w:t xml:space="preserve"> shows how the discounted benefits are greater than the discounted costs</w:t>
      </w:r>
      <w:r w:rsidR="00D11AFB" w:rsidRPr="00ED6612">
        <w:rPr>
          <w:rFonts w:ascii="Arial" w:hAnsi="Arial" w:cs="Arial"/>
          <w:sz w:val="22"/>
        </w:rPr>
        <w:t xml:space="preserve"> over the time of analysis</w:t>
      </w:r>
      <w:r w:rsidRPr="00ED6612">
        <w:rPr>
          <w:rFonts w:ascii="Arial" w:hAnsi="Arial" w:cs="Arial"/>
          <w:sz w:val="22"/>
        </w:rPr>
        <w:t xml:space="preserve">, </w:t>
      </w:r>
      <w:r w:rsidR="004D05A9" w:rsidRPr="00ED6612">
        <w:rPr>
          <w:rFonts w:ascii="Arial" w:hAnsi="Arial" w:cs="Arial"/>
          <w:sz w:val="22"/>
        </w:rPr>
        <w:t>producing</w:t>
      </w:r>
      <w:r w:rsidRPr="00ED6612">
        <w:rPr>
          <w:rFonts w:ascii="Arial" w:hAnsi="Arial" w:cs="Arial"/>
          <w:sz w:val="22"/>
        </w:rPr>
        <w:t xml:space="preserve"> a positive NPV</w:t>
      </w:r>
      <w:r w:rsidR="00767498" w:rsidRPr="00ED6612">
        <w:rPr>
          <w:rFonts w:ascii="Arial" w:hAnsi="Arial" w:cs="Arial"/>
          <w:sz w:val="22"/>
        </w:rPr>
        <w:t xml:space="preserve"> </w:t>
      </w:r>
      <w:r w:rsidRPr="00ED6612">
        <w:rPr>
          <w:rFonts w:ascii="Arial" w:hAnsi="Arial" w:cs="Arial"/>
          <w:sz w:val="22"/>
        </w:rPr>
        <w:t>of US$</w:t>
      </w:r>
      <w:r w:rsidR="00F02E7F" w:rsidRPr="00ED6612">
        <w:rPr>
          <w:rFonts w:ascii="Arial" w:hAnsi="Arial" w:cs="Arial"/>
          <w:sz w:val="22"/>
        </w:rPr>
        <w:t>87.24</w:t>
      </w:r>
      <w:r w:rsidR="00077235" w:rsidRPr="00ED6612">
        <w:rPr>
          <w:rFonts w:ascii="Arial" w:hAnsi="Arial" w:cs="Arial"/>
          <w:sz w:val="22"/>
        </w:rPr>
        <w:t> </w:t>
      </w:r>
      <w:r w:rsidRPr="00ED6612">
        <w:rPr>
          <w:rFonts w:ascii="Arial" w:hAnsi="Arial" w:cs="Arial"/>
          <w:sz w:val="22"/>
        </w:rPr>
        <w:t>million</w:t>
      </w:r>
      <w:r w:rsidR="00767498" w:rsidRPr="00ED6612">
        <w:rPr>
          <w:rFonts w:ascii="Arial" w:hAnsi="Arial" w:cs="Arial"/>
          <w:sz w:val="22"/>
        </w:rPr>
        <w:t xml:space="preserve"> and </w:t>
      </w:r>
      <w:r w:rsidR="004D05A9" w:rsidRPr="00ED6612">
        <w:rPr>
          <w:rFonts w:ascii="Arial" w:hAnsi="Arial" w:cs="Arial"/>
          <w:sz w:val="22"/>
        </w:rPr>
        <w:t>a</w:t>
      </w:r>
      <w:r w:rsidR="00767498" w:rsidRPr="00ED6612">
        <w:rPr>
          <w:rFonts w:ascii="Arial" w:hAnsi="Arial" w:cs="Arial"/>
          <w:sz w:val="22"/>
        </w:rPr>
        <w:t xml:space="preserve"> </w:t>
      </w:r>
      <w:r w:rsidR="00F02E7F" w:rsidRPr="00ED6612">
        <w:rPr>
          <w:rFonts w:ascii="Arial" w:hAnsi="Arial" w:cs="Arial"/>
          <w:sz w:val="22"/>
        </w:rPr>
        <w:t>20.1</w:t>
      </w:r>
      <w:r w:rsidR="00767498" w:rsidRPr="00ED6612">
        <w:rPr>
          <w:rFonts w:ascii="Arial" w:hAnsi="Arial" w:cs="Arial"/>
          <w:sz w:val="22"/>
        </w:rPr>
        <w:t>%</w:t>
      </w:r>
      <w:r w:rsidR="004D05A9" w:rsidRPr="00ED6612">
        <w:rPr>
          <w:rFonts w:ascii="Arial" w:hAnsi="Arial" w:cs="Arial"/>
          <w:sz w:val="22"/>
        </w:rPr>
        <w:t xml:space="preserve"> IRR</w:t>
      </w:r>
      <w:r w:rsidRPr="00ED6612">
        <w:rPr>
          <w:rFonts w:ascii="Arial" w:hAnsi="Arial" w:cs="Arial"/>
          <w:sz w:val="22"/>
        </w:rPr>
        <w:t xml:space="preserve">. </w:t>
      </w:r>
      <w:r w:rsidR="00AA5300" w:rsidRPr="00ED6612">
        <w:rPr>
          <w:rFonts w:ascii="Arial" w:hAnsi="Arial" w:cs="Arial"/>
          <w:sz w:val="22"/>
        </w:rPr>
        <w:t xml:space="preserve">This assessment is conservative, as all the possible economic benefits of the </w:t>
      </w:r>
      <w:r w:rsidR="00D11E5F">
        <w:rPr>
          <w:rFonts w:ascii="Arial" w:hAnsi="Arial" w:cs="Arial"/>
          <w:sz w:val="22"/>
        </w:rPr>
        <w:t>project</w:t>
      </w:r>
      <w:r w:rsidR="00AA5300" w:rsidRPr="00ED6612">
        <w:rPr>
          <w:rFonts w:ascii="Arial" w:hAnsi="Arial" w:cs="Arial"/>
          <w:sz w:val="22"/>
        </w:rPr>
        <w:t xml:space="preserve"> were not monetized.</w:t>
      </w:r>
    </w:p>
    <w:p w14:paraId="456045C9" w14:textId="0C22DA4C" w:rsidR="00966481" w:rsidRPr="00ED6612" w:rsidRDefault="00D5511A" w:rsidP="008E3817">
      <w:pPr>
        <w:pStyle w:val="Paragraph"/>
        <w:numPr>
          <w:ilvl w:val="1"/>
          <w:numId w:val="4"/>
        </w:numPr>
        <w:tabs>
          <w:tab w:val="num" w:pos="720"/>
        </w:tabs>
        <w:spacing w:afterLines="80" w:after="192"/>
        <w:ind w:left="720" w:hanging="720"/>
        <w:rPr>
          <w:rFonts w:ascii="Arial" w:hAnsi="Arial" w:cs="Arial"/>
          <w:sz w:val="22"/>
        </w:rPr>
      </w:pPr>
      <w:r w:rsidRPr="00ED6612">
        <w:rPr>
          <w:rFonts w:ascii="Arial" w:hAnsi="Arial" w:cs="Arial"/>
          <w:sz w:val="22"/>
        </w:rPr>
        <w:t>T</w:t>
      </w:r>
      <w:r w:rsidR="00966481" w:rsidRPr="00ED6612">
        <w:rPr>
          <w:rFonts w:ascii="Arial" w:hAnsi="Arial" w:cs="Arial"/>
          <w:sz w:val="22"/>
        </w:rPr>
        <w:t>he sensitivity analysis</w:t>
      </w:r>
      <w:r w:rsidR="004D05A9" w:rsidRPr="00ED6612">
        <w:rPr>
          <w:rFonts w:ascii="Arial" w:hAnsi="Arial" w:cs="Arial"/>
          <w:sz w:val="22"/>
        </w:rPr>
        <w:t xml:space="preserve"> presented in section V</w:t>
      </w:r>
      <w:r w:rsidR="00966481" w:rsidRPr="00ED6612">
        <w:rPr>
          <w:rFonts w:ascii="Arial" w:hAnsi="Arial" w:cs="Arial"/>
          <w:sz w:val="22"/>
        </w:rPr>
        <w:t xml:space="preserve"> </w:t>
      </w:r>
      <w:r w:rsidR="004D05A9" w:rsidRPr="00ED6612">
        <w:rPr>
          <w:rFonts w:ascii="Arial" w:hAnsi="Arial" w:cs="Arial"/>
          <w:sz w:val="22"/>
        </w:rPr>
        <w:t>intends to</w:t>
      </w:r>
      <w:r w:rsidR="00C35234" w:rsidRPr="00ED6612">
        <w:rPr>
          <w:rFonts w:ascii="Arial" w:hAnsi="Arial" w:cs="Arial"/>
          <w:sz w:val="22"/>
        </w:rPr>
        <w:t xml:space="preserve"> </w:t>
      </w:r>
      <w:r w:rsidR="00966481" w:rsidRPr="00ED6612">
        <w:rPr>
          <w:rFonts w:ascii="Arial" w:hAnsi="Arial" w:cs="Arial"/>
          <w:sz w:val="22"/>
        </w:rPr>
        <w:t xml:space="preserve">improve the reliability of the results obtained from the initial assumptions, allowing for </w:t>
      </w:r>
      <w:r w:rsidR="004D05A9" w:rsidRPr="00ED6612">
        <w:rPr>
          <w:rFonts w:ascii="Arial" w:hAnsi="Arial" w:cs="Arial"/>
          <w:sz w:val="22"/>
        </w:rPr>
        <w:t xml:space="preserve">less uncertainty in the presentation </w:t>
      </w:r>
      <w:r w:rsidR="00C35234" w:rsidRPr="00ED6612">
        <w:rPr>
          <w:rFonts w:ascii="Arial" w:hAnsi="Arial" w:cs="Arial"/>
          <w:sz w:val="22"/>
        </w:rPr>
        <w:t>of conclusions</w:t>
      </w:r>
      <w:r w:rsidR="00966481" w:rsidRPr="00ED6612">
        <w:rPr>
          <w:rFonts w:ascii="Arial" w:hAnsi="Arial" w:cs="Arial"/>
          <w:sz w:val="22"/>
        </w:rPr>
        <w:t xml:space="preserve">. No significant risks are observed regarding the sustainability of the </w:t>
      </w:r>
      <w:r w:rsidR="00D11E5F">
        <w:rPr>
          <w:rFonts w:ascii="Arial" w:hAnsi="Arial" w:cs="Arial"/>
          <w:sz w:val="22"/>
        </w:rPr>
        <w:t>project</w:t>
      </w:r>
      <w:r w:rsidR="00966481" w:rsidRPr="00ED6612">
        <w:rPr>
          <w:rFonts w:ascii="Arial" w:hAnsi="Arial" w:cs="Arial"/>
          <w:sz w:val="22"/>
        </w:rPr>
        <w:t xml:space="preserve"> in case reasonable changes occur that may affect the main variables </w:t>
      </w:r>
      <w:r w:rsidR="00C35234" w:rsidRPr="00ED6612">
        <w:rPr>
          <w:rFonts w:ascii="Arial" w:hAnsi="Arial" w:cs="Arial"/>
          <w:sz w:val="22"/>
        </w:rPr>
        <w:t>on which the benefits are based.</w:t>
      </w:r>
    </w:p>
    <w:p w14:paraId="456045CA" w14:textId="00794FF4" w:rsidR="00B625B0" w:rsidRPr="00ED6612" w:rsidRDefault="00966481" w:rsidP="008E3817">
      <w:pPr>
        <w:pStyle w:val="Paragraph"/>
        <w:numPr>
          <w:ilvl w:val="1"/>
          <w:numId w:val="4"/>
        </w:numPr>
        <w:tabs>
          <w:tab w:val="num" w:pos="720"/>
        </w:tabs>
        <w:spacing w:afterLines="80" w:after="192"/>
        <w:ind w:left="720" w:hanging="720"/>
        <w:rPr>
          <w:rFonts w:ascii="Arial" w:hAnsi="Arial" w:cs="Arial"/>
          <w:sz w:val="22"/>
        </w:rPr>
      </w:pPr>
      <w:r w:rsidRPr="00ED6612">
        <w:rPr>
          <w:rFonts w:ascii="Arial" w:hAnsi="Arial" w:cs="Arial"/>
          <w:sz w:val="22"/>
        </w:rPr>
        <w:t xml:space="preserve">In general, </w:t>
      </w:r>
      <w:r w:rsidR="004D05A9" w:rsidRPr="00ED6612">
        <w:rPr>
          <w:rFonts w:ascii="Arial" w:hAnsi="Arial" w:cs="Arial"/>
          <w:sz w:val="22"/>
        </w:rPr>
        <w:t xml:space="preserve">the CBA provides a rational technique for the evaluation of the </w:t>
      </w:r>
      <w:r w:rsidR="00D11E5F">
        <w:rPr>
          <w:rFonts w:ascii="Arial" w:hAnsi="Arial" w:cs="Arial"/>
          <w:sz w:val="22"/>
        </w:rPr>
        <w:t>project</w:t>
      </w:r>
      <w:r w:rsidR="004D05A9" w:rsidRPr="00ED6612">
        <w:rPr>
          <w:rFonts w:ascii="Arial" w:hAnsi="Arial" w:cs="Arial"/>
          <w:sz w:val="22"/>
        </w:rPr>
        <w:t xml:space="preserve"> where some information is either non-existent or deficient. While in some cases it cannot provide precise values, its aim is to support decision-making purposes, and be useful towards the </w:t>
      </w:r>
      <w:r w:rsidR="00D11E5F">
        <w:rPr>
          <w:rFonts w:ascii="Arial" w:hAnsi="Arial" w:cs="Arial"/>
          <w:sz w:val="22"/>
        </w:rPr>
        <w:t>project</w:t>
      </w:r>
      <w:r w:rsidR="004D05A9" w:rsidRPr="00ED6612">
        <w:rPr>
          <w:rFonts w:ascii="Arial" w:hAnsi="Arial" w:cs="Arial"/>
          <w:sz w:val="22"/>
        </w:rPr>
        <w:t xml:space="preserve"> execution. In this sense, the</w:t>
      </w:r>
      <w:r w:rsidRPr="00ED6612">
        <w:rPr>
          <w:rFonts w:ascii="Arial" w:hAnsi="Arial" w:cs="Arial"/>
          <w:sz w:val="22"/>
        </w:rPr>
        <w:t xml:space="preserve"> project team </w:t>
      </w:r>
      <w:r w:rsidR="007C55B9" w:rsidRPr="00ED6612">
        <w:rPr>
          <w:rFonts w:ascii="Arial" w:hAnsi="Arial" w:cs="Arial"/>
          <w:sz w:val="22"/>
        </w:rPr>
        <w:t>considers that</w:t>
      </w:r>
      <w:r w:rsidRPr="00ED6612">
        <w:rPr>
          <w:rFonts w:ascii="Arial" w:hAnsi="Arial" w:cs="Arial"/>
          <w:sz w:val="22"/>
        </w:rPr>
        <w:t xml:space="preserve"> plausible and contrasted assumptions</w:t>
      </w:r>
      <w:r w:rsidR="007C55B9" w:rsidRPr="00ED6612">
        <w:rPr>
          <w:rFonts w:ascii="Arial" w:hAnsi="Arial" w:cs="Arial"/>
          <w:sz w:val="22"/>
        </w:rPr>
        <w:t xml:space="preserve"> have been used</w:t>
      </w:r>
      <w:r w:rsidRPr="00ED6612">
        <w:rPr>
          <w:rFonts w:ascii="Arial" w:hAnsi="Arial" w:cs="Arial"/>
          <w:sz w:val="22"/>
        </w:rPr>
        <w:t xml:space="preserve">, with </w:t>
      </w:r>
      <w:r w:rsidR="007C55B9" w:rsidRPr="00ED6612">
        <w:rPr>
          <w:rFonts w:ascii="Arial" w:hAnsi="Arial" w:cs="Arial"/>
          <w:sz w:val="22"/>
        </w:rPr>
        <w:t xml:space="preserve">an approach that </w:t>
      </w:r>
      <w:r w:rsidR="007C55B9" w:rsidRPr="00ED6612">
        <w:rPr>
          <w:rFonts w:ascii="Arial" w:hAnsi="Arial" w:cs="Arial"/>
          <w:sz w:val="22"/>
        </w:rPr>
        <w:lastRenderedPageBreak/>
        <w:t>is</w:t>
      </w:r>
      <w:r w:rsidRPr="00ED6612">
        <w:rPr>
          <w:rFonts w:ascii="Arial" w:hAnsi="Arial" w:cs="Arial"/>
          <w:sz w:val="22"/>
        </w:rPr>
        <w:t xml:space="preserve"> </w:t>
      </w:r>
      <w:r w:rsidR="00C35234" w:rsidRPr="00ED6612">
        <w:rPr>
          <w:rFonts w:ascii="Arial" w:hAnsi="Arial" w:cs="Arial"/>
          <w:sz w:val="22"/>
        </w:rPr>
        <w:t>rather prudent and conservative</w:t>
      </w:r>
      <w:r w:rsidRPr="00ED6612">
        <w:rPr>
          <w:rFonts w:ascii="Arial" w:hAnsi="Arial" w:cs="Arial"/>
          <w:sz w:val="22"/>
        </w:rPr>
        <w:t xml:space="preserve">, </w:t>
      </w:r>
      <w:r w:rsidR="004D05A9" w:rsidRPr="00ED6612">
        <w:rPr>
          <w:rFonts w:ascii="Arial" w:hAnsi="Arial" w:cs="Arial"/>
          <w:sz w:val="22"/>
        </w:rPr>
        <w:t>and thus</w:t>
      </w:r>
      <w:r w:rsidRPr="00ED6612">
        <w:rPr>
          <w:rFonts w:ascii="Arial" w:hAnsi="Arial" w:cs="Arial"/>
          <w:sz w:val="22"/>
        </w:rPr>
        <w:t xml:space="preserve"> recommends the </w:t>
      </w:r>
      <w:r w:rsidR="007C55B9" w:rsidRPr="00ED6612">
        <w:rPr>
          <w:rFonts w:ascii="Arial" w:hAnsi="Arial" w:cs="Arial"/>
          <w:sz w:val="22"/>
        </w:rPr>
        <w:t>IDB</w:t>
      </w:r>
      <w:r w:rsidRPr="00ED6612">
        <w:rPr>
          <w:rFonts w:ascii="Arial" w:hAnsi="Arial" w:cs="Arial"/>
          <w:sz w:val="22"/>
        </w:rPr>
        <w:t xml:space="preserve"> approves the financing of </w:t>
      </w:r>
      <w:r w:rsidR="00C35234" w:rsidRPr="00ED6612">
        <w:rPr>
          <w:rFonts w:ascii="Arial" w:hAnsi="Arial" w:cs="Arial"/>
          <w:sz w:val="22"/>
        </w:rPr>
        <w:t>the proposed</w:t>
      </w:r>
      <w:r w:rsidRPr="00ED6612">
        <w:rPr>
          <w:rFonts w:ascii="Arial" w:hAnsi="Arial" w:cs="Arial"/>
          <w:sz w:val="22"/>
        </w:rPr>
        <w:t xml:space="preserve"> </w:t>
      </w:r>
      <w:r w:rsidR="00D11E5F">
        <w:rPr>
          <w:rFonts w:ascii="Arial" w:hAnsi="Arial" w:cs="Arial"/>
          <w:sz w:val="22"/>
        </w:rPr>
        <w:t>project</w:t>
      </w:r>
      <w:r w:rsidR="00E5795B" w:rsidRPr="00ED6612">
        <w:rPr>
          <w:rFonts w:ascii="Arial" w:hAnsi="Arial" w:cs="Arial"/>
          <w:sz w:val="22"/>
        </w:rPr>
        <w:t>.</w:t>
      </w:r>
      <w:r w:rsidR="00A55D52" w:rsidRPr="00ED6612">
        <w:rPr>
          <w:rFonts w:ascii="Arial" w:hAnsi="Arial" w:cs="Arial"/>
          <w:sz w:val="22"/>
        </w:rPr>
        <w:t xml:space="preserve"> </w:t>
      </w:r>
    </w:p>
    <w:p w14:paraId="456045CB" w14:textId="77777777" w:rsidR="00447431" w:rsidRPr="00ED6612" w:rsidRDefault="00447431">
      <w:pPr>
        <w:rPr>
          <w:rFonts w:ascii="Arial" w:hAnsi="Arial" w:cs="Arial"/>
          <w:szCs w:val="24"/>
        </w:rPr>
      </w:pPr>
      <w:bookmarkStart w:id="44" w:name="_Hlk503455268"/>
      <w:r w:rsidRPr="00ED6612">
        <w:rPr>
          <w:rFonts w:ascii="Arial" w:hAnsi="Arial" w:cs="Arial"/>
          <w:szCs w:val="24"/>
        </w:rPr>
        <w:br w:type="page"/>
      </w:r>
    </w:p>
    <w:p w14:paraId="456045CC" w14:textId="77777777" w:rsidR="00447431" w:rsidRPr="00ED6612" w:rsidRDefault="00447431" w:rsidP="003E0E63">
      <w:pPr>
        <w:rPr>
          <w:rFonts w:ascii="Arial" w:hAnsi="Arial" w:cs="Arial"/>
          <w:b/>
          <w:szCs w:val="24"/>
          <w:u w:val="single"/>
        </w:rPr>
      </w:pPr>
      <w:r w:rsidRPr="00ED6612">
        <w:rPr>
          <w:rFonts w:ascii="Arial" w:hAnsi="Arial" w:cs="Arial"/>
          <w:b/>
          <w:szCs w:val="24"/>
          <w:u w:val="single"/>
        </w:rPr>
        <w:lastRenderedPageBreak/>
        <w:t>Annex I.- Marginal cost of generation analysis</w:t>
      </w:r>
    </w:p>
    <w:p w14:paraId="456045CD" w14:textId="77777777" w:rsidR="00447431" w:rsidRPr="00ED6612" w:rsidRDefault="00447431" w:rsidP="008E3817">
      <w:pPr>
        <w:pStyle w:val="ListParagraph"/>
        <w:numPr>
          <w:ilvl w:val="0"/>
          <w:numId w:val="9"/>
        </w:numPr>
        <w:rPr>
          <w:rFonts w:ascii="Arial" w:hAnsi="Arial" w:cs="Arial"/>
        </w:rPr>
      </w:pPr>
      <w:r w:rsidRPr="00ED6612">
        <w:rPr>
          <w:rFonts w:ascii="Arial" w:hAnsi="Arial" w:cs="Arial"/>
          <w:b/>
        </w:rPr>
        <w:t>Thermal power generation and fuel consumption for the power sector</w:t>
      </w:r>
      <w:r w:rsidRPr="00ED6612">
        <w:rPr>
          <w:rFonts w:ascii="Arial" w:hAnsi="Arial" w:cs="Arial"/>
        </w:rPr>
        <w:t>.</w:t>
      </w:r>
    </w:p>
    <w:p w14:paraId="456045CE" w14:textId="77777777" w:rsidR="00447431" w:rsidRPr="00ED6612" w:rsidRDefault="00447431" w:rsidP="00077235">
      <w:pPr>
        <w:spacing w:after="120" w:line="240" w:lineRule="auto"/>
        <w:jc w:val="both"/>
        <w:rPr>
          <w:rFonts w:ascii="Arial" w:hAnsi="Arial" w:cs="Arial"/>
        </w:rPr>
      </w:pPr>
      <w:r w:rsidRPr="00ED6612">
        <w:rPr>
          <w:rFonts w:ascii="Arial" w:hAnsi="Arial" w:cs="Arial"/>
        </w:rPr>
        <w:t>Two thirds of electricity in Argentina is generated from fossil fuels, mainly natural gas. However, given that the availability of natural gas is not sufficient to meet the requirements of thermal generation plants, part of the power is generated from liquid fuels derived from petroleum, Fuel Oil and Gas Oil (diesel), which are more expensive than natural gas. The following graphs show, on the left, the matrix of total generation in GWh for 2016 and on the right, the share of each fuel in thermal generation. Fuel Oil and Gas Oil accounts 11% each of the thermal generation, which is equivalent to 7.6% of the total electricity demand.</w:t>
      </w:r>
    </w:p>
    <w:p w14:paraId="456045CF" w14:textId="77777777" w:rsidR="00447431" w:rsidRPr="00ED6612" w:rsidRDefault="00447431" w:rsidP="0006739F">
      <w:pPr>
        <w:jc w:val="center"/>
      </w:pPr>
      <w:r w:rsidRPr="00ED6612">
        <w:rPr>
          <w:noProof/>
        </w:rPr>
        <w:drawing>
          <wp:inline distT="0" distB="0" distL="0" distR="0" wp14:anchorId="45604669" wp14:editId="4560466A">
            <wp:extent cx="3752850" cy="2319337"/>
            <wp:effectExtent l="0" t="0" r="0" b="5080"/>
            <wp:docPr id="2" name="Chart 2">
              <a:extLst xmlns:a="http://schemas.openxmlformats.org/drawingml/2006/main">
                <a:ext uri="{FF2B5EF4-FFF2-40B4-BE49-F238E27FC236}">
                  <a16:creationId xmlns:a16="http://schemas.microsoft.com/office/drawing/2014/main" id="{F49E1A47-BE87-4C5C-A31A-008861D9298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r w:rsidRPr="00ED6612">
        <w:rPr>
          <w:noProof/>
        </w:rPr>
        <w:drawing>
          <wp:inline distT="0" distB="0" distL="0" distR="0" wp14:anchorId="4560466B" wp14:editId="4560466C">
            <wp:extent cx="3767138" cy="2309813"/>
            <wp:effectExtent l="0" t="0" r="5080" b="14605"/>
            <wp:docPr id="16" name="Chart 16">
              <a:extLst xmlns:a="http://schemas.openxmlformats.org/drawingml/2006/main">
                <a:ext uri="{FF2B5EF4-FFF2-40B4-BE49-F238E27FC236}">
                  <a16:creationId xmlns:a16="http://schemas.microsoft.com/office/drawing/2014/main" id="{97A5A276-220D-473F-8459-197EA9D0C63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456045D0" w14:textId="77777777" w:rsidR="00447431" w:rsidRPr="00ED6612" w:rsidRDefault="00447431" w:rsidP="008E3817">
      <w:pPr>
        <w:pStyle w:val="ListParagraph"/>
        <w:numPr>
          <w:ilvl w:val="0"/>
          <w:numId w:val="9"/>
        </w:numPr>
        <w:rPr>
          <w:rFonts w:ascii="Arial" w:hAnsi="Arial" w:cs="Arial"/>
          <w:b/>
        </w:rPr>
      </w:pPr>
      <w:r w:rsidRPr="00ED6612">
        <w:rPr>
          <w:rFonts w:ascii="Arial" w:hAnsi="Arial" w:cs="Arial"/>
          <w:b/>
        </w:rPr>
        <w:t>Generation cost</w:t>
      </w:r>
    </w:p>
    <w:p w14:paraId="456045D1" w14:textId="77777777" w:rsidR="00447431" w:rsidRPr="00ED6612" w:rsidRDefault="00447431" w:rsidP="00077235">
      <w:pPr>
        <w:spacing w:after="120" w:line="240" w:lineRule="auto"/>
        <w:jc w:val="both"/>
        <w:rPr>
          <w:rFonts w:ascii="Arial" w:hAnsi="Arial" w:cs="Arial"/>
        </w:rPr>
      </w:pPr>
      <w:r w:rsidRPr="00ED6612">
        <w:rPr>
          <w:rFonts w:ascii="Arial" w:hAnsi="Arial" w:cs="Arial"/>
        </w:rPr>
        <w:t xml:space="preserve">According to the operation rules of the energy dispatch process to supply the demand for electricity, the plants are dispatched in ascending order according to their variable generation costs, associated mainly with the fuel cost in hourly basis, (short-term). In this way the hydraulic power plants are dispatched first, given their marginal cost close to zero, then the plants based on natural gas and finally those with liquid fuels, fuel oil and gas oil. In the case of Argentina, several power plants are able to generate with either natural gas or liquid fuel, which depends on the availability of the former. The marginal cost </w:t>
      </w:r>
      <w:r w:rsidRPr="00ED6612">
        <w:rPr>
          <w:rFonts w:ascii="Arial" w:hAnsi="Arial" w:cs="Arial"/>
        </w:rPr>
        <w:lastRenderedPageBreak/>
        <w:t>corresponds to the cost of the last unit dispatched to meet the demand. In the case of Argentina, during the summer in some hours the last unit required to generate operates with Gas Oil, but in the winter gas oil is required during the whole day, given the decrease in the availability of natural gas for the power sector, which is used mainly for heating</w:t>
      </w:r>
      <w:r w:rsidRPr="00ED6612">
        <w:rPr>
          <w:rStyle w:val="FootnoteReference"/>
          <w:rFonts w:ascii="Arial" w:hAnsi="Arial" w:cs="Arial"/>
        </w:rPr>
        <w:footnoteReference w:id="32"/>
      </w:r>
      <w:r w:rsidRPr="00ED6612">
        <w:rPr>
          <w:rFonts w:ascii="Arial" w:hAnsi="Arial" w:cs="Arial"/>
        </w:rPr>
        <w:t>. Then, Gas Oil is the most expensive fuel to be replace by cheaper technologies along the whole year for power generation. Based on the Gas Oil cost, the equivalent marginal cost for electricity is calculated for the period of time of analysis, through a linear regression. The resulting average marginal cost is 175 US</w:t>
      </w:r>
      <w:r w:rsidR="00FA2A64" w:rsidRPr="00ED6612">
        <w:rPr>
          <w:rFonts w:ascii="Arial" w:hAnsi="Arial" w:cs="Arial"/>
        </w:rPr>
        <w:t>$</w:t>
      </w:r>
      <w:r w:rsidRPr="00ED6612">
        <w:rPr>
          <w:rFonts w:ascii="Arial" w:hAnsi="Arial" w:cs="Arial"/>
        </w:rPr>
        <w:t>/MWh. The second graph shows the historic Gas Oil price and the estimated electricity cost.</w:t>
      </w:r>
    </w:p>
    <w:p w14:paraId="456045D2" w14:textId="77777777" w:rsidR="00447431" w:rsidRPr="00ED6612" w:rsidRDefault="00447431" w:rsidP="00447431">
      <w:pPr>
        <w:jc w:val="center"/>
      </w:pPr>
      <w:r w:rsidRPr="00ED6612">
        <w:rPr>
          <w:noProof/>
        </w:rPr>
        <w:drawing>
          <wp:inline distT="0" distB="0" distL="0" distR="0" wp14:anchorId="4560466D" wp14:editId="4560466E">
            <wp:extent cx="4743450" cy="1962150"/>
            <wp:effectExtent l="0" t="0" r="0" b="0"/>
            <wp:docPr id="20" name="Chart 20">
              <a:extLst xmlns:a="http://schemas.openxmlformats.org/drawingml/2006/main">
                <a:ext uri="{FF2B5EF4-FFF2-40B4-BE49-F238E27FC236}">
                  <a16:creationId xmlns:a16="http://schemas.microsoft.com/office/drawing/2014/main" id="{CA6F7EF2-1B9B-43FD-BE61-D0BCC41548C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456045D3" w14:textId="77777777" w:rsidR="00447431" w:rsidRPr="00ED6612" w:rsidRDefault="00447431" w:rsidP="00447431">
      <w:pPr>
        <w:jc w:val="center"/>
      </w:pPr>
      <w:r w:rsidRPr="00ED6612">
        <w:rPr>
          <w:noProof/>
        </w:rPr>
        <w:drawing>
          <wp:inline distT="0" distB="0" distL="0" distR="0" wp14:anchorId="4560466F" wp14:editId="45604670">
            <wp:extent cx="4686300" cy="2565400"/>
            <wp:effectExtent l="0" t="0" r="0" b="6350"/>
            <wp:docPr id="3" name="Chart 3">
              <a:extLst xmlns:a="http://schemas.openxmlformats.org/drawingml/2006/main">
                <a:ext uri="{FF2B5EF4-FFF2-40B4-BE49-F238E27FC236}">
                  <a16:creationId xmlns:a16="http://schemas.microsoft.com/office/drawing/2014/main" id="{A0EB1B97-F0E7-44EA-9F1F-FB5C84F874F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456045D4" w14:textId="77777777" w:rsidR="00447431" w:rsidRPr="00ED6612" w:rsidRDefault="00447431" w:rsidP="008E3817">
      <w:pPr>
        <w:pStyle w:val="ListParagraph"/>
        <w:numPr>
          <w:ilvl w:val="0"/>
          <w:numId w:val="9"/>
        </w:numPr>
        <w:rPr>
          <w:rFonts w:ascii="Arial" w:hAnsi="Arial" w:cs="Arial"/>
          <w:b/>
        </w:rPr>
      </w:pPr>
      <w:r w:rsidRPr="00ED6612">
        <w:rPr>
          <w:rFonts w:ascii="Arial" w:hAnsi="Arial" w:cs="Arial"/>
          <w:b/>
        </w:rPr>
        <w:t>Fuel price vari</w:t>
      </w:r>
      <w:r w:rsidR="0039020B" w:rsidRPr="00ED6612">
        <w:rPr>
          <w:rFonts w:ascii="Arial" w:hAnsi="Arial" w:cs="Arial"/>
          <w:b/>
        </w:rPr>
        <w:t>a</w:t>
      </w:r>
      <w:r w:rsidRPr="00ED6612">
        <w:rPr>
          <w:rFonts w:ascii="Arial" w:hAnsi="Arial" w:cs="Arial"/>
          <w:b/>
        </w:rPr>
        <w:t>bility</w:t>
      </w:r>
    </w:p>
    <w:p w14:paraId="456045D5" w14:textId="77777777" w:rsidR="00447431" w:rsidRPr="00ED6612" w:rsidRDefault="00447431" w:rsidP="00077235">
      <w:pPr>
        <w:spacing w:after="120" w:line="240" w:lineRule="auto"/>
        <w:jc w:val="both"/>
        <w:rPr>
          <w:rFonts w:ascii="Arial" w:hAnsi="Arial" w:cs="Arial"/>
        </w:rPr>
      </w:pPr>
      <w:r w:rsidRPr="00ED6612">
        <w:rPr>
          <w:rFonts w:ascii="Arial" w:hAnsi="Arial" w:cs="Arial"/>
        </w:rPr>
        <w:t xml:space="preserve">The costs of liquid fuels vary according to the price of a barrel of oil in the international market. Given that the most expensive generation units in Argentine system operates with Gas Oil, which supplies close to 7.6% of the total demand, the gas oil price variation is considered for an alternative scenario of marginal cost (to test the sensitivity of the analysis to this parameter). The following table shows main statistics for the gas oil historic price, analyzed in a period of thirteen years between 2005 and 2017, with an average </w:t>
      </w:r>
      <w:r w:rsidRPr="00ED6612">
        <w:rPr>
          <w:rFonts w:ascii="Arial" w:hAnsi="Arial" w:cs="Arial"/>
        </w:rPr>
        <w:lastRenderedPageBreak/>
        <w:t>value of 2.23 US</w:t>
      </w:r>
      <w:r w:rsidR="00A43383" w:rsidRPr="00ED6612">
        <w:rPr>
          <w:rFonts w:ascii="Arial" w:hAnsi="Arial" w:cs="Arial"/>
        </w:rPr>
        <w:t>$</w:t>
      </w:r>
      <w:r w:rsidRPr="00ED6612">
        <w:rPr>
          <w:rFonts w:ascii="Arial" w:hAnsi="Arial" w:cs="Arial"/>
        </w:rPr>
        <w:t>/gallon and a standard deviation of 0.62 US</w:t>
      </w:r>
      <w:r w:rsidR="00A43383" w:rsidRPr="00ED6612">
        <w:rPr>
          <w:rFonts w:ascii="Arial" w:hAnsi="Arial" w:cs="Arial"/>
        </w:rPr>
        <w:t>$</w:t>
      </w:r>
      <w:r w:rsidRPr="00ED6612">
        <w:rPr>
          <w:rFonts w:ascii="Arial" w:hAnsi="Arial" w:cs="Arial"/>
        </w:rPr>
        <w:t>/gallon, corresponding to a 27.7% variation</w:t>
      </w:r>
      <w:r w:rsidRPr="00ED6612">
        <w:rPr>
          <w:rStyle w:val="FootnoteReference"/>
          <w:rFonts w:ascii="Arial" w:hAnsi="Arial" w:cs="Arial"/>
        </w:rPr>
        <w:footnoteReference w:id="33"/>
      </w:r>
      <w:r w:rsidRPr="00ED6612">
        <w:rPr>
          <w:rFonts w:ascii="Arial" w:hAnsi="Arial" w:cs="Arial"/>
        </w:rPr>
        <w:t>.</w:t>
      </w:r>
    </w:p>
    <w:p w14:paraId="456045D6" w14:textId="77777777" w:rsidR="00447431" w:rsidRPr="00ED6612" w:rsidRDefault="00447431" w:rsidP="00447431">
      <w:pPr>
        <w:jc w:val="center"/>
      </w:pPr>
      <w:r w:rsidRPr="00ED6612">
        <w:rPr>
          <w:rFonts w:ascii="Arial" w:hAnsi="Arial" w:cs="Arial"/>
          <w:noProof/>
        </w:rPr>
        <w:drawing>
          <wp:inline distT="0" distB="0" distL="0" distR="0" wp14:anchorId="45604671" wp14:editId="45604672">
            <wp:extent cx="2375949" cy="2470150"/>
            <wp:effectExtent l="0" t="0" r="5715" b="63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377071" cy="2471317"/>
                    </a:xfrm>
                    <a:prstGeom prst="rect">
                      <a:avLst/>
                    </a:prstGeom>
                    <a:noFill/>
                    <a:ln>
                      <a:noFill/>
                    </a:ln>
                  </pic:spPr>
                </pic:pic>
              </a:graphicData>
            </a:graphic>
          </wp:inline>
        </w:drawing>
      </w:r>
    </w:p>
    <w:p w14:paraId="456045D7" w14:textId="77777777" w:rsidR="00447431" w:rsidRPr="00ED6612" w:rsidRDefault="00447431" w:rsidP="008E3817">
      <w:pPr>
        <w:pStyle w:val="ListParagraph"/>
        <w:numPr>
          <w:ilvl w:val="0"/>
          <w:numId w:val="9"/>
        </w:numPr>
        <w:rPr>
          <w:rFonts w:ascii="Arial" w:hAnsi="Arial" w:cs="Arial"/>
          <w:b/>
        </w:rPr>
      </w:pPr>
      <w:r w:rsidRPr="00ED6612">
        <w:rPr>
          <w:rFonts w:ascii="Arial" w:hAnsi="Arial" w:cs="Arial"/>
          <w:b/>
        </w:rPr>
        <w:t>Reference price for the economic analysis and sensitivity analysis.</w:t>
      </w:r>
    </w:p>
    <w:p w14:paraId="456045D8" w14:textId="77777777" w:rsidR="00447431" w:rsidRPr="00ED6612" w:rsidRDefault="00447431" w:rsidP="007E4FA7">
      <w:pPr>
        <w:spacing w:line="240" w:lineRule="auto"/>
        <w:jc w:val="both"/>
        <w:rPr>
          <w:rFonts w:ascii="Arial" w:hAnsi="Arial" w:cs="Arial"/>
        </w:rPr>
      </w:pPr>
      <w:r w:rsidRPr="00ED6612">
        <w:rPr>
          <w:rFonts w:ascii="Arial" w:hAnsi="Arial" w:cs="Arial"/>
        </w:rPr>
        <w:t xml:space="preserve">It is considered that the cost of generation is defined by the most expensive unit according to </w:t>
      </w:r>
      <w:r w:rsidR="00077235" w:rsidRPr="00ED6612">
        <w:rPr>
          <w:rFonts w:ascii="Arial" w:hAnsi="Arial" w:cs="Arial"/>
        </w:rPr>
        <w:t>S</w:t>
      </w:r>
      <w:r w:rsidRPr="00ED6612">
        <w:rPr>
          <w:rFonts w:ascii="Arial" w:hAnsi="Arial" w:cs="Arial"/>
        </w:rPr>
        <w:t>ection 3, which works with Gas Oil, so its variable costs will be associated with this fuel. The period from 2005 to 2017 is taken as reference range, where the variation in fuel prices is 27</w:t>
      </w:r>
      <w:r w:rsidR="00077235" w:rsidRPr="00ED6612">
        <w:rPr>
          <w:rFonts w:ascii="Arial" w:hAnsi="Arial" w:cs="Arial"/>
        </w:rPr>
        <w:t>.</w:t>
      </w:r>
      <w:r w:rsidRPr="00ED6612">
        <w:rPr>
          <w:rFonts w:ascii="Arial" w:hAnsi="Arial" w:cs="Arial"/>
        </w:rPr>
        <w:t xml:space="preserve">7%, with an average of </w:t>
      </w:r>
      <w:r w:rsidR="00077235" w:rsidRPr="00ED6612">
        <w:rPr>
          <w:rFonts w:ascii="Arial" w:hAnsi="Arial" w:cs="Arial"/>
        </w:rPr>
        <w:t>US$</w:t>
      </w:r>
      <w:r w:rsidRPr="00ED6612">
        <w:rPr>
          <w:rFonts w:ascii="Arial" w:hAnsi="Arial" w:cs="Arial"/>
        </w:rPr>
        <w:t>2.3 per gallon. This value will be used as a reference for the economic analysis period applying a sensitivity analysis in a range of +/- 27.7%.</w:t>
      </w:r>
    </w:p>
    <w:p w14:paraId="456045D9" w14:textId="77777777" w:rsidR="00447431" w:rsidRPr="00ED6612" w:rsidRDefault="00447431" w:rsidP="00447431">
      <w:pPr>
        <w:jc w:val="both"/>
      </w:pPr>
    </w:p>
    <w:p w14:paraId="456045DA" w14:textId="77777777" w:rsidR="00447431" w:rsidRPr="00ED6612" w:rsidRDefault="00447431" w:rsidP="003E0E63">
      <w:pPr>
        <w:rPr>
          <w:rFonts w:ascii="Arial" w:hAnsi="Arial" w:cs="Arial"/>
          <w:szCs w:val="24"/>
        </w:rPr>
        <w:sectPr w:rsidR="00447431" w:rsidRPr="00ED6612" w:rsidSect="00A43383">
          <w:headerReference w:type="default" r:id="rId21"/>
          <w:pgSz w:w="12240" w:h="15840" w:code="1"/>
          <w:pgMar w:top="1440" w:right="1800" w:bottom="1440" w:left="1800" w:header="720" w:footer="720" w:gutter="0"/>
          <w:pgNumType w:start="1"/>
          <w:cols w:space="720"/>
          <w:titlePg/>
          <w:docGrid w:linePitch="360"/>
        </w:sectPr>
      </w:pPr>
    </w:p>
    <w:bookmarkEnd w:id="44"/>
    <w:p w14:paraId="456045DB" w14:textId="191A53FF" w:rsidR="0039595E" w:rsidRPr="00ED6612" w:rsidRDefault="003512C5" w:rsidP="005417DA">
      <w:pPr>
        <w:pStyle w:val="Paragraph"/>
        <w:tabs>
          <w:tab w:val="clear" w:pos="720"/>
          <w:tab w:val="num" w:pos="1800"/>
        </w:tabs>
        <w:spacing w:afterLines="80" w:after="192"/>
        <w:ind w:left="0" w:firstLine="0"/>
        <w:rPr>
          <w:rFonts w:ascii="Arial" w:hAnsi="Arial" w:cs="Arial"/>
          <w:szCs w:val="24"/>
          <w:u w:val="single"/>
        </w:rPr>
      </w:pPr>
      <w:r w:rsidRPr="00ED6612">
        <w:rPr>
          <w:rFonts w:ascii="Arial" w:hAnsi="Arial" w:cs="Arial"/>
          <w:szCs w:val="24"/>
          <w:u w:val="single"/>
        </w:rPr>
        <w:lastRenderedPageBreak/>
        <w:t xml:space="preserve">Annex </w:t>
      </w:r>
      <w:r w:rsidR="00447431" w:rsidRPr="00ED6612">
        <w:rPr>
          <w:rFonts w:ascii="Arial" w:hAnsi="Arial" w:cs="Arial"/>
          <w:szCs w:val="24"/>
          <w:u w:val="single"/>
        </w:rPr>
        <w:t>I</w:t>
      </w:r>
      <w:r w:rsidRPr="00ED6612">
        <w:rPr>
          <w:rFonts w:ascii="Arial" w:hAnsi="Arial" w:cs="Arial"/>
          <w:szCs w:val="24"/>
          <w:u w:val="single"/>
        </w:rPr>
        <w:t xml:space="preserve">I. Detailed </w:t>
      </w:r>
      <w:r w:rsidR="00EA595B" w:rsidRPr="00ED6612">
        <w:rPr>
          <w:rFonts w:ascii="Arial" w:hAnsi="Arial" w:cs="Arial"/>
          <w:szCs w:val="24"/>
          <w:u w:val="single"/>
        </w:rPr>
        <w:t xml:space="preserve">calculations </w:t>
      </w:r>
      <w:r w:rsidR="0039595E" w:rsidRPr="00ED6612">
        <w:rPr>
          <w:rFonts w:ascii="Arial" w:hAnsi="Arial" w:cs="Arial"/>
          <w:szCs w:val="24"/>
          <w:u w:val="single"/>
        </w:rPr>
        <w:t>(</w:t>
      </w:r>
      <w:r w:rsidR="00D11E5F">
        <w:rPr>
          <w:rFonts w:ascii="Arial" w:hAnsi="Arial" w:cs="Arial"/>
          <w:szCs w:val="24"/>
          <w:u w:val="single"/>
        </w:rPr>
        <w:t>project</w:t>
      </w:r>
      <w:r w:rsidRPr="00ED6612">
        <w:rPr>
          <w:rFonts w:ascii="Arial" w:hAnsi="Arial" w:cs="Arial"/>
          <w:szCs w:val="24"/>
          <w:u w:val="single"/>
        </w:rPr>
        <w:t xml:space="preserve"> cash flows</w:t>
      </w:r>
      <w:r w:rsidR="0039595E" w:rsidRPr="00ED6612">
        <w:rPr>
          <w:rFonts w:ascii="Arial" w:hAnsi="Arial" w:cs="Arial"/>
          <w:szCs w:val="24"/>
          <w:u w:val="single"/>
        </w:rPr>
        <w:t>)</w:t>
      </w:r>
    </w:p>
    <w:p w14:paraId="456045DC" w14:textId="77777777" w:rsidR="006D07E5" w:rsidRPr="00ED6612" w:rsidRDefault="00F02E7F" w:rsidP="00A33B24">
      <w:pPr>
        <w:pStyle w:val="Paragraph"/>
        <w:tabs>
          <w:tab w:val="clear" w:pos="720"/>
          <w:tab w:val="num" w:pos="1800"/>
        </w:tabs>
        <w:spacing w:after="40"/>
        <w:ind w:left="0" w:firstLine="0"/>
        <w:rPr>
          <w:rFonts w:ascii="Arial" w:hAnsi="Arial" w:cs="Arial"/>
          <w:szCs w:val="24"/>
        </w:rPr>
      </w:pPr>
      <w:r w:rsidRPr="00ED6612">
        <w:rPr>
          <w:noProof/>
        </w:rPr>
        <w:drawing>
          <wp:inline distT="0" distB="0" distL="0" distR="0" wp14:anchorId="45604673" wp14:editId="45604674">
            <wp:extent cx="8590052" cy="2767013"/>
            <wp:effectExtent l="0" t="0" r="190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8601530" cy="2770710"/>
                    </a:xfrm>
                    <a:prstGeom prst="rect">
                      <a:avLst/>
                    </a:prstGeom>
                    <a:noFill/>
                    <a:ln>
                      <a:noFill/>
                    </a:ln>
                  </pic:spPr>
                </pic:pic>
              </a:graphicData>
            </a:graphic>
          </wp:inline>
        </w:drawing>
      </w:r>
    </w:p>
    <w:p w14:paraId="456045DD" w14:textId="5388256F" w:rsidR="00AC47DE" w:rsidRPr="00ED6612" w:rsidRDefault="006E484E" w:rsidP="00A33B24">
      <w:pPr>
        <w:pStyle w:val="Paragraph"/>
        <w:tabs>
          <w:tab w:val="clear" w:pos="720"/>
        </w:tabs>
        <w:spacing w:before="0" w:afterLines="80" w:after="192"/>
        <w:ind w:left="0" w:right="-634" w:firstLine="0"/>
        <w:rPr>
          <w:rFonts w:ascii="Arial" w:hAnsi="Arial" w:cs="Arial"/>
          <w:sz w:val="16"/>
          <w:szCs w:val="16"/>
        </w:rPr>
      </w:pPr>
      <w:r w:rsidRPr="00ED6612">
        <w:rPr>
          <w:rFonts w:ascii="Arial" w:hAnsi="Arial" w:cs="Arial"/>
          <w:sz w:val="16"/>
          <w:szCs w:val="16"/>
        </w:rPr>
        <w:t xml:space="preserve">Notes: Total investment includes financing from the </w:t>
      </w:r>
      <w:r w:rsidR="00D11E5F">
        <w:rPr>
          <w:rFonts w:ascii="Arial" w:hAnsi="Arial" w:cs="Arial"/>
          <w:sz w:val="16"/>
          <w:szCs w:val="16"/>
        </w:rPr>
        <w:t>project</w:t>
      </w:r>
      <w:r w:rsidRPr="00ED6612">
        <w:rPr>
          <w:rFonts w:ascii="Arial" w:hAnsi="Arial" w:cs="Arial"/>
          <w:sz w:val="16"/>
          <w:szCs w:val="16"/>
        </w:rPr>
        <w:t xml:space="preserve"> (US$160 million) plus equity provided by beneficiary firms (up to US$67 million), based on an assumed loan-to-equity value of 70/30. The total amount of TC funding from AR-T1213 is included as a cost (distributed from Y0 through Y3), as activities included in this TC are considered essential to the successful implementation of the projects financed. Technologies included under each category of project, as well as number of projects and schedule of disbursements are based on relevant information collected from BICE, the local market and studies related to the potential for EE in Argentina. These were established for the purpose of this analysis and should only be taken as indicative (the number and type of projects included do not constitute a committed portfolio for the </w:t>
      </w:r>
      <w:r w:rsidR="00D11E5F">
        <w:rPr>
          <w:rFonts w:ascii="Arial" w:hAnsi="Arial" w:cs="Arial"/>
          <w:sz w:val="16"/>
          <w:szCs w:val="16"/>
        </w:rPr>
        <w:t>project</w:t>
      </w:r>
      <w:r w:rsidRPr="00ED6612">
        <w:rPr>
          <w:rFonts w:ascii="Arial" w:hAnsi="Arial" w:cs="Arial"/>
          <w:sz w:val="16"/>
          <w:szCs w:val="16"/>
        </w:rPr>
        <w:t>).</w:t>
      </w:r>
    </w:p>
    <w:p w14:paraId="456045DE" w14:textId="77777777" w:rsidR="000308F1" w:rsidRPr="00ED6612" w:rsidRDefault="000308F1" w:rsidP="00A33B24">
      <w:pPr>
        <w:pStyle w:val="Paragraph"/>
        <w:tabs>
          <w:tab w:val="clear" w:pos="720"/>
        </w:tabs>
        <w:spacing w:before="0" w:afterLines="80" w:after="192"/>
        <w:ind w:left="0" w:right="-634" w:firstLine="0"/>
        <w:rPr>
          <w:rFonts w:ascii="Arial" w:hAnsi="Arial" w:cs="Arial"/>
          <w:b/>
          <w:sz w:val="20"/>
          <w:szCs w:val="24"/>
        </w:rPr>
      </w:pPr>
      <w:r w:rsidRPr="00ED6612">
        <w:rPr>
          <w:rFonts w:ascii="Arial" w:hAnsi="Arial" w:cs="Arial"/>
          <w:b/>
          <w:sz w:val="20"/>
          <w:szCs w:val="24"/>
        </w:rPr>
        <w:t xml:space="preserve">Main values </w:t>
      </w:r>
      <w:r w:rsidR="00E535E3" w:rsidRPr="00ED6612">
        <w:rPr>
          <w:rFonts w:ascii="Arial" w:hAnsi="Arial" w:cs="Arial"/>
          <w:b/>
          <w:sz w:val="20"/>
          <w:szCs w:val="24"/>
        </w:rPr>
        <w:t>and formulas used in the analysis</w:t>
      </w:r>
    </w:p>
    <w:tbl>
      <w:tblPr>
        <w:tblW w:w="8991" w:type="dxa"/>
        <w:tblLook w:val="04A0" w:firstRow="1" w:lastRow="0" w:firstColumn="1" w:lastColumn="0" w:noHBand="0" w:noVBand="1"/>
      </w:tblPr>
      <w:tblGrid>
        <w:gridCol w:w="4268"/>
        <w:gridCol w:w="977"/>
        <w:gridCol w:w="1500"/>
        <w:gridCol w:w="909"/>
        <w:gridCol w:w="1337"/>
      </w:tblGrid>
      <w:tr w:rsidR="000308F1" w:rsidRPr="00ED6612" w14:paraId="456045E2" w14:textId="77777777" w:rsidTr="007E6A55">
        <w:trPr>
          <w:trHeight w:val="263"/>
        </w:trPr>
        <w:tc>
          <w:tcPr>
            <w:tcW w:w="4268"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14:paraId="456045DF" w14:textId="77777777" w:rsidR="000308F1" w:rsidRPr="00ED6612" w:rsidRDefault="00B55CF9" w:rsidP="000308F1">
            <w:pPr>
              <w:spacing w:after="0" w:line="240" w:lineRule="auto"/>
              <w:rPr>
                <w:rFonts w:ascii="Arial" w:eastAsia="Times New Roman" w:hAnsi="Arial" w:cs="Arial"/>
                <w:b/>
                <w:bCs/>
                <w:sz w:val="18"/>
                <w:szCs w:val="18"/>
              </w:rPr>
            </w:pPr>
            <w:r w:rsidRPr="00ED6612">
              <w:rPr>
                <w:rFonts w:ascii="Arial" w:eastAsia="Times New Roman" w:hAnsi="Arial" w:cs="Arial"/>
                <w:b/>
                <w:bCs/>
                <w:sz w:val="18"/>
                <w:szCs w:val="18"/>
              </w:rPr>
              <w:t>P</w:t>
            </w:r>
            <w:r w:rsidR="000308F1" w:rsidRPr="00ED6612">
              <w:rPr>
                <w:rFonts w:ascii="Arial" w:eastAsia="Times New Roman" w:hAnsi="Arial" w:cs="Arial"/>
                <w:b/>
                <w:bCs/>
                <w:sz w:val="18"/>
                <w:szCs w:val="18"/>
              </w:rPr>
              <w:t>arameters</w:t>
            </w:r>
          </w:p>
        </w:tc>
        <w:tc>
          <w:tcPr>
            <w:tcW w:w="2477"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14:paraId="456045E0" w14:textId="77777777" w:rsidR="000308F1" w:rsidRPr="00ED6612" w:rsidRDefault="000308F1" w:rsidP="000308F1">
            <w:pPr>
              <w:spacing w:after="0" w:line="240" w:lineRule="auto"/>
              <w:jc w:val="center"/>
              <w:rPr>
                <w:rFonts w:ascii="Arial" w:eastAsia="Times New Roman" w:hAnsi="Arial" w:cs="Arial"/>
                <w:b/>
                <w:bCs/>
                <w:sz w:val="18"/>
                <w:szCs w:val="18"/>
              </w:rPr>
            </w:pPr>
            <w:r w:rsidRPr="00ED6612">
              <w:rPr>
                <w:rFonts w:ascii="Arial" w:eastAsia="Times New Roman" w:hAnsi="Arial" w:cs="Arial"/>
                <w:b/>
                <w:bCs/>
                <w:sz w:val="18"/>
                <w:szCs w:val="18"/>
              </w:rPr>
              <w:t>RE (biogas/biomass)</w:t>
            </w:r>
          </w:p>
        </w:tc>
        <w:tc>
          <w:tcPr>
            <w:tcW w:w="224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14:paraId="456045E1" w14:textId="77777777" w:rsidR="000308F1" w:rsidRPr="00ED6612" w:rsidRDefault="000308F1" w:rsidP="000308F1">
            <w:pPr>
              <w:spacing w:after="0" w:line="240" w:lineRule="auto"/>
              <w:jc w:val="center"/>
              <w:rPr>
                <w:rFonts w:ascii="Arial" w:eastAsia="Times New Roman" w:hAnsi="Arial" w:cs="Arial"/>
                <w:b/>
                <w:bCs/>
                <w:sz w:val="18"/>
                <w:szCs w:val="18"/>
              </w:rPr>
            </w:pPr>
            <w:r w:rsidRPr="00ED6612">
              <w:rPr>
                <w:rFonts w:ascii="Arial" w:eastAsia="Times New Roman" w:hAnsi="Arial" w:cs="Arial"/>
                <w:b/>
                <w:bCs/>
                <w:sz w:val="18"/>
                <w:szCs w:val="18"/>
              </w:rPr>
              <w:t>EE</w:t>
            </w:r>
          </w:p>
        </w:tc>
      </w:tr>
      <w:tr w:rsidR="000308F1" w:rsidRPr="00ED6612" w14:paraId="456045E8" w14:textId="77777777" w:rsidTr="007E6A55">
        <w:trPr>
          <w:trHeight w:val="161"/>
        </w:trPr>
        <w:tc>
          <w:tcPr>
            <w:tcW w:w="4268" w:type="dxa"/>
            <w:tcBorders>
              <w:top w:val="nil"/>
              <w:left w:val="single" w:sz="4" w:space="0" w:color="auto"/>
              <w:bottom w:val="nil"/>
              <w:right w:val="single" w:sz="4" w:space="0" w:color="auto"/>
            </w:tcBorders>
            <w:shd w:val="clear" w:color="auto" w:fill="auto"/>
            <w:noWrap/>
            <w:vAlign w:val="bottom"/>
            <w:hideMark/>
          </w:tcPr>
          <w:p w14:paraId="456045E3" w14:textId="77777777" w:rsidR="000308F1" w:rsidRPr="00ED6612" w:rsidRDefault="000308F1" w:rsidP="000308F1">
            <w:pPr>
              <w:spacing w:after="0" w:line="240" w:lineRule="auto"/>
              <w:rPr>
                <w:rFonts w:ascii="Arial" w:eastAsia="Times New Roman" w:hAnsi="Arial" w:cs="Arial"/>
                <w:sz w:val="18"/>
                <w:szCs w:val="18"/>
              </w:rPr>
            </w:pPr>
            <w:r w:rsidRPr="00ED6612">
              <w:rPr>
                <w:rFonts w:ascii="Arial" w:eastAsia="Times New Roman" w:hAnsi="Arial" w:cs="Arial"/>
                <w:sz w:val="18"/>
                <w:szCs w:val="18"/>
              </w:rPr>
              <w:t>Production factor</w:t>
            </w:r>
          </w:p>
        </w:tc>
        <w:tc>
          <w:tcPr>
            <w:tcW w:w="977" w:type="dxa"/>
            <w:tcBorders>
              <w:top w:val="nil"/>
              <w:left w:val="single" w:sz="4" w:space="0" w:color="auto"/>
              <w:bottom w:val="nil"/>
              <w:right w:val="nil"/>
            </w:tcBorders>
            <w:shd w:val="clear" w:color="auto" w:fill="auto"/>
            <w:noWrap/>
            <w:vAlign w:val="bottom"/>
            <w:hideMark/>
          </w:tcPr>
          <w:p w14:paraId="456045E4" w14:textId="77777777" w:rsidR="000308F1" w:rsidRPr="00ED6612" w:rsidRDefault="000308F1" w:rsidP="000308F1">
            <w:pPr>
              <w:spacing w:after="0" w:line="240" w:lineRule="auto"/>
              <w:jc w:val="right"/>
              <w:rPr>
                <w:rFonts w:ascii="Arial" w:eastAsia="Times New Roman" w:hAnsi="Arial" w:cs="Arial"/>
                <w:sz w:val="18"/>
                <w:szCs w:val="18"/>
              </w:rPr>
            </w:pPr>
            <w:r w:rsidRPr="00ED6612">
              <w:rPr>
                <w:rFonts w:ascii="Arial" w:eastAsia="Times New Roman" w:hAnsi="Arial" w:cs="Arial"/>
                <w:sz w:val="18"/>
                <w:szCs w:val="18"/>
              </w:rPr>
              <w:t>0.8</w:t>
            </w:r>
          </w:p>
        </w:tc>
        <w:tc>
          <w:tcPr>
            <w:tcW w:w="1500" w:type="dxa"/>
            <w:tcBorders>
              <w:top w:val="nil"/>
              <w:left w:val="nil"/>
              <w:bottom w:val="nil"/>
              <w:right w:val="single" w:sz="4" w:space="0" w:color="auto"/>
            </w:tcBorders>
            <w:shd w:val="clear" w:color="auto" w:fill="auto"/>
            <w:noWrap/>
            <w:vAlign w:val="bottom"/>
          </w:tcPr>
          <w:p w14:paraId="456045E5" w14:textId="77777777" w:rsidR="000308F1" w:rsidRPr="00ED6612" w:rsidRDefault="000308F1" w:rsidP="000308F1">
            <w:pPr>
              <w:spacing w:after="0" w:line="240" w:lineRule="auto"/>
              <w:rPr>
                <w:rFonts w:ascii="Arial" w:eastAsia="Times New Roman" w:hAnsi="Arial" w:cs="Arial"/>
                <w:sz w:val="18"/>
                <w:szCs w:val="18"/>
              </w:rPr>
            </w:pPr>
          </w:p>
        </w:tc>
        <w:tc>
          <w:tcPr>
            <w:tcW w:w="909" w:type="dxa"/>
            <w:tcBorders>
              <w:top w:val="nil"/>
              <w:left w:val="nil"/>
              <w:bottom w:val="nil"/>
              <w:right w:val="nil"/>
            </w:tcBorders>
            <w:shd w:val="clear" w:color="auto" w:fill="auto"/>
            <w:noWrap/>
            <w:vAlign w:val="bottom"/>
          </w:tcPr>
          <w:p w14:paraId="456045E6" w14:textId="77777777" w:rsidR="000308F1" w:rsidRPr="00ED6612" w:rsidRDefault="000308F1" w:rsidP="000308F1">
            <w:pPr>
              <w:spacing w:after="0" w:line="240" w:lineRule="auto"/>
              <w:rPr>
                <w:rFonts w:ascii="Arial" w:eastAsia="Times New Roman" w:hAnsi="Arial" w:cs="Arial"/>
                <w:sz w:val="18"/>
                <w:szCs w:val="18"/>
              </w:rPr>
            </w:pPr>
          </w:p>
        </w:tc>
        <w:tc>
          <w:tcPr>
            <w:tcW w:w="1337" w:type="dxa"/>
            <w:tcBorders>
              <w:top w:val="nil"/>
              <w:left w:val="nil"/>
              <w:bottom w:val="nil"/>
              <w:right w:val="single" w:sz="4" w:space="0" w:color="auto"/>
            </w:tcBorders>
            <w:shd w:val="clear" w:color="auto" w:fill="auto"/>
            <w:noWrap/>
            <w:vAlign w:val="bottom"/>
          </w:tcPr>
          <w:p w14:paraId="456045E7" w14:textId="77777777" w:rsidR="000308F1" w:rsidRPr="00ED6612" w:rsidRDefault="000308F1" w:rsidP="000308F1">
            <w:pPr>
              <w:spacing w:after="0" w:line="240" w:lineRule="auto"/>
              <w:rPr>
                <w:rFonts w:ascii="Arial" w:eastAsia="Times New Roman" w:hAnsi="Arial" w:cs="Arial"/>
                <w:sz w:val="18"/>
                <w:szCs w:val="18"/>
              </w:rPr>
            </w:pPr>
          </w:p>
        </w:tc>
      </w:tr>
      <w:tr w:rsidR="000308F1" w:rsidRPr="00ED6612" w14:paraId="456045EE" w14:textId="77777777" w:rsidTr="007E6A55">
        <w:trPr>
          <w:trHeight w:val="225"/>
        </w:trPr>
        <w:tc>
          <w:tcPr>
            <w:tcW w:w="4268" w:type="dxa"/>
            <w:tcBorders>
              <w:top w:val="nil"/>
              <w:left w:val="single" w:sz="4" w:space="0" w:color="auto"/>
              <w:bottom w:val="nil"/>
              <w:right w:val="single" w:sz="4" w:space="0" w:color="auto"/>
            </w:tcBorders>
            <w:shd w:val="clear" w:color="auto" w:fill="auto"/>
            <w:noWrap/>
            <w:vAlign w:val="bottom"/>
            <w:hideMark/>
          </w:tcPr>
          <w:p w14:paraId="456045E9" w14:textId="77777777" w:rsidR="000308F1" w:rsidRPr="00ED6612" w:rsidRDefault="000308F1" w:rsidP="000308F1">
            <w:pPr>
              <w:spacing w:after="0" w:line="240" w:lineRule="auto"/>
              <w:rPr>
                <w:rFonts w:ascii="Arial" w:eastAsia="Times New Roman" w:hAnsi="Arial" w:cs="Arial"/>
                <w:sz w:val="18"/>
                <w:szCs w:val="18"/>
              </w:rPr>
            </w:pPr>
            <w:r w:rsidRPr="00ED6612">
              <w:rPr>
                <w:rFonts w:ascii="Arial" w:eastAsia="Times New Roman" w:hAnsi="Arial" w:cs="Arial"/>
                <w:sz w:val="18"/>
                <w:szCs w:val="18"/>
              </w:rPr>
              <w:t>Average plant capacity</w:t>
            </w:r>
          </w:p>
        </w:tc>
        <w:tc>
          <w:tcPr>
            <w:tcW w:w="977" w:type="dxa"/>
            <w:tcBorders>
              <w:top w:val="nil"/>
              <w:left w:val="single" w:sz="4" w:space="0" w:color="auto"/>
              <w:bottom w:val="nil"/>
              <w:right w:val="nil"/>
            </w:tcBorders>
            <w:shd w:val="clear" w:color="auto" w:fill="auto"/>
            <w:noWrap/>
            <w:vAlign w:val="bottom"/>
            <w:hideMark/>
          </w:tcPr>
          <w:p w14:paraId="456045EA" w14:textId="77777777" w:rsidR="000308F1" w:rsidRPr="00ED6612" w:rsidRDefault="000308F1" w:rsidP="000308F1">
            <w:pPr>
              <w:spacing w:after="0" w:line="240" w:lineRule="auto"/>
              <w:jc w:val="right"/>
              <w:rPr>
                <w:rFonts w:ascii="Arial" w:eastAsia="Times New Roman" w:hAnsi="Arial" w:cs="Arial"/>
                <w:sz w:val="18"/>
                <w:szCs w:val="18"/>
              </w:rPr>
            </w:pPr>
            <w:r w:rsidRPr="00ED6612">
              <w:rPr>
                <w:rFonts w:ascii="Arial" w:eastAsia="Times New Roman" w:hAnsi="Arial" w:cs="Arial"/>
                <w:sz w:val="18"/>
                <w:szCs w:val="18"/>
              </w:rPr>
              <w:t>2</w:t>
            </w:r>
          </w:p>
        </w:tc>
        <w:tc>
          <w:tcPr>
            <w:tcW w:w="1500" w:type="dxa"/>
            <w:tcBorders>
              <w:top w:val="nil"/>
              <w:left w:val="nil"/>
              <w:bottom w:val="nil"/>
              <w:right w:val="single" w:sz="4" w:space="0" w:color="auto"/>
            </w:tcBorders>
            <w:shd w:val="clear" w:color="auto" w:fill="auto"/>
            <w:noWrap/>
            <w:vAlign w:val="bottom"/>
            <w:hideMark/>
          </w:tcPr>
          <w:p w14:paraId="456045EB" w14:textId="77777777" w:rsidR="000308F1" w:rsidRPr="00ED6612" w:rsidRDefault="000308F1" w:rsidP="000308F1">
            <w:pPr>
              <w:spacing w:after="0" w:line="240" w:lineRule="auto"/>
              <w:rPr>
                <w:rFonts w:ascii="Arial" w:eastAsia="Times New Roman" w:hAnsi="Arial" w:cs="Arial"/>
                <w:sz w:val="18"/>
                <w:szCs w:val="18"/>
              </w:rPr>
            </w:pPr>
            <w:r w:rsidRPr="00ED6612">
              <w:rPr>
                <w:rFonts w:ascii="Arial" w:eastAsia="Times New Roman" w:hAnsi="Arial" w:cs="Arial"/>
                <w:sz w:val="18"/>
                <w:szCs w:val="18"/>
              </w:rPr>
              <w:t>MW</w:t>
            </w:r>
          </w:p>
        </w:tc>
        <w:tc>
          <w:tcPr>
            <w:tcW w:w="909" w:type="dxa"/>
            <w:tcBorders>
              <w:top w:val="nil"/>
              <w:left w:val="nil"/>
              <w:bottom w:val="nil"/>
              <w:right w:val="nil"/>
            </w:tcBorders>
            <w:shd w:val="clear" w:color="auto" w:fill="auto"/>
            <w:noWrap/>
            <w:vAlign w:val="bottom"/>
          </w:tcPr>
          <w:p w14:paraId="456045EC" w14:textId="77777777" w:rsidR="000308F1" w:rsidRPr="00ED6612" w:rsidRDefault="000308F1" w:rsidP="000308F1">
            <w:pPr>
              <w:spacing w:after="0" w:line="240" w:lineRule="auto"/>
              <w:rPr>
                <w:rFonts w:ascii="Arial" w:eastAsia="Times New Roman" w:hAnsi="Arial" w:cs="Arial"/>
                <w:sz w:val="18"/>
                <w:szCs w:val="18"/>
              </w:rPr>
            </w:pPr>
          </w:p>
        </w:tc>
        <w:tc>
          <w:tcPr>
            <w:tcW w:w="1337" w:type="dxa"/>
            <w:tcBorders>
              <w:top w:val="nil"/>
              <w:left w:val="nil"/>
              <w:bottom w:val="nil"/>
              <w:right w:val="single" w:sz="4" w:space="0" w:color="auto"/>
            </w:tcBorders>
            <w:shd w:val="clear" w:color="auto" w:fill="auto"/>
            <w:noWrap/>
            <w:vAlign w:val="bottom"/>
          </w:tcPr>
          <w:p w14:paraId="456045ED" w14:textId="77777777" w:rsidR="000308F1" w:rsidRPr="00ED6612" w:rsidRDefault="000308F1" w:rsidP="000308F1">
            <w:pPr>
              <w:spacing w:after="0" w:line="240" w:lineRule="auto"/>
              <w:rPr>
                <w:rFonts w:ascii="Arial" w:eastAsia="Times New Roman" w:hAnsi="Arial" w:cs="Arial"/>
                <w:sz w:val="18"/>
                <w:szCs w:val="18"/>
              </w:rPr>
            </w:pPr>
          </w:p>
        </w:tc>
      </w:tr>
      <w:tr w:rsidR="000308F1" w:rsidRPr="00ED6612" w14:paraId="456045F4" w14:textId="77777777" w:rsidTr="007E6A55">
        <w:trPr>
          <w:trHeight w:val="270"/>
        </w:trPr>
        <w:tc>
          <w:tcPr>
            <w:tcW w:w="4268" w:type="dxa"/>
            <w:tcBorders>
              <w:top w:val="nil"/>
              <w:left w:val="single" w:sz="4" w:space="0" w:color="auto"/>
              <w:bottom w:val="nil"/>
              <w:right w:val="single" w:sz="4" w:space="0" w:color="auto"/>
            </w:tcBorders>
            <w:shd w:val="clear" w:color="auto" w:fill="auto"/>
            <w:noWrap/>
            <w:vAlign w:val="bottom"/>
            <w:hideMark/>
          </w:tcPr>
          <w:p w14:paraId="456045EF" w14:textId="77777777" w:rsidR="000308F1" w:rsidRPr="00ED6612" w:rsidRDefault="000308F1" w:rsidP="000308F1">
            <w:pPr>
              <w:spacing w:after="0" w:line="240" w:lineRule="auto"/>
              <w:rPr>
                <w:rFonts w:ascii="Arial" w:eastAsia="Times New Roman" w:hAnsi="Arial" w:cs="Arial"/>
                <w:sz w:val="18"/>
                <w:szCs w:val="18"/>
              </w:rPr>
            </w:pPr>
            <w:r w:rsidRPr="00ED6612">
              <w:rPr>
                <w:rFonts w:ascii="Arial" w:eastAsia="Times New Roman" w:hAnsi="Arial" w:cs="Arial"/>
                <w:sz w:val="18"/>
                <w:szCs w:val="18"/>
              </w:rPr>
              <w:t>Average loan</w:t>
            </w:r>
          </w:p>
        </w:tc>
        <w:tc>
          <w:tcPr>
            <w:tcW w:w="977" w:type="dxa"/>
            <w:tcBorders>
              <w:top w:val="nil"/>
              <w:left w:val="single" w:sz="4" w:space="0" w:color="auto"/>
              <w:bottom w:val="nil"/>
              <w:right w:val="nil"/>
            </w:tcBorders>
            <w:shd w:val="clear" w:color="auto" w:fill="auto"/>
            <w:noWrap/>
            <w:vAlign w:val="bottom"/>
            <w:hideMark/>
          </w:tcPr>
          <w:p w14:paraId="456045F0" w14:textId="77777777" w:rsidR="000308F1" w:rsidRPr="00ED6612" w:rsidRDefault="000308F1" w:rsidP="000308F1">
            <w:pPr>
              <w:spacing w:after="0" w:line="240" w:lineRule="auto"/>
              <w:jc w:val="right"/>
              <w:rPr>
                <w:rFonts w:ascii="Arial" w:eastAsia="Times New Roman" w:hAnsi="Arial" w:cs="Arial"/>
                <w:sz w:val="18"/>
                <w:szCs w:val="18"/>
              </w:rPr>
            </w:pPr>
            <w:r w:rsidRPr="00ED6612">
              <w:rPr>
                <w:rFonts w:ascii="Arial" w:eastAsia="Times New Roman" w:hAnsi="Arial" w:cs="Arial"/>
                <w:sz w:val="18"/>
                <w:szCs w:val="18"/>
              </w:rPr>
              <w:t>7</w:t>
            </w:r>
          </w:p>
        </w:tc>
        <w:tc>
          <w:tcPr>
            <w:tcW w:w="1500" w:type="dxa"/>
            <w:tcBorders>
              <w:top w:val="nil"/>
              <w:left w:val="nil"/>
              <w:bottom w:val="nil"/>
              <w:right w:val="single" w:sz="4" w:space="0" w:color="auto"/>
            </w:tcBorders>
            <w:shd w:val="clear" w:color="auto" w:fill="auto"/>
            <w:noWrap/>
            <w:vAlign w:val="bottom"/>
            <w:hideMark/>
          </w:tcPr>
          <w:p w14:paraId="456045F1" w14:textId="77777777" w:rsidR="000308F1" w:rsidRPr="00ED6612" w:rsidRDefault="000308F1" w:rsidP="000308F1">
            <w:pPr>
              <w:spacing w:after="0" w:line="240" w:lineRule="auto"/>
              <w:rPr>
                <w:rFonts w:ascii="Arial" w:eastAsia="Times New Roman" w:hAnsi="Arial" w:cs="Arial"/>
                <w:sz w:val="18"/>
                <w:szCs w:val="18"/>
              </w:rPr>
            </w:pPr>
            <w:r w:rsidRPr="00ED6612">
              <w:rPr>
                <w:rFonts w:ascii="Arial" w:eastAsia="Times New Roman" w:hAnsi="Arial" w:cs="Arial"/>
                <w:sz w:val="18"/>
                <w:szCs w:val="18"/>
              </w:rPr>
              <w:t>MUSD</w:t>
            </w:r>
          </w:p>
        </w:tc>
        <w:tc>
          <w:tcPr>
            <w:tcW w:w="909" w:type="dxa"/>
            <w:tcBorders>
              <w:top w:val="nil"/>
              <w:left w:val="nil"/>
              <w:bottom w:val="nil"/>
              <w:right w:val="nil"/>
            </w:tcBorders>
            <w:shd w:val="clear" w:color="auto" w:fill="auto"/>
            <w:noWrap/>
            <w:vAlign w:val="bottom"/>
            <w:hideMark/>
          </w:tcPr>
          <w:p w14:paraId="456045F2" w14:textId="77777777" w:rsidR="000308F1" w:rsidRPr="00ED6612" w:rsidRDefault="000308F1" w:rsidP="000308F1">
            <w:pPr>
              <w:spacing w:after="0" w:line="240" w:lineRule="auto"/>
              <w:jc w:val="right"/>
              <w:rPr>
                <w:rFonts w:ascii="Arial" w:eastAsia="Times New Roman" w:hAnsi="Arial" w:cs="Arial"/>
                <w:sz w:val="18"/>
                <w:szCs w:val="18"/>
              </w:rPr>
            </w:pPr>
            <w:r w:rsidRPr="00ED6612">
              <w:rPr>
                <w:rFonts w:ascii="Arial" w:eastAsia="Times New Roman" w:hAnsi="Arial" w:cs="Arial"/>
                <w:sz w:val="18"/>
                <w:szCs w:val="18"/>
              </w:rPr>
              <w:t>0.35</w:t>
            </w:r>
          </w:p>
        </w:tc>
        <w:tc>
          <w:tcPr>
            <w:tcW w:w="1337" w:type="dxa"/>
            <w:tcBorders>
              <w:top w:val="nil"/>
              <w:left w:val="nil"/>
              <w:bottom w:val="nil"/>
              <w:right w:val="single" w:sz="4" w:space="0" w:color="auto"/>
            </w:tcBorders>
            <w:shd w:val="clear" w:color="auto" w:fill="auto"/>
            <w:noWrap/>
            <w:vAlign w:val="bottom"/>
            <w:hideMark/>
          </w:tcPr>
          <w:p w14:paraId="456045F3" w14:textId="77777777" w:rsidR="000308F1" w:rsidRPr="00ED6612" w:rsidRDefault="000308F1" w:rsidP="000308F1">
            <w:pPr>
              <w:spacing w:after="0" w:line="240" w:lineRule="auto"/>
              <w:rPr>
                <w:rFonts w:ascii="Arial" w:eastAsia="Times New Roman" w:hAnsi="Arial" w:cs="Arial"/>
                <w:sz w:val="18"/>
                <w:szCs w:val="18"/>
              </w:rPr>
            </w:pPr>
            <w:r w:rsidRPr="00ED6612">
              <w:rPr>
                <w:rFonts w:ascii="Arial" w:eastAsia="Times New Roman" w:hAnsi="Arial" w:cs="Arial"/>
                <w:sz w:val="18"/>
                <w:szCs w:val="18"/>
              </w:rPr>
              <w:t>MUSD</w:t>
            </w:r>
          </w:p>
        </w:tc>
      </w:tr>
      <w:tr w:rsidR="000308F1" w:rsidRPr="00ED6612" w14:paraId="456045FA" w14:textId="77777777" w:rsidTr="007E6A55">
        <w:trPr>
          <w:trHeight w:val="270"/>
        </w:trPr>
        <w:tc>
          <w:tcPr>
            <w:tcW w:w="4268" w:type="dxa"/>
            <w:tcBorders>
              <w:top w:val="nil"/>
              <w:left w:val="single" w:sz="4" w:space="0" w:color="auto"/>
              <w:bottom w:val="nil"/>
              <w:right w:val="single" w:sz="4" w:space="0" w:color="auto"/>
            </w:tcBorders>
            <w:shd w:val="clear" w:color="auto" w:fill="auto"/>
            <w:noWrap/>
            <w:vAlign w:val="bottom"/>
            <w:hideMark/>
          </w:tcPr>
          <w:p w14:paraId="456045F5" w14:textId="77777777" w:rsidR="000308F1" w:rsidRPr="00ED6612" w:rsidRDefault="000308F1" w:rsidP="000308F1">
            <w:pPr>
              <w:spacing w:after="0" w:line="240" w:lineRule="auto"/>
              <w:rPr>
                <w:rFonts w:ascii="Arial" w:eastAsia="Times New Roman" w:hAnsi="Arial" w:cs="Arial"/>
                <w:sz w:val="18"/>
                <w:szCs w:val="18"/>
              </w:rPr>
            </w:pPr>
            <w:r w:rsidRPr="00ED6612">
              <w:rPr>
                <w:rFonts w:ascii="Arial" w:eastAsia="Times New Roman" w:hAnsi="Arial" w:cs="Arial"/>
                <w:sz w:val="18"/>
                <w:szCs w:val="18"/>
              </w:rPr>
              <w:t>Average total investment</w:t>
            </w:r>
          </w:p>
        </w:tc>
        <w:tc>
          <w:tcPr>
            <w:tcW w:w="977" w:type="dxa"/>
            <w:tcBorders>
              <w:top w:val="nil"/>
              <w:left w:val="single" w:sz="4" w:space="0" w:color="auto"/>
              <w:bottom w:val="nil"/>
              <w:right w:val="nil"/>
            </w:tcBorders>
            <w:shd w:val="clear" w:color="auto" w:fill="auto"/>
            <w:noWrap/>
            <w:vAlign w:val="bottom"/>
            <w:hideMark/>
          </w:tcPr>
          <w:p w14:paraId="456045F6" w14:textId="77777777" w:rsidR="000308F1" w:rsidRPr="00ED6612" w:rsidRDefault="000308F1" w:rsidP="000308F1">
            <w:pPr>
              <w:spacing w:after="0" w:line="240" w:lineRule="auto"/>
              <w:jc w:val="right"/>
              <w:rPr>
                <w:rFonts w:ascii="Arial" w:eastAsia="Times New Roman" w:hAnsi="Arial" w:cs="Arial"/>
                <w:sz w:val="18"/>
                <w:szCs w:val="18"/>
              </w:rPr>
            </w:pPr>
            <w:r w:rsidRPr="00ED6612">
              <w:rPr>
                <w:rFonts w:ascii="Arial" w:eastAsia="Times New Roman" w:hAnsi="Arial" w:cs="Arial"/>
                <w:sz w:val="18"/>
                <w:szCs w:val="18"/>
              </w:rPr>
              <w:t>10</w:t>
            </w:r>
          </w:p>
        </w:tc>
        <w:tc>
          <w:tcPr>
            <w:tcW w:w="1500" w:type="dxa"/>
            <w:tcBorders>
              <w:top w:val="nil"/>
              <w:left w:val="nil"/>
              <w:bottom w:val="nil"/>
              <w:right w:val="single" w:sz="4" w:space="0" w:color="auto"/>
            </w:tcBorders>
            <w:shd w:val="clear" w:color="auto" w:fill="auto"/>
            <w:noWrap/>
            <w:vAlign w:val="bottom"/>
            <w:hideMark/>
          </w:tcPr>
          <w:p w14:paraId="456045F7" w14:textId="77777777" w:rsidR="000308F1" w:rsidRPr="00ED6612" w:rsidRDefault="000308F1" w:rsidP="000308F1">
            <w:pPr>
              <w:spacing w:after="0" w:line="240" w:lineRule="auto"/>
              <w:rPr>
                <w:rFonts w:ascii="Arial" w:eastAsia="Times New Roman" w:hAnsi="Arial" w:cs="Arial"/>
                <w:sz w:val="18"/>
                <w:szCs w:val="18"/>
              </w:rPr>
            </w:pPr>
            <w:r w:rsidRPr="00ED6612">
              <w:rPr>
                <w:rFonts w:ascii="Arial" w:eastAsia="Times New Roman" w:hAnsi="Arial" w:cs="Arial"/>
                <w:sz w:val="18"/>
                <w:szCs w:val="18"/>
              </w:rPr>
              <w:t>MUSD</w:t>
            </w:r>
          </w:p>
        </w:tc>
        <w:tc>
          <w:tcPr>
            <w:tcW w:w="909" w:type="dxa"/>
            <w:tcBorders>
              <w:top w:val="nil"/>
              <w:left w:val="nil"/>
              <w:bottom w:val="nil"/>
              <w:right w:val="nil"/>
            </w:tcBorders>
            <w:shd w:val="clear" w:color="auto" w:fill="auto"/>
            <w:noWrap/>
            <w:vAlign w:val="bottom"/>
            <w:hideMark/>
          </w:tcPr>
          <w:p w14:paraId="456045F8" w14:textId="77777777" w:rsidR="000308F1" w:rsidRPr="00ED6612" w:rsidRDefault="000308F1" w:rsidP="000308F1">
            <w:pPr>
              <w:spacing w:after="0" w:line="240" w:lineRule="auto"/>
              <w:jc w:val="right"/>
              <w:rPr>
                <w:rFonts w:ascii="Arial" w:eastAsia="Times New Roman" w:hAnsi="Arial" w:cs="Arial"/>
                <w:sz w:val="18"/>
                <w:szCs w:val="18"/>
              </w:rPr>
            </w:pPr>
            <w:r w:rsidRPr="00ED6612">
              <w:rPr>
                <w:rFonts w:ascii="Arial" w:eastAsia="Times New Roman" w:hAnsi="Arial" w:cs="Arial"/>
                <w:sz w:val="18"/>
                <w:szCs w:val="18"/>
              </w:rPr>
              <w:t>0.50</w:t>
            </w:r>
          </w:p>
        </w:tc>
        <w:tc>
          <w:tcPr>
            <w:tcW w:w="1337" w:type="dxa"/>
            <w:tcBorders>
              <w:top w:val="nil"/>
              <w:left w:val="nil"/>
              <w:bottom w:val="nil"/>
              <w:right w:val="single" w:sz="4" w:space="0" w:color="auto"/>
            </w:tcBorders>
            <w:shd w:val="clear" w:color="auto" w:fill="auto"/>
            <w:noWrap/>
            <w:vAlign w:val="bottom"/>
            <w:hideMark/>
          </w:tcPr>
          <w:p w14:paraId="456045F9" w14:textId="77777777" w:rsidR="000308F1" w:rsidRPr="00ED6612" w:rsidRDefault="000308F1" w:rsidP="000308F1">
            <w:pPr>
              <w:spacing w:after="0" w:line="240" w:lineRule="auto"/>
              <w:rPr>
                <w:rFonts w:ascii="Arial" w:eastAsia="Times New Roman" w:hAnsi="Arial" w:cs="Arial"/>
                <w:sz w:val="18"/>
                <w:szCs w:val="18"/>
              </w:rPr>
            </w:pPr>
            <w:r w:rsidRPr="00ED6612">
              <w:rPr>
                <w:rFonts w:ascii="Arial" w:eastAsia="Times New Roman" w:hAnsi="Arial" w:cs="Arial"/>
                <w:sz w:val="18"/>
                <w:szCs w:val="18"/>
              </w:rPr>
              <w:t>MUSD</w:t>
            </w:r>
          </w:p>
        </w:tc>
      </w:tr>
      <w:tr w:rsidR="000308F1" w:rsidRPr="00ED6612" w14:paraId="45604600" w14:textId="77777777" w:rsidTr="007E6A55">
        <w:trPr>
          <w:trHeight w:val="270"/>
        </w:trPr>
        <w:tc>
          <w:tcPr>
            <w:tcW w:w="4268" w:type="dxa"/>
            <w:tcBorders>
              <w:top w:val="nil"/>
              <w:left w:val="single" w:sz="4" w:space="0" w:color="auto"/>
              <w:bottom w:val="nil"/>
              <w:right w:val="single" w:sz="4" w:space="0" w:color="auto"/>
            </w:tcBorders>
            <w:shd w:val="clear" w:color="auto" w:fill="auto"/>
            <w:noWrap/>
            <w:vAlign w:val="bottom"/>
            <w:hideMark/>
          </w:tcPr>
          <w:p w14:paraId="456045FB" w14:textId="77777777" w:rsidR="000308F1" w:rsidRPr="00ED6612" w:rsidRDefault="000308F1" w:rsidP="000308F1">
            <w:pPr>
              <w:spacing w:after="0" w:line="240" w:lineRule="auto"/>
              <w:rPr>
                <w:rFonts w:ascii="Arial" w:eastAsia="Times New Roman" w:hAnsi="Arial" w:cs="Arial"/>
                <w:sz w:val="18"/>
                <w:szCs w:val="18"/>
              </w:rPr>
            </w:pPr>
            <w:r w:rsidRPr="00ED6612">
              <w:rPr>
                <w:rFonts w:ascii="Arial" w:eastAsia="Times New Roman" w:hAnsi="Arial" w:cs="Arial"/>
                <w:sz w:val="18"/>
                <w:szCs w:val="18"/>
              </w:rPr>
              <w:t>Investment costs</w:t>
            </w:r>
          </w:p>
        </w:tc>
        <w:tc>
          <w:tcPr>
            <w:tcW w:w="977" w:type="dxa"/>
            <w:tcBorders>
              <w:top w:val="nil"/>
              <w:left w:val="single" w:sz="4" w:space="0" w:color="auto"/>
              <w:bottom w:val="nil"/>
              <w:right w:val="nil"/>
            </w:tcBorders>
            <w:shd w:val="clear" w:color="auto" w:fill="auto"/>
            <w:noWrap/>
            <w:vAlign w:val="bottom"/>
            <w:hideMark/>
          </w:tcPr>
          <w:p w14:paraId="456045FC" w14:textId="77777777" w:rsidR="000308F1" w:rsidRPr="00ED6612" w:rsidRDefault="000308F1" w:rsidP="000308F1">
            <w:pPr>
              <w:spacing w:after="0" w:line="240" w:lineRule="auto"/>
              <w:rPr>
                <w:rFonts w:ascii="Arial" w:eastAsia="Times New Roman" w:hAnsi="Arial" w:cs="Arial"/>
                <w:sz w:val="18"/>
                <w:szCs w:val="18"/>
              </w:rPr>
            </w:pPr>
            <w:r w:rsidRPr="00ED6612">
              <w:rPr>
                <w:rFonts w:ascii="Arial" w:eastAsia="Times New Roman" w:hAnsi="Arial" w:cs="Arial"/>
                <w:sz w:val="18"/>
                <w:szCs w:val="18"/>
              </w:rPr>
              <w:t xml:space="preserve">      5,000 </w:t>
            </w:r>
          </w:p>
        </w:tc>
        <w:tc>
          <w:tcPr>
            <w:tcW w:w="1500" w:type="dxa"/>
            <w:tcBorders>
              <w:top w:val="nil"/>
              <w:left w:val="nil"/>
              <w:bottom w:val="nil"/>
              <w:right w:val="single" w:sz="4" w:space="0" w:color="auto"/>
            </w:tcBorders>
            <w:shd w:val="clear" w:color="auto" w:fill="auto"/>
            <w:noWrap/>
            <w:vAlign w:val="bottom"/>
            <w:hideMark/>
          </w:tcPr>
          <w:p w14:paraId="456045FD" w14:textId="77777777" w:rsidR="000308F1" w:rsidRPr="00ED6612" w:rsidRDefault="000308F1" w:rsidP="000308F1">
            <w:pPr>
              <w:spacing w:after="0" w:line="240" w:lineRule="auto"/>
              <w:rPr>
                <w:rFonts w:ascii="Arial" w:eastAsia="Times New Roman" w:hAnsi="Arial" w:cs="Arial"/>
                <w:sz w:val="18"/>
                <w:szCs w:val="18"/>
              </w:rPr>
            </w:pPr>
            <w:r w:rsidRPr="00ED6612">
              <w:rPr>
                <w:rFonts w:ascii="Arial" w:eastAsia="Times New Roman" w:hAnsi="Arial" w:cs="Arial"/>
                <w:sz w:val="18"/>
                <w:szCs w:val="18"/>
              </w:rPr>
              <w:t xml:space="preserve"> mUSD/MW </w:t>
            </w:r>
          </w:p>
        </w:tc>
        <w:tc>
          <w:tcPr>
            <w:tcW w:w="909" w:type="dxa"/>
            <w:tcBorders>
              <w:top w:val="nil"/>
              <w:left w:val="nil"/>
              <w:bottom w:val="nil"/>
              <w:right w:val="nil"/>
            </w:tcBorders>
            <w:shd w:val="clear" w:color="auto" w:fill="auto"/>
            <w:noWrap/>
            <w:vAlign w:val="bottom"/>
            <w:hideMark/>
          </w:tcPr>
          <w:p w14:paraId="456045FE" w14:textId="77777777" w:rsidR="000308F1" w:rsidRPr="00ED6612" w:rsidRDefault="000308F1" w:rsidP="000308F1">
            <w:pPr>
              <w:spacing w:after="0" w:line="240" w:lineRule="auto"/>
              <w:rPr>
                <w:rFonts w:ascii="Arial" w:eastAsia="Times New Roman" w:hAnsi="Arial" w:cs="Arial"/>
                <w:sz w:val="18"/>
                <w:szCs w:val="18"/>
              </w:rPr>
            </w:pPr>
            <w:r w:rsidRPr="00ED6612">
              <w:rPr>
                <w:rFonts w:ascii="Arial" w:eastAsia="Times New Roman" w:hAnsi="Arial" w:cs="Arial"/>
                <w:sz w:val="18"/>
                <w:szCs w:val="18"/>
              </w:rPr>
              <w:t xml:space="preserve">       500 </w:t>
            </w:r>
          </w:p>
        </w:tc>
        <w:tc>
          <w:tcPr>
            <w:tcW w:w="1337" w:type="dxa"/>
            <w:tcBorders>
              <w:top w:val="nil"/>
              <w:left w:val="nil"/>
              <w:bottom w:val="nil"/>
              <w:right w:val="single" w:sz="4" w:space="0" w:color="auto"/>
            </w:tcBorders>
            <w:shd w:val="clear" w:color="auto" w:fill="auto"/>
            <w:noWrap/>
            <w:vAlign w:val="bottom"/>
            <w:hideMark/>
          </w:tcPr>
          <w:p w14:paraId="456045FF" w14:textId="77777777" w:rsidR="000308F1" w:rsidRPr="00ED6612" w:rsidRDefault="000308F1" w:rsidP="000308F1">
            <w:pPr>
              <w:spacing w:after="0" w:line="240" w:lineRule="auto"/>
              <w:rPr>
                <w:rFonts w:ascii="Arial" w:eastAsia="Times New Roman" w:hAnsi="Arial" w:cs="Arial"/>
                <w:sz w:val="18"/>
                <w:szCs w:val="18"/>
              </w:rPr>
            </w:pPr>
            <w:r w:rsidRPr="00ED6612">
              <w:rPr>
                <w:rFonts w:ascii="Arial" w:eastAsia="Times New Roman" w:hAnsi="Arial" w:cs="Arial"/>
                <w:sz w:val="18"/>
                <w:szCs w:val="18"/>
              </w:rPr>
              <w:t>mUSD/project</w:t>
            </w:r>
          </w:p>
        </w:tc>
      </w:tr>
      <w:tr w:rsidR="000308F1" w:rsidRPr="00ED6612" w14:paraId="45604606" w14:textId="77777777" w:rsidTr="007E6A55">
        <w:trPr>
          <w:trHeight w:val="270"/>
        </w:trPr>
        <w:tc>
          <w:tcPr>
            <w:tcW w:w="4268" w:type="dxa"/>
            <w:tcBorders>
              <w:top w:val="nil"/>
              <w:left w:val="single" w:sz="4" w:space="0" w:color="auto"/>
              <w:bottom w:val="single" w:sz="4" w:space="0" w:color="auto"/>
              <w:right w:val="single" w:sz="4" w:space="0" w:color="auto"/>
            </w:tcBorders>
            <w:shd w:val="clear" w:color="auto" w:fill="auto"/>
            <w:noWrap/>
            <w:vAlign w:val="bottom"/>
            <w:hideMark/>
          </w:tcPr>
          <w:p w14:paraId="45604601" w14:textId="77777777" w:rsidR="000308F1" w:rsidRPr="00ED6612" w:rsidRDefault="000308F1" w:rsidP="000308F1">
            <w:pPr>
              <w:spacing w:after="0" w:line="240" w:lineRule="auto"/>
              <w:rPr>
                <w:rFonts w:ascii="Arial" w:eastAsia="Times New Roman" w:hAnsi="Arial" w:cs="Arial"/>
                <w:sz w:val="18"/>
                <w:szCs w:val="18"/>
              </w:rPr>
            </w:pPr>
            <w:r w:rsidRPr="00ED6612">
              <w:rPr>
                <w:rFonts w:ascii="Arial" w:eastAsia="Times New Roman" w:hAnsi="Arial" w:cs="Arial"/>
                <w:sz w:val="18"/>
                <w:szCs w:val="18"/>
              </w:rPr>
              <w:t>O&amp;M costs</w:t>
            </w:r>
          </w:p>
        </w:tc>
        <w:tc>
          <w:tcPr>
            <w:tcW w:w="977" w:type="dxa"/>
            <w:tcBorders>
              <w:top w:val="nil"/>
              <w:left w:val="single" w:sz="4" w:space="0" w:color="auto"/>
              <w:bottom w:val="single" w:sz="4" w:space="0" w:color="auto"/>
              <w:right w:val="nil"/>
            </w:tcBorders>
            <w:shd w:val="clear" w:color="auto" w:fill="auto"/>
            <w:noWrap/>
            <w:vAlign w:val="bottom"/>
            <w:hideMark/>
          </w:tcPr>
          <w:p w14:paraId="45604602" w14:textId="77777777" w:rsidR="000308F1" w:rsidRPr="00ED6612" w:rsidRDefault="000308F1" w:rsidP="000308F1">
            <w:pPr>
              <w:spacing w:after="0" w:line="240" w:lineRule="auto"/>
              <w:rPr>
                <w:rFonts w:ascii="Arial" w:eastAsia="Times New Roman" w:hAnsi="Arial" w:cs="Arial"/>
                <w:sz w:val="18"/>
                <w:szCs w:val="18"/>
              </w:rPr>
            </w:pPr>
            <w:r w:rsidRPr="00ED6612">
              <w:rPr>
                <w:rFonts w:ascii="Arial" w:eastAsia="Times New Roman" w:hAnsi="Arial" w:cs="Arial"/>
                <w:sz w:val="18"/>
                <w:szCs w:val="18"/>
              </w:rPr>
              <w:t xml:space="preserve">      0.015 </w:t>
            </w:r>
          </w:p>
        </w:tc>
        <w:tc>
          <w:tcPr>
            <w:tcW w:w="1500" w:type="dxa"/>
            <w:tcBorders>
              <w:top w:val="nil"/>
              <w:left w:val="nil"/>
              <w:bottom w:val="single" w:sz="4" w:space="0" w:color="auto"/>
              <w:right w:val="single" w:sz="4" w:space="0" w:color="auto"/>
            </w:tcBorders>
            <w:shd w:val="clear" w:color="auto" w:fill="auto"/>
            <w:noWrap/>
            <w:vAlign w:val="bottom"/>
            <w:hideMark/>
          </w:tcPr>
          <w:p w14:paraId="45604603" w14:textId="77777777" w:rsidR="000308F1" w:rsidRPr="00ED6612" w:rsidRDefault="000308F1" w:rsidP="000308F1">
            <w:pPr>
              <w:spacing w:after="0" w:line="240" w:lineRule="auto"/>
              <w:rPr>
                <w:rFonts w:ascii="Arial" w:eastAsia="Times New Roman" w:hAnsi="Arial" w:cs="Arial"/>
                <w:sz w:val="18"/>
                <w:szCs w:val="18"/>
              </w:rPr>
            </w:pPr>
            <w:r w:rsidRPr="00ED6612">
              <w:rPr>
                <w:rFonts w:ascii="Arial" w:eastAsia="Times New Roman" w:hAnsi="Arial" w:cs="Arial"/>
                <w:sz w:val="18"/>
                <w:szCs w:val="18"/>
              </w:rPr>
              <w:t xml:space="preserve"> </w:t>
            </w:r>
            <w:r w:rsidR="007E6A55" w:rsidRPr="00ED6612">
              <w:rPr>
                <w:rFonts w:ascii="Arial" w:eastAsia="Times New Roman" w:hAnsi="Arial" w:cs="Arial"/>
                <w:sz w:val="18"/>
                <w:szCs w:val="18"/>
              </w:rPr>
              <w:t>m</w:t>
            </w:r>
            <w:r w:rsidRPr="00ED6612">
              <w:rPr>
                <w:rFonts w:ascii="Arial" w:eastAsia="Times New Roman" w:hAnsi="Arial" w:cs="Arial"/>
                <w:sz w:val="18"/>
                <w:szCs w:val="18"/>
              </w:rPr>
              <w:t xml:space="preserve">USD/MWh </w:t>
            </w:r>
          </w:p>
        </w:tc>
        <w:tc>
          <w:tcPr>
            <w:tcW w:w="909" w:type="dxa"/>
            <w:tcBorders>
              <w:top w:val="nil"/>
              <w:left w:val="nil"/>
              <w:bottom w:val="single" w:sz="4" w:space="0" w:color="auto"/>
              <w:right w:val="nil"/>
            </w:tcBorders>
            <w:shd w:val="clear" w:color="auto" w:fill="auto"/>
            <w:noWrap/>
            <w:vAlign w:val="bottom"/>
            <w:hideMark/>
          </w:tcPr>
          <w:p w14:paraId="45604604" w14:textId="77777777" w:rsidR="000308F1" w:rsidRPr="00ED6612" w:rsidRDefault="000308F1" w:rsidP="007E6A55">
            <w:pPr>
              <w:spacing w:after="0" w:line="240" w:lineRule="auto"/>
              <w:jc w:val="right"/>
              <w:rPr>
                <w:rFonts w:ascii="Arial" w:eastAsia="Times New Roman" w:hAnsi="Arial" w:cs="Arial"/>
                <w:sz w:val="18"/>
                <w:szCs w:val="18"/>
              </w:rPr>
            </w:pPr>
            <w:r w:rsidRPr="00ED6612">
              <w:rPr>
                <w:rFonts w:ascii="Arial" w:eastAsia="Times New Roman" w:hAnsi="Arial" w:cs="Arial"/>
                <w:sz w:val="18"/>
                <w:szCs w:val="18"/>
              </w:rPr>
              <w:t xml:space="preserve">     0.02 </w:t>
            </w:r>
          </w:p>
        </w:tc>
        <w:tc>
          <w:tcPr>
            <w:tcW w:w="1337" w:type="dxa"/>
            <w:tcBorders>
              <w:top w:val="nil"/>
              <w:left w:val="nil"/>
              <w:bottom w:val="single" w:sz="4" w:space="0" w:color="auto"/>
              <w:right w:val="single" w:sz="4" w:space="0" w:color="auto"/>
            </w:tcBorders>
            <w:shd w:val="clear" w:color="auto" w:fill="auto"/>
            <w:noWrap/>
            <w:vAlign w:val="bottom"/>
            <w:hideMark/>
          </w:tcPr>
          <w:p w14:paraId="45604605" w14:textId="77777777" w:rsidR="000308F1" w:rsidRPr="00ED6612" w:rsidRDefault="000308F1" w:rsidP="000308F1">
            <w:pPr>
              <w:spacing w:after="0" w:line="240" w:lineRule="auto"/>
              <w:rPr>
                <w:rFonts w:ascii="Arial" w:eastAsia="Times New Roman" w:hAnsi="Arial" w:cs="Arial"/>
                <w:sz w:val="18"/>
                <w:szCs w:val="18"/>
              </w:rPr>
            </w:pPr>
            <w:r w:rsidRPr="00ED6612">
              <w:rPr>
                <w:rFonts w:ascii="Arial" w:eastAsia="Times New Roman" w:hAnsi="Arial" w:cs="Arial"/>
                <w:sz w:val="18"/>
                <w:szCs w:val="18"/>
              </w:rPr>
              <w:t>% of CAPEX</w:t>
            </w:r>
          </w:p>
        </w:tc>
      </w:tr>
    </w:tbl>
    <w:p w14:paraId="45604607" w14:textId="77777777" w:rsidR="000308F1" w:rsidRPr="00ED6612" w:rsidRDefault="000308F1" w:rsidP="00A33B24">
      <w:pPr>
        <w:pStyle w:val="Paragraph"/>
        <w:tabs>
          <w:tab w:val="clear" w:pos="720"/>
        </w:tabs>
        <w:spacing w:before="0" w:afterLines="80" w:after="192"/>
        <w:ind w:left="0" w:right="-634" w:firstLine="0"/>
        <w:rPr>
          <w:rFonts w:ascii="Arial" w:hAnsi="Arial" w:cs="Arial"/>
          <w:b/>
          <w:sz w:val="20"/>
          <w:szCs w:val="24"/>
        </w:rPr>
      </w:pPr>
    </w:p>
    <w:tbl>
      <w:tblPr>
        <w:tblW w:w="107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685"/>
        <w:gridCol w:w="1440"/>
        <w:gridCol w:w="3668"/>
        <w:gridCol w:w="1980"/>
      </w:tblGrid>
      <w:tr w:rsidR="00B55CF9" w:rsidRPr="00ED6612" w14:paraId="4560460C" w14:textId="77777777" w:rsidTr="00B55CF9">
        <w:trPr>
          <w:trHeight w:val="359"/>
        </w:trPr>
        <w:tc>
          <w:tcPr>
            <w:tcW w:w="3685" w:type="dxa"/>
            <w:tcBorders>
              <w:top w:val="single" w:sz="4" w:space="0" w:color="auto"/>
              <w:bottom w:val="single" w:sz="4" w:space="0" w:color="auto"/>
            </w:tcBorders>
            <w:shd w:val="clear" w:color="000000" w:fill="BFBFBF"/>
            <w:noWrap/>
            <w:vAlign w:val="center"/>
            <w:hideMark/>
          </w:tcPr>
          <w:p w14:paraId="45604608" w14:textId="77777777" w:rsidR="00B55CF9" w:rsidRPr="00ED6612" w:rsidRDefault="00B55CF9" w:rsidP="00B55CF9">
            <w:pPr>
              <w:spacing w:after="0" w:line="240" w:lineRule="auto"/>
              <w:rPr>
                <w:rFonts w:ascii="Arial" w:eastAsia="Times New Roman" w:hAnsi="Arial" w:cs="Arial"/>
                <w:b/>
                <w:color w:val="000000"/>
                <w:sz w:val="18"/>
                <w:szCs w:val="18"/>
              </w:rPr>
            </w:pPr>
            <w:r w:rsidRPr="00ED6612">
              <w:rPr>
                <w:rFonts w:ascii="Arial" w:eastAsia="Times New Roman" w:hAnsi="Arial" w:cs="Arial"/>
                <w:b/>
                <w:color w:val="000000"/>
                <w:sz w:val="18"/>
                <w:szCs w:val="18"/>
              </w:rPr>
              <w:lastRenderedPageBreak/>
              <w:t>Mix of EE Technologies</w:t>
            </w:r>
          </w:p>
        </w:tc>
        <w:tc>
          <w:tcPr>
            <w:tcW w:w="1440" w:type="dxa"/>
            <w:tcBorders>
              <w:top w:val="single" w:sz="4" w:space="0" w:color="auto"/>
              <w:bottom w:val="single" w:sz="4" w:space="0" w:color="auto"/>
            </w:tcBorders>
            <w:shd w:val="clear" w:color="000000" w:fill="BFBFBF"/>
            <w:vAlign w:val="center"/>
            <w:hideMark/>
          </w:tcPr>
          <w:p w14:paraId="45604609" w14:textId="77777777" w:rsidR="00B55CF9" w:rsidRPr="00ED6612" w:rsidRDefault="00B55CF9" w:rsidP="00B55CF9">
            <w:pPr>
              <w:spacing w:after="0" w:line="240" w:lineRule="auto"/>
              <w:jc w:val="center"/>
              <w:rPr>
                <w:rFonts w:ascii="Arial" w:eastAsia="Times New Roman" w:hAnsi="Arial" w:cs="Arial"/>
                <w:b/>
                <w:color w:val="000000"/>
                <w:sz w:val="18"/>
                <w:szCs w:val="18"/>
              </w:rPr>
            </w:pPr>
            <w:r w:rsidRPr="00ED6612">
              <w:rPr>
                <w:rFonts w:ascii="Arial" w:eastAsia="Times New Roman" w:hAnsi="Arial" w:cs="Arial"/>
                <w:b/>
                <w:color w:val="000000"/>
                <w:sz w:val="18"/>
                <w:szCs w:val="18"/>
              </w:rPr>
              <w:t># of projects</w:t>
            </w:r>
          </w:p>
        </w:tc>
        <w:tc>
          <w:tcPr>
            <w:tcW w:w="3668" w:type="dxa"/>
            <w:tcBorders>
              <w:top w:val="single" w:sz="4" w:space="0" w:color="auto"/>
              <w:bottom w:val="single" w:sz="4" w:space="0" w:color="auto"/>
            </w:tcBorders>
            <w:shd w:val="clear" w:color="000000" w:fill="BFBFBF"/>
            <w:vAlign w:val="center"/>
            <w:hideMark/>
          </w:tcPr>
          <w:p w14:paraId="4560460A" w14:textId="77777777" w:rsidR="00B55CF9" w:rsidRPr="00ED6612" w:rsidRDefault="00B55CF9" w:rsidP="00B55CF9">
            <w:pPr>
              <w:spacing w:after="0" w:line="240" w:lineRule="auto"/>
              <w:jc w:val="center"/>
              <w:rPr>
                <w:rFonts w:ascii="Arial" w:eastAsia="Times New Roman" w:hAnsi="Arial" w:cs="Arial"/>
                <w:b/>
                <w:bCs/>
                <w:color w:val="000000"/>
                <w:sz w:val="18"/>
                <w:szCs w:val="18"/>
              </w:rPr>
            </w:pPr>
            <w:r w:rsidRPr="00ED6612">
              <w:rPr>
                <w:rFonts w:ascii="Arial" w:eastAsia="Times New Roman" w:hAnsi="Arial" w:cs="Arial"/>
                <w:b/>
                <w:bCs/>
                <w:color w:val="000000"/>
                <w:sz w:val="18"/>
                <w:szCs w:val="18"/>
              </w:rPr>
              <w:t>Energy consumption (kWh/yr or Gal/yr) (baseline)</w:t>
            </w:r>
          </w:p>
        </w:tc>
        <w:tc>
          <w:tcPr>
            <w:tcW w:w="1980" w:type="dxa"/>
            <w:tcBorders>
              <w:top w:val="single" w:sz="4" w:space="0" w:color="auto"/>
              <w:bottom w:val="single" w:sz="4" w:space="0" w:color="auto"/>
            </w:tcBorders>
            <w:shd w:val="clear" w:color="000000" w:fill="BFBFBF"/>
            <w:vAlign w:val="center"/>
            <w:hideMark/>
          </w:tcPr>
          <w:p w14:paraId="4560460B" w14:textId="77777777" w:rsidR="00B55CF9" w:rsidRPr="00ED6612" w:rsidRDefault="00B55CF9" w:rsidP="00B55CF9">
            <w:pPr>
              <w:spacing w:after="0" w:line="240" w:lineRule="auto"/>
              <w:jc w:val="center"/>
              <w:rPr>
                <w:rFonts w:ascii="Arial" w:eastAsia="Times New Roman" w:hAnsi="Arial" w:cs="Arial"/>
                <w:b/>
                <w:bCs/>
                <w:color w:val="000000"/>
                <w:sz w:val="18"/>
                <w:szCs w:val="18"/>
              </w:rPr>
            </w:pPr>
            <w:r w:rsidRPr="00ED6612">
              <w:rPr>
                <w:rFonts w:ascii="Arial" w:eastAsia="Times New Roman" w:hAnsi="Arial" w:cs="Arial"/>
                <w:b/>
                <w:bCs/>
                <w:color w:val="000000"/>
                <w:sz w:val="18"/>
                <w:szCs w:val="18"/>
              </w:rPr>
              <w:t>Energy Savings (%)</w:t>
            </w:r>
          </w:p>
        </w:tc>
      </w:tr>
      <w:tr w:rsidR="00B55CF9" w:rsidRPr="00ED6612" w14:paraId="45604611" w14:textId="77777777" w:rsidTr="007E6A55">
        <w:trPr>
          <w:trHeight w:val="188"/>
        </w:trPr>
        <w:tc>
          <w:tcPr>
            <w:tcW w:w="3685" w:type="dxa"/>
            <w:tcBorders>
              <w:top w:val="single" w:sz="4" w:space="0" w:color="auto"/>
            </w:tcBorders>
            <w:shd w:val="clear" w:color="auto" w:fill="auto"/>
            <w:vAlign w:val="center"/>
            <w:hideMark/>
          </w:tcPr>
          <w:p w14:paraId="4560460D" w14:textId="77777777" w:rsidR="00B55CF9" w:rsidRPr="00ED6612" w:rsidRDefault="00B55CF9" w:rsidP="000308F1">
            <w:pPr>
              <w:spacing w:after="0" w:line="240" w:lineRule="auto"/>
              <w:ind w:firstLineChars="100" w:firstLine="180"/>
              <w:rPr>
                <w:rFonts w:ascii="Arial" w:eastAsia="Times New Roman" w:hAnsi="Arial" w:cs="Arial"/>
                <w:sz w:val="18"/>
                <w:szCs w:val="18"/>
              </w:rPr>
            </w:pPr>
            <w:r w:rsidRPr="00ED6612">
              <w:rPr>
                <w:rFonts w:ascii="Arial" w:eastAsia="Times New Roman" w:hAnsi="Arial" w:cs="Arial"/>
                <w:sz w:val="18"/>
                <w:szCs w:val="18"/>
              </w:rPr>
              <w:t>Solar Water heaters</w:t>
            </w:r>
          </w:p>
        </w:tc>
        <w:tc>
          <w:tcPr>
            <w:tcW w:w="1440" w:type="dxa"/>
            <w:tcBorders>
              <w:top w:val="single" w:sz="4" w:space="0" w:color="auto"/>
            </w:tcBorders>
            <w:shd w:val="clear" w:color="auto" w:fill="auto"/>
            <w:noWrap/>
            <w:vAlign w:val="bottom"/>
            <w:hideMark/>
          </w:tcPr>
          <w:p w14:paraId="4560460E" w14:textId="77777777" w:rsidR="00B55CF9" w:rsidRPr="00ED6612" w:rsidRDefault="00B55CF9" w:rsidP="000308F1">
            <w:pPr>
              <w:spacing w:after="0" w:line="240" w:lineRule="auto"/>
              <w:jc w:val="center"/>
              <w:rPr>
                <w:rFonts w:ascii="Arial" w:eastAsia="Times New Roman" w:hAnsi="Arial" w:cs="Arial"/>
                <w:color w:val="000000"/>
                <w:sz w:val="18"/>
                <w:szCs w:val="18"/>
              </w:rPr>
            </w:pPr>
            <w:r w:rsidRPr="00ED6612">
              <w:rPr>
                <w:rFonts w:ascii="Arial" w:eastAsia="Times New Roman" w:hAnsi="Arial" w:cs="Arial"/>
                <w:color w:val="000000"/>
                <w:sz w:val="18"/>
                <w:szCs w:val="18"/>
              </w:rPr>
              <w:t>46</w:t>
            </w:r>
          </w:p>
        </w:tc>
        <w:tc>
          <w:tcPr>
            <w:tcW w:w="3668" w:type="dxa"/>
            <w:tcBorders>
              <w:top w:val="single" w:sz="4" w:space="0" w:color="auto"/>
            </w:tcBorders>
            <w:shd w:val="clear" w:color="auto" w:fill="auto"/>
            <w:vAlign w:val="center"/>
            <w:hideMark/>
          </w:tcPr>
          <w:p w14:paraId="4560460F" w14:textId="77777777" w:rsidR="00B55CF9" w:rsidRPr="00ED6612" w:rsidRDefault="00B55CF9" w:rsidP="000308F1">
            <w:pPr>
              <w:spacing w:after="0" w:line="240" w:lineRule="auto"/>
              <w:jc w:val="center"/>
              <w:rPr>
                <w:rFonts w:ascii="Arial" w:eastAsia="Times New Roman" w:hAnsi="Arial" w:cs="Arial"/>
                <w:sz w:val="18"/>
                <w:szCs w:val="18"/>
              </w:rPr>
            </w:pPr>
            <w:r w:rsidRPr="00ED6612">
              <w:rPr>
                <w:rFonts w:ascii="Arial" w:eastAsia="Times New Roman" w:hAnsi="Arial" w:cs="Arial"/>
                <w:sz w:val="18"/>
                <w:szCs w:val="18"/>
              </w:rPr>
              <w:t>32,385</w:t>
            </w:r>
          </w:p>
        </w:tc>
        <w:tc>
          <w:tcPr>
            <w:tcW w:w="1980" w:type="dxa"/>
            <w:tcBorders>
              <w:top w:val="single" w:sz="4" w:space="0" w:color="auto"/>
            </w:tcBorders>
            <w:shd w:val="clear" w:color="auto" w:fill="auto"/>
            <w:noWrap/>
            <w:vAlign w:val="bottom"/>
            <w:hideMark/>
          </w:tcPr>
          <w:p w14:paraId="45604610" w14:textId="77777777" w:rsidR="00B55CF9" w:rsidRPr="00ED6612" w:rsidRDefault="00B55CF9" w:rsidP="000308F1">
            <w:pPr>
              <w:spacing w:after="0" w:line="240" w:lineRule="auto"/>
              <w:jc w:val="right"/>
              <w:rPr>
                <w:rFonts w:ascii="Arial" w:eastAsia="Times New Roman" w:hAnsi="Arial" w:cs="Arial"/>
                <w:color w:val="000000"/>
                <w:sz w:val="18"/>
                <w:szCs w:val="18"/>
              </w:rPr>
            </w:pPr>
            <w:r w:rsidRPr="00ED6612">
              <w:rPr>
                <w:rFonts w:ascii="Arial" w:eastAsia="Times New Roman" w:hAnsi="Arial" w:cs="Arial"/>
                <w:color w:val="000000"/>
                <w:sz w:val="18"/>
                <w:szCs w:val="18"/>
              </w:rPr>
              <w:t>60%</w:t>
            </w:r>
          </w:p>
        </w:tc>
      </w:tr>
      <w:tr w:rsidR="00B55CF9" w:rsidRPr="00ED6612" w14:paraId="45604616" w14:textId="77777777" w:rsidTr="007E6A55">
        <w:trPr>
          <w:trHeight w:val="261"/>
        </w:trPr>
        <w:tc>
          <w:tcPr>
            <w:tcW w:w="3685" w:type="dxa"/>
            <w:shd w:val="clear" w:color="auto" w:fill="auto"/>
            <w:vAlign w:val="center"/>
            <w:hideMark/>
          </w:tcPr>
          <w:p w14:paraId="45604612" w14:textId="77777777" w:rsidR="00B55CF9" w:rsidRPr="00ED6612" w:rsidRDefault="00B55CF9" w:rsidP="000308F1">
            <w:pPr>
              <w:spacing w:after="0" w:line="240" w:lineRule="auto"/>
              <w:ind w:firstLineChars="100" w:firstLine="180"/>
              <w:rPr>
                <w:rFonts w:ascii="Arial" w:eastAsia="Times New Roman" w:hAnsi="Arial" w:cs="Arial"/>
                <w:sz w:val="18"/>
                <w:szCs w:val="18"/>
              </w:rPr>
            </w:pPr>
            <w:r w:rsidRPr="00ED6612">
              <w:rPr>
                <w:rFonts w:ascii="Arial" w:eastAsia="Times New Roman" w:hAnsi="Arial" w:cs="Arial"/>
                <w:sz w:val="18"/>
                <w:szCs w:val="18"/>
              </w:rPr>
              <w:t>Efficient boilers</w:t>
            </w:r>
          </w:p>
        </w:tc>
        <w:tc>
          <w:tcPr>
            <w:tcW w:w="1440" w:type="dxa"/>
            <w:shd w:val="clear" w:color="auto" w:fill="auto"/>
            <w:noWrap/>
            <w:vAlign w:val="bottom"/>
            <w:hideMark/>
          </w:tcPr>
          <w:p w14:paraId="45604613" w14:textId="77777777" w:rsidR="00B55CF9" w:rsidRPr="00ED6612" w:rsidRDefault="00B55CF9" w:rsidP="000308F1">
            <w:pPr>
              <w:spacing w:after="0" w:line="240" w:lineRule="auto"/>
              <w:jc w:val="center"/>
              <w:rPr>
                <w:rFonts w:ascii="Arial" w:eastAsia="Times New Roman" w:hAnsi="Arial" w:cs="Arial"/>
                <w:color w:val="000000"/>
                <w:sz w:val="18"/>
                <w:szCs w:val="18"/>
              </w:rPr>
            </w:pPr>
            <w:r w:rsidRPr="00ED6612">
              <w:rPr>
                <w:rFonts w:ascii="Arial" w:eastAsia="Times New Roman" w:hAnsi="Arial" w:cs="Arial"/>
                <w:color w:val="000000"/>
                <w:sz w:val="18"/>
                <w:szCs w:val="18"/>
              </w:rPr>
              <w:t>17</w:t>
            </w:r>
          </w:p>
        </w:tc>
        <w:tc>
          <w:tcPr>
            <w:tcW w:w="3668" w:type="dxa"/>
            <w:shd w:val="clear" w:color="auto" w:fill="auto"/>
            <w:vAlign w:val="center"/>
            <w:hideMark/>
          </w:tcPr>
          <w:p w14:paraId="45604614" w14:textId="77777777" w:rsidR="00B55CF9" w:rsidRPr="00ED6612" w:rsidRDefault="00B55CF9" w:rsidP="000308F1">
            <w:pPr>
              <w:spacing w:after="0" w:line="240" w:lineRule="auto"/>
              <w:jc w:val="center"/>
              <w:rPr>
                <w:rFonts w:ascii="Arial" w:eastAsia="Times New Roman" w:hAnsi="Arial" w:cs="Arial"/>
                <w:sz w:val="18"/>
                <w:szCs w:val="18"/>
              </w:rPr>
            </w:pPr>
            <w:r w:rsidRPr="00ED6612">
              <w:rPr>
                <w:rFonts w:ascii="Arial" w:eastAsia="Times New Roman" w:hAnsi="Arial" w:cs="Arial"/>
                <w:sz w:val="18"/>
                <w:szCs w:val="18"/>
              </w:rPr>
              <w:t>760,010</w:t>
            </w:r>
          </w:p>
        </w:tc>
        <w:tc>
          <w:tcPr>
            <w:tcW w:w="1980" w:type="dxa"/>
            <w:shd w:val="clear" w:color="auto" w:fill="auto"/>
            <w:noWrap/>
            <w:vAlign w:val="bottom"/>
            <w:hideMark/>
          </w:tcPr>
          <w:p w14:paraId="45604615" w14:textId="77777777" w:rsidR="00B55CF9" w:rsidRPr="00ED6612" w:rsidRDefault="00B55CF9" w:rsidP="000308F1">
            <w:pPr>
              <w:spacing w:after="0" w:line="240" w:lineRule="auto"/>
              <w:jc w:val="right"/>
              <w:rPr>
                <w:rFonts w:ascii="Arial" w:eastAsia="Times New Roman" w:hAnsi="Arial" w:cs="Arial"/>
                <w:color w:val="000000"/>
                <w:sz w:val="18"/>
                <w:szCs w:val="18"/>
              </w:rPr>
            </w:pPr>
            <w:r w:rsidRPr="00ED6612">
              <w:rPr>
                <w:rFonts w:ascii="Arial" w:eastAsia="Times New Roman" w:hAnsi="Arial" w:cs="Arial"/>
                <w:color w:val="000000"/>
                <w:sz w:val="18"/>
                <w:szCs w:val="18"/>
              </w:rPr>
              <w:t>6%</w:t>
            </w:r>
          </w:p>
        </w:tc>
      </w:tr>
      <w:tr w:rsidR="00B55CF9" w:rsidRPr="00ED6612" w14:paraId="4560461B" w14:textId="77777777" w:rsidTr="007E6A55">
        <w:trPr>
          <w:trHeight w:val="189"/>
        </w:trPr>
        <w:tc>
          <w:tcPr>
            <w:tcW w:w="3685" w:type="dxa"/>
            <w:shd w:val="clear" w:color="auto" w:fill="auto"/>
            <w:vAlign w:val="center"/>
            <w:hideMark/>
          </w:tcPr>
          <w:p w14:paraId="45604617" w14:textId="77777777" w:rsidR="00B55CF9" w:rsidRPr="00ED6612" w:rsidRDefault="00B55CF9" w:rsidP="000308F1">
            <w:pPr>
              <w:spacing w:after="0" w:line="240" w:lineRule="auto"/>
              <w:ind w:firstLineChars="100" w:firstLine="180"/>
              <w:rPr>
                <w:rFonts w:ascii="Arial" w:eastAsia="Times New Roman" w:hAnsi="Arial" w:cs="Arial"/>
                <w:sz w:val="18"/>
                <w:szCs w:val="18"/>
              </w:rPr>
            </w:pPr>
            <w:r w:rsidRPr="00ED6612">
              <w:rPr>
                <w:rFonts w:ascii="Arial" w:eastAsia="Times New Roman" w:hAnsi="Arial" w:cs="Arial"/>
                <w:sz w:val="18"/>
                <w:szCs w:val="18"/>
              </w:rPr>
              <w:t>Electric motors</w:t>
            </w:r>
          </w:p>
        </w:tc>
        <w:tc>
          <w:tcPr>
            <w:tcW w:w="1440" w:type="dxa"/>
            <w:shd w:val="clear" w:color="auto" w:fill="auto"/>
            <w:noWrap/>
            <w:vAlign w:val="bottom"/>
            <w:hideMark/>
          </w:tcPr>
          <w:p w14:paraId="45604618" w14:textId="77777777" w:rsidR="00B55CF9" w:rsidRPr="00ED6612" w:rsidRDefault="00B55CF9" w:rsidP="000308F1">
            <w:pPr>
              <w:spacing w:after="0" w:line="240" w:lineRule="auto"/>
              <w:jc w:val="center"/>
              <w:rPr>
                <w:rFonts w:ascii="Arial" w:eastAsia="Times New Roman" w:hAnsi="Arial" w:cs="Arial"/>
                <w:color w:val="000000"/>
                <w:sz w:val="18"/>
                <w:szCs w:val="18"/>
              </w:rPr>
            </w:pPr>
            <w:r w:rsidRPr="00ED6612">
              <w:rPr>
                <w:rFonts w:ascii="Arial" w:eastAsia="Times New Roman" w:hAnsi="Arial" w:cs="Arial"/>
                <w:color w:val="000000"/>
                <w:sz w:val="18"/>
                <w:szCs w:val="18"/>
              </w:rPr>
              <w:t>17</w:t>
            </w:r>
          </w:p>
        </w:tc>
        <w:tc>
          <w:tcPr>
            <w:tcW w:w="3668" w:type="dxa"/>
            <w:shd w:val="clear" w:color="auto" w:fill="auto"/>
            <w:vAlign w:val="center"/>
            <w:hideMark/>
          </w:tcPr>
          <w:p w14:paraId="45604619" w14:textId="77777777" w:rsidR="00B55CF9" w:rsidRPr="00ED6612" w:rsidRDefault="00B55CF9" w:rsidP="000308F1">
            <w:pPr>
              <w:spacing w:after="0" w:line="240" w:lineRule="auto"/>
              <w:jc w:val="center"/>
              <w:rPr>
                <w:rFonts w:ascii="Arial" w:eastAsia="Times New Roman" w:hAnsi="Arial" w:cs="Arial"/>
                <w:sz w:val="18"/>
                <w:szCs w:val="18"/>
              </w:rPr>
            </w:pPr>
            <w:r w:rsidRPr="00ED6612">
              <w:rPr>
                <w:rFonts w:ascii="Arial" w:eastAsia="Times New Roman" w:hAnsi="Arial" w:cs="Arial"/>
                <w:sz w:val="18"/>
                <w:szCs w:val="18"/>
              </w:rPr>
              <w:t>3,163,392</w:t>
            </w:r>
          </w:p>
        </w:tc>
        <w:tc>
          <w:tcPr>
            <w:tcW w:w="1980" w:type="dxa"/>
            <w:shd w:val="clear" w:color="auto" w:fill="auto"/>
            <w:noWrap/>
            <w:vAlign w:val="bottom"/>
            <w:hideMark/>
          </w:tcPr>
          <w:p w14:paraId="4560461A" w14:textId="77777777" w:rsidR="00B55CF9" w:rsidRPr="00ED6612" w:rsidRDefault="00B55CF9" w:rsidP="000308F1">
            <w:pPr>
              <w:spacing w:after="0" w:line="240" w:lineRule="auto"/>
              <w:jc w:val="right"/>
              <w:rPr>
                <w:rFonts w:ascii="Arial" w:eastAsia="Times New Roman" w:hAnsi="Arial" w:cs="Arial"/>
                <w:color w:val="000000"/>
                <w:sz w:val="18"/>
                <w:szCs w:val="18"/>
              </w:rPr>
            </w:pPr>
            <w:r w:rsidRPr="00ED6612">
              <w:rPr>
                <w:rFonts w:ascii="Arial" w:eastAsia="Times New Roman" w:hAnsi="Arial" w:cs="Arial"/>
                <w:color w:val="000000"/>
                <w:sz w:val="18"/>
                <w:szCs w:val="18"/>
              </w:rPr>
              <w:t>5%</w:t>
            </w:r>
          </w:p>
        </w:tc>
      </w:tr>
      <w:tr w:rsidR="00B55CF9" w:rsidRPr="00ED6612" w14:paraId="45604620" w14:textId="77777777" w:rsidTr="007E6A55">
        <w:trPr>
          <w:trHeight w:val="243"/>
        </w:trPr>
        <w:tc>
          <w:tcPr>
            <w:tcW w:w="3685" w:type="dxa"/>
            <w:shd w:val="clear" w:color="auto" w:fill="auto"/>
            <w:vAlign w:val="center"/>
            <w:hideMark/>
          </w:tcPr>
          <w:p w14:paraId="4560461C" w14:textId="77777777" w:rsidR="00B55CF9" w:rsidRPr="00ED6612" w:rsidRDefault="00B55CF9" w:rsidP="000308F1">
            <w:pPr>
              <w:spacing w:after="0" w:line="240" w:lineRule="auto"/>
              <w:ind w:firstLineChars="100" w:firstLine="180"/>
              <w:rPr>
                <w:rFonts w:ascii="Arial" w:eastAsia="Times New Roman" w:hAnsi="Arial" w:cs="Arial"/>
                <w:sz w:val="18"/>
                <w:szCs w:val="18"/>
              </w:rPr>
            </w:pPr>
            <w:r w:rsidRPr="00ED6612">
              <w:rPr>
                <w:rFonts w:ascii="Arial" w:eastAsia="Times New Roman" w:hAnsi="Arial" w:cs="Arial"/>
                <w:sz w:val="18"/>
                <w:szCs w:val="18"/>
              </w:rPr>
              <w:t>Refrigeration systems</w:t>
            </w:r>
          </w:p>
        </w:tc>
        <w:tc>
          <w:tcPr>
            <w:tcW w:w="1440" w:type="dxa"/>
            <w:shd w:val="clear" w:color="auto" w:fill="auto"/>
            <w:noWrap/>
            <w:vAlign w:val="bottom"/>
            <w:hideMark/>
          </w:tcPr>
          <w:p w14:paraId="4560461D" w14:textId="77777777" w:rsidR="00B55CF9" w:rsidRPr="00ED6612" w:rsidRDefault="00B55CF9" w:rsidP="000308F1">
            <w:pPr>
              <w:spacing w:after="0" w:line="240" w:lineRule="auto"/>
              <w:jc w:val="center"/>
              <w:rPr>
                <w:rFonts w:ascii="Arial" w:eastAsia="Times New Roman" w:hAnsi="Arial" w:cs="Arial"/>
                <w:color w:val="000000"/>
                <w:sz w:val="18"/>
                <w:szCs w:val="18"/>
              </w:rPr>
            </w:pPr>
            <w:r w:rsidRPr="00ED6612">
              <w:rPr>
                <w:rFonts w:ascii="Arial" w:eastAsia="Times New Roman" w:hAnsi="Arial" w:cs="Arial"/>
                <w:color w:val="000000"/>
                <w:sz w:val="18"/>
                <w:szCs w:val="18"/>
              </w:rPr>
              <w:t>11</w:t>
            </w:r>
          </w:p>
        </w:tc>
        <w:tc>
          <w:tcPr>
            <w:tcW w:w="3668" w:type="dxa"/>
            <w:shd w:val="clear" w:color="auto" w:fill="auto"/>
            <w:vAlign w:val="center"/>
            <w:hideMark/>
          </w:tcPr>
          <w:p w14:paraId="4560461E" w14:textId="77777777" w:rsidR="00B55CF9" w:rsidRPr="00ED6612" w:rsidRDefault="00B55CF9" w:rsidP="000308F1">
            <w:pPr>
              <w:spacing w:after="0" w:line="240" w:lineRule="auto"/>
              <w:jc w:val="center"/>
              <w:rPr>
                <w:rFonts w:ascii="Arial" w:eastAsia="Times New Roman" w:hAnsi="Arial" w:cs="Arial"/>
                <w:sz w:val="18"/>
                <w:szCs w:val="18"/>
              </w:rPr>
            </w:pPr>
            <w:r w:rsidRPr="00ED6612">
              <w:rPr>
                <w:rFonts w:ascii="Arial" w:eastAsia="Times New Roman" w:hAnsi="Arial" w:cs="Arial"/>
                <w:sz w:val="18"/>
                <w:szCs w:val="18"/>
              </w:rPr>
              <w:t>4,274,880</w:t>
            </w:r>
          </w:p>
        </w:tc>
        <w:tc>
          <w:tcPr>
            <w:tcW w:w="1980" w:type="dxa"/>
            <w:shd w:val="clear" w:color="auto" w:fill="auto"/>
            <w:noWrap/>
            <w:vAlign w:val="bottom"/>
            <w:hideMark/>
          </w:tcPr>
          <w:p w14:paraId="4560461F" w14:textId="77777777" w:rsidR="00B55CF9" w:rsidRPr="00ED6612" w:rsidRDefault="00B55CF9" w:rsidP="000308F1">
            <w:pPr>
              <w:spacing w:after="0" w:line="240" w:lineRule="auto"/>
              <w:jc w:val="right"/>
              <w:rPr>
                <w:rFonts w:ascii="Arial" w:eastAsia="Times New Roman" w:hAnsi="Arial" w:cs="Arial"/>
                <w:color w:val="000000"/>
                <w:sz w:val="18"/>
                <w:szCs w:val="18"/>
              </w:rPr>
            </w:pPr>
            <w:r w:rsidRPr="00ED6612">
              <w:rPr>
                <w:rFonts w:ascii="Arial" w:eastAsia="Times New Roman" w:hAnsi="Arial" w:cs="Arial"/>
                <w:color w:val="000000"/>
                <w:sz w:val="18"/>
                <w:szCs w:val="18"/>
              </w:rPr>
              <w:t>27%</w:t>
            </w:r>
          </w:p>
        </w:tc>
      </w:tr>
      <w:tr w:rsidR="00B55CF9" w:rsidRPr="00ED6612" w14:paraId="45604625" w14:textId="77777777" w:rsidTr="007E6A55">
        <w:trPr>
          <w:trHeight w:val="279"/>
        </w:trPr>
        <w:tc>
          <w:tcPr>
            <w:tcW w:w="3685" w:type="dxa"/>
            <w:shd w:val="clear" w:color="auto" w:fill="auto"/>
            <w:vAlign w:val="center"/>
            <w:hideMark/>
          </w:tcPr>
          <w:p w14:paraId="45604621" w14:textId="77777777" w:rsidR="00B55CF9" w:rsidRPr="00ED6612" w:rsidRDefault="00B55CF9" w:rsidP="000308F1">
            <w:pPr>
              <w:spacing w:after="0" w:line="240" w:lineRule="auto"/>
              <w:ind w:firstLineChars="100" w:firstLine="180"/>
              <w:rPr>
                <w:rFonts w:ascii="Arial" w:eastAsia="Times New Roman" w:hAnsi="Arial" w:cs="Arial"/>
                <w:sz w:val="18"/>
                <w:szCs w:val="18"/>
              </w:rPr>
            </w:pPr>
            <w:r w:rsidRPr="00ED6612">
              <w:rPr>
                <w:rFonts w:ascii="Arial" w:eastAsia="Times New Roman" w:hAnsi="Arial" w:cs="Arial"/>
                <w:sz w:val="18"/>
                <w:szCs w:val="18"/>
              </w:rPr>
              <w:t>Air conditioning</w:t>
            </w:r>
          </w:p>
        </w:tc>
        <w:tc>
          <w:tcPr>
            <w:tcW w:w="1440" w:type="dxa"/>
            <w:shd w:val="clear" w:color="auto" w:fill="auto"/>
            <w:noWrap/>
            <w:vAlign w:val="bottom"/>
            <w:hideMark/>
          </w:tcPr>
          <w:p w14:paraId="45604622" w14:textId="77777777" w:rsidR="00B55CF9" w:rsidRPr="00ED6612" w:rsidRDefault="00B55CF9" w:rsidP="000308F1">
            <w:pPr>
              <w:spacing w:after="0" w:line="240" w:lineRule="auto"/>
              <w:jc w:val="center"/>
              <w:rPr>
                <w:rFonts w:ascii="Arial" w:eastAsia="Times New Roman" w:hAnsi="Arial" w:cs="Arial"/>
                <w:color w:val="000000"/>
                <w:sz w:val="18"/>
                <w:szCs w:val="18"/>
              </w:rPr>
            </w:pPr>
            <w:r w:rsidRPr="00ED6612">
              <w:rPr>
                <w:rFonts w:ascii="Arial" w:eastAsia="Times New Roman" w:hAnsi="Arial" w:cs="Arial"/>
                <w:color w:val="000000"/>
                <w:sz w:val="18"/>
                <w:szCs w:val="18"/>
              </w:rPr>
              <w:t>17</w:t>
            </w:r>
          </w:p>
        </w:tc>
        <w:tc>
          <w:tcPr>
            <w:tcW w:w="3668" w:type="dxa"/>
            <w:shd w:val="clear" w:color="auto" w:fill="auto"/>
            <w:vAlign w:val="center"/>
            <w:hideMark/>
          </w:tcPr>
          <w:p w14:paraId="45604623" w14:textId="77777777" w:rsidR="00B55CF9" w:rsidRPr="00ED6612" w:rsidRDefault="00B55CF9" w:rsidP="000308F1">
            <w:pPr>
              <w:spacing w:after="0" w:line="240" w:lineRule="auto"/>
              <w:jc w:val="center"/>
              <w:rPr>
                <w:rFonts w:ascii="Arial" w:eastAsia="Times New Roman" w:hAnsi="Arial" w:cs="Arial"/>
                <w:sz w:val="18"/>
                <w:szCs w:val="18"/>
              </w:rPr>
            </w:pPr>
            <w:r w:rsidRPr="00ED6612">
              <w:rPr>
                <w:rFonts w:ascii="Arial" w:eastAsia="Times New Roman" w:hAnsi="Arial" w:cs="Arial"/>
                <w:sz w:val="18"/>
                <w:szCs w:val="18"/>
              </w:rPr>
              <w:t>2,275,165</w:t>
            </w:r>
          </w:p>
        </w:tc>
        <w:tc>
          <w:tcPr>
            <w:tcW w:w="1980" w:type="dxa"/>
            <w:shd w:val="clear" w:color="auto" w:fill="auto"/>
            <w:noWrap/>
            <w:vAlign w:val="bottom"/>
            <w:hideMark/>
          </w:tcPr>
          <w:p w14:paraId="45604624" w14:textId="77777777" w:rsidR="00B55CF9" w:rsidRPr="00ED6612" w:rsidRDefault="00B55CF9" w:rsidP="000308F1">
            <w:pPr>
              <w:spacing w:after="0" w:line="240" w:lineRule="auto"/>
              <w:jc w:val="right"/>
              <w:rPr>
                <w:rFonts w:ascii="Arial" w:eastAsia="Times New Roman" w:hAnsi="Arial" w:cs="Arial"/>
                <w:color w:val="000000"/>
                <w:sz w:val="18"/>
                <w:szCs w:val="18"/>
              </w:rPr>
            </w:pPr>
            <w:r w:rsidRPr="00ED6612">
              <w:rPr>
                <w:rFonts w:ascii="Arial" w:eastAsia="Times New Roman" w:hAnsi="Arial" w:cs="Arial"/>
                <w:color w:val="000000"/>
                <w:sz w:val="18"/>
                <w:szCs w:val="18"/>
              </w:rPr>
              <w:t>20%</w:t>
            </w:r>
          </w:p>
        </w:tc>
      </w:tr>
      <w:tr w:rsidR="00B55CF9" w:rsidRPr="00ED6612" w14:paraId="4560462A" w14:textId="77777777" w:rsidTr="007E6A55">
        <w:trPr>
          <w:trHeight w:val="171"/>
        </w:trPr>
        <w:tc>
          <w:tcPr>
            <w:tcW w:w="3685" w:type="dxa"/>
            <w:tcBorders>
              <w:bottom w:val="single" w:sz="4" w:space="0" w:color="auto"/>
            </w:tcBorders>
            <w:shd w:val="clear" w:color="auto" w:fill="auto"/>
            <w:vAlign w:val="center"/>
            <w:hideMark/>
          </w:tcPr>
          <w:p w14:paraId="45604626" w14:textId="77777777" w:rsidR="00B55CF9" w:rsidRPr="00ED6612" w:rsidRDefault="00B55CF9" w:rsidP="000308F1">
            <w:pPr>
              <w:spacing w:after="0" w:line="240" w:lineRule="auto"/>
              <w:ind w:firstLineChars="100" w:firstLine="180"/>
              <w:rPr>
                <w:rFonts w:ascii="Arial" w:eastAsia="Times New Roman" w:hAnsi="Arial" w:cs="Arial"/>
                <w:sz w:val="18"/>
                <w:szCs w:val="18"/>
              </w:rPr>
            </w:pPr>
            <w:r w:rsidRPr="00ED6612">
              <w:rPr>
                <w:rFonts w:ascii="Arial" w:eastAsia="Times New Roman" w:hAnsi="Arial" w:cs="Arial"/>
                <w:sz w:val="18"/>
                <w:szCs w:val="18"/>
              </w:rPr>
              <w:t>Cogeneration</w:t>
            </w:r>
          </w:p>
        </w:tc>
        <w:tc>
          <w:tcPr>
            <w:tcW w:w="1440" w:type="dxa"/>
            <w:tcBorders>
              <w:bottom w:val="single" w:sz="4" w:space="0" w:color="auto"/>
            </w:tcBorders>
            <w:shd w:val="clear" w:color="auto" w:fill="auto"/>
            <w:noWrap/>
            <w:vAlign w:val="bottom"/>
            <w:hideMark/>
          </w:tcPr>
          <w:p w14:paraId="45604627" w14:textId="77777777" w:rsidR="00B55CF9" w:rsidRPr="00ED6612" w:rsidRDefault="00B55CF9" w:rsidP="000308F1">
            <w:pPr>
              <w:spacing w:after="0" w:line="240" w:lineRule="auto"/>
              <w:jc w:val="center"/>
              <w:rPr>
                <w:rFonts w:ascii="Arial" w:eastAsia="Times New Roman" w:hAnsi="Arial" w:cs="Arial"/>
                <w:color w:val="000000"/>
                <w:sz w:val="18"/>
                <w:szCs w:val="18"/>
              </w:rPr>
            </w:pPr>
            <w:r w:rsidRPr="00ED6612">
              <w:rPr>
                <w:rFonts w:ascii="Arial" w:eastAsia="Times New Roman" w:hAnsi="Arial" w:cs="Arial"/>
                <w:color w:val="000000"/>
                <w:sz w:val="18"/>
                <w:szCs w:val="18"/>
              </w:rPr>
              <w:t>6</w:t>
            </w:r>
          </w:p>
        </w:tc>
        <w:tc>
          <w:tcPr>
            <w:tcW w:w="3668" w:type="dxa"/>
            <w:tcBorders>
              <w:bottom w:val="single" w:sz="4" w:space="0" w:color="auto"/>
            </w:tcBorders>
            <w:shd w:val="clear" w:color="auto" w:fill="auto"/>
            <w:vAlign w:val="center"/>
            <w:hideMark/>
          </w:tcPr>
          <w:p w14:paraId="45604628" w14:textId="77777777" w:rsidR="00B55CF9" w:rsidRPr="00ED6612" w:rsidRDefault="00B55CF9" w:rsidP="000308F1">
            <w:pPr>
              <w:spacing w:after="0" w:line="240" w:lineRule="auto"/>
              <w:jc w:val="center"/>
              <w:rPr>
                <w:rFonts w:ascii="Arial" w:eastAsia="Times New Roman" w:hAnsi="Arial" w:cs="Arial"/>
                <w:sz w:val="18"/>
                <w:szCs w:val="18"/>
              </w:rPr>
            </w:pPr>
            <w:r w:rsidRPr="00ED6612">
              <w:rPr>
                <w:rFonts w:ascii="Arial" w:eastAsia="Times New Roman" w:hAnsi="Arial" w:cs="Arial"/>
                <w:sz w:val="18"/>
                <w:szCs w:val="18"/>
              </w:rPr>
              <w:t>525,600</w:t>
            </w:r>
          </w:p>
        </w:tc>
        <w:tc>
          <w:tcPr>
            <w:tcW w:w="1980" w:type="dxa"/>
            <w:tcBorders>
              <w:bottom w:val="single" w:sz="4" w:space="0" w:color="auto"/>
            </w:tcBorders>
            <w:shd w:val="clear" w:color="auto" w:fill="auto"/>
            <w:noWrap/>
            <w:vAlign w:val="bottom"/>
            <w:hideMark/>
          </w:tcPr>
          <w:p w14:paraId="45604629" w14:textId="77777777" w:rsidR="00B55CF9" w:rsidRPr="00ED6612" w:rsidRDefault="00B55CF9" w:rsidP="000308F1">
            <w:pPr>
              <w:spacing w:after="0" w:line="240" w:lineRule="auto"/>
              <w:jc w:val="right"/>
              <w:rPr>
                <w:rFonts w:ascii="Arial" w:eastAsia="Times New Roman" w:hAnsi="Arial" w:cs="Arial"/>
                <w:color w:val="000000"/>
                <w:sz w:val="18"/>
                <w:szCs w:val="18"/>
              </w:rPr>
            </w:pPr>
            <w:r w:rsidRPr="00ED6612">
              <w:rPr>
                <w:rFonts w:ascii="Arial" w:eastAsia="Times New Roman" w:hAnsi="Arial" w:cs="Arial"/>
                <w:color w:val="000000"/>
                <w:sz w:val="18"/>
                <w:szCs w:val="18"/>
              </w:rPr>
              <w:t>35%</w:t>
            </w:r>
          </w:p>
        </w:tc>
      </w:tr>
      <w:tr w:rsidR="00B55CF9" w:rsidRPr="00ED6612" w14:paraId="4560462F" w14:textId="77777777" w:rsidTr="007E6A55">
        <w:trPr>
          <w:trHeight w:val="224"/>
        </w:trPr>
        <w:tc>
          <w:tcPr>
            <w:tcW w:w="3685" w:type="dxa"/>
            <w:tcBorders>
              <w:top w:val="single" w:sz="4" w:space="0" w:color="auto"/>
              <w:bottom w:val="single" w:sz="4" w:space="0" w:color="auto"/>
            </w:tcBorders>
            <w:shd w:val="clear" w:color="auto" w:fill="auto"/>
            <w:vAlign w:val="center"/>
            <w:hideMark/>
          </w:tcPr>
          <w:p w14:paraId="4560462B" w14:textId="77777777" w:rsidR="00B55CF9" w:rsidRPr="00ED6612" w:rsidRDefault="007E6A55" w:rsidP="000308F1">
            <w:pPr>
              <w:spacing w:after="0" w:line="240" w:lineRule="auto"/>
              <w:rPr>
                <w:rFonts w:ascii="Arial" w:eastAsia="Times New Roman" w:hAnsi="Arial" w:cs="Arial"/>
                <w:b/>
                <w:bCs/>
                <w:sz w:val="18"/>
                <w:szCs w:val="18"/>
              </w:rPr>
            </w:pPr>
            <w:r w:rsidRPr="00ED6612">
              <w:rPr>
                <w:rFonts w:ascii="Arial" w:eastAsia="Times New Roman" w:hAnsi="Arial" w:cs="Arial"/>
                <w:b/>
                <w:bCs/>
                <w:sz w:val="18"/>
                <w:szCs w:val="18"/>
              </w:rPr>
              <w:t>Total</w:t>
            </w:r>
          </w:p>
        </w:tc>
        <w:tc>
          <w:tcPr>
            <w:tcW w:w="1440" w:type="dxa"/>
            <w:tcBorders>
              <w:top w:val="single" w:sz="4" w:space="0" w:color="auto"/>
              <w:bottom w:val="single" w:sz="4" w:space="0" w:color="auto"/>
            </w:tcBorders>
            <w:shd w:val="clear" w:color="auto" w:fill="auto"/>
            <w:noWrap/>
            <w:vAlign w:val="bottom"/>
            <w:hideMark/>
          </w:tcPr>
          <w:p w14:paraId="4560462C" w14:textId="77777777" w:rsidR="00B55CF9" w:rsidRPr="00ED6612" w:rsidRDefault="00B55CF9" w:rsidP="000308F1">
            <w:pPr>
              <w:spacing w:after="0" w:line="240" w:lineRule="auto"/>
              <w:jc w:val="center"/>
              <w:rPr>
                <w:rFonts w:ascii="Arial" w:eastAsia="Times New Roman" w:hAnsi="Arial" w:cs="Arial"/>
                <w:b/>
                <w:bCs/>
                <w:color w:val="000000"/>
                <w:sz w:val="18"/>
                <w:szCs w:val="18"/>
              </w:rPr>
            </w:pPr>
            <w:r w:rsidRPr="00ED6612">
              <w:rPr>
                <w:rFonts w:ascii="Arial" w:eastAsia="Times New Roman" w:hAnsi="Arial" w:cs="Arial"/>
                <w:b/>
                <w:bCs/>
                <w:color w:val="000000"/>
                <w:sz w:val="18"/>
                <w:szCs w:val="18"/>
              </w:rPr>
              <w:t>114</w:t>
            </w:r>
          </w:p>
        </w:tc>
        <w:tc>
          <w:tcPr>
            <w:tcW w:w="3668" w:type="dxa"/>
            <w:tcBorders>
              <w:top w:val="single" w:sz="4" w:space="0" w:color="auto"/>
              <w:bottom w:val="single" w:sz="4" w:space="0" w:color="auto"/>
            </w:tcBorders>
            <w:shd w:val="clear" w:color="auto" w:fill="auto"/>
            <w:noWrap/>
            <w:vAlign w:val="bottom"/>
          </w:tcPr>
          <w:p w14:paraId="4560462D" w14:textId="77777777" w:rsidR="00B55CF9" w:rsidRPr="00ED6612" w:rsidRDefault="00B55CF9" w:rsidP="000308F1">
            <w:pPr>
              <w:spacing w:after="0" w:line="240" w:lineRule="auto"/>
              <w:jc w:val="center"/>
              <w:rPr>
                <w:rFonts w:ascii="Arial" w:eastAsia="Times New Roman" w:hAnsi="Arial" w:cs="Arial"/>
                <w:b/>
                <w:bCs/>
                <w:color w:val="000000"/>
                <w:sz w:val="18"/>
                <w:szCs w:val="18"/>
              </w:rPr>
            </w:pPr>
          </w:p>
        </w:tc>
        <w:tc>
          <w:tcPr>
            <w:tcW w:w="1980" w:type="dxa"/>
            <w:tcBorders>
              <w:top w:val="single" w:sz="4" w:space="0" w:color="auto"/>
              <w:bottom w:val="single" w:sz="4" w:space="0" w:color="auto"/>
            </w:tcBorders>
            <w:shd w:val="clear" w:color="auto" w:fill="auto"/>
            <w:noWrap/>
            <w:vAlign w:val="bottom"/>
          </w:tcPr>
          <w:p w14:paraId="4560462E" w14:textId="77777777" w:rsidR="00B55CF9" w:rsidRPr="00ED6612" w:rsidRDefault="00B55CF9" w:rsidP="000308F1">
            <w:pPr>
              <w:spacing w:after="0" w:line="240" w:lineRule="auto"/>
              <w:jc w:val="center"/>
              <w:rPr>
                <w:rFonts w:ascii="Arial" w:eastAsia="Times New Roman" w:hAnsi="Arial" w:cs="Arial"/>
                <w:b/>
                <w:bCs/>
                <w:color w:val="000000"/>
                <w:sz w:val="18"/>
                <w:szCs w:val="18"/>
              </w:rPr>
            </w:pPr>
          </w:p>
        </w:tc>
      </w:tr>
    </w:tbl>
    <w:p w14:paraId="45604630" w14:textId="77777777" w:rsidR="000308F1" w:rsidRPr="00ED6612" w:rsidRDefault="000308F1" w:rsidP="00A33B24">
      <w:pPr>
        <w:pStyle w:val="Paragraph"/>
        <w:tabs>
          <w:tab w:val="clear" w:pos="720"/>
        </w:tabs>
        <w:spacing w:before="0" w:afterLines="80" w:after="192"/>
        <w:ind w:left="0" w:right="-634" w:firstLine="0"/>
        <w:rPr>
          <w:rFonts w:ascii="Arial" w:hAnsi="Arial" w:cs="Arial"/>
          <w:b/>
          <w:sz w:val="20"/>
          <w:szCs w:val="24"/>
        </w:rPr>
      </w:pPr>
    </w:p>
    <w:tbl>
      <w:tblPr>
        <w:tblW w:w="8185"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195"/>
        <w:gridCol w:w="2010"/>
        <w:gridCol w:w="1980"/>
      </w:tblGrid>
      <w:tr w:rsidR="00B55CF9" w:rsidRPr="00ED6612" w14:paraId="45604634" w14:textId="77777777" w:rsidTr="007E6A55">
        <w:trPr>
          <w:trHeight w:val="278"/>
        </w:trPr>
        <w:tc>
          <w:tcPr>
            <w:tcW w:w="4195" w:type="dxa"/>
            <w:tcBorders>
              <w:top w:val="single" w:sz="4" w:space="0" w:color="auto"/>
              <w:bottom w:val="single" w:sz="4" w:space="0" w:color="auto"/>
            </w:tcBorders>
            <w:shd w:val="clear" w:color="auto" w:fill="BFBFBF" w:themeFill="background1" w:themeFillShade="BF"/>
            <w:vAlign w:val="center"/>
          </w:tcPr>
          <w:p w14:paraId="45604631" w14:textId="77777777" w:rsidR="00B55CF9" w:rsidRPr="00ED6612" w:rsidRDefault="00B55CF9" w:rsidP="00B55CF9">
            <w:pPr>
              <w:spacing w:after="0" w:line="240" w:lineRule="auto"/>
              <w:rPr>
                <w:rFonts w:ascii="Arial" w:eastAsia="Times New Roman" w:hAnsi="Arial" w:cs="Arial"/>
                <w:b/>
                <w:bCs/>
                <w:sz w:val="18"/>
                <w:szCs w:val="18"/>
              </w:rPr>
            </w:pPr>
          </w:p>
        </w:tc>
        <w:tc>
          <w:tcPr>
            <w:tcW w:w="2010" w:type="dxa"/>
            <w:tcBorders>
              <w:top w:val="single" w:sz="4" w:space="0" w:color="auto"/>
              <w:bottom w:val="single" w:sz="4" w:space="0" w:color="auto"/>
            </w:tcBorders>
            <w:shd w:val="clear" w:color="auto" w:fill="BFBFBF" w:themeFill="background1" w:themeFillShade="BF"/>
            <w:vAlign w:val="center"/>
          </w:tcPr>
          <w:p w14:paraId="45604632" w14:textId="77777777" w:rsidR="00B55CF9" w:rsidRPr="00ED6612" w:rsidRDefault="00B55CF9" w:rsidP="00B55CF9">
            <w:pPr>
              <w:spacing w:after="0" w:line="240" w:lineRule="auto"/>
              <w:jc w:val="center"/>
              <w:rPr>
                <w:rFonts w:ascii="Arial" w:eastAsia="Times New Roman" w:hAnsi="Arial" w:cs="Arial"/>
                <w:b/>
                <w:bCs/>
                <w:sz w:val="18"/>
                <w:szCs w:val="18"/>
              </w:rPr>
            </w:pPr>
            <w:r w:rsidRPr="00ED6612">
              <w:rPr>
                <w:rFonts w:ascii="Arial" w:eastAsia="Times New Roman" w:hAnsi="Arial" w:cs="Arial"/>
                <w:b/>
                <w:bCs/>
                <w:sz w:val="18"/>
                <w:szCs w:val="18"/>
              </w:rPr>
              <w:t>Electricity-sourced</w:t>
            </w:r>
          </w:p>
        </w:tc>
        <w:tc>
          <w:tcPr>
            <w:tcW w:w="1980" w:type="dxa"/>
            <w:tcBorders>
              <w:top w:val="single" w:sz="4" w:space="0" w:color="auto"/>
              <w:bottom w:val="single" w:sz="4" w:space="0" w:color="auto"/>
            </w:tcBorders>
            <w:shd w:val="clear" w:color="auto" w:fill="BFBFBF" w:themeFill="background1" w:themeFillShade="BF"/>
            <w:vAlign w:val="center"/>
          </w:tcPr>
          <w:p w14:paraId="45604633" w14:textId="77777777" w:rsidR="00B55CF9" w:rsidRPr="00ED6612" w:rsidRDefault="00B55CF9" w:rsidP="00B55CF9">
            <w:pPr>
              <w:spacing w:after="0" w:line="240" w:lineRule="auto"/>
              <w:jc w:val="center"/>
              <w:rPr>
                <w:rFonts w:ascii="Arial" w:eastAsia="Times New Roman" w:hAnsi="Arial" w:cs="Arial"/>
                <w:b/>
                <w:bCs/>
                <w:sz w:val="18"/>
                <w:szCs w:val="18"/>
              </w:rPr>
            </w:pPr>
            <w:r w:rsidRPr="00ED6612">
              <w:rPr>
                <w:rFonts w:ascii="Arial" w:eastAsia="Times New Roman" w:hAnsi="Arial" w:cs="Arial"/>
                <w:b/>
                <w:bCs/>
                <w:sz w:val="18"/>
                <w:szCs w:val="18"/>
              </w:rPr>
              <w:t>Fuel-sourced</w:t>
            </w:r>
          </w:p>
        </w:tc>
      </w:tr>
      <w:tr w:rsidR="00B55CF9" w:rsidRPr="00ED6612" w14:paraId="45604638" w14:textId="77777777" w:rsidTr="007E6A55">
        <w:trPr>
          <w:trHeight w:val="260"/>
        </w:trPr>
        <w:tc>
          <w:tcPr>
            <w:tcW w:w="4195" w:type="dxa"/>
            <w:tcBorders>
              <w:top w:val="single" w:sz="4" w:space="0" w:color="auto"/>
            </w:tcBorders>
            <w:shd w:val="clear" w:color="auto" w:fill="auto"/>
            <w:vAlign w:val="center"/>
            <w:hideMark/>
          </w:tcPr>
          <w:p w14:paraId="45604635" w14:textId="77777777" w:rsidR="00B55CF9" w:rsidRPr="00ED6612" w:rsidRDefault="00B55CF9" w:rsidP="00B55CF9">
            <w:pPr>
              <w:spacing w:after="0" w:line="240" w:lineRule="auto"/>
              <w:rPr>
                <w:rFonts w:ascii="Arial" w:eastAsia="Times New Roman" w:hAnsi="Arial" w:cs="Arial"/>
                <w:bCs/>
                <w:sz w:val="18"/>
                <w:szCs w:val="18"/>
              </w:rPr>
            </w:pPr>
            <w:r w:rsidRPr="00ED6612">
              <w:rPr>
                <w:rFonts w:ascii="Arial" w:eastAsia="Times New Roman" w:hAnsi="Arial" w:cs="Arial"/>
                <w:bCs/>
                <w:sz w:val="18"/>
                <w:szCs w:val="18"/>
              </w:rPr>
              <w:t>Average energy savings per EE project</w:t>
            </w:r>
          </w:p>
        </w:tc>
        <w:tc>
          <w:tcPr>
            <w:tcW w:w="2010" w:type="dxa"/>
            <w:tcBorders>
              <w:top w:val="single" w:sz="4" w:space="0" w:color="auto"/>
            </w:tcBorders>
            <w:shd w:val="clear" w:color="auto" w:fill="auto"/>
            <w:vAlign w:val="center"/>
            <w:hideMark/>
          </w:tcPr>
          <w:p w14:paraId="45604636" w14:textId="77777777" w:rsidR="00B55CF9" w:rsidRPr="00ED6612" w:rsidRDefault="00B55CF9" w:rsidP="00B55CF9">
            <w:pPr>
              <w:spacing w:after="0" w:line="240" w:lineRule="auto"/>
              <w:jc w:val="center"/>
              <w:rPr>
                <w:rFonts w:ascii="Arial" w:eastAsia="Times New Roman" w:hAnsi="Arial" w:cs="Arial"/>
                <w:bCs/>
                <w:sz w:val="18"/>
                <w:szCs w:val="18"/>
              </w:rPr>
            </w:pPr>
            <w:r w:rsidRPr="00ED6612">
              <w:rPr>
                <w:rFonts w:ascii="Arial" w:eastAsia="Times New Roman" w:hAnsi="Arial" w:cs="Arial"/>
                <w:bCs/>
                <w:sz w:val="18"/>
                <w:szCs w:val="18"/>
              </w:rPr>
              <w:t>474,992 KWh/yr</w:t>
            </w:r>
          </w:p>
        </w:tc>
        <w:tc>
          <w:tcPr>
            <w:tcW w:w="1980" w:type="dxa"/>
            <w:tcBorders>
              <w:top w:val="single" w:sz="4" w:space="0" w:color="auto"/>
            </w:tcBorders>
            <w:shd w:val="clear" w:color="auto" w:fill="auto"/>
            <w:vAlign w:val="center"/>
            <w:hideMark/>
          </w:tcPr>
          <w:p w14:paraId="45604637" w14:textId="77777777" w:rsidR="00B55CF9" w:rsidRPr="00ED6612" w:rsidRDefault="00B55CF9" w:rsidP="00B55CF9">
            <w:pPr>
              <w:spacing w:after="0" w:line="240" w:lineRule="auto"/>
              <w:jc w:val="center"/>
              <w:rPr>
                <w:rFonts w:ascii="Arial" w:eastAsia="Times New Roman" w:hAnsi="Arial" w:cs="Arial"/>
                <w:bCs/>
                <w:sz w:val="18"/>
                <w:szCs w:val="18"/>
              </w:rPr>
            </w:pPr>
            <w:r w:rsidRPr="00ED6612">
              <w:rPr>
                <w:rFonts w:ascii="Arial" w:eastAsia="Times New Roman" w:hAnsi="Arial" w:cs="Arial"/>
                <w:bCs/>
                <w:sz w:val="18"/>
                <w:szCs w:val="18"/>
              </w:rPr>
              <w:t>44,531 Gal/yr</w:t>
            </w:r>
          </w:p>
        </w:tc>
      </w:tr>
    </w:tbl>
    <w:p w14:paraId="45604639" w14:textId="77777777" w:rsidR="000308F1" w:rsidRPr="00ED6612" w:rsidRDefault="000308F1" w:rsidP="00A33B24">
      <w:pPr>
        <w:pStyle w:val="Paragraph"/>
        <w:tabs>
          <w:tab w:val="clear" w:pos="720"/>
        </w:tabs>
        <w:spacing w:before="0" w:afterLines="80" w:after="192"/>
        <w:ind w:left="0" w:right="-634" w:firstLine="0"/>
        <w:rPr>
          <w:rFonts w:ascii="Arial" w:hAnsi="Arial" w:cs="Arial"/>
          <w:b/>
          <w:sz w:val="20"/>
          <w:szCs w:val="24"/>
        </w:rPr>
      </w:pPr>
    </w:p>
    <w:tbl>
      <w:tblPr>
        <w:tblW w:w="6461"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268"/>
        <w:gridCol w:w="977"/>
        <w:gridCol w:w="1216"/>
      </w:tblGrid>
      <w:tr w:rsidR="000308F1" w:rsidRPr="00ED6612" w14:paraId="4560463D" w14:textId="77777777" w:rsidTr="007E6A55">
        <w:trPr>
          <w:trHeight w:val="278"/>
        </w:trPr>
        <w:tc>
          <w:tcPr>
            <w:tcW w:w="4268" w:type="dxa"/>
            <w:tcBorders>
              <w:top w:val="single" w:sz="4" w:space="0" w:color="auto"/>
              <w:bottom w:val="single" w:sz="4" w:space="0" w:color="auto"/>
            </w:tcBorders>
            <w:shd w:val="clear" w:color="auto" w:fill="BFBFBF" w:themeFill="background1" w:themeFillShade="BF"/>
            <w:noWrap/>
            <w:vAlign w:val="bottom"/>
          </w:tcPr>
          <w:p w14:paraId="4560463A" w14:textId="77777777" w:rsidR="000308F1" w:rsidRPr="00ED6612" w:rsidRDefault="000308F1" w:rsidP="000308F1">
            <w:pPr>
              <w:spacing w:after="0" w:line="240" w:lineRule="auto"/>
              <w:rPr>
                <w:rFonts w:ascii="Arial" w:eastAsia="Times New Roman" w:hAnsi="Arial" w:cs="Arial"/>
                <w:b/>
                <w:sz w:val="18"/>
                <w:szCs w:val="18"/>
              </w:rPr>
            </w:pPr>
            <w:r w:rsidRPr="00ED6612">
              <w:rPr>
                <w:rFonts w:ascii="Arial" w:eastAsia="Times New Roman" w:hAnsi="Arial" w:cs="Arial"/>
                <w:b/>
                <w:sz w:val="18"/>
                <w:szCs w:val="18"/>
              </w:rPr>
              <w:t>Other variables:</w:t>
            </w:r>
          </w:p>
        </w:tc>
        <w:tc>
          <w:tcPr>
            <w:tcW w:w="977" w:type="dxa"/>
            <w:tcBorders>
              <w:top w:val="single" w:sz="4" w:space="0" w:color="auto"/>
              <w:bottom w:val="single" w:sz="4" w:space="0" w:color="auto"/>
            </w:tcBorders>
            <w:shd w:val="clear" w:color="auto" w:fill="BFBFBF" w:themeFill="background1" w:themeFillShade="BF"/>
            <w:noWrap/>
            <w:vAlign w:val="bottom"/>
          </w:tcPr>
          <w:p w14:paraId="4560463B" w14:textId="77777777" w:rsidR="000308F1" w:rsidRPr="00ED6612" w:rsidRDefault="000308F1" w:rsidP="000308F1">
            <w:pPr>
              <w:spacing w:after="0" w:line="240" w:lineRule="auto"/>
              <w:jc w:val="right"/>
              <w:rPr>
                <w:rFonts w:ascii="Arial" w:eastAsia="Times New Roman" w:hAnsi="Arial" w:cs="Arial"/>
                <w:b/>
                <w:sz w:val="18"/>
                <w:szCs w:val="18"/>
              </w:rPr>
            </w:pPr>
          </w:p>
        </w:tc>
        <w:tc>
          <w:tcPr>
            <w:tcW w:w="1216" w:type="dxa"/>
            <w:tcBorders>
              <w:top w:val="single" w:sz="4" w:space="0" w:color="auto"/>
              <w:bottom w:val="single" w:sz="4" w:space="0" w:color="auto"/>
            </w:tcBorders>
            <w:shd w:val="clear" w:color="auto" w:fill="BFBFBF" w:themeFill="background1" w:themeFillShade="BF"/>
            <w:noWrap/>
            <w:vAlign w:val="bottom"/>
          </w:tcPr>
          <w:p w14:paraId="4560463C" w14:textId="77777777" w:rsidR="000308F1" w:rsidRPr="00ED6612" w:rsidRDefault="000308F1" w:rsidP="000308F1">
            <w:pPr>
              <w:spacing w:after="0" w:line="240" w:lineRule="auto"/>
              <w:rPr>
                <w:rFonts w:ascii="Arial" w:eastAsia="Times New Roman" w:hAnsi="Arial" w:cs="Arial"/>
                <w:b/>
                <w:sz w:val="18"/>
                <w:szCs w:val="18"/>
              </w:rPr>
            </w:pPr>
          </w:p>
        </w:tc>
      </w:tr>
      <w:tr w:rsidR="000308F1" w:rsidRPr="00ED6612" w14:paraId="45604641" w14:textId="77777777" w:rsidTr="007E6A55">
        <w:trPr>
          <w:trHeight w:val="260"/>
        </w:trPr>
        <w:tc>
          <w:tcPr>
            <w:tcW w:w="4268" w:type="dxa"/>
            <w:tcBorders>
              <w:top w:val="single" w:sz="4" w:space="0" w:color="auto"/>
            </w:tcBorders>
            <w:shd w:val="clear" w:color="auto" w:fill="auto"/>
            <w:noWrap/>
            <w:vAlign w:val="bottom"/>
            <w:hideMark/>
          </w:tcPr>
          <w:p w14:paraId="4560463E" w14:textId="77777777" w:rsidR="000308F1" w:rsidRPr="00ED6612" w:rsidRDefault="000308F1" w:rsidP="000308F1">
            <w:pPr>
              <w:spacing w:after="0" w:line="240" w:lineRule="auto"/>
              <w:rPr>
                <w:rFonts w:ascii="Arial" w:eastAsia="Times New Roman" w:hAnsi="Arial" w:cs="Arial"/>
                <w:sz w:val="18"/>
                <w:szCs w:val="18"/>
              </w:rPr>
            </w:pPr>
            <w:r w:rsidRPr="00ED6612">
              <w:rPr>
                <w:rFonts w:ascii="Arial" w:eastAsia="Times New Roman" w:hAnsi="Arial" w:cs="Arial"/>
                <w:sz w:val="18"/>
                <w:szCs w:val="18"/>
              </w:rPr>
              <w:t>Price of CO2 emissions</w:t>
            </w:r>
          </w:p>
        </w:tc>
        <w:tc>
          <w:tcPr>
            <w:tcW w:w="977" w:type="dxa"/>
            <w:tcBorders>
              <w:top w:val="single" w:sz="4" w:space="0" w:color="auto"/>
            </w:tcBorders>
            <w:shd w:val="clear" w:color="auto" w:fill="auto"/>
            <w:noWrap/>
            <w:vAlign w:val="bottom"/>
            <w:hideMark/>
          </w:tcPr>
          <w:p w14:paraId="4560463F" w14:textId="77777777" w:rsidR="000308F1" w:rsidRPr="00ED6612" w:rsidRDefault="000308F1" w:rsidP="00B55CF9">
            <w:pPr>
              <w:spacing w:after="0" w:line="240" w:lineRule="auto"/>
              <w:rPr>
                <w:rFonts w:ascii="Arial" w:eastAsia="Times New Roman" w:hAnsi="Arial" w:cs="Arial"/>
                <w:sz w:val="18"/>
                <w:szCs w:val="18"/>
              </w:rPr>
            </w:pPr>
            <w:r w:rsidRPr="00ED6612">
              <w:rPr>
                <w:rFonts w:ascii="Arial" w:eastAsia="Times New Roman" w:hAnsi="Arial" w:cs="Arial"/>
                <w:sz w:val="18"/>
                <w:szCs w:val="18"/>
              </w:rPr>
              <w:t>9</w:t>
            </w:r>
          </w:p>
        </w:tc>
        <w:tc>
          <w:tcPr>
            <w:tcW w:w="1216" w:type="dxa"/>
            <w:tcBorders>
              <w:top w:val="single" w:sz="4" w:space="0" w:color="auto"/>
            </w:tcBorders>
            <w:shd w:val="clear" w:color="auto" w:fill="auto"/>
            <w:noWrap/>
            <w:vAlign w:val="bottom"/>
            <w:hideMark/>
          </w:tcPr>
          <w:p w14:paraId="45604640" w14:textId="77777777" w:rsidR="000308F1" w:rsidRPr="00ED6612" w:rsidRDefault="000308F1" w:rsidP="000308F1">
            <w:pPr>
              <w:spacing w:after="0" w:line="240" w:lineRule="auto"/>
              <w:rPr>
                <w:rFonts w:ascii="Arial" w:eastAsia="Times New Roman" w:hAnsi="Arial" w:cs="Arial"/>
                <w:sz w:val="18"/>
                <w:szCs w:val="18"/>
              </w:rPr>
            </w:pPr>
            <w:r w:rsidRPr="00ED6612">
              <w:rPr>
                <w:rFonts w:ascii="Arial" w:eastAsia="Times New Roman" w:hAnsi="Arial" w:cs="Arial"/>
                <w:sz w:val="18"/>
                <w:szCs w:val="18"/>
              </w:rPr>
              <w:t>USD/tCO2</w:t>
            </w:r>
          </w:p>
        </w:tc>
      </w:tr>
      <w:tr w:rsidR="000308F1" w:rsidRPr="00ED6612" w14:paraId="45604645" w14:textId="77777777" w:rsidTr="007E6A55">
        <w:trPr>
          <w:trHeight w:val="270"/>
        </w:trPr>
        <w:tc>
          <w:tcPr>
            <w:tcW w:w="4268" w:type="dxa"/>
            <w:shd w:val="clear" w:color="auto" w:fill="auto"/>
            <w:noWrap/>
            <w:vAlign w:val="bottom"/>
            <w:hideMark/>
          </w:tcPr>
          <w:p w14:paraId="45604642" w14:textId="77777777" w:rsidR="000308F1" w:rsidRPr="00ED6612" w:rsidRDefault="000308F1" w:rsidP="000308F1">
            <w:pPr>
              <w:spacing w:after="0" w:line="240" w:lineRule="auto"/>
              <w:rPr>
                <w:rFonts w:ascii="Arial" w:eastAsia="Times New Roman" w:hAnsi="Arial" w:cs="Arial"/>
                <w:sz w:val="18"/>
                <w:szCs w:val="18"/>
              </w:rPr>
            </w:pPr>
            <w:r w:rsidRPr="00ED6612">
              <w:rPr>
                <w:rFonts w:ascii="Arial" w:eastAsia="Times New Roman" w:hAnsi="Arial" w:cs="Arial"/>
                <w:sz w:val="18"/>
                <w:szCs w:val="18"/>
              </w:rPr>
              <w:t>Electricity cost abated</w:t>
            </w:r>
            <w:r w:rsidR="00B55CF9" w:rsidRPr="00ED6612">
              <w:rPr>
                <w:rFonts w:ascii="Arial" w:eastAsia="Times New Roman" w:hAnsi="Arial" w:cs="Arial"/>
                <w:sz w:val="18"/>
                <w:szCs w:val="18"/>
              </w:rPr>
              <w:t xml:space="preserve"> (consumption price)</w:t>
            </w:r>
          </w:p>
        </w:tc>
        <w:tc>
          <w:tcPr>
            <w:tcW w:w="977" w:type="dxa"/>
            <w:shd w:val="clear" w:color="auto" w:fill="auto"/>
            <w:noWrap/>
            <w:vAlign w:val="bottom"/>
            <w:hideMark/>
          </w:tcPr>
          <w:p w14:paraId="45604643" w14:textId="77777777" w:rsidR="000308F1" w:rsidRPr="00ED6612" w:rsidRDefault="000308F1" w:rsidP="000308F1">
            <w:pPr>
              <w:spacing w:after="0" w:line="240" w:lineRule="auto"/>
              <w:rPr>
                <w:rFonts w:ascii="Arial" w:eastAsia="Times New Roman" w:hAnsi="Arial" w:cs="Arial"/>
                <w:sz w:val="18"/>
                <w:szCs w:val="18"/>
              </w:rPr>
            </w:pPr>
            <w:r w:rsidRPr="00ED6612">
              <w:rPr>
                <w:rFonts w:ascii="Arial" w:eastAsia="Times New Roman" w:hAnsi="Arial" w:cs="Arial"/>
                <w:sz w:val="18"/>
                <w:szCs w:val="18"/>
              </w:rPr>
              <w:t>0.203</w:t>
            </w:r>
          </w:p>
        </w:tc>
        <w:tc>
          <w:tcPr>
            <w:tcW w:w="1216" w:type="dxa"/>
            <w:shd w:val="clear" w:color="auto" w:fill="auto"/>
            <w:noWrap/>
            <w:vAlign w:val="bottom"/>
            <w:hideMark/>
          </w:tcPr>
          <w:p w14:paraId="45604644" w14:textId="77777777" w:rsidR="000308F1" w:rsidRPr="00ED6612" w:rsidRDefault="000308F1" w:rsidP="000308F1">
            <w:pPr>
              <w:spacing w:after="0" w:line="240" w:lineRule="auto"/>
              <w:rPr>
                <w:rFonts w:ascii="Arial" w:eastAsia="Times New Roman" w:hAnsi="Arial" w:cs="Arial"/>
                <w:sz w:val="18"/>
                <w:szCs w:val="18"/>
              </w:rPr>
            </w:pPr>
            <w:r w:rsidRPr="00ED6612">
              <w:rPr>
                <w:rFonts w:ascii="Arial" w:eastAsia="Times New Roman" w:hAnsi="Arial" w:cs="Arial"/>
                <w:sz w:val="18"/>
                <w:szCs w:val="18"/>
              </w:rPr>
              <w:t>USD/kWh</w:t>
            </w:r>
          </w:p>
        </w:tc>
      </w:tr>
      <w:tr w:rsidR="000308F1" w:rsidRPr="00ED6612" w14:paraId="45604649" w14:textId="77777777" w:rsidTr="007E6A55">
        <w:trPr>
          <w:trHeight w:val="270"/>
        </w:trPr>
        <w:tc>
          <w:tcPr>
            <w:tcW w:w="4268" w:type="dxa"/>
            <w:shd w:val="clear" w:color="auto" w:fill="auto"/>
            <w:noWrap/>
            <w:vAlign w:val="bottom"/>
            <w:hideMark/>
          </w:tcPr>
          <w:p w14:paraId="45604646" w14:textId="77777777" w:rsidR="000308F1" w:rsidRPr="00ED6612" w:rsidRDefault="000308F1" w:rsidP="000308F1">
            <w:pPr>
              <w:spacing w:after="0" w:line="240" w:lineRule="auto"/>
              <w:rPr>
                <w:rFonts w:ascii="Arial" w:eastAsia="Times New Roman" w:hAnsi="Arial" w:cs="Arial"/>
                <w:sz w:val="18"/>
                <w:szCs w:val="18"/>
              </w:rPr>
            </w:pPr>
            <w:r w:rsidRPr="00ED6612">
              <w:rPr>
                <w:rFonts w:ascii="Arial" w:eastAsia="Times New Roman" w:hAnsi="Arial" w:cs="Arial"/>
                <w:sz w:val="18"/>
                <w:szCs w:val="18"/>
              </w:rPr>
              <w:t>Fuel cost abated</w:t>
            </w:r>
            <w:r w:rsidR="00B55CF9" w:rsidRPr="00ED6612">
              <w:rPr>
                <w:rFonts w:ascii="Arial" w:eastAsia="Times New Roman" w:hAnsi="Arial" w:cs="Arial"/>
                <w:sz w:val="18"/>
                <w:szCs w:val="18"/>
              </w:rPr>
              <w:t xml:space="preserve"> (consumption price)</w:t>
            </w:r>
          </w:p>
        </w:tc>
        <w:tc>
          <w:tcPr>
            <w:tcW w:w="977" w:type="dxa"/>
            <w:shd w:val="clear" w:color="auto" w:fill="auto"/>
            <w:noWrap/>
            <w:vAlign w:val="bottom"/>
            <w:hideMark/>
          </w:tcPr>
          <w:p w14:paraId="45604647" w14:textId="77777777" w:rsidR="000308F1" w:rsidRPr="00ED6612" w:rsidRDefault="000308F1" w:rsidP="000308F1">
            <w:pPr>
              <w:spacing w:after="0" w:line="240" w:lineRule="auto"/>
              <w:rPr>
                <w:rFonts w:ascii="Arial" w:eastAsia="Times New Roman" w:hAnsi="Arial" w:cs="Arial"/>
                <w:sz w:val="18"/>
                <w:szCs w:val="18"/>
              </w:rPr>
            </w:pPr>
            <w:r w:rsidRPr="00ED6612">
              <w:rPr>
                <w:rFonts w:ascii="Arial" w:eastAsia="Times New Roman" w:hAnsi="Arial" w:cs="Arial"/>
                <w:sz w:val="18"/>
                <w:szCs w:val="18"/>
              </w:rPr>
              <w:t>0.007</w:t>
            </w:r>
          </w:p>
        </w:tc>
        <w:tc>
          <w:tcPr>
            <w:tcW w:w="1216" w:type="dxa"/>
            <w:shd w:val="clear" w:color="auto" w:fill="auto"/>
            <w:noWrap/>
            <w:vAlign w:val="bottom"/>
            <w:hideMark/>
          </w:tcPr>
          <w:p w14:paraId="45604648" w14:textId="77777777" w:rsidR="000308F1" w:rsidRPr="00ED6612" w:rsidRDefault="000308F1" w:rsidP="000308F1">
            <w:pPr>
              <w:spacing w:after="0" w:line="240" w:lineRule="auto"/>
              <w:rPr>
                <w:rFonts w:ascii="Arial" w:eastAsia="Times New Roman" w:hAnsi="Arial" w:cs="Arial"/>
                <w:sz w:val="18"/>
                <w:szCs w:val="18"/>
              </w:rPr>
            </w:pPr>
            <w:r w:rsidRPr="00ED6612">
              <w:rPr>
                <w:rFonts w:ascii="Arial" w:eastAsia="Times New Roman" w:hAnsi="Arial" w:cs="Arial"/>
                <w:sz w:val="18"/>
                <w:szCs w:val="18"/>
              </w:rPr>
              <w:t>USD/Gal</w:t>
            </w:r>
          </w:p>
        </w:tc>
      </w:tr>
      <w:tr w:rsidR="000308F1" w:rsidRPr="00ED6612" w14:paraId="4560464D" w14:textId="77777777" w:rsidTr="007E6A55">
        <w:trPr>
          <w:trHeight w:val="270"/>
        </w:trPr>
        <w:tc>
          <w:tcPr>
            <w:tcW w:w="4268" w:type="dxa"/>
            <w:shd w:val="clear" w:color="auto" w:fill="auto"/>
            <w:noWrap/>
            <w:vAlign w:val="bottom"/>
          </w:tcPr>
          <w:p w14:paraId="4560464A" w14:textId="77777777" w:rsidR="000308F1" w:rsidRPr="00ED6612" w:rsidRDefault="00B55CF9" w:rsidP="000308F1">
            <w:pPr>
              <w:spacing w:after="0" w:line="240" w:lineRule="auto"/>
              <w:rPr>
                <w:rFonts w:ascii="Arial" w:eastAsia="Times New Roman" w:hAnsi="Arial" w:cs="Arial"/>
                <w:sz w:val="18"/>
                <w:szCs w:val="18"/>
              </w:rPr>
            </w:pPr>
            <w:r w:rsidRPr="00ED6612">
              <w:rPr>
                <w:rFonts w:ascii="Arial" w:eastAsia="Times New Roman" w:hAnsi="Arial" w:cs="Arial"/>
                <w:sz w:val="18"/>
                <w:szCs w:val="18"/>
              </w:rPr>
              <w:t>Energy sub</w:t>
            </w:r>
            <w:r w:rsidR="000308F1" w:rsidRPr="00ED6612">
              <w:rPr>
                <w:rFonts w:ascii="Arial" w:eastAsia="Times New Roman" w:hAnsi="Arial" w:cs="Arial"/>
                <w:sz w:val="18"/>
                <w:szCs w:val="18"/>
              </w:rPr>
              <w:t>stitution price (new capacity)</w:t>
            </w:r>
          </w:p>
        </w:tc>
        <w:tc>
          <w:tcPr>
            <w:tcW w:w="977" w:type="dxa"/>
            <w:shd w:val="clear" w:color="auto" w:fill="auto"/>
            <w:noWrap/>
            <w:vAlign w:val="bottom"/>
          </w:tcPr>
          <w:p w14:paraId="4560464B" w14:textId="77777777" w:rsidR="000308F1" w:rsidRPr="00ED6612" w:rsidRDefault="000308F1" w:rsidP="000308F1">
            <w:pPr>
              <w:spacing w:after="0" w:line="240" w:lineRule="auto"/>
              <w:rPr>
                <w:rFonts w:ascii="Arial" w:eastAsia="Times New Roman" w:hAnsi="Arial" w:cs="Arial"/>
                <w:sz w:val="18"/>
                <w:szCs w:val="18"/>
              </w:rPr>
            </w:pPr>
            <w:r w:rsidRPr="00ED6612">
              <w:rPr>
                <w:rFonts w:ascii="Arial" w:eastAsia="Times New Roman" w:hAnsi="Arial" w:cs="Arial"/>
                <w:sz w:val="18"/>
                <w:szCs w:val="18"/>
              </w:rPr>
              <w:t xml:space="preserve">75.37 </w:t>
            </w:r>
          </w:p>
        </w:tc>
        <w:tc>
          <w:tcPr>
            <w:tcW w:w="1216" w:type="dxa"/>
            <w:shd w:val="clear" w:color="auto" w:fill="auto"/>
            <w:noWrap/>
            <w:vAlign w:val="bottom"/>
          </w:tcPr>
          <w:p w14:paraId="4560464C" w14:textId="77777777" w:rsidR="000308F1" w:rsidRPr="00ED6612" w:rsidRDefault="000308F1" w:rsidP="000308F1">
            <w:pPr>
              <w:spacing w:after="0" w:line="240" w:lineRule="auto"/>
              <w:rPr>
                <w:rFonts w:ascii="Arial" w:eastAsia="Times New Roman" w:hAnsi="Arial" w:cs="Arial"/>
                <w:sz w:val="18"/>
                <w:szCs w:val="18"/>
              </w:rPr>
            </w:pPr>
            <w:r w:rsidRPr="00ED6612">
              <w:rPr>
                <w:rFonts w:ascii="Arial" w:eastAsia="Times New Roman" w:hAnsi="Arial" w:cs="Arial"/>
                <w:sz w:val="18"/>
                <w:szCs w:val="18"/>
              </w:rPr>
              <w:t xml:space="preserve"> USD/MWh </w:t>
            </w:r>
          </w:p>
        </w:tc>
      </w:tr>
      <w:tr w:rsidR="000308F1" w:rsidRPr="00ED6612" w14:paraId="45604651" w14:textId="77777777" w:rsidTr="007E6A55">
        <w:trPr>
          <w:trHeight w:val="270"/>
        </w:trPr>
        <w:tc>
          <w:tcPr>
            <w:tcW w:w="4268" w:type="dxa"/>
            <w:shd w:val="clear" w:color="auto" w:fill="auto"/>
            <w:noWrap/>
            <w:vAlign w:val="bottom"/>
          </w:tcPr>
          <w:p w14:paraId="4560464E" w14:textId="77777777" w:rsidR="000308F1" w:rsidRPr="00ED6612" w:rsidRDefault="000308F1" w:rsidP="000308F1">
            <w:pPr>
              <w:spacing w:after="0" w:line="240" w:lineRule="auto"/>
              <w:rPr>
                <w:rFonts w:ascii="Arial" w:eastAsia="Times New Roman" w:hAnsi="Arial" w:cs="Arial"/>
                <w:sz w:val="18"/>
                <w:szCs w:val="18"/>
              </w:rPr>
            </w:pPr>
            <w:r w:rsidRPr="00ED6612">
              <w:rPr>
                <w:rFonts w:ascii="Arial" w:eastAsia="Times New Roman" w:hAnsi="Arial" w:cs="Arial"/>
                <w:sz w:val="18"/>
                <w:szCs w:val="18"/>
              </w:rPr>
              <w:t>Electricity displaced emission factor</w:t>
            </w:r>
          </w:p>
        </w:tc>
        <w:tc>
          <w:tcPr>
            <w:tcW w:w="977" w:type="dxa"/>
            <w:shd w:val="clear" w:color="auto" w:fill="auto"/>
            <w:noWrap/>
            <w:vAlign w:val="bottom"/>
          </w:tcPr>
          <w:p w14:paraId="4560464F" w14:textId="77777777" w:rsidR="000308F1" w:rsidRPr="00ED6612" w:rsidRDefault="000308F1" w:rsidP="000308F1">
            <w:pPr>
              <w:spacing w:after="0" w:line="240" w:lineRule="auto"/>
              <w:rPr>
                <w:rFonts w:ascii="Arial" w:eastAsia="Times New Roman" w:hAnsi="Arial" w:cs="Arial"/>
                <w:sz w:val="18"/>
                <w:szCs w:val="18"/>
              </w:rPr>
            </w:pPr>
            <w:r w:rsidRPr="00ED6612">
              <w:rPr>
                <w:rFonts w:ascii="Arial" w:eastAsia="Times New Roman" w:hAnsi="Arial" w:cs="Arial"/>
                <w:sz w:val="18"/>
                <w:szCs w:val="18"/>
              </w:rPr>
              <w:t>0.535</w:t>
            </w:r>
          </w:p>
        </w:tc>
        <w:tc>
          <w:tcPr>
            <w:tcW w:w="1216" w:type="dxa"/>
            <w:shd w:val="clear" w:color="auto" w:fill="auto"/>
            <w:noWrap/>
            <w:vAlign w:val="bottom"/>
          </w:tcPr>
          <w:p w14:paraId="45604650" w14:textId="77777777" w:rsidR="000308F1" w:rsidRPr="00ED6612" w:rsidRDefault="000308F1" w:rsidP="000308F1">
            <w:pPr>
              <w:spacing w:after="0" w:line="240" w:lineRule="auto"/>
              <w:rPr>
                <w:rFonts w:ascii="Arial" w:eastAsia="Times New Roman" w:hAnsi="Arial" w:cs="Arial"/>
                <w:sz w:val="18"/>
                <w:szCs w:val="18"/>
              </w:rPr>
            </w:pPr>
            <w:r w:rsidRPr="00ED6612">
              <w:rPr>
                <w:rFonts w:ascii="Arial" w:eastAsia="Times New Roman" w:hAnsi="Arial" w:cs="Arial"/>
                <w:sz w:val="18"/>
                <w:szCs w:val="18"/>
              </w:rPr>
              <w:t>tCO2/MWh</w:t>
            </w:r>
          </w:p>
        </w:tc>
      </w:tr>
      <w:tr w:rsidR="000308F1" w:rsidRPr="00ED6612" w14:paraId="45604655" w14:textId="77777777" w:rsidTr="007E6A55">
        <w:trPr>
          <w:trHeight w:val="270"/>
        </w:trPr>
        <w:tc>
          <w:tcPr>
            <w:tcW w:w="4268" w:type="dxa"/>
            <w:shd w:val="clear" w:color="auto" w:fill="auto"/>
            <w:noWrap/>
            <w:vAlign w:val="bottom"/>
          </w:tcPr>
          <w:p w14:paraId="45604652" w14:textId="77777777" w:rsidR="000308F1" w:rsidRPr="00ED6612" w:rsidRDefault="000308F1" w:rsidP="000308F1">
            <w:pPr>
              <w:spacing w:after="0" w:line="240" w:lineRule="auto"/>
              <w:rPr>
                <w:rFonts w:ascii="Arial" w:eastAsia="Times New Roman" w:hAnsi="Arial" w:cs="Arial"/>
                <w:sz w:val="18"/>
                <w:szCs w:val="18"/>
              </w:rPr>
            </w:pPr>
            <w:r w:rsidRPr="00ED6612">
              <w:rPr>
                <w:rFonts w:ascii="Arial" w:eastAsia="Times New Roman" w:hAnsi="Arial" w:cs="Arial"/>
                <w:sz w:val="18"/>
                <w:szCs w:val="18"/>
              </w:rPr>
              <w:t>Fuel displaced emission factor</w:t>
            </w:r>
          </w:p>
        </w:tc>
        <w:tc>
          <w:tcPr>
            <w:tcW w:w="977" w:type="dxa"/>
            <w:shd w:val="clear" w:color="auto" w:fill="auto"/>
            <w:noWrap/>
            <w:vAlign w:val="bottom"/>
          </w:tcPr>
          <w:p w14:paraId="45604653" w14:textId="77777777" w:rsidR="000308F1" w:rsidRPr="00ED6612" w:rsidRDefault="000308F1" w:rsidP="000308F1">
            <w:pPr>
              <w:spacing w:after="0" w:line="240" w:lineRule="auto"/>
              <w:rPr>
                <w:rFonts w:ascii="Arial" w:eastAsia="Times New Roman" w:hAnsi="Arial" w:cs="Arial"/>
                <w:sz w:val="18"/>
                <w:szCs w:val="18"/>
              </w:rPr>
            </w:pPr>
            <w:r w:rsidRPr="00ED6612">
              <w:rPr>
                <w:rFonts w:ascii="Arial" w:eastAsia="Times New Roman" w:hAnsi="Arial" w:cs="Arial"/>
                <w:sz w:val="18"/>
                <w:szCs w:val="18"/>
              </w:rPr>
              <w:t>0.015</w:t>
            </w:r>
          </w:p>
        </w:tc>
        <w:tc>
          <w:tcPr>
            <w:tcW w:w="1216" w:type="dxa"/>
            <w:shd w:val="clear" w:color="auto" w:fill="auto"/>
            <w:noWrap/>
            <w:vAlign w:val="bottom"/>
          </w:tcPr>
          <w:p w14:paraId="45604654" w14:textId="77777777" w:rsidR="000308F1" w:rsidRPr="00ED6612" w:rsidRDefault="000308F1" w:rsidP="000308F1">
            <w:pPr>
              <w:spacing w:after="0" w:line="240" w:lineRule="auto"/>
              <w:rPr>
                <w:rFonts w:ascii="Arial" w:eastAsia="Times New Roman" w:hAnsi="Arial" w:cs="Arial"/>
                <w:sz w:val="18"/>
                <w:szCs w:val="18"/>
              </w:rPr>
            </w:pPr>
            <w:r w:rsidRPr="00ED6612">
              <w:rPr>
                <w:rFonts w:ascii="Arial" w:eastAsia="Times New Roman" w:hAnsi="Arial" w:cs="Arial"/>
                <w:sz w:val="18"/>
                <w:szCs w:val="18"/>
              </w:rPr>
              <w:t>tCO2/Gal</w:t>
            </w:r>
          </w:p>
        </w:tc>
      </w:tr>
      <w:tr w:rsidR="00E535E3" w:rsidRPr="00ED6612" w14:paraId="45604659" w14:textId="77777777" w:rsidTr="007E6A55">
        <w:trPr>
          <w:trHeight w:val="270"/>
        </w:trPr>
        <w:tc>
          <w:tcPr>
            <w:tcW w:w="4268" w:type="dxa"/>
            <w:shd w:val="clear" w:color="auto" w:fill="auto"/>
            <w:noWrap/>
            <w:vAlign w:val="bottom"/>
          </w:tcPr>
          <w:p w14:paraId="45604656" w14:textId="77777777" w:rsidR="00E535E3" w:rsidRPr="00ED6612" w:rsidRDefault="00E535E3" w:rsidP="000308F1">
            <w:pPr>
              <w:spacing w:after="0" w:line="240" w:lineRule="auto"/>
              <w:rPr>
                <w:rFonts w:ascii="Arial" w:eastAsia="Times New Roman" w:hAnsi="Arial" w:cs="Arial"/>
                <w:sz w:val="18"/>
                <w:szCs w:val="18"/>
              </w:rPr>
            </w:pPr>
            <w:r w:rsidRPr="00ED6612">
              <w:rPr>
                <w:rFonts w:ascii="Arial" w:eastAsia="Times New Roman" w:hAnsi="Arial" w:cs="Arial"/>
                <w:sz w:val="18"/>
                <w:szCs w:val="18"/>
              </w:rPr>
              <w:t>Conversion rate Gal to MWh</w:t>
            </w:r>
          </w:p>
        </w:tc>
        <w:tc>
          <w:tcPr>
            <w:tcW w:w="977" w:type="dxa"/>
            <w:shd w:val="clear" w:color="auto" w:fill="auto"/>
            <w:noWrap/>
            <w:vAlign w:val="bottom"/>
          </w:tcPr>
          <w:p w14:paraId="45604657" w14:textId="77777777" w:rsidR="00E535E3" w:rsidRPr="00ED6612" w:rsidRDefault="00E535E3" w:rsidP="000308F1">
            <w:pPr>
              <w:spacing w:after="0" w:line="240" w:lineRule="auto"/>
              <w:rPr>
                <w:rFonts w:ascii="Arial" w:eastAsia="Times New Roman" w:hAnsi="Arial" w:cs="Arial"/>
                <w:sz w:val="18"/>
                <w:szCs w:val="18"/>
              </w:rPr>
            </w:pPr>
            <w:r w:rsidRPr="00ED6612">
              <w:rPr>
                <w:rFonts w:ascii="Arial" w:eastAsia="Times New Roman" w:hAnsi="Arial" w:cs="Arial"/>
                <w:sz w:val="18"/>
                <w:szCs w:val="18"/>
              </w:rPr>
              <w:t>27.32</w:t>
            </w:r>
          </w:p>
        </w:tc>
        <w:tc>
          <w:tcPr>
            <w:tcW w:w="1216" w:type="dxa"/>
            <w:shd w:val="clear" w:color="auto" w:fill="auto"/>
            <w:noWrap/>
            <w:vAlign w:val="bottom"/>
          </w:tcPr>
          <w:p w14:paraId="45604658" w14:textId="77777777" w:rsidR="00E535E3" w:rsidRPr="00ED6612" w:rsidRDefault="00E535E3" w:rsidP="000308F1">
            <w:pPr>
              <w:spacing w:after="0" w:line="240" w:lineRule="auto"/>
              <w:rPr>
                <w:rFonts w:ascii="Arial" w:eastAsia="Times New Roman" w:hAnsi="Arial" w:cs="Arial"/>
                <w:sz w:val="18"/>
                <w:szCs w:val="18"/>
              </w:rPr>
            </w:pPr>
            <w:r w:rsidRPr="00ED6612">
              <w:rPr>
                <w:rFonts w:ascii="Arial" w:eastAsia="Times New Roman" w:hAnsi="Arial" w:cs="Arial"/>
                <w:sz w:val="18"/>
                <w:szCs w:val="18"/>
              </w:rPr>
              <w:t>Gal/MWh</w:t>
            </w:r>
          </w:p>
        </w:tc>
      </w:tr>
    </w:tbl>
    <w:p w14:paraId="4560465A" w14:textId="77777777" w:rsidR="000308F1" w:rsidRPr="00ED6612" w:rsidRDefault="000308F1" w:rsidP="00A33B24">
      <w:pPr>
        <w:pStyle w:val="Paragraph"/>
        <w:tabs>
          <w:tab w:val="clear" w:pos="720"/>
        </w:tabs>
        <w:spacing w:before="0" w:afterLines="80" w:after="192"/>
        <w:ind w:left="0" w:right="-634" w:firstLine="0"/>
        <w:rPr>
          <w:rFonts w:ascii="Arial" w:hAnsi="Arial" w:cs="Arial"/>
          <w:b/>
          <w:sz w:val="20"/>
          <w:szCs w:val="24"/>
        </w:rPr>
      </w:pPr>
    </w:p>
    <w:tbl>
      <w:tblPr>
        <w:tblW w:w="12984"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595"/>
        <w:gridCol w:w="9389"/>
      </w:tblGrid>
      <w:tr w:rsidR="00B55CF9" w:rsidRPr="00ED6612" w14:paraId="4560465D" w14:textId="77777777" w:rsidTr="00B55CF9">
        <w:trPr>
          <w:trHeight w:val="263"/>
        </w:trPr>
        <w:tc>
          <w:tcPr>
            <w:tcW w:w="3595" w:type="dxa"/>
            <w:tcBorders>
              <w:top w:val="single" w:sz="4" w:space="0" w:color="auto"/>
              <w:bottom w:val="single" w:sz="4" w:space="0" w:color="auto"/>
            </w:tcBorders>
            <w:shd w:val="clear" w:color="auto" w:fill="BFBFBF" w:themeFill="background1" w:themeFillShade="BF"/>
            <w:vAlign w:val="bottom"/>
            <w:hideMark/>
          </w:tcPr>
          <w:p w14:paraId="4560465B" w14:textId="77777777" w:rsidR="00E535E3" w:rsidRPr="00ED6612" w:rsidRDefault="00E535E3" w:rsidP="00E535E3">
            <w:pPr>
              <w:spacing w:after="0" w:line="240" w:lineRule="auto"/>
              <w:rPr>
                <w:rFonts w:ascii="Arial" w:eastAsia="Times New Roman" w:hAnsi="Arial" w:cs="Arial"/>
                <w:b/>
                <w:bCs/>
                <w:sz w:val="18"/>
                <w:szCs w:val="18"/>
              </w:rPr>
            </w:pPr>
            <w:r w:rsidRPr="00ED6612">
              <w:rPr>
                <w:rFonts w:ascii="Arial" w:eastAsia="Times New Roman" w:hAnsi="Arial" w:cs="Arial"/>
                <w:b/>
                <w:bCs/>
                <w:sz w:val="18"/>
                <w:szCs w:val="18"/>
              </w:rPr>
              <w:t>Main formulas for benefits</w:t>
            </w:r>
          </w:p>
        </w:tc>
        <w:tc>
          <w:tcPr>
            <w:tcW w:w="9389" w:type="dxa"/>
            <w:tcBorders>
              <w:top w:val="single" w:sz="4" w:space="0" w:color="auto"/>
              <w:bottom w:val="single" w:sz="4" w:space="0" w:color="auto"/>
            </w:tcBorders>
            <w:shd w:val="clear" w:color="auto" w:fill="BFBFBF" w:themeFill="background1" w:themeFillShade="BF"/>
            <w:vAlign w:val="bottom"/>
          </w:tcPr>
          <w:p w14:paraId="4560465C" w14:textId="77777777" w:rsidR="00E535E3" w:rsidRPr="00ED6612" w:rsidRDefault="00E535E3" w:rsidP="00E535E3">
            <w:pPr>
              <w:spacing w:after="0" w:line="240" w:lineRule="auto"/>
              <w:rPr>
                <w:rFonts w:ascii="Arial" w:eastAsia="Times New Roman" w:hAnsi="Arial" w:cs="Arial"/>
                <w:b/>
                <w:bCs/>
                <w:sz w:val="18"/>
                <w:szCs w:val="18"/>
              </w:rPr>
            </w:pPr>
          </w:p>
        </w:tc>
      </w:tr>
      <w:tr w:rsidR="00B55CF9" w:rsidRPr="00ED6612" w14:paraId="45604660" w14:textId="77777777" w:rsidTr="00B55CF9">
        <w:trPr>
          <w:trHeight w:val="467"/>
        </w:trPr>
        <w:tc>
          <w:tcPr>
            <w:tcW w:w="3595" w:type="dxa"/>
            <w:tcBorders>
              <w:top w:val="single" w:sz="4" w:space="0" w:color="auto"/>
            </w:tcBorders>
            <w:shd w:val="clear" w:color="000000" w:fill="FFFFFF"/>
            <w:vAlign w:val="bottom"/>
            <w:hideMark/>
          </w:tcPr>
          <w:p w14:paraId="4560465E" w14:textId="77777777" w:rsidR="00E535E3" w:rsidRPr="00ED6612" w:rsidRDefault="00E535E3" w:rsidP="00E535E3">
            <w:pPr>
              <w:spacing w:after="0" w:line="240" w:lineRule="auto"/>
              <w:rPr>
                <w:rFonts w:ascii="Arial" w:eastAsia="Times New Roman" w:hAnsi="Arial" w:cs="Arial"/>
                <w:sz w:val="18"/>
                <w:szCs w:val="18"/>
              </w:rPr>
            </w:pPr>
            <w:r w:rsidRPr="00ED6612">
              <w:rPr>
                <w:rFonts w:ascii="Arial" w:eastAsia="Times New Roman" w:hAnsi="Arial" w:cs="Arial"/>
                <w:sz w:val="18"/>
                <w:szCs w:val="18"/>
              </w:rPr>
              <w:t>1. Difference in energy production cost</w:t>
            </w:r>
          </w:p>
        </w:tc>
        <w:tc>
          <w:tcPr>
            <w:tcW w:w="9389" w:type="dxa"/>
            <w:tcBorders>
              <w:top w:val="single" w:sz="4" w:space="0" w:color="auto"/>
            </w:tcBorders>
            <w:shd w:val="clear" w:color="000000" w:fill="FFFFFF"/>
            <w:vAlign w:val="bottom"/>
            <w:hideMark/>
          </w:tcPr>
          <w:p w14:paraId="4560465F" w14:textId="05203FA6" w:rsidR="00E535E3" w:rsidRPr="00ED6612" w:rsidRDefault="00E535E3" w:rsidP="00B55CF9">
            <w:pPr>
              <w:spacing w:after="0" w:line="240" w:lineRule="auto"/>
              <w:rPr>
                <w:rFonts w:ascii="Arial" w:eastAsia="Times New Roman" w:hAnsi="Arial" w:cs="Arial"/>
                <w:sz w:val="18"/>
                <w:szCs w:val="18"/>
              </w:rPr>
            </w:pPr>
            <w:r w:rsidRPr="00ED6612">
              <w:rPr>
                <w:rFonts w:ascii="Arial" w:eastAsia="Times New Roman" w:hAnsi="Arial" w:cs="Arial"/>
                <w:sz w:val="18"/>
                <w:szCs w:val="18"/>
              </w:rPr>
              <w:t xml:space="preserve">(Investment + O&amp;M costs of RE projects) – (Substitution price of new capacity x total added capacity with </w:t>
            </w:r>
            <w:r w:rsidR="00D11E5F">
              <w:rPr>
                <w:rFonts w:ascii="Arial" w:eastAsia="Times New Roman" w:hAnsi="Arial" w:cs="Arial"/>
                <w:sz w:val="18"/>
                <w:szCs w:val="18"/>
              </w:rPr>
              <w:t>project</w:t>
            </w:r>
            <w:r w:rsidRPr="00ED6612">
              <w:rPr>
                <w:rFonts w:ascii="Arial" w:eastAsia="Times New Roman" w:hAnsi="Arial" w:cs="Arial"/>
                <w:sz w:val="18"/>
                <w:szCs w:val="18"/>
              </w:rPr>
              <w:t>)</w:t>
            </w:r>
          </w:p>
        </w:tc>
      </w:tr>
      <w:tr w:rsidR="00B55CF9" w:rsidRPr="00ED6612" w14:paraId="45604663" w14:textId="77777777" w:rsidTr="00B55CF9">
        <w:trPr>
          <w:trHeight w:val="630"/>
        </w:trPr>
        <w:tc>
          <w:tcPr>
            <w:tcW w:w="3595" w:type="dxa"/>
            <w:shd w:val="clear" w:color="000000" w:fill="FFFFFF"/>
            <w:vAlign w:val="bottom"/>
            <w:hideMark/>
          </w:tcPr>
          <w:p w14:paraId="45604661" w14:textId="77777777" w:rsidR="00E535E3" w:rsidRPr="00ED6612" w:rsidRDefault="00E535E3" w:rsidP="00E535E3">
            <w:pPr>
              <w:spacing w:after="0" w:line="240" w:lineRule="auto"/>
              <w:rPr>
                <w:rFonts w:ascii="Arial" w:eastAsia="Times New Roman" w:hAnsi="Arial" w:cs="Arial"/>
                <w:sz w:val="18"/>
                <w:szCs w:val="18"/>
              </w:rPr>
            </w:pPr>
            <w:r w:rsidRPr="00ED6612">
              <w:rPr>
                <w:rFonts w:ascii="Arial" w:eastAsia="Times New Roman" w:hAnsi="Arial" w:cs="Arial"/>
                <w:sz w:val="18"/>
                <w:szCs w:val="18"/>
              </w:rPr>
              <w:t>2. Abated energy costs from EE</w:t>
            </w:r>
          </w:p>
        </w:tc>
        <w:tc>
          <w:tcPr>
            <w:tcW w:w="9389" w:type="dxa"/>
            <w:shd w:val="clear" w:color="000000" w:fill="FFFFFF"/>
            <w:vAlign w:val="bottom"/>
            <w:hideMark/>
          </w:tcPr>
          <w:p w14:paraId="45604662" w14:textId="77777777" w:rsidR="00E535E3" w:rsidRPr="00ED6612" w:rsidRDefault="00E535E3" w:rsidP="00B55CF9">
            <w:pPr>
              <w:spacing w:after="0" w:line="240" w:lineRule="auto"/>
              <w:rPr>
                <w:rFonts w:ascii="Arial" w:eastAsia="Times New Roman" w:hAnsi="Arial" w:cs="Arial"/>
                <w:sz w:val="18"/>
                <w:szCs w:val="18"/>
              </w:rPr>
            </w:pPr>
            <w:r w:rsidRPr="00ED6612">
              <w:rPr>
                <w:rFonts w:ascii="Arial" w:eastAsia="Times New Roman" w:hAnsi="Arial" w:cs="Arial"/>
                <w:sz w:val="18"/>
                <w:szCs w:val="18"/>
              </w:rPr>
              <w:t>(</w:t>
            </w:r>
            <w:r w:rsidR="00B55CF9" w:rsidRPr="00ED6612">
              <w:rPr>
                <w:rFonts w:ascii="Arial" w:eastAsia="Times New Roman" w:hAnsi="Arial" w:cs="Arial"/>
                <w:sz w:val="18"/>
                <w:szCs w:val="18"/>
              </w:rPr>
              <w:t>E</w:t>
            </w:r>
            <w:r w:rsidRPr="00ED6612">
              <w:rPr>
                <w:rFonts w:ascii="Arial" w:eastAsia="Times New Roman" w:hAnsi="Arial" w:cs="Arial"/>
                <w:sz w:val="18"/>
                <w:szCs w:val="18"/>
              </w:rPr>
              <w:t xml:space="preserve">nergy savings of electricity-sourced </w:t>
            </w:r>
            <w:r w:rsidR="00B55CF9" w:rsidRPr="00ED6612">
              <w:rPr>
                <w:rFonts w:ascii="Arial" w:eastAsia="Times New Roman" w:hAnsi="Arial" w:cs="Arial"/>
                <w:sz w:val="18"/>
                <w:szCs w:val="18"/>
              </w:rPr>
              <w:t xml:space="preserve">EE </w:t>
            </w:r>
            <w:r w:rsidRPr="00ED6612">
              <w:rPr>
                <w:rFonts w:ascii="Arial" w:eastAsia="Times New Roman" w:hAnsi="Arial" w:cs="Arial"/>
                <w:sz w:val="18"/>
                <w:szCs w:val="18"/>
              </w:rPr>
              <w:t xml:space="preserve">projects x Electricity </w:t>
            </w:r>
            <w:r w:rsidR="00B55CF9" w:rsidRPr="00ED6612">
              <w:rPr>
                <w:rFonts w:ascii="Arial" w:eastAsia="Times New Roman" w:hAnsi="Arial" w:cs="Arial"/>
                <w:sz w:val="18"/>
                <w:szCs w:val="18"/>
              </w:rPr>
              <w:t>cost abated</w:t>
            </w:r>
            <w:r w:rsidRPr="00ED6612">
              <w:rPr>
                <w:rFonts w:ascii="Arial" w:eastAsia="Times New Roman" w:hAnsi="Arial" w:cs="Arial"/>
                <w:sz w:val="18"/>
                <w:szCs w:val="18"/>
              </w:rPr>
              <w:t>) + (</w:t>
            </w:r>
            <w:r w:rsidR="00B55CF9" w:rsidRPr="00ED6612">
              <w:rPr>
                <w:rFonts w:ascii="Arial" w:eastAsia="Times New Roman" w:hAnsi="Arial" w:cs="Arial"/>
                <w:sz w:val="18"/>
                <w:szCs w:val="18"/>
              </w:rPr>
              <w:t>E</w:t>
            </w:r>
            <w:r w:rsidRPr="00ED6612">
              <w:rPr>
                <w:rFonts w:ascii="Arial" w:eastAsia="Times New Roman" w:hAnsi="Arial" w:cs="Arial"/>
                <w:sz w:val="18"/>
                <w:szCs w:val="18"/>
              </w:rPr>
              <w:t xml:space="preserve">nergy savings of fuel-sourced EE projects x Fuel </w:t>
            </w:r>
            <w:r w:rsidR="00B55CF9" w:rsidRPr="00ED6612">
              <w:rPr>
                <w:rFonts w:ascii="Arial" w:eastAsia="Times New Roman" w:hAnsi="Arial" w:cs="Arial"/>
                <w:sz w:val="18"/>
                <w:szCs w:val="18"/>
              </w:rPr>
              <w:t>cost abated</w:t>
            </w:r>
            <w:r w:rsidRPr="00ED6612">
              <w:rPr>
                <w:rFonts w:ascii="Arial" w:eastAsia="Times New Roman" w:hAnsi="Arial" w:cs="Arial"/>
                <w:sz w:val="18"/>
                <w:szCs w:val="18"/>
              </w:rPr>
              <w:t>)</w:t>
            </w:r>
          </w:p>
        </w:tc>
      </w:tr>
      <w:tr w:rsidR="00B55CF9" w:rsidRPr="00ED6612" w14:paraId="45604666" w14:textId="77777777" w:rsidTr="00B55CF9">
        <w:trPr>
          <w:trHeight w:val="450"/>
        </w:trPr>
        <w:tc>
          <w:tcPr>
            <w:tcW w:w="3595" w:type="dxa"/>
            <w:shd w:val="clear" w:color="000000" w:fill="FFFFFF"/>
            <w:vAlign w:val="bottom"/>
            <w:hideMark/>
          </w:tcPr>
          <w:p w14:paraId="45604664" w14:textId="77777777" w:rsidR="00E535E3" w:rsidRPr="00ED6612" w:rsidRDefault="00E535E3" w:rsidP="00E535E3">
            <w:pPr>
              <w:spacing w:after="0" w:line="240" w:lineRule="auto"/>
              <w:rPr>
                <w:rFonts w:ascii="Arial" w:eastAsia="Times New Roman" w:hAnsi="Arial" w:cs="Arial"/>
                <w:sz w:val="18"/>
                <w:szCs w:val="18"/>
              </w:rPr>
            </w:pPr>
            <w:r w:rsidRPr="00ED6612">
              <w:rPr>
                <w:rFonts w:ascii="Arial" w:eastAsia="Times New Roman" w:hAnsi="Arial" w:cs="Arial"/>
                <w:sz w:val="18"/>
                <w:szCs w:val="18"/>
              </w:rPr>
              <w:t>3. Abated costs from CO2 emissions</w:t>
            </w:r>
          </w:p>
        </w:tc>
        <w:tc>
          <w:tcPr>
            <w:tcW w:w="9389" w:type="dxa"/>
            <w:shd w:val="clear" w:color="000000" w:fill="FFFFFF"/>
            <w:vAlign w:val="bottom"/>
            <w:hideMark/>
          </w:tcPr>
          <w:p w14:paraId="45604665" w14:textId="77777777" w:rsidR="00E535E3" w:rsidRPr="00ED6612" w:rsidRDefault="00E535E3" w:rsidP="00B55CF9">
            <w:pPr>
              <w:spacing w:after="0" w:line="240" w:lineRule="auto"/>
              <w:rPr>
                <w:rFonts w:ascii="Arial" w:eastAsia="Times New Roman" w:hAnsi="Arial" w:cs="Arial"/>
                <w:sz w:val="18"/>
                <w:szCs w:val="18"/>
              </w:rPr>
            </w:pPr>
            <w:r w:rsidRPr="00ED6612">
              <w:rPr>
                <w:rFonts w:ascii="Arial" w:eastAsia="Times New Roman" w:hAnsi="Arial" w:cs="Arial"/>
                <w:sz w:val="18"/>
                <w:szCs w:val="18"/>
              </w:rPr>
              <w:t>(Total Co2 displaced x Price of CO2 emissions)</w:t>
            </w:r>
          </w:p>
        </w:tc>
      </w:tr>
    </w:tbl>
    <w:p w14:paraId="45604667" w14:textId="77777777" w:rsidR="00E535E3" w:rsidRPr="00ED6612" w:rsidRDefault="00E535E3" w:rsidP="00A33B24">
      <w:pPr>
        <w:pStyle w:val="Paragraph"/>
        <w:tabs>
          <w:tab w:val="clear" w:pos="720"/>
        </w:tabs>
        <w:spacing w:before="0" w:afterLines="80" w:after="192"/>
        <w:ind w:left="0" w:right="-634" w:firstLine="0"/>
        <w:rPr>
          <w:rFonts w:ascii="Arial" w:hAnsi="Arial" w:cs="Arial"/>
          <w:b/>
          <w:sz w:val="20"/>
          <w:szCs w:val="24"/>
        </w:rPr>
      </w:pPr>
    </w:p>
    <w:p w14:paraId="45604668" w14:textId="77777777" w:rsidR="00E535E3" w:rsidRPr="00ED6612" w:rsidRDefault="00E535E3" w:rsidP="00A33B24">
      <w:pPr>
        <w:pStyle w:val="Paragraph"/>
        <w:tabs>
          <w:tab w:val="clear" w:pos="720"/>
        </w:tabs>
        <w:spacing w:before="0" w:afterLines="80" w:after="192"/>
        <w:ind w:left="0" w:right="-634" w:firstLine="0"/>
        <w:rPr>
          <w:rFonts w:ascii="Arial" w:hAnsi="Arial" w:cs="Arial"/>
          <w:b/>
          <w:sz w:val="20"/>
          <w:szCs w:val="24"/>
        </w:rPr>
      </w:pPr>
    </w:p>
    <w:sectPr w:rsidR="00E535E3" w:rsidRPr="00ED6612" w:rsidSect="003512C5">
      <w:pgSz w:w="15840" w:h="12240" w:orient="landscape" w:code="1"/>
      <w:pgMar w:top="180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604677" w14:textId="77777777" w:rsidR="00683F87" w:rsidRDefault="00683F87" w:rsidP="000B2B08">
      <w:pPr>
        <w:spacing w:after="0" w:line="240" w:lineRule="auto"/>
      </w:pPr>
      <w:r>
        <w:separator/>
      </w:r>
    </w:p>
  </w:endnote>
  <w:endnote w:type="continuationSeparator" w:id="0">
    <w:p w14:paraId="45604678" w14:textId="77777777" w:rsidR="00683F87" w:rsidRDefault="00683F87" w:rsidP="000B2B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Times New Roman Bold">
    <w:altName w:val="Times New Roman"/>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604675" w14:textId="77777777" w:rsidR="00683F87" w:rsidRDefault="00683F87" w:rsidP="000B2B08">
      <w:pPr>
        <w:spacing w:after="0" w:line="240" w:lineRule="auto"/>
      </w:pPr>
      <w:r>
        <w:separator/>
      </w:r>
    </w:p>
  </w:footnote>
  <w:footnote w:type="continuationSeparator" w:id="0">
    <w:p w14:paraId="45604676" w14:textId="77777777" w:rsidR="00683F87" w:rsidRDefault="00683F87" w:rsidP="000B2B08">
      <w:pPr>
        <w:spacing w:after="0" w:line="240" w:lineRule="auto"/>
      </w:pPr>
      <w:r>
        <w:continuationSeparator/>
      </w:r>
    </w:p>
  </w:footnote>
  <w:footnote w:id="1">
    <w:p w14:paraId="4560467B" w14:textId="77777777" w:rsidR="007E4FA7" w:rsidRPr="00D17E88" w:rsidRDefault="007E4FA7" w:rsidP="00823B4F">
      <w:pPr>
        <w:pStyle w:val="FootnoteText"/>
        <w:spacing w:after="0"/>
        <w:ind w:left="180" w:hanging="180"/>
        <w:rPr>
          <w:rFonts w:ascii="Arial" w:hAnsi="Arial" w:cs="Arial"/>
          <w:sz w:val="18"/>
          <w:szCs w:val="18"/>
        </w:rPr>
      </w:pPr>
      <w:r w:rsidRPr="00D17E88">
        <w:rPr>
          <w:rStyle w:val="FootnoteReference"/>
          <w:rFonts w:ascii="Arial" w:hAnsi="Arial" w:cs="Arial"/>
          <w:sz w:val="18"/>
          <w:szCs w:val="18"/>
        </w:rPr>
        <w:footnoteRef/>
      </w:r>
      <w:r w:rsidRPr="00D17E88">
        <w:rPr>
          <w:rFonts w:ascii="Arial" w:hAnsi="Arial" w:cs="Arial"/>
          <w:sz w:val="18"/>
          <w:szCs w:val="18"/>
        </w:rPr>
        <w:tab/>
        <w:t>Brunnschweiler, Christa N. Finance for RE: an empirical analysis of developing and transition economies. Environment and Development Economics 15.03 (2010): 241-274, 2010.</w:t>
      </w:r>
    </w:p>
  </w:footnote>
  <w:footnote w:id="2">
    <w:p w14:paraId="4560467C" w14:textId="33BA2104" w:rsidR="007E4FA7" w:rsidRPr="00D17E88" w:rsidRDefault="007E4FA7" w:rsidP="00823B4F">
      <w:pPr>
        <w:pStyle w:val="FootnoteText"/>
        <w:tabs>
          <w:tab w:val="left" w:pos="180"/>
        </w:tabs>
        <w:spacing w:after="0"/>
        <w:ind w:left="180" w:hanging="180"/>
        <w:rPr>
          <w:rFonts w:ascii="Arial" w:hAnsi="Arial" w:cs="Arial"/>
          <w:sz w:val="18"/>
          <w:szCs w:val="18"/>
        </w:rPr>
      </w:pPr>
      <w:r w:rsidRPr="00D17E88">
        <w:rPr>
          <w:rStyle w:val="FootnoteReference"/>
          <w:rFonts w:ascii="Arial" w:hAnsi="Arial" w:cs="Arial"/>
          <w:sz w:val="18"/>
          <w:szCs w:val="18"/>
        </w:rPr>
        <w:footnoteRef/>
      </w:r>
      <w:r w:rsidRPr="00D17E88">
        <w:rPr>
          <w:rFonts w:ascii="Arial" w:hAnsi="Arial" w:cs="Arial"/>
          <w:bCs/>
          <w:sz w:val="18"/>
          <w:szCs w:val="18"/>
        </w:rPr>
        <w:tab/>
      </w:r>
      <w:r w:rsidRPr="00D17E88">
        <w:rPr>
          <w:rFonts w:ascii="Arial" w:hAnsi="Arial" w:cs="Arial"/>
          <w:sz w:val="18"/>
          <w:szCs w:val="18"/>
        </w:rPr>
        <w:t xml:space="preserve">The </w:t>
      </w:r>
      <w:hyperlink r:id="rId1" w:history="1">
        <w:r w:rsidRPr="00D17E88">
          <w:rPr>
            <w:rStyle w:val="Hyperlink"/>
            <w:rFonts w:ascii="Arial" w:hAnsi="Arial" w:cs="Arial"/>
            <w:sz w:val="18"/>
            <w:szCs w:val="18"/>
          </w:rPr>
          <w:t>GCF</w:t>
        </w:r>
      </w:hyperlink>
      <w:r w:rsidRPr="00D17E88">
        <w:rPr>
          <w:rFonts w:ascii="Arial" w:hAnsi="Arial" w:cs="Arial"/>
          <w:sz w:val="18"/>
          <w:szCs w:val="18"/>
        </w:rPr>
        <w:t xml:space="preserve"> provides funding to promote mitigation and adaptation to climate change. The IDB is accredited by the GCF to manage these resources, under the terms established in the AMA approved by the IDB Board (GN</w:t>
      </w:r>
      <w:r w:rsidRPr="00D17E88">
        <w:rPr>
          <w:rFonts w:ascii="Arial" w:hAnsi="Arial" w:cs="Arial"/>
          <w:sz w:val="18"/>
          <w:szCs w:val="18"/>
        </w:rPr>
        <w:noBreakHyphen/>
        <w:t xml:space="preserve">2895) (see footnote 1). The </w:t>
      </w:r>
      <w:r w:rsidR="00D11E5F">
        <w:rPr>
          <w:rFonts w:ascii="Arial" w:hAnsi="Arial" w:cs="Arial"/>
          <w:sz w:val="18"/>
          <w:szCs w:val="18"/>
        </w:rPr>
        <w:t>project</w:t>
      </w:r>
      <w:r w:rsidRPr="00D17E88">
        <w:rPr>
          <w:rFonts w:ascii="Arial" w:hAnsi="Arial" w:cs="Arial"/>
          <w:sz w:val="18"/>
          <w:szCs w:val="18"/>
        </w:rPr>
        <w:t xml:space="preserve"> has Argentina’s National Designated Authority’s non-objection.</w:t>
      </w:r>
    </w:p>
  </w:footnote>
  <w:footnote w:id="3">
    <w:p w14:paraId="4560467D" w14:textId="6F8860C4" w:rsidR="007E4FA7" w:rsidRPr="00D17E88" w:rsidRDefault="007E4FA7" w:rsidP="00823B4F">
      <w:pPr>
        <w:pStyle w:val="FootnoteText"/>
        <w:tabs>
          <w:tab w:val="left" w:pos="180"/>
        </w:tabs>
        <w:spacing w:after="0"/>
        <w:ind w:left="180" w:hanging="180"/>
        <w:rPr>
          <w:rFonts w:ascii="Arial" w:hAnsi="Arial" w:cs="Arial"/>
          <w:sz w:val="18"/>
          <w:szCs w:val="18"/>
        </w:rPr>
      </w:pPr>
      <w:r w:rsidRPr="00D17E88">
        <w:rPr>
          <w:rStyle w:val="FootnoteReference"/>
          <w:rFonts w:ascii="Arial" w:hAnsi="Arial" w:cs="Arial"/>
          <w:sz w:val="18"/>
          <w:szCs w:val="18"/>
        </w:rPr>
        <w:footnoteRef/>
      </w:r>
      <w:r w:rsidRPr="00D17E88">
        <w:rPr>
          <w:rFonts w:ascii="Arial" w:hAnsi="Arial" w:cs="Arial"/>
          <w:bCs/>
          <w:sz w:val="18"/>
          <w:szCs w:val="18"/>
        </w:rPr>
        <w:tab/>
      </w:r>
      <w:r w:rsidRPr="00D17E88">
        <w:rPr>
          <w:rFonts w:ascii="Arial" w:hAnsi="Arial" w:cs="Arial"/>
          <w:sz w:val="18"/>
          <w:szCs w:val="18"/>
        </w:rPr>
        <w:t xml:space="preserve">In the context of this </w:t>
      </w:r>
      <w:r w:rsidR="00D11E5F">
        <w:rPr>
          <w:rFonts w:ascii="Arial" w:hAnsi="Arial" w:cs="Arial"/>
          <w:sz w:val="18"/>
          <w:szCs w:val="18"/>
        </w:rPr>
        <w:t>project</w:t>
      </w:r>
      <w:r w:rsidRPr="00D17E88">
        <w:rPr>
          <w:rFonts w:ascii="Arial" w:hAnsi="Arial" w:cs="Arial"/>
          <w:sz w:val="18"/>
          <w:szCs w:val="18"/>
        </w:rPr>
        <w:t>, SME is defined as per Argentine’s government classification of PYME (</w:t>
      </w:r>
      <w:r w:rsidRPr="00D17E88">
        <w:rPr>
          <w:rFonts w:ascii="Arial" w:hAnsi="Arial" w:cs="Arial"/>
          <w:i/>
          <w:sz w:val="18"/>
          <w:szCs w:val="18"/>
        </w:rPr>
        <w:t>Resolución General</w:t>
      </w:r>
      <w:r w:rsidRPr="00D17E88">
        <w:rPr>
          <w:rFonts w:ascii="Arial" w:hAnsi="Arial" w:cs="Arial"/>
          <w:sz w:val="18"/>
          <w:szCs w:val="18"/>
        </w:rPr>
        <w:t xml:space="preserve"> 103-E/2017 of the Ministry of Production). In this resolution, firms are classified based on their level of sales, with distinctions by economic activity. SMEs constitute firms with sales of up to $760 million Pesos and $250 million Pesos for the industrial and services sectors, respectively.</w:t>
      </w:r>
    </w:p>
  </w:footnote>
  <w:footnote w:id="4">
    <w:p w14:paraId="4560467E" w14:textId="77777777" w:rsidR="007E4FA7" w:rsidRPr="00D17E88" w:rsidRDefault="007E4FA7" w:rsidP="00823B4F">
      <w:pPr>
        <w:pStyle w:val="FootnoteText"/>
        <w:tabs>
          <w:tab w:val="left" w:pos="180"/>
        </w:tabs>
        <w:spacing w:after="0"/>
        <w:ind w:left="180" w:hanging="180"/>
        <w:rPr>
          <w:rFonts w:ascii="Arial" w:hAnsi="Arial" w:cs="Arial"/>
          <w:sz w:val="18"/>
          <w:szCs w:val="18"/>
        </w:rPr>
      </w:pPr>
      <w:r w:rsidRPr="00D17E88">
        <w:rPr>
          <w:rStyle w:val="FootnoteReference"/>
          <w:rFonts w:ascii="Arial" w:hAnsi="Arial" w:cs="Arial"/>
          <w:sz w:val="18"/>
          <w:szCs w:val="18"/>
        </w:rPr>
        <w:footnoteRef/>
      </w:r>
      <w:r w:rsidRPr="00D17E88">
        <w:rPr>
          <w:rFonts w:ascii="Arial" w:hAnsi="Arial" w:cs="Arial"/>
          <w:bCs/>
          <w:sz w:val="18"/>
          <w:szCs w:val="18"/>
        </w:rPr>
        <w:tab/>
        <w:t>It is expected that d</w:t>
      </w:r>
      <w:r w:rsidRPr="00D17E88">
        <w:rPr>
          <w:rFonts w:ascii="Arial" w:hAnsi="Arial" w:cs="Arial"/>
          <w:sz w:val="18"/>
          <w:szCs w:val="18"/>
        </w:rPr>
        <w:t xml:space="preserve">irect lending will only be available for loans larger than US$5 million, and that only RE </w:t>
      </w:r>
      <w:r>
        <w:rPr>
          <w:rFonts w:ascii="Arial" w:hAnsi="Arial" w:cs="Arial"/>
          <w:sz w:val="18"/>
          <w:szCs w:val="18"/>
        </w:rPr>
        <w:t xml:space="preserve">eligible </w:t>
      </w:r>
      <w:r w:rsidRPr="00D17E88">
        <w:rPr>
          <w:rFonts w:ascii="Arial" w:hAnsi="Arial" w:cs="Arial"/>
          <w:sz w:val="18"/>
          <w:szCs w:val="18"/>
        </w:rPr>
        <w:t>projects (particularly, biomass) have the potential to be this large.</w:t>
      </w:r>
    </w:p>
  </w:footnote>
  <w:footnote w:id="5">
    <w:p w14:paraId="4560467F" w14:textId="2AA4610A" w:rsidR="007E4FA7" w:rsidRPr="00D17E88" w:rsidRDefault="007E4FA7" w:rsidP="00823B4F">
      <w:pPr>
        <w:pStyle w:val="FootnoteText"/>
        <w:spacing w:after="0"/>
        <w:ind w:left="180" w:hanging="180"/>
        <w:rPr>
          <w:rFonts w:ascii="Arial" w:hAnsi="Arial" w:cs="Arial"/>
          <w:sz w:val="18"/>
          <w:szCs w:val="18"/>
        </w:rPr>
      </w:pPr>
      <w:r w:rsidRPr="00D17E88">
        <w:rPr>
          <w:rStyle w:val="FootnoteReference"/>
          <w:rFonts w:ascii="Arial" w:hAnsi="Arial" w:cs="Arial"/>
          <w:sz w:val="18"/>
          <w:szCs w:val="18"/>
        </w:rPr>
        <w:footnoteRef/>
      </w:r>
      <w:r w:rsidRPr="00D17E88">
        <w:rPr>
          <w:rFonts w:ascii="Arial" w:hAnsi="Arial" w:cs="Arial"/>
          <w:sz w:val="18"/>
          <w:szCs w:val="18"/>
        </w:rPr>
        <w:t xml:space="preserve"> The OR is an agreement by which the executing agency formally adapts their internal processes to requirements by the IDB, in the context of the execution of a specific </w:t>
      </w:r>
      <w:r w:rsidR="00D11E5F">
        <w:rPr>
          <w:rFonts w:ascii="Arial" w:hAnsi="Arial" w:cs="Arial"/>
          <w:sz w:val="18"/>
          <w:szCs w:val="18"/>
        </w:rPr>
        <w:t>project</w:t>
      </w:r>
      <w:r w:rsidRPr="00D17E88">
        <w:rPr>
          <w:rFonts w:ascii="Arial" w:hAnsi="Arial" w:cs="Arial"/>
          <w:sz w:val="18"/>
          <w:szCs w:val="18"/>
        </w:rPr>
        <w:t>. The OR will be prepared and owned by BICE, with supervision from the IDB, and must be finalized and approved by BICE’s appropriate instances prior to the first disbursement of funds.</w:t>
      </w:r>
    </w:p>
  </w:footnote>
  <w:footnote w:id="6">
    <w:p w14:paraId="45604680" w14:textId="77777777" w:rsidR="007E4FA7" w:rsidRPr="00D17E88" w:rsidRDefault="007E4FA7" w:rsidP="00823B4F">
      <w:pPr>
        <w:pStyle w:val="FootnoteText"/>
        <w:spacing w:after="0"/>
        <w:ind w:left="180" w:hanging="180"/>
        <w:rPr>
          <w:rFonts w:ascii="Arial" w:hAnsi="Arial" w:cs="Arial"/>
          <w:sz w:val="18"/>
          <w:szCs w:val="18"/>
        </w:rPr>
      </w:pPr>
      <w:r w:rsidRPr="00D17E88">
        <w:rPr>
          <w:rStyle w:val="FootnoteReference"/>
          <w:rFonts w:ascii="Arial" w:hAnsi="Arial" w:cs="Arial"/>
          <w:sz w:val="18"/>
          <w:szCs w:val="18"/>
        </w:rPr>
        <w:footnoteRef/>
      </w:r>
      <w:r w:rsidRPr="00D17E88">
        <w:rPr>
          <w:rFonts w:ascii="Arial" w:hAnsi="Arial" w:cs="Arial"/>
          <w:sz w:val="18"/>
          <w:szCs w:val="18"/>
        </w:rPr>
        <w:tab/>
        <w:t>The same criteria and conditions will apply to direct and indirect operations.</w:t>
      </w:r>
    </w:p>
  </w:footnote>
  <w:footnote w:id="7">
    <w:p w14:paraId="45604681" w14:textId="544FF655" w:rsidR="007E4FA7" w:rsidRPr="00D17E88" w:rsidRDefault="007E4FA7" w:rsidP="00823B4F">
      <w:pPr>
        <w:pStyle w:val="FootnoteText"/>
        <w:spacing w:after="0"/>
        <w:ind w:left="180" w:hanging="180"/>
        <w:rPr>
          <w:rFonts w:ascii="Arial" w:hAnsi="Arial" w:cs="Arial"/>
          <w:sz w:val="18"/>
          <w:szCs w:val="18"/>
        </w:rPr>
      </w:pPr>
      <w:r w:rsidRPr="00D17E88">
        <w:rPr>
          <w:rStyle w:val="FootnoteReference"/>
          <w:rFonts w:ascii="Arial" w:hAnsi="Arial" w:cs="Arial"/>
          <w:sz w:val="18"/>
          <w:szCs w:val="18"/>
        </w:rPr>
        <w:footnoteRef/>
      </w:r>
      <w:r w:rsidRPr="00D17E88">
        <w:rPr>
          <w:rFonts w:ascii="Arial" w:hAnsi="Arial" w:cs="Arial"/>
          <w:sz w:val="18"/>
          <w:szCs w:val="18"/>
        </w:rPr>
        <w:t xml:space="preserve"> </w:t>
      </w:r>
      <w:r w:rsidRPr="00D17E88">
        <w:rPr>
          <w:rFonts w:ascii="Arial" w:hAnsi="Arial" w:cs="Arial"/>
          <w:sz w:val="18"/>
          <w:szCs w:val="18"/>
          <w:lang w:val="en-GB"/>
        </w:rPr>
        <w:t xml:space="preserve">These include support for </w:t>
      </w:r>
      <w:r w:rsidR="00D11E5F">
        <w:rPr>
          <w:rFonts w:ascii="Arial" w:hAnsi="Arial" w:cs="Arial"/>
          <w:sz w:val="18"/>
          <w:szCs w:val="18"/>
          <w:lang w:val="en-GB"/>
        </w:rPr>
        <w:t>project</w:t>
      </w:r>
      <w:r w:rsidRPr="00D17E88">
        <w:rPr>
          <w:rFonts w:ascii="Arial" w:hAnsi="Arial" w:cs="Arial"/>
          <w:sz w:val="18"/>
          <w:szCs w:val="18"/>
          <w:lang w:val="en-GB"/>
        </w:rPr>
        <w:t xml:space="preserve"> implementation, training and capacity building, advisory services for the design of risk mitigation mechanisms, workshops, activities and marketing campaigns to raise public awareness, etc.</w:t>
      </w:r>
    </w:p>
  </w:footnote>
  <w:footnote w:id="8">
    <w:p w14:paraId="45604682" w14:textId="1617F8F5" w:rsidR="007E4FA7" w:rsidRPr="00D17E88" w:rsidRDefault="007E4FA7" w:rsidP="00823B4F">
      <w:pPr>
        <w:pStyle w:val="FootnoteText"/>
        <w:tabs>
          <w:tab w:val="left" w:pos="180"/>
        </w:tabs>
        <w:spacing w:after="0"/>
        <w:ind w:left="180" w:hanging="180"/>
        <w:rPr>
          <w:rFonts w:ascii="Arial" w:hAnsi="Arial" w:cs="Arial"/>
          <w:sz w:val="18"/>
          <w:szCs w:val="18"/>
        </w:rPr>
      </w:pPr>
      <w:r w:rsidRPr="00D17E88">
        <w:rPr>
          <w:rStyle w:val="FootnoteReference"/>
          <w:rFonts w:ascii="Arial" w:hAnsi="Arial" w:cs="Arial"/>
          <w:sz w:val="18"/>
          <w:szCs w:val="18"/>
        </w:rPr>
        <w:footnoteRef/>
      </w:r>
      <w:r w:rsidRPr="00D17E88">
        <w:rPr>
          <w:rFonts w:ascii="Arial" w:hAnsi="Arial" w:cs="Arial"/>
          <w:bCs/>
          <w:sz w:val="18"/>
          <w:szCs w:val="18"/>
        </w:rPr>
        <w:tab/>
      </w:r>
      <w:r w:rsidRPr="00D17E88">
        <w:rPr>
          <w:rFonts w:ascii="Arial" w:hAnsi="Arial" w:cs="Arial"/>
          <w:sz w:val="18"/>
          <w:szCs w:val="18"/>
        </w:rPr>
        <w:t xml:space="preserve">A </w:t>
      </w:r>
      <w:hyperlink r:id="rId2" w:history="1">
        <w:r w:rsidRPr="00B32D1D">
          <w:rPr>
            <w:rStyle w:val="Hyperlink"/>
            <w:rFonts w:ascii="Arial" w:hAnsi="Arial" w:cs="Arial"/>
            <w:sz w:val="18"/>
            <w:szCs w:val="18"/>
          </w:rPr>
          <w:t>Market Study</w:t>
        </w:r>
      </w:hyperlink>
      <w:r>
        <w:rPr>
          <w:rFonts w:ascii="Arial" w:hAnsi="Arial" w:cs="Arial"/>
          <w:sz w:val="18"/>
          <w:szCs w:val="18"/>
        </w:rPr>
        <w:t xml:space="preserve"> u</w:t>
      </w:r>
      <w:r w:rsidRPr="00D17E88">
        <w:rPr>
          <w:rFonts w:ascii="Arial" w:hAnsi="Arial" w:cs="Arial"/>
          <w:sz w:val="18"/>
          <w:szCs w:val="18"/>
        </w:rPr>
        <w:t>ndertaken for BICE and IDB (Magallon, 2017) identified a significant potential for RE and EE investments in Argentina’s SME (equivalent to more than US$2 billion), linked to modernization of equipment and substitution of energy sources, using biomass and biogas.</w:t>
      </w:r>
      <w:r>
        <w:rPr>
          <w:rFonts w:ascii="Arial" w:hAnsi="Arial" w:cs="Arial"/>
          <w:sz w:val="18"/>
          <w:szCs w:val="18"/>
        </w:rPr>
        <w:t xml:space="preserve"> </w:t>
      </w:r>
      <w:bookmarkStart w:id="10" w:name="_Hlk505942535"/>
      <w:r>
        <w:rPr>
          <w:rFonts w:ascii="Arial" w:hAnsi="Arial" w:cs="Arial"/>
          <w:sz w:val="18"/>
          <w:szCs w:val="18"/>
        </w:rPr>
        <w:t xml:space="preserve">In addition, there is significant potential in the development of awarded projects under the government’s </w:t>
      </w:r>
      <w:r w:rsidRPr="000B6E35">
        <w:rPr>
          <w:rFonts w:ascii="Arial" w:hAnsi="Arial" w:cs="Arial"/>
          <w:i/>
          <w:sz w:val="18"/>
          <w:szCs w:val="18"/>
        </w:rPr>
        <w:t>Renov</w:t>
      </w:r>
      <w:r>
        <w:rPr>
          <w:rFonts w:ascii="Arial" w:hAnsi="Arial" w:cs="Arial"/>
          <w:i/>
          <w:sz w:val="18"/>
          <w:szCs w:val="18"/>
        </w:rPr>
        <w:t>A</w:t>
      </w:r>
      <w:r w:rsidRPr="000B6E35">
        <w:rPr>
          <w:rFonts w:ascii="Arial" w:hAnsi="Arial" w:cs="Arial"/>
          <w:i/>
          <w:sz w:val="18"/>
          <w:szCs w:val="18"/>
        </w:rPr>
        <w:t>r</w:t>
      </w:r>
      <w:r>
        <w:rPr>
          <w:rFonts w:ascii="Arial" w:hAnsi="Arial" w:cs="Arial"/>
          <w:sz w:val="18"/>
          <w:szCs w:val="18"/>
        </w:rPr>
        <w:t xml:space="preserve"> tendering </w:t>
      </w:r>
      <w:r w:rsidR="00D11E5F">
        <w:rPr>
          <w:rFonts w:ascii="Arial" w:hAnsi="Arial" w:cs="Arial"/>
          <w:sz w:val="18"/>
          <w:szCs w:val="18"/>
        </w:rPr>
        <w:t>project</w:t>
      </w:r>
      <w:r>
        <w:rPr>
          <w:rFonts w:ascii="Arial" w:hAnsi="Arial" w:cs="Arial"/>
          <w:sz w:val="18"/>
          <w:szCs w:val="18"/>
        </w:rPr>
        <w:t>, which is the main source for constructing a pipeline to be financed by BICE.</w:t>
      </w:r>
      <w:bookmarkEnd w:id="10"/>
      <w:r>
        <w:rPr>
          <w:rFonts w:ascii="Arial" w:hAnsi="Arial" w:cs="Arial"/>
          <w:sz w:val="18"/>
          <w:szCs w:val="18"/>
        </w:rPr>
        <w:t xml:space="preserve"> A total of 18 biomass projects and 40 biogas projects have been awarded so far (for a total of 236 MW of new capacity), most of which are in need of financing</w:t>
      </w:r>
    </w:p>
  </w:footnote>
  <w:footnote w:id="9">
    <w:p w14:paraId="45604683" w14:textId="77777777" w:rsidR="007E4FA7" w:rsidRPr="00D17E88" w:rsidRDefault="007E4FA7" w:rsidP="00ED6612">
      <w:pPr>
        <w:pStyle w:val="FootnoteText"/>
        <w:spacing w:after="0"/>
        <w:rPr>
          <w:rFonts w:ascii="Arial" w:hAnsi="Arial" w:cs="Arial"/>
          <w:sz w:val="18"/>
          <w:szCs w:val="18"/>
        </w:rPr>
      </w:pPr>
      <w:r w:rsidRPr="00D17E88">
        <w:rPr>
          <w:rStyle w:val="FootnoteReference"/>
          <w:rFonts w:ascii="Arial" w:hAnsi="Arial" w:cs="Arial"/>
          <w:sz w:val="18"/>
          <w:szCs w:val="18"/>
        </w:rPr>
        <w:footnoteRef/>
      </w:r>
      <w:r w:rsidRPr="00D17E88">
        <w:rPr>
          <w:rFonts w:ascii="Arial" w:hAnsi="Arial" w:cs="Arial"/>
          <w:sz w:val="18"/>
          <w:szCs w:val="18"/>
        </w:rPr>
        <w:t xml:space="preserve"> </w:t>
      </w:r>
      <w:r w:rsidRPr="00D17E88">
        <w:rPr>
          <w:rFonts w:ascii="Arial" w:hAnsi="Arial" w:cs="Arial"/>
          <w:sz w:val="18"/>
          <w:szCs w:val="18"/>
        </w:rPr>
        <w:tab/>
        <w:t>For practical purposes, the analysis uses aggregated data for the accounting of benefits over time, based on the construction of a portfolio of projects and the characteristics of a representative beneficiary firm for each type of project.</w:t>
      </w:r>
    </w:p>
  </w:footnote>
  <w:footnote w:id="10">
    <w:p w14:paraId="45604684" w14:textId="51CD137F" w:rsidR="007E4FA7" w:rsidRPr="00D17E88" w:rsidRDefault="007E4FA7" w:rsidP="00CC2F2E">
      <w:pPr>
        <w:pStyle w:val="FootnoteText"/>
        <w:spacing w:after="0"/>
        <w:rPr>
          <w:rFonts w:ascii="Arial" w:hAnsi="Arial" w:cs="Arial"/>
          <w:sz w:val="18"/>
          <w:szCs w:val="18"/>
        </w:rPr>
      </w:pPr>
      <w:r w:rsidRPr="00D17E88">
        <w:rPr>
          <w:rStyle w:val="FootnoteReference"/>
          <w:rFonts w:ascii="Arial" w:hAnsi="Arial" w:cs="Arial"/>
          <w:sz w:val="18"/>
          <w:szCs w:val="18"/>
        </w:rPr>
        <w:footnoteRef/>
      </w:r>
      <w:r w:rsidRPr="00D17E88">
        <w:rPr>
          <w:rFonts w:ascii="Arial" w:hAnsi="Arial" w:cs="Arial"/>
          <w:sz w:val="18"/>
          <w:szCs w:val="18"/>
        </w:rPr>
        <w:t xml:space="preserve"> </w:t>
      </w:r>
      <w:r w:rsidRPr="00D17E88">
        <w:rPr>
          <w:rFonts w:ascii="Arial" w:hAnsi="Arial" w:cs="Arial"/>
          <w:sz w:val="18"/>
          <w:szCs w:val="18"/>
          <w:lang w:val="en"/>
        </w:rPr>
        <w:tab/>
        <w:t xml:space="preserve">Before implementation of the </w:t>
      </w:r>
      <w:r w:rsidR="00D11E5F">
        <w:rPr>
          <w:rFonts w:ascii="Arial" w:hAnsi="Arial" w:cs="Arial"/>
          <w:sz w:val="18"/>
          <w:szCs w:val="18"/>
          <w:lang w:val="en"/>
        </w:rPr>
        <w:t>project</w:t>
      </w:r>
      <w:r w:rsidRPr="00D17E88">
        <w:rPr>
          <w:rFonts w:ascii="Arial" w:hAnsi="Arial" w:cs="Arial"/>
          <w:sz w:val="18"/>
          <w:szCs w:val="18"/>
          <w:lang w:val="en"/>
        </w:rPr>
        <w:t>, any existing portfolio is indicative. There is no information on specific projects available until it is presented by participants when applying to credits by BICE or FIs, and in all cases this information should be treated with confidentiality.</w:t>
      </w:r>
    </w:p>
  </w:footnote>
  <w:footnote w:id="11">
    <w:p w14:paraId="45604685" w14:textId="77777777" w:rsidR="007E4FA7" w:rsidRPr="00D17E88" w:rsidRDefault="007E4FA7" w:rsidP="00DC72A9">
      <w:pPr>
        <w:pStyle w:val="FootnoteText"/>
        <w:spacing w:after="0"/>
        <w:rPr>
          <w:rFonts w:ascii="Arial" w:hAnsi="Arial" w:cs="Arial"/>
          <w:sz w:val="18"/>
          <w:szCs w:val="18"/>
        </w:rPr>
      </w:pPr>
      <w:r w:rsidRPr="00D17E88">
        <w:rPr>
          <w:rStyle w:val="FootnoteReference"/>
          <w:rFonts w:ascii="Arial" w:hAnsi="Arial" w:cs="Arial"/>
          <w:sz w:val="18"/>
          <w:szCs w:val="18"/>
        </w:rPr>
        <w:footnoteRef/>
      </w:r>
      <w:r w:rsidRPr="00D17E88">
        <w:rPr>
          <w:rFonts w:ascii="Arial" w:hAnsi="Arial" w:cs="Arial"/>
          <w:sz w:val="18"/>
          <w:szCs w:val="18"/>
        </w:rPr>
        <w:t xml:space="preserve">    For practical purposes, the analysis uses aggregated data, based on the characteristics of a representative beneficiary firm for each category of project and the number of projects under each category considered.</w:t>
      </w:r>
    </w:p>
  </w:footnote>
  <w:footnote w:id="12">
    <w:p w14:paraId="45604686" w14:textId="77777777" w:rsidR="007E4FA7" w:rsidRPr="00D17E88" w:rsidRDefault="007E4FA7" w:rsidP="00C25972">
      <w:pPr>
        <w:pStyle w:val="FootnoteText"/>
        <w:spacing w:after="0"/>
        <w:rPr>
          <w:rFonts w:ascii="Arial" w:hAnsi="Arial" w:cs="Arial"/>
          <w:sz w:val="18"/>
          <w:szCs w:val="18"/>
        </w:rPr>
      </w:pPr>
      <w:r w:rsidRPr="00D17E88">
        <w:rPr>
          <w:rStyle w:val="FootnoteReference"/>
          <w:rFonts w:ascii="Arial" w:hAnsi="Arial" w:cs="Arial"/>
          <w:sz w:val="18"/>
          <w:szCs w:val="18"/>
        </w:rPr>
        <w:footnoteRef/>
      </w:r>
      <w:r w:rsidRPr="00D17E88">
        <w:rPr>
          <w:rFonts w:ascii="Arial" w:hAnsi="Arial" w:cs="Arial"/>
          <w:sz w:val="18"/>
          <w:szCs w:val="18"/>
        </w:rPr>
        <w:t xml:space="preserve"> </w:t>
      </w:r>
      <w:r w:rsidRPr="00D17E88">
        <w:rPr>
          <w:rFonts w:ascii="Arial" w:hAnsi="Arial" w:cs="Arial"/>
          <w:sz w:val="18"/>
          <w:szCs w:val="18"/>
        </w:rPr>
        <w:tab/>
      </w:r>
      <w:r w:rsidRPr="00AE1A03">
        <w:rPr>
          <w:rFonts w:ascii="Arial" w:hAnsi="Arial" w:cs="Arial"/>
          <w:sz w:val="18"/>
          <w:szCs w:val="18"/>
        </w:rPr>
        <w:t>Magallon, 2017,</w:t>
      </w:r>
      <w:r w:rsidRPr="00D17E88">
        <w:rPr>
          <w:rFonts w:ascii="Arial" w:hAnsi="Arial" w:cs="Arial"/>
          <w:i/>
          <w:sz w:val="18"/>
          <w:szCs w:val="18"/>
        </w:rPr>
        <w:t xml:space="preserve"> </w:t>
      </w:r>
      <w:hyperlink r:id="rId3" w:history="1">
        <w:r w:rsidRPr="00B32D1D">
          <w:rPr>
            <w:rStyle w:val="Hyperlink"/>
            <w:rFonts w:ascii="Arial" w:hAnsi="Arial" w:cs="Arial"/>
            <w:sz w:val="18"/>
            <w:szCs w:val="18"/>
          </w:rPr>
          <w:t>Feasibility Analysis</w:t>
        </w:r>
      </w:hyperlink>
      <w:r w:rsidRPr="00B32D1D">
        <w:rPr>
          <w:rFonts w:ascii="Arial" w:hAnsi="Arial" w:cs="Arial"/>
          <w:sz w:val="18"/>
          <w:szCs w:val="18"/>
        </w:rPr>
        <w:t>.</w:t>
      </w:r>
      <w:r w:rsidRPr="00D17E88">
        <w:rPr>
          <w:rFonts w:ascii="Arial" w:hAnsi="Arial" w:cs="Arial"/>
          <w:sz w:val="18"/>
          <w:szCs w:val="18"/>
        </w:rPr>
        <w:t xml:space="preserve"> </w:t>
      </w:r>
      <w:r w:rsidRPr="002447E1">
        <w:rPr>
          <w:rFonts w:ascii="Arial" w:hAnsi="Arial" w:cs="Arial"/>
          <w:sz w:val="18"/>
          <w:szCs w:val="18"/>
        </w:rPr>
        <w:t>This study evaluates different business opportunities associated to sustainable energy investments in Argentina and performs an analysis of these opportunities based on their potential. Based on this, the study describes and recommends technologies and sub sectors with the highest potential, where viable projects are more likely to occur and activities to structure demand should be prioritized.</w:t>
      </w:r>
    </w:p>
  </w:footnote>
  <w:footnote w:id="13">
    <w:p w14:paraId="45604687" w14:textId="30194E9C" w:rsidR="007E4FA7" w:rsidRPr="00D17E88" w:rsidRDefault="007E4FA7" w:rsidP="00C25972">
      <w:pPr>
        <w:pStyle w:val="FootnoteText"/>
        <w:spacing w:after="0"/>
        <w:rPr>
          <w:rFonts w:ascii="Arial" w:hAnsi="Arial" w:cs="Arial"/>
          <w:sz w:val="18"/>
          <w:szCs w:val="18"/>
        </w:rPr>
      </w:pPr>
      <w:r w:rsidRPr="00D17E88">
        <w:rPr>
          <w:rStyle w:val="FootnoteReference"/>
          <w:rFonts w:ascii="Arial" w:hAnsi="Arial" w:cs="Arial"/>
          <w:sz w:val="18"/>
          <w:szCs w:val="18"/>
        </w:rPr>
        <w:footnoteRef/>
      </w:r>
      <w:r w:rsidRPr="00D17E88">
        <w:rPr>
          <w:rFonts w:ascii="Arial" w:hAnsi="Arial" w:cs="Arial"/>
          <w:sz w:val="18"/>
          <w:szCs w:val="18"/>
        </w:rPr>
        <w:tab/>
        <w:t xml:space="preserve">An ex-post evaluation will be performed when </w:t>
      </w:r>
      <w:r w:rsidR="00D11E5F">
        <w:rPr>
          <w:rFonts w:ascii="Arial" w:hAnsi="Arial" w:cs="Arial"/>
          <w:sz w:val="18"/>
          <w:szCs w:val="18"/>
        </w:rPr>
        <w:t>project</w:t>
      </w:r>
      <w:r w:rsidRPr="00D17E88">
        <w:rPr>
          <w:rFonts w:ascii="Arial" w:hAnsi="Arial" w:cs="Arial"/>
          <w:sz w:val="18"/>
          <w:szCs w:val="18"/>
        </w:rPr>
        <w:t xml:space="preserve"> execution is completed, in which real values from projects implemented will replace the assumed values in this analysis (see </w:t>
      </w:r>
      <w:hyperlink r:id="rId4" w:history="1">
        <w:r w:rsidRPr="00DB7504">
          <w:rPr>
            <w:rStyle w:val="Hyperlink"/>
            <w:rFonts w:ascii="Arial" w:hAnsi="Arial" w:cs="Arial"/>
            <w:sz w:val="18"/>
            <w:szCs w:val="18"/>
          </w:rPr>
          <w:t>Monitoring and Evaluation Plan</w:t>
        </w:r>
      </w:hyperlink>
      <w:r w:rsidRPr="00DB7504">
        <w:rPr>
          <w:rFonts w:ascii="Arial" w:hAnsi="Arial" w:cs="Arial"/>
          <w:sz w:val="18"/>
          <w:szCs w:val="18"/>
        </w:rPr>
        <w:t>).</w:t>
      </w:r>
    </w:p>
  </w:footnote>
  <w:footnote w:id="14">
    <w:p w14:paraId="45604688" w14:textId="0D4D3269" w:rsidR="007E4FA7" w:rsidRPr="00D17E88" w:rsidRDefault="007E4FA7" w:rsidP="008C441D">
      <w:pPr>
        <w:pStyle w:val="FootnoteText"/>
        <w:spacing w:after="0"/>
        <w:ind w:left="270" w:hanging="270"/>
        <w:rPr>
          <w:rFonts w:ascii="Arial" w:hAnsi="Arial" w:cs="Arial"/>
          <w:sz w:val="18"/>
          <w:szCs w:val="18"/>
        </w:rPr>
      </w:pPr>
      <w:r w:rsidRPr="00D17E88">
        <w:rPr>
          <w:rStyle w:val="FootnoteReference"/>
          <w:rFonts w:ascii="Arial" w:hAnsi="Arial" w:cs="Arial"/>
          <w:sz w:val="18"/>
          <w:szCs w:val="18"/>
        </w:rPr>
        <w:footnoteRef/>
      </w:r>
      <w:r w:rsidRPr="00D17E88">
        <w:rPr>
          <w:rFonts w:ascii="Arial" w:hAnsi="Arial" w:cs="Arial"/>
          <w:sz w:val="18"/>
          <w:szCs w:val="18"/>
        </w:rPr>
        <w:t xml:space="preserve">  </w:t>
      </w:r>
      <w:r w:rsidRPr="00D17E88">
        <w:rPr>
          <w:rFonts w:ascii="Arial" w:hAnsi="Arial" w:cs="Arial"/>
          <w:sz w:val="18"/>
          <w:szCs w:val="18"/>
        </w:rPr>
        <w:tab/>
        <w:t xml:space="preserve">Following IDB guidelines for economic analysis of </w:t>
      </w:r>
      <w:r w:rsidR="00D11E5F">
        <w:rPr>
          <w:rFonts w:ascii="Arial" w:hAnsi="Arial" w:cs="Arial"/>
          <w:sz w:val="18"/>
          <w:szCs w:val="18"/>
        </w:rPr>
        <w:t>project</w:t>
      </w:r>
      <w:r w:rsidRPr="00D17E88">
        <w:rPr>
          <w:rFonts w:ascii="Arial" w:hAnsi="Arial" w:cs="Arial"/>
          <w:sz w:val="18"/>
          <w:szCs w:val="18"/>
        </w:rPr>
        <w:t>s financed by the IDB, it is recommended to use a discount rate of 12% for all IDB operations.</w:t>
      </w:r>
    </w:p>
  </w:footnote>
  <w:footnote w:id="15">
    <w:p w14:paraId="45604689" w14:textId="77777777" w:rsidR="007E4FA7" w:rsidRPr="00D17E88" w:rsidRDefault="007E4FA7" w:rsidP="00023F3C">
      <w:pPr>
        <w:pStyle w:val="FootnoteText"/>
        <w:tabs>
          <w:tab w:val="left" w:pos="180"/>
        </w:tabs>
        <w:spacing w:after="0"/>
        <w:ind w:left="270" w:hanging="270"/>
        <w:rPr>
          <w:rFonts w:ascii="Arial" w:hAnsi="Arial" w:cs="Arial"/>
          <w:sz w:val="18"/>
          <w:szCs w:val="18"/>
        </w:rPr>
      </w:pPr>
      <w:r w:rsidRPr="00D17E88">
        <w:rPr>
          <w:rStyle w:val="FootnoteReference"/>
          <w:rFonts w:ascii="Arial" w:hAnsi="Arial" w:cs="Arial"/>
          <w:sz w:val="18"/>
          <w:szCs w:val="18"/>
        </w:rPr>
        <w:footnoteRef/>
      </w:r>
      <w:r w:rsidRPr="00D17E88">
        <w:rPr>
          <w:rFonts w:ascii="Arial" w:hAnsi="Arial" w:cs="Arial"/>
          <w:sz w:val="18"/>
          <w:szCs w:val="18"/>
        </w:rPr>
        <w:t xml:space="preserve"> </w:t>
      </w:r>
      <w:r w:rsidR="00ED6612">
        <w:rPr>
          <w:rFonts w:ascii="Arial" w:hAnsi="Arial" w:cs="Arial"/>
          <w:sz w:val="18"/>
          <w:szCs w:val="18"/>
        </w:rPr>
        <w:tab/>
      </w:r>
      <w:r w:rsidRPr="00D17E88">
        <w:rPr>
          <w:rFonts w:ascii="Arial" w:hAnsi="Arial" w:cs="Arial"/>
          <w:sz w:val="18"/>
          <w:szCs w:val="18"/>
        </w:rPr>
        <w:t>The typical sub project likely to receive financing corresponds to a small</w:t>
      </w:r>
      <w:r>
        <w:rPr>
          <w:rFonts w:ascii="Arial" w:hAnsi="Arial" w:cs="Arial"/>
          <w:sz w:val="18"/>
          <w:szCs w:val="18"/>
        </w:rPr>
        <w:t xml:space="preserve"> to medium</w:t>
      </w:r>
      <w:r w:rsidRPr="00D17E88">
        <w:rPr>
          <w:rFonts w:ascii="Arial" w:hAnsi="Arial" w:cs="Arial"/>
          <w:sz w:val="18"/>
          <w:szCs w:val="18"/>
        </w:rPr>
        <w:t>-sized retrofit or replacement of equipment (boilers, ovens, dryers). However, potential has been identified also for mid-sized cogeneration projects (in particular, in the sugar production industry). Typical loan size for these projects is US$15 million and finances around 70% of total investment.</w:t>
      </w:r>
    </w:p>
  </w:footnote>
  <w:footnote w:id="16">
    <w:p w14:paraId="4560468A" w14:textId="542EF733" w:rsidR="007E4FA7" w:rsidRPr="00DB1DF0" w:rsidRDefault="007E4FA7" w:rsidP="00DB1DF0">
      <w:pPr>
        <w:pStyle w:val="FootnoteText"/>
        <w:spacing w:after="0"/>
        <w:rPr>
          <w:rFonts w:ascii="Arial" w:hAnsi="Arial" w:cs="Arial"/>
          <w:sz w:val="18"/>
        </w:rPr>
      </w:pPr>
      <w:r w:rsidRPr="00DB1DF0">
        <w:rPr>
          <w:rStyle w:val="FootnoteReference"/>
          <w:rFonts w:ascii="Arial" w:hAnsi="Arial" w:cs="Arial"/>
          <w:sz w:val="18"/>
        </w:rPr>
        <w:footnoteRef/>
      </w:r>
      <w:r w:rsidRPr="00DB1DF0">
        <w:rPr>
          <w:rFonts w:ascii="Arial" w:hAnsi="Arial" w:cs="Arial"/>
          <w:sz w:val="18"/>
        </w:rPr>
        <w:t xml:space="preserve"> </w:t>
      </w:r>
      <w:r w:rsidR="00ED6612">
        <w:rPr>
          <w:rFonts w:ascii="Arial" w:hAnsi="Arial" w:cs="Arial"/>
          <w:sz w:val="18"/>
        </w:rPr>
        <w:tab/>
      </w:r>
      <w:r w:rsidRPr="00DB1DF0">
        <w:rPr>
          <w:rFonts w:ascii="Arial" w:hAnsi="Arial" w:cs="Arial"/>
          <w:sz w:val="18"/>
        </w:rPr>
        <w:t xml:space="preserve">The main source for building an assumed portfolio is the information provided by BICE on the current status of their pipeline for this </w:t>
      </w:r>
      <w:r w:rsidR="00D11E5F">
        <w:rPr>
          <w:rFonts w:ascii="Arial" w:hAnsi="Arial" w:cs="Arial"/>
          <w:sz w:val="18"/>
        </w:rPr>
        <w:t>project</w:t>
      </w:r>
      <w:r w:rsidRPr="00DB1DF0">
        <w:rPr>
          <w:rFonts w:ascii="Arial" w:hAnsi="Arial" w:cs="Arial"/>
          <w:sz w:val="18"/>
        </w:rPr>
        <w:t>. Based on the number of projects awarded by the Renov</w:t>
      </w:r>
      <w:r>
        <w:rPr>
          <w:rFonts w:ascii="Arial" w:hAnsi="Arial" w:cs="Arial"/>
          <w:sz w:val="18"/>
        </w:rPr>
        <w:t>A</w:t>
      </w:r>
      <w:r w:rsidRPr="00DB1DF0">
        <w:rPr>
          <w:rFonts w:ascii="Arial" w:hAnsi="Arial" w:cs="Arial"/>
          <w:sz w:val="18"/>
        </w:rPr>
        <w:t>r tendering process (see ¶</w:t>
      </w:r>
      <w:r w:rsidRPr="00DB1DF0">
        <w:rPr>
          <w:rFonts w:ascii="Arial" w:hAnsi="Arial" w:cs="Arial"/>
          <w:sz w:val="18"/>
        </w:rPr>
        <w:fldChar w:fldCharType="begin"/>
      </w:r>
      <w:r w:rsidRPr="00DB1DF0">
        <w:rPr>
          <w:rFonts w:ascii="Arial" w:hAnsi="Arial" w:cs="Arial"/>
          <w:sz w:val="18"/>
        </w:rPr>
        <w:instrText xml:space="preserve"> REF _Ref506829431 \r \h  \* MERGEFORMAT </w:instrText>
      </w:r>
      <w:r w:rsidRPr="00DB1DF0">
        <w:rPr>
          <w:rFonts w:ascii="Arial" w:hAnsi="Arial" w:cs="Arial"/>
          <w:sz w:val="18"/>
        </w:rPr>
      </w:r>
      <w:r w:rsidRPr="00DB1DF0">
        <w:rPr>
          <w:rFonts w:ascii="Arial" w:hAnsi="Arial" w:cs="Arial"/>
          <w:sz w:val="18"/>
        </w:rPr>
        <w:fldChar w:fldCharType="separate"/>
      </w:r>
      <w:r w:rsidRPr="00DB1DF0">
        <w:rPr>
          <w:rFonts w:ascii="Arial" w:hAnsi="Arial" w:cs="Arial"/>
          <w:sz w:val="18"/>
        </w:rPr>
        <w:t>3.3</w:t>
      </w:r>
      <w:r w:rsidRPr="00DB1DF0">
        <w:rPr>
          <w:rFonts w:ascii="Arial" w:hAnsi="Arial" w:cs="Arial"/>
          <w:sz w:val="18"/>
        </w:rPr>
        <w:fldChar w:fldCharType="end"/>
      </w:r>
      <w:r w:rsidRPr="00DB1DF0">
        <w:rPr>
          <w:rFonts w:ascii="Arial" w:hAnsi="Arial" w:cs="Arial"/>
          <w:sz w:val="18"/>
        </w:rPr>
        <w:t xml:space="preserve"> and Table 3.1), which is likely to guarantee demand for RE projects up to US$120 million, BICE suggested this distribution of resources during interviews carried out on-site over an analysis mission on January 2018. During meetings with staff from the Ministry of Energy’s </w:t>
      </w:r>
      <w:r w:rsidRPr="001365F5">
        <w:rPr>
          <w:rFonts w:ascii="Arial" w:hAnsi="Arial" w:cs="Arial"/>
          <w:i/>
          <w:sz w:val="18"/>
        </w:rPr>
        <w:t>Direcci</w:t>
      </w:r>
      <w:r>
        <w:rPr>
          <w:rFonts w:ascii="Arial" w:hAnsi="Arial" w:cs="Arial"/>
          <w:i/>
          <w:sz w:val="18"/>
        </w:rPr>
        <w:t>ó</w:t>
      </w:r>
      <w:r w:rsidRPr="001365F5">
        <w:rPr>
          <w:rFonts w:ascii="Arial" w:hAnsi="Arial" w:cs="Arial"/>
          <w:i/>
          <w:sz w:val="18"/>
        </w:rPr>
        <w:t>n de Energ</w:t>
      </w:r>
      <w:r>
        <w:rPr>
          <w:rFonts w:ascii="Arial" w:hAnsi="Arial" w:cs="Arial"/>
          <w:i/>
          <w:sz w:val="18"/>
        </w:rPr>
        <w:t>í</w:t>
      </w:r>
      <w:r w:rsidRPr="001365F5">
        <w:rPr>
          <w:rFonts w:ascii="Arial" w:hAnsi="Arial" w:cs="Arial"/>
          <w:i/>
          <w:sz w:val="18"/>
        </w:rPr>
        <w:t>as Renovables</w:t>
      </w:r>
      <w:r w:rsidRPr="00DB1DF0">
        <w:rPr>
          <w:rFonts w:ascii="Arial" w:hAnsi="Arial" w:cs="Arial"/>
          <w:sz w:val="18"/>
        </w:rPr>
        <w:t xml:space="preserve"> and </w:t>
      </w:r>
      <w:r w:rsidRPr="001365F5">
        <w:rPr>
          <w:rFonts w:ascii="Arial" w:hAnsi="Arial" w:cs="Arial"/>
          <w:i/>
          <w:sz w:val="18"/>
        </w:rPr>
        <w:t xml:space="preserve">Dirección de Desarrollo de Políticas y </w:t>
      </w:r>
      <w:r w:rsidR="00D11E5F">
        <w:rPr>
          <w:rFonts w:ascii="Arial" w:hAnsi="Arial" w:cs="Arial"/>
          <w:i/>
          <w:sz w:val="18"/>
        </w:rPr>
        <w:t>Program</w:t>
      </w:r>
      <w:bookmarkStart w:id="28" w:name="_GoBack"/>
      <w:bookmarkEnd w:id="28"/>
      <w:r w:rsidRPr="001365F5">
        <w:rPr>
          <w:rFonts w:ascii="Arial" w:hAnsi="Arial" w:cs="Arial"/>
          <w:i/>
          <w:sz w:val="18"/>
        </w:rPr>
        <w:t>as de Ahorro y Eficiencia Energética</w:t>
      </w:r>
      <w:r w:rsidRPr="00DB1DF0">
        <w:rPr>
          <w:rFonts w:ascii="Arial" w:hAnsi="Arial" w:cs="Arial"/>
          <w:sz w:val="18"/>
        </w:rPr>
        <w:t xml:space="preserve">, we also corroborated the information regarding volume of funding for each category, based on the analysis of the expected profile of potential projects eligible for the </w:t>
      </w:r>
      <w:r w:rsidR="00D11E5F">
        <w:rPr>
          <w:rFonts w:ascii="Arial" w:hAnsi="Arial" w:cs="Arial"/>
          <w:sz w:val="18"/>
        </w:rPr>
        <w:t>project</w:t>
      </w:r>
      <w:r w:rsidRPr="00DB1DF0">
        <w:rPr>
          <w:rFonts w:ascii="Arial" w:hAnsi="Arial" w:cs="Arial"/>
          <w:sz w:val="18"/>
        </w:rPr>
        <w:t>.</w:t>
      </w:r>
    </w:p>
  </w:footnote>
  <w:footnote w:id="17">
    <w:p w14:paraId="4560468B" w14:textId="7A90DD16" w:rsidR="007E4FA7" w:rsidRPr="00DB1DF0" w:rsidRDefault="007E4FA7" w:rsidP="00DB1DF0">
      <w:pPr>
        <w:pStyle w:val="FootnoteText"/>
        <w:spacing w:after="0"/>
        <w:rPr>
          <w:rFonts w:ascii="Arial" w:hAnsi="Arial" w:cs="Arial"/>
          <w:sz w:val="18"/>
        </w:rPr>
      </w:pPr>
      <w:r w:rsidRPr="00DB1DF0">
        <w:rPr>
          <w:rStyle w:val="FootnoteReference"/>
          <w:rFonts w:ascii="Arial" w:hAnsi="Arial" w:cs="Arial"/>
          <w:sz w:val="18"/>
        </w:rPr>
        <w:footnoteRef/>
      </w:r>
      <w:r w:rsidRPr="00DB1DF0">
        <w:rPr>
          <w:rFonts w:ascii="Arial" w:hAnsi="Arial" w:cs="Arial"/>
          <w:sz w:val="18"/>
        </w:rPr>
        <w:t xml:space="preserve"> </w:t>
      </w:r>
      <w:r w:rsidR="00ED6612">
        <w:rPr>
          <w:rFonts w:ascii="Arial" w:hAnsi="Arial" w:cs="Arial"/>
          <w:sz w:val="18"/>
        </w:rPr>
        <w:tab/>
      </w:r>
      <w:r w:rsidRPr="00DB1DF0">
        <w:rPr>
          <w:rFonts w:ascii="Arial" w:hAnsi="Arial" w:cs="Arial"/>
          <w:sz w:val="18"/>
        </w:rPr>
        <w:t xml:space="preserve">During an analysis mission carried out in January 2018, the IDB team met with BICE representatives from the </w:t>
      </w:r>
      <w:r w:rsidRPr="001365F5">
        <w:rPr>
          <w:rFonts w:ascii="Arial" w:hAnsi="Arial" w:cs="Arial"/>
          <w:i/>
          <w:sz w:val="18"/>
        </w:rPr>
        <w:t>Gerencia de Financiamiento Estructurado y Entidades Financieras</w:t>
      </w:r>
      <w:r w:rsidRPr="00DB1DF0">
        <w:rPr>
          <w:rFonts w:ascii="Arial" w:hAnsi="Arial" w:cs="Arial"/>
          <w:sz w:val="18"/>
        </w:rPr>
        <w:t xml:space="preserve"> (leading the RE project financing) and from the </w:t>
      </w:r>
      <w:r w:rsidRPr="001365F5">
        <w:rPr>
          <w:rFonts w:ascii="Arial" w:hAnsi="Arial" w:cs="Arial"/>
          <w:i/>
          <w:sz w:val="18"/>
        </w:rPr>
        <w:t>Gerencia de Banca Empresas</w:t>
      </w:r>
      <w:r w:rsidRPr="00DB1DF0">
        <w:rPr>
          <w:rFonts w:ascii="Arial" w:hAnsi="Arial" w:cs="Arial"/>
          <w:sz w:val="18"/>
        </w:rPr>
        <w:t xml:space="preserve"> (in charge of the development of the </w:t>
      </w:r>
      <w:r w:rsidR="00D11E5F">
        <w:rPr>
          <w:rFonts w:ascii="Arial" w:hAnsi="Arial" w:cs="Arial"/>
          <w:sz w:val="18"/>
        </w:rPr>
        <w:t>project</w:t>
      </w:r>
      <w:r w:rsidRPr="00DB1DF0">
        <w:rPr>
          <w:rFonts w:ascii="Arial" w:hAnsi="Arial" w:cs="Arial"/>
          <w:sz w:val="18"/>
        </w:rPr>
        <w:t xml:space="preserve"> financing products for EE projects). Discussions on their current experience with this kind of projects, their current capacity and expected capacity, led to agreeing on the most likely projection for the 5-year period in terms of execution.</w:t>
      </w:r>
    </w:p>
  </w:footnote>
  <w:footnote w:id="18">
    <w:p w14:paraId="4560468C" w14:textId="77777777" w:rsidR="007E4FA7" w:rsidRPr="001365F5" w:rsidRDefault="007E4FA7" w:rsidP="00DB1DF0">
      <w:pPr>
        <w:pStyle w:val="FootnoteText"/>
        <w:spacing w:after="0"/>
        <w:rPr>
          <w:rFonts w:ascii="Arial" w:hAnsi="Arial" w:cs="Arial"/>
          <w:sz w:val="18"/>
          <w:lang w:val="es-PE"/>
        </w:rPr>
      </w:pPr>
      <w:r w:rsidRPr="00DB1DF0">
        <w:rPr>
          <w:rStyle w:val="FootnoteReference"/>
          <w:rFonts w:ascii="Arial" w:hAnsi="Arial" w:cs="Arial"/>
          <w:sz w:val="18"/>
        </w:rPr>
        <w:footnoteRef/>
      </w:r>
      <w:r w:rsidRPr="00DB1DF0">
        <w:rPr>
          <w:rFonts w:ascii="Arial" w:hAnsi="Arial" w:cs="Arial"/>
          <w:sz w:val="18"/>
        </w:rPr>
        <w:t xml:space="preserve"> </w:t>
      </w:r>
      <w:r w:rsidR="00ED6612">
        <w:rPr>
          <w:rFonts w:ascii="Arial" w:hAnsi="Arial" w:cs="Arial"/>
          <w:sz w:val="18"/>
        </w:rPr>
        <w:tab/>
      </w:r>
      <w:r w:rsidRPr="00DB1DF0">
        <w:rPr>
          <w:rFonts w:ascii="Arial" w:hAnsi="Arial" w:cs="Arial"/>
          <w:sz w:val="18"/>
        </w:rPr>
        <w:t xml:space="preserve">This information was also provided by technology providers during interviews carried out as part of the Feasibility Analysis, including production factors of 0.8 for pig farms and agribusiness biogas plants, 0.85 production factor for feedlot biogas plants and 0.8 production factor for small to medium-sized biomass plants. Data was verified with the US Department of State’s National Renewable Energy Laboratory (NREL), </w:t>
      </w:r>
      <w:hyperlink r:id="rId5" w:history="1">
        <w:r w:rsidRPr="00DB1DF0">
          <w:rPr>
            <w:rStyle w:val="Hyperlink"/>
            <w:rFonts w:ascii="Arial" w:hAnsi="Arial" w:cs="Arial"/>
            <w:sz w:val="18"/>
          </w:rPr>
          <w:t>Utility-scale energy technology capacity factors</w:t>
        </w:r>
      </w:hyperlink>
      <w:r w:rsidRPr="00DB1DF0">
        <w:rPr>
          <w:rFonts w:ascii="Arial" w:hAnsi="Arial" w:cs="Arial"/>
          <w:sz w:val="18"/>
        </w:rPr>
        <w:t xml:space="preserve">. </w:t>
      </w:r>
      <w:r w:rsidRPr="001365F5">
        <w:rPr>
          <w:rFonts w:ascii="Arial" w:hAnsi="Arial" w:cs="Arial"/>
          <w:sz w:val="18"/>
          <w:lang w:val="es-PE"/>
        </w:rPr>
        <w:t xml:space="preserve">See also </w:t>
      </w:r>
      <w:hyperlink r:id="rId6" w:history="1">
        <w:r w:rsidRPr="001365F5">
          <w:rPr>
            <w:rStyle w:val="Hyperlink"/>
            <w:rFonts w:ascii="Arial" w:hAnsi="Arial" w:cs="Arial"/>
            <w:sz w:val="18"/>
            <w:lang w:val="es-PE"/>
          </w:rPr>
          <w:t>Agri-For-Energy 2</w:t>
        </w:r>
        <w:r w:rsidRPr="00DB1DF0">
          <w:rPr>
            <w:rStyle w:val="Hyperlink"/>
            <w:rFonts w:ascii="Arial" w:hAnsi="Arial" w:cs="Arial"/>
            <w:sz w:val="18"/>
            <w:lang w:val="es-PE"/>
          </w:rPr>
          <w:t>,</w:t>
        </w:r>
        <w:r w:rsidRPr="001365F5">
          <w:rPr>
            <w:rStyle w:val="Hyperlink"/>
            <w:rFonts w:ascii="Arial" w:hAnsi="Arial" w:cs="Arial"/>
            <w:sz w:val="18"/>
            <w:lang w:val="es-PE"/>
          </w:rPr>
          <w:t xml:space="preserve"> Work Package 4: Biogas &amp; Biomethane</w:t>
        </w:r>
      </w:hyperlink>
      <w:r w:rsidRPr="001365F5">
        <w:rPr>
          <w:rFonts w:ascii="Arial" w:hAnsi="Arial" w:cs="Arial"/>
          <w:sz w:val="18"/>
          <w:lang w:val="es-PE"/>
        </w:rPr>
        <w:t xml:space="preserve">, Vagonyte, E., European Biomass Association, 2015; and </w:t>
      </w:r>
      <w:hyperlink r:id="rId7" w:history="1">
        <w:r w:rsidRPr="001365F5">
          <w:rPr>
            <w:rStyle w:val="Hyperlink"/>
            <w:rFonts w:ascii="Arial" w:hAnsi="Arial" w:cs="Arial"/>
            <w:sz w:val="18"/>
            <w:lang w:val="es-PE"/>
          </w:rPr>
          <w:t>E</w:t>
        </w:r>
        <w:r w:rsidRPr="001365F5">
          <w:rPr>
            <w:rStyle w:val="Hyperlink"/>
            <w:rFonts w:ascii="Arial" w:hAnsi="Arial" w:cs="Arial"/>
            <w:i/>
            <w:sz w:val="18"/>
            <w:lang w:val="es-PE"/>
          </w:rPr>
          <w:t>valuación Técnica y Económica de una Planta de Biogás para Autoabastecimiento Energético: Una estrategia para diferentes contextos</w:t>
        </w:r>
      </w:hyperlink>
      <w:r w:rsidRPr="001365F5">
        <w:rPr>
          <w:rFonts w:ascii="Arial" w:hAnsi="Arial" w:cs="Arial"/>
          <w:sz w:val="18"/>
          <w:lang w:val="es-PE"/>
        </w:rPr>
        <w:t>, Carrasco, J., Universidad de</w:t>
      </w:r>
      <w:r w:rsidRPr="00DB1DF0">
        <w:rPr>
          <w:rFonts w:ascii="Arial" w:hAnsi="Arial" w:cs="Arial"/>
          <w:sz w:val="18"/>
          <w:lang w:val="es-PE"/>
        </w:rPr>
        <w:t xml:space="preserve"> Chile, 2015.</w:t>
      </w:r>
    </w:p>
  </w:footnote>
  <w:footnote w:id="19">
    <w:p w14:paraId="4560468D" w14:textId="6BED8D69" w:rsidR="007E4FA7" w:rsidRPr="00DB1DF0" w:rsidRDefault="007E4FA7" w:rsidP="00DB1DF0">
      <w:pPr>
        <w:pStyle w:val="FootnoteText"/>
        <w:spacing w:after="0"/>
        <w:rPr>
          <w:rFonts w:ascii="Arial" w:hAnsi="Arial" w:cs="Arial"/>
          <w:sz w:val="18"/>
          <w:szCs w:val="18"/>
        </w:rPr>
      </w:pPr>
      <w:r w:rsidRPr="00DB1DF0">
        <w:rPr>
          <w:rStyle w:val="FootnoteReference"/>
          <w:rFonts w:ascii="Arial" w:hAnsi="Arial" w:cs="Arial"/>
          <w:sz w:val="18"/>
          <w:szCs w:val="18"/>
        </w:rPr>
        <w:footnoteRef/>
      </w:r>
      <w:r w:rsidRPr="00DB1DF0">
        <w:rPr>
          <w:rFonts w:ascii="Arial" w:hAnsi="Arial" w:cs="Arial"/>
          <w:sz w:val="18"/>
          <w:szCs w:val="18"/>
        </w:rPr>
        <w:t xml:space="preserve"> </w:t>
      </w:r>
      <w:r>
        <w:rPr>
          <w:rFonts w:ascii="Arial" w:hAnsi="Arial" w:cs="Arial"/>
          <w:sz w:val="18"/>
          <w:szCs w:val="18"/>
        </w:rPr>
        <w:tab/>
      </w:r>
      <w:r w:rsidRPr="00DB1DF0">
        <w:rPr>
          <w:rFonts w:ascii="Arial" w:hAnsi="Arial" w:cs="Arial"/>
          <w:sz w:val="18"/>
          <w:szCs w:val="18"/>
        </w:rPr>
        <w:t xml:space="preserve">All data in this table was obtained from the results of the Feasibility Analysis, using information collected in the field, plus previous experience with similar </w:t>
      </w:r>
      <w:r w:rsidR="00D11E5F">
        <w:rPr>
          <w:rFonts w:ascii="Arial" w:hAnsi="Arial" w:cs="Arial"/>
          <w:sz w:val="18"/>
          <w:szCs w:val="18"/>
        </w:rPr>
        <w:t>project</w:t>
      </w:r>
      <w:r w:rsidRPr="00DB1DF0">
        <w:rPr>
          <w:rFonts w:ascii="Arial" w:hAnsi="Arial" w:cs="Arial"/>
          <w:sz w:val="18"/>
          <w:szCs w:val="18"/>
        </w:rPr>
        <w:t>s in El Salvador, Mexico and Colombia, with regards to technology mix, enterprise sectors, average size of projects and investments, and savings ratios.</w:t>
      </w:r>
    </w:p>
  </w:footnote>
  <w:footnote w:id="20">
    <w:p w14:paraId="4560468E" w14:textId="77777777" w:rsidR="007E4FA7" w:rsidRPr="00DB1DF0" w:rsidRDefault="007E4FA7" w:rsidP="00DB1DF0">
      <w:pPr>
        <w:pStyle w:val="FootnoteText"/>
        <w:spacing w:after="0"/>
        <w:rPr>
          <w:rFonts w:ascii="Arial" w:hAnsi="Arial" w:cs="Arial"/>
          <w:spacing w:val="-4"/>
          <w:sz w:val="18"/>
          <w:szCs w:val="18"/>
        </w:rPr>
      </w:pPr>
      <w:r w:rsidRPr="00DB1DF0">
        <w:rPr>
          <w:rStyle w:val="FootnoteReference"/>
          <w:rFonts w:ascii="Arial" w:hAnsi="Arial" w:cs="Arial"/>
          <w:spacing w:val="-4"/>
          <w:sz w:val="18"/>
          <w:szCs w:val="18"/>
        </w:rPr>
        <w:footnoteRef/>
      </w:r>
      <w:r w:rsidRPr="00DB1DF0">
        <w:rPr>
          <w:rFonts w:ascii="Arial" w:hAnsi="Arial" w:cs="Arial"/>
          <w:spacing w:val="-4"/>
          <w:sz w:val="18"/>
          <w:szCs w:val="18"/>
        </w:rPr>
        <w:t xml:space="preserve"> </w:t>
      </w:r>
      <w:r w:rsidRPr="00DB1DF0">
        <w:rPr>
          <w:rFonts w:ascii="Arial" w:hAnsi="Arial" w:cs="Arial"/>
          <w:spacing w:val="-4"/>
          <w:sz w:val="18"/>
          <w:szCs w:val="18"/>
        </w:rPr>
        <w:tab/>
        <w:t>It is important to differentiate a period when a project is financed from that when a project begins operating. In the detailed cash flows (see Annex II) disbursements of loans and co-financing (including equity) will precede the accounting of benefits.</w:t>
      </w:r>
    </w:p>
  </w:footnote>
  <w:footnote w:id="21">
    <w:p w14:paraId="4560468F" w14:textId="77777777" w:rsidR="007E4FA7" w:rsidRPr="001365F5" w:rsidRDefault="007E4FA7" w:rsidP="00DB1DF0">
      <w:pPr>
        <w:pStyle w:val="FootnoteText"/>
        <w:spacing w:after="0"/>
        <w:rPr>
          <w:rFonts w:ascii="Arial" w:hAnsi="Arial" w:cs="Arial"/>
          <w:sz w:val="18"/>
          <w:szCs w:val="18"/>
          <w:lang w:val="es-PE"/>
        </w:rPr>
      </w:pPr>
      <w:r w:rsidRPr="00DB1DF0">
        <w:rPr>
          <w:rStyle w:val="FootnoteReference"/>
          <w:rFonts w:ascii="Arial" w:hAnsi="Arial" w:cs="Arial"/>
          <w:sz w:val="18"/>
          <w:szCs w:val="18"/>
        </w:rPr>
        <w:footnoteRef/>
      </w:r>
      <w:r w:rsidRPr="00DB1DF0">
        <w:rPr>
          <w:rFonts w:ascii="Arial" w:hAnsi="Arial" w:cs="Arial"/>
          <w:sz w:val="18"/>
          <w:szCs w:val="18"/>
          <w:lang w:val="es-PE"/>
        </w:rPr>
        <w:t xml:space="preserve"> </w:t>
      </w:r>
      <w:r>
        <w:rPr>
          <w:rFonts w:ascii="Arial" w:hAnsi="Arial" w:cs="Arial"/>
          <w:sz w:val="18"/>
          <w:szCs w:val="18"/>
          <w:lang w:val="es-PE"/>
        </w:rPr>
        <w:tab/>
      </w:r>
      <w:r w:rsidRPr="00DB1DF0">
        <w:rPr>
          <w:rFonts w:ascii="Arial" w:hAnsi="Arial" w:cs="Arial"/>
          <w:sz w:val="18"/>
          <w:szCs w:val="18"/>
          <w:lang w:val="es-PE"/>
        </w:rPr>
        <w:t xml:space="preserve">See also National Renewable Energy Laboratory (NREL), </w:t>
      </w:r>
      <w:hyperlink r:id="rId8" w:history="1">
        <w:r w:rsidRPr="00DB1DF0">
          <w:rPr>
            <w:rStyle w:val="Hyperlink"/>
            <w:rFonts w:ascii="Arial" w:hAnsi="Arial" w:cs="Arial"/>
            <w:sz w:val="18"/>
            <w:szCs w:val="18"/>
            <w:lang w:val="es-PE"/>
          </w:rPr>
          <w:t>Utility-scale energy technology capacity factors</w:t>
        </w:r>
      </w:hyperlink>
      <w:r w:rsidRPr="00DB1DF0">
        <w:rPr>
          <w:rFonts w:ascii="Arial" w:hAnsi="Arial" w:cs="Arial"/>
          <w:sz w:val="18"/>
          <w:szCs w:val="18"/>
          <w:lang w:val="es-PE"/>
        </w:rPr>
        <w:t xml:space="preserve">; </w:t>
      </w:r>
      <w:hyperlink r:id="rId9" w:history="1">
        <w:r w:rsidRPr="001365F5">
          <w:rPr>
            <w:rStyle w:val="Hyperlink"/>
            <w:rFonts w:ascii="Arial" w:hAnsi="Arial" w:cs="Arial"/>
            <w:sz w:val="18"/>
            <w:szCs w:val="18"/>
            <w:lang w:val="es-PE"/>
          </w:rPr>
          <w:t>Agri-For-Energy 2, Work Package 4: Biogas &amp; Biomethane</w:t>
        </w:r>
      </w:hyperlink>
      <w:r w:rsidRPr="001365F5">
        <w:rPr>
          <w:rFonts w:ascii="Arial" w:hAnsi="Arial" w:cs="Arial"/>
          <w:sz w:val="18"/>
          <w:szCs w:val="18"/>
          <w:lang w:val="es-PE"/>
        </w:rPr>
        <w:t xml:space="preserve">, Vagonyte, E., European Biomass Association, 2015; and </w:t>
      </w:r>
      <w:hyperlink r:id="rId10" w:history="1">
        <w:r w:rsidRPr="001365F5">
          <w:rPr>
            <w:rStyle w:val="Hyperlink"/>
            <w:rFonts w:ascii="Arial" w:hAnsi="Arial" w:cs="Arial"/>
            <w:i/>
            <w:sz w:val="18"/>
            <w:szCs w:val="18"/>
            <w:lang w:val="es-PE"/>
          </w:rPr>
          <w:t>Evaluación Técnica y Económica de una Planta de Biogás para Autoabastecimiento Energético: Una estrategia para diferentes contextos</w:t>
        </w:r>
      </w:hyperlink>
      <w:r w:rsidRPr="001365F5">
        <w:rPr>
          <w:rFonts w:ascii="Arial" w:hAnsi="Arial" w:cs="Arial"/>
          <w:sz w:val="18"/>
          <w:szCs w:val="18"/>
          <w:lang w:val="es-PE"/>
        </w:rPr>
        <w:t>, Carrasco, J., Universidad de Chile, 2015.</w:t>
      </w:r>
    </w:p>
  </w:footnote>
  <w:footnote w:id="22">
    <w:p w14:paraId="45604690" w14:textId="77777777" w:rsidR="007E4FA7" w:rsidRPr="00D17E88" w:rsidRDefault="007E4FA7" w:rsidP="0051506E">
      <w:pPr>
        <w:pStyle w:val="FootnoteText"/>
        <w:spacing w:after="0"/>
        <w:rPr>
          <w:rFonts w:ascii="Arial" w:hAnsi="Arial" w:cs="Arial"/>
          <w:sz w:val="18"/>
          <w:szCs w:val="18"/>
        </w:rPr>
      </w:pPr>
      <w:r w:rsidRPr="00D17E88">
        <w:rPr>
          <w:rStyle w:val="FootnoteReference"/>
          <w:rFonts w:ascii="Arial" w:hAnsi="Arial" w:cs="Arial"/>
          <w:sz w:val="18"/>
          <w:szCs w:val="18"/>
        </w:rPr>
        <w:footnoteRef/>
      </w:r>
      <w:r w:rsidRPr="00D17E88">
        <w:rPr>
          <w:rFonts w:ascii="Arial" w:hAnsi="Arial" w:cs="Arial"/>
          <w:sz w:val="18"/>
          <w:szCs w:val="18"/>
        </w:rPr>
        <w:t>  </w:t>
      </w:r>
      <w:r>
        <w:rPr>
          <w:rFonts w:ascii="Arial" w:hAnsi="Arial" w:cs="Arial"/>
          <w:sz w:val="18"/>
          <w:szCs w:val="18"/>
        </w:rPr>
        <w:t>I</w:t>
      </w:r>
      <w:r w:rsidRPr="00D17E88">
        <w:rPr>
          <w:rFonts w:ascii="Arial" w:hAnsi="Arial" w:cs="Arial"/>
          <w:sz w:val="18"/>
          <w:szCs w:val="18"/>
        </w:rPr>
        <w:t>nformation about carbon pricing around the world (emissions trading systems, ETS, and carbon taxes) has been substantially increasing since 2012. The existing carbon prices vary si</w:t>
      </w:r>
      <w:r>
        <w:rPr>
          <w:rFonts w:ascii="Arial" w:hAnsi="Arial" w:cs="Arial"/>
          <w:sz w:val="18"/>
          <w:szCs w:val="18"/>
        </w:rPr>
        <w:t>gnificantly—from less than US$1 </w:t>
      </w:r>
      <w:r w:rsidRPr="00D17E88">
        <w:rPr>
          <w:rFonts w:ascii="Arial" w:hAnsi="Arial" w:cs="Arial"/>
          <w:sz w:val="18"/>
          <w:szCs w:val="18"/>
        </w:rPr>
        <w:t>per tCO</w:t>
      </w:r>
      <w:r w:rsidRPr="00D17E88">
        <w:rPr>
          <w:rFonts w:ascii="Arial" w:hAnsi="Arial" w:cs="Arial"/>
          <w:sz w:val="18"/>
          <w:szCs w:val="18"/>
          <w:vertAlign w:val="subscript"/>
        </w:rPr>
        <w:t>2</w:t>
      </w:r>
      <w:r w:rsidRPr="00D17E88">
        <w:rPr>
          <w:rFonts w:ascii="Arial" w:hAnsi="Arial" w:cs="Arial"/>
          <w:sz w:val="18"/>
          <w:szCs w:val="18"/>
        </w:rPr>
        <w:t>e to US$130 per tCO</w:t>
      </w:r>
      <w:r w:rsidRPr="00D17E88">
        <w:rPr>
          <w:rFonts w:ascii="Arial" w:hAnsi="Arial" w:cs="Arial"/>
          <w:sz w:val="18"/>
          <w:szCs w:val="18"/>
          <w:vertAlign w:val="subscript"/>
        </w:rPr>
        <w:t>2</w:t>
      </w:r>
      <w:r w:rsidRPr="00D17E88">
        <w:rPr>
          <w:rFonts w:ascii="Arial" w:hAnsi="Arial" w:cs="Arial"/>
          <w:sz w:val="18"/>
          <w:szCs w:val="18"/>
        </w:rPr>
        <w:t>e, with the majority of emissions (85%) priced at less than US$10</w:t>
      </w:r>
      <w:r>
        <w:rPr>
          <w:rFonts w:ascii="Arial" w:hAnsi="Arial" w:cs="Arial"/>
          <w:sz w:val="18"/>
          <w:szCs w:val="18"/>
        </w:rPr>
        <w:t> </w:t>
      </w:r>
      <w:r w:rsidRPr="00D17E88">
        <w:rPr>
          <w:rFonts w:ascii="Arial" w:hAnsi="Arial" w:cs="Arial"/>
          <w:sz w:val="18"/>
          <w:szCs w:val="18"/>
        </w:rPr>
        <w:t>per</w:t>
      </w:r>
      <w:r>
        <w:rPr>
          <w:rFonts w:ascii="Arial" w:hAnsi="Arial" w:cs="Arial"/>
          <w:sz w:val="18"/>
          <w:szCs w:val="18"/>
        </w:rPr>
        <w:t> </w:t>
      </w:r>
      <w:r w:rsidRPr="00D17E88">
        <w:rPr>
          <w:rFonts w:ascii="Arial" w:hAnsi="Arial" w:cs="Arial"/>
          <w:sz w:val="18"/>
          <w:szCs w:val="18"/>
        </w:rPr>
        <w:t>tCO</w:t>
      </w:r>
      <w:r w:rsidRPr="00D17E88">
        <w:rPr>
          <w:rFonts w:ascii="Arial" w:hAnsi="Arial" w:cs="Arial"/>
          <w:sz w:val="18"/>
          <w:szCs w:val="18"/>
          <w:vertAlign w:val="subscript"/>
        </w:rPr>
        <w:t>2</w:t>
      </w:r>
      <w:r w:rsidRPr="00D17E88">
        <w:rPr>
          <w:rFonts w:ascii="Arial" w:hAnsi="Arial" w:cs="Arial"/>
          <w:sz w:val="18"/>
          <w:szCs w:val="18"/>
        </w:rPr>
        <w:t>e. The use of the US$9 reference price is an interpretation of the evaluation exercise of the various economic, local and global, current and future costs of negative externalities associated to emissions. International carbon pricing provides us with a publicly available resource for monetization of this aspect of the analysis. In the European Union Emissions Trading System (EU ETS), which remains the single largest international carbon pricing instrument, the average price in 2014 was €6/tCO</w:t>
      </w:r>
      <w:r w:rsidRPr="00D17E88">
        <w:rPr>
          <w:rFonts w:ascii="Arial" w:hAnsi="Arial" w:cs="Arial"/>
          <w:sz w:val="18"/>
          <w:szCs w:val="18"/>
          <w:vertAlign w:val="subscript"/>
        </w:rPr>
        <w:t>2</w:t>
      </w:r>
      <w:r w:rsidRPr="00D17E88">
        <w:rPr>
          <w:rFonts w:ascii="Arial" w:hAnsi="Arial" w:cs="Arial"/>
          <w:sz w:val="18"/>
          <w:szCs w:val="18"/>
        </w:rPr>
        <w:t xml:space="preserve"> (US$7/tCO</w:t>
      </w:r>
      <w:r w:rsidRPr="00D17E88">
        <w:rPr>
          <w:rFonts w:ascii="Arial" w:hAnsi="Arial" w:cs="Arial"/>
          <w:sz w:val="18"/>
          <w:szCs w:val="18"/>
          <w:vertAlign w:val="subscript"/>
        </w:rPr>
        <w:t>2</w:t>
      </w:r>
      <w:r w:rsidRPr="00D17E88">
        <w:rPr>
          <w:rFonts w:ascii="Arial" w:hAnsi="Arial" w:cs="Arial"/>
          <w:sz w:val="18"/>
          <w:szCs w:val="18"/>
        </w:rPr>
        <w:t>). As of August, 2015, this price stood at some US$9/tCO</w:t>
      </w:r>
      <w:r w:rsidRPr="00D17E88">
        <w:rPr>
          <w:rFonts w:ascii="Arial" w:hAnsi="Arial" w:cs="Arial"/>
          <w:sz w:val="18"/>
          <w:szCs w:val="18"/>
          <w:vertAlign w:val="subscript"/>
        </w:rPr>
        <w:t>2</w:t>
      </w:r>
      <w:r w:rsidRPr="00D17E88">
        <w:rPr>
          <w:rFonts w:ascii="Arial" w:hAnsi="Arial" w:cs="Arial"/>
          <w:sz w:val="18"/>
          <w:szCs w:val="18"/>
        </w:rPr>
        <w:t>.</w:t>
      </w:r>
      <w:r w:rsidRPr="00D17E88">
        <w:rPr>
          <w:rFonts w:ascii="Arial" w:hAnsi="Arial" w:cs="Arial"/>
          <w:spacing w:val="0"/>
          <w:sz w:val="18"/>
          <w:szCs w:val="18"/>
        </w:rPr>
        <w:t xml:space="preserve"> </w:t>
      </w:r>
      <w:r w:rsidRPr="00D17E88">
        <w:rPr>
          <w:rFonts w:ascii="Arial" w:hAnsi="Arial" w:cs="Arial"/>
          <w:sz w:val="18"/>
          <w:szCs w:val="18"/>
        </w:rPr>
        <w:t xml:space="preserve">For governments, carbon pricing is an instrument to achieve emissions mitigation but also a source of revenue. (see </w:t>
      </w:r>
      <w:hyperlink r:id="rId11" w:history="1">
        <w:r w:rsidRPr="00D17E88">
          <w:rPr>
            <w:rStyle w:val="Hyperlink"/>
            <w:rFonts w:ascii="Arial" w:hAnsi="Arial" w:cs="Arial"/>
            <w:sz w:val="18"/>
            <w:szCs w:val="18"/>
          </w:rPr>
          <w:t>State and Trends of Carbon Pricing</w:t>
        </w:r>
      </w:hyperlink>
      <w:r w:rsidRPr="00D17E88">
        <w:rPr>
          <w:rFonts w:ascii="Arial" w:hAnsi="Arial" w:cs="Arial"/>
          <w:sz w:val="18"/>
          <w:szCs w:val="18"/>
        </w:rPr>
        <w:t xml:space="preserve">, World Bank and Ecofys, 2015. </w:t>
      </w:r>
    </w:p>
  </w:footnote>
  <w:footnote w:id="23">
    <w:p w14:paraId="45604691" w14:textId="77777777" w:rsidR="007E4FA7" w:rsidRPr="007B43F0" w:rsidRDefault="007E4FA7" w:rsidP="007B43F0">
      <w:pPr>
        <w:pStyle w:val="FootnoteText"/>
        <w:spacing w:after="0"/>
        <w:rPr>
          <w:rFonts w:ascii="Arial" w:hAnsi="Arial" w:cs="Arial"/>
          <w:sz w:val="18"/>
          <w:lang w:val="es-PE"/>
        </w:rPr>
      </w:pPr>
      <w:r w:rsidRPr="007B43F0">
        <w:rPr>
          <w:rStyle w:val="FootnoteReference"/>
          <w:rFonts w:ascii="Arial" w:hAnsi="Arial" w:cs="Arial"/>
          <w:sz w:val="18"/>
        </w:rPr>
        <w:footnoteRef/>
      </w:r>
      <w:r w:rsidRPr="007B43F0">
        <w:rPr>
          <w:rFonts w:ascii="Arial" w:hAnsi="Arial" w:cs="Arial"/>
          <w:sz w:val="18"/>
          <w:lang w:val="es-PE"/>
        </w:rPr>
        <w:t xml:space="preserve"> </w:t>
      </w:r>
      <w:r>
        <w:rPr>
          <w:rFonts w:ascii="Arial" w:hAnsi="Arial" w:cs="Arial"/>
          <w:sz w:val="18"/>
          <w:lang w:val="es-PE"/>
        </w:rPr>
        <w:tab/>
      </w:r>
      <w:r w:rsidRPr="007B43F0">
        <w:rPr>
          <w:rFonts w:ascii="Arial" w:hAnsi="Arial" w:cs="Arial"/>
          <w:sz w:val="18"/>
          <w:lang w:val="es-PE"/>
        </w:rPr>
        <w:t xml:space="preserve">Navajas, F., </w:t>
      </w:r>
      <w:r w:rsidRPr="007B43F0">
        <w:rPr>
          <w:rFonts w:ascii="Arial" w:hAnsi="Arial" w:cs="Arial"/>
          <w:i/>
          <w:sz w:val="18"/>
          <w:lang w:val="es-PE"/>
        </w:rPr>
        <w:t>Subsidios a la Energ</w:t>
      </w:r>
      <w:r>
        <w:rPr>
          <w:rFonts w:ascii="Arial" w:hAnsi="Arial" w:cs="Arial"/>
          <w:i/>
          <w:sz w:val="18"/>
          <w:lang w:val="es-PE"/>
        </w:rPr>
        <w:t>í</w:t>
      </w:r>
      <w:r w:rsidRPr="007B43F0">
        <w:rPr>
          <w:rFonts w:ascii="Arial" w:hAnsi="Arial" w:cs="Arial"/>
          <w:i/>
          <w:sz w:val="18"/>
          <w:lang w:val="es-PE"/>
        </w:rPr>
        <w:t>a, Devaluaci</w:t>
      </w:r>
      <w:r>
        <w:rPr>
          <w:rFonts w:ascii="Arial" w:hAnsi="Arial" w:cs="Arial"/>
          <w:i/>
          <w:sz w:val="18"/>
          <w:lang w:val="es-PE"/>
        </w:rPr>
        <w:t>ó</w:t>
      </w:r>
      <w:r w:rsidRPr="007B43F0">
        <w:rPr>
          <w:rFonts w:ascii="Arial" w:hAnsi="Arial" w:cs="Arial"/>
          <w:i/>
          <w:sz w:val="18"/>
          <w:lang w:val="es-PE"/>
        </w:rPr>
        <w:t>n y Precios, Fundaci</w:t>
      </w:r>
      <w:r>
        <w:rPr>
          <w:rFonts w:ascii="Arial" w:hAnsi="Arial" w:cs="Arial"/>
          <w:i/>
          <w:sz w:val="18"/>
          <w:lang w:val="es-PE"/>
        </w:rPr>
        <w:t>ó</w:t>
      </w:r>
      <w:r w:rsidRPr="007B43F0">
        <w:rPr>
          <w:rFonts w:ascii="Arial" w:hAnsi="Arial" w:cs="Arial"/>
          <w:i/>
          <w:sz w:val="18"/>
          <w:lang w:val="es-PE"/>
        </w:rPr>
        <w:t>n de Investigaciones Econ</w:t>
      </w:r>
      <w:r>
        <w:rPr>
          <w:rFonts w:ascii="Arial" w:hAnsi="Arial" w:cs="Arial"/>
          <w:i/>
          <w:sz w:val="18"/>
          <w:lang w:val="es-PE"/>
        </w:rPr>
        <w:t>ó</w:t>
      </w:r>
      <w:r w:rsidRPr="007B43F0">
        <w:rPr>
          <w:rFonts w:ascii="Arial" w:hAnsi="Arial" w:cs="Arial"/>
          <w:i/>
          <w:sz w:val="18"/>
          <w:lang w:val="es-PE"/>
        </w:rPr>
        <w:t>micas Latinoamericanas</w:t>
      </w:r>
      <w:r w:rsidRPr="007B43F0">
        <w:rPr>
          <w:rFonts w:ascii="Arial" w:hAnsi="Arial" w:cs="Arial"/>
          <w:sz w:val="18"/>
          <w:lang w:val="es-PE"/>
        </w:rPr>
        <w:t>, 2015.</w:t>
      </w:r>
    </w:p>
  </w:footnote>
  <w:footnote w:id="24">
    <w:p w14:paraId="45604692" w14:textId="77777777" w:rsidR="007E4FA7" w:rsidRPr="007B43F0" w:rsidRDefault="007E4FA7" w:rsidP="007B43F0">
      <w:pPr>
        <w:pStyle w:val="FootnoteText"/>
        <w:spacing w:after="0"/>
        <w:rPr>
          <w:rFonts w:ascii="Arial" w:hAnsi="Arial" w:cs="Arial"/>
          <w:sz w:val="18"/>
        </w:rPr>
      </w:pPr>
      <w:r w:rsidRPr="007B43F0">
        <w:rPr>
          <w:rStyle w:val="FootnoteReference"/>
          <w:rFonts w:ascii="Arial" w:hAnsi="Arial" w:cs="Arial"/>
          <w:sz w:val="18"/>
        </w:rPr>
        <w:footnoteRef/>
      </w:r>
      <w:r w:rsidRPr="007B43F0">
        <w:rPr>
          <w:rFonts w:ascii="Arial" w:hAnsi="Arial" w:cs="Arial"/>
          <w:sz w:val="18"/>
        </w:rPr>
        <w:t xml:space="preserve"> </w:t>
      </w:r>
      <w:r>
        <w:rPr>
          <w:rFonts w:ascii="Arial" w:hAnsi="Arial" w:cs="Arial"/>
          <w:sz w:val="18"/>
        </w:rPr>
        <w:tab/>
        <w:t>In practice, d</w:t>
      </w:r>
      <w:r w:rsidRPr="007B43F0">
        <w:rPr>
          <w:rFonts w:ascii="Arial" w:hAnsi="Arial" w:cs="Arial"/>
          <w:sz w:val="18"/>
        </w:rPr>
        <w:t>isbursements of funds are made gradually</w:t>
      </w:r>
      <w:r>
        <w:rPr>
          <w:rFonts w:ascii="Arial" w:hAnsi="Arial" w:cs="Arial"/>
          <w:sz w:val="18"/>
        </w:rPr>
        <w:t>.</w:t>
      </w:r>
      <w:r w:rsidRPr="007B43F0">
        <w:rPr>
          <w:rFonts w:ascii="Arial" w:hAnsi="Arial" w:cs="Arial"/>
          <w:sz w:val="18"/>
        </w:rPr>
        <w:t xml:space="preserve"> In the case of RE projects, cash flows consider that 30% of the investment is made the year prior to the first year of projections (Year Zero in Annex I</w:t>
      </w:r>
      <w:r>
        <w:rPr>
          <w:rFonts w:ascii="Arial" w:hAnsi="Arial" w:cs="Arial"/>
          <w:sz w:val="18"/>
        </w:rPr>
        <w:t>I</w:t>
      </w:r>
      <w:r w:rsidRPr="007B43F0">
        <w:rPr>
          <w:rFonts w:ascii="Arial" w:hAnsi="Arial" w:cs="Arial"/>
          <w:sz w:val="18"/>
        </w:rPr>
        <w:t>), as these technologies normally take over a year (18 months in average</w:t>
      </w:r>
      <w:r>
        <w:rPr>
          <w:rFonts w:ascii="Arial" w:hAnsi="Arial" w:cs="Arial"/>
          <w:sz w:val="18"/>
        </w:rPr>
        <w:t>)</w:t>
      </w:r>
      <w:r w:rsidRPr="007B43F0">
        <w:rPr>
          <w:rFonts w:ascii="Arial" w:hAnsi="Arial" w:cs="Arial"/>
          <w:sz w:val="18"/>
        </w:rPr>
        <w:t xml:space="preserve"> to complete implementation.</w:t>
      </w:r>
    </w:p>
  </w:footnote>
  <w:footnote w:id="25">
    <w:p w14:paraId="45604693" w14:textId="28D43E31" w:rsidR="007E4FA7" w:rsidRDefault="007E4FA7" w:rsidP="00FA0581">
      <w:pPr>
        <w:pStyle w:val="FootnoteText"/>
      </w:pPr>
      <w:r>
        <w:rPr>
          <w:rStyle w:val="FootnoteReference"/>
        </w:rPr>
        <w:footnoteRef/>
      </w:r>
      <w:r>
        <w:t xml:space="preserve"> </w:t>
      </w:r>
      <w:r>
        <w:tab/>
      </w:r>
      <w:r w:rsidRPr="00BC2702">
        <w:rPr>
          <w:rFonts w:ascii="Arial" w:hAnsi="Arial" w:cs="Arial"/>
          <w:bCs/>
          <w:sz w:val="18"/>
          <w:szCs w:val="18"/>
        </w:rPr>
        <w:t xml:space="preserve">By definition, </w:t>
      </w:r>
      <w:r>
        <w:rPr>
          <w:rFonts w:ascii="Arial" w:hAnsi="Arial" w:cs="Arial"/>
          <w:bCs/>
          <w:sz w:val="18"/>
          <w:szCs w:val="18"/>
        </w:rPr>
        <w:t>t</w:t>
      </w:r>
      <w:r w:rsidRPr="00BC2702">
        <w:rPr>
          <w:rFonts w:ascii="Arial" w:hAnsi="Arial" w:cs="Arial"/>
          <w:bCs/>
          <w:sz w:val="18"/>
          <w:szCs w:val="18"/>
        </w:rPr>
        <w:t xml:space="preserve">he marginal cost of the </w:t>
      </w:r>
      <w:r>
        <w:rPr>
          <w:rFonts w:ascii="Arial" w:hAnsi="Arial" w:cs="Arial"/>
          <w:bCs/>
          <w:sz w:val="18"/>
          <w:szCs w:val="18"/>
        </w:rPr>
        <w:t>system</w:t>
      </w:r>
      <w:r w:rsidRPr="00BC2702">
        <w:rPr>
          <w:rFonts w:ascii="Arial" w:hAnsi="Arial" w:cs="Arial"/>
          <w:bCs/>
          <w:sz w:val="18"/>
          <w:szCs w:val="18"/>
        </w:rPr>
        <w:t xml:space="preserve"> represents </w:t>
      </w:r>
      <w:r>
        <w:rPr>
          <w:rFonts w:ascii="Arial" w:hAnsi="Arial" w:cs="Arial"/>
          <w:bCs/>
          <w:sz w:val="18"/>
          <w:szCs w:val="18"/>
        </w:rPr>
        <w:t>t</w:t>
      </w:r>
      <w:r w:rsidRPr="00BC2702">
        <w:rPr>
          <w:rFonts w:ascii="Arial" w:hAnsi="Arial" w:cs="Arial"/>
          <w:bCs/>
          <w:sz w:val="18"/>
          <w:szCs w:val="18"/>
        </w:rPr>
        <w:t xml:space="preserve">he variation of the operating cost required to meet </w:t>
      </w:r>
      <w:r>
        <w:rPr>
          <w:rFonts w:ascii="Arial" w:hAnsi="Arial" w:cs="Arial"/>
          <w:bCs/>
          <w:sz w:val="18"/>
          <w:szCs w:val="18"/>
        </w:rPr>
        <w:t xml:space="preserve">one </w:t>
      </w:r>
      <w:r w:rsidRPr="00BC2702">
        <w:rPr>
          <w:rFonts w:ascii="Arial" w:hAnsi="Arial" w:cs="Arial"/>
          <w:bCs/>
          <w:sz w:val="18"/>
          <w:szCs w:val="18"/>
        </w:rPr>
        <w:t>additional MWh of demand, using existing resources.</w:t>
      </w:r>
      <w:r>
        <w:rPr>
          <w:rFonts w:ascii="Arial" w:hAnsi="Arial" w:cs="Arial"/>
          <w:bCs/>
          <w:sz w:val="18"/>
          <w:szCs w:val="18"/>
        </w:rPr>
        <w:t xml:space="preserve"> The analysis considers that without the </w:t>
      </w:r>
      <w:r w:rsidR="00D11E5F">
        <w:rPr>
          <w:rFonts w:ascii="Arial" w:hAnsi="Arial" w:cs="Arial"/>
          <w:bCs/>
          <w:sz w:val="18"/>
          <w:szCs w:val="18"/>
        </w:rPr>
        <w:t>project</w:t>
      </w:r>
      <w:r>
        <w:rPr>
          <w:rFonts w:ascii="Arial" w:hAnsi="Arial" w:cs="Arial"/>
          <w:bCs/>
          <w:sz w:val="18"/>
          <w:szCs w:val="18"/>
        </w:rPr>
        <w:t xml:space="preserve">, the energy not supplied by the otherwise beneficiary RE projects would need to be supplied by other energy sources (at a marginal cost for the system). It is worth emphasizing that the analysis is made from the point of view of the electricity system, which in the absence of these RE developments, would need to provide the same amount of energy with a marginal cost. </w:t>
      </w:r>
    </w:p>
  </w:footnote>
  <w:footnote w:id="26">
    <w:p w14:paraId="45604694" w14:textId="77777777" w:rsidR="007E4FA7" w:rsidRPr="00BC2702" w:rsidRDefault="007E4FA7" w:rsidP="00A43383">
      <w:pPr>
        <w:pStyle w:val="FootnoteText"/>
        <w:tabs>
          <w:tab w:val="left" w:pos="180"/>
        </w:tabs>
        <w:spacing w:after="0"/>
        <w:ind w:left="180" w:hanging="180"/>
        <w:rPr>
          <w:rFonts w:ascii="Arial" w:hAnsi="Arial" w:cs="Arial"/>
          <w:sz w:val="18"/>
        </w:rPr>
      </w:pPr>
      <w:r w:rsidRPr="00BC2702">
        <w:rPr>
          <w:rStyle w:val="FootnoteReference"/>
          <w:rFonts w:ascii="Arial" w:hAnsi="Arial" w:cs="Arial"/>
          <w:sz w:val="18"/>
        </w:rPr>
        <w:footnoteRef/>
      </w:r>
      <w:r>
        <w:rPr>
          <w:rFonts w:ascii="Arial" w:hAnsi="Arial" w:cs="Arial"/>
          <w:sz w:val="18"/>
        </w:rPr>
        <w:tab/>
      </w:r>
      <w:r w:rsidRPr="00BC2702">
        <w:rPr>
          <w:rFonts w:ascii="Arial" w:hAnsi="Arial" w:cs="Arial"/>
          <w:sz w:val="18"/>
        </w:rPr>
        <w:t xml:space="preserve">See Capturing the Multiple Benefits of Energy Efficiency, International Energy Agency </w:t>
      </w:r>
      <w:r>
        <w:rPr>
          <w:rFonts w:ascii="Arial" w:hAnsi="Arial" w:cs="Arial"/>
          <w:sz w:val="18"/>
        </w:rPr>
        <w:t xml:space="preserve">(IEA), </w:t>
      </w:r>
      <w:r w:rsidRPr="00BC2702">
        <w:rPr>
          <w:rFonts w:ascii="Arial" w:hAnsi="Arial" w:cs="Arial"/>
          <w:sz w:val="18"/>
        </w:rPr>
        <w:t>2014.</w:t>
      </w:r>
      <w:r>
        <w:rPr>
          <w:rFonts w:ascii="Arial" w:hAnsi="Arial" w:cs="Arial"/>
          <w:sz w:val="18"/>
        </w:rPr>
        <w:t xml:space="preserve"> According to this report, t</w:t>
      </w:r>
      <w:r w:rsidRPr="00D24EEC">
        <w:rPr>
          <w:rFonts w:ascii="Arial" w:hAnsi="Arial" w:cs="Arial"/>
          <w:sz w:val="18"/>
        </w:rPr>
        <w:t>he value of the productivity and</w:t>
      </w:r>
      <w:r>
        <w:rPr>
          <w:rFonts w:ascii="Arial" w:hAnsi="Arial" w:cs="Arial"/>
          <w:sz w:val="18"/>
        </w:rPr>
        <w:t xml:space="preserve"> </w:t>
      </w:r>
      <w:r w:rsidRPr="00D24EEC">
        <w:rPr>
          <w:rFonts w:ascii="Arial" w:hAnsi="Arial" w:cs="Arial"/>
          <w:sz w:val="18"/>
        </w:rPr>
        <w:t>operational benefits derived can be up to 2.5 times (250%) the value of energy savings</w:t>
      </w:r>
      <w:r>
        <w:rPr>
          <w:rFonts w:ascii="Arial" w:hAnsi="Arial" w:cs="Arial"/>
          <w:sz w:val="18"/>
        </w:rPr>
        <w:t xml:space="preserve"> </w:t>
      </w:r>
      <w:r w:rsidRPr="00D24EEC">
        <w:rPr>
          <w:rFonts w:ascii="Arial" w:hAnsi="Arial" w:cs="Arial"/>
          <w:sz w:val="18"/>
        </w:rPr>
        <w:t>(depending on the value and context of the investment)</w:t>
      </w:r>
      <w:r>
        <w:rPr>
          <w:rFonts w:ascii="Arial" w:hAnsi="Arial" w:cs="Arial"/>
          <w:sz w:val="18"/>
        </w:rPr>
        <w:t>.</w:t>
      </w:r>
    </w:p>
  </w:footnote>
  <w:footnote w:id="27">
    <w:p w14:paraId="45604695" w14:textId="77777777" w:rsidR="007E4FA7" w:rsidRPr="00D17E88" w:rsidRDefault="007E4FA7" w:rsidP="00607DCB">
      <w:pPr>
        <w:pStyle w:val="FootnoteText"/>
        <w:spacing w:after="0"/>
        <w:rPr>
          <w:rFonts w:ascii="Arial" w:hAnsi="Arial" w:cs="Arial"/>
          <w:sz w:val="18"/>
          <w:szCs w:val="18"/>
        </w:rPr>
      </w:pPr>
      <w:r w:rsidRPr="00D17E88">
        <w:rPr>
          <w:rStyle w:val="FootnoteReference"/>
          <w:rFonts w:ascii="Arial" w:hAnsi="Arial" w:cs="Arial"/>
          <w:sz w:val="18"/>
          <w:szCs w:val="18"/>
        </w:rPr>
        <w:footnoteRef/>
      </w:r>
      <w:r w:rsidRPr="00D17E88">
        <w:rPr>
          <w:rFonts w:ascii="Arial" w:hAnsi="Arial" w:cs="Arial"/>
          <w:sz w:val="18"/>
          <w:szCs w:val="18"/>
        </w:rPr>
        <w:t xml:space="preserve"> </w:t>
      </w:r>
      <w:r>
        <w:rPr>
          <w:rFonts w:ascii="Arial" w:hAnsi="Arial" w:cs="Arial"/>
          <w:sz w:val="18"/>
          <w:szCs w:val="18"/>
        </w:rPr>
        <w:tab/>
        <w:t>For example, in the EE sector, t</w:t>
      </w:r>
      <w:r w:rsidRPr="00607DCB">
        <w:rPr>
          <w:rFonts w:ascii="Arial" w:hAnsi="Arial" w:cs="Arial"/>
          <w:sz w:val="18"/>
          <w:szCs w:val="18"/>
        </w:rPr>
        <w:t>he potential for</w:t>
      </w:r>
      <w:r>
        <w:rPr>
          <w:rFonts w:ascii="Arial" w:hAnsi="Arial" w:cs="Arial"/>
          <w:sz w:val="18"/>
          <w:szCs w:val="18"/>
        </w:rPr>
        <w:t xml:space="preserve"> </w:t>
      </w:r>
      <w:r w:rsidRPr="00607DCB">
        <w:rPr>
          <w:rFonts w:ascii="Arial" w:hAnsi="Arial" w:cs="Arial"/>
          <w:sz w:val="18"/>
          <w:szCs w:val="18"/>
        </w:rPr>
        <w:t>job creation ranges from 8 to 27 job years per EUR 1 million invested</w:t>
      </w:r>
      <w:r>
        <w:rPr>
          <w:rFonts w:ascii="Arial" w:hAnsi="Arial" w:cs="Arial"/>
          <w:sz w:val="18"/>
          <w:szCs w:val="18"/>
        </w:rPr>
        <w:t xml:space="preserve"> (IEA, 2014)</w:t>
      </w:r>
      <w:r w:rsidRPr="00607DCB">
        <w:rPr>
          <w:rFonts w:ascii="Arial" w:hAnsi="Arial" w:cs="Arial"/>
          <w:sz w:val="18"/>
          <w:szCs w:val="18"/>
        </w:rPr>
        <w:t xml:space="preserve">. </w:t>
      </w:r>
      <w:r w:rsidRPr="00D17E88">
        <w:rPr>
          <w:rFonts w:ascii="Arial" w:hAnsi="Arial" w:cs="Arial"/>
          <w:sz w:val="18"/>
          <w:szCs w:val="18"/>
        </w:rPr>
        <w:t xml:space="preserve">See also </w:t>
      </w:r>
      <w:hyperlink r:id="rId12" w:history="1">
        <w:r w:rsidRPr="00D17E88">
          <w:rPr>
            <w:rStyle w:val="Hyperlink"/>
            <w:rFonts w:ascii="Arial" w:hAnsi="Arial" w:cs="Arial"/>
            <w:sz w:val="18"/>
            <w:szCs w:val="18"/>
          </w:rPr>
          <w:t>IRENA</w:t>
        </w:r>
      </w:hyperlink>
      <w:r>
        <w:rPr>
          <w:rFonts w:ascii="Arial" w:hAnsi="Arial" w:cs="Arial"/>
          <w:sz w:val="18"/>
          <w:szCs w:val="18"/>
        </w:rPr>
        <w:t xml:space="preserve">, </w:t>
      </w:r>
      <w:r w:rsidRPr="00D17E88">
        <w:rPr>
          <w:rFonts w:ascii="Arial" w:hAnsi="Arial" w:cs="Arial"/>
          <w:sz w:val="18"/>
          <w:szCs w:val="18"/>
        </w:rPr>
        <w:t xml:space="preserve">EESI 2015 Fact Sheet: </w:t>
      </w:r>
      <w:hyperlink r:id="rId13" w:history="1">
        <w:r w:rsidRPr="00D17E88">
          <w:rPr>
            <w:rStyle w:val="Hyperlink"/>
            <w:rFonts w:ascii="Arial" w:hAnsi="Arial" w:cs="Arial"/>
            <w:sz w:val="18"/>
            <w:szCs w:val="18"/>
          </w:rPr>
          <w:t>Jobs in Renewable Energy and Energy Efficiency (2015)</w:t>
        </w:r>
      </w:hyperlink>
      <w:r w:rsidRPr="00D17E88">
        <w:rPr>
          <w:rStyle w:val="Hyperlink"/>
          <w:rFonts w:ascii="Arial" w:hAnsi="Arial" w:cs="Arial"/>
          <w:color w:val="auto"/>
          <w:sz w:val="18"/>
          <w:szCs w:val="18"/>
          <w:u w:val="none"/>
        </w:rPr>
        <w:t>.</w:t>
      </w:r>
    </w:p>
  </w:footnote>
  <w:footnote w:id="28">
    <w:p w14:paraId="45604696" w14:textId="36E1133B" w:rsidR="007E4FA7" w:rsidRPr="00D17E88" w:rsidRDefault="007E4FA7" w:rsidP="00C55849">
      <w:pPr>
        <w:pStyle w:val="FootnoteText"/>
        <w:spacing w:after="0"/>
        <w:rPr>
          <w:rFonts w:ascii="Arial" w:hAnsi="Arial" w:cs="Arial"/>
          <w:sz w:val="18"/>
          <w:szCs w:val="18"/>
        </w:rPr>
      </w:pPr>
      <w:r w:rsidRPr="00D17E88">
        <w:rPr>
          <w:rStyle w:val="FootnoteReference"/>
          <w:rFonts w:ascii="Arial" w:hAnsi="Arial" w:cs="Arial"/>
          <w:sz w:val="18"/>
          <w:szCs w:val="18"/>
        </w:rPr>
        <w:footnoteRef/>
      </w:r>
      <w:r w:rsidRPr="00D17E88">
        <w:rPr>
          <w:rFonts w:ascii="Arial" w:hAnsi="Arial" w:cs="Arial"/>
          <w:sz w:val="18"/>
          <w:szCs w:val="18"/>
        </w:rPr>
        <w:t xml:space="preserve"> </w:t>
      </w:r>
      <w:r>
        <w:rPr>
          <w:rFonts w:ascii="Arial" w:hAnsi="Arial" w:cs="Arial"/>
          <w:sz w:val="18"/>
          <w:szCs w:val="18"/>
        </w:rPr>
        <w:tab/>
      </w:r>
      <w:r w:rsidRPr="00D17E88">
        <w:rPr>
          <w:rFonts w:ascii="Arial" w:hAnsi="Arial" w:cs="Arial"/>
          <w:sz w:val="18"/>
          <w:szCs w:val="18"/>
        </w:rPr>
        <w:t xml:space="preserve">For a detailed Gender Action Plan for the </w:t>
      </w:r>
      <w:r w:rsidR="00D11E5F">
        <w:rPr>
          <w:rFonts w:ascii="Arial" w:hAnsi="Arial" w:cs="Arial"/>
          <w:sz w:val="18"/>
          <w:szCs w:val="18"/>
        </w:rPr>
        <w:t>project</w:t>
      </w:r>
      <w:r w:rsidRPr="00D17E88">
        <w:rPr>
          <w:rFonts w:ascii="Arial" w:hAnsi="Arial" w:cs="Arial"/>
          <w:sz w:val="18"/>
          <w:szCs w:val="18"/>
        </w:rPr>
        <w:t xml:space="preserve">, please see </w:t>
      </w:r>
      <w:hyperlink r:id="rId14" w:history="1">
        <w:r w:rsidRPr="00077235">
          <w:rPr>
            <w:rStyle w:val="Hyperlink"/>
            <w:rFonts w:ascii="Arial" w:hAnsi="Arial" w:cs="Arial"/>
            <w:sz w:val="18"/>
            <w:szCs w:val="18"/>
          </w:rPr>
          <w:t>Optional ELink #9</w:t>
        </w:r>
      </w:hyperlink>
      <w:r w:rsidRPr="00D17E88">
        <w:rPr>
          <w:rFonts w:ascii="Arial" w:hAnsi="Arial" w:cs="Arial"/>
          <w:sz w:val="18"/>
          <w:szCs w:val="18"/>
        </w:rPr>
        <w:t xml:space="preserve"> of the POD.</w:t>
      </w:r>
    </w:p>
  </w:footnote>
  <w:footnote w:id="29">
    <w:p w14:paraId="45604697" w14:textId="77777777" w:rsidR="007E4FA7" w:rsidRPr="00D17E88" w:rsidRDefault="007E4FA7" w:rsidP="00CB64A8">
      <w:pPr>
        <w:pStyle w:val="FootnoteText"/>
        <w:spacing w:after="0"/>
        <w:rPr>
          <w:rFonts w:ascii="Arial" w:hAnsi="Arial" w:cs="Arial"/>
          <w:sz w:val="18"/>
          <w:szCs w:val="18"/>
        </w:rPr>
      </w:pPr>
      <w:r w:rsidRPr="00D17E88">
        <w:rPr>
          <w:rStyle w:val="FootnoteReference"/>
          <w:rFonts w:ascii="Arial" w:hAnsi="Arial" w:cs="Arial"/>
          <w:sz w:val="18"/>
          <w:szCs w:val="18"/>
        </w:rPr>
        <w:footnoteRef/>
      </w:r>
      <w:r w:rsidRPr="00D17E88">
        <w:rPr>
          <w:rFonts w:ascii="Arial" w:hAnsi="Arial" w:cs="Arial"/>
          <w:sz w:val="18"/>
          <w:szCs w:val="18"/>
        </w:rPr>
        <w:t xml:space="preserve"> </w:t>
      </w:r>
      <w:r>
        <w:rPr>
          <w:rFonts w:ascii="Arial" w:hAnsi="Arial" w:cs="Arial"/>
          <w:sz w:val="22"/>
        </w:rPr>
        <w:tab/>
      </w:r>
      <w:r w:rsidRPr="00D17E88">
        <w:rPr>
          <w:rFonts w:ascii="Arial" w:hAnsi="Arial" w:cs="Arial"/>
          <w:sz w:val="18"/>
          <w:szCs w:val="18"/>
        </w:rPr>
        <w:t xml:space="preserve">World Bank Indicators, </w:t>
      </w:r>
      <w:hyperlink r:id="rId15" w:history="1">
        <w:r w:rsidRPr="00D17E88">
          <w:rPr>
            <w:rStyle w:val="Hyperlink"/>
            <w:rFonts w:ascii="Arial" w:hAnsi="Arial" w:cs="Arial"/>
            <w:sz w:val="18"/>
            <w:szCs w:val="18"/>
          </w:rPr>
          <w:t>Bank nonperforming loans to total gross loans (%)</w:t>
        </w:r>
      </w:hyperlink>
      <w:r w:rsidRPr="00D17E88">
        <w:rPr>
          <w:rFonts w:ascii="Arial" w:hAnsi="Arial" w:cs="Arial"/>
          <w:sz w:val="18"/>
          <w:szCs w:val="18"/>
        </w:rPr>
        <w:t>.</w:t>
      </w:r>
    </w:p>
  </w:footnote>
  <w:footnote w:id="30">
    <w:p w14:paraId="45604698" w14:textId="03509492" w:rsidR="007E4FA7" w:rsidRPr="00871AF4" w:rsidRDefault="007E4FA7" w:rsidP="00871AF4">
      <w:pPr>
        <w:pStyle w:val="FootnoteText"/>
        <w:spacing w:after="0"/>
        <w:rPr>
          <w:rFonts w:ascii="Arial" w:hAnsi="Arial" w:cs="Arial"/>
          <w:sz w:val="18"/>
        </w:rPr>
      </w:pPr>
      <w:r w:rsidRPr="00A33B24">
        <w:rPr>
          <w:rStyle w:val="FootnoteReference"/>
          <w:rFonts w:ascii="Arial" w:hAnsi="Arial" w:cs="Arial"/>
          <w:sz w:val="18"/>
        </w:rPr>
        <w:footnoteRef/>
      </w:r>
      <w:r w:rsidRPr="00871AF4">
        <w:rPr>
          <w:rFonts w:ascii="Arial" w:hAnsi="Arial" w:cs="Arial"/>
          <w:sz w:val="18"/>
        </w:rPr>
        <w:t xml:space="preserve"> </w:t>
      </w:r>
      <w:r>
        <w:rPr>
          <w:rFonts w:ascii="Arial" w:hAnsi="Arial" w:cs="Arial"/>
          <w:sz w:val="22"/>
        </w:rPr>
        <w:tab/>
      </w:r>
      <w:r w:rsidRPr="00871AF4">
        <w:rPr>
          <w:rFonts w:ascii="Arial" w:hAnsi="Arial" w:cs="Arial"/>
          <w:sz w:val="18"/>
        </w:rPr>
        <w:t xml:space="preserve">No scenario for 100% EE projects in the mix is considered. According to BICE, it is more likely that a larger portion of the funding will be used in RE projects, as concrete projects have already expressed their need for financing. In the case of EE, while there is a strategy </w:t>
      </w:r>
      <w:r>
        <w:rPr>
          <w:rFonts w:ascii="Arial" w:hAnsi="Arial" w:cs="Arial"/>
          <w:sz w:val="18"/>
        </w:rPr>
        <w:t xml:space="preserve">associated to the </w:t>
      </w:r>
      <w:r w:rsidR="00D11E5F">
        <w:rPr>
          <w:rFonts w:ascii="Arial" w:hAnsi="Arial" w:cs="Arial"/>
          <w:sz w:val="18"/>
        </w:rPr>
        <w:t>project</w:t>
      </w:r>
      <w:r>
        <w:rPr>
          <w:rFonts w:ascii="Arial" w:hAnsi="Arial" w:cs="Arial"/>
          <w:sz w:val="18"/>
        </w:rPr>
        <w:t xml:space="preserve"> (mainly within the framework of the TC AR-T1213) </w:t>
      </w:r>
      <w:r w:rsidRPr="00871AF4">
        <w:rPr>
          <w:rFonts w:ascii="Arial" w:hAnsi="Arial" w:cs="Arial"/>
          <w:sz w:val="18"/>
        </w:rPr>
        <w:t>to develop these markets</w:t>
      </w:r>
      <w:r>
        <w:rPr>
          <w:rFonts w:ascii="Arial" w:hAnsi="Arial" w:cs="Arial"/>
          <w:sz w:val="18"/>
        </w:rPr>
        <w:t xml:space="preserve">, train BICE </w:t>
      </w:r>
      <w:r w:rsidRPr="00871AF4">
        <w:rPr>
          <w:rFonts w:ascii="Arial" w:hAnsi="Arial" w:cs="Arial"/>
          <w:sz w:val="18"/>
        </w:rPr>
        <w:t xml:space="preserve">and encourage </w:t>
      </w:r>
      <w:r>
        <w:rPr>
          <w:rFonts w:ascii="Arial" w:hAnsi="Arial" w:cs="Arial"/>
          <w:sz w:val="18"/>
        </w:rPr>
        <w:t>investment by SMEs</w:t>
      </w:r>
      <w:r w:rsidRPr="00871AF4">
        <w:rPr>
          <w:rFonts w:ascii="Arial" w:hAnsi="Arial" w:cs="Arial"/>
          <w:sz w:val="18"/>
        </w:rPr>
        <w:t xml:space="preserve">, </w:t>
      </w:r>
      <w:r>
        <w:rPr>
          <w:rFonts w:ascii="Arial" w:hAnsi="Arial" w:cs="Arial"/>
          <w:sz w:val="18"/>
        </w:rPr>
        <w:t xml:space="preserve">demand for </w:t>
      </w:r>
      <w:r w:rsidRPr="00871AF4">
        <w:rPr>
          <w:rFonts w:ascii="Arial" w:hAnsi="Arial" w:cs="Arial"/>
          <w:sz w:val="18"/>
        </w:rPr>
        <w:t xml:space="preserve">these projects </w:t>
      </w:r>
      <w:r>
        <w:rPr>
          <w:rFonts w:ascii="Arial" w:hAnsi="Arial" w:cs="Arial"/>
          <w:sz w:val="18"/>
        </w:rPr>
        <w:t>is less guaranteed</w:t>
      </w:r>
      <w:r w:rsidRPr="00871AF4">
        <w:rPr>
          <w:rFonts w:ascii="Arial" w:hAnsi="Arial" w:cs="Arial"/>
          <w:sz w:val="18"/>
        </w:rPr>
        <w:t>.</w:t>
      </w:r>
    </w:p>
  </w:footnote>
  <w:footnote w:id="31">
    <w:p w14:paraId="45604699" w14:textId="4FA00EE9" w:rsidR="007E4FA7" w:rsidRPr="004C457B" w:rsidRDefault="007E4FA7" w:rsidP="004C457B">
      <w:pPr>
        <w:pStyle w:val="FootnoteText"/>
        <w:spacing w:after="0"/>
        <w:rPr>
          <w:rFonts w:ascii="Arial" w:hAnsi="Arial" w:cs="Arial"/>
          <w:sz w:val="18"/>
        </w:rPr>
      </w:pPr>
      <w:r w:rsidRPr="004C457B">
        <w:rPr>
          <w:rStyle w:val="FootnoteReference"/>
          <w:rFonts w:ascii="Arial" w:hAnsi="Arial" w:cs="Arial"/>
          <w:sz w:val="18"/>
        </w:rPr>
        <w:footnoteRef/>
      </w:r>
      <w:r w:rsidRPr="004C457B">
        <w:rPr>
          <w:rFonts w:ascii="Arial" w:hAnsi="Arial" w:cs="Arial"/>
          <w:sz w:val="18"/>
        </w:rPr>
        <w:t xml:space="preserve"> </w:t>
      </w:r>
      <w:r>
        <w:rPr>
          <w:rFonts w:ascii="Arial" w:hAnsi="Arial" w:cs="Arial"/>
          <w:sz w:val="22"/>
        </w:rPr>
        <w:tab/>
      </w:r>
      <w:r w:rsidRPr="004C457B">
        <w:rPr>
          <w:rFonts w:ascii="Arial" w:hAnsi="Arial" w:cs="Arial"/>
          <w:sz w:val="18"/>
        </w:rPr>
        <w:t>The scenario “e” in which 100% of the funding goes to RE is not included, as the individual sensitivity test for this case</w:t>
      </w:r>
      <w:r>
        <w:rPr>
          <w:rFonts w:ascii="Arial" w:hAnsi="Arial" w:cs="Arial"/>
          <w:sz w:val="18"/>
        </w:rPr>
        <w:t xml:space="preserve"> shows an</w:t>
      </w:r>
      <w:r w:rsidRPr="004C457B">
        <w:rPr>
          <w:rFonts w:ascii="Arial" w:hAnsi="Arial" w:cs="Arial"/>
          <w:sz w:val="18"/>
        </w:rPr>
        <w:t xml:space="preserve"> increased NPV for the </w:t>
      </w:r>
      <w:r w:rsidR="00D11E5F">
        <w:rPr>
          <w:rFonts w:ascii="Arial" w:hAnsi="Arial" w:cs="Arial"/>
          <w:sz w:val="18"/>
        </w:rPr>
        <w:t>project</w:t>
      </w:r>
      <w:r>
        <w:rPr>
          <w:rFonts w:ascii="Arial" w:hAnsi="Arial" w:cs="Arial"/>
          <w:sz w:val="18"/>
        </w:rPr>
        <w:t>. Hence, to test the lowest possible value, we take the lowest value of the two alternative project portfolio mixes (60% RE and 40% EE)</w:t>
      </w:r>
      <w:r w:rsidRPr="004C457B">
        <w:rPr>
          <w:rFonts w:ascii="Arial" w:hAnsi="Arial" w:cs="Arial"/>
          <w:sz w:val="18"/>
        </w:rPr>
        <w:t>.</w:t>
      </w:r>
    </w:p>
  </w:footnote>
  <w:footnote w:id="32">
    <w:p w14:paraId="4560469A" w14:textId="77777777" w:rsidR="007E4FA7" w:rsidRPr="00077235" w:rsidRDefault="007E4FA7" w:rsidP="00447431">
      <w:pPr>
        <w:pStyle w:val="FootnoteText"/>
        <w:rPr>
          <w:rFonts w:ascii="Arial" w:hAnsi="Arial" w:cs="Arial"/>
          <w:sz w:val="18"/>
          <w:szCs w:val="18"/>
        </w:rPr>
      </w:pPr>
      <w:r w:rsidRPr="00077235">
        <w:rPr>
          <w:rStyle w:val="FootnoteReference"/>
          <w:rFonts w:ascii="Arial" w:hAnsi="Arial" w:cs="Arial"/>
          <w:sz w:val="18"/>
          <w:szCs w:val="18"/>
        </w:rPr>
        <w:footnoteRef/>
      </w:r>
      <w:r w:rsidRPr="00077235">
        <w:rPr>
          <w:rFonts w:ascii="Arial" w:hAnsi="Arial" w:cs="Arial"/>
          <w:sz w:val="18"/>
          <w:szCs w:val="18"/>
        </w:rPr>
        <w:t xml:space="preserve"> </w:t>
      </w:r>
      <w:r>
        <w:rPr>
          <w:rFonts w:ascii="Arial" w:hAnsi="Arial" w:cs="Arial"/>
          <w:b/>
        </w:rPr>
        <w:tab/>
      </w:r>
      <w:r w:rsidRPr="00077235">
        <w:rPr>
          <w:rFonts w:ascii="Arial" w:hAnsi="Arial" w:cs="Arial"/>
          <w:sz w:val="18"/>
          <w:szCs w:val="18"/>
        </w:rPr>
        <w:t xml:space="preserve">Annual report 2016 </w:t>
      </w:r>
      <w:hyperlink r:id="rId16" w:history="1">
        <w:r w:rsidRPr="00077235">
          <w:rPr>
            <w:rStyle w:val="Hyperlink"/>
            <w:rFonts w:ascii="Arial" w:hAnsi="Arial" w:cs="Arial"/>
            <w:sz w:val="18"/>
            <w:szCs w:val="18"/>
          </w:rPr>
          <w:t>www.cammesa.com</w:t>
        </w:r>
      </w:hyperlink>
      <w:r w:rsidRPr="00077235">
        <w:rPr>
          <w:rFonts w:ascii="Arial" w:hAnsi="Arial" w:cs="Arial"/>
          <w:sz w:val="18"/>
          <w:szCs w:val="18"/>
        </w:rPr>
        <w:t>.</w:t>
      </w:r>
    </w:p>
  </w:footnote>
  <w:footnote w:id="33">
    <w:p w14:paraId="4560469B" w14:textId="77777777" w:rsidR="007E4FA7" w:rsidRPr="00815345" w:rsidRDefault="007E4FA7" w:rsidP="00447431">
      <w:pPr>
        <w:pStyle w:val="FootnoteText"/>
      </w:pPr>
      <w:r w:rsidRPr="00077235">
        <w:rPr>
          <w:rStyle w:val="FootnoteReference"/>
          <w:rFonts w:ascii="Arial" w:hAnsi="Arial" w:cs="Arial"/>
          <w:sz w:val="18"/>
          <w:szCs w:val="18"/>
        </w:rPr>
        <w:footnoteRef/>
      </w:r>
      <w:r w:rsidRPr="00077235">
        <w:rPr>
          <w:rFonts w:ascii="Arial" w:hAnsi="Arial" w:cs="Arial"/>
          <w:sz w:val="18"/>
          <w:szCs w:val="18"/>
        </w:rPr>
        <w:t xml:space="preserve"> </w:t>
      </w:r>
      <w:hyperlink r:id="rId17" w:history="1">
        <w:r w:rsidRPr="00077235">
          <w:rPr>
            <w:rStyle w:val="Hyperlink"/>
            <w:rFonts w:ascii="Arial" w:hAnsi="Arial" w:cs="Arial"/>
            <w:sz w:val="18"/>
            <w:szCs w:val="18"/>
          </w:rPr>
          <w:t>https://www.eia.gov/dnav/pet/pet_pri_spt_s1_m.htm</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8"/>
        <w:szCs w:val="18"/>
      </w:rPr>
      <w:id w:val="-805080262"/>
      <w:docPartObj>
        <w:docPartGallery w:val="Page Numbers (Top of Page)"/>
        <w:docPartUnique/>
      </w:docPartObj>
    </w:sdtPr>
    <w:sdtEndPr>
      <w:rPr>
        <w:noProof/>
      </w:rPr>
    </w:sdtEndPr>
    <w:sdtContent>
      <w:p w14:paraId="45604679" w14:textId="00E6CE2C" w:rsidR="007E4FA7" w:rsidRPr="001016A1" w:rsidRDefault="007E4FA7">
        <w:pPr>
          <w:pStyle w:val="Header"/>
          <w:jc w:val="center"/>
          <w:rPr>
            <w:rFonts w:ascii="Arial" w:hAnsi="Arial" w:cs="Arial"/>
            <w:sz w:val="18"/>
            <w:szCs w:val="18"/>
          </w:rPr>
        </w:pPr>
        <w:r w:rsidRPr="001016A1">
          <w:rPr>
            <w:rFonts w:ascii="Arial" w:hAnsi="Arial" w:cs="Arial"/>
            <w:sz w:val="18"/>
            <w:szCs w:val="18"/>
          </w:rPr>
          <w:t>- </w:t>
        </w:r>
        <w:r w:rsidRPr="001016A1">
          <w:rPr>
            <w:rFonts w:ascii="Arial" w:hAnsi="Arial" w:cs="Arial"/>
            <w:sz w:val="18"/>
            <w:szCs w:val="18"/>
          </w:rPr>
          <w:fldChar w:fldCharType="begin"/>
        </w:r>
        <w:r w:rsidRPr="001016A1">
          <w:rPr>
            <w:rFonts w:ascii="Arial" w:hAnsi="Arial" w:cs="Arial"/>
            <w:sz w:val="18"/>
            <w:szCs w:val="18"/>
          </w:rPr>
          <w:instrText xml:space="preserve"> PAGE   \* MERGEFORMAT </w:instrText>
        </w:r>
        <w:r w:rsidRPr="001016A1">
          <w:rPr>
            <w:rFonts w:ascii="Arial" w:hAnsi="Arial" w:cs="Arial"/>
            <w:sz w:val="18"/>
            <w:szCs w:val="18"/>
          </w:rPr>
          <w:fldChar w:fldCharType="separate"/>
        </w:r>
        <w:r w:rsidR="00D11E5F">
          <w:rPr>
            <w:rFonts w:ascii="Arial" w:hAnsi="Arial" w:cs="Arial"/>
            <w:noProof/>
            <w:sz w:val="18"/>
            <w:szCs w:val="18"/>
          </w:rPr>
          <w:t>7</w:t>
        </w:r>
        <w:r w:rsidRPr="001016A1">
          <w:rPr>
            <w:rFonts w:ascii="Arial" w:hAnsi="Arial" w:cs="Arial"/>
            <w:noProof/>
            <w:sz w:val="18"/>
            <w:szCs w:val="18"/>
          </w:rPr>
          <w:fldChar w:fldCharType="end"/>
        </w:r>
        <w:r w:rsidRPr="001016A1">
          <w:rPr>
            <w:rFonts w:ascii="Arial" w:hAnsi="Arial" w:cs="Arial"/>
            <w:noProof/>
            <w:sz w:val="18"/>
            <w:szCs w:val="18"/>
          </w:rPr>
          <w:t> -</w:t>
        </w:r>
      </w:p>
    </w:sdtContent>
  </w:sdt>
  <w:p w14:paraId="4560467A" w14:textId="77777777" w:rsidR="007E4FA7" w:rsidRDefault="007E4FA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8610AF8E"/>
    <w:lvl w:ilvl="0">
      <w:start w:val="1"/>
      <w:numFmt w:val="bullet"/>
      <w:pStyle w:val="NoteLevel1"/>
      <w:lvlText w:val=""/>
      <w:lvlJc w:val="left"/>
      <w:pPr>
        <w:tabs>
          <w:tab w:val="num" w:pos="0"/>
        </w:tabs>
        <w:ind w:left="0" w:firstLine="0"/>
      </w:pPr>
      <w:rPr>
        <w:rFonts w:ascii="Symbol" w:hAnsi="Symbol" w:hint="default"/>
      </w:rPr>
    </w:lvl>
    <w:lvl w:ilvl="1">
      <w:start w:val="1"/>
      <w:numFmt w:val="bullet"/>
      <w:pStyle w:val="NoteLevel2"/>
      <w:lvlText w:val=""/>
      <w:lvlJc w:val="left"/>
      <w:pPr>
        <w:tabs>
          <w:tab w:val="num" w:pos="720"/>
        </w:tabs>
        <w:ind w:left="1080" w:hanging="360"/>
      </w:pPr>
      <w:rPr>
        <w:rFonts w:ascii="Symbol" w:hAnsi="Symbol" w:hint="default"/>
      </w:rPr>
    </w:lvl>
    <w:lvl w:ilvl="2">
      <w:start w:val="1"/>
      <w:numFmt w:val="bullet"/>
      <w:pStyle w:val="NoteLevel3"/>
      <w:lvlText w:val="o"/>
      <w:lvlJc w:val="left"/>
      <w:pPr>
        <w:tabs>
          <w:tab w:val="num" w:pos="1440"/>
        </w:tabs>
        <w:ind w:left="1800" w:hanging="360"/>
      </w:pPr>
      <w:rPr>
        <w:rFonts w:ascii="Courier New" w:hAnsi="Courier New" w:cs="Courier New" w:hint="default"/>
      </w:rPr>
    </w:lvl>
    <w:lvl w:ilvl="3">
      <w:start w:val="1"/>
      <w:numFmt w:val="bullet"/>
      <w:pStyle w:val="NoteLevel4"/>
      <w:lvlText w:val=""/>
      <w:lvlJc w:val="left"/>
      <w:pPr>
        <w:tabs>
          <w:tab w:val="num" w:pos="2160"/>
        </w:tabs>
        <w:ind w:left="2520" w:hanging="360"/>
      </w:pPr>
      <w:rPr>
        <w:rFonts w:ascii="Wingdings" w:hAnsi="Wingdings" w:hint="default"/>
      </w:rPr>
    </w:lvl>
    <w:lvl w:ilvl="4">
      <w:start w:val="1"/>
      <w:numFmt w:val="bullet"/>
      <w:pStyle w:val="NoteLevel5"/>
      <w:lvlText w:val=""/>
      <w:lvlJc w:val="left"/>
      <w:pPr>
        <w:tabs>
          <w:tab w:val="num" w:pos="2880"/>
        </w:tabs>
        <w:ind w:left="3240" w:hanging="360"/>
      </w:pPr>
      <w:rPr>
        <w:rFonts w:ascii="Wingdings" w:hAnsi="Wingdings" w:hint="default"/>
      </w:rPr>
    </w:lvl>
    <w:lvl w:ilvl="5">
      <w:start w:val="1"/>
      <w:numFmt w:val="bullet"/>
      <w:pStyle w:val="NoteLevel6"/>
      <w:lvlText w:val=""/>
      <w:lvlJc w:val="left"/>
      <w:pPr>
        <w:tabs>
          <w:tab w:val="num" w:pos="3600"/>
        </w:tabs>
        <w:ind w:left="3960" w:hanging="360"/>
      </w:pPr>
      <w:rPr>
        <w:rFonts w:ascii="Symbol" w:hAnsi="Symbol" w:hint="default"/>
      </w:rPr>
    </w:lvl>
    <w:lvl w:ilvl="6">
      <w:start w:val="1"/>
      <w:numFmt w:val="bullet"/>
      <w:pStyle w:val="NoteLevel7"/>
      <w:lvlText w:val="o"/>
      <w:lvlJc w:val="left"/>
      <w:pPr>
        <w:tabs>
          <w:tab w:val="num" w:pos="4320"/>
        </w:tabs>
        <w:ind w:left="4680" w:hanging="360"/>
      </w:pPr>
      <w:rPr>
        <w:rFonts w:ascii="Courier New" w:hAnsi="Courier New" w:cs="Courier New" w:hint="default"/>
      </w:rPr>
    </w:lvl>
    <w:lvl w:ilvl="7">
      <w:start w:val="1"/>
      <w:numFmt w:val="bullet"/>
      <w:pStyle w:val="NoteLevel8"/>
      <w:lvlText w:val=""/>
      <w:lvlJc w:val="left"/>
      <w:pPr>
        <w:tabs>
          <w:tab w:val="num" w:pos="5040"/>
        </w:tabs>
        <w:ind w:left="5400" w:hanging="360"/>
      </w:pPr>
      <w:rPr>
        <w:rFonts w:ascii="Wingdings" w:hAnsi="Wingdings" w:hint="default"/>
      </w:rPr>
    </w:lvl>
    <w:lvl w:ilvl="8">
      <w:start w:val="1"/>
      <w:numFmt w:val="bullet"/>
      <w:pStyle w:val="NoteLevel9"/>
      <w:lvlText w:val=""/>
      <w:lvlJc w:val="left"/>
      <w:pPr>
        <w:tabs>
          <w:tab w:val="num" w:pos="5760"/>
        </w:tabs>
        <w:ind w:left="6120" w:hanging="360"/>
      </w:pPr>
      <w:rPr>
        <w:rFonts w:ascii="Wingdings" w:hAnsi="Wingdings" w:hint="default"/>
      </w:rPr>
    </w:lvl>
  </w:abstractNum>
  <w:abstractNum w:abstractNumId="1" w15:restartNumberingAfterBreak="0">
    <w:nsid w:val="06192378"/>
    <w:multiLevelType w:val="multilevel"/>
    <w:tmpl w:val="EB92DB22"/>
    <w:lvl w:ilvl="0">
      <w:start w:val="1"/>
      <w:numFmt w:val="upperRoman"/>
      <w:lvlRestart w:val="0"/>
      <w:lvlText w:val="%1."/>
      <w:lvlJc w:val="center"/>
      <w:pPr>
        <w:tabs>
          <w:tab w:val="num" w:pos="2088"/>
        </w:tabs>
        <w:ind w:left="1440" w:firstLine="288"/>
      </w:pPr>
      <w:rPr>
        <w:b/>
        <w:i w:val="0"/>
      </w:rPr>
    </w:lvl>
    <w:lvl w:ilvl="1">
      <w:start w:val="1"/>
      <w:numFmt w:val="decimal"/>
      <w:isLgl/>
      <w:lvlText w:val="%1.%2"/>
      <w:lvlJc w:val="left"/>
      <w:pPr>
        <w:tabs>
          <w:tab w:val="num" w:pos="1746"/>
        </w:tabs>
        <w:ind w:left="1746" w:hanging="1296"/>
      </w:p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2" w15:restartNumberingAfterBreak="0">
    <w:nsid w:val="0FE57FF8"/>
    <w:multiLevelType w:val="multilevel"/>
    <w:tmpl w:val="FED86F3A"/>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1476"/>
        </w:tabs>
        <w:ind w:left="1476" w:hanging="1296"/>
      </w:pPr>
      <w:rPr>
        <w:b w:val="0"/>
        <w:lang w:val="en-US"/>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3" w15:restartNumberingAfterBreak="0">
    <w:nsid w:val="207265F3"/>
    <w:multiLevelType w:val="multilevel"/>
    <w:tmpl w:val="A14673F4"/>
    <w:lvl w:ilvl="0">
      <w:start w:val="1"/>
      <w:numFmt w:val="upperRoman"/>
      <w:pStyle w:val="Heading1"/>
      <w:lvlText w:val="%1."/>
      <w:lvlJc w:val="righ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294738FF"/>
    <w:multiLevelType w:val="multilevel"/>
    <w:tmpl w:val="716CC9EE"/>
    <w:lvl w:ilvl="0">
      <w:start w:val="1"/>
      <w:numFmt w:val="none"/>
      <w:lvlRestart w:val="0"/>
      <w:pStyle w:val="FirstHeading"/>
      <w:suff w:val="nothing"/>
      <w:lvlText w:val=""/>
      <w:lvlJc w:val="left"/>
      <w:pPr>
        <w:ind w:left="2592" w:hanging="720"/>
      </w:pPr>
    </w:lvl>
    <w:lvl w:ilvl="1">
      <w:start w:val="1"/>
      <w:numFmt w:val="decimal"/>
      <w:pStyle w:val="SecHeading"/>
      <w:lvlText w:val="%2."/>
      <w:lvlJc w:val="left"/>
      <w:pPr>
        <w:tabs>
          <w:tab w:val="num" w:pos="3168"/>
        </w:tabs>
        <w:ind w:left="3168" w:hanging="576"/>
      </w:pPr>
      <w:rPr>
        <w:b/>
      </w:rPr>
    </w:lvl>
    <w:lvl w:ilvl="2">
      <w:start w:val="1"/>
      <w:numFmt w:val="lowerLetter"/>
      <w:pStyle w:val="SubHeading1"/>
      <w:lvlText w:val="(%3)"/>
      <w:lvlJc w:val="left"/>
      <w:pPr>
        <w:ind w:left="2592" w:hanging="432"/>
      </w:pPr>
    </w:lvl>
    <w:lvl w:ilvl="3">
      <w:start w:val="1"/>
      <w:numFmt w:val="lowerRoman"/>
      <w:pStyle w:val="Heading4"/>
      <w:lvlText w:val="(%4)"/>
      <w:lvlJc w:val="right"/>
      <w:pPr>
        <w:ind w:left="2736" w:hanging="144"/>
      </w:pPr>
    </w:lvl>
    <w:lvl w:ilvl="4">
      <w:start w:val="1"/>
      <w:numFmt w:val="decimal"/>
      <w:pStyle w:val="Heading5"/>
      <w:lvlText w:val="%5)"/>
      <w:lvlJc w:val="left"/>
      <w:pPr>
        <w:ind w:left="2880" w:hanging="432"/>
      </w:pPr>
    </w:lvl>
    <w:lvl w:ilvl="5">
      <w:start w:val="1"/>
      <w:numFmt w:val="lowerLetter"/>
      <w:pStyle w:val="Heading6"/>
      <w:lvlText w:val="%6)"/>
      <w:lvlJc w:val="left"/>
      <w:pPr>
        <w:ind w:left="3024" w:hanging="432"/>
      </w:pPr>
    </w:lvl>
    <w:lvl w:ilvl="6">
      <w:start w:val="1"/>
      <w:numFmt w:val="lowerRoman"/>
      <w:pStyle w:val="Heading7"/>
      <w:lvlText w:val="%7)"/>
      <w:lvlJc w:val="right"/>
      <w:pPr>
        <w:ind w:left="3168" w:hanging="288"/>
      </w:pPr>
    </w:lvl>
    <w:lvl w:ilvl="7">
      <w:start w:val="1"/>
      <w:numFmt w:val="lowerLetter"/>
      <w:pStyle w:val="Heading8"/>
      <w:lvlText w:val="%8."/>
      <w:lvlJc w:val="left"/>
      <w:pPr>
        <w:ind w:left="3312" w:hanging="432"/>
      </w:pPr>
    </w:lvl>
    <w:lvl w:ilvl="8">
      <w:start w:val="1"/>
      <w:numFmt w:val="lowerRoman"/>
      <w:pStyle w:val="Heading9"/>
      <w:lvlText w:val="%9."/>
      <w:lvlJc w:val="right"/>
      <w:pPr>
        <w:ind w:left="3456" w:hanging="144"/>
      </w:pPr>
    </w:lvl>
  </w:abstractNum>
  <w:abstractNum w:abstractNumId="5" w15:restartNumberingAfterBreak="0">
    <w:nsid w:val="2FD8236B"/>
    <w:multiLevelType w:val="multilevel"/>
    <w:tmpl w:val="D8B2C7A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4A572DA7"/>
    <w:multiLevelType w:val="multilevel"/>
    <w:tmpl w:val="2D74121C"/>
    <w:lvl w:ilvl="0">
      <w:start w:val="1"/>
      <w:numFmt w:val="upperRoman"/>
      <w:lvlRestart w:val="0"/>
      <w:lvlText w:val="%1."/>
      <w:lvlJc w:val="center"/>
      <w:pPr>
        <w:tabs>
          <w:tab w:val="num" w:pos="1800"/>
        </w:tabs>
        <w:ind w:left="1152" w:firstLine="288"/>
      </w:pPr>
      <w:rPr>
        <w:b/>
        <w:i w:val="0"/>
      </w:rPr>
    </w:lvl>
    <w:lvl w:ilvl="1">
      <w:start w:val="1"/>
      <w:numFmt w:val="bullet"/>
      <w:lvlText w:val=""/>
      <w:lvlJc w:val="left"/>
      <w:pPr>
        <w:tabs>
          <w:tab w:val="num" w:pos="1476"/>
        </w:tabs>
        <w:ind w:left="1476" w:hanging="1296"/>
      </w:pPr>
      <w:rPr>
        <w:rFonts w:ascii="Symbol" w:hAnsi="Symbol" w:hint="default"/>
        <w:b w:val="0"/>
        <w:lang w:val="en-US"/>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7" w15:restartNumberingAfterBreak="0">
    <w:nsid w:val="4C440F82"/>
    <w:multiLevelType w:val="multilevel"/>
    <w:tmpl w:val="2D74121C"/>
    <w:lvl w:ilvl="0">
      <w:start w:val="1"/>
      <w:numFmt w:val="upperRoman"/>
      <w:lvlRestart w:val="0"/>
      <w:lvlText w:val="%1."/>
      <w:lvlJc w:val="center"/>
      <w:pPr>
        <w:tabs>
          <w:tab w:val="num" w:pos="1800"/>
        </w:tabs>
        <w:ind w:left="1152" w:firstLine="288"/>
      </w:pPr>
      <w:rPr>
        <w:b/>
        <w:i w:val="0"/>
      </w:rPr>
    </w:lvl>
    <w:lvl w:ilvl="1">
      <w:start w:val="1"/>
      <w:numFmt w:val="bullet"/>
      <w:lvlText w:val=""/>
      <w:lvlJc w:val="left"/>
      <w:pPr>
        <w:tabs>
          <w:tab w:val="num" w:pos="1476"/>
        </w:tabs>
        <w:ind w:left="1476" w:hanging="1296"/>
      </w:pPr>
      <w:rPr>
        <w:rFonts w:ascii="Symbol" w:hAnsi="Symbol" w:hint="default"/>
        <w:b w:val="0"/>
        <w:lang w:val="en-US"/>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8" w15:restartNumberingAfterBreak="0">
    <w:nsid w:val="5801646A"/>
    <w:multiLevelType w:val="multilevel"/>
    <w:tmpl w:val="FDB833D8"/>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1476"/>
        </w:tabs>
        <w:ind w:left="1476" w:hanging="1296"/>
      </w:pPr>
      <w:rPr>
        <w:b w:val="0"/>
        <w:lang w:val="en-US"/>
      </w:rPr>
    </w:lvl>
    <w:lvl w:ilvl="2">
      <w:start w:val="1"/>
      <w:numFmt w:val="bullet"/>
      <w:lvlText w:val=""/>
      <w:lvlJc w:val="left"/>
      <w:pPr>
        <w:tabs>
          <w:tab w:val="num" w:pos="2304"/>
        </w:tabs>
        <w:ind w:left="2304" w:hanging="432"/>
      </w:pPr>
      <w:rPr>
        <w:rFonts w:ascii="Symbol" w:hAnsi="Symbol" w:hint="default"/>
      </w:r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9" w15:restartNumberingAfterBreak="0">
    <w:nsid w:val="652E568B"/>
    <w:multiLevelType w:val="hybridMultilevel"/>
    <w:tmpl w:val="5C602C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 w:numId="5">
    <w:abstractNumId w:val="4"/>
  </w:num>
  <w:num w:numId="6">
    <w:abstractNumId w:val="7"/>
  </w:num>
  <w:num w:numId="7">
    <w:abstractNumId w:val="6"/>
  </w:num>
  <w:num w:numId="8">
    <w:abstractNumId w:val="8"/>
  </w:num>
  <w:num w:numId="9">
    <w:abstractNumId w:val="9"/>
  </w:num>
  <w:num w:numId="10">
    <w:abstractNumId w:val="5"/>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isplayBackgroundShape/>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0076"/>
    <w:rsid w:val="00003421"/>
    <w:rsid w:val="0000367B"/>
    <w:rsid w:val="0000748A"/>
    <w:rsid w:val="000115B1"/>
    <w:rsid w:val="00012AF3"/>
    <w:rsid w:val="00012B4D"/>
    <w:rsid w:val="00013AED"/>
    <w:rsid w:val="00013FE0"/>
    <w:rsid w:val="00022216"/>
    <w:rsid w:val="000239DC"/>
    <w:rsid w:val="00023CBF"/>
    <w:rsid w:val="00023F3C"/>
    <w:rsid w:val="00024F8D"/>
    <w:rsid w:val="000265B2"/>
    <w:rsid w:val="000308F1"/>
    <w:rsid w:val="000316EB"/>
    <w:rsid w:val="00031F90"/>
    <w:rsid w:val="00033259"/>
    <w:rsid w:val="00036486"/>
    <w:rsid w:val="0003738D"/>
    <w:rsid w:val="00037662"/>
    <w:rsid w:val="0004092D"/>
    <w:rsid w:val="00040FD7"/>
    <w:rsid w:val="000420C0"/>
    <w:rsid w:val="00043320"/>
    <w:rsid w:val="000445BC"/>
    <w:rsid w:val="00045E4B"/>
    <w:rsid w:val="000465B1"/>
    <w:rsid w:val="0005184C"/>
    <w:rsid w:val="00061C4D"/>
    <w:rsid w:val="0006355D"/>
    <w:rsid w:val="00063A89"/>
    <w:rsid w:val="000644CD"/>
    <w:rsid w:val="00065C6C"/>
    <w:rsid w:val="0006739F"/>
    <w:rsid w:val="0007049E"/>
    <w:rsid w:val="0007128F"/>
    <w:rsid w:val="00071970"/>
    <w:rsid w:val="00071AD1"/>
    <w:rsid w:val="00077235"/>
    <w:rsid w:val="00086FA4"/>
    <w:rsid w:val="0009071C"/>
    <w:rsid w:val="0009334D"/>
    <w:rsid w:val="00094DE4"/>
    <w:rsid w:val="0009769D"/>
    <w:rsid w:val="000A03E4"/>
    <w:rsid w:val="000A4CC9"/>
    <w:rsid w:val="000A50B1"/>
    <w:rsid w:val="000A52FD"/>
    <w:rsid w:val="000B0692"/>
    <w:rsid w:val="000B0C33"/>
    <w:rsid w:val="000B2B08"/>
    <w:rsid w:val="000B3BE5"/>
    <w:rsid w:val="000B4028"/>
    <w:rsid w:val="000B583A"/>
    <w:rsid w:val="000B5BD8"/>
    <w:rsid w:val="000B668B"/>
    <w:rsid w:val="000B6E12"/>
    <w:rsid w:val="000B6E35"/>
    <w:rsid w:val="000B7A4C"/>
    <w:rsid w:val="000B7DF6"/>
    <w:rsid w:val="000C1F73"/>
    <w:rsid w:val="000C2E2F"/>
    <w:rsid w:val="000C43C4"/>
    <w:rsid w:val="000C6ED5"/>
    <w:rsid w:val="000D1D03"/>
    <w:rsid w:val="000D7630"/>
    <w:rsid w:val="000D77DB"/>
    <w:rsid w:val="000D78EB"/>
    <w:rsid w:val="000D79E9"/>
    <w:rsid w:val="000E034F"/>
    <w:rsid w:val="000E2345"/>
    <w:rsid w:val="000E3268"/>
    <w:rsid w:val="000E4B93"/>
    <w:rsid w:val="000E4DFE"/>
    <w:rsid w:val="000F2055"/>
    <w:rsid w:val="000F2B67"/>
    <w:rsid w:val="000F376F"/>
    <w:rsid w:val="000F3CD3"/>
    <w:rsid w:val="000F65E3"/>
    <w:rsid w:val="000F6AD3"/>
    <w:rsid w:val="000F715E"/>
    <w:rsid w:val="000F72C7"/>
    <w:rsid w:val="000F7E95"/>
    <w:rsid w:val="001016A1"/>
    <w:rsid w:val="001036F3"/>
    <w:rsid w:val="00103FE8"/>
    <w:rsid w:val="00104212"/>
    <w:rsid w:val="001067BE"/>
    <w:rsid w:val="00106FCC"/>
    <w:rsid w:val="00107710"/>
    <w:rsid w:val="0011220D"/>
    <w:rsid w:val="00113FC7"/>
    <w:rsid w:val="00114721"/>
    <w:rsid w:val="00114E8F"/>
    <w:rsid w:val="00116245"/>
    <w:rsid w:val="0012140E"/>
    <w:rsid w:val="001224E2"/>
    <w:rsid w:val="001239F1"/>
    <w:rsid w:val="00124021"/>
    <w:rsid w:val="0012422D"/>
    <w:rsid w:val="00126557"/>
    <w:rsid w:val="00127BE9"/>
    <w:rsid w:val="001300FC"/>
    <w:rsid w:val="00133BD8"/>
    <w:rsid w:val="0013650E"/>
    <w:rsid w:val="001365F5"/>
    <w:rsid w:val="00140027"/>
    <w:rsid w:val="00141E0C"/>
    <w:rsid w:val="00142CE0"/>
    <w:rsid w:val="001432EB"/>
    <w:rsid w:val="00144249"/>
    <w:rsid w:val="00145293"/>
    <w:rsid w:val="00145E87"/>
    <w:rsid w:val="00146ECB"/>
    <w:rsid w:val="00147D43"/>
    <w:rsid w:val="0015185A"/>
    <w:rsid w:val="00151B50"/>
    <w:rsid w:val="00153D12"/>
    <w:rsid w:val="001554B5"/>
    <w:rsid w:val="00155C48"/>
    <w:rsid w:val="00156636"/>
    <w:rsid w:val="00160DDB"/>
    <w:rsid w:val="00164CFA"/>
    <w:rsid w:val="00165E98"/>
    <w:rsid w:val="00165F40"/>
    <w:rsid w:val="001707E2"/>
    <w:rsid w:val="00170868"/>
    <w:rsid w:val="001724E1"/>
    <w:rsid w:val="0017262B"/>
    <w:rsid w:val="00173BAE"/>
    <w:rsid w:val="00174A04"/>
    <w:rsid w:val="00174E61"/>
    <w:rsid w:val="00175F28"/>
    <w:rsid w:val="00175FA9"/>
    <w:rsid w:val="00177CB8"/>
    <w:rsid w:val="00182C3B"/>
    <w:rsid w:val="00183777"/>
    <w:rsid w:val="001846C3"/>
    <w:rsid w:val="00184BA6"/>
    <w:rsid w:val="00190CCA"/>
    <w:rsid w:val="0019227E"/>
    <w:rsid w:val="001938EB"/>
    <w:rsid w:val="00196579"/>
    <w:rsid w:val="001975D3"/>
    <w:rsid w:val="00197F8D"/>
    <w:rsid w:val="001A09CA"/>
    <w:rsid w:val="001A0CAE"/>
    <w:rsid w:val="001A2BD2"/>
    <w:rsid w:val="001A77A2"/>
    <w:rsid w:val="001A78C7"/>
    <w:rsid w:val="001B1A0E"/>
    <w:rsid w:val="001B2DC4"/>
    <w:rsid w:val="001B3328"/>
    <w:rsid w:val="001B3F35"/>
    <w:rsid w:val="001B4097"/>
    <w:rsid w:val="001C2AF0"/>
    <w:rsid w:val="001C3CAA"/>
    <w:rsid w:val="001C62EA"/>
    <w:rsid w:val="001C7206"/>
    <w:rsid w:val="001C7920"/>
    <w:rsid w:val="001D1F5C"/>
    <w:rsid w:val="001D2476"/>
    <w:rsid w:val="001D5BF6"/>
    <w:rsid w:val="001D7F24"/>
    <w:rsid w:val="001E334A"/>
    <w:rsid w:val="001E3FAB"/>
    <w:rsid w:val="001E6662"/>
    <w:rsid w:val="001E6AB8"/>
    <w:rsid w:val="001E6DCA"/>
    <w:rsid w:val="001E7D08"/>
    <w:rsid w:val="001F0AD2"/>
    <w:rsid w:val="001F0E26"/>
    <w:rsid w:val="001F5168"/>
    <w:rsid w:val="001F5395"/>
    <w:rsid w:val="001F53A5"/>
    <w:rsid w:val="001F5F05"/>
    <w:rsid w:val="001F6A52"/>
    <w:rsid w:val="001F7FE3"/>
    <w:rsid w:val="00201472"/>
    <w:rsid w:val="00202A0B"/>
    <w:rsid w:val="00202A77"/>
    <w:rsid w:val="00205D62"/>
    <w:rsid w:val="00206094"/>
    <w:rsid w:val="00207E1A"/>
    <w:rsid w:val="0021359A"/>
    <w:rsid w:val="0022067B"/>
    <w:rsid w:val="002206B3"/>
    <w:rsid w:val="00220B2F"/>
    <w:rsid w:val="002215C1"/>
    <w:rsid w:val="0022203E"/>
    <w:rsid w:val="0022286B"/>
    <w:rsid w:val="00224DA0"/>
    <w:rsid w:val="00225712"/>
    <w:rsid w:val="00225938"/>
    <w:rsid w:val="002259EB"/>
    <w:rsid w:val="0023067A"/>
    <w:rsid w:val="002310DF"/>
    <w:rsid w:val="002345AA"/>
    <w:rsid w:val="00234F1F"/>
    <w:rsid w:val="00236FDB"/>
    <w:rsid w:val="00240E0F"/>
    <w:rsid w:val="00241C70"/>
    <w:rsid w:val="00241DE4"/>
    <w:rsid w:val="002425EC"/>
    <w:rsid w:val="002447E1"/>
    <w:rsid w:val="00251449"/>
    <w:rsid w:val="002541FC"/>
    <w:rsid w:val="00254321"/>
    <w:rsid w:val="00254E47"/>
    <w:rsid w:val="002556E3"/>
    <w:rsid w:val="0025635D"/>
    <w:rsid w:val="00256411"/>
    <w:rsid w:val="00257C22"/>
    <w:rsid w:val="002600BE"/>
    <w:rsid w:val="002601DD"/>
    <w:rsid w:val="00262A48"/>
    <w:rsid w:val="0026598F"/>
    <w:rsid w:val="00265D69"/>
    <w:rsid w:val="00266E3F"/>
    <w:rsid w:val="00271CB5"/>
    <w:rsid w:val="00271D05"/>
    <w:rsid w:val="00272498"/>
    <w:rsid w:val="00272943"/>
    <w:rsid w:val="00273AA6"/>
    <w:rsid w:val="00273CD3"/>
    <w:rsid w:val="002745EA"/>
    <w:rsid w:val="00281172"/>
    <w:rsid w:val="0028341E"/>
    <w:rsid w:val="00285D52"/>
    <w:rsid w:val="00286AEC"/>
    <w:rsid w:val="002906B1"/>
    <w:rsid w:val="0029077B"/>
    <w:rsid w:val="00290DC5"/>
    <w:rsid w:val="00296B28"/>
    <w:rsid w:val="0029748A"/>
    <w:rsid w:val="00297CDD"/>
    <w:rsid w:val="00297D54"/>
    <w:rsid w:val="002A0500"/>
    <w:rsid w:val="002A56C6"/>
    <w:rsid w:val="002A580C"/>
    <w:rsid w:val="002A66EB"/>
    <w:rsid w:val="002A74DF"/>
    <w:rsid w:val="002A7847"/>
    <w:rsid w:val="002B334F"/>
    <w:rsid w:val="002B4275"/>
    <w:rsid w:val="002B4914"/>
    <w:rsid w:val="002B5A69"/>
    <w:rsid w:val="002C1106"/>
    <w:rsid w:val="002C60B6"/>
    <w:rsid w:val="002C6C43"/>
    <w:rsid w:val="002C7FC7"/>
    <w:rsid w:val="002D006B"/>
    <w:rsid w:val="002E3E0D"/>
    <w:rsid w:val="002E51D8"/>
    <w:rsid w:val="002E589D"/>
    <w:rsid w:val="002E66AC"/>
    <w:rsid w:val="002E7EA1"/>
    <w:rsid w:val="002F25E8"/>
    <w:rsid w:val="002F3720"/>
    <w:rsid w:val="002F5640"/>
    <w:rsid w:val="002F6B13"/>
    <w:rsid w:val="0030044D"/>
    <w:rsid w:val="00300CCA"/>
    <w:rsid w:val="00302FA1"/>
    <w:rsid w:val="0030330D"/>
    <w:rsid w:val="003042AC"/>
    <w:rsid w:val="003070F7"/>
    <w:rsid w:val="003120F9"/>
    <w:rsid w:val="00313F1A"/>
    <w:rsid w:val="00315656"/>
    <w:rsid w:val="00320702"/>
    <w:rsid w:val="003222F6"/>
    <w:rsid w:val="00324402"/>
    <w:rsid w:val="00327719"/>
    <w:rsid w:val="003305C3"/>
    <w:rsid w:val="00331BAC"/>
    <w:rsid w:val="003325C4"/>
    <w:rsid w:val="00334205"/>
    <w:rsid w:val="00334B0A"/>
    <w:rsid w:val="00334E45"/>
    <w:rsid w:val="003356A2"/>
    <w:rsid w:val="003366FB"/>
    <w:rsid w:val="00341033"/>
    <w:rsid w:val="0034379C"/>
    <w:rsid w:val="00350F28"/>
    <w:rsid w:val="003512C5"/>
    <w:rsid w:val="0035174E"/>
    <w:rsid w:val="00354901"/>
    <w:rsid w:val="00355306"/>
    <w:rsid w:val="00355CE6"/>
    <w:rsid w:val="00355E9F"/>
    <w:rsid w:val="003564C2"/>
    <w:rsid w:val="00356EAE"/>
    <w:rsid w:val="0036122F"/>
    <w:rsid w:val="003614D9"/>
    <w:rsid w:val="00361B21"/>
    <w:rsid w:val="0036204D"/>
    <w:rsid w:val="0036408E"/>
    <w:rsid w:val="003649D7"/>
    <w:rsid w:val="00372634"/>
    <w:rsid w:val="00372EB9"/>
    <w:rsid w:val="0037447A"/>
    <w:rsid w:val="00375FFA"/>
    <w:rsid w:val="00380B19"/>
    <w:rsid w:val="003824F8"/>
    <w:rsid w:val="00382670"/>
    <w:rsid w:val="00382D16"/>
    <w:rsid w:val="0038316F"/>
    <w:rsid w:val="00383294"/>
    <w:rsid w:val="00383D2D"/>
    <w:rsid w:val="003872E7"/>
    <w:rsid w:val="00387655"/>
    <w:rsid w:val="0039020B"/>
    <w:rsid w:val="003907F8"/>
    <w:rsid w:val="003913D7"/>
    <w:rsid w:val="00394AA2"/>
    <w:rsid w:val="0039594D"/>
    <w:rsid w:val="0039595E"/>
    <w:rsid w:val="00396D90"/>
    <w:rsid w:val="003A1603"/>
    <w:rsid w:val="003A39FF"/>
    <w:rsid w:val="003A4029"/>
    <w:rsid w:val="003A44B1"/>
    <w:rsid w:val="003A4877"/>
    <w:rsid w:val="003A6898"/>
    <w:rsid w:val="003A7C22"/>
    <w:rsid w:val="003B090E"/>
    <w:rsid w:val="003B38A2"/>
    <w:rsid w:val="003B5A40"/>
    <w:rsid w:val="003B6094"/>
    <w:rsid w:val="003B6353"/>
    <w:rsid w:val="003C220F"/>
    <w:rsid w:val="003C2F71"/>
    <w:rsid w:val="003C3EC6"/>
    <w:rsid w:val="003C72E0"/>
    <w:rsid w:val="003D24E3"/>
    <w:rsid w:val="003D4ABF"/>
    <w:rsid w:val="003E0DDD"/>
    <w:rsid w:val="003E0E63"/>
    <w:rsid w:val="003E39F6"/>
    <w:rsid w:val="003E42E6"/>
    <w:rsid w:val="003E5A35"/>
    <w:rsid w:val="003E5D73"/>
    <w:rsid w:val="003E6598"/>
    <w:rsid w:val="003E6610"/>
    <w:rsid w:val="003E7CA2"/>
    <w:rsid w:val="003F152F"/>
    <w:rsid w:val="003F1FF3"/>
    <w:rsid w:val="003F329B"/>
    <w:rsid w:val="003F35F7"/>
    <w:rsid w:val="003F3F56"/>
    <w:rsid w:val="003F52D2"/>
    <w:rsid w:val="003F5ECC"/>
    <w:rsid w:val="00400EAD"/>
    <w:rsid w:val="004031E8"/>
    <w:rsid w:val="00403D04"/>
    <w:rsid w:val="00404911"/>
    <w:rsid w:val="00406FEF"/>
    <w:rsid w:val="00412E37"/>
    <w:rsid w:val="00415983"/>
    <w:rsid w:val="00416336"/>
    <w:rsid w:val="004171C8"/>
    <w:rsid w:val="0041755E"/>
    <w:rsid w:val="0042079D"/>
    <w:rsid w:val="00422597"/>
    <w:rsid w:val="00424A74"/>
    <w:rsid w:val="00427213"/>
    <w:rsid w:val="00427BF7"/>
    <w:rsid w:val="00430159"/>
    <w:rsid w:val="00431061"/>
    <w:rsid w:val="0043561F"/>
    <w:rsid w:val="00437463"/>
    <w:rsid w:val="00437569"/>
    <w:rsid w:val="00437A1E"/>
    <w:rsid w:val="00437C25"/>
    <w:rsid w:val="00443D9E"/>
    <w:rsid w:val="00447431"/>
    <w:rsid w:val="004529E6"/>
    <w:rsid w:val="004535D7"/>
    <w:rsid w:val="00453B0B"/>
    <w:rsid w:val="004542BA"/>
    <w:rsid w:val="004577C5"/>
    <w:rsid w:val="00461283"/>
    <w:rsid w:val="00463CAA"/>
    <w:rsid w:val="00470B88"/>
    <w:rsid w:val="004712FA"/>
    <w:rsid w:val="00471611"/>
    <w:rsid w:val="00471915"/>
    <w:rsid w:val="00474B47"/>
    <w:rsid w:val="00475790"/>
    <w:rsid w:val="0047633A"/>
    <w:rsid w:val="00476A4E"/>
    <w:rsid w:val="004771B9"/>
    <w:rsid w:val="00477B37"/>
    <w:rsid w:val="00480BDA"/>
    <w:rsid w:val="0048456D"/>
    <w:rsid w:val="00485301"/>
    <w:rsid w:val="004903AC"/>
    <w:rsid w:val="00491389"/>
    <w:rsid w:val="004915F7"/>
    <w:rsid w:val="004938D5"/>
    <w:rsid w:val="004A0402"/>
    <w:rsid w:val="004A1FEE"/>
    <w:rsid w:val="004A36DF"/>
    <w:rsid w:val="004A4489"/>
    <w:rsid w:val="004A4A03"/>
    <w:rsid w:val="004A4F36"/>
    <w:rsid w:val="004A515A"/>
    <w:rsid w:val="004A6667"/>
    <w:rsid w:val="004A6A0F"/>
    <w:rsid w:val="004A7D21"/>
    <w:rsid w:val="004B11E7"/>
    <w:rsid w:val="004B12A5"/>
    <w:rsid w:val="004B2E38"/>
    <w:rsid w:val="004B343B"/>
    <w:rsid w:val="004B3EE5"/>
    <w:rsid w:val="004B4410"/>
    <w:rsid w:val="004B5334"/>
    <w:rsid w:val="004B5555"/>
    <w:rsid w:val="004B5C71"/>
    <w:rsid w:val="004C0076"/>
    <w:rsid w:val="004C1729"/>
    <w:rsid w:val="004C457B"/>
    <w:rsid w:val="004C4DA6"/>
    <w:rsid w:val="004C50AE"/>
    <w:rsid w:val="004C5326"/>
    <w:rsid w:val="004C7879"/>
    <w:rsid w:val="004C7994"/>
    <w:rsid w:val="004C7A99"/>
    <w:rsid w:val="004D00F5"/>
    <w:rsid w:val="004D05A9"/>
    <w:rsid w:val="004D33B4"/>
    <w:rsid w:val="004D35BE"/>
    <w:rsid w:val="004D38D2"/>
    <w:rsid w:val="004D3C2E"/>
    <w:rsid w:val="004D416C"/>
    <w:rsid w:val="004D54E2"/>
    <w:rsid w:val="004D7B20"/>
    <w:rsid w:val="004E1744"/>
    <w:rsid w:val="004E4F25"/>
    <w:rsid w:val="004E5364"/>
    <w:rsid w:val="004E5EBA"/>
    <w:rsid w:val="004E643F"/>
    <w:rsid w:val="004E6698"/>
    <w:rsid w:val="004F14B5"/>
    <w:rsid w:val="004F4F0D"/>
    <w:rsid w:val="004F5DCB"/>
    <w:rsid w:val="004F7D2F"/>
    <w:rsid w:val="005027B6"/>
    <w:rsid w:val="0050391A"/>
    <w:rsid w:val="005072C5"/>
    <w:rsid w:val="00507406"/>
    <w:rsid w:val="00507436"/>
    <w:rsid w:val="00507C50"/>
    <w:rsid w:val="00510A79"/>
    <w:rsid w:val="00511B15"/>
    <w:rsid w:val="005133E5"/>
    <w:rsid w:val="0051506E"/>
    <w:rsid w:val="00515EEF"/>
    <w:rsid w:val="00515F91"/>
    <w:rsid w:val="00517898"/>
    <w:rsid w:val="00526E53"/>
    <w:rsid w:val="0053125F"/>
    <w:rsid w:val="00532573"/>
    <w:rsid w:val="005357B0"/>
    <w:rsid w:val="00540490"/>
    <w:rsid w:val="005417DA"/>
    <w:rsid w:val="00543A15"/>
    <w:rsid w:val="00543FAB"/>
    <w:rsid w:val="005468DA"/>
    <w:rsid w:val="00546AF7"/>
    <w:rsid w:val="005470CD"/>
    <w:rsid w:val="00551D8D"/>
    <w:rsid w:val="00554822"/>
    <w:rsid w:val="00555907"/>
    <w:rsid w:val="00557595"/>
    <w:rsid w:val="00561A04"/>
    <w:rsid w:val="00561C93"/>
    <w:rsid w:val="005628F5"/>
    <w:rsid w:val="005630D0"/>
    <w:rsid w:val="0056310D"/>
    <w:rsid w:val="00563C4B"/>
    <w:rsid w:val="005657A6"/>
    <w:rsid w:val="00565D8D"/>
    <w:rsid w:val="00567004"/>
    <w:rsid w:val="00575001"/>
    <w:rsid w:val="00576CD7"/>
    <w:rsid w:val="005770A6"/>
    <w:rsid w:val="00580A5F"/>
    <w:rsid w:val="00581D80"/>
    <w:rsid w:val="00582E08"/>
    <w:rsid w:val="005863D4"/>
    <w:rsid w:val="00586959"/>
    <w:rsid w:val="0058740B"/>
    <w:rsid w:val="005916F4"/>
    <w:rsid w:val="005A002E"/>
    <w:rsid w:val="005A0528"/>
    <w:rsid w:val="005A0B4D"/>
    <w:rsid w:val="005A0D1E"/>
    <w:rsid w:val="005B0669"/>
    <w:rsid w:val="005B163F"/>
    <w:rsid w:val="005B40D1"/>
    <w:rsid w:val="005B5952"/>
    <w:rsid w:val="005C0A36"/>
    <w:rsid w:val="005C32F4"/>
    <w:rsid w:val="005C42B7"/>
    <w:rsid w:val="005C50F7"/>
    <w:rsid w:val="005D0609"/>
    <w:rsid w:val="005D131E"/>
    <w:rsid w:val="005D22AE"/>
    <w:rsid w:val="005E09B4"/>
    <w:rsid w:val="005E0BDF"/>
    <w:rsid w:val="005E2E4B"/>
    <w:rsid w:val="005F0FF7"/>
    <w:rsid w:val="005F28A5"/>
    <w:rsid w:val="005F3473"/>
    <w:rsid w:val="005F46A6"/>
    <w:rsid w:val="005F52F9"/>
    <w:rsid w:val="006006A7"/>
    <w:rsid w:val="00602F69"/>
    <w:rsid w:val="0060390A"/>
    <w:rsid w:val="00604036"/>
    <w:rsid w:val="006078ED"/>
    <w:rsid w:val="00607DCB"/>
    <w:rsid w:val="00610135"/>
    <w:rsid w:val="0061086F"/>
    <w:rsid w:val="00617C83"/>
    <w:rsid w:val="00620864"/>
    <w:rsid w:val="0062223A"/>
    <w:rsid w:val="00625C4B"/>
    <w:rsid w:val="00627382"/>
    <w:rsid w:val="006277FB"/>
    <w:rsid w:val="00627841"/>
    <w:rsid w:val="00631B34"/>
    <w:rsid w:val="00632708"/>
    <w:rsid w:val="00633BD2"/>
    <w:rsid w:val="0063405C"/>
    <w:rsid w:val="00635B6A"/>
    <w:rsid w:val="00636EE9"/>
    <w:rsid w:val="00637B78"/>
    <w:rsid w:val="006406C5"/>
    <w:rsid w:val="0064134D"/>
    <w:rsid w:val="00642298"/>
    <w:rsid w:val="00644590"/>
    <w:rsid w:val="00644671"/>
    <w:rsid w:val="0064509D"/>
    <w:rsid w:val="006453C6"/>
    <w:rsid w:val="00646175"/>
    <w:rsid w:val="00646B74"/>
    <w:rsid w:val="00647883"/>
    <w:rsid w:val="00650586"/>
    <w:rsid w:val="006523C9"/>
    <w:rsid w:val="00652CF2"/>
    <w:rsid w:val="00652E2B"/>
    <w:rsid w:val="00657E6E"/>
    <w:rsid w:val="006636AB"/>
    <w:rsid w:val="00664F7D"/>
    <w:rsid w:val="00665B5F"/>
    <w:rsid w:val="00665CFB"/>
    <w:rsid w:val="00670DFF"/>
    <w:rsid w:val="00676325"/>
    <w:rsid w:val="00677258"/>
    <w:rsid w:val="0067769E"/>
    <w:rsid w:val="0068063C"/>
    <w:rsid w:val="006828E1"/>
    <w:rsid w:val="00683F87"/>
    <w:rsid w:val="00684BFF"/>
    <w:rsid w:val="00691407"/>
    <w:rsid w:val="0069272C"/>
    <w:rsid w:val="006934AE"/>
    <w:rsid w:val="00693A57"/>
    <w:rsid w:val="006945A0"/>
    <w:rsid w:val="006960BA"/>
    <w:rsid w:val="006971E7"/>
    <w:rsid w:val="006A14FF"/>
    <w:rsid w:val="006A2B9A"/>
    <w:rsid w:val="006A2BA3"/>
    <w:rsid w:val="006A2DB7"/>
    <w:rsid w:val="006A416E"/>
    <w:rsid w:val="006A4411"/>
    <w:rsid w:val="006A45E1"/>
    <w:rsid w:val="006A4AD5"/>
    <w:rsid w:val="006A5156"/>
    <w:rsid w:val="006A56E7"/>
    <w:rsid w:val="006A5F3B"/>
    <w:rsid w:val="006A6DD2"/>
    <w:rsid w:val="006A7763"/>
    <w:rsid w:val="006B5B47"/>
    <w:rsid w:val="006C2528"/>
    <w:rsid w:val="006C299C"/>
    <w:rsid w:val="006C2F36"/>
    <w:rsid w:val="006C3318"/>
    <w:rsid w:val="006C509F"/>
    <w:rsid w:val="006C5CAE"/>
    <w:rsid w:val="006D07E5"/>
    <w:rsid w:val="006D3FC9"/>
    <w:rsid w:val="006D4211"/>
    <w:rsid w:val="006D5446"/>
    <w:rsid w:val="006E0D6C"/>
    <w:rsid w:val="006E2209"/>
    <w:rsid w:val="006E484E"/>
    <w:rsid w:val="006E6066"/>
    <w:rsid w:val="006E708A"/>
    <w:rsid w:val="006F1644"/>
    <w:rsid w:val="006F1B8E"/>
    <w:rsid w:val="006F63CD"/>
    <w:rsid w:val="006F6956"/>
    <w:rsid w:val="006F7922"/>
    <w:rsid w:val="0070264F"/>
    <w:rsid w:val="00703C02"/>
    <w:rsid w:val="0070461F"/>
    <w:rsid w:val="00704766"/>
    <w:rsid w:val="00705F71"/>
    <w:rsid w:val="00707CC7"/>
    <w:rsid w:val="00710BE1"/>
    <w:rsid w:val="007119D0"/>
    <w:rsid w:val="00711C44"/>
    <w:rsid w:val="007132FE"/>
    <w:rsid w:val="00713B6F"/>
    <w:rsid w:val="00720630"/>
    <w:rsid w:val="00721E81"/>
    <w:rsid w:val="007235DF"/>
    <w:rsid w:val="00725516"/>
    <w:rsid w:val="0072551A"/>
    <w:rsid w:val="00725864"/>
    <w:rsid w:val="0072711C"/>
    <w:rsid w:val="00730275"/>
    <w:rsid w:val="007302E1"/>
    <w:rsid w:val="00730BAE"/>
    <w:rsid w:val="00734766"/>
    <w:rsid w:val="00734FBF"/>
    <w:rsid w:val="00737136"/>
    <w:rsid w:val="00737F06"/>
    <w:rsid w:val="00740448"/>
    <w:rsid w:val="00742BD4"/>
    <w:rsid w:val="00743048"/>
    <w:rsid w:val="00746D8E"/>
    <w:rsid w:val="00753720"/>
    <w:rsid w:val="00753B48"/>
    <w:rsid w:val="00756F4C"/>
    <w:rsid w:val="00765A1D"/>
    <w:rsid w:val="00767498"/>
    <w:rsid w:val="00770A5B"/>
    <w:rsid w:val="0077197E"/>
    <w:rsid w:val="0078026B"/>
    <w:rsid w:val="00785ED1"/>
    <w:rsid w:val="007906E3"/>
    <w:rsid w:val="007915EF"/>
    <w:rsid w:val="00794810"/>
    <w:rsid w:val="00797D05"/>
    <w:rsid w:val="007A0FF4"/>
    <w:rsid w:val="007A25A6"/>
    <w:rsid w:val="007A345E"/>
    <w:rsid w:val="007A3CED"/>
    <w:rsid w:val="007A73B2"/>
    <w:rsid w:val="007B0CF3"/>
    <w:rsid w:val="007B2D33"/>
    <w:rsid w:val="007B43F0"/>
    <w:rsid w:val="007B4F3C"/>
    <w:rsid w:val="007B70AB"/>
    <w:rsid w:val="007B7332"/>
    <w:rsid w:val="007B73CF"/>
    <w:rsid w:val="007C1010"/>
    <w:rsid w:val="007C37F4"/>
    <w:rsid w:val="007C4C29"/>
    <w:rsid w:val="007C55B9"/>
    <w:rsid w:val="007C6E7F"/>
    <w:rsid w:val="007C731A"/>
    <w:rsid w:val="007D058A"/>
    <w:rsid w:val="007D0F6A"/>
    <w:rsid w:val="007D12D7"/>
    <w:rsid w:val="007D1695"/>
    <w:rsid w:val="007D1DF6"/>
    <w:rsid w:val="007D35D4"/>
    <w:rsid w:val="007D3E49"/>
    <w:rsid w:val="007D5042"/>
    <w:rsid w:val="007D53A1"/>
    <w:rsid w:val="007D5F10"/>
    <w:rsid w:val="007D7409"/>
    <w:rsid w:val="007E2F4D"/>
    <w:rsid w:val="007E3196"/>
    <w:rsid w:val="007E349E"/>
    <w:rsid w:val="007E422E"/>
    <w:rsid w:val="007E4FA7"/>
    <w:rsid w:val="007E5D24"/>
    <w:rsid w:val="007E6A55"/>
    <w:rsid w:val="007F2061"/>
    <w:rsid w:val="007F2162"/>
    <w:rsid w:val="007F3357"/>
    <w:rsid w:val="007F3E0C"/>
    <w:rsid w:val="007F54B5"/>
    <w:rsid w:val="007F69DE"/>
    <w:rsid w:val="007F75B0"/>
    <w:rsid w:val="008004AC"/>
    <w:rsid w:val="008024D6"/>
    <w:rsid w:val="00807924"/>
    <w:rsid w:val="00811636"/>
    <w:rsid w:val="00812104"/>
    <w:rsid w:val="00813445"/>
    <w:rsid w:val="00813CA8"/>
    <w:rsid w:val="00814FF1"/>
    <w:rsid w:val="0081549B"/>
    <w:rsid w:val="008154A8"/>
    <w:rsid w:val="00815759"/>
    <w:rsid w:val="00815A83"/>
    <w:rsid w:val="0081659C"/>
    <w:rsid w:val="00817C20"/>
    <w:rsid w:val="00817C66"/>
    <w:rsid w:val="00821CC6"/>
    <w:rsid w:val="008236A7"/>
    <w:rsid w:val="00823B4F"/>
    <w:rsid w:val="008253DA"/>
    <w:rsid w:val="00825B81"/>
    <w:rsid w:val="008277C9"/>
    <w:rsid w:val="008302BB"/>
    <w:rsid w:val="008314AB"/>
    <w:rsid w:val="00831AF7"/>
    <w:rsid w:val="00832366"/>
    <w:rsid w:val="008347BF"/>
    <w:rsid w:val="00834C67"/>
    <w:rsid w:val="008376A9"/>
    <w:rsid w:val="00837AAE"/>
    <w:rsid w:val="008403BE"/>
    <w:rsid w:val="008418EB"/>
    <w:rsid w:val="008422EF"/>
    <w:rsid w:val="00842D1C"/>
    <w:rsid w:val="00843349"/>
    <w:rsid w:val="008433B4"/>
    <w:rsid w:val="008441C3"/>
    <w:rsid w:val="008441ED"/>
    <w:rsid w:val="00844D01"/>
    <w:rsid w:val="00844F1B"/>
    <w:rsid w:val="008465B6"/>
    <w:rsid w:val="00847D0F"/>
    <w:rsid w:val="00853018"/>
    <w:rsid w:val="0085335F"/>
    <w:rsid w:val="00871AF4"/>
    <w:rsid w:val="00873006"/>
    <w:rsid w:val="0087627A"/>
    <w:rsid w:val="008764A0"/>
    <w:rsid w:val="008816BF"/>
    <w:rsid w:val="00883326"/>
    <w:rsid w:val="00884115"/>
    <w:rsid w:val="00885B62"/>
    <w:rsid w:val="0088649F"/>
    <w:rsid w:val="0089071E"/>
    <w:rsid w:val="008954E3"/>
    <w:rsid w:val="008A036C"/>
    <w:rsid w:val="008A08BE"/>
    <w:rsid w:val="008A0E7A"/>
    <w:rsid w:val="008A2BE0"/>
    <w:rsid w:val="008A5D9F"/>
    <w:rsid w:val="008A78B0"/>
    <w:rsid w:val="008B116F"/>
    <w:rsid w:val="008B2445"/>
    <w:rsid w:val="008B673C"/>
    <w:rsid w:val="008B70E6"/>
    <w:rsid w:val="008C058C"/>
    <w:rsid w:val="008C08F9"/>
    <w:rsid w:val="008C1620"/>
    <w:rsid w:val="008C347D"/>
    <w:rsid w:val="008C441D"/>
    <w:rsid w:val="008C4F91"/>
    <w:rsid w:val="008C5455"/>
    <w:rsid w:val="008C56E4"/>
    <w:rsid w:val="008C635B"/>
    <w:rsid w:val="008D0EDF"/>
    <w:rsid w:val="008D23FA"/>
    <w:rsid w:val="008D2D46"/>
    <w:rsid w:val="008D3280"/>
    <w:rsid w:val="008D5B26"/>
    <w:rsid w:val="008D6BC1"/>
    <w:rsid w:val="008E0860"/>
    <w:rsid w:val="008E145D"/>
    <w:rsid w:val="008E149D"/>
    <w:rsid w:val="008E26BC"/>
    <w:rsid w:val="008E3817"/>
    <w:rsid w:val="008F1269"/>
    <w:rsid w:val="008F447C"/>
    <w:rsid w:val="008F4723"/>
    <w:rsid w:val="008F4DC4"/>
    <w:rsid w:val="008F507A"/>
    <w:rsid w:val="009010D2"/>
    <w:rsid w:val="0090123D"/>
    <w:rsid w:val="0090145B"/>
    <w:rsid w:val="0090301F"/>
    <w:rsid w:val="00904A95"/>
    <w:rsid w:val="009061D4"/>
    <w:rsid w:val="00906D35"/>
    <w:rsid w:val="0091059A"/>
    <w:rsid w:val="00911CB1"/>
    <w:rsid w:val="00911D3A"/>
    <w:rsid w:val="00911D51"/>
    <w:rsid w:val="00913286"/>
    <w:rsid w:val="00915E3B"/>
    <w:rsid w:val="009225A3"/>
    <w:rsid w:val="00924100"/>
    <w:rsid w:val="00927182"/>
    <w:rsid w:val="0093100B"/>
    <w:rsid w:val="009348D0"/>
    <w:rsid w:val="00935140"/>
    <w:rsid w:val="00935452"/>
    <w:rsid w:val="0093656A"/>
    <w:rsid w:val="00936BA2"/>
    <w:rsid w:val="00937387"/>
    <w:rsid w:val="009405E9"/>
    <w:rsid w:val="00941693"/>
    <w:rsid w:val="0094223A"/>
    <w:rsid w:val="0094249B"/>
    <w:rsid w:val="00944B6E"/>
    <w:rsid w:val="00945FB7"/>
    <w:rsid w:val="00947899"/>
    <w:rsid w:val="00947CB5"/>
    <w:rsid w:val="00950986"/>
    <w:rsid w:val="00952C9D"/>
    <w:rsid w:val="00953A80"/>
    <w:rsid w:val="0095433C"/>
    <w:rsid w:val="00954B06"/>
    <w:rsid w:val="00957A14"/>
    <w:rsid w:val="00961999"/>
    <w:rsid w:val="00963A82"/>
    <w:rsid w:val="009649AB"/>
    <w:rsid w:val="00966481"/>
    <w:rsid w:val="009669BF"/>
    <w:rsid w:val="00966C1B"/>
    <w:rsid w:val="009672E0"/>
    <w:rsid w:val="00967786"/>
    <w:rsid w:val="009706BD"/>
    <w:rsid w:val="00970C0C"/>
    <w:rsid w:val="0097322A"/>
    <w:rsid w:val="009764B4"/>
    <w:rsid w:val="0098144B"/>
    <w:rsid w:val="009837A7"/>
    <w:rsid w:val="009845CE"/>
    <w:rsid w:val="00985336"/>
    <w:rsid w:val="00985532"/>
    <w:rsid w:val="00985875"/>
    <w:rsid w:val="00985FA3"/>
    <w:rsid w:val="00986487"/>
    <w:rsid w:val="009865E0"/>
    <w:rsid w:val="0098699E"/>
    <w:rsid w:val="009909CE"/>
    <w:rsid w:val="00993632"/>
    <w:rsid w:val="00994AF4"/>
    <w:rsid w:val="00994D53"/>
    <w:rsid w:val="00996ABB"/>
    <w:rsid w:val="009A28A7"/>
    <w:rsid w:val="009A2970"/>
    <w:rsid w:val="009A6BA7"/>
    <w:rsid w:val="009A714F"/>
    <w:rsid w:val="009B01C1"/>
    <w:rsid w:val="009B0545"/>
    <w:rsid w:val="009B06F7"/>
    <w:rsid w:val="009B1E1F"/>
    <w:rsid w:val="009B26BD"/>
    <w:rsid w:val="009B37DD"/>
    <w:rsid w:val="009B675C"/>
    <w:rsid w:val="009B78E3"/>
    <w:rsid w:val="009C469B"/>
    <w:rsid w:val="009C6697"/>
    <w:rsid w:val="009D06F5"/>
    <w:rsid w:val="009D3A23"/>
    <w:rsid w:val="009D3DCD"/>
    <w:rsid w:val="009D4AFD"/>
    <w:rsid w:val="009D53DD"/>
    <w:rsid w:val="009D77E7"/>
    <w:rsid w:val="009D7FC3"/>
    <w:rsid w:val="009E3C3E"/>
    <w:rsid w:val="009E3DFA"/>
    <w:rsid w:val="009E5B21"/>
    <w:rsid w:val="009E61B6"/>
    <w:rsid w:val="009E67E3"/>
    <w:rsid w:val="009E6A77"/>
    <w:rsid w:val="009E70FA"/>
    <w:rsid w:val="009F39DE"/>
    <w:rsid w:val="009F4948"/>
    <w:rsid w:val="00A00C82"/>
    <w:rsid w:val="00A013D0"/>
    <w:rsid w:val="00A02644"/>
    <w:rsid w:val="00A03171"/>
    <w:rsid w:val="00A102A0"/>
    <w:rsid w:val="00A10868"/>
    <w:rsid w:val="00A130B9"/>
    <w:rsid w:val="00A13F62"/>
    <w:rsid w:val="00A2065B"/>
    <w:rsid w:val="00A21223"/>
    <w:rsid w:val="00A22AB4"/>
    <w:rsid w:val="00A24063"/>
    <w:rsid w:val="00A25C32"/>
    <w:rsid w:val="00A27AC5"/>
    <w:rsid w:val="00A32A40"/>
    <w:rsid w:val="00A33B24"/>
    <w:rsid w:val="00A342EE"/>
    <w:rsid w:val="00A362CC"/>
    <w:rsid w:val="00A3632A"/>
    <w:rsid w:val="00A36FF6"/>
    <w:rsid w:val="00A415FB"/>
    <w:rsid w:val="00A41DAA"/>
    <w:rsid w:val="00A43383"/>
    <w:rsid w:val="00A43FBD"/>
    <w:rsid w:val="00A510A4"/>
    <w:rsid w:val="00A510D0"/>
    <w:rsid w:val="00A54F04"/>
    <w:rsid w:val="00A55D52"/>
    <w:rsid w:val="00A562CE"/>
    <w:rsid w:val="00A576BF"/>
    <w:rsid w:val="00A679FE"/>
    <w:rsid w:val="00A67A2B"/>
    <w:rsid w:val="00A75829"/>
    <w:rsid w:val="00A77055"/>
    <w:rsid w:val="00A81255"/>
    <w:rsid w:val="00A82DB4"/>
    <w:rsid w:val="00A84F96"/>
    <w:rsid w:val="00A86933"/>
    <w:rsid w:val="00A87DA9"/>
    <w:rsid w:val="00A91923"/>
    <w:rsid w:val="00A94420"/>
    <w:rsid w:val="00A94A31"/>
    <w:rsid w:val="00AA22AD"/>
    <w:rsid w:val="00AA30F0"/>
    <w:rsid w:val="00AA5300"/>
    <w:rsid w:val="00AA5433"/>
    <w:rsid w:val="00AB0D73"/>
    <w:rsid w:val="00AB1E93"/>
    <w:rsid w:val="00AB29B6"/>
    <w:rsid w:val="00AB2D49"/>
    <w:rsid w:val="00AC20A7"/>
    <w:rsid w:val="00AC374C"/>
    <w:rsid w:val="00AC40F0"/>
    <w:rsid w:val="00AC47DE"/>
    <w:rsid w:val="00AC4D21"/>
    <w:rsid w:val="00AC7FA8"/>
    <w:rsid w:val="00AD44EA"/>
    <w:rsid w:val="00AD50B4"/>
    <w:rsid w:val="00AE1A03"/>
    <w:rsid w:val="00AE2B9C"/>
    <w:rsid w:val="00AE79B7"/>
    <w:rsid w:val="00AF0B5A"/>
    <w:rsid w:val="00AF10CF"/>
    <w:rsid w:val="00AF13E4"/>
    <w:rsid w:val="00AF1631"/>
    <w:rsid w:val="00AF7703"/>
    <w:rsid w:val="00B00A25"/>
    <w:rsid w:val="00B01553"/>
    <w:rsid w:val="00B01E6B"/>
    <w:rsid w:val="00B01F99"/>
    <w:rsid w:val="00B04E93"/>
    <w:rsid w:val="00B05278"/>
    <w:rsid w:val="00B07088"/>
    <w:rsid w:val="00B10545"/>
    <w:rsid w:val="00B10BFA"/>
    <w:rsid w:val="00B12E55"/>
    <w:rsid w:val="00B14066"/>
    <w:rsid w:val="00B15B3B"/>
    <w:rsid w:val="00B17DF9"/>
    <w:rsid w:val="00B17FA7"/>
    <w:rsid w:val="00B21F0F"/>
    <w:rsid w:val="00B22A7F"/>
    <w:rsid w:val="00B266FE"/>
    <w:rsid w:val="00B27427"/>
    <w:rsid w:val="00B318CD"/>
    <w:rsid w:val="00B31E49"/>
    <w:rsid w:val="00B32D1D"/>
    <w:rsid w:val="00B33936"/>
    <w:rsid w:val="00B33ED1"/>
    <w:rsid w:val="00B427F7"/>
    <w:rsid w:val="00B437EE"/>
    <w:rsid w:val="00B45BFB"/>
    <w:rsid w:val="00B51143"/>
    <w:rsid w:val="00B511DD"/>
    <w:rsid w:val="00B51498"/>
    <w:rsid w:val="00B53261"/>
    <w:rsid w:val="00B55413"/>
    <w:rsid w:val="00B558DD"/>
    <w:rsid w:val="00B55CF9"/>
    <w:rsid w:val="00B60A6F"/>
    <w:rsid w:val="00B61472"/>
    <w:rsid w:val="00B6165A"/>
    <w:rsid w:val="00B625B0"/>
    <w:rsid w:val="00B67FD5"/>
    <w:rsid w:val="00B7267F"/>
    <w:rsid w:val="00B734F6"/>
    <w:rsid w:val="00B76C4B"/>
    <w:rsid w:val="00B7757B"/>
    <w:rsid w:val="00B8208B"/>
    <w:rsid w:val="00B838B6"/>
    <w:rsid w:val="00B85A08"/>
    <w:rsid w:val="00B85D98"/>
    <w:rsid w:val="00B86128"/>
    <w:rsid w:val="00B879BB"/>
    <w:rsid w:val="00B944EE"/>
    <w:rsid w:val="00B95966"/>
    <w:rsid w:val="00BA23C8"/>
    <w:rsid w:val="00BA3B38"/>
    <w:rsid w:val="00BA5897"/>
    <w:rsid w:val="00BA5CD2"/>
    <w:rsid w:val="00BB2095"/>
    <w:rsid w:val="00BB2C0E"/>
    <w:rsid w:val="00BB3411"/>
    <w:rsid w:val="00BB4EEB"/>
    <w:rsid w:val="00BB51A4"/>
    <w:rsid w:val="00BB52A4"/>
    <w:rsid w:val="00BB52E6"/>
    <w:rsid w:val="00BB695A"/>
    <w:rsid w:val="00BB782B"/>
    <w:rsid w:val="00BB7D5F"/>
    <w:rsid w:val="00BC310E"/>
    <w:rsid w:val="00BD56F0"/>
    <w:rsid w:val="00BE1104"/>
    <w:rsid w:val="00BE1205"/>
    <w:rsid w:val="00BE2607"/>
    <w:rsid w:val="00BE49D4"/>
    <w:rsid w:val="00BE4AF9"/>
    <w:rsid w:val="00BE6A44"/>
    <w:rsid w:val="00BE6A81"/>
    <w:rsid w:val="00BF1352"/>
    <w:rsid w:val="00BF1C0C"/>
    <w:rsid w:val="00BF2112"/>
    <w:rsid w:val="00BF46C8"/>
    <w:rsid w:val="00BF702A"/>
    <w:rsid w:val="00BF75D7"/>
    <w:rsid w:val="00C003B7"/>
    <w:rsid w:val="00C00D8C"/>
    <w:rsid w:val="00C00F8F"/>
    <w:rsid w:val="00C01AE0"/>
    <w:rsid w:val="00C049C1"/>
    <w:rsid w:val="00C04E62"/>
    <w:rsid w:val="00C051BE"/>
    <w:rsid w:val="00C07E0C"/>
    <w:rsid w:val="00C10483"/>
    <w:rsid w:val="00C12680"/>
    <w:rsid w:val="00C12892"/>
    <w:rsid w:val="00C13912"/>
    <w:rsid w:val="00C13C09"/>
    <w:rsid w:val="00C15176"/>
    <w:rsid w:val="00C22575"/>
    <w:rsid w:val="00C2300C"/>
    <w:rsid w:val="00C25972"/>
    <w:rsid w:val="00C30020"/>
    <w:rsid w:val="00C30386"/>
    <w:rsid w:val="00C32326"/>
    <w:rsid w:val="00C33FFD"/>
    <w:rsid w:val="00C35234"/>
    <w:rsid w:val="00C35576"/>
    <w:rsid w:val="00C366F3"/>
    <w:rsid w:val="00C3686B"/>
    <w:rsid w:val="00C37ACC"/>
    <w:rsid w:val="00C40B39"/>
    <w:rsid w:val="00C44878"/>
    <w:rsid w:val="00C4568A"/>
    <w:rsid w:val="00C46618"/>
    <w:rsid w:val="00C51A64"/>
    <w:rsid w:val="00C51CF0"/>
    <w:rsid w:val="00C53115"/>
    <w:rsid w:val="00C55849"/>
    <w:rsid w:val="00C57118"/>
    <w:rsid w:val="00C61848"/>
    <w:rsid w:val="00C61C05"/>
    <w:rsid w:val="00C6251F"/>
    <w:rsid w:val="00C626E8"/>
    <w:rsid w:val="00C6614A"/>
    <w:rsid w:val="00C71C4D"/>
    <w:rsid w:val="00C72359"/>
    <w:rsid w:val="00C751E5"/>
    <w:rsid w:val="00C75B58"/>
    <w:rsid w:val="00C7611D"/>
    <w:rsid w:val="00C76B27"/>
    <w:rsid w:val="00C7796F"/>
    <w:rsid w:val="00C85705"/>
    <w:rsid w:val="00C85CE1"/>
    <w:rsid w:val="00C90EA4"/>
    <w:rsid w:val="00C9135C"/>
    <w:rsid w:val="00C956C1"/>
    <w:rsid w:val="00C96C7E"/>
    <w:rsid w:val="00C96E20"/>
    <w:rsid w:val="00CA05BC"/>
    <w:rsid w:val="00CA0807"/>
    <w:rsid w:val="00CA0F4E"/>
    <w:rsid w:val="00CA170B"/>
    <w:rsid w:val="00CA2614"/>
    <w:rsid w:val="00CA27E6"/>
    <w:rsid w:val="00CA7256"/>
    <w:rsid w:val="00CA752A"/>
    <w:rsid w:val="00CB4F57"/>
    <w:rsid w:val="00CB51CA"/>
    <w:rsid w:val="00CB56F8"/>
    <w:rsid w:val="00CB5A36"/>
    <w:rsid w:val="00CB6216"/>
    <w:rsid w:val="00CB64A8"/>
    <w:rsid w:val="00CB7AD7"/>
    <w:rsid w:val="00CC2AE0"/>
    <w:rsid w:val="00CC2F2E"/>
    <w:rsid w:val="00CC44C3"/>
    <w:rsid w:val="00CC614F"/>
    <w:rsid w:val="00CD1320"/>
    <w:rsid w:val="00CD2570"/>
    <w:rsid w:val="00CD7C69"/>
    <w:rsid w:val="00CD7E80"/>
    <w:rsid w:val="00CD7F48"/>
    <w:rsid w:val="00CE13D3"/>
    <w:rsid w:val="00CE1480"/>
    <w:rsid w:val="00CE1EAF"/>
    <w:rsid w:val="00CE35E6"/>
    <w:rsid w:val="00CE3CA6"/>
    <w:rsid w:val="00CE5D61"/>
    <w:rsid w:val="00CE6E1B"/>
    <w:rsid w:val="00CF23CC"/>
    <w:rsid w:val="00CF2DF6"/>
    <w:rsid w:val="00CF55C5"/>
    <w:rsid w:val="00CF651A"/>
    <w:rsid w:val="00D00A93"/>
    <w:rsid w:val="00D024DC"/>
    <w:rsid w:val="00D02610"/>
    <w:rsid w:val="00D030D6"/>
    <w:rsid w:val="00D066E8"/>
    <w:rsid w:val="00D0711D"/>
    <w:rsid w:val="00D07565"/>
    <w:rsid w:val="00D11AFB"/>
    <w:rsid w:val="00D11E5F"/>
    <w:rsid w:val="00D1524D"/>
    <w:rsid w:val="00D168AE"/>
    <w:rsid w:val="00D16CC1"/>
    <w:rsid w:val="00D16D5B"/>
    <w:rsid w:val="00D175C7"/>
    <w:rsid w:val="00D17997"/>
    <w:rsid w:val="00D17E88"/>
    <w:rsid w:val="00D21BA0"/>
    <w:rsid w:val="00D2249C"/>
    <w:rsid w:val="00D24EEC"/>
    <w:rsid w:val="00D24F98"/>
    <w:rsid w:val="00D25B20"/>
    <w:rsid w:val="00D267E5"/>
    <w:rsid w:val="00D26D80"/>
    <w:rsid w:val="00D34728"/>
    <w:rsid w:val="00D34A6E"/>
    <w:rsid w:val="00D35E95"/>
    <w:rsid w:val="00D43080"/>
    <w:rsid w:val="00D43F23"/>
    <w:rsid w:val="00D44491"/>
    <w:rsid w:val="00D46C5E"/>
    <w:rsid w:val="00D47495"/>
    <w:rsid w:val="00D476B1"/>
    <w:rsid w:val="00D50DBB"/>
    <w:rsid w:val="00D53430"/>
    <w:rsid w:val="00D54111"/>
    <w:rsid w:val="00D5511A"/>
    <w:rsid w:val="00D55EEC"/>
    <w:rsid w:val="00D6199C"/>
    <w:rsid w:val="00D64491"/>
    <w:rsid w:val="00D65516"/>
    <w:rsid w:val="00D65563"/>
    <w:rsid w:val="00D667B6"/>
    <w:rsid w:val="00D7178D"/>
    <w:rsid w:val="00D7281E"/>
    <w:rsid w:val="00D73891"/>
    <w:rsid w:val="00D773C1"/>
    <w:rsid w:val="00D774B9"/>
    <w:rsid w:val="00D81AAA"/>
    <w:rsid w:val="00D823BE"/>
    <w:rsid w:val="00D8572B"/>
    <w:rsid w:val="00D86179"/>
    <w:rsid w:val="00D86D74"/>
    <w:rsid w:val="00D87757"/>
    <w:rsid w:val="00D8788A"/>
    <w:rsid w:val="00D901DC"/>
    <w:rsid w:val="00D90441"/>
    <w:rsid w:val="00D9230A"/>
    <w:rsid w:val="00D9377A"/>
    <w:rsid w:val="00D956B2"/>
    <w:rsid w:val="00D95785"/>
    <w:rsid w:val="00DA03EA"/>
    <w:rsid w:val="00DA2200"/>
    <w:rsid w:val="00DA32AE"/>
    <w:rsid w:val="00DB0CE9"/>
    <w:rsid w:val="00DB1502"/>
    <w:rsid w:val="00DB1DF0"/>
    <w:rsid w:val="00DB240A"/>
    <w:rsid w:val="00DB266E"/>
    <w:rsid w:val="00DB2C68"/>
    <w:rsid w:val="00DB36D8"/>
    <w:rsid w:val="00DB7504"/>
    <w:rsid w:val="00DC1279"/>
    <w:rsid w:val="00DC210B"/>
    <w:rsid w:val="00DC2B96"/>
    <w:rsid w:val="00DC38D0"/>
    <w:rsid w:val="00DC63DC"/>
    <w:rsid w:val="00DC683C"/>
    <w:rsid w:val="00DC72A9"/>
    <w:rsid w:val="00DD0106"/>
    <w:rsid w:val="00DD078D"/>
    <w:rsid w:val="00DD0D56"/>
    <w:rsid w:val="00DD412C"/>
    <w:rsid w:val="00DD4306"/>
    <w:rsid w:val="00DD491A"/>
    <w:rsid w:val="00DD6115"/>
    <w:rsid w:val="00DD6975"/>
    <w:rsid w:val="00DD6A23"/>
    <w:rsid w:val="00DE08D0"/>
    <w:rsid w:val="00DE1938"/>
    <w:rsid w:val="00DE1F92"/>
    <w:rsid w:val="00DE35C9"/>
    <w:rsid w:val="00DE434E"/>
    <w:rsid w:val="00DE4F14"/>
    <w:rsid w:val="00DE5F95"/>
    <w:rsid w:val="00DE6E71"/>
    <w:rsid w:val="00DF05E4"/>
    <w:rsid w:val="00DF1B9F"/>
    <w:rsid w:val="00DF4C81"/>
    <w:rsid w:val="00DF6D8A"/>
    <w:rsid w:val="00DF6F40"/>
    <w:rsid w:val="00E006B1"/>
    <w:rsid w:val="00E00DFB"/>
    <w:rsid w:val="00E02D4D"/>
    <w:rsid w:val="00E03884"/>
    <w:rsid w:val="00E04E0E"/>
    <w:rsid w:val="00E118F6"/>
    <w:rsid w:val="00E1656F"/>
    <w:rsid w:val="00E20A72"/>
    <w:rsid w:val="00E20A81"/>
    <w:rsid w:val="00E22230"/>
    <w:rsid w:val="00E24CB2"/>
    <w:rsid w:val="00E2584F"/>
    <w:rsid w:val="00E261BF"/>
    <w:rsid w:val="00E27FE9"/>
    <w:rsid w:val="00E31845"/>
    <w:rsid w:val="00E3450B"/>
    <w:rsid w:val="00E36868"/>
    <w:rsid w:val="00E37B20"/>
    <w:rsid w:val="00E44486"/>
    <w:rsid w:val="00E44942"/>
    <w:rsid w:val="00E46143"/>
    <w:rsid w:val="00E46387"/>
    <w:rsid w:val="00E46C24"/>
    <w:rsid w:val="00E477B3"/>
    <w:rsid w:val="00E4786C"/>
    <w:rsid w:val="00E51955"/>
    <w:rsid w:val="00E535E3"/>
    <w:rsid w:val="00E56083"/>
    <w:rsid w:val="00E5635A"/>
    <w:rsid w:val="00E5708B"/>
    <w:rsid w:val="00E57583"/>
    <w:rsid w:val="00E5795B"/>
    <w:rsid w:val="00E57F80"/>
    <w:rsid w:val="00E61DC8"/>
    <w:rsid w:val="00E6333A"/>
    <w:rsid w:val="00E6344C"/>
    <w:rsid w:val="00E636CA"/>
    <w:rsid w:val="00E64B9A"/>
    <w:rsid w:val="00E664FC"/>
    <w:rsid w:val="00E71955"/>
    <w:rsid w:val="00E7570F"/>
    <w:rsid w:val="00E763EE"/>
    <w:rsid w:val="00E765A3"/>
    <w:rsid w:val="00E77422"/>
    <w:rsid w:val="00E82CFF"/>
    <w:rsid w:val="00E85F23"/>
    <w:rsid w:val="00E86660"/>
    <w:rsid w:val="00E86966"/>
    <w:rsid w:val="00E86FC1"/>
    <w:rsid w:val="00E9254C"/>
    <w:rsid w:val="00E92CB3"/>
    <w:rsid w:val="00E93867"/>
    <w:rsid w:val="00E954A8"/>
    <w:rsid w:val="00E95DB4"/>
    <w:rsid w:val="00E95E8B"/>
    <w:rsid w:val="00E97872"/>
    <w:rsid w:val="00E97E4A"/>
    <w:rsid w:val="00EA0094"/>
    <w:rsid w:val="00EA0AF5"/>
    <w:rsid w:val="00EA20BF"/>
    <w:rsid w:val="00EA2C7E"/>
    <w:rsid w:val="00EA4CF0"/>
    <w:rsid w:val="00EA595B"/>
    <w:rsid w:val="00EA6848"/>
    <w:rsid w:val="00EB467C"/>
    <w:rsid w:val="00EB53C6"/>
    <w:rsid w:val="00EB5D7E"/>
    <w:rsid w:val="00EB664A"/>
    <w:rsid w:val="00EC0853"/>
    <w:rsid w:val="00EC304E"/>
    <w:rsid w:val="00EC35A9"/>
    <w:rsid w:val="00EC4C4C"/>
    <w:rsid w:val="00EC4E4B"/>
    <w:rsid w:val="00EC68F1"/>
    <w:rsid w:val="00ED04CA"/>
    <w:rsid w:val="00ED2FFA"/>
    <w:rsid w:val="00ED3052"/>
    <w:rsid w:val="00ED309F"/>
    <w:rsid w:val="00ED3557"/>
    <w:rsid w:val="00ED4AF1"/>
    <w:rsid w:val="00ED6612"/>
    <w:rsid w:val="00ED75D5"/>
    <w:rsid w:val="00ED797D"/>
    <w:rsid w:val="00EE4AAE"/>
    <w:rsid w:val="00EE528C"/>
    <w:rsid w:val="00EE570A"/>
    <w:rsid w:val="00EE6B95"/>
    <w:rsid w:val="00EE6E01"/>
    <w:rsid w:val="00EF05B1"/>
    <w:rsid w:val="00EF1988"/>
    <w:rsid w:val="00EF3DA5"/>
    <w:rsid w:val="00EF4DD7"/>
    <w:rsid w:val="00F01FA3"/>
    <w:rsid w:val="00F02A14"/>
    <w:rsid w:val="00F02E7F"/>
    <w:rsid w:val="00F0550F"/>
    <w:rsid w:val="00F05782"/>
    <w:rsid w:val="00F1077F"/>
    <w:rsid w:val="00F10FC8"/>
    <w:rsid w:val="00F10FED"/>
    <w:rsid w:val="00F14B1A"/>
    <w:rsid w:val="00F15253"/>
    <w:rsid w:val="00F15530"/>
    <w:rsid w:val="00F16F6C"/>
    <w:rsid w:val="00F219EB"/>
    <w:rsid w:val="00F21F89"/>
    <w:rsid w:val="00F23766"/>
    <w:rsid w:val="00F26B48"/>
    <w:rsid w:val="00F3276C"/>
    <w:rsid w:val="00F3338E"/>
    <w:rsid w:val="00F41A89"/>
    <w:rsid w:val="00F47AA6"/>
    <w:rsid w:val="00F47C5C"/>
    <w:rsid w:val="00F513CC"/>
    <w:rsid w:val="00F5186B"/>
    <w:rsid w:val="00F52636"/>
    <w:rsid w:val="00F555DA"/>
    <w:rsid w:val="00F564E7"/>
    <w:rsid w:val="00F570B3"/>
    <w:rsid w:val="00F605A9"/>
    <w:rsid w:val="00F61520"/>
    <w:rsid w:val="00F618BE"/>
    <w:rsid w:val="00F621FE"/>
    <w:rsid w:val="00F6274A"/>
    <w:rsid w:val="00F6280A"/>
    <w:rsid w:val="00F64D3A"/>
    <w:rsid w:val="00F66D79"/>
    <w:rsid w:val="00F66D8B"/>
    <w:rsid w:val="00F670A3"/>
    <w:rsid w:val="00F67BDB"/>
    <w:rsid w:val="00F72561"/>
    <w:rsid w:val="00F769E2"/>
    <w:rsid w:val="00F76D6E"/>
    <w:rsid w:val="00F77E56"/>
    <w:rsid w:val="00F8010C"/>
    <w:rsid w:val="00F82444"/>
    <w:rsid w:val="00F83002"/>
    <w:rsid w:val="00F83FDB"/>
    <w:rsid w:val="00F844CD"/>
    <w:rsid w:val="00F86B12"/>
    <w:rsid w:val="00F86C8A"/>
    <w:rsid w:val="00F92973"/>
    <w:rsid w:val="00F930E9"/>
    <w:rsid w:val="00F9500F"/>
    <w:rsid w:val="00F9635B"/>
    <w:rsid w:val="00F969D8"/>
    <w:rsid w:val="00F97EA5"/>
    <w:rsid w:val="00FA037F"/>
    <w:rsid w:val="00FA0581"/>
    <w:rsid w:val="00FA2890"/>
    <w:rsid w:val="00FA2A64"/>
    <w:rsid w:val="00FA3973"/>
    <w:rsid w:val="00FA40CD"/>
    <w:rsid w:val="00FB08E1"/>
    <w:rsid w:val="00FB1109"/>
    <w:rsid w:val="00FB1931"/>
    <w:rsid w:val="00FB4F52"/>
    <w:rsid w:val="00FB6811"/>
    <w:rsid w:val="00FB7132"/>
    <w:rsid w:val="00FC13B6"/>
    <w:rsid w:val="00FC49C1"/>
    <w:rsid w:val="00FC50D5"/>
    <w:rsid w:val="00FC76CB"/>
    <w:rsid w:val="00FD4D47"/>
    <w:rsid w:val="00FD59EA"/>
    <w:rsid w:val="00FE0450"/>
    <w:rsid w:val="00FE3579"/>
    <w:rsid w:val="00FE521E"/>
    <w:rsid w:val="00FE5EE6"/>
    <w:rsid w:val="00FE6794"/>
    <w:rsid w:val="00FE6E0D"/>
    <w:rsid w:val="00FF356F"/>
    <w:rsid w:val="00FF70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456043BD"/>
  <w15:docId w15:val="{B4CC495B-9195-40B7-87F0-73092431C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iPriority="99"/>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uiPriority="61"/>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ook Title" w:uiPriority="33" w:qFormat="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043320"/>
  </w:style>
  <w:style w:type="paragraph" w:styleId="Heading1">
    <w:name w:val="heading 1"/>
    <w:basedOn w:val="Normal"/>
    <w:next w:val="Normal"/>
    <w:link w:val="Heading1Char"/>
    <w:qFormat/>
    <w:rsid w:val="00E5795B"/>
    <w:pPr>
      <w:keepNext/>
      <w:keepLines/>
      <w:numPr>
        <w:numId w:val="2"/>
      </w:numPr>
      <w:spacing w:before="480" w:after="0"/>
      <w:jc w:val="center"/>
      <w:outlineLvl w:val="0"/>
    </w:pPr>
    <w:rPr>
      <w:rFonts w:ascii="Times New Roman" w:eastAsiaTheme="majorEastAsia" w:hAnsi="Times New Roman" w:cs="Times New Roman"/>
      <w:b/>
      <w:bCs/>
      <w:color w:val="000000" w:themeColor="text1"/>
      <w:sz w:val="28"/>
      <w:szCs w:val="28"/>
    </w:rPr>
  </w:style>
  <w:style w:type="paragraph" w:styleId="Heading2">
    <w:name w:val="heading 2"/>
    <w:basedOn w:val="Normal"/>
    <w:next w:val="Normal"/>
    <w:link w:val="Heading2Char"/>
    <w:qFormat/>
    <w:rsid w:val="00EA4CF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EA4CF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DD078D"/>
    <w:pPr>
      <w:keepNext/>
      <w:keepLines/>
      <w:numPr>
        <w:ilvl w:val="3"/>
        <w:numId w:val="5"/>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DD078D"/>
    <w:pPr>
      <w:keepNext/>
      <w:keepLines/>
      <w:numPr>
        <w:ilvl w:val="4"/>
        <w:numId w:val="5"/>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qFormat/>
    <w:rsid w:val="00DD078D"/>
    <w:pPr>
      <w:keepNext/>
      <w:keepLines/>
      <w:numPr>
        <w:ilvl w:val="5"/>
        <w:numId w:val="5"/>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qFormat/>
    <w:rsid w:val="00DD078D"/>
    <w:pPr>
      <w:keepNext/>
      <w:keepLines/>
      <w:numPr>
        <w:ilvl w:val="6"/>
        <w:numId w:val="5"/>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qFormat/>
    <w:rsid w:val="00DD078D"/>
    <w:pPr>
      <w:keepNext/>
      <w:keepLines/>
      <w:numPr>
        <w:ilvl w:val="7"/>
        <w:numId w:val="5"/>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qFormat/>
    <w:rsid w:val="00DD078D"/>
    <w:pPr>
      <w:keepNext/>
      <w:keepLines/>
      <w:numPr>
        <w:ilvl w:val="8"/>
        <w:numId w:val="5"/>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ongtext">
    <w:name w:val="long_text"/>
    <w:basedOn w:val="DefaultParagraphFont"/>
    <w:rsid w:val="004C0076"/>
  </w:style>
  <w:style w:type="paragraph" w:styleId="ListParagraph">
    <w:name w:val="List Paragraph"/>
    <w:basedOn w:val="Normal"/>
    <w:uiPriority w:val="34"/>
    <w:qFormat/>
    <w:rsid w:val="004C0076"/>
    <w:pPr>
      <w:ind w:left="720"/>
      <w:contextualSpacing/>
    </w:pPr>
  </w:style>
  <w:style w:type="character" w:styleId="Hyperlink">
    <w:name w:val="Hyperlink"/>
    <w:basedOn w:val="DefaultParagraphFont"/>
    <w:uiPriority w:val="99"/>
    <w:unhideWhenUsed/>
    <w:rsid w:val="007037DE"/>
    <w:rPr>
      <w:color w:val="0000FF" w:themeColor="hyperlink"/>
      <w:u w:val="single"/>
    </w:rPr>
  </w:style>
  <w:style w:type="paragraph" w:customStyle="1" w:styleId="Chapter">
    <w:name w:val="Chapter"/>
    <w:basedOn w:val="Normal"/>
    <w:next w:val="Normal"/>
    <w:link w:val="ChapterChar"/>
    <w:rsid w:val="00BA23C8"/>
    <w:pPr>
      <w:keepNext/>
      <w:tabs>
        <w:tab w:val="num" w:pos="648"/>
        <w:tab w:val="left" w:pos="1440"/>
      </w:tabs>
      <w:spacing w:before="240" w:after="240" w:line="240" w:lineRule="auto"/>
      <w:ind w:firstLine="288"/>
      <w:jc w:val="center"/>
    </w:pPr>
    <w:rPr>
      <w:rFonts w:ascii="Times New Roman" w:hAnsi="Times New Roman" w:cs="Times New Roman"/>
      <w:b/>
      <w:smallCaps/>
      <w:sz w:val="24"/>
    </w:rPr>
  </w:style>
  <w:style w:type="character" w:customStyle="1" w:styleId="ChapterChar">
    <w:name w:val="Chapter Char"/>
    <w:basedOn w:val="DefaultParagraphFont"/>
    <w:link w:val="Chapter"/>
    <w:rsid w:val="00BA23C8"/>
    <w:rPr>
      <w:rFonts w:ascii="Times New Roman" w:hAnsi="Times New Roman" w:cs="Times New Roman"/>
      <w:b/>
      <w:smallCaps/>
      <w:sz w:val="24"/>
    </w:rPr>
  </w:style>
  <w:style w:type="paragraph" w:customStyle="1" w:styleId="FirstHeading">
    <w:name w:val="FirstHeading"/>
    <w:basedOn w:val="Normal"/>
    <w:next w:val="Normal"/>
    <w:link w:val="FirstHeadingChar"/>
    <w:rsid w:val="00DD078D"/>
    <w:pPr>
      <w:keepNext/>
      <w:numPr>
        <w:numId w:val="5"/>
      </w:numPr>
      <w:tabs>
        <w:tab w:val="left" w:pos="0"/>
        <w:tab w:val="left" w:pos="86"/>
      </w:tabs>
      <w:spacing w:before="120" w:after="120" w:line="240" w:lineRule="auto"/>
      <w:ind w:left="720"/>
    </w:pPr>
    <w:rPr>
      <w:rFonts w:ascii="Times New Roman" w:hAnsi="Times New Roman" w:cs="Times New Roman"/>
      <w:b/>
      <w:sz w:val="24"/>
    </w:rPr>
  </w:style>
  <w:style w:type="character" w:customStyle="1" w:styleId="FirstHeadingChar">
    <w:name w:val="FirstHeading Char"/>
    <w:basedOn w:val="DefaultParagraphFont"/>
    <w:link w:val="FirstHeading"/>
    <w:rsid w:val="00DD078D"/>
    <w:rPr>
      <w:rFonts w:ascii="Times New Roman" w:hAnsi="Times New Roman" w:cs="Times New Roman"/>
      <w:b/>
      <w:sz w:val="24"/>
    </w:rPr>
  </w:style>
  <w:style w:type="paragraph" w:customStyle="1" w:styleId="SecHeading">
    <w:name w:val="SecHeading"/>
    <w:basedOn w:val="Normal"/>
    <w:next w:val="Paragraph"/>
    <w:link w:val="SecHeadingChar"/>
    <w:rsid w:val="00DD078D"/>
    <w:pPr>
      <w:keepNext/>
      <w:numPr>
        <w:ilvl w:val="1"/>
        <w:numId w:val="5"/>
      </w:numPr>
      <w:tabs>
        <w:tab w:val="clear" w:pos="3168"/>
        <w:tab w:val="num" w:pos="1296"/>
      </w:tabs>
      <w:spacing w:before="120" w:after="120" w:line="240" w:lineRule="auto"/>
      <w:ind w:left="1296"/>
    </w:pPr>
    <w:rPr>
      <w:rFonts w:ascii="Times New Roman" w:hAnsi="Times New Roman" w:cs="Times New Roman"/>
      <w:b/>
      <w:sz w:val="24"/>
    </w:rPr>
  </w:style>
  <w:style w:type="character" w:customStyle="1" w:styleId="SecHeadingChar">
    <w:name w:val="SecHeading Char"/>
    <w:basedOn w:val="DefaultParagraphFont"/>
    <w:link w:val="SecHeading"/>
    <w:rsid w:val="00DD078D"/>
    <w:rPr>
      <w:rFonts w:ascii="Times New Roman" w:hAnsi="Times New Roman" w:cs="Times New Roman"/>
      <w:b/>
      <w:sz w:val="24"/>
    </w:rPr>
  </w:style>
  <w:style w:type="paragraph" w:customStyle="1" w:styleId="SubHeading1">
    <w:name w:val="SubHeading1"/>
    <w:basedOn w:val="SecHeading"/>
    <w:link w:val="SubHeading1Char"/>
    <w:rsid w:val="00BA23C8"/>
    <w:pPr>
      <w:numPr>
        <w:ilvl w:val="2"/>
      </w:numPr>
      <w:tabs>
        <w:tab w:val="num" w:pos="1872"/>
      </w:tabs>
      <w:ind w:left="1872" w:hanging="576"/>
    </w:pPr>
  </w:style>
  <w:style w:type="character" w:customStyle="1" w:styleId="SubHeading1Char">
    <w:name w:val="SubHeading1 Char"/>
    <w:basedOn w:val="DefaultParagraphFont"/>
    <w:link w:val="SubHeading1"/>
    <w:rsid w:val="00BA23C8"/>
    <w:rPr>
      <w:rFonts w:ascii="Times New Roman" w:hAnsi="Times New Roman" w:cs="Times New Roman"/>
      <w:b/>
      <w:sz w:val="24"/>
    </w:rPr>
  </w:style>
  <w:style w:type="paragraph" w:customStyle="1" w:styleId="Subheading2">
    <w:name w:val="Subheading2"/>
    <w:basedOn w:val="SecHeading"/>
    <w:link w:val="Subheading2Char"/>
    <w:rsid w:val="00BA23C8"/>
    <w:pPr>
      <w:numPr>
        <w:ilvl w:val="0"/>
        <w:numId w:val="0"/>
      </w:numPr>
      <w:tabs>
        <w:tab w:val="num" w:pos="2376"/>
      </w:tabs>
      <w:ind w:left="2376" w:hanging="288"/>
    </w:pPr>
  </w:style>
  <w:style w:type="character" w:customStyle="1" w:styleId="Subheading2Char">
    <w:name w:val="Subheading2 Char"/>
    <w:basedOn w:val="DefaultParagraphFont"/>
    <w:link w:val="Subheading2"/>
    <w:rsid w:val="00BA23C8"/>
    <w:rPr>
      <w:rFonts w:ascii="Times New Roman" w:hAnsi="Times New Roman" w:cs="Times New Roman"/>
      <w:b/>
      <w:sz w:val="24"/>
    </w:rPr>
  </w:style>
  <w:style w:type="paragraph" w:customStyle="1" w:styleId="Paragraph">
    <w:name w:val="Paragraph"/>
    <w:aliases w:val="paragraph,p,PARAGRAPH,PG,pa,at"/>
    <w:basedOn w:val="BodyTextIndent"/>
    <w:link w:val="ParagraphChar"/>
    <w:qFormat/>
    <w:rsid w:val="00DD078D"/>
    <w:pPr>
      <w:tabs>
        <w:tab w:val="num" w:pos="720"/>
      </w:tabs>
      <w:spacing w:before="120"/>
      <w:ind w:left="720" w:hanging="720"/>
      <w:jc w:val="both"/>
      <w:outlineLvl w:val="1"/>
    </w:pPr>
  </w:style>
  <w:style w:type="character" w:customStyle="1" w:styleId="ParagraphChar">
    <w:name w:val="Paragraph Char"/>
    <w:basedOn w:val="DefaultParagraphFont"/>
    <w:link w:val="Paragraph"/>
    <w:rsid w:val="00BA23C8"/>
    <w:rPr>
      <w:rFonts w:ascii="Times New Roman" w:hAnsi="Times New Roman" w:cs="Times New Roman"/>
      <w:sz w:val="24"/>
    </w:rPr>
  </w:style>
  <w:style w:type="paragraph" w:customStyle="1" w:styleId="subpar">
    <w:name w:val="subpar"/>
    <w:basedOn w:val="BodyTextIndent3"/>
    <w:link w:val="subparChar"/>
    <w:rsid w:val="00DD078D"/>
    <w:pPr>
      <w:tabs>
        <w:tab w:val="num" w:pos="1152"/>
      </w:tabs>
      <w:spacing w:before="120"/>
      <w:ind w:left="1152" w:hanging="432"/>
      <w:jc w:val="both"/>
      <w:outlineLvl w:val="2"/>
    </w:pPr>
  </w:style>
  <w:style w:type="character" w:customStyle="1" w:styleId="subparChar">
    <w:name w:val="subpar Char"/>
    <w:basedOn w:val="DefaultParagraphFont"/>
    <w:link w:val="subpar"/>
    <w:rsid w:val="00BA23C8"/>
    <w:rPr>
      <w:rFonts w:ascii="Times New Roman" w:hAnsi="Times New Roman" w:cs="Times New Roman"/>
      <w:sz w:val="24"/>
      <w:szCs w:val="16"/>
    </w:rPr>
  </w:style>
  <w:style w:type="paragraph" w:customStyle="1" w:styleId="SubSubPar">
    <w:name w:val="SubSubPar"/>
    <w:basedOn w:val="subpar"/>
    <w:link w:val="SubSubParChar"/>
    <w:uiPriority w:val="99"/>
    <w:rsid w:val="00BA23C8"/>
    <w:pPr>
      <w:numPr>
        <w:ilvl w:val="3"/>
      </w:numPr>
      <w:tabs>
        <w:tab w:val="left" w:pos="0"/>
        <w:tab w:val="num" w:pos="1152"/>
        <w:tab w:val="num" w:pos="1296"/>
      </w:tabs>
      <w:ind w:left="1296" w:hanging="288"/>
    </w:pPr>
  </w:style>
  <w:style w:type="character" w:customStyle="1" w:styleId="SubSubParChar">
    <w:name w:val="SubSubPar Char"/>
    <w:basedOn w:val="DefaultParagraphFont"/>
    <w:link w:val="SubSubPar"/>
    <w:rsid w:val="00BA23C8"/>
    <w:rPr>
      <w:rFonts w:ascii="Times New Roman" w:hAnsi="Times New Roman" w:cs="Times New Roman"/>
      <w:sz w:val="24"/>
      <w:szCs w:val="16"/>
    </w:rPr>
  </w:style>
  <w:style w:type="paragraph" w:customStyle="1" w:styleId="Regtable">
    <w:name w:val="Regtable"/>
    <w:basedOn w:val="Normal"/>
    <w:link w:val="RegtableChar"/>
    <w:rsid w:val="00DD078D"/>
    <w:pPr>
      <w:keepLines/>
      <w:framePr w:wrap="around" w:vAnchor="text" w:hAnchor="text" w:y="1"/>
      <w:spacing w:before="20" w:after="20" w:line="240" w:lineRule="auto"/>
    </w:pPr>
    <w:rPr>
      <w:rFonts w:ascii="Times New Roman" w:hAnsi="Times New Roman" w:cs="Times New Roman"/>
      <w:sz w:val="20"/>
    </w:rPr>
  </w:style>
  <w:style w:type="character" w:customStyle="1" w:styleId="RegtableChar">
    <w:name w:val="Regtable Char"/>
    <w:basedOn w:val="DefaultParagraphFont"/>
    <w:link w:val="Regtable"/>
    <w:rsid w:val="00DD078D"/>
    <w:rPr>
      <w:rFonts w:ascii="Times New Roman" w:hAnsi="Times New Roman" w:cs="Times New Roman"/>
      <w:sz w:val="20"/>
    </w:rPr>
  </w:style>
  <w:style w:type="paragraph" w:customStyle="1" w:styleId="TableTitle">
    <w:name w:val="TableTitle"/>
    <w:basedOn w:val="Normal"/>
    <w:link w:val="TableTitleChar"/>
    <w:rsid w:val="00DD078D"/>
    <w:pPr>
      <w:keepNext/>
      <w:framePr w:wrap="around" w:vAnchor="text" w:hAnchor="text" w:y="1"/>
      <w:spacing w:before="20" w:after="20" w:line="240" w:lineRule="auto"/>
      <w:jc w:val="center"/>
    </w:pPr>
    <w:rPr>
      <w:rFonts w:ascii="Times New Roman Bold" w:hAnsi="Times New Roman Bold" w:cs="Times New Roman Bold"/>
      <w:b/>
      <w:spacing w:val="-3"/>
      <w:sz w:val="20"/>
    </w:rPr>
  </w:style>
  <w:style w:type="character" w:customStyle="1" w:styleId="TableTitleChar">
    <w:name w:val="TableTitle Char"/>
    <w:basedOn w:val="DefaultParagraphFont"/>
    <w:link w:val="TableTitle"/>
    <w:rsid w:val="00DD078D"/>
    <w:rPr>
      <w:rFonts w:ascii="Times New Roman Bold" w:hAnsi="Times New Roman Bold" w:cs="Times New Roman Bold"/>
      <w:b/>
      <w:spacing w:val="-3"/>
      <w:sz w:val="20"/>
    </w:rPr>
  </w:style>
  <w:style w:type="character" w:customStyle="1" w:styleId="Heading2Char">
    <w:name w:val="Heading 2 Char"/>
    <w:basedOn w:val="DefaultParagraphFont"/>
    <w:link w:val="Heading2"/>
    <w:rsid w:val="00EA4CF0"/>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rsid w:val="00EA4CF0"/>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rsid w:val="00DD078D"/>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DD078D"/>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DD078D"/>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DD078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DD078D"/>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DD078D"/>
    <w:rPr>
      <w:rFonts w:asciiTheme="majorHAnsi" w:eastAsiaTheme="majorEastAsia" w:hAnsiTheme="majorHAnsi" w:cstheme="majorBidi"/>
      <w:i/>
      <w:iCs/>
      <w:color w:val="404040" w:themeColor="text1" w:themeTint="BF"/>
      <w:sz w:val="20"/>
      <w:szCs w:val="20"/>
    </w:rPr>
  </w:style>
  <w:style w:type="paragraph" w:styleId="BodyTextIndent">
    <w:name w:val="Body Text Indent"/>
    <w:basedOn w:val="Normal"/>
    <w:link w:val="BodyTextIndentChar"/>
    <w:uiPriority w:val="99"/>
    <w:rsid w:val="00EA4CF0"/>
    <w:pPr>
      <w:spacing w:after="120" w:line="240" w:lineRule="auto"/>
      <w:ind w:left="360"/>
    </w:pPr>
    <w:rPr>
      <w:rFonts w:ascii="Times New Roman" w:hAnsi="Times New Roman" w:cs="Times New Roman"/>
      <w:sz w:val="24"/>
    </w:rPr>
  </w:style>
  <w:style w:type="character" w:customStyle="1" w:styleId="BodyTextIndentChar">
    <w:name w:val="Body Text Indent Char"/>
    <w:basedOn w:val="DefaultParagraphFont"/>
    <w:link w:val="BodyTextIndent"/>
    <w:uiPriority w:val="99"/>
    <w:rsid w:val="00EA4CF0"/>
    <w:rPr>
      <w:rFonts w:ascii="Times New Roman" w:hAnsi="Times New Roman" w:cs="Times New Roman"/>
      <w:sz w:val="24"/>
    </w:rPr>
  </w:style>
  <w:style w:type="paragraph" w:styleId="BodyTextIndent3">
    <w:name w:val="Body Text Indent 3"/>
    <w:basedOn w:val="Normal"/>
    <w:link w:val="BodyTextIndent3Char"/>
    <w:uiPriority w:val="99"/>
    <w:rsid w:val="00EA4CF0"/>
    <w:pPr>
      <w:spacing w:after="120" w:line="240" w:lineRule="auto"/>
      <w:ind w:left="360"/>
    </w:pPr>
    <w:rPr>
      <w:rFonts w:ascii="Times New Roman" w:hAnsi="Times New Roman" w:cs="Times New Roman"/>
      <w:sz w:val="24"/>
      <w:szCs w:val="16"/>
    </w:rPr>
  </w:style>
  <w:style w:type="character" w:customStyle="1" w:styleId="BodyTextIndent3Char">
    <w:name w:val="Body Text Indent 3 Char"/>
    <w:basedOn w:val="DefaultParagraphFont"/>
    <w:link w:val="BodyTextIndent3"/>
    <w:uiPriority w:val="99"/>
    <w:rsid w:val="00EA4CF0"/>
    <w:rPr>
      <w:rFonts w:ascii="Times New Roman" w:hAnsi="Times New Roman" w:cs="Times New Roman"/>
      <w:sz w:val="24"/>
      <w:szCs w:val="16"/>
    </w:rPr>
  </w:style>
  <w:style w:type="paragraph" w:styleId="FootnoteText">
    <w:name w:val="footnote text"/>
    <w:aliases w:val="fn,Texto nota pie IIRSA,single space,texto de nota al pie,Texto nota pie Car Car Car Car Car Car Car Car,Texto nota pie Car Car Car,Footnote Text Char Char Char Char Char Char,Texto nota pie Car Car Car Car Car,Texto nota pie Car1,Texto,F"/>
    <w:basedOn w:val="Normal"/>
    <w:link w:val="FootnoteTextChar"/>
    <w:uiPriority w:val="99"/>
    <w:rsid w:val="00EA4CF0"/>
    <w:pPr>
      <w:keepNext/>
      <w:keepLines/>
      <w:spacing w:after="120" w:line="240" w:lineRule="auto"/>
      <w:ind w:left="288" w:hanging="288"/>
      <w:jc w:val="both"/>
    </w:pPr>
    <w:rPr>
      <w:rFonts w:ascii="Times New Roman" w:hAnsi="Times New Roman" w:cs="Times New Roman"/>
      <w:spacing w:val="-3"/>
      <w:sz w:val="20"/>
      <w:szCs w:val="20"/>
    </w:rPr>
  </w:style>
  <w:style w:type="character" w:customStyle="1" w:styleId="FootnoteTextChar">
    <w:name w:val="Footnote Text Char"/>
    <w:aliases w:val="fn Char,Texto nota pie IIRSA Char,single space Char,texto de nota al pie Char,Texto nota pie Car Car Car Car Car Car Car Car Char,Texto nota pie Car Car Car Char,Footnote Text Char Char Char Char Char Char Char,Texto Char,F Char"/>
    <w:basedOn w:val="DefaultParagraphFont"/>
    <w:link w:val="FootnoteText"/>
    <w:uiPriority w:val="99"/>
    <w:rsid w:val="00EA4CF0"/>
    <w:rPr>
      <w:rFonts w:ascii="Times New Roman" w:hAnsi="Times New Roman" w:cs="Times New Roman"/>
      <w:spacing w:val="-3"/>
      <w:sz w:val="20"/>
      <w:szCs w:val="20"/>
    </w:rPr>
  </w:style>
  <w:style w:type="paragraph" w:styleId="TOC1">
    <w:name w:val="toc 1"/>
    <w:basedOn w:val="Normal"/>
    <w:next w:val="Normal"/>
    <w:autoRedefine/>
    <w:uiPriority w:val="39"/>
    <w:rsid w:val="006E0D6C"/>
    <w:pPr>
      <w:tabs>
        <w:tab w:val="right" w:leader="dot" w:pos="8741"/>
      </w:tabs>
      <w:spacing w:before="240" w:after="240" w:line="240" w:lineRule="auto"/>
      <w:ind w:left="547" w:hanging="547"/>
    </w:pPr>
    <w:rPr>
      <w:rFonts w:ascii="Times New Roman Bold" w:hAnsi="Times New Roman Bold" w:cs="Times New Roman"/>
      <w:smallCaps/>
      <w:noProof/>
      <w:sz w:val="24"/>
      <w:lang w:val="es-ES"/>
    </w:rPr>
  </w:style>
  <w:style w:type="paragraph" w:styleId="TOC2">
    <w:name w:val="toc 2"/>
    <w:basedOn w:val="Normal"/>
    <w:next w:val="Normal"/>
    <w:autoRedefine/>
    <w:uiPriority w:val="39"/>
    <w:rsid w:val="008C4F91"/>
    <w:pPr>
      <w:tabs>
        <w:tab w:val="left" w:pos="1152"/>
        <w:tab w:val="right" w:leader="dot" w:pos="8741"/>
      </w:tabs>
      <w:spacing w:after="0" w:line="240" w:lineRule="auto"/>
      <w:ind w:left="1166" w:hanging="605"/>
    </w:pPr>
    <w:rPr>
      <w:rFonts w:ascii="Times New Roman" w:hAnsi="Times New Roman" w:cs="Times New Roman"/>
      <w:sz w:val="24"/>
    </w:rPr>
  </w:style>
  <w:style w:type="paragraph" w:styleId="TOC3">
    <w:name w:val="toc 3"/>
    <w:basedOn w:val="Normal"/>
    <w:next w:val="Normal"/>
    <w:autoRedefine/>
    <w:uiPriority w:val="39"/>
    <w:rsid w:val="008C4F91"/>
    <w:pPr>
      <w:tabs>
        <w:tab w:val="left" w:pos="1728"/>
        <w:tab w:val="right" w:leader="dot" w:pos="8741"/>
      </w:tabs>
      <w:spacing w:after="0" w:line="240" w:lineRule="auto"/>
      <w:ind w:left="1714" w:hanging="562"/>
    </w:pPr>
    <w:rPr>
      <w:rFonts w:ascii="Times New Roman" w:hAnsi="Times New Roman" w:cs="Times New Roman"/>
      <w:sz w:val="24"/>
    </w:rPr>
  </w:style>
  <w:style w:type="paragraph" w:styleId="Header">
    <w:name w:val="header"/>
    <w:basedOn w:val="Normal"/>
    <w:link w:val="HeaderChar"/>
    <w:uiPriority w:val="99"/>
    <w:rsid w:val="000B2B08"/>
    <w:pPr>
      <w:tabs>
        <w:tab w:val="center" w:pos="4680"/>
        <w:tab w:val="right" w:pos="9360"/>
      </w:tabs>
      <w:spacing w:after="0" w:line="240" w:lineRule="auto"/>
    </w:pPr>
  </w:style>
  <w:style w:type="character" w:customStyle="1" w:styleId="HeaderChar">
    <w:name w:val="Header Char"/>
    <w:basedOn w:val="DefaultParagraphFont"/>
    <w:link w:val="Header"/>
    <w:uiPriority w:val="99"/>
    <w:rsid w:val="000B2B08"/>
  </w:style>
  <w:style w:type="paragraph" w:styleId="Footer">
    <w:name w:val="footer"/>
    <w:basedOn w:val="Normal"/>
    <w:link w:val="FooterChar"/>
    <w:uiPriority w:val="99"/>
    <w:rsid w:val="000B2B08"/>
    <w:pPr>
      <w:tabs>
        <w:tab w:val="center" w:pos="4680"/>
        <w:tab w:val="right" w:pos="9360"/>
      </w:tabs>
      <w:spacing w:after="0" w:line="240" w:lineRule="auto"/>
    </w:pPr>
  </w:style>
  <w:style w:type="character" w:customStyle="1" w:styleId="FooterChar">
    <w:name w:val="Footer Char"/>
    <w:basedOn w:val="DefaultParagraphFont"/>
    <w:link w:val="Footer"/>
    <w:uiPriority w:val="99"/>
    <w:rsid w:val="000B2B08"/>
  </w:style>
  <w:style w:type="paragraph" w:customStyle="1" w:styleId="Newpage">
    <w:name w:val="Newpage"/>
    <w:basedOn w:val="Chapter"/>
    <w:rsid w:val="003A44B1"/>
    <w:pPr>
      <w:tabs>
        <w:tab w:val="clear" w:pos="1440"/>
        <w:tab w:val="left" w:pos="3060"/>
      </w:tabs>
      <w:spacing w:after="0"/>
    </w:pPr>
    <w:rPr>
      <w:rFonts w:eastAsia="Times New Roman"/>
      <w:szCs w:val="20"/>
      <w:lang w:val="es-ES"/>
    </w:rPr>
  </w:style>
  <w:style w:type="character" w:styleId="FootnoteReference">
    <w:name w:val="footnote reference"/>
    <w:aliases w:val="titulo 2,FC,referencia nota al pie,Fußnotenzeichen DISS,ftref,16 Point,Superscript 6 Point,BVI fnr, BVI fnr,Знак сноски 1,Footnote Referencefra,Ref. de nota al pie.,Stinking Styles11,Texto de nota al pie,Footnote symbol,Footnote,fr"/>
    <w:basedOn w:val="DefaultParagraphFont"/>
    <w:uiPriority w:val="99"/>
    <w:qFormat/>
    <w:rsid w:val="00543A15"/>
    <w:rPr>
      <w:vertAlign w:val="superscript"/>
    </w:rPr>
  </w:style>
  <w:style w:type="paragraph" w:customStyle="1" w:styleId="Default">
    <w:name w:val="Default"/>
    <w:rsid w:val="00551D8D"/>
    <w:pPr>
      <w:autoSpaceDE w:val="0"/>
      <w:autoSpaceDN w:val="0"/>
      <w:adjustRightInd w:val="0"/>
      <w:spacing w:after="0" w:line="240" w:lineRule="auto"/>
    </w:pPr>
    <w:rPr>
      <w:rFonts w:ascii="Times New Roman" w:eastAsiaTheme="minorHAnsi" w:hAnsi="Times New Roman" w:cs="Times New Roman"/>
      <w:color w:val="000000"/>
      <w:sz w:val="24"/>
      <w:szCs w:val="24"/>
    </w:rPr>
  </w:style>
  <w:style w:type="paragraph" w:styleId="BalloonText">
    <w:name w:val="Balloon Text"/>
    <w:basedOn w:val="Normal"/>
    <w:link w:val="BalloonTextChar"/>
    <w:uiPriority w:val="99"/>
    <w:rsid w:val="00207E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207E1A"/>
    <w:rPr>
      <w:rFonts w:ascii="Tahoma" w:hAnsi="Tahoma" w:cs="Tahoma"/>
      <w:sz w:val="16"/>
      <w:szCs w:val="16"/>
    </w:rPr>
  </w:style>
  <w:style w:type="character" w:customStyle="1" w:styleId="copyshorturl2">
    <w:name w:val="copy_short_url2"/>
    <w:basedOn w:val="DefaultParagraphFont"/>
    <w:rsid w:val="00FA2890"/>
  </w:style>
  <w:style w:type="character" w:styleId="CommentReference">
    <w:name w:val="annotation reference"/>
    <w:basedOn w:val="DefaultParagraphFont"/>
    <w:uiPriority w:val="99"/>
    <w:rsid w:val="00581D80"/>
    <w:rPr>
      <w:sz w:val="18"/>
      <w:szCs w:val="18"/>
    </w:rPr>
  </w:style>
  <w:style w:type="paragraph" w:styleId="CommentText">
    <w:name w:val="annotation text"/>
    <w:basedOn w:val="Normal"/>
    <w:link w:val="CommentTextChar"/>
    <w:uiPriority w:val="99"/>
    <w:rsid w:val="00581D80"/>
    <w:pPr>
      <w:spacing w:line="240" w:lineRule="auto"/>
    </w:pPr>
    <w:rPr>
      <w:sz w:val="24"/>
      <w:szCs w:val="24"/>
    </w:rPr>
  </w:style>
  <w:style w:type="character" w:customStyle="1" w:styleId="CommentTextChar">
    <w:name w:val="Comment Text Char"/>
    <w:basedOn w:val="DefaultParagraphFont"/>
    <w:link w:val="CommentText"/>
    <w:uiPriority w:val="99"/>
    <w:rsid w:val="00581D80"/>
    <w:rPr>
      <w:sz w:val="24"/>
      <w:szCs w:val="24"/>
    </w:rPr>
  </w:style>
  <w:style w:type="paragraph" w:styleId="CommentSubject">
    <w:name w:val="annotation subject"/>
    <w:basedOn w:val="CommentText"/>
    <w:next w:val="CommentText"/>
    <w:link w:val="CommentSubjectChar"/>
    <w:uiPriority w:val="99"/>
    <w:rsid w:val="00581D80"/>
    <w:rPr>
      <w:b/>
      <w:bCs/>
      <w:sz w:val="20"/>
      <w:szCs w:val="20"/>
    </w:rPr>
  </w:style>
  <w:style w:type="character" w:customStyle="1" w:styleId="CommentSubjectChar">
    <w:name w:val="Comment Subject Char"/>
    <w:basedOn w:val="CommentTextChar"/>
    <w:link w:val="CommentSubject"/>
    <w:uiPriority w:val="99"/>
    <w:rsid w:val="00581D80"/>
    <w:rPr>
      <w:b/>
      <w:bCs/>
      <w:sz w:val="20"/>
      <w:szCs w:val="20"/>
    </w:rPr>
  </w:style>
  <w:style w:type="character" w:styleId="FollowedHyperlink">
    <w:name w:val="FollowedHyperlink"/>
    <w:basedOn w:val="DefaultParagraphFont"/>
    <w:uiPriority w:val="99"/>
    <w:rsid w:val="007E3196"/>
    <w:rPr>
      <w:color w:val="800080" w:themeColor="followedHyperlink"/>
      <w:u w:val="single"/>
    </w:rPr>
  </w:style>
  <w:style w:type="paragraph" w:customStyle="1" w:styleId="NoteLevel1">
    <w:name w:val="Note Level 1"/>
    <w:basedOn w:val="Normal"/>
    <w:uiPriority w:val="99"/>
    <w:unhideWhenUsed/>
    <w:rsid w:val="00DE434E"/>
    <w:pPr>
      <w:keepNext/>
      <w:numPr>
        <w:numId w:val="1"/>
      </w:numPr>
      <w:spacing w:after="0" w:line="240" w:lineRule="auto"/>
      <w:contextualSpacing/>
      <w:outlineLvl w:val="0"/>
    </w:pPr>
    <w:rPr>
      <w:rFonts w:ascii="Verdana" w:hAnsi="Verdana"/>
      <w:sz w:val="24"/>
      <w:szCs w:val="24"/>
    </w:rPr>
  </w:style>
  <w:style w:type="paragraph" w:customStyle="1" w:styleId="NoteLevel2">
    <w:name w:val="Note Level 2"/>
    <w:basedOn w:val="Normal"/>
    <w:uiPriority w:val="99"/>
    <w:unhideWhenUsed/>
    <w:rsid w:val="00DE434E"/>
    <w:pPr>
      <w:keepNext/>
      <w:numPr>
        <w:ilvl w:val="1"/>
        <w:numId w:val="1"/>
      </w:numPr>
      <w:spacing w:after="0" w:line="240" w:lineRule="auto"/>
      <w:contextualSpacing/>
      <w:outlineLvl w:val="1"/>
    </w:pPr>
    <w:rPr>
      <w:rFonts w:ascii="Verdana" w:hAnsi="Verdana"/>
      <w:sz w:val="24"/>
      <w:szCs w:val="24"/>
    </w:rPr>
  </w:style>
  <w:style w:type="paragraph" w:customStyle="1" w:styleId="NoteLevel3">
    <w:name w:val="Note Level 3"/>
    <w:basedOn w:val="Normal"/>
    <w:uiPriority w:val="99"/>
    <w:unhideWhenUsed/>
    <w:rsid w:val="00DE434E"/>
    <w:pPr>
      <w:keepNext/>
      <w:numPr>
        <w:ilvl w:val="2"/>
        <w:numId w:val="1"/>
      </w:numPr>
      <w:spacing w:after="0" w:line="240" w:lineRule="auto"/>
      <w:contextualSpacing/>
      <w:outlineLvl w:val="2"/>
    </w:pPr>
    <w:rPr>
      <w:rFonts w:ascii="Verdana" w:hAnsi="Verdana"/>
      <w:sz w:val="24"/>
      <w:szCs w:val="24"/>
    </w:rPr>
  </w:style>
  <w:style w:type="paragraph" w:customStyle="1" w:styleId="NoteLevel4">
    <w:name w:val="Note Level 4"/>
    <w:basedOn w:val="Normal"/>
    <w:uiPriority w:val="99"/>
    <w:unhideWhenUsed/>
    <w:rsid w:val="00DE434E"/>
    <w:pPr>
      <w:keepNext/>
      <w:numPr>
        <w:ilvl w:val="3"/>
        <w:numId w:val="1"/>
      </w:numPr>
      <w:spacing w:after="0" w:line="240" w:lineRule="auto"/>
      <w:contextualSpacing/>
      <w:outlineLvl w:val="3"/>
    </w:pPr>
    <w:rPr>
      <w:rFonts w:ascii="Verdana" w:hAnsi="Verdana"/>
      <w:sz w:val="24"/>
      <w:szCs w:val="24"/>
    </w:rPr>
  </w:style>
  <w:style w:type="paragraph" w:customStyle="1" w:styleId="NoteLevel5">
    <w:name w:val="Note Level 5"/>
    <w:basedOn w:val="Normal"/>
    <w:uiPriority w:val="99"/>
    <w:unhideWhenUsed/>
    <w:rsid w:val="00DE434E"/>
    <w:pPr>
      <w:keepNext/>
      <w:numPr>
        <w:ilvl w:val="4"/>
        <w:numId w:val="1"/>
      </w:numPr>
      <w:spacing w:after="0" w:line="240" w:lineRule="auto"/>
      <w:contextualSpacing/>
      <w:outlineLvl w:val="4"/>
    </w:pPr>
    <w:rPr>
      <w:rFonts w:ascii="Verdana" w:hAnsi="Verdana"/>
      <w:sz w:val="24"/>
      <w:szCs w:val="24"/>
    </w:rPr>
  </w:style>
  <w:style w:type="paragraph" w:customStyle="1" w:styleId="NoteLevel6">
    <w:name w:val="Note Level 6"/>
    <w:basedOn w:val="Normal"/>
    <w:uiPriority w:val="99"/>
    <w:unhideWhenUsed/>
    <w:rsid w:val="00DE434E"/>
    <w:pPr>
      <w:keepNext/>
      <w:numPr>
        <w:ilvl w:val="5"/>
        <w:numId w:val="1"/>
      </w:numPr>
      <w:spacing w:after="0" w:line="240" w:lineRule="auto"/>
      <w:contextualSpacing/>
      <w:outlineLvl w:val="5"/>
    </w:pPr>
    <w:rPr>
      <w:rFonts w:ascii="Verdana" w:hAnsi="Verdana"/>
      <w:sz w:val="24"/>
      <w:szCs w:val="24"/>
    </w:rPr>
  </w:style>
  <w:style w:type="paragraph" w:customStyle="1" w:styleId="NoteLevel7">
    <w:name w:val="Note Level 7"/>
    <w:basedOn w:val="Normal"/>
    <w:uiPriority w:val="99"/>
    <w:unhideWhenUsed/>
    <w:rsid w:val="00DE434E"/>
    <w:pPr>
      <w:keepNext/>
      <w:numPr>
        <w:ilvl w:val="6"/>
        <w:numId w:val="1"/>
      </w:numPr>
      <w:spacing w:after="0" w:line="240" w:lineRule="auto"/>
      <w:contextualSpacing/>
      <w:outlineLvl w:val="6"/>
    </w:pPr>
    <w:rPr>
      <w:rFonts w:ascii="Verdana" w:hAnsi="Verdana"/>
      <w:sz w:val="24"/>
      <w:szCs w:val="24"/>
    </w:rPr>
  </w:style>
  <w:style w:type="paragraph" w:customStyle="1" w:styleId="NoteLevel8">
    <w:name w:val="Note Level 8"/>
    <w:basedOn w:val="Normal"/>
    <w:uiPriority w:val="99"/>
    <w:unhideWhenUsed/>
    <w:rsid w:val="00DE434E"/>
    <w:pPr>
      <w:keepNext/>
      <w:numPr>
        <w:ilvl w:val="7"/>
        <w:numId w:val="1"/>
      </w:numPr>
      <w:spacing w:after="0" w:line="240" w:lineRule="auto"/>
      <w:contextualSpacing/>
      <w:outlineLvl w:val="7"/>
    </w:pPr>
    <w:rPr>
      <w:rFonts w:ascii="Verdana" w:hAnsi="Verdana"/>
      <w:sz w:val="24"/>
      <w:szCs w:val="24"/>
    </w:rPr>
  </w:style>
  <w:style w:type="paragraph" w:customStyle="1" w:styleId="NoteLevel9">
    <w:name w:val="Note Level 9"/>
    <w:basedOn w:val="Normal"/>
    <w:uiPriority w:val="99"/>
    <w:unhideWhenUsed/>
    <w:rsid w:val="00DE434E"/>
    <w:pPr>
      <w:keepNext/>
      <w:numPr>
        <w:ilvl w:val="8"/>
        <w:numId w:val="1"/>
      </w:numPr>
      <w:spacing w:after="0" w:line="240" w:lineRule="auto"/>
      <w:contextualSpacing/>
      <w:outlineLvl w:val="8"/>
    </w:pPr>
    <w:rPr>
      <w:rFonts w:ascii="Verdana" w:hAnsi="Verdana"/>
      <w:sz w:val="24"/>
      <w:szCs w:val="24"/>
    </w:rPr>
  </w:style>
  <w:style w:type="table" w:styleId="TableGrid">
    <w:name w:val="Table Grid"/>
    <w:basedOn w:val="TableNormal"/>
    <w:uiPriority w:val="59"/>
    <w:rsid w:val="003553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
    <w:name w:val="Light List"/>
    <w:basedOn w:val="TableNormal"/>
    <w:rsid w:val="007D504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NormalWeb">
    <w:name w:val="Normal (Web)"/>
    <w:basedOn w:val="Normal"/>
    <w:uiPriority w:val="99"/>
    <w:unhideWhenUsed/>
    <w:rsid w:val="00404911"/>
    <w:pPr>
      <w:spacing w:after="0" w:line="240" w:lineRule="auto"/>
    </w:pPr>
    <w:rPr>
      <w:rFonts w:ascii="Times New Roman" w:eastAsiaTheme="minorHAnsi" w:hAnsi="Times New Roman" w:cs="Times New Roman"/>
      <w:sz w:val="24"/>
      <w:szCs w:val="24"/>
    </w:rPr>
  </w:style>
  <w:style w:type="character" w:customStyle="1" w:styleId="Heading1Char">
    <w:name w:val="Heading 1 Char"/>
    <w:basedOn w:val="DefaultParagraphFont"/>
    <w:link w:val="Heading1"/>
    <w:rsid w:val="00E5795B"/>
    <w:rPr>
      <w:rFonts w:ascii="Times New Roman" w:eastAsiaTheme="majorEastAsia" w:hAnsi="Times New Roman" w:cs="Times New Roman"/>
      <w:b/>
      <w:bCs/>
      <w:color w:val="000000" w:themeColor="text1"/>
      <w:sz w:val="28"/>
      <w:szCs w:val="28"/>
    </w:rPr>
  </w:style>
  <w:style w:type="table" w:customStyle="1" w:styleId="LightShading-Accent11">
    <w:name w:val="Light Shading - Accent 11"/>
    <w:basedOn w:val="TableNormal"/>
    <w:uiPriority w:val="60"/>
    <w:rsid w:val="00E5795B"/>
    <w:pPr>
      <w:spacing w:after="0" w:line="240" w:lineRule="auto"/>
    </w:pPr>
    <w:rPr>
      <w:rFonts w:eastAsiaTheme="minorHAnsi"/>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5">
    <w:name w:val="Light List Accent 5"/>
    <w:basedOn w:val="TableNormal"/>
    <w:uiPriority w:val="61"/>
    <w:rsid w:val="00E5795B"/>
    <w:pPr>
      <w:spacing w:after="0" w:line="240" w:lineRule="auto"/>
    </w:pPr>
    <w:rPr>
      <w:rFonts w:eastAsiaTheme="minorHAnsi"/>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customStyle="1" w:styleId="BIDMARINA">
    <w:name w:val="BIDMARINA"/>
    <w:basedOn w:val="Paragraph"/>
    <w:link w:val="BIDMARINAChar"/>
    <w:qFormat/>
    <w:rsid w:val="00E5795B"/>
    <w:rPr>
      <w:szCs w:val="24"/>
      <w:lang w:val="es-ES_tradnl" w:eastAsia="es-ES"/>
    </w:rPr>
  </w:style>
  <w:style w:type="character" w:customStyle="1" w:styleId="BIDMARINAChar">
    <w:name w:val="BIDMARINA Char"/>
    <w:basedOn w:val="ParagraphChar"/>
    <w:link w:val="BIDMARINA"/>
    <w:rsid w:val="00E5795B"/>
    <w:rPr>
      <w:rFonts w:ascii="Times New Roman" w:hAnsi="Times New Roman" w:cs="Times New Roman"/>
      <w:sz w:val="24"/>
      <w:szCs w:val="24"/>
      <w:lang w:val="es-ES_tradnl" w:eastAsia="es-ES"/>
    </w:rPr>
  </w:style>
  <w:style w:type="table" w:customStyle="1" w:styleId="LightList-Accent11">
    <w:name w:val="Light List - Accent 11"/>
    <w:basedOn w:val="TableNormal"/>
    <w:uiPriority w:val="61"/>
    <w:rsid w:val="00E5795B"/>
    <w:pPr>
      <w:spacing w:after="0" w:line="240" w:lineRule="auto"/>
    </w:pPr>
    <w:rPr>
      <w:rFonts w:eastAsiaTheme="minorHAnsi"/>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TOC4">
    <w:name w:val="toc 4"/>
    <w:basedOn w:val="Normal"/>
    <w:next w:val="Normal"/>
    <w:autoRedefine/>
    <w:uiPriority w:val="39"/>
    <w:unhideWhenUsed/>
    <w:rsid w:val="00E5795B"/>
    <w:pPr>
      <w:spacing w:after="100"/>
      <w:ind w:left="660"/>
    </w:pPr>
  </w:style>
  <w:style w:type="paragraph" w:styleId="TOC5">
    <w:name w:val="toc 5"/>
    <w:basedOn w:val="Normal"/>
    <w:next w:val="Normal"/>
    <w:autoRedefine/>
    <w:uiPriority w:val="39"/>
    <w:unhideWhenUsed/>
    <w:rsid w:val="00E5795B"/>
    <w:pPr>
      <w:spacing w:after="100"/>
      <w:ind w:left="880"/>
    </w:pPr>
  </w:style>
  <w:style w:type="paragraph" w:styleId="TOC6">
    <w:name w:val="toc 6"/>
    <w:basedOn w:val="Normal"/>
    <w:next w:val="Normal"/>
    <w:autoRedefine/>
    <w:uiPriority w:val="39"/>
    <w:unhideWhenUsed/>
    <w:rsid w:val="00E5795B"/>
    <w:pPr>
      <w:spacing w:after="100"/>
      <w:ind w:left="1100"/>
    </w:pPr>
  </w:style>
  <w:style w:type="paragraph" w:styleId="TOC7">
    <w:name w:val="toc 7"/>
    <w:basedOn w:val="Normal"/>
    <w:next w:val="Normal"/>
    <w:autoRedefine/>
    <w:uiPriority w:val="39"/>
    <w:unhideWhenUsed/>
    <w:rsid w:val="00E5795B"/>
    <w:pPr>
      <w:spacing w:after="100"/>
      <w:ind w:left="1320"/>
    </w:pPr>
  </w:style>
  <w:style w:type="paragraph" w:styleId="TOC8">
    <w:name w:val="toc 8"/>
    <w:basedOn w:val="Normal"/>
    <w:next w:val="Normal"/>
    <w:autoRedefine/>
    <w:uiPriority w:val="39"/>
    <w:unhideWhenUsed/>
    <w:rsid w:val="00E5795B"/>
    <w:pPr>
      <w:spacing w:after="100"/>
      <w:ind w:left="1540"/>
    </w:pPr>
  </w:style>
  <w:style w:type="paragraph" w:styleId="TOC9">
    <w:name w:val="toc 9"/>
    <w:basedOn w:val="Normal"/>
    <w:next w:val="Normal"/>
    <w:autoRedefine/>
    <w:uiPriority w:val="39"/>
    <w:unhideWhenUsed/>
    <w:rsid w:val="00E5795B"/>
    <w:pPr>
      <w:spacing w:after="100"/>
      <w:ind w:left="1760"/>
    </w:pPr>
  </w:style>
  <w:style w:type="paragraph" w:styleId="Revision">
    <w:name w:val="Revision"/>
    <w:hidden/>
    <w:uiPriority w:val="99"/>
    <w:rsid w:val="00E5795B"/>
    <w:pPr>
      <w:spacing w:after="0" w:line="240" w:lineRule="auto"/>
    </w:pPr>
    <w:rPr>
      <w:lang w:val="es-ES" w:eastAsia="es-ES"/>
    </w:rPr>
  </w:style>
  <w:style w:type="paragraph" w:styleId="BodyText2">
    <w:name w:val="Body Text 2"/>
    <w:basedOn w:val="Normal"/>
    <w:link w:val="BodyText2Char"/>
    <w:uiPriority w:val="99"/>
    <w:unhideWhenUsed/>
    <w:rsid w:val="00E5795B"/>
    <w:pPr>
      <w:spacing w:after="120" w:line="480" w:lineRule="auto"/>
    </w:pPr>
    <w:rPr>
      <w:lang w:val="es-ES" w:eastAsia="es-ES"/>
    </w:rPr>
  </w:style>
  <w:style w:type="character" w:customStyle="1" w:styleId="BodyText2Char">
    <w:name w:val="Body Text 2 Char"/>
    <w:basedOn w:val="DefaultParagraphFont"/>
    <w:link w:val="BodyText2"/>
    <w:uiPriority w:val="99"/>
    <w:rsid w:val="00E5795B"/>
    <w:rPr>
      <w:lang w:val="es-ES" w:eastAsia="es-ES"/>
    </w:rPr>
  </w:style>
  <w:style w:type="paragraph" w:styleId="BodyText3">
    <w:name w:val="Body Text 3"/>
    <w:basedOn w:val="Normal"/>
    <w:link w:val="BodyText3Char"/>
    <w:rsid w:val="00E5795B"/>
    <w:pPr>
      <w:spacing w:after="120" w:line="240" w:lineRule="auto"/>
    </w:pPr>
    <w:rPr>
      <w:rFonts w:ascii="Times New Roman" w:eastAsia="Times New Roman" w:hAnsi="Times New Roman" w:cs="Times New Roman"/>
      <w:sz w:val="16"/>
      <w:szCs w:val="16"/>
      <w:lang w:val="es-ES" w:eastAsia="es-ES"/>
    </w:rPr>
  </w:style>
  <w:style w:type="character" w:customStyle="1" w:styleId="BodyText3Char">
    <w:name w:val="Body Text 3 Char"/>
    <w:basedOn w:val="DefaultParagraphFont"/>
    <w:link w:val="BodyText3"/>
    <w:rsid w:val="00E5795B"/>
    <w:rPr>
      <w:rFonts w:ascii="Times New Roman" w:eastAsia="Times New Roman" w:hAnsi="Times New Roman" w:cs="Times New Roman"/>
      <w:sz w:val="16"/>
      <w:szCs w:val="16"/>
      <w:lang w:val="es-ES" w:eastAsia="es-ES"/>
    </w:rPr>
  </w:style>
  <w:style w:type="table" w:customStyle="1" w:styleId="TableGrid1">
    <w:name w:val="Table Grid1"/>
    <w:basedOn w:val="TableNormal"/>
    <w:next w:val="TableGrid"/>
    <w:uiPriority w:val="59"/>
    <w:rsid w:val="00E5795B"/>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unhideWhenUsed/>
    <w:rsid w:val="00E5795B"/>
    <w:pPr>
      <w:spacing w:after="120"/>
    </w:pPr>
    <w:rPr>
      <w:lang w:val="es-ES" w:eastAsia="es-ES"/>
    </w:rPr>
  </w:style>
  <w:style w:type="character" w:customStyle="1" w:styleId="BodyTextChar">
    <w:name w:val="Body Text Char"/>
    <w:basedOn w:val="DefaultParagraphFont"/>
    <w:link w:val="BodyText"/>
    <w:uiPriority w:val="99"/>
    <w:rsid w:val="00E5795B"/>
    <w:rPr>
      <w:lang w:val="es-ES" w:eastAsia="es-ES"/>
    </w:rPr>
  </w:style>
  <w:style w:type="table" w:styleId="LightShading">
    <w:name w:val="Light Shading"/>
    <w:basedOn w:val="TableNormal"/>
    <w:rsid w:val="00652E2B"/>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BookTitle">
    <w:name w:val="Book Title"/>
    <w:basedOn w:val="DefaultParagraphFont"/>
    <w:uiPriority w:val="33"/>
    <w:qFormat/>
    <w:rsid w:val="00265D69"/>
    <w:rPr>
      <w:b/>
      <w:bCs/>
      <w:smallCaps/>
      <w:spacing w:val="5"/>
    </w:rPr>
  </w:style>
  <w:style w:type="character" w:styleId="PageNumber">
    <w:name w:val="page number"/>
    <w:basedOn w:val="DefaultParagraphFont"/>
    <w:rsid w:val="00B625B0"/>
  </w:style>
  <w:style w:type="character" w:styleId="Emphasis">
    <w:name w:val="Emphasis"/>
    <w:uiPriority w:val="20"/>
    <w:qFormat/>
    <w:rsid w:val="00B625B0"/>
    <w:rPr>
      <w:i/>
      <w:iCs/>
    </w:rPr>
  </w:style>
  <w:style w:type="paragraph" w:customStyle="1" w:styleId="Niveldenota11">
    <w:name w:val="Nivel de nota 11"/>
    <w:basedOn w:val="Normal"/>
    <w:uiPriority w:val="99"/>
    <w:unhideWhenUsed/>
    <w:rsid w:val="00B625B0"/>
    <w:pPr>
      <w:keepNext/>
      <w:tabs>
        <w:tab w:val="num" w:pos="0"/>
      </w:tabs>
      <w:spacing w:after="0" w:line="240" w:lineRule="auto"/>
      <w:contextualSpacing/>
      <w:outlineLvl w:val="0"/>
    </w:pPr>
    <w:rPr>
      <w:rFonts w:ascii="Verdana" w:hAnsi="Verdana"/>
      <w:sz w:val="24"/>
      <w:szCs w:val="24"/>
    </w:rPr>
  </w:style>
  <w:style w:type="paragraph" w:customStyle="1" w:styleId="Niveldenota21">
    <w:name w:val="Nivel de nota 21"/>
    <w:basedOn w:val="Normal"/>
    <w:uiPriority w:val="99"/>
    <w:unhideWhenUsed/>
    <w:rsid w:val="00B625B0"/>
    <w:pPr>
      <w:keepNext/>
      <w:tabs>
        <w:tab w:val="num" w:pos="720"/>
      </w:tabs>
      <w:spacing w:after="0" w:line="240" w:lineRule="auto"/>
      <w:ind w:left="1080" w:hanging="360"/>
      <w:contextualSpacing/>
      <w:outlineLvl w:val="1"/>
    </w:pPr>
    <w:rPr>
      <w:rFonts w:ascii="Verdana" w:hAnsi="Verdana"/>
      <w:sz w:val="24"/>
      <w:szCs w:val="24"/>
    </w:rPr>
  </w:style>
  <w:style w:type="paragraph" w:customStyle="1" w:styleId="Niveldenota31">
    <w:name w:val="Nivel de nota 31"/>
    <w:basedOn w:val="Normal"/>
    <w:uiPriority w:val="99"/>
    <w:unhideWhenUsed/>
    <w:rsid w:val="00B625B0"/>
    <w:pPr>
      <w:keepNext/>
      <w:tabs>
        <w:tab w:val="num" w:pos="1440"/>
      </w:tabs>
      <w:spacing w:after="0" w:line="240" w:lineRule="auto"/>
      <w:ind w:left="1800" w:hanging="360"/>
      <w:contextualSpacing/>
      <w:outlineLvl w:val="2"/>
    </w:pPr>
    <w:rPr>
      <w:rFonts w:ascii="Verdana" w:hAnsi="Verdana"/>
      <w:sz w:val="24"/>
      <w:szCs w:val="24"/>
    </w:rPr>
  </w:style>
  <w:style w:type="paragraph" w:customStyle="1" w:styleId="Niveldenota41">
    <w:name w:val="Nivel de nota 41"/>
    <w:basedOn w:val="Normal"/>
    <w:uiPriority w:val="99"/>
    <w:unhideWhenUsed/>
    <w:rsid w:val="00B625B0"/>
    <w:pPr>
      <w:keepNext/>
      <w:tabs>
        <w:tab w:val="num" w:pos="2160"/>
      </w:tabs>
      <w:spacing w:after="0" w:line="240" w:lineRule="auto"/>
      <w:ind w:left="2520" w:hanging="360"/>
      <w:contextualSpacing/>
      <w:outlineLvl w:val="3"/>
    </w:pPr>
    <w:rPr>
      <w:rFonts w:ascii="Verdana" w:hAnsi="Verdana"/>
      <w:sz w:val="24"/>
      <w:szCs w:val="24"/>
    </w:rPr>
  </w:style>
  <w:style w:type="paragraph" w:customStyle="1" w:styleId="Niveldenota51">
    <w:name w:val="Nivel de nota 51"/>
    <w:basedOn w:val="Normal"/>
    <w:uiPriority w:val="99"/>
    <w:unhideWhenUsed/>
    <w:rsid w:val="00B625B0"/>
    <w:pPr>
      <w:keepNext/>
      <w:tabs>
        <w:tab w:val="num" w:pos="2880"/>
      </w:tabs>
      <w:spacing w:after="0" w:line="240" w:lineRule="auto"/>
      <w:ind w:left="3240" w:hanging="360"/>
      <w:contextualSpacing/>
      <w:outlineLvl w:val="4"/>
    </w:pPr>
    <w:rPr>
      <w:rFonts w:ascii="Verdana" w:hAnsi="Verdana"/>
      <w:sz w:val="24"/>
      <w:szCs w:val="24"/>
    </w:rPr>
  </w:style>
  <w:style w:type="paragraph" w:customStyle="1" w:styleId="Niveldenota61">
    <w:name w:val="Nivel de nota 61"/>
    <w:basedOn w:val="Normal"/>
    <w:uiPriority w:val="99"/>
    <w:unhideWhenUsed/>
    <w:rsid w:val="00B625B0"/>
    <w:pPr>
      <w:keepNext/>
      <w:tabs>
        <w:tab w:val="num" w:pos="3600"/>
      </w:tabs>
      <w:spacing w:after="0" w:line="240" w:lineRule="auto"/>
      <w:ind w:left="3960" w:hanging="360"/>
      <w:contextualSpacing/>
      <w:outlineLvl w:val="5"/>
    </w:pPr>
    <w:rPr>
      <w:rFonts w:ascii="Verdana" w:hAnsi="Verdana"/>
      <w:sz w:val="24"/>
      <w:szCs w:val="24"/>
    </w:rPr>
  </w:style>
  <w:style w:type="paragraph" w:customStyle="1" w:styleId="Niveldenota71">
    <w:name w:val="Nivel de nota 71"/>
    <w:basedOn w:val="Normal"/>
    <w:uiPriority w:val="99"/>
    <w:unhideWhenUsed/>
    <w:rsid w:val="00B625B0"/>
    <w:pPr>
      <w:keepNext/>
      <w:tabs>
        <w:tab w:val="num" w:pos="4320"/>
      </w:tabs>
      <w:spacing w:after="0" w:line="240" w:lineRule="auto"/>
      <w:ind w:left="4680" w:hanging="360"/>
      <w:contextualSpacing/>
      <w:outlineLvl w:val="6"/>
    </w:pPr>
    <w:rPr>
      <w:rFonts w:ascii="Verdana" w:hAnsi="Verdana"/>
      <w:sz w:val="24"/>
      <w:szCs w:val="24"/>
    </w:rPr>
  </w:style>
  <w:style w:type="paragraph" w:customStyle="1" w:styleId="Niveldenota81">
    <w:name w:val="Nivel de nota 81"/>
    <w:basedOn w:val="Normal"/>
    <w:uiPriority w:val="99"/>
    <w:unhideWhenUsed/>
    <w:rsid w:val="00B625B0"/>
    <w:pPr>
      <w:keepNext/>
      <w:tabs>
        <w:tab w:val="num" w:pos="5040"/>
      </w:tabs>
      <w:spacing w:after="0" w:line="240" w:lineRule="auto"/>
      <w:ind w:left="5400" w:hanging="360"/>
      <w:contextualSpacing/>
      <w:outlineLvl w:val="7"/>
    </w:pPr>
    <w:rPr>
      <w:rFonts w:ascii="Verdana" w:hAnsi="Verdana"/>
      <w:sz w:val="24"/>
      <w:szCs w:val="24"/>
    </w:rPr>
  </w:style>
  <w:style w:type="paragraph" w:customStyle="1" w:styleId="Niveldenota91">
    <w:name w:val="Nivel de nota 91"/>
    <w:basedOn w:val="Normal"/>
    <w:uiPriority w:val="99"/>
    <w:unhideWhenUsed/>
    <w:rsid w:val="00B625B0"/>
    <w:pPr>
      <w:keepNext/>
      <w:tabs>
        <w:tab w:val="num" w:pos="5760"/>
      </w:tabs>
      <w:spacing w:after="0" w:line="240" w:lineRule="auto"/>
      <w:ind w:left="6120" w:hanging="360"/>
      <w:contextualSpacing/>
      <w:outlineLvl w:val="8"/>
    </w:pPr>
    <w:rPr>
      <w:rFonts w:ascii="Verdana" w:hAnsi="Verdana"/>
      <w:sz w:val="24"/>
      <w:szCs w:val="24"/>
    </w:rPr>
  </w:style>
  <w:style w:type="character" w:styleId="PlaceholderText">
    <w:name w:val="Placeholder Text"/>
    <w:basedOn w:val="DefaultParagraphFont"/>
    <w:rsid w:val="00B625B0"/>
    <w:rPr>
      <w:color w:val="808080"/>
    </w:rPr>
  </w:style>
  <w:style w:type="character" w:customStyle="1" w:styleId="apple-converted-space">
    <w:name w:val="apple-converted-space"/>
    <w:basedOn w:val="DefaultParagraphFont"/>
    <w:rsid w:val="00B625B0"/>
  </w:style>
  <w:style w:type="paragraph" w:customStyle="1" w:styleId="xl69">
    <w:name w:val="xl69"/>
    <w:basedOn w:val="Normal"/>
    <w:rsid w:val="00B625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cs="Times New Roman"/>
      <w:b/>
      <w:bCs/>
      <w:sz w:val="20"/>
      <w:szCs w:val="20"/>
      <w:lang w:val="es-MX" w:eastAsia="es-ES"/>
    </w:rPr>
  </w:style>
  <w:style w:type="paragraph" w:customStyle="1" w:styleId="xl70">
    <w:name w:val="xl70"/>
    <w:basedOn w:val="Normal"/>
    <w:rsid w:val="00B625B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s="Times New Roman"/>
      <w:b/>
      <w:bCs/>
      <w:sz w:val="20"/>
      <w:szCs w:val="20"/>
      <w:lang w:val="es-MX" w:eastAsia="es-ES"/>
    </w:rPr>
  </w:style>
  <w:style w:type="paragraph" w:customStyle="1" w:styleId="xl71">
    <w:name w:val="xl71"/>
    <w:basedOn w:val="Normal"/>
    <w:rsid w:val="00B625B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s="Times New Roman"/>
      <w:sz w:val="20"/>
      <w:szCs w:val="20"/>
      <w:lang w:val="es-MX" w:eastAsia="es-ES"/>
    </w:rPr>
  </w:style>
  <w:style w:type="paragraph" w:customStyle="1" w:styleId="xl72">
    <w:name w:val="xl72"/>
    <w:basedOn w:val="Normal"/>
    <w:rsid w:val="00B625B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s="Times New Roman"/>
      <w:sz w:val="20"/>
      <w:szCs w:val="20"/>
      <w:lang w:val="es-MX" w:eastAsia="es-ES"/>
    </w:rPr>
  </w:style>
  <w:style w:type="paragraph" w:customStyle="1" w:styleId="xl73">
    <w:name w:val="xl73"/>
    <w:basedOn w:val="Normal"/>
    <w:rsid w:val="00B625B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s="Times New Roman"/>
      <w:sz w:val="20"/>
      <w:szCs w:val="20"/>
      <w:lang w:val="es-MX" w:eastAsia="es-ES"/>
    </w:rPr>
  </w:style>
  <w:style w:type="paragraph" w:customStyle="1" w:styleId="xl74">
    <w:name w:val="xl74"/>
    <w:basedOn w:val="Normal"/>
    <w:rsid w:val="00B625B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s="Times New Roman"/>
      <w:b/>
      <w:bCs/>
      <w:sz w:val="20"/>
      <w:szCs w:val="20"/>
      <w:lang w:val="es-MX" w:eastAsia="es-ES"/>
    </w:rPr>
  </w:style>
  <w:style w:type="paragraph" w:customStyle="1" w:styleId="xl75">
    <w:name w:val="xl75"/>
    <w:basedOn w:val="Normal"/>
    <w:rsid w:val="00B625B0"/>
    <w:pPr>
      <w:spacing w:before="100" w:beforeAutospacing="1" w:after="100" w:afterAutospacing="1" w:line="240" w:lineRule="auto"/>
    </w:pPr>
    <w:rPr>
      <w:rFonts w:ascii="Times New Roman" w:hAnsi="Times New Roman" w:cs="Times New Roman"/>
      <w:sz w:val="20"/>
      <w:szCs w:val="20"/>
      <w:lang w:val="es-MX" w:eastAsia="es-ES"/>
    </w:rPr>
  </w:style>
  <w:style w:type="paragraph" w:customStyle="1" w:styleId="xl76">
    <w:name w:val="xl76"/>
    <w:basedOn w:val="Normal"/>
    <w:rsid w:val="00B625B0"/>
    <w:pPr>
      <w:spacing w:before="100" w:beforeAutospacing="1" w:after="100" w:afterAutospacing="1" w:line="240" w:lineRule="auto"/>
    </w:pPr>
    <w:rPr>
      <w:rFonts w:ascii="Calibri" w:hAnsi="Calibri"/>
      <w:sz w:val="20"/>
      <w:szCs w:val="20"/>
      <w:lang w:val="es-MX" w:eastAsia="es-ES"/>
    </w:rPr>
  </w:style>
  <w:style w:type="paragraph" w:customStyle="1" w:styleId="xl77">
    <w:name w:val="xl77"/>
    <w:basedOn w:val="Normal"/>
    <w:rsid w:val="00B625B0"/>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hAnsi="Times New Roman" w:cs="Times New Roman"/>
      <w:b/>
      <w:bCs/>
      <w:sz w:val="20"/>
      <w:szCs w:val="20"/>
      <w:lang w:val="es-MX" w:eastAsia="es-ES"/>
    </w:rPr>
  </w:style>
  <w:style w:type="paragraph" w:customStyle="1" w:styleId="xl78">
    <w:name w:val="xl78"/>
    <w:basedOn w:val="Normal"/>
    <w:rsid w:val="00B625B0"/>
    <w:pPr>
      <w:pBdr>
        <w:top w:val="single" w:sz="4" w:space="0" w:color="auto"/>
        <w:bottom w:val="single" w:sz="4" w:space="0" w:color="auto"/>
      </w:pBdr>
      <w:spacing w:before="100" w:beforeAutospacing="1" w:after="100" w:afterAutospacing="1" w:line="240" w:lineRule="auto"/>
      <w:jc w:val="center"/>
    </w:pPr>
    <w:rPr>
      <w:rFonts w:ascii="Times New Roman" w:hAnsi="Times New Roman" w:cs="Times New Roman"/>
      <w:b/>
      <w:bCs/>
      <w:sz w:val="20"/>
      <w:szCs w:val="20"/>
      <w:lang w:val="es-MX" w:eastAsia="es-ES"/>
    </w:rPr>
  </w:style>
  <w:style w:type="paragraph" w:customStyle="1" w:styleId="xl79">
    <w:name w:val="xl79"/>
    <w:basedOn w:val="Normal"/>
    <w:rsid w:val="00B625B0"/>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cs="Times New Roman"/>
      <w:b/>
      <w:bCs/>
      <w:sz w:val="20"/>
      <w:szCs w:val="20"/>
      <w:lang w:val="es-MX" w:eastAsia="es-ES"/>
    </w:rPr>
  </w:style>
  <w:style w:type="paragraph" w:styleId="HTMLPreformatted">
    <w:name w:val="HTML Preformatted"/>
    <w:basedOn w:val="Normal"/>
    <w:link w:val="HTMLPreformattedChar"/>
    <w:rsid w:val="00071970"/>
    <w:pPr>
      <w:spacing w:after="0" w:line="240" w:lineRule="auto"/>
    </w:pPr>
    <w:rPr>
      <w:rFonts w:ascii="Consolas" w:hAnsi="Consolas" w:cs="Consolas"/>
      <w:sz w:val="20"/>
      <w:szCs w:val="20"/>
    </w:rPr>
  </w:style>
  <w:style w:type="character" w:customStyle="1" w:styleId="HTMLPreformattedChar">
    <w:name w:val="HTML Preformatted Char"/>
    <w:basedOn w:val="DefaultParagraphFont"/>
    <w:link w:val="HTMLPreformatted"/>
    <w:rsid w:val="00071970"/>
    <w:rPr>
      <w:rFonts w:ascii="Consolas" w:hAnsi="Consolas" w:cs="Consolas"/>
      <w:sz w:val="20"/>
      <w:szCs w:val="20"/>
    </w:rPr>
  </w:style>
  <w:style w:type="table" w:styleId="LightShading-Accent1">
    <w:name w:val="Light Shading Accent 1"/>
    <w:basedOn w:val="TableNormal"/>
    <w:rsid w:val="00C37ACC"/>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Caption">
    <w:name w:val="caption"/>
    <w:basedOn w:val="Normal"/>
    <w:next w:val="Normal"/>
    <w:uiPriority w:val="35"/>
    <w:unhideWhenUsed/>
    <w:qFormat/>
    <w:rsid w:val="004B5334"/>
    <w:pPr>
      <w:spacing w:line="240" w:lineRule="auto"/>
    </w:pPr>
    <w:rPr>
      <w:rFonts w:eastAsiaTheme="minorHAnsi"/>
      <w:b/>
      <w:bCs/>
      <w:color w:val="4F81BD" w:themeColor="accent1"/>
      <w:sz w:val="18"/>
      <w:szCs w:val="18"/>
    </w:rPr>
  </w:style>
  <w:style w:type="character" w:customStyle="1" w:styleId="UnresolvedMention1">
    <w:name w:val="Unresolved Mention1"/>
    <w:basedOn w:val="DefaultParagraphFont"/>
    <w:uiPriority w:val="99"/>
    <w:semiHidden/>
    <w:unhideWhenUsed/>
    <w:rsid w:val="0051506E"/>
    <w:rPr>
      <w:color w:val="808080"/>
      <w:shd w:val="clear" w:color="auto" w:fill="E6E6E6"/>
    </w:rPr>
  </w:style>
  <w:style w:type="character" w:customStyle="1" w:styleId="UnresolvedMention2">
    <w:name w:val="Unresolved Mention2"/>
    <w:basedOn w:val="DefaultParagraphFont"/>
    <w:uiPriority w:val="99"/>
    <w:semiHidden/>
    <w:unhideWhenUsed/>
    <w:rsid w:val="002310DF"/>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68589">
      <w:bodyDiv w:val="1"/>
      <w:marLeft w:val="0"/>
      <w:marRight w:val="0"/>
      <w:marTop w:val="0"/>
      <w:marBottom w:val="0"/>
      <w:divBdr>
        <w:top w:val="none" w:sz="0" w:space="0" w:color="auto"/>
        <w:left w:val="none" w:sz="0" w:space="0" w:color="auto"/>
        <w:bottom w:val="none" w:sz="0" w:space="0" w:color="auto"/>
        <w:right w:val="none" w:sz="0" w:space="0" w:color="auto"/>
      </w:divBdr>
    </w:div>
    <w:div w:id="17856493">
      <w:bodyDiv w:val="1"/>
      <w:marLeft w:val="0"/>
      <w:marRight w:val="0"/>
      <w:marTop w:val="0"/>
      <w:marBottom w:val="0"/>
      <w:divBdr>
        <w:top w:val="none" w:sz="0" w:space="0" w:color="auto"/>
        <w:left w:val="none" w:sz="0" w:space="0" w:color="auto"/>
        <w:bottom w:val="none" w:sz="0" w:space="0" w:color="auto"/>
        <w:right w:val="none" w:sz="0" w:space="0" w:color="auto"/>
      </w:divBdr>
    </w:div>
    <w:div w:id="29452438">
      <w:bodyDiv w:val="1"/>
      <w:marLeft w:val="0"/>
      <w:marRight w:val="0"/>
      <w:marTop w:val="0"/>
      <w:marBottom w:val="0"/>
      <w:divBdr>
        <w:top w:val="none" w:sz="0" w:space="0" w:color="auto"/>
        <w:left w:val="none" w:sz="0" w:space="0" w:color="auto"/>
        <w:bottom w:val="none" w:sz="0" w:space="0" w:color="auto"/>
        <w:right w:val="none" w:sz="0" w:space="0" w:color="auto"/>
      </w:divBdr>
    </w:div>
    <w:div w:id="223223777">
      <w:bodyDiv w:val="1"/>
      <w:marLeft w:val="0"/>
      <w:marRight w:val="0"/>
      <w:marTop w:val="0"/>
      <w:marBottom w:val="0"/>
      <w:divBdr>
        <w:top w:val="none" w:sz="0" w:space="0" w:color="auto"/>
        <w:left w:val="none" w:sz="0" w:space="0" w:color="auto"/>
        <w:bottom w:val="none" w:sz="0" w:space="0" w:color="auto"/>
        <w:right w:val="none" w:sz="0" w:space="0" w:color="auto"/>
      </w:divBdr>
    </w:div>
    <w:div w:id="255209594">
      <w:bodyDiv w:val="1"/>
      <w:marLeft w:val="0"/>
      <w:marRight w:val="0"/>
      <w:marTop w:val="0"/>
      <w:marBottom w:val="0"/>
      <w:divBdr>
        <w:top w:val="none" w:sz="0" w:space="0" w:color="auto"/>
        <w:left w:val="none" w:sz="0" w:space="0" w:color="auto"/>
        <w:bottom w:val="none" w:sz="0" w:space="0" w:color="auto"/>
        <w:right w:val="none" w:sz="0" w:space="0" w:color="auto"/>
      </w:divBdr>
    </w:div>
    <w:div w:id="363096837">
      <w:bodyDiv w:val="1"/>
      <w:marLeft w:val="0"/>
      <w:marRight w:val="0"/>
      <w:marTop w:val="0"/>
      <w:marBottom w:val="0"/>
      <w:divBdr>
        <w:top w:val="none" w:sz="0" w:space="0" w:color="auto"/>
        <w:left w:val="none" w:sz="0" w:space="0" w:color="auto"/>
        <w:bottom w:val="none" w:sz="0" w:space="0" w:color="auto"/>
        <w:right w:val="none" w:sz="0" w:space="0" w:color="auto"/>
      </w:divBdr>
    </w:div>
    <w:div w:id="367683693">
      <w:bodyDiv w:val="1"/>
      <w:marLeft w:val="0"/>
      <w:marRight w:val="0"/>
      <w:marTop w:val="0"/>
      <w:marBottom w:val="0"/>
      <w:divBdr>
        <w:top w:val="none" w:sz="0" w:space="0" w:color="auto"/>
        <w:left w:val="none" w:sz="0" w:space="0" w:color="auto"/>
        <w:bottom w:val="none" w:sz="0" w:space="0" w:color="auto"/>
        <w:right w:val="none" w:sz="0" w:space="0" w:color="auto"/>
      </w:divBdr>
    </w:div>
    <w:div w:id="383650256">
      <w:bodyDiv w:val="1"/>
      <w:marLeft w:val="0"/>
      <w:marRight w:val="0"/>
      <w:marTop w:val="0"/>
      <w:marBottom w:val="0"/>
      <w:divBdr>
        <w:top w:val="none" w:sz="0" w:space="0" w:color="auto"/>
        <w:left w:val="none" w:sz="0" w:space="0" w:color="auto"/>
        <w:bottom w:val="none" w:sz="0" w:space="0" w:color="auto"/>
        <w:right w:val="none" w:sz="0" w:space="0" w:color="auto"/>
      </w:divBdr>
    </w:div>
    <w:div w:id="444345123">
      <w:bodyDiv w:val="1"/>
      <w:marLeft w:val="0"/>
      <w:marRight w:val="0"/>
      <w:marTop w:val="0"/>
      <w:marBottom w:val="0"/>
      <w:divBdr>
        <w:top w:val="none" w:sz="0" w:space="0" w:color="auto"/>
        <w:left w:val="none" w:sz="0" w:space="0" w:color="auto"/>
        <w:bottom w:val="none" w:sz="0" w:space="0" w:color="auto"/>
        <w:right w:val="none" w:sz="0" w:space="0" w:color="auto"/>
      </w:divBdr>
    </w:div>
    <w:div w:id="457836860">
      <w:bodyDiv w:val="1"/>
      <w:marLeft w:val="0"/>
      <w:marRight w:val="0"/>
      <w:marTop w:val="0"/>
      <w:marBottom w:val="0"/>
      <w:divBdr>
        <w:top w:val="none" w:sz="0" w:space="0" w:color="auto"/>
        <w:left w:val="none" w:sz="0" w:space="0" w:color="auto"/>
        <w:bottom w:val="none" w:sz="0" w:space="0" w:color="auto"/>
        <w:right w:val="none" w:sz="0" w:space="0" w:color="auto"/>
      </w:divBdr>
    </w:div>
    <w:div w:id="502008905">
      <w:bodyDiv w:val="1"/>
      <w:marLeft w:val="0"/>
      <w:marRight w:val="0"/>
      <w:marTop w:val="0"/>
      <w:marBottom w:val="0"/>
      <w:divBdr>
        <w:top w:val="none" w:sz="0" w:space="0" w:color="auto"/>
        <w:left w:val="none" w:sz="0" w:space="0" w:color="auto"/>
        <w:bottom w:val="none" w:sz="0" w:space="0" w:color="auto"/>
        <w:right w:val="none" w:sz="0" w:space="0" w:color="auto"/>
      </w:divBdr>
    </w:div>
    <w:div w:id="515079676">
      <w:bodyDiv w:val="1"/>
      <w:marLeft w:val="0"/>
      <w:marRight w:val="0"/>
      <w:marTop w:val="0"/>
      <w:marBottom w:val="0"/>
      <w:divBdr>
        <w:top w:val="none" w:sz="0" w:space="0" w:color="auto"/>
        <w:left w:val="none" w:sz="0" w:space="0" w:color="auto"/>
        <w:bottom w:val="none" w:sz="0" w:space="0" w:color="auto"/>
        <w:right w:val="none" w:sz="0" w:space="0" w:color="auto"/>
      </w:divBdr>
    </w:div>
    <w:div w:id="529343739">
      <w:bodyDiv w:val="1"/>
      <w:marLeft w:val="0"/>
      <w:marRight w:val="0"/>
      <w:marTop w:val="0"/>
      <w:marBottom w:val="0"/>
      <w:divBdr>
        <w:top w:val="none" w:sz="0" w:space="0" w:color="auto"/>
        <w:left w:val="none" w:sz="0" w:space="0" w:color="auto"/>
        <w:bottom w:val="none" w:sz="0" w:space="0" w:color="auto"/>
        <w:right w:val="none" w:sz="0" w:space="0" w:color="auto"/>
      </w:divBdr>
    </w:div>
    <w:div w:id="550000544">
      <w:bodyDiv w:val="1"/>
      <w:marLeft w:val="0"/>
      <w:marRight w:val="0"/>
      <w:marTop w:val="0"/>
      <w:marBottom w:val="0"/>
      <w:divBdr>
        <w:top w:val="none" w:sz="0" w:space="0" w:color="auto"/>
        <w:left w:val="none" w:sz="0" w:space="0" w:color="auto"/>
        <w:bottom w:val="none" w:sz="0" w:space="0" w:color="auto"/>
        <w:right w:val="none" w:sz="0" w:space="0" w:color="auto"/>
      </w:divBdr>
    </w:div>
    <w:div w:id="556285890">
      <w:bodyDiv w:val="1"/>
      <w:marLeft w:val="0"/>
      <w:marRight w:val="0"/>
      <w:marTop w:val="0"/>
      <w:marBottom w:val="0"/>
      <w:divBdr>
        <w:top w:val="none" w:sz="0" w:space="0" w:color="auto"/>
        <w:left w:val="none" w:sz="0" w:space="0" w:color="auto"/>
        <w:bottom w:val="none" w:sz="0" w:space="0" w:color="auto"/>
        <w:right w:val="none" w:sz="0" w:space="0" w:color="auto"/>
      </w:divBdr>
    </w:div>
    <w:div w:id="571309155">
      <w:bodyDiv w:val="1"/>
      <w:marLeft w:val="0"/>
      <w:marRight w:val="0"/>
      <w:marTop w:val="0"/>
      <w:marBottom w:val="0"/>
      <w:divBdr>
        <w:top w:val="none" w:sz="0" w:space="0" w:color="auto"/>
        <w:left w:val="none" w:sz="0" w:space="0" w:color="auto"/>
        <w:bottom w:val="none" w:sz="0" w:space="0" w:color="auto"/>
        <w:right w:val="none" w:sz="0" w:space="0" w:color="auto"/>
      </w:divBdr>
    </w:div>
    <w:div w:id="628899141">
      <w:bodyDiv w:val="1"/>
      <w:marLeft w:val="0"/>
      <w:marRight w:val="0"/>
      <w:marTop w:val="0"/>
      <w:marBottom w:val="0"/>
      <w:divBdr>
        <w:top w:val="none" w:sz="0" w:space="0" w:color="auto"/>
        <w:left w:val="none" w:sz="0" w:space="0" w:color="auto"/>
        <w:bottom w:val="none" w:sz="0" w:space="0" w:color="auto"/>
        <w:right w:val="none" w:sz="0" w:space="0" w:color="auto"/>
      </w:divBdr>
    </w:div>
    <w:div w:id="695548686">
      <w:bodyDiv w:val="1"/>
      <w:marLeft w:val="0"/>
      <w:marRight w:val="0"/>
      <w:marTop w:val="0"/>
      <w:marBottom w:val="0"/>
      <w:divBdr>
        <w:top w:val="none" w:sz="0" w:space="0" w:color="auto"/>
        <w:left w:val="none" w:sz="0" w:space="0" w:color="auto"/>
        <w:bottom w:val="none" w:sz="0" w:space="0" w:color="auto"/>
        <w:right w:val="none" w:sz="0" w:space="0" w:color="auto"/>
      </w:divBdr>
    </w:div>
    <w:div w:id="698550904">
      <w:bodyDiv w:val="1"/>
      <w:marLeft w:val="0"/>
      <w:marRight w:val="0"/>
      <w:marTop w:val="0"/>
      <w:marBottom w:val="0"/>
      <w:divBdr>
        <w:top w:val="none" w:sz="0" w:space="0" w:color="auto"/>
        <w:left w:val="none" w:sz="0" w:space="0" w:color="auto"/>
        <w:bottom w:val="none" w:sz="0" w:space="0" w:color="auto"/>
        <w:right w:val="none" w:sz="0" w:space="0" w:color="auto"/>
      </w:divBdr>
    </w:div>
    <w:div w:id="711224115">
      <w:bodyDiv w:val="1"/>
      <w:marLeft w:val="0"/>
      <w:marRight w:val="0"/>
      <w:marTop w:val="0"/>
      <w:marBottom w:val="0"/>
      <w:divBdr>
        <w:top w:val="none" w:sz="0" w:space="0" w:color="auto"/>
        <w:left w:val="none" w:sz="0" w:space="0" w:color="auto"/>
        <w:bottom w:val="none" w:sz="0" w:space="0" w:color="auto"/>
        <w:right w:val="none" w:sz="0" w:space="0" w:color="auto"/>
      </w:divBdr>
    </w:div>
    <w:div w:id="762186957">
      <w:bodyDiv w:val="1"/>
      <w:marLeft w:val="0"/>
      <w:marRight w:val="0"/>
      <w:marTop w:val="0"/>
      <w:marBottom w:val="0"/>
      <w:divBdr>
        <w:top w:val="none" w:sz="0" w:space="0" w:color="auto"/>
        <w:left w:val="none" w:sz="0" w:space="0" w:color="auto"/>
        <w:bottom w:val="none" w:sz="0" w:space="0" w:color="auto"/>
        <w:right w:val="none" w:sz="0" w:space="0" w:color="auto"/>
      </w:divBdr>
    </w:div>
    <w:div w:id="767703022">
      <w:bodyDiv w:val="1"/>
      <w:marLeft w:val="0"/>
      <w:marRight w:val="0"/>
      <w:marTop w:val="0"/>
      <w:marBottom w:val="0"/>
      <w:divBdr>
        <w:top w:val="none" w:sz="0" w:space="0" w:color="auto"/>
        <w:left w:val="none" w:sz="0" w:space="0" w:color="auto"/>
        <w:bottom w:val="none" w:sz="0" w:space="0" w:color="auto"/>
        <w:right w:val="none" w:sz="0" w:space="0" w:color="auto"/>
      </w:divBdr>
    </w:div>
    <w:div w:id="771701224">
      <w:bodyDiv w:val="1"/>
      <w:marLeft w:val="0"/>
      <w:marRight w:val="0"/>
      <w:marTop w:val="0"/>
      <w:marBottom w:val="0"/>
      <w:divBdr>
        <w:top w:val="none" w:sz="0" w:space="0" w:color="auto"/>
        <w:left w:val="none" w:sz="0" w:space="0" w:color="auto"/>
        <w:bottom w:val="none" w:sz="0" w:space="0" w:color="auto"/>
        <w:right w:val="none" w:sz="0" w:space="0" w:color="auto"/>
      </w:divBdr>
    </w:div>
    <w:div w:id="877351350">
      <w:bodyDiv w:val="1"/>
      <w:marLeft w:val="0"/>
      <w:marRight w:val="0"/>
      <w:marTop w:val="0"/>
      <w:marBottom w:val="0"/>
      <w:divBdr>
        <w:top w:val="none" w:sz="0" w:space="0" w:color="auto"/>
        <w:left w:val="none" w:sz="0" w:space="0" w:color="auto"/>
        <w:bottom w:val="none" w:sz="0" w:space="0" w:color="auto"/>
        <w:right w:val="none" w:sz="0" w:space="0" w:color="auto"/>
      </w:divBdr>
    </w:div>
    <w:div w:id="903103906">
      <w:bodyDiv w:val="1"/>
      <w:marLeft w:val="0"/>
      <w:marRight w:val="0"/>
      <w:marTop w:val="0"/>
      <w:marBottom w:val="0"/>
      <w:divBdr>
        <w:top w:val="none" w:sz="0" w:space="0" w:color="auto"/>
        <w:left w:val="none" w:sz="0" w:space="0" w:color="auto"/>
        <w:bottom w:val="none" w:sz="0" w:space="0" w:color="auto"/>
        <w:right w:val="none" w:sz="0" w:space="0" w:color="auto"/>
      </w:divBdr>
    </w:div>
    <w:div w:id="911280818">
      <w:bodyDiv w:val="1"/>
      <w:marLeft w:val="0"/>
      <w:marRight w:val="0"/>
      <w:marTop w:val="0"/>
      <w:marBottom w:val="0"/>
      <w:divBdr>
        <w:top w:val="none" w:sz="0" w:space="0" w:color="auto"/>
        <w:left w:val="none" w:sz="0" w:space="0" w:color="auto"/>
        <w:bottom w:val="none" w:sz="0" w:space="0" w:color="auto"/>
        <w:right w:val="none" w:sz="0" w:space="0" w:color="auto"/>
      </w:divBdr>
    </w:div>
    <w:div w:id="976422232">
      <w:bodyDiv w:val="1"/>
      <w:marLeft w:val="0"/>
      <w:marRight w:val="0"/>
      <w:marTop w:val="0"/>
      <w:marBottom w:val="0"/>
      <w:divBdr>
        <w:top w:val="none" w:sz="0" w:space="0" w:color="auto"/>
        <w:left w:val="none" w:sz="0" w:space="0" w:color="auto"/>
        <w:bottom w:val="none" w:sz="0" w:space="0" w:color="auto"/>
        <w:right w:val="none" w:sz="0" w:space="0" w:color="auto"/>
      </w:divBdr>
    </w:div>
    <w:div w:id="998997522">
      <w:bodyDiv w:val="1"/>
      <w:marLeft w:val="0"/>
      <w:marRight w:val="0"/>
      <w:marTop w:val="0"/>
      <w:marBottom w:val="0"/>
      <w:divBdr>
        <w:top w:val="none" w:sz="0" w:space="0" w:color="auto"/>
        <w:left w:val="none" w:sz="0" w:space="0" w:color="auto"/>
        <w:bottom w:val="none" w:sz="0" w:space="0" w:color="auto"/>
        <w:right w:val="none" w:sz="0" w:space="0" w:color="auto"/>
      </w:divBdr>
    </w:div>
    <w:div w:id="1031032269">
      <w:bodyDiv w:val="1"/>
      <w:marLeft w:val="0"/>
      <w:marRight w:val="0"/>
      <w:marTop w:val="0"/>
      <w:marBottom w:val="0"/>
      <w:divBdr>
        <w:top w:val="none" w:sz="0" w:space="0" w:color="auto"/>
        <w:left w:val="none" w:sz="0" w:space="0" w:color="auto"/>
        <w:bottom w:val="none" w:sz="0" w:space="0" w:color="auto"/>
        <w:right w:val="none" w:sz="0" w:space="0" w:color="auto"/>
      </w:divBdr>
    </w:div>
    <w:div w:id="1034425448">
      <w:bodyDiv w:val="1"/>
      <w:marLeft w:val="0"/>
      <w:marRight w:val="0"/>
      <w:marTop w:val="0"/>
      <w:marBottom w:val="0"/>
      <w:divBdr>
        <w:top w:val="none" w:sz="0" w:space="0" w:color="auto"/>
        <w:left w:val="none" w:sz="0" w:space="0" w:color="auto"/>
        <w:bottom w:val="none" w:sz="0" w:space="0" w:color="auto"/>
        <w:right w:val="none" w:sz="0" w:space="0" w:color="auto"/>
      </w:divBdr>
    </w:div>
    <w:div w:id="1035349822">
      <w:bodyDiv w:val="1"/>
      <w:marLeft w:val="0"/>
      <w:marRight w:val="0"/>
      <w:marTop w:val="0"/>
      <w:marBottom w:val="0"/>
      <w:divBdr>
        <w:top w:val="none" w:sz="0" w:space="0" w:color="auto"/>
        <w:left w:val="none" w:sz="0" w:space="0" w:color="auto"/>
        <w:bottom w:val="none" w:sz="0" w:space="0" w:color="auto"/>
        <w:right w:val="none" w:sz="0" w:space="0" w:color="auto"/>
      </w:divBdr>
    </w:div>
    <w:div w:id="1075934460">
      <w:bodyDiv w:val="1"/>
      <w:marLeft w:val="0"/>
      <w:marRight w:val="0"/>
      <w:marTop w:val="0"/>
      <w:marBottom w:val="0"/>
      <w:divBdr>
        <w:top w:val="none" w:sz="0" w:space="0" w:color="auto"/>
        <w:left w:val="none" w:sz="0" w:space="0" w:color="auto"/>
        <w:bottom w:val="none" w:sz="0" w:space="0" w:color="auto"/>
        <w:right w:val="none" w:sz="0" w:space="0" w:color="auto"/>
      </w:divBdr>
      <w:divsChild>
        <w:div w:id="935988173">
          <w:marLeft w:val="0"/>
          <w:marRight w:val="0"/>
          <w:marTop w:val="0"/>
          <w:marBottom w:val="0"/>
          <w:divBdr>
            <w:top w:val="none" w:sz="0" w:space="0" w:color="auto"/>
            <w:left w:val="none" w:sz="0" w:space="0" w:color="auto"/>
            <w:bottom w:val="none" w:sz="0" w:space="0" w:color="auto"/>
            <w:right w:val="none" w:sz="0" w:space="0" w:color="auto"/>
          </w:divBdr>
          <w:divsChild>
            <w:div w:id="1223254538">
              <w:marLeft w:val="0"/>
              <w:marRight w:val="0"/>
              <w:marTop w:val="0"/>
              <w:marBottom w:val="0"/>
              <w:divBdr>
                <w:top w:val="none" w:sz="0" w:space="0" w:color="auto"/>
                <w:left w:val="none" w:sz="0" w:space="0" w:color="auto"/>
                <w:bottom w:val="none" w:sz="0" w:space="0" w:color="auto"/>
                <w:right w:val="none" w:sz="0" w:space="0" w:color="auto"/>
              </w:divBdr>
              <w:divsChild>
                <w:div w:id="1942834550">
                  <w:marLeft w:val="0"/>
                  <w:marRight w:val="0"/>
                  <w:marTop w:val="0"/>
                  <w:marBottom w:val="0"/>
                  <w:divBdr>
                    <w:top w:val="none" w:sz="0" w:space="0" w:color="auto"/>
                    <w:left w:val="none" w:sz="0" w:space="0" w:color="auto"/>
                    <w:bottom w:val="none" w:sz="0" w:space="0" w:color="auto"/>
                    <w:right w:val="none" w:sz="0" w:space="0" w:color="auto"/>
                  </w:divBdr>
                  <w:divsChild>
                    <w:div w:id="1659964570">
                      <w:marLeft w:val="0"/>
                      <w:marRight w:val="0"/>
                      <w:marTop w:val="0"/>
                      <w:marBottom w:val="0"/>
                      <w:divBdr>
                        <w:top w:val="none" w:sz="0" w:space="0" w:color="auto"/>
                        <w:left w:val="none" w:sz="0" w:space="0" w:color="auto"/>
                        <w:bottom w:val="none" w:sz="0" w:space="0" w:color="auto"/>
                        <w:right w:val="none" w:sz="0" w:space="0" w:color="auto"/>
                      </w:divBdr>
                      <w:divsChild>
                        <w:div w:id="565604346">
                          <w:marLeft w:val="0"/>
                          <w:marRight w:val="0"/>
                          <w:marTop w:val="0"/>
                          <w:marBottom w:val="0"/>
                          <w:divBdr>
                            <w:top w:val="none" w:sz="0" w:space="0" w:color="auto"/>
                            <w:left w:val="none" w:sz="0" w:space="0" w:color="auto"/>
                            <w:bottom w:val="none" w:sz="0" w:space="0" w:color="auto"/>
                            <w:right w:val="none" w:sz="0" w:space="0" w:color="auto"/>
                          </w:divBdr>
                          <w:divsChild>
                            <w:div w:id="1116482243">
                              <w:marLeft w:val="0"/>
                              <w:marRight w:val="0"/>
                              <w:marTop w:val="0"/>
                              <w:marBottom w:val="0"/>
                              <w:divBdr>
                                <w:top w:val="none" w:sz="0" w:space="0" w:color="auto"/>
                                <w:left w:val="none" w:sz="0" w:space="0" w:color="auto"/>
                                <w:bottom w:val="none" w:sz="0" w:space="0" w:color="auto"/>
                                <w:right w:val="none" w:sz="0" w:space="0" w:color="auto"/>
                              </w:divBdr>
                              <w:divsChild>
                                <w:div w:id="291251868">
                                  <w:marLeft w:val="0"/>
                                  <w:marRight w:val="0"/>
                                  <w:marTop w:val="0"/>
                                  <w:marBottom w:val="0"/>
                                  <w:divBdr>
                                    <w:top w:val="none" w:sz="0" w:space="0" w:color="auto"/>
                                    <w:left w:val="none" w:sz="0" w:space="0" w:color="auto"/>
                                    <w:bottom w:val="none" w:sz="0" w:space="0" w:color="auto"/>
                                    <w:right w:val="none" w:sz="0" w:space="0" w:color="auto"/>
                                  </w:divBdr>
                                  <w:divsChild>
                                    <w:div w:id="15102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05230203">
      <w:bodyDiv w:val="1"/>
      <w:marLeft w:val="0"/>
      <w:marRight w:val="0"/>
      <w:marTop w:val="0"/>
      <w:marBottom w:val="0"/>
      <w:divBdr>
        <w:top w:val="none" w:sz="0" w:space="0" w:color="auto"/>
        <w:left w:val="none" w:sz="0" w:space="0" w:color="auto"/>
        <w:bottom w:val="none" w:sz="0" w:space="0" w:color="auto"/>
        <w:right w:val="none" w:sz="0" w:space="0" w:color="auto"/>
      </w:divBdr>
    </w:div>
    <w:div w:id="1121806326">
      <w:bodyDiv w:val="1"/>
      <w:marLeft w:val="0"/>
      <w:marRight w:val="0"/>
      <w:marTop w:val="0"/>
      <w:marBottom w:val="0"/>
      <w:divBdr>
        <w:top w:val="none" w:sz="0" w:space="0" w:color="auto"/>
        <w:left w:val="none" w:sz="0" w:space="0" w:color="auto"/>
        <w:bottom w:val="none" w:sz="0" w:space="0" w:color="auto"/>
        <w:right w:val="none" w:sz="0" w:space="0" w:color="auto"/>
      </w:divBdr>
    </w:div>
    <w:div w:id="1233195020">
      <w:bodyDiv w:val="1"/>
      <w:marLeft w:val="0"/>
      <w:marRight w:val="0"/>
      <w:marTop w:val="0"/>
      <w:marBottom w:val="0"/>
      <w:divBdr>
        <w:top w:val="none" w:sz="0" w:space="0" w:color="auto"/>
        <w:left w:val="none" w:sz="0" w:space="0" w:color="auto"/>
        <w:bottom w:val="none" w:sz="0" w:space="0" w:color="auto"/>
        <w:right w:val="none" w:sz="0" w:space="0" w:color="auto"/>
      </w:divBdr>
    </w:div>
    <w:div w:id="1351640324">
      <w:bodyDiv w:val="1"/>
      <w:marLeft w:val="0"/>
      <w:marRight w:val="0"/>
      <w:marTop w:val="0"/>
      <w:marBottom w:val="0"/>
      <w:divBdr>
        <w:top w:val="none" w:sz="0" w:space="0" w:color="auto"/>
        <w:left w:val="none" w:sz="0" w:space="0" w:color="auto"/>
        <w:bottom w:val="none" w:sz="0" w:space="0" w:color="auto"/>
        <w:right w:val="none" w:sz="0" w:space="0" w:color="auto"/>
      </w:divBdr>
    </w:div>
    <w:div w:id="1365519194">
      <w:bodyDiv w:val="1"/>
      <w:marLeft w:val="0"/>
      <w:marRight w:val="0"/>
      <w:marTop w:val="0"/>
      <w:marBottom w:val="0"/>
      <w:divBdr>
        <w:top w:val="none" w:sz="0" w:space="0" w:color="auto"/>
        <w:left w:val="none" w:sz="0" w:space="0" w:color="auto"/>
        <w:bottom w:val="none" w:sz="0" w:space="0" w:color="auto"/>
        <w:right w:val="none" w:sz="0" w:space="0" w:color="auto"/>
      </w:divBdr>
    </w:div>
    <w:div w:id="1386487850">
      <w:bodyDiv w:val="1"/>
      <w:marLeft w:val="0"/>
      <w:marRight w:val="0"/>
      <w:marTop w:val="0"/>
      <w:marBottom w:val="0"/>
      <w:divBdr>
        <w:top w:val="none" w:sz="0" w:space="0" w:color="auto"/>
        <w:left w:val="none" w:sz="0" w:space="0" w:color="auto"/>
        <w:bottom w:val="none" w:sz="0" w:space="0" w:color="auto"/>
        <w:right w:val="none" w:sz="0" w:space="0" w:color="auto"/>
      </w:divBdr>
    </w:div>
    <w:div w:id="1395004214">
      <w:bodyDiv w:val="1"/>
      <w:marLeft w:val="0"/>
      <w:marRight w:val="0"/>
      <w:marTop w:val="0"/>
      <w:marBottom w:val="0"/>
      <w:divBdr>
        <w:top w:val="none" w:sz="0" w:space="0" w:color="auto"/>
        <w:left w:val="none" w:sz="0" w:space="0" w:color="auto"/>
        <w:bottom w:val="none" w:sz="0" w:space="0" w:color="auto"/>
        <w:right w:val="none" w:sz="0" w:space="0" w:color="auto"/>
      </w:divBdr>
    </w:div>
    <w:div w:id="1417291382">
      <w:bodyDiv w:val="1"/>
      <w:marLeft w:val="0"/>
      <w:marRight w:val="0"/>
      <w:marTop w:val="0"/>
      <w:marBottom w:val="0"/>
      <w:divBdr>
        <w:top w:val="none" w:sz="0" w:space="0" w:color="auto"/>
        <w:left w:val="none" w:sz="0" w:space="0" w:color="auto"/>
        <w:bottom w:val="none" w:sz="0" w:space="0" w:color="auto"/>
        <w:right w:val="none" w:sz="0" w:space="0" w:color="auto"/>
      </w:divBdr>
    </w:div>
    <w:div w:id="1436553309">
      <w:bodyDiv w:val="1"/>
      <w:marLeft w:val="0"/>
      <w:marRight w:val="0"/>
      <w:marTop w:val="0"/>
      <w:marBottom w:val="0"/>
      <w:divBdr>
        <w:top w:val="none" w:sz="0" w:space="0" w:color="auto"/>
        <w:left w:val="none" w:sz="0" w:space="0" w:color="auto"/>
        <w:bottom w:val="none" w:sz="0" w:space="0" w:color="auto"/>
        <w:right w:val="none" w:sz="0" w:space="0" w:color="auto"/>
      </w:divBdr>
    </w:div>
    <w:div w:id="1466855204">
      <w:bodyDiv w:val="1"/>
      <w:marLeft w:val="0"/>
      <w:marRight w:val="0"/>
      <w:marTop w:val="0"/>
      <w:marBottom w:val="0"/>
      <w:divBdr>
        <w:top w:val="none" w:sz="0" w:space="0" w:color="auto"/>
        <w:left w:val="none" w:sz="0" w:space="0" w:color="auto"/>
        <w:bottom w:val="none" w:sz="0" w:space="0" w:color="auto"/>
        <w:right w:val="none" w:sz="0" w:space="0" w:color="auto"/>
      </w:divBdr>
    </w:div>
    <w:div w:id="1473405566">
      <w:bodyDiv w:val="1"/>
      <w:marLeft w:val="0"/>
      <w:marRight w:val="0"/>
      <w:marTop w:val="0"/>
      <w:marBottom w:val="0"/>
      <w:divBdr>
        <w:top w:val="none" w:sz="0" w:space="0" w:color="auto"/>
        <w:left w:val="none" w:sz="0" w:space="0" w:color="auto"/>
        <w:bottom w:val="none" w:sz="0" w:space="0" w:color="auto"/>
        <w:right w:val="none" w:sz="0" w:space="0" w:color="auto"/>
      </w:divBdr>
    </w:div>
    <w:div w:id="1507668451">
      <w:bodyDiv w:val="1"/>
      <w:marLeft w:val="0"/>
      <w:marRight w:val="0"/>
      <w:marTop w:val="0"/>
      <w:marBottom w:val="0"/>
      <w:divBdr>
        <w:top w:val="none" w:sz="0" w:space="0" w:color="auto"/>
        <w:left w:val="none" w:sz="0" w:space="0" w:color="auto"/>
        <w:bottom w:val="none" w:sz="0" w:space="0" w:color="auto"/>
        <w:right w:val="none" w:sz="0" w:space="0" w:color="auto"/>
      </w:divBdr>
    </w:div>
    <w:div w:id="1517113531">
      <w:bodyDiv w:val="1"/>
      <w:marLeft w:val="0"/>
      <w:marRight w:val="0"/>
      <w:marTop w:val="0"/>
      <w:marBottom w:val="0"/>
      <w:divBdr>
        <w:top w:val="none" w:sz="0" w:space="0" w:color="auto"/>
        <w:left w:val="none" w:sz="0" w:space="0" w:color="auto"/>
        <w:bottom w:val="none" w:sz="0" w:space="0" w:color="auto"/>
        <w:right w:val="none" w:sz="0" w:space="0" w:color="auto"/>
      </w:divBdr>
    </w:div>
    <w:div w:id="1580402000">
      <w:bodyDiv w:val="1"/>
      <w:marLeft w:val="0"/>
      <w:marRight w:val="0"/>
      <w:marTop w:val="0"/>
      <w:marBottom w:val="0"/>
      <w:divBdr>
        <w:top w:val="none" w:sz="0" w:space="0" w:color="auto"/>
        <w:left w:val="none" w:sz="0" w:space="0" w:color="auto"/>
        <w:bottom w:val="none" w:sz="0" w:space="0" w:color="auto"/>
        <w:right w:val="none" w:sz="0" w:space="0" w:color="auto"/>
      </w:divBdr>
    </w:div>
    <w:div w:id="1612594450">
      <w:bodyDiv w:val="1"/>
      <w:marLeft w:val="0"/>
      <w:marRight w:val="0"/>
      <w:marTop w:val="0"/>
      <w:marBottom w:val="0"/>
      <w:divBdr>
        <w:top w:val="none" w:sz="0" w:space="0" w:color="auto"/>
        <w:left w:val="none" w:sz="0" w:space="0" w:color="auto"/>
        <w:bottom w:val="none" w:sz="0" w:space="0" w:color="auto"/>
        <w:right w:val="none" w:sz="0" w:space="0" w:color="auto"/>
      </w:divBdr>
    </w:div>
    <w:div w:id="1641499936">
      <w:bodyDiv w:val="1"/>
      <w:marLeft w:val="0"/>
      <w:marRight w:val="0"/>
      <w:marTop w:val="0"/>
      <w:marBottom w:val="0"/>
      <w:divBdr>
        <w:top w:val="none" w:sz="0" w:space="0" w:color="auto"/>
        <w:left w:val="none" w:sz="0" w:space="0" w:color="auto"/>
        <w:bottom w:val="none" w:sz="0" w:space="0" w:color="auto"/>
        <w:right w:val="none" w:sz="0" w:space="0" w:color="auto"/>
      </w:divBdr>
    </w:div>
    <w:div w:id="1682006883">
      <w:bodyDiv w:val="1"/>
      <w:marLeft w:val="0"/>
      <w:marRight w:val="0"/>
      <w:marTop w:val="0"/>
      <w:marBottom w:val="0"/>
      <w:divBdr>
        <w:top w:val="none" w:sz="0" w:space="0" w:color="auto"/>
        <w:left w:val="none" w:sz="0" w:space="0" w:color="auto"/>
        <w:bottom w:val="none" w:sz="0" w:space="0" w:color="auto"/>
        <w:right w:val="none" w:sz="0" w:space="0" w:color="auto"/>
      </w:divBdr>
    </w:div>
    <w:div w:id="1690643384">
      <w:bodyDiv w:val="1"/>
      <w:marLeft w:val="0"/>
      <w:marRight w:val="0"/>
      <w:marTop w:val="0"/>
      <w:marBottom w:val="0"/>
      <w:divBdr>
        <w:top w:val="none" w:sz="0" w:space="0" w:color="auto"/>
        <w:left w:val="none" w:sz="0" w:space="0" w:color="auto"/>
        <w:bottom w:val="none" w:sz="0" w:space="0" w:color="auto"/>
        <w:right w:val="none" w:sz="0" w:space="0" w:color="auto"/>
      </w:divBdr>
    </w:div>
    <w:div w:id="1695422136">
      <w:bodyDiv w:val="1"/>
      <w:marLeft w:val="0"/>
      <w:marRight w:val="0"/>
      <w:marTop w:val="0"/>
      <w:marBottom w:val="0"/>
      <w:divBdr>
        <w:top w:val="none" w:sz="0" w:space="0" w:color="auto"/>
        <w:left w:val="none" w:sz="0" w:space="0" w:color="auto"/>
        <w:bottom w:val="none" w:sz="0" w:space="0" w:color="auto"/>
        <w:right w:val="none" w:sz="0" w:space="0" w:color="auto"/>
      </w:divBdr>
    </w:div>
    <w:div w:id="1738362889">
      <w:bodyDiv w:val="1"/>
      <w:marLeft w:val="0"/>
      <w:marRight w:val="0"/>
      <w:marTop w:val="0"/>
      <w:marBottom w:val="0"/>
      <w:divBdr>
        <w:top w:val="none" w:sz="0" w:space="0" w:color="auto"/>
        <w:left w:val="none" w:sz="0" w:space="0" w:color="auto"/>
        <w:bottom w:val="none" w:sz="0" w:space="0" w:color="auto"/>
        <w:right w:val="none" w:sz="0" w:space="0" w:color="auto"/>
      </w:divBdr>
    </w:div>
    <w:div w:id="1754550095">
      <w:bodyDiv w:val="1"/>
      <w:marLeft w:val="0"/>
      <w:marRight w:val="0"/>
      <w:marTop w:val="0"/>
      <w:marBottom w:val="0"/>
      <w:divBdr>
        <w:top w:val="none" w:sz="0" w:space="0" w:color="auto"/>
        <w:left w:val="none" w:sz="0" w:space="0" w:color="auto"/>
        <w:bottom w:val="none" w:sz="0" w:space="0" w:color="auto"/>
        <w:right w:val="none" w:sz="0" w:space="0" w:color="auto"/>
      </w:divBdr>
    </w:div>
    <w:div w:id="1818643560">
      <w:bodyDiv w:val="1"/>
      <w:marLeft w:val="0"/>
      <w:marRight w:val="0"/>
      <w:marTop w:val="0"/>
      <w:marBottom w:val="0"/>
      <w:divBdr>
        <w:top w:val="none" w:sz="0" w:space="0" w:color="auto"/>
        <w:left w:val="none" w:sz="0" w:space="0" w:color="auto"/>
        <w:bottom w:val="none" w:sz="0" w:space="0" w:color="auto"/>
        <w:right w:val="none" w:sz="0" w:space="0" w:color="auto"/>
      </w:divBdr>
    </w:div>
    <w:div w:id="1876692024">
      <w:bodyDiv w:val="1"/>
      <w:marLeft w:val="0"/>
      <w:marRight w:val="0"/>
      <w:marTop w:val="0"/>
      <w:marBottom w:val="0"/>
      <w:divBdr>
        <w:top w:val="none" w:sz="0" w:space="0" w:color="auto"/>
        <w:left w:val="none" w:sz="0" w:space="0" w:color="auto"/>
        <w:bottom w:val="none" w:sz="0" w:space="0" w:color="auto"/>
        <w:right w:val="none" w:sz="0" w:space="0" w:color="auto"/>
      </w:divBdr>
    </w:div>
    <w:div w:id="1915965477">
      <w:bodyDiv w:val="1"/>
      <w:marLeft w:val="0"/>
      <w:marRight w:val="0"/>
      <w:marTop w:val="0"/>
      <w:marBottom w:val="0"/>
      <w:divBdr>
        <w:top w:val="none" w:sz="0" w:space="0" w:color="auto"/>
        <w:left w:val="none" w:sz="0" w:space="0" w:color="auto"/>
        <w:bottom w:val="none" w:sz="0" w:space="0" w:color="auto"/>
        <w:right w:val="none" w:sz="0" w:space="0" w:color="auto"/>
      </w:divBdr>
    </w:div>
    <w:div w:id="1948387904">
      <w:bodyDiv w:val="1"/>
      <w:marLeft w:val="0"/>
      <w:marRight w:val="0"/>
      <w:marTop w:val="0"/>
      <w:marBottom w:val="0"/>
      <w:divBdr>
        <w:top w:val="none" w:sz="0" w:space="0" w:color="auto"/>
        <w:left w:val="none" w:sz="0" w:space="0" w:color="auto"/>
        <w:bottom w:val="none" w:sz="0" w:space="0" w:color="auto"/>
        <w:right w:val="none" w:sz="0" w:space="0" w:color="auto"/>
      </w:divBdr>
    </w:div>
    <w:div w:id="1952587304">
      <w:bodyDiv w:val="1"/>
      <w:marLeft w:val="0"/>
      <w:marRight w:val="0"/>
      <w:marTop w:val="0"/>
      <w:marBottom w:val="0"/>
      <w:divBdr>
        <w:top w:val="none" w:sz="0" w:space="0" w:color="auto"/>
        <w:left w:val="none" w:sz="0" w:space="0" w:color="auto"/>
        <w:bottom w:val="none" w:sz="0" w:space="0" w:color="auto"/>
        <w:right w:val="none" w:sz="0" w:space="0" w:color="auto"/>
      </w:divBdr>
    </w:div>
    <w:div w:id="2090690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chart" Target="charts/chart3.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hart" Target="charts/chart2.xml"/><Relationship Id="rId2" Type="http://schemas.openxmlformats.org/officeDocument/2006/relationships/customXml" Target="../customXml/item2.xml"/><Relationship Id="rId16" Type="http://schemas.openxmlformats.org/officeDocument/2006/relationships/chart" Target="charts/chart1.xml"/><Relationship Id="rId20" Type="http://schemas.openxmlformats.org/officeDocument/2006/relationships/image" Target="media/image1.emf"/><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theme" Target="theme/theme1.xml"/><Relationship Id="rId23" Type="http://schemas.openxmlformats.org/officeDocument/2006/relationships/fontTable" Target="fontTable.xml"/><Relationship Id="rId15" Type="http://schemas.openxmlformats.org/officeDocument/2006/relationships/hyperlink" Target="https://www.minem.gob.ar/www/830/25597/calculo-del-factor-de-emision-de-co2-de-la-red-argentina-de-energia-electrica" TargetMode="External"/><Relationship Id="rId10" Type="http://schemas.openxmlformats.org/officeDocument/2006/relationships/settings" Target="settings.xml"/><Relationship Id="rId19" Type="http://schemas.openxmlformats.org/officeDocument/2006/relationships/chart" Target="charts/chart4.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www.finanzen.net/rohstoffe/co2-emissionsrechte" TargetMode="External"/><Relationship Id="rId22" Type="http://schemas.openxmlformats.org/officeDocument/2006/relationships/image" Target="media/image2.emf"/></Relationships>
</file>

<file path=word/_rels/footnotes.xml.rels><?xml version="1.0" encoding="UTF-8" standalone="yes"?>
<Relationships xmlns="http://schemas.openxmlformats.org/package/2006/relationships"><Relationship Id="rId8" Type="http://schemas.openxmlformats.org/officeDocument/2006/relationships/hyperlink" Target="https://www.nrel.gov/analysis/tech-cap-factor.html" TargetMode="External"/><Relationship Id="rId13" Type="http://schemas.openxmlformats.org/officeDocument/2006/relationships/hyperlink" Target="http://www.eesi.org/papers/view/fact-sheet-jobs-in-renewable-energy-and-energy-efficiency-2015" TargetMode="External"/><Relationship Id="rId3" Type="http://schemas.openxmlformats.org/officeDocument/2006/relationships/hyperlink" Target="https://idbg.sharepoint.com/teams/EZ-AR-LON/AR-L1280/_layouts/15/DocIdRedir.aspx?ID=EZSHARE-972212929-20" TargetMode="External"/><Relationship Id="rId7" Type="http://schemas.openxmlformats.org/officeDocument/2006/relationships/hyperlink" Target="http://repositorio.uchile.cl/bitstream/handle/2250/133520/Evaluacion-tecnica-y-economica-de-una-planta-de-biogas.pdf?sequence=1" TargetMode="External"/><Relationship Id="rId12" Type="http://schemas.openxmlformats.org/officeDocument/2006/relationships/hyperlink" Target="http://www.irena.org/rejobs.pdf" TargetMode="External"/><Relationship Id="rId17" Type="http://schemas.openxmlformats.org/officeDocument/2006/relationships/hyperlink" Target="https://www.eia.gov/dnav/pet/pet_pri_spt_s1_m.htm" TargetMode="External"/><Relationship Id="rId2" Type="http://schemas.openxmlformats.org/officeDocument/2006/relationships/hyperlink" Target="https://idbg.sharepoint.com/teams/EZ-AR-LON/AR-L1280/_layouts/15/DocIdRedir.aspx?ID=EZSHARE-972212929-2" TargetMode="External"/><Relationship Id="rId16" Type="http://schemas.openxmlformats.org/officeDocument/2006/relationships/hyperlink" Target="http://www.cammesa.com" TargetMode="External"/><Relationship Id="rId1" Type="http://schemas.openxmlformats.org/officeDocument/2006/relationships/hyperlink" Target="http://www.greenclimate.fund/home" TargetMode="External"/><Relationship Id="rId6" Type="http://schemas.openxmlformats.org/officeDocument/2006/relationships/hyperlink" Target="https://ec.europa.eu/energy/intelligent/projects/sites/iee-projects/files/projects/documents/agriforenergy_2_international_biogas_and_methane_report_en.pdf" TargetMode="External"/><Relationship Id="rId11" Type="http://schemas.openxmlformats.org/officeDocument/2006/relationships/hyperlink" Target="http://www.worldbank.org/content/dam/Worldbank/document/Climate/State-and-Trend-Report-2015.pdf" TargetMode="External"/><Relationship Id="rId5" Type="http://schemas.openxmlformats.org/officeDocument/2006/relationships/hyperlink" Target="https://www.nrel.gov/analysis/tech-cap-factor.html" TargetMode="External"/><Relationship Id="rId15" Type="http://schemas.openxmlformats.org/officeDocument/2006/relationships/hyperlink" Target="https://data.worldbank.org/indicator/FB.AST.NPER.ZS?locations=AR&amp;view=chart" TargetMode="External"/><Relationship Id="rId10" Type="http://schemas.openxmlformats.org/officeDocument/2006/relationships/hyperlink" Target="http://repositorio.uchile.cl/bitstream/handle/2250/133520/Evaluacion-tecnica-y-economica-de-una-planta-de-biogas.pdf?sequence=1" TargetMode="External"/><Relationship Id="rId4" Type="http://schemas.openxmlformats.org/officeDocument/2006/relationships/hyperlink" Target="https://idbg.sharepoint.com/teams/EZ-AR-LON/AR-L1280/_layouts/15/DocIdRedir.aspx?ID=EZSHARE-972212929-4" TargetMode="External"/><Relationship Id="rId9" Type="http://schemas.openxmlformats.org/officeDocument/2006/relationships/hyperlink" Target="https://ec.europa.eu/energy/intelligent/projects/sites/iee-projects/files/projects/documents/agriforenergy_2_international_biogas_and_methane_report_en.pdf" TargetMode="External"/><Relationship Id="rId14" Type="http://schemas.openxmlformats.org/officeDocument/2006/relationships/hyperlink" Target="https://idbg.sharepoint.com/teams/EZ-AR-LON/AR-L1280/_layouts/15/DocIdRedir.aspx?ID=EZSHARE-972212929-12"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C:\Users\edwinma\Documents\1.%20ARGENTINA\4.%20Temas%20sectoriales\Estadisticas\Analisis%20costos%20marginales%20AR.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edwinma\Documents\1.%20ARGENTINA\4.%20Temas%20sectoriales\Estadisticas\Analisis%20costos%20marginales%20AR.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C:\Users\edwinma\Documents\1.%20ARGENTINA\4.%20Temas%20sectoriales\Estadisticas\Analisis%20costos%20marginales%20AR.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C:\Users\edwinma\Documents\1.%20ARGENTINA\4.%20Temas%20sectoriales\Estadisticas\Analisis%20costos%20marginales%20AR.xlsx" TargetMode="External"/><Relationship Id="rId2" Type="http://schemas.microsoft.com/office/2011/relationships/chartColorStyle" Target="colors4.xml"/><Relationship Id="rId1" Type="http://schemas.microsoft.com/office/2011/relationships/chartStyle" Target="style4.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960" b="0" i="0" u="none" strike="noStrike" kern="1200" spc="0" baseline="0">
                <a:solidFill>
                  <a:schemeClr val="tx1">
                    <a:lumMod val="65000"/>
                    <a:lumOff val="35000"/>
                  </a:schemeClr>
                </a:solidFill>
                <a:latin typeface="+mn-lt"/>
                <a:ea typeface="+mn-ea"/>
                <a:cs typeface="+mn-cs"/>
              </a:defRPr>
            </a:pPr>
            <a:r>
              <a:rPr lang="en-US"/>
              <a:t>Power generation by source 2016 GWh</a:t>
            </a:r>
          </a:p>
        </c:rich>
      </c:tx>
      <c:overlay val="0"/>
      <c:spPr>
        <a:noFill/>
        <a:ln>
          <a:noFill/>
        </a:ln>
        <a:effectLst/>
      </c:spPr>
      <c:txPr>
        <a:bodyPr rot="0" spcFirstLastPara="1" vertOverflow="ellipsis" vert="horz" wrap="square" anchor="ctr" anchorCtr="1"/>
        <a:lstStyle/>
        <a:p>
          <a:pPr>
            <a:defRPr sz="960" b="0" i="0" u="none" strike="noStrike" kern="1200" spc="0" baseline="0">
              <a:solidFill>
                <a:schemeClr val="tx1">
                  <a:lumMod val="65000"/>
                  <a:lumOff val="35000"/>
                </a:schemeClr>
              </a:solidFill>
              <a:latin typeface="+mn-lt"/>
              <a:ea typeface="+mn-ea"/>
              <a:cs typeface="+mn-cs"/>
            </a:defRPr>
          </a:pPr>
          <a:endParaRPr lang="en-US"/>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9.0138092034978037E-2"/>
          <c:y val="0.18711176727909012"/>
          <c:w val="0.90986190796502198"/>
          <c:h val="0.68780548264800234"/>
        </c:manualLayout>
      </c:layout>
      <c:pie3DChart>
        <c:varyColors val="1"/>
        <c:ser>
          <c:idx val="0"/>
          <c:order val="0"/>
          <c:dPt>
            <c:idx val="0"/>
            <c:bubble3D val="0"/>
            <c:spPr>
              <a:solidFill>
                <a:schemeClr val="tx1">
                  <a:lumMod val="50000"/>
                  <a:lumOff val="5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01-C3B3-4375-84B1-BEB01D8C5111}"/>
              </c:ext>
            </c:extLst>
          </c:dPt>
          <c:dPt>
            <c:idx val="1"/>
            <c:bubble3D val="0"/>
            <c:spPr>
              <a:solidFill>
                <a:srgbClr val="0070C0"/>
              </a:solidFill>
              <a:ln w="25400">
                <a:solidFill>
                  <a:schemeClr val="lt1"/>
                </a:solidFill>
              </a:ln>
              <a:effectLst/>
              <a:sp3d contourW="25400">
                <a:contourClr>
                  <a:schemeClr val="lt1"/>
                </a:contourClr>
              </a:sp3d>
            </c:spPr>
            <c:extLst>
              <c:ext xmlns:c16="http://schemas.microsoft.com/office/drawing/2014/chart" uri="{C3380CC4-5D6E-409C-BE32-E72D297353CC}">
                <c16:uniqueId val="{00000003-C3B3-4375-84B1-BEB01D8C5111}"/>
              </c:ext>
            </c:extLst>
          </c:dPt>
          <c:dPt>
            <c:idx val="2"/>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5-C3B3-4375-84B1-BEB01D8C5111}"/>
              </c:ext>
            </c:extLst>
          </c:dPt>
          <c:dPt>
            <c:idx val="3"/>
            <c:bubble3D val="0"/>
            <c:spPr>
              <a:solidFill>
                <a:schemeClr val="accent6"/>
              </a:solidFill>
              <a:ln w="25400">
                <a:solidFill>
                  <a:schemeClr val="lt1"/>
                </a:solidFill>
              </a:ln>
              <a:effectLst/>
              <a:sp3d contourW="25400">
                <a:contourClr>
                  <a:schemeClr val="lt1"/>
                </a:contourClr>
              </a:sp3d>
            </c:spPr>
            <c:extLst>
              <c:ext xmlns:c16="http://schemas.microsoft.com/office/drawing/2014/chart" uri="{C3380CC4-5D6E-409C-BE32-E72D297353CC}">
                <c16:uniqueId val="{00000007-C3B3-4375-84B1-BEB01D8C5111}"/>
              </c:ext>
            </c:extLst>
          </c:dPt>
          <c:dLbls>
            <c:spPr>
              <a:noFill/>
              <a:ln>
                <a:noFill/>
              </a:ln>
              <a:effectLst/>
            </c:spPr>
            <c:txPr>
              <a:bodyPr rot="0" spcFirstLastPara="1" vertOverflow="ellipsis" vert="horz" wrap="square" anchor="ctr" anchorCtr="1"/>
              <a:lstStyle/>
              <a:p>
                <a:pPr>
                  <a:defRPr sz="8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graficas!$B$21:$B$24</c:f>
              <c:strCache>
                <c:ptCount val="4"/>
                <c:pt idx="0">
                  <c:v>Thermal</c:v>
                </c:pt>
                <c:pt idx="1">
                  <c:v>Hidro</c:v>
                </c:pt>
                <c:pt idx="2">
                  <c:v>Nuclear</c:v>
                </c:pt>
                <c:pt idx="3">
                  <c:v>Renewable</c:v>
                </c:pt>
              </c:strCache>
            </c:strRef>
          </c:cat>
          <c:val>
            <c:numRef>
              <c:f>graficas!$C$21:$C$24</c:f>
              <c:numCache>
                <c:formatCode>_(* #,##0_);_(* \(#,##0\);_(* "-"??_);_(@_)</c:formatCode>
                <c:ptCount val="4"/>
                <c:pt idx="0">
                  <c:v>90067.851162000006</c:v>
                </c:pt>
                <c:pt idx="1">
                  <c:v>36191.961046999997</c:v>
                </c:pt>
                <c:pt idx="2">
                  <c:v>7677.2923389999996</c:v>
                </c:pt>
                <c:pt idx="3">
                  <c:v>2662.5762640000003</c:v>
                </c:pt>
              </c:numCache>
            </c:numRef>
          </c:val>
          <c:extLst>
            <c:ext xmlns:c16="http://schemas.microsoft.com/office/drawing/2014/chart" uri="{C3380CC4-5D6E-409C-BE32-E72D297353CC}">
              <c16:uniqueId val="{00000008-C3B3-4375-84B1-BEB01D8C5111}"/>
            </c:ext>
          </c:extLst>
        </c:ser>
        <c:dLbls>
          <c:showLegendKey val="0"/>
          <c:showVal val="0"/>
          <c:showCatName val="0"/>
          <c:showSerName val="0"/>
          <c:showPercent val="0"/>
          <c:showBubbleSize val="0"/>
          <c:showLeaderLines val="1"/>
        </c:dLbls>
      </c:pie3DChart>
      <c:spPr>
        <a:noFill/>
        <a:ln>
          <a:noFill/>
        </a:ln>
        <a:effectLst/>
      </c:spPr>
    </c:plotArea>
    <c:legend>
      <c:legendPos val="b"/>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800"/>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80" b="0" i="0" u="none" strike="noStrike" kern="1200" spc="0" baseline="0">
                <a:solidFill>
                  <a:schemeClr val="tx1">
                    <a:lumMod val="65000"/>
                    <a:lumOff val="35000"/>
                  </a:schemeClr>
                </a:solidFill>
                <a:latin typeface="+mn-lt"/>
                <a:ea typeface="+mn-ea"/>
                <a:cs typeface="+mn-cs"/>
              </a:defRPr>
            </a:pPr>
            <a:r>
              <a:rPr lang="en-US"/>
              <a:t>Thermal generation by fuel 2016</a:t>
            </a:r>
          </a:p>
        </c:rich>
      </c:tx>
      <c:layout>
        <c:manualLayout>
          <c:xMode val="edge"/>
          <c:yMode val="edge"/>
          <c:x val="0.18475037149640464"/>
          <c:y val="6.9637883008356544E-3"/>
        </c:manualLayout>
      </c:layout>
      <c:overlay val="0"/>
      <c:spPr>
        <a:noFill/>
        <a:ln>
          <a:noFill/>
        </a:ln>
        <a:effectLst/>
      </c:spPr>
      <c:txPr>
        <a:bodyPr rot="0" spcFirstLastPara="1" vertOverflow="ellipsis" vert="horz" wrap="square" anchor="ctr" anchorCtr="1"/>
        <a:lstStyle/>
        <a:p>
          <a:pPr>
            <a:defRPr sz="1080" b="0" i="0" u="none" strike="noStrike" kern="1200" spc="0" baseline="0">
              <a:solidFill>
                <a:schemeClr val="tx1">
                  <a:lumMod val="65000"/>
                  <a:lumOff val="35000"/>
                </a:schemeClr>
              </a:solidFill>
              <a:latin typeface="+mn-lt"/>
              <a:ea typeface="+mn-ea"/>
              <a:cs typeface="+mn-cs"/>
            </a:defRPr>
          </a:pPr>
          <a:endParaRPr lang="en-US"/>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9.8611111111111108E-2"/>
          <c:y val="0.24782225138524352"/>
          <c:w val="0.85277777777777786"/>
          <c:h val="0.60257254301545649"/>
        </c:manualLayout>
      </c:layout>
      <c:pie3DChart>
        <c:varyColors val="1"/>
        <c:ser>
          <c:idx val="0"/>
          <c:order val="0"/>
          <c:spPr>
            <a:solidFill>
              <a:srgbClr val="FFC000"/>
            </a:solidFill>
          </c:spPr>
          <c:dPt>
            <c:idx val="0"/>
            <c:bubble3D val="0"/>
            <c:explosion val="6"/>
            <c:spPr>
              <a:solidFill>
                <a:srgbClr val="FFC000"/>
              </a:solidFill>
              <a:ln w="25400">
                <a:solidFill>
                  <a:schemeClr val="lt1"/>
                </a:solidFill>
              </a:ln>
              <a:effectLst/>
              <a:sp3d contourW="25400">
                <a:contourClr>
                  <a:schemeClr val="lt1"/>
                </a:contourClr>
              </a:sp3d>
            </c:spPr>
            <c:extLst>
              <c:ext xmlns:c16="http://schemas.microsoft.com/office/drawing/2014/chart" uri="{C3380CC4-5D6E-409C-BE32-E72D297353CC}">
                <c16:uniqueId val="{00000001-E75B-4BED-BAD6-FD1E857AE2C1}"/>
              </c:ext>
            </c:extLst>
          </c:dPt>
          <c:dPt>
            <c:idx val="1"/>
            <c:bubble3D val="0"/>
            <c:spPr>
              <a:solidFill>
                <a:srgbClr val="FF0000"/>
              </a:solidFill>
              <a:ln w="25400">
                <a:solidFill>
                  <a:schemeClr val="lt1"/>
                </a:solidFill>
              </a:ln>
              <a:effectLst/>
              <a:sp3d contourW="25400">
                <a:contourClr>
                  <a:schemeClr val="lt1"/>
                </a:contourClr>
              </a:sp3d>
            </c:spPr>
            <c:extLst>
              <c:ext xmlns:c16="http://schemas.microsoft.com/office/drawing/2014/chart" uri="{C3380CC4-5D6E-409C-BE32-E72D297353CC}">
                <c16:uniqueId val="{00000003-E75B-4BED-BAD6-FD1E857AE2C1}"/>
              </c:ext>
            </c:extLst>
          </c:dPt>
          <c:dPt>
            <c:idx val="2"/>
            <c:bubble3D val="0"/>
            <c:spPr>
              <a:solidFill>
                <a:schemeClr val="tx1"/>
              </a:solidFill>
              <a:ln w="25400">
                <a:solidFill>
                  <a:schemeClr val="lt1"/>
                </a:solidFill>
              </a:ln>
              <a:effectLst/>
              <a:sp3d contourW="25400">
                <a:contourClr>
                  <a:schemeClr val="lt1"/>
                </a:contourClr>
              </a:sp3d>
            </c:spPr>
            <c:extLst>
              <c:ext xmlns:c16="http://schemas.microsoft.com/office/drawing/2014/chart" uri="{C3380CC4-5D6E-409C-BE32-E72D297353CC}">
                <c16:uniqueId val="{00000005-E75B-4BED-BAD6-FD1E857AE2C1}"/>
              </c:ext>
            </c:extLst>
          </c:dPt>
          <c:dPt>
            <c:idx val="3"/>
            <c:bubble3D val="0"/>
            <c:spPr>
              <a:solidFill>
                <a:schemeClr val="tx2">
                  <a:lumMod val="60000"/>
                  <a:lumOff val="4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07-E75B-4BED-BAD6-FD1E857AE2C1}"/>
              </c:ext>
            </c:extLst>
          </c:dPt>
          <c:dPt>
            <c:idx val="4"/>
            <c:bubble3D val="0"/>
            <c:spPr>
              <a:solidFill>
                <a:srgbClr val="FFC000"/>
              </a:solidFill>
              <a:ln w="25400">
                <a:solidFill>
                  <a:schemeClr val="lt1"/>
                </a:solidFill>
              </a:ln>
              <a:effectLst/>
              <a:sp3d contourW="25400">
                <a:contourClr>
                  <a:schemeClr val="lt1"/>
                </a:contourClr>
              </a:sp3d>
            </c:spPr>
            <c:extLst>
              <c:ext xmlns:c16="http://schemas.microsoft.com/office/drawing/2014/chart" uri="{C3380CC4-5D6E-409C-BE32-E72D297353CC}">
                <c16:uniqueId val="{00000009-E75B-4BED-BAD6-FD1E857AE2C1}"/>
              </c:ext>
            </c:extLst>
          </c:dPt>
          <c:dLbls>
            <c:dLbl>
              <c:idx val="0"/>
              <c:layout>
                <c:manualLayout>
                  <c:x val="6.9414316702819959E-2"/>
                  <c:y val="-0.10445682451253495"/>
                </c:manualLayout>
              </c:layout>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1-E75B-4BED-BAD6-FD1E857AE2C1}"/>
                </c:ext>
              </c:extLst>
            </c:dLbl>
            <c:dLbl>
              <c:idx val="1"/>
              <c:layout>
                <c:manualLayout>
                  <c:x val="-3.0555555555555555E-2"/>
                  <c:y val="3.7037037037036993E-2"/>
                </c:manualLayout>
              </c:layout>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3-E75B-4BED-BAD6-FD1E857AE2C1}"/>
                </c:ext>
              </c:extLst>
            </c:dLbl>
            <c:dLbl>
              <c:idx val="2"/>
              <c:layout>
                <c:manualLayout>
                  <c:x val="-8.2959673424769842E-2"/>
                  <c:y val="-3.236845568398658E-2"/>
                </c:manualLayout>
              </c:layout>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5-E75B-4BED-BAD6-FD1E857AE2C1}"/>
                </c:ext>
              </c:extLst>
            </c:dLbl>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6576" tIns="18288" rIns="36576" bIns="18288" anchor="ctr" anchorCtr="1">
                <a:spAutoFit/>
              </a:bodyPr>
              <a:lstStyle/>
              <a:p>
                <a:pPr>
                  <a:defRPr sz="900" b="0" i="0" u="none" strike="noStrike" kern="1200" baseline="0">
                    <a:solidFill>
                      <a:schemeClr val="dk1">
                        <a:lumMod val="65000"/>
                        <a:lumOff val="35000"/>
                      </a:schemeClr>
                    </a:solidFill>
                    <a:latin typeface="+mn-lt"/>
                    <a:ea typeface="+mn-ea"/>
                    <a:cs typeface="+mn-cs"/>
                  </a:defRPr>
                </a:pPr>
                <a:endParaRPr lang="en-US"/>
              </a:p>
            </c:txPr>
            <c:dLblPos val="outEnd"/>
            <c:showLegendKey val="0"/>
            <c:showVal val="0"/>
            <c:showCatName val="1"/>
            <c:showSerName val="0"/>
            <c:showPercent val="1"/>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ext>
            </c:extLst>
          </c:dLbls>
          <c:cat>
            <c:strRef>
              <c:f>graficas!$F$21:$F$25</c:f>
              <c:strCache>
                <c:ptCount val="5"/>
                <c:pt idx="0">
                  <c:v>Natural Gas</c:v>
                </c:pt>
                <c:pt idx="1">
                  <c:v>Fuel Oil</c:v>
                </c:pt>
                <c:pt idx="2">
                  <c:v>Coal</c:v>
                </c:pt>
                <c:pt idx="3">
                  <c:v>Gas Oil</c:v>
                </c:pt>
                <c:pt idx="4">
                  <c:v>Biofuel</c:v>
                </c:pt>
              </c:strCache>
            </c:strRef>
          </c:cat>
          <c:val>
            <c:numRef>
              <c:f>graficas!$G$21:$G$25</c:f>
              <c:numCache>
                <c:formatCode>General</c:formatCode>
                <c:ptCount val="5"/>
                <c:pt idx="0">
                  <c:v>68574</c:v>
                </c:pt>
                <c:pt idx="1">
                  <c:v>9738</c:v>
                </c:pt>
                <c:pt idx="2">
                  <c:v>1452</c:v>
                </c:pt>
                <c:pt idx="3">
                  <c:v>10390</c:v>
                </c:pt>
                <c:pt idx="4">
                  <c:v>0.88</c:v>
                </c:pt>
              </c:numCache>
            </c:numRef>
          </c:val>
          <c:extLst>
            <c:ext xmlns:c16="http://schemas.microsoft.com/office/drawing/2014/chart" uri="{C3380CC4-5D6E-409C-BE32-E72D297353CC}">
              <c16:uniqueId val="{0000000A-E75B-4BED-BAD6-FD1E857AE2C1}"/>
            </c:ext>
          </c:extLst>
        </c:ser>
        <c:dLbls>
          <c:showLegendKey val="0"/>
          <c:showVal val="0"/>
          <c:showCatName val="0"/>
          <c:showSerName val="0"/>
          <c:showPercent val="0"/>
          <c:showBubbleSize val="0"/>
          <c:showLeaderLines val="0"/>
        </c:dLbls>
      </c:pie3D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900"/>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Fosil fuels consumption by month 2016</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disel!$A$20</c:f>
              <c:strCache>
                <c:ptCount val="1"/>
                <c:pt idx="0">
                  <c:v>GAS NATURAL [Dam3]</c:v>
                </c:pt>
              </c:strCache>
            </c:strRef>
          </c:tx>
          <c:spPr>
            <a:solidFill>
              <a:srgbClr val="FFC000"/>
            </a:solidFill>
            <a:ln>
              <a:noFill/>
            </a:ln>
            <a:effectLst/>
          </c:spPr>
          <c:invertIfNegative val="0"/>
          <c:cat>
            <c:numRef>
              <c:f>disel!$B$19:$M$19</c:f>
              <c:numCache>
                <c:formatCode>mmm\-yy</c:formatCode>
                <c:ptCount val="12"/>
                <c:pt idx="0">
                  <c:v>42370</c:v>
                </c:pt>
                <c:pt idx="1">
                  <c:v>42401</c:v>
                </c:pt>
                <c:pt idx="2">
                  <c:v>42430</c:v>
                </c:pt>
                <c:pt idx="3">
                  <c:v>42461</c:v>
                </c:pt>
                <c:pt idx="4">
                  <c:v>42491</c:v>
                </c:pt>
                <c:pt idx="5">
                  <c:v>42522</c:v>
                </c:pt>
                <c:pt idx="6">
                  <c:v>42552</c:v>
                </c:pt>
                <c:pt idx="7">
                  <c:v>42583</c:v>
                </c:pt>
                <c:pt idx="8">
                  <c:v>42614</c:v>
                </c:pt>
                <c:pt idx="9">
                  <c:v>42644</c:v>
                </c:pt>
                <c:pt idx="10">
                  <c:v>42675</c:v>
                </c:pt>
                <c:pt idx="11">
                  <c:v>42705</c:v>
                </c:pt>
              </c:numCache>
            </c:numRef>
          </c:cat>
          <c:val>
            <c:numRef>
              <c:f>disel!$B$20:$M$20</c:f>
              <c:numCache>
                <c:formatCode>#,##0</c:formatCode>
                <c:ptCount val="12"/>
                <c:pt idx="0">
                  <c:v>1712554.1150000002</c:v>
                </c:pt>
                <c:pt idx="1">
                  <c:v>1575618.3439999996</c:v>
                </c:pt>
                <c:pt idx="2">
                  <c:v>1461907.3120000004</c:v>
                </c:pt>
                <c:pt idx="3">
                  <c:v>1226174.9009999989</c:v>
                </c:pt>
                <c:pt idx="4">
                  <c:v>1015256.2879999997</c:v>
                </c:pt>
                <c:pt idx="5">
                  <c:v>944887.06700000004</c:v>
                </c:pt>
                <c:pt idx="6">
                  <c:v>894234.38599999971</c:v>
                </c:pt>
                <c:pt idx="7">
                  <c:v>1213469.0159999998</c:v>
                </c:pt>
                <c:pt idx="8">
                  <c:v>1201818.1850000001</c:v>
                </c:pt>
                <c:pt idx="9">
                  <c:v>1370806.575</c:v>
                </c:pt>
                <c:pt idx="10">
                  <c:v>1325194.2989999999</c:v>
                </c:pt>
                <c:pt idx="11">
                  <c:v>1646775.0219999994</c:v>
                </c:pt>
              </c:numCache>
            </c:numRef>
          </c:val>
          <c:extLst>
            <c:ext xmlns:c16="http://schemas.microsoft.com/office/drawing/2014/chart" uri="{C3380CC4-5D6E-409C-BE32-E72D297353CC}">
              <c16:uniqueId val="{00000000-70BB-43FE-BC55-E196B13F0407}"/>
            </c:ext>
          </c:extLst>
        </c:ser>
        <c:ser>
          <c:idx val="1"/>
          <c:order val="1"/>
          <c:tx>
            <c:strRef>
              <c:f>disel!$A$21</c:f>
              <c:strCache>
                <c:ptCount val="1"/>
                <c:pt idx="0">
                  <c:v>FUEL OIL [ton]</c:v>
                </c:pt>
              </c:strCache>
            </c:strRef>
          </c:tx>
          <c:spPr>
            <a:solidFill>
              <a:srgbClr val="FF0000"/>
            </a:solidFill>
            <a:ln>
              <a:noFill/>
            </a:ln>
            <a:effectLst/>
          </c:spPr>
          <c:invertIfNegative val="0"/>
          <c:cat>
            <c:numRef>
              <c:f>disel!$B$19:$M$19</c:f>
              <c:numCache>
                <c:formatCode>mmm\-yy</c:formatCode>
                <c:ptCount val="12"/>
                <c:pt idx="0">
                  <c:v>42370</c:v>
                </c:pt>
                <c:pt idx="1">
                  <c:v>42401</c:v>
                </c:pt>
                <c:pt idx="2">
                  <c:v>42430</c:v>
                </c:pt>
                <c:pt idx="3">
                  <c:v>42461</c:v>
                </c:pt>
                <c:pt idx="4">
                  <c:v>42491</c:v>
                </c:pt>
                <c:pt idx="5">
                  <c:v>42522</c:v>
                </c:pt>
                <c:pt idx="6">
                  <c:v>42552</c:v>
                </c:pt>
                <c:pt idx="7">
                  <c:v>42583</c:v>
                </c:pt>
                <c:pt idx="8">
                  <c:v>42614</c:v>
                </c:pt>
                <c:pt idx="9">
                  <c:v>42644</c:v>
                </c:pt>
                <c:pt idx="10">
                  <c:v>42675</c:v>
                </c:pt>
                <c:pt idx="11">
                  <c:v>42705</c:v>
                </c:pt>
              </c:numCache>
            </c:numRef>
          </c:cat>
          <c:val>
            <c:numRef>
              <c:f>disel!$B$21:$M$21</c:f>
              <c:numCache>
                <c:formatCode>#,##0</c:formatCode>
                <c:ptCount val="12"/>
                <c:pt idx="0">
                  <c:v>189652.59000000003</c:v>
                </c:pt>
                <c:pt idx="1">
                  <c:v>266451.19399999996</c:v>
                </c:pt>
                <c:pt idx="2">
                  <c:v>168881.96199999994</c:v>
                </c:pt>
                <c:pt idx="3">
                  <c:v>224079.77100000001</c:v>
                </c:pt>
                <c:pt idx="4">
                  <c:v>305588.3629999999</c:v>
                </c:pt>
                <c:pt idx="5">
                  <c:v>269660.81599999993</c:v>
                </c:pt>
                <c:pt idx="6">
                  <c:v>314037.20399999997</c:v>
                </c:pt>
                <c:pt idx="7">
                  <c:v>249842.96100000004</c:v>
                </c:pt>
                <c:pt idx="8">
                  <c:v>225242.85200000004</c:v>
                </c:pt>
                <c:pt idx="9">
                  <c:v>115084.33900000001</c:v>
                </c:pt>
                <c:pt idx="10">
                  <c:v>118893.55799999999</c:v>
                </c:pt>
                <c:pt idx="11">
                  <c:v>203166.617</c:v>
                </c:pt>
              </c:numCache>
            </c:numRef>
          </c:val>
          <c:extLst>
            <c:ext xmlns:c16="http://schemas.microsoft.com/office/drawing/2014/chart" uri="{C3380CC4-5D6E-409C-BE32-E72D297353CC}">
              <c16:uniqueId val="{00000001-70BB-43FE-BC55-E196B13F0407}"/>
            </c:ext>
          </c:extLst>
        </c:ser>
        <c:ser>
          <c:idx val="2"/>
          <c:order val="2"/>
          <c:tx>
            <c:strRef>
              <c:f>disel!$A$22</c:f>
              <c:strCache>
                <c:ptCount val="1"/>
                <c:pt idx="0">
                  <c:v>GAS OIL [M3]</c:v>
                </c:pt>
              </c:strCache>
            </c:strRef>
          </c:tx>
          <c:spPr>
            <a:solidFill>
              <a:schemeClr val="accent5"/>
            </a:solidFill>
            <a:ln>
              <a:noFill/>
            </a:ln>
            <a:effectLst/>
          </c:spPr>
          <c:invertIfNegative val="0"/>
          <c:cat>
            <c:numRef>
              <c:f>disel!$B$19:$M$19</c:f>
              <c:numCache>
                <c:formatCode>mmm\-yy</c:formatCode>
                <c:ptCount val="12"/>
                <c:pt idx="0">
                  <c:v>42370</c:v>
                </c:pt>
                <c:pt idx="1">
                  <c:v>42401</c:v>
                </c:pt>
                <c:pt idx="2">
                  <c:v>42430</c:v>
                </c:pt>
                <c:pt idx="3">
                  <c:v>42461</c:v>
                </c:pt>
                <c:pt idx="4">
                  <c:v>42491</c:v>
                </c:pt>
                <c:pt idx="5">
                  <c:v>42522</c:v>
                </c:pt>
                <c:pt idx="6">
                  <c:v>42552</c:v>
                </c:pt>
                <c:pt idx="7">
                  <c:v>42583</c:v>
                </c:pt>
                <c:pt idx="8">
                  <c:v>42614</c:v>
                </c:pt>
                <c:pt idx="9">
                  <c:v>42644</c:v>
                </c:pt>
                <c:pt idx="10">
                  <c:v>42675</c:v>
                </c:pt>
                <c:pt idx="11">
                  <c:v>42705</c:v>
                </c:pt>
              </c:numCache>
            </c:numRef>
          </c:cat>
          <c:val>
            <c:numRef>
              <c:f>disel!$B$22:$M$22</c:f>
              <c:numCache>
                <c:formatCode>#,##0</c:formatCode>
                <c:ptCount val="12"/>
                <c:pt idx="0">
                  <c:v>58825.164000000004</c:v>
                </c:pt>
                <c:pt idx="1">
                  <c:v>66809.613000000012</c:v>
                </c:pt>
                <c:pt idx="2">
                  <c:v>34161.679000000004</c:v>
                </c:pt>
                <c:pt idx="3">
                  <c:v>121895.136</c:v>
                </c:pt>
                <c:pt idx="4">
                  <c:v>339153.52100000007</c:v>
                </c:pt>
                <c:pt idx="5">
                  <c:v>618218.58800000034</c:v>
                </c:pt>
                <c:pt idx="6">
                  <c:v>706747.02199999976</c:v>
                </c:pt>
                <c:pt idx="7">
                  <c:v>251610.821</c:v>
                </c:pt>
                <c:pt idx="8">
                  <c:v>90565.812000000034</c:v>
                </c:pt>
                <c:pt idx="9">
                  <c:v>15851.110999999994</c:v>
                </c:pt>
                <c:pt idx="10">
                  <c:v>28352.359999999997</c:v>
                </c:pt>
                <c:pt idx="11">
                  <c:v>48672.480000000032</c:v>
                </c:pt>
              </c:numCache>
            </c:numRef>
          </c:val>
          <c:extLst>
            <c:ext xmlns:c16="http://schemas.microsoft.com/office/drawing/2014/chart" uri="{C3380CC4-5D6E-409C-BE32-E72D297353CC}">
              <c16:uniqueId val="{00000002-70BB-43FE-BC55-E196B13F0407}"/>
            </c:ext>
          </c:extLst>
        </c:ser>
        <c:dLbls>
          <c:showLegendKey val="0"/>
          <c:showVal val="0"/>
          <c:showCatName val="0"/>
          <c:showSerName val="0"/>
          <c:showPercent val="0"/>
          <c:showBubbleSize val="0"/>
        </c:dLbls>
        <c:gapWidth val="219"/>
        <c:overlap val="-27"/>
        <c:axId val="923992968"/>
        <c:axId val="923995920"/>
      </c:barChart>
      <c:dateAx>
        <c:axId val="923992968"/>
        <c:scaling>
          <c:orientation val="minMax"/>
        </c:scaling>
        <c:delete val="0"/>
        <c:axPos val="b"/>
        <c:numFmt formatCode="mmm\-yy"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923995920"/>
        <c:crosses val="autoZero"/>
        <c:auto val="1"/>
        <c:lblOffset val="100"/>
        <c:baseTimeUnit val="months"/>
      </c:dateAx>
      <c:valAx>
        <c:axId val="923995920"/>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92399296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Gas</a:t>
            </a:r>
            <a:r>
              <a:rPr lang="en-US" baseline="0"/>
              <a:t> Oil price (US$/Gallon) </a:t>
            </a:r>
            <a:r>
              <a:rPr lang="en-US"/>
              <a:t>and Equivalent marginal Cost (US$/MWh)</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0.1890359131937776"/>
          <c:y val="0.24346534653465346"/>
          <c:w val="0.67003136803021579"/>
          <c:h val="0.52844858501598202"/>
        </c:manualLayout>
      </c:layout>
      <c:lineChart>
        <c:grouping val="standard"/>
        <c:varyColors val="0"/>
        <c:ser>
          <c:idx val="1"/>
          <c:order val="1"/>
          <c:tx>
            <c:strRef>
              <c:f>disel!$K$1</c:f>
              <c:strCache>
                <c:ptCount val="1"/>
                <c:pt idx="0">
                  <c:v>Equivalente marginal cost</c:v>
                </c:pt>
              </c:strCache>
            </c:strRef>
          </c:tx>
          <c:spPr>
            <a:ln w="28575" cap="rnd">
              <a:solidFill>
                <a:schemeClr val="accent2"/>
              </a:solidFill>
              <a:round/>
            </a:ln>
            <a:effectLst/>
          </c:spPr>
          <c:marker>
            <c:symbol val="none"/>
          </c:marker>
          <c:cat>
            <c:strRef>
              <c:f>disel!$I$2:$I$14</c:f>
              <c:strCache>
                <c:ptCount val="13"/>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strCache>
            </c:strRef>
          </c:cat>
          <c:val>
            <c:numRef>
              <c:f>disel!$K$2:$K$14</c:f>
              <c:numCache>
                <c:formatCode>_("$"* #,##0.00_);_("$"* \(#,##0.00\);_("$"* "-"??_);_(@_)</c:formatCode>
                <c:ptCount val="13"/>
                <c:pt idx="0">
                  <c:v>154.10979411521382</c:v>
                </c:pt>
                <c:pt idx="1">
                  <c:v>154.10979411521382</c:v>
                </c:pt>
                <c:pt idx="2">
                  <c:v>168.55513253178768</c:v>
                </c:pt>
                <c:pt idx="3">
                  <c:v>229.40098894885108</c:v>
                </c:pt>
                <c:pt idx="4">
                  <c:v>130.33909059926305</c:v>
                </c:pt>
                <c:pt idx="5">
                  <c:v>169.35375485377602</c:v>
                </c:pt>
                <c:pt idx="6">
                  <c:v>233.26317886666362</c:v>
                </c:pt>
                <c:pt idx="7">
                  <c:v>239.815809557732</c:v>
                </c:pt>
                <c:pt idx="8">
                  <c:v>233.13225717453437</c:v>
                </c:pt>
                <c:pt idx="9">
                  <c:v>212.94413224820585</c:v>
                </c:pt>
                <c:pt idx="10">
                  <c:v>124.04830329245313</c:v>
                </c:pt>
                <c:pt idx="11">
                  <c:v>103.49359762816276</c:v>
                </c:pt>
                <c:pt idx="12">
                  <c:v>127.2558847496195</c:v>
                </c:pt>
              </c:numCache>
            </c:numRef>
          </c:val>
          <c:smooth val="0"/>
          <c:extLst>
            <c:ext xmlns:c16="http://schemas.microsoft.com/office/drawing/2014/chart" uri="{C3380CC4-5D6E-409C-BE32-E72D297353CC}">
              <c16:uniqueId val="{00000000-68D2-4779-A08B-4570509F5317}"/>
            </c:ext>
          </c:extLst>
        </c:ser>
        <c:dLbls>
          <c:showLegendKey val="0"/>
          <c:showVal val="0"/>
          <c:showCatName val="0"/>
          <c:showSerName val="0"/>
          <c:showPercent val="0"/>
          <c:showBubbleSize val="0"/>
        </c:dLbls>
        <c:marker val="1"/>
        <c:smooth val="0"/>
        <c:axId val="334411120"/>
        <c:axId val="729831688"/>
      </c:lineChart>
      <c:lineChart>
        <c:grouping val="standard"/>
        <c:varyColors val="0"/>
        <c:ser>
          <c:idx val="0"/>
          <c:order val="0"/>
          <c:tx>
            <c:strRef>
              <c:f>disel!$J$1</c:f>
              <c:strCache>
                <c:ptCount val="1"/>
                <c:pt idx="0">
                  <c:v>US Golf Cost Diesel Price - USD per gallon</c:v>
                </c:pt>
              </c:strCache>
            </c:strRef>
          </c:tx>
          <c:spPr>
            <a:ln w="28575" cap="rnd">
              <a:solidFill>
                <a:schemeClr val="accent1"/>
              </a:solidFill>
              <a:round/>
            </a:ln>
            <a:effectLst/>
          </c:spPr>
          <c:marker>
            <c:symbol val="none"/>
          </c:marker>
          <c:cat>
            <c:strRef>
              <c:f>disel!$I$2:$I$14</c:f>
              <c:strCache>
                <c:ptCount val="13"/>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strCache>
            </c:strRef>
          </c:cat>
          <c:val>
            <c:numRef>
              <c:f>disel!$J$2:$J$14</c:f>
              <c:numCache>
                <c:formatCode>0.00</c:formatCode>
                <c:ptCount val="13"/>
                <c:pt idx="0">
                  <c:v>1.9618571428571432</c:v>
                </c:pt>
                <c:pt idx="1">
                  <c:v>1.9618571428571432</c:v>
                </c:pt>
                <c:pt idx="2">
                  <c:v>2.14575</c:v>
                </c:pt>
                <c:pt idx="3">
                  <c:v>2.9203333333333332</c:v>
                </c:pt>
                <c:pt idx="4">
                  <c:v>1.6592500000000001</c:v>
                </c:pt>
                <c:pt idx="5">
                  <c:v>2.1559166666666667</c:v>
                </c:pt>
                <c:pt idx="6">
                  <c:v>2.9695</c:v>
                </c:pt>
                <c:pt idx="7">
                  <c:v>3.0529166666666669</c:v>
                </c:pt>
                <c:pt idx="8">
                  <c:v>2.9678333333333331</c:v>
                </c:pt>
                <c:pt idx="9">
                  <c:v>2.7108333333333334</c:v>
                </c:pt>
                <c:pt idx="10">
                  <c:v>1.5791666666666664</c:v>
                </c:pt>
                <c:pt idx="11">
                  <c:v>1.3174999999999999</c:v>
                </c:pt>
                <c:pt idx="12">
                  <c:v>1.62</c:v>
                </c:pt>
              </c:numCache>
            </c:numRef>
          </c:val>
          <c:smooth val="0"/>
          <c:extLst>
            <c:ext xmlns:c16="http://schemas.microsoft.com/office/drawing/2014/chart" uri="{C3380CC4-5D6E-409C-BE32-E72D297353CC}">
              <c16:uniqueId val="{00000001-68D2-4779-A08B-4570509F5317}"/>
            </c:ext>
          </c:extLst>
        </c:ser>
        <c:dLbls>
          <c:showLegendKey val="0"/>
          <c:showVal val="0"/>
          <c:showCatName val="0"/>
          <c:showSerName val="0"/>
          <c:showPercent val="0"/>
          <c:showBubbleSize val="0"/>
        </c:dLbls>
        <c:marker val="1"/>
        <c:smooth val="0"/>
        <c:axId val="683108832"/>
        <c:axId val="683098008"/>
      </c:lineChart>
      <c:catAx>
        <c:axId val="33441112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29831688"/>
        <c:crosses val="autoZero"/>
        <c:auto val="1"/>
        <c:lblAlgn val="ctr"/>
        <c:lblOffset val="100"/>
        <c:noMultiLvlLbl val="0"/>
      </c:catAx>
      <c:valAx>
        <c:axId val="729831688"/>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USD/MWh</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_(&quot;$&quot;* #,##0.00_);_(&quot;$&quot;* \(#,##0.00\);_(&quot;$&quot;* &quot;-&quot;??_);_(@_)"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34411120"/>
        <c:crosses val="autoZero"/>
        <c:crossBetween val="between"/>
      </c:valAx>
      <c:valAx>
        <c:axId val="683098008"/>
        <c:scaling>
          <c:orientation val="minMax"/>
        </c:scaling>
        <c:delete val="0"/>
        <c:axPos val="r"/>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USD/Gallon</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00"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83108832"/>
        <c:crosses val="max"/>
        <c:crossBetween val="between"/>
      </c:valAx>
      <c:catAx>
        <c:axId val="683108832"/>
        <c:scaling>
          <c:orientation val="minMax"/>
        </c:scaling>
        <c:delete val="1"/>
        <c:axPos val="b"/>
        <c:numFmt formatCode="General" sourceLinked="1"/>
        <c:majorTickMark val="out"/>
        <c:minorTickMark val="none"/>
        <c:tickLblPos val="nextTo"/>
        <c:crossAx val="683098008"/>
        <c:crosses val="autoZero"/>
        <c:auto val="1"/>
        <c:lblAlgn val="ctr"/>
        <c:lblOffset val="100"/>
        <c:noMultiLvlLbl val="0"/>
      </c:cat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7A368E198F79B945A0289C0879D02CB5" ma:contentTypeVersion="581" ma:contentTypeDescription="A content type to manage public (operations) IDB documents" ma:contentTypeScope="" ma:versionID="cc09a2b6e526c113a859946b22d10332">
  <xsd:schema xmlns:xsd="http://www.w3.org/2001/XMLSchema" xmlns:xs="http://www.w3.org/2001/XMLSchema" xmlns:p="http://schemas.microsoft.com/office/2006/metadata/properties" xmlns:ns2="cdc7663a-08f0-4737-9e8c-148ce897a09c" targetNamespace="http://schemas.microsoft.com/office/2006/metadata/properties" ma:root="true" ma:fieldsID="e0933ac9152951f1134b8747c4b45f89"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AR-L1280"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R0001970880</Record_x0020_Number>
    <Key_x0020_Document xmlns="cdc7663a-08f0-4737-9e8c-148ce897a09c">false</Key_x0020_Document>
    <Division_x0020_or_x0020_Unit xmlns="cdc7663a-08f0-4737-9e8c-148ce897a09c">IFD/CMF</Division_x0020_or_x0020_Unit>
    <Other_x0020_Author xmlns="cdc7663a-08f0-4737-9e8c-148ce897a09c" xsi:nil="true"/>
    <IDBDocs_x0020_Number xmlns="cdc7663a-08f0-4737-9e8c-148ce897a09c" xsi:nil="true"/>
    <Document_x0020_Author xmlns="cdc7663a-08f0-4737-9e8c-148ce897a09c">Bernedo, Cecilia</Document_x0020_Author>
    <_dlc_DocId xmlns="cdc7663a-08f0-4737-9e8c-148ce897a09c">EZSHARE-972212929-6</_dlc_DocId>
    <Operation_x0020_Type xmlns="cdc7663a-08f0-4737-9e8c-148ce897a09c">Loan Operation</Operation_x0020_Typ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Argentina</TermName>
          <TermId xmlns="http://schemas.microsoft.com/office/infopath/2007/PartnerControls">eb1b705c-195f-4c3b-9661-b201f2fee3c5</TermId>
        </TermInfo>
      </Terms>
    </ic46d7e087fd4a108fb86518ca413cc6>
    <TaxCatchAll xmlns="cdc7663a-08f0-4737-9e8c-148ce897a09c">
      <Value>260</Value>
      <Value>5</Value>
      <Value>84</Value>
      <Value>1</Value>
      <Value>287</Value>
    </TaxCatchAll>
    <Fiscal_x0020_Year_x0020_IDB xmlns="cdc7663a-08f0-4737-9e8c-148ce897a09c">2018</Fiscal_x0020_Year_x0020_IDB>
    <b26cdb1da78c4bb4b1c1bac2f6ac5911 xmlns="cdc7663a-08f0-4737-9e8c-148ce897a09c">
      <Terms xmlns="http://schemas.microsoft.com/office/infopath/2007/PartnerControls"/>
    </b26cdb1da78c4bb4b1c1bac2f6ac5911>
    <Project_x0020_Number xmlns="cdc7663a-08f0-4737-9e8c-148ce897a09c">AR-L1280</Project_x0020_Number>
    <Package_x0020_Code xmlns="cdc7663a-08f0-4737-9e8c-148ce897a09c" xsi:nil="true"/>
    <Migration_x0020_Info xmlns="cdc7663a-08f0-4737-9e8c-148ce897a09c" xsi:nil="true"/>
    <Related_x0020_SisCor_x0020_Number xmlns="cdc7663a-08f0-4737-9e8c-148ce897a09c" xsi:nil="true"/>
    <Approval_x0020_Number xmlns="cdc7663a-08f0-4737-9e8c-148ce897a09c" xsi:nil="true"/>
    <Business_x0020_Area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Access_x0020_to_x0020_Information_x00a0_Policy xmlns="cdc7663a-08f0-4737-9e8c-148ce897a09c">Public - Simultaneous Disclosure</Access_x0020_to_x0020_Information_x00a0_Policy>
    <SISCOR_x0020_Number xmlns="cdc7663a-08f0-4737-9e8c-148ce897a09c" xsi:nil="true"/>
    <Identifier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GRN</TermName>
          <TermId xmlns="http://schemas.microsoft.com/office/infopath/2007/PartnerControls">d0f1dc7f-e162-4a9c-9421-b7d8c382a710</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FINANCIAL MARKETS</TermName>
          <TermId xmlns="http://schemas.microsoft.com/office/infopath/2007/PartnerControls">75500f29-2419-473a-bcd8-84901ddc2aa7</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FINANCING FOR ENVIRONMENTAL SUSTAINABILITY</TermName>
          <TermId xmlns="http://schemas.microsoft.com/office/infopath/2007/PartnerControls">dcc8718d-dd7c-4b5d-bcc4-86a6a708df42</TermId>
        </TermInfo>
      </Terms>
    </b2ec7cfb18674cb8803df6b262e8b107>
    <Document_x0020_Language_x0020_IDB xmlns="cdc7663a-08f0-4737-9e8c-148ce897a09c">English</Document_x0020_Language_x0020_IDB>
    <_dlc_DocIdUrl xmlns="cdc7663a-08f0-4737-9e8c-148ce897a09c">
      <Url>https://idbg.sharepoint.com/teams/EZ-AR-LON/AR-L1280/_layouts/15/DocIdRedir.aspx?ID=EZSHARE-972212929-6</Url>
      <Description>EZSHARE-972212929-6</Description>
    </_dlc_DocIdUrl>
    <Phase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Banking and Financial Services;Finance;Financial Regulation and Oversight;Financial Risk Management;Financial Sector Development;</Webtopic>
    <Abstract xmlns="cdc7663a-08f0-4737-9e8c-148ce897a09c" xsi:nil="true"/>
    <Publishing_x0020_House xmlns="cdc7663a-08f0-4737-9e8c-148ce897a09c" xsi:nil="true"/>
  </documentManagement>
</p:properties>
</file>

<file path=customXml/item5.xml><?xml version="1.0" encoding="utf-8"?>
<?mso-contentType ?>
<SharedContentType xmlns="Microsoft.SharePoint.Taxonomy.ContentTypeSync" SourceId="ae61f9b1-e23d-4f49-b3d7-56b991556c4b" ContentTypeId="0x010100ACF722E9F6B0B149B0CD8BE2560A6672" PreviousValue="false"/>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A4E5B5-B0A4-4E11-8550-745053A3925A}">
  <ds:schemaRefs>
    <ds:schemaRef ds:uri="http://schemas.microsoft.com/sharepoint/v3/contenttype/forms"/>
  </ds:schemaRefs>
</ds:datastoreItem>
</file>

<file path=customXml/itemProps2.xml><?xml version="1.0" encoding="utf-8"?>
<ds:datastoreItem xmlns:ds="http://schemas.openxmlformats.org/officeDocument/2006/customXml" ds:itemID="{2F441A50-7C06-4633-8A9B-2F22D0E587D5}"/>
</file>

<file path=customXml/itemProps3.xml><?xml version="1.0" encoding="utf-8"?>
<ds:datastoreItem xmlns:ds="http://schemas.openxmlformats.org/officeDocument/2006/customXml" ds:itemID="{F66BE94B-060F-45CE-BBFF-324EAA5F2645}"/>
</file>

<file path=customXml/itemProps4.xml><?xml version="1.0" encoding="utf-8"?>
<ds:datastoreItem xmlns:ds="http://schemas.openxmlformats.org/officeDocument/2006/customXml" ds:itemID="{AF26B47F-0C2C-49F2-8393-7D10D4C16DE0}">
  <ds:schemaRefs>
    <ds:schemaRef ds:uri="http://schemas.microsoft.com/office/infopath/2007/PartnerControls"/>
    <ds:schemaRef ds:uri="http://www.w3.org/XML/1998/namespace"/>
    <ds:schemaRef ds:uri="http://schemas.openxmlformats.org/package/2006/metadata/core-properties"/>
    <ds:schemaRef ds:uri="http://schemas.microsoft.com/office/2006/documentManagement/types"/>
    <ds:schemaRef ds:uri="http://purl.org/dc/dcmitype/"/>
    <ds:schemaRef ds:uri="http://purl.org/dc/terms/"/>
    <ds:schemaRef ds:uri="http://purl.org/dc/elements/1.1/"/>
    <ds:schemaRef ds:uri="cdc7663a-08f0-4737-9e8c-148ce897a09c"/>
    <ds:schemaRef ds:uri="http://schemas.microsoft.com/office/2006/metadata/properties"/>
  </ds:schemaRefs>
</ds:datastoreItem>
</file>

<file path=customXml/itemProps5.xml><?xml version="1.0" encoding="utf-8"?>
<ds:datastoreItem xmlns:ds="http://schemas.openxmlformats.org/officeDocument/2006/customXml" ds:itemID="{E3F4A60C-1CA1-4A2C-BA56-4DA38010812E}">
  <ds:schemaRefs>
    <ds:schemaRef ds:uri="Microsoft.SharePoint.Taxonomy.ContentTypeSync"/>
  </ds:schemaRefs>
</ds:datastoreItem>
</file>

<file path=customXml/itemProps6.xml><?xml version="1.0" encoding="utf-8"?>
<ds:datastoreItem xmlns:ds="http://schemas.openxmlformats.org/officeDocument/2006/customXml" ds:itemID="{A05A66C0-64ED-483F-827C-D3CA997FCF68}">
  <ds:schemaRefs>
    <ds:schemaRef ds:uri="http://schemas.microsoft.com/sharepoint/events"/>
  </ds:schemaRefs>
</ds:datastoreItem>
</file>

<file path=customXml/itemProps7.xml><?xml version="1.0" encoding="utf-8"?>
<ds:datastoreItem xmlns:ds="http://schemas.openxmlformats.org/officeDocument/2006/customXml" ds:itemID="{C101A8CC-10BA-4D32-8D54-04CD8F2D0F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23</Pages>
  <Words>6735</Words>
  <Characters>38394</Characters>
  <Application>Microsoft Office Word</Application>
  <DocSecurity>0</DocSecurity>
  <Lines>319</Lines>
  <Paragraphs>90</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45039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IADB</dc:creator>
  <cp:keywords/>
  <cp:lastModifiedBy>Bernedo, Cecilia</cp:lastModifiedBy>
  <cp:revision>4</cp:revision>
  <cp:lastPrinted>2012-07-26T21:28:00Z</cp:lastPrinted>
  <dcterms:created xsi:type="dcterms:W3CDTF">2018-04-05T21:32:00Z</dcterms:created>
  <dcterms:modified xsi:type="dcterms:W3CDTF">2018-06-22T19:09:00Z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260;#FINANCING FOR ENVIRONMENTAL SUSTAINABILITY|dcc8718d-dd7c-4b5d-bcc4-86a6a708df42</vt:lpwstr>
  </property>
  <property fmtid="{D5CDD505-2E9C-101B-9397-08002B2CF9AE}" pid="7" name="Country">
    <vt:lpwstr>5;#Argentina|eb1b705c-195f-4c3b-9661-b201f2fee3c5</vt:lpwstr>
  </property>
  <property fmtid="{D5CDD505-2E9C-101B-9397-08002B2CF9AE}" pid="8" name="Fund IDB">
    <vt:lpwstr>287;#GRN|d0f1dc7f-e162-4a9c-9421-b7d8c382a710</vt:lpwstr>
  </property>
  <property fmtid="{D5CDD505-2E9C-101B-9397-08002B2CF9AE}" pid="9" name="_dlc_DocIdItemGuid">
    <vt:lpwstr>5384ebf7-c807-411f-b42d-18df4808593f</vt:lpwstr>
  </property>
  <property fmtid="{D5CDD505-2E9C-101B-9397-08002B2CF9AE}" pid="10" name="Sector IDB">
    <vt:lpwstr>84;#FINANCIAL MARKETS|75500f29-2419-473a-bcd8-84901ddc2aa7</vt:lpwstr>
  </property>
  <property fmtid="{D5CDD505-2E9C-101B-9397-08002B2CF9AE}" pid="11" name="Function Operations IDB">
    <vt:lpwstr>1;#Project Preparation, Planning and Design|29ca0c72-1fc4-435f-a09c-28585cb5eac9</vt:lpwstr>
  </property>
  <property fmtid="{D5CDD505-2E9C-101B-9397-08002B2CF9AE}" pid="12" name="RecordPoint_ActiveItemMoved">
    <vt:lpwstr>/teams/EZ-AR-LON/AR-L1280/15 LifeCycle Milestones/Draft Area/POD - 1. ELink Optional - Economic Analysis - AR-L1280.docx</vt:lpwstr>
  </property>
  <property fmtid="{D5CDD505-2E9C-101B-9397-08002B2CF9AE}" pid="13" name="Disclosure Activity">
    <vt:lpwstr>Loan Proposal</vt:lpwstr>
  </property>
  <property fmtid="{D5CDD505-2E9C-101B-9397-08002B2CF9AE}" pid="14" name="ContentTypeId">
    <vt:lpwstr>0x0101001A458A224826124E8B45B1D613300CFC007A368E198F79B945A0289C0879D02CB5</vt:lpwstr>
  </property>
</Properties>
</file>