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C90C14" w14:textId="2B54F70C" w:rsidR="00ED751C" w:rsidRPr="004954B0" w:rsidRDefault="00426E99" w:rsidP="00ED751C">
      <w:pPr>
        <w:pStyle w:val="SubSubPar"/>
        <w:numPr>
          <w:ilvl w:val="0"/>
          <w:numId w:val="0"/>
        </w:numPr>
        <w:spacing w:after="0"/>
        <w:jc w:val="center"/>
        <w:rPr>
          <w:rFonts w:ascii="Arial" w:hAnsi="Arial" w:cs="Arial"/>
          <w:smallCaps/>
          <w:sz w:val="22"/>
          <w:szCs w:val="22"/>
          <w:lang w:val="en-GB"/>
        </w:rPr>
      </w:pPr>
      <w:r w:rsidRPr="004954B0">
        <w:rPr>
          <w:rFonts w:ascii="Arial" w:hAnsi="Arial" w:cs="Arial"/>
          <w:smallCaps/>
          <w:sz w:val="22"/>
          <w:szCs w:val="22"/>
          <w:lang w:val="en-GB"/>
        </w:rPr>
        <w:t xml:space="preserve">Document of the Inter-American Development Bank </w:t>
      </w:r>
      <w:r w:rsidR="00ED751C" w:rsidRPr="004954B0">
        <w:rPr>
          <w:rFonts w:ascii="Arial" w:hAnsi="Arial" w:cs="Arial"/>
          <w:smallCaps/>
          <w:sz w:val="22"/>
          <w:szCs w:val="22"/>
          <w:lang w:val="en-GB"/>
        </w:rPr>
        <w:t xml:space="preserve"> </w:t>
      </w:r>
      <w:r w:rsidRPr="004954B0">
        <w:rPr>
          <w:rFonts w:ascii="Arial" w:hAnsi="Arial" w:cs="Arial"/>
          <w:smallCaps/>
          <w:sz w:val="22"/>
          <w:szCs w:val="22"/>
          <w:lang w:val="en-GB"/>
        </w:rPr>
        <w:t xml:space="preserve"> </w:t>
      </w:r>
    </w:p>
    <w:p w14:paraId="6CC90C15" w14:textId="77777777" w:rsidR="00ED751C" w:rsidRPr="004954B0" w:rsidRDefault="00ED751C" w:rsidP="00ED751C">
      <w:pPr>
        <w:tabs>
          <w:tab w:val="left" w:pos="1440"/>
          <w:tab w:val="left" w:pos="3060"/>
        </w:tabs>
        <w:jc w:val="center"/>
        <w:rPr>
          <w:rFonts w:ascii="Arial" w:hAnsi="Arial" w:cs="Arial"/>
          <w:smallCaps/>
          <w:sz w:val="22"/>
          <w:szCs w:val="22"/>
          <w:lang w:val="en-GB"/>
        </w:rPr>
      </w:pPr>
    </w:p>
    <w:p w14:paraId="6CC90C16" w14:textId="77777777" w:rsidR="00ED751C" w:rsidRPr="004954B0" w:rsidRDefault="00ED751C" w:rsidP="00ED751C">
      <w:pPr>
        <w:tabs>
          <w:tab w:val="left" w:pos="1440"/>
          <w:tab w:val="left" w:pos="3060"/>
        </w:tabs>
        <w:jc w:val="center"/>
        <w:rPr>
          <w:rFonts w:ascii="Arial" w:hAnsi="Arial" w:cs="Arial"/>
          <w:smallCaps/>
          <w:sz w:val="22"/>
          <w:szCs w:val="22"/>
          <w:lang w:val="en-GB"/>
        </w:rPr>
      </w:pPr>
    </w:p>
    <w:p w14:paraId="6CC90C17" w14:textId="77777777" w:rsidR="00ED751C" w:rsidRPr="004954B0" w:rsidRDefault="00ED751C" w:rsidP="00ED751C">
      <w:pPr>
        <w:tabs>
          <w:tab w:val="left" w:pos="1440"/>
          <w:tab w:val="left" w:pos="3060"/>
        </w:tabs>
        <w:jc w:val="center"/>
        <w:rPr>
          <w:rFonts w:ascii="Arial" w:hAnsi="Arial" w:cs="Arial"/>
          <w:smallCaps/>
          <w:sz w:val="22"/>
          <w:szCs w:val="22"/>
          <w:lang w:val="en-GB"/>
        </w:rPr>
      </w:pPr>
    </w:p>
    <w:p w14:paraId="6CC90C18" w14:textId="77777777" w:rsidR="00ED751C" w:rsidRPr="004954B0" w:rsidRDefault="00ED751C" w:rsidP="00ED751C">
      <w:pPr>
        <w:tabs>
          <w:tab w:val="left" w:pos="1440"/>
          <w:tab w:val="left" w:pos="3060"/>
        </w:tabs>
        <w:jc w:val="center"/>
        <w:rPr>
          <w:rFonts w:ascii="Arial" w:hAnsi="Arial" w:cs="Arial"/>
          <w:smallCaps/>
          <w:sz w:val="22"/>
          <w:szCs w:val="22"/>
          <w:lang w:val="en-GB"/>
        </w:rPr>
      </w:pPr>
    </w:p>
    <w:p w14:paraId="6CC90C19" w14:textId="77777777" w:rsidR="00ED751C" w:rsidRPr="004954B0" w:rsidRDefault="00ED751C" w:rsidP="00ED751C">
      <w:pPr>
        <w:tabs>
          <w:tab w:val="left" w:pos="1440"/>
          <w:tab w:val="left" w:pos="3060"/>
        </w:tabs>
        <w:jc w:val="center"/>
        <w:rPr>
          <w:rFonts w:ascii="Arial" w:hAnsi="Arial" w:cs="Arial"/>
          <w:smallCaps/>
          <w:sz w:val="22"/>
          <w:szCs w:val="22"/>
          <w:lang w:val="en-GB"/>
        </w:rPr>
      </w:pPr>
    </w:p>
    <w:p w14:paraId="6CC90C1A" w14:textId="77777777" w:rsidR="00F54AAD" w:rsidRPr="004954B0" w:rsidRDefault="00F54AAD" w:rsidP="00ED751C">
      <w:pPr>
        <w:tabs>
          <w:tab w:val="left" w:pos="1440"/>
          <w:tab w:val="left" w:pos="3060"/>
        </w:tabs>
        <w:jc w:val="center"/>
        <w:rPr>
          <w:rFonts w:ascii="Arial" w:hAnsi="Arial" w:cs="Arial"/>
          <w:smallCaps/>
          <w:sz w:val="22"/>
          <w:szCs w:val="22"/>
          <w:lang w:val="en-GB"/>
        </w:rPr>
      </w:pPr>
    </w:p>
    <w:p w14:paraId="6CC90C1B" w14:textId="77777777" w:rsidR="00F54AAD" w:rsidRPr="004954B0" w:rsidRDefault="00F54AAD" w:rsidP="00ED751C">
      <w:pPr>
        <w:tabs>
          <w:tab w:val="left" w:pos="1440"/>
          <w:tab w:val="left" w:pos="3060"/>
        </w:tabs>
        <w:jc w:val="center"/>
        <w:rPr>
          <w:rFonts w:ascii="Arial" w:hAnsi="Arial" w:cs="Arial"/>
          <w:smallCaps/>
          <w:sz w:val="22"/>
          <w:szCs w:val="22"/>
          <w:lang w:val="en-GB"/>
        </w:rPr>
      </w:pPr>
    </w:p>
    <w:p w14:paraId="6CC90C1C" w14:textId="77777777" w:rsidR="00ED751C" w:rsidRPr="004954B0" w:rsidRDefault="00ED751C" w:rsidP="00ED751C">
      <w:pPr>
        <w:tabs>
          <w:tab w:val="left" w:pos="1440"/>
          <w:tab w:val="left" w:pos="3060"/>
        </w:tabs>
        <w:jc w:val="center"/>
        <w:rPr>
          <w:rFonts w:ascii="Arial" w:hAnsi="Arial" w:cs="Arial"/>
          <w:smallCaps/>
          <w:sz w:val="22"/>
          <w:szCs w:val="22"/>
          <w:lang w:val="en-GB"/>
        </w:rPr>
      </w:pPr>
    </w:p>
    <w:p w14:paraId="6CC90C1D" w14:textId="72573B53" w:rsidR="00ED751C" w:rsidRPr="004954B0" w:rsidRDefault="00755028" w:rsidP="00ED751C">
      <w:pPr>
        <w:tabs>
          <w:tab w:val="left" w:pos="1440"/>
          <w:tab w:val="left" w:pos="3060"/>
        </w:tabs>
        <w:jc w:val="center"/>
        <w:rPr>
          <w:rFonts w:ascii="Arial" w:hAnsi="Arial" w:cs="Arial"/>
          <w:b/>
          <w:smallCaps/>
          <w:sz w:val="28"/>
          <w:szCs w:val="28"/>
          <w:lang w:val="en-GB"/>
        </w:rPr>
      </w:pPr>
      <w:r w:rsidRPr="004954B0">
        <w:rPr>
          <w:rFonts w:ascii="Arial" w:hAnsi="Arial" w:cs="Arial"/>
          <w:b/>
          <w:smallCaps/>
          <w:sz w:val="28"/>
          <w:szCs w:val="28"/>
          <w:lang w:val="en-GB"/>
        </w:rPr>
        <w:t>BARBADOS</w:t>
      </w:r>
    </w:p>
    <w:p w14:paraId="6CC90C1E" w14:textId="77777777" w:rsidR="006F7E62" w:rsidRPr="004954B0" w:rsidRDefault="006F7E62" w:rsidP="00ED751C">
      <w:pPr>
        <w:tabs>
          <w:tab w:val="left" w:pos="1440"/>
          <w:tab w:val="left" w:pos="3060"/>
        </w:tabs>
        <w:jc w:val="center"/>
        <w:rPr>
          <w:rFonts w:ascii="Arial" w:hAnsi="Arial" w:cs="Arial"/>
          <w:b/>
          <w:smallCaps/>
          <w:sz w:val="28"/>
          <w:szCs w:val="28"/>
          <w:lang w:val="en-GB"/>
        </w:rPr>
      </w:pPr>
    </w:p>
    <w:p w14:paraId="6CC90C1F" w14:textId="77777777" w:rsidR="006F7E62" w:rsidRPr="004954B0" w:rsidRDefault="006F7E62" w:rsidP="00ED751C">
      <w:pPr>
        <w:tabs>
          <w:tab w:val="left" w:pos="1440"/>
          <w:tab w:val="left" w:pos="3060"/>
        </w:tabs>
        <w:jc w:val="center"/>
        <w:rPr>
          <w:rFonts w:ascii="Arial" w:hAnsi="Arial" w:cs="Arial"/>
          <w:b/>
          <w:smallCaps/>
          <w:sz w:val="28"/>
          <w:szCs w:val="28"/>
          <w:lang w:val="en-GB"/>
        </w:rPr>
      </w:pPr>
    </w:p>
    <w:p w14:paraId="6CC90C20" w14:textId="77777777" w:rsidR="006F7E62" w:rsidRPr="004954B0" w:rsidRDefault="006F7E62" w:rsidP="00ED751C">
      <w:pPr>
        <w:tabs>
          <w:tab w:val="left" w:pos="1440"/>
          <w:tab w:val="left" w:pos="3060"/>
        </w:tabs>
        <w:jc w:val="center"/>
        <w:rPr>
          <w:rFonts w:ascii="Arial" w:hAnsi="Arial" w:cs="Arial"/>
          <w:b/>
          <w:smallCaps/>
          <w:sz w:val="28"/>
          <w:szCs w:val="28"/>
          <w:lang w:val="en-GB"/>
        </w:rPr>
      </w:pPr>
    </w:p>
    <w:p w14:paraId="6CC90C21" w14:textId="77777777" w:rsidR="00ED751C" w:rsidRPr="004954B0" w:rsidRDefault="00ED751C" w:rsidP="006F7E62">
      <w:pPr>
        <w:tabs>
          <w:tab w:val="left" w:pos="1440"/>
          <w:tab w:val="left" w:pos="3060"/>
        </w:tabs>
        <w:rPr>
          <w:rFonts w:ascii="Arial" w:hAnsi="Arial" w:cs="Arial"/>
          <w:smallCaps/>
          <w:sz w:val="22"/>
          <w:szCs w:val="22"/>
          <w:lang w:val="en-GB"/>
        </w:rPr>
      </w:pPr>
    </w:p>
    <w:p w14:paraId="6CC90C22" w14:textId="77777777" w:rsidR="006F7E62" w:rsidRPr="004954B0" w:rsidRDefault="006F7E62" w:rsidP="006F7E62">
      <w:pPr>
        <w:tabs>
          <w:tab w:val="left" w:pos="1440"/>
          <w:tab w:val="left" w:pos="3060"/>
        </w:tabs>
        <w:rPr>
          <w:rFonts w:ascii="Arial" w:hAnsi="Arial" w:cs="Arial"/>
          <w:smallCaps/>
          <w:sz w:val="22"/>
          <w:szCs w:val="22"/>
          <w:lang w:val="en-GB"/>
        </w:rPr>
      </w:pPr>
    </w:p>
    <w:p w14:paraId="6CC90C23" w14:textId="77777777" w:rsidR="006F7E62" w:rsidRPr="004954B0" w:rsidRDefault="006F7E62" w:rsidP="006F7E62">
      <w:pPr>
        <w:tabs>
          <w:tab w:val="left" w:pos="1440"/>
          <w:tab w:val="left" w:pos="3060"/>
        </w:tabs>
        <w:rPr>
          <w:rFonts w:ascii="Arial" w:hAnsi="Arial" w:cs="Arial"/>
          <w:smallCaps/>
          <w:sz w:val="22"/>
          <w:szCs w:val="22"/>
          <w:lang w:val="en-GB"/>
        </w:rPr>
      </w:pPr>
    </w:p>
    <w:p w14:paraId="6CC90C24" w14:textId="77777777" w:rsidR="006F7E62" w:rsidRPr="004954B0" w:rsidRDefault="006F7E62" w:rsidP="006F7E62">
      <w:pPr>
        <w:tabs>
          <w:tab w:val="left" w:pos="1440"/>
          <w:tab w:val="left" w:pos="3060"/>
        </w:tabs>
        <w:rPr>
          <w:rFonts w:ascii="Arial" w:hAnsi="Arial" w:cs="Arial"/>
          <w:smallCaps/>
          <w:sz w:val="22"/>
          <w:szCs w:val="22"/>
          <w:lang w:val="en-GB"/>
        </w:rPr>
      </w:pPr>
    </w:p>
    <w:p w14:paraId="5C1AD6A6" w14:textId="04E0C4DF" w:rsidR="00075FED" w:rsidRDefault="00075FED" w:rsidP="00075FED">
      <w:pPr>
        <w:pStyle w:val="ProjectTitle"/>
        <w:spacing w:after="120"/>
        <w:rPr>
          <w:noProof w:val="0"/>
          <w:lang w:val="en-GB"/>
        </w:rPr>
      </w:pPr>
      <w:r>
        <w:rPr>
          <w:noProof w:val="0"/>
          <w:lang w:val="en-GB"/>
        </w:rPr>
        <w:t xml:space="preserve">Programme to Strengthen Public Policy and Fiscal </w:t>
      </w:r>
      <w:r>
        <w:rPr>
          <w:noProof w:val="0"/>
          <w:lang w:val="en-GB"/>
        </w:rPr>
        <w:br/>
        <w:t xml:space="preserve">Management in Response to </w:t>
      </w:r>
      <w:r w:rsidRPr="77DE5156">
        <w:rPr>
          <w:noProof w:val="0"/>
          <w:lang w:val="en-GB"/>
        </w:rPr>
        <w:t xml:space="preserve">the </w:t>
      </w:r>
      <w:r>
        <w:rPr>
          <w:noProof w:val="0"/>
          <w:lang w:val="en-GB"/>
        </w:rPr>
        <w:t>Health and Economic Crisis Caused by COVID-19 in Barbados</w:t>
      </w:r>
    </w:p>
    <w:p w14:paraId="35122B1C" w14:textId="77777777" w:rsidR="00E271E6" w:rsidRPr="004954B0" w:rsidRDefault="00E271E6" w:rsidP="00ED751C">
      <w:pPr>
        <w:tabs>
          <w:tab w:val="left" w:pos="1440"/>
          <w:tab w:val="left" w:pos="3060"/>
        </w:tabs>
        <w:jc w:val="center"/>
        <w:rPr>
          <w:rFonts w:ascii="Arial" w:hAnsi="Arial" w:cs="Arial"/>
          <w:b/>
          <w:smallCaps/>
          <w:sz w:val="28"/>
          <w:szCs w:val="28"/>
          <w:lang w:val="en-GB"/>
        </w:rPr>
      </w:pPr>
    </w:p>
    <w:p w14:paraId="6CC90C27" w14:textId="67732860" w:rsidR="00ED751C" w:rsidRPr="004954B0" w:rsidRDefault="00F210E2" w:rsidP="00ED751C">
      <w:pPr>
        <w:tabs>
          <w:tab w:val="left" w:pos="1440"/>
          <w:tab w:val="left" w:pos="3060"/>
        </w:tabs>
        <w:jc w:val="center"/>
        <w:rPr>
          <w:rFonts w:ascii="Arial" w:hAnsi="Arial" w:cs="Arial"/>
          <w:b/>
          <w:smallCaps/>
          <w:sz w:val="28"/>
          <w:szCs w:val="28"/>
          <w:lang w:val="en-GB"/>
        </w:rPr>
      </w:pPr>
      <w:r w:rsidRPr="004954B0">
        <w:rPr>
          <w:rFonts w:ascii="Arial" w:hAnsi="Arial" w:cs="Arial"/>
          <w:b/>
          <w:smallCaps/>
          <w:sz w:val="28"/>
          <w:szCs w:val="28"/>
          <w:lang w:val="en-GB"/>
        </w:rPr>
        <w:t>(</w:t>
      </w:r>
      <w:r w:rsidR="00755028" w:rsidRPr="004954B0">
        <w:rPr>
          <w:rFonts w:ascii="Arial" w:hAnsi="Arial" w:cs="Arial"/>
          <w:b/>
          <w:smallCaps/>
          <w:sz w:val="28"/>
          <w:szCs w:val="28"/>
          <w:lang w:val="en-GB"/>
        </w:rPr>
        <w:t>BA-L1050</w:t>
      </w:r>
      <w:r w:rsidRPr="004954B0">
        <w:rPr>
          <w:rFonts w:ascii="Arial" w:hAnsi="Arial" w:cs="Arial"/>
          <w:b/>
          <w:smallCaps/>
          <w:sz w:val="28"/>
          <w:szCs w:val="28"/>
          <w:lang w:val="en-GB"/>
        </w:rPr>
        <w:t>)</w:t>
      </w:r>
    </w:p>
    <w:p w14:paraId="6CC90C28" w14:textId="1447F4AA" w:rsidR="003F69C9" w:rsidRPr="004954B0" w:rsidRDefault="003F69C9" w:rsidP="00ED751C">
      <w:pPr>
        <w:tabs>
          <w:tab w:val="left" w:pos="1440"/>
          <w:tab w:val="left" w:pos="3060"/>
        </w:tabs>
        <w:jc w:val="center"/>
        <w:rPr>
          <w:rFonts w:ascii="Arial" w:hAnsi="Arial" w:cs="Arial"/>
          <w:b/>
          <w:smallCaps/>
          <w:sz w:val="28"/>
          <w:szCs w:val="28"/>
          <w:lang w:val="en-GB"/>
        </w:rPr>
      </w:pPr>
    </w:p>
    <w:p w14:paraId="2781C8B2" w14:textId="77777777" w:rsidR="00276323" w:rsidRPr="004954B0" w:rsidRDefault="00276323" w:rsidP="00ED751C">
      <w:pPr>
        <w:tabs>
          <w:tab w:val="left" w:pos="1440"/>
          <w:tab w:val="left" w:pos="3060"/>
        </w:tabs>
        <w:jc w:val="center"/>
        <w:rPr>
          <w:rFonts w:ascii="Arial" w:hAnsi="Arial" w:cs="Arial"/>
          <w:b/>
          <w:smallCaps/>
          <w:sz w:val="28"/>
          <w:szCs w:val="28"/>
          <w:lang w:val="en-GB"/>
        </w:rPr>
      </w:pPr>
    </w:p>
    <w:p w14:paraId="6CC90C29" w14:textId="77777777" w:rsidR="003F69C9" w:rsidRPr="004954B0" w:rsidRDefault="003F69C9" w:rsidP="00ED751C">
      <w:pPr>
        <w:tabs>
          <w:tab w:val="left" w:pos="1440"/>
          <w:tab w:val="left" w:pos="3060"/>
        </w:tabs>
        <w:jc w:val="center"/>
        <w:rPr>
          <w:rFonts w:ascii="Arial" w:hAnsi="Arial" w:cs="Arial"/>
          <w:b/>
          <w:smallCaps/>
          <w:sz w:val="28"/>
          <w:szCs w:val="28"/>
          <w:lang w:val="en-GB"/>
        </w:rPr>
      </w:pPr>
    </w:p>
    <w:p w14:paraId="6CC90C2A" w14:textId="03203339" w:rsidR="003F69C9" w:rsidRPr="004954B0" w:rsidRDefault="00426E99" w:rsidP="00ED751C">
      <w:pPr>
        <w:tabs>
          <w:tab w:val="left" w:pos="1440"/>
          <w:tab w:val="left" w:pos="3060"/>
        </w:tabs>
        <w:jc w:val="center"/>
        <w:rPr>
          <w:rFonts w:ascii="Arial" w:hAnsi="Arial" w:cs="Arial"/>
          <w:b/>
          <w:smallCaps/>
          <w:sz w:val="28"/>
          <w:szCs w:val="28"/>
          <w:lang w:val="en-GB"/>
        </w:rPr>
      </w:pPr>
      <w:r w:rsidRPr="004954B0">
        <w:rPr>
          <w:rFonts w:ascii="Arial" w:hAnsi="Arial" w:cs="Arial"/>
          <w:b/>
          <w:smallCaps/>
          <w:sz w:val="28"/>
          <w:szCs w:val="28"/>
          <w:lang w:val="en-GB"/>
        </w:rPr>
        <w:t>Monitoring and Evaluation Plan</w:t>
      </w:r>
      <w:r w:rsidR="003F69C9" w:rsidRPr="004954B0">
        <w:rPr>
          <w:rFonts w:ascii="Arial" w:hAnsi="Arial" w:cs="Arial"/>
          <w:b/>
          <w:smallCaps/>
          <w:sz w:val="28"/>
          <w:szCs w:val="28"/>
          <w:lang w:val="en-GB"/>
        </w:rPr>
        <w:t xml:space="preserve"> </w:t>
      </w:r>
    </w:p>
    <w:p w14:paraId="6CC90C2B" w14:textId="77777777" w:rsidR="003F69C9" w:rsidRPr="004954B0" w:rsidRDefault="003F69C9" w:rsidP="00ED751C">
      <w:pPr>
        <w:tabs>
          <w:tab w:val="left" w:pos="1440"/>
          <w:tab w:val="left" w:pos="3060"/>
        </w:tabs>
        <w:jc w:val="center"/>
        <w:rPr>
          <w:rFonts w:ascii="Arial" w:hAnsi="Arial" w:cs="Arial"/>
          <w:b/>
          <w:smallCaps/>
          <w:sz w:val="28"/>
          <w:szCs w:val="28"/>
          <w:lang w:val="en-GB"/>
        </w:rPr>
      </w:pPr>
    </w:p>
    <w:p w14:paraId="6CC90C2C" w14:textId="77777777" w:rsidR="00ED751C" w:rsidRPr="004954B0" w:rsidRDefault="00ED751C" w:rsidP="00ED751C">
      <w:pPr>
        <w:pStyle w:val="Newpage"/>
        <w:rPr>
          <w:rFonts w:ascii="Arial" w:hAnsi="Arial" w:cs="Arial"/>
          <w:b w:val="0"/>
          <w:caps/>
          <w:smallCaps w:val="0"/>
          <w:sz w:val="22"/>
          <w:szCs w:val="22"/>
          <w:lang w:val="en-GB"/>
        </w:rPr>
      </w:pPr>
    </w:p>
    <w:p w14:paraId="6CC90C2D" w14:textId="77777777" w:rsidR="00ED751C" w:rsidRPr="004954B0" w:rsidRDefault="00ED751C" w:rsidP="00ED751C">
      <w:pPr>
        <w:tabs>
          <w:tab w:val="left" w:pos="1440"/>
          <w:tab w:val="left" w:pos="3060"/>
        </w:tabs>
        <w:jc w:val="center"/>
        <w:rPr>
          <w:rFonts w:ascii="Arial" w:hAnsi="Arial" w:cs="Arial"/>
          <w:b/>
          <w:smallCaps/>
          <w:sz w:val="22"/>
          <w:szCs w:val="22"/>
          <w:lang w:val="en-GB"/>
        </w:rPr>
      </w:pPr>
    </w:p>
    <w:p w14:paraId="6CC90C2E" w14:textId="77777777" w:rsidR="00ED751C" w:rsidRPr="004954B0" w:rsidRDefault="00ED751C" w:rsidP="00ED751C">
      <w:pPr>
        <w:tabs>
          <w:tab w:val="left" w:pos="1440"/>
          <w:tab w:val="left" w:pos="3060"/>
        </w:tabs>
        <w:jc w:val="center"/>
        <w:rPr>
          <w:rFonts w:ascii="Arial" w:hAnsi="Arial" w:cs="Arial"/>
          <w:smallCaps/>
          <w:sz w:val="22"/>
          <w:szCs w:val="22"/>
          <w:lang w:val="en-GB"/>
        </w:rPr>
      </w:pPr>
    </w:p>
    <w:p w14:paraId="6CC90C2F" w14:textId="77777777" w:rsidR="00ED751C" w:rsidRPr="004954B0" w:rsidRDefault="00ED751C" w:rsidP="00ED751C">
      <w:pPr>
        <w:tabs>
          <w:tab w:val="left" w:pos="1440"/>
          <w:tab w:val="left" w:pos="3060"/>
        </w:tabs>
        <w:jc w:val="center"/>
        <w:rPr>
          <w:rFonts w:ascii="Arial" w:hAnsi="Arial" w:cs="Arial"/>
          <w:smallCaps/>
          <w:sz w:val="22"/>
          <w:szCs w:val="22"/>
          <w:lang w:val="en-GB"/>
        </w:rPr>
      </w:pPr>
    </w:p>
    <w:p w14:paraId="6CC90C30" w14:textId="77777777" w:rsidR="00ED751C" w:rsidRPr="004954B0" w:rsidRDefault="00ED751C" w:rsidP="00ED751C">
      <w:pPr>
        <w:tabs>
          <w:tab w:val="left" w:pos="1440"/>
          <w:tab w:val="left" w:pos="3060"/>
        </w:tabs>
        <w:jc w:val="center"/>
        <w:rPr>
          <w:rFonts w:ascii="Arial" w:hAnsi="Arial" w:cs="Arial"/>
          <w:smallCaps/>
          <w:sz w:val="22"/>
          <w:szCs w:val="22"/>
          <w:lang w:val="en-GB"/>
        </w:rPr>
      </w:pPr>
    </w:p>
    <w:p w14:paraId="6CC90C31" w14:textId="77777777" w:rsidR="00ED751C" w:rsidRPr="004954B0" w:rsidRDefault="00ED751C" w:rsidP="00ED751C">
      <w:pPr>
        <w:tabs>
          <w:tab w:val="left" w:pos="1440"/>
          <w:tab w:val="left" w:pos="3060"/>
        </w:tabs>
        <w:jc w:val="center"/>
        <w:rPr>
          <w:rFonts w:ascii="Arial" w:hAnsi="Arial" w:cs="Arial"/>
          <w:sz w:val="22"/>
          <w:szCs w:val="22"/>
          <w:lang w:val="en-GB"/>
        </w:rPr>
      </w:pPr>
    </w:p>
    <w:p w14:paraId="6CC90C32" w14:textId="77777777" w:rsidR="00ED751C" w:rsidRPr="004954B0" w:rsidRDefault="00ED751C" w:rsidP="00ED751C">
      <w:pPr>
        <w:tabs>
          <w:tab w:val="left" w:pos="1440"/>
          <w:tab w:val="left" w:pos="3060"/>
        </w:tabs>
        <w:jc w:val="center"/>
        <w:rPr>
          <w:rFonts w:ascii="Arial" w:hAnsi="Arial" w:cs="Arial"/>
          <w:sz w:val="22"/>
          <w:szCs w:val="22"/>
          <w:lang w:val="en-GB"/>
        </w:rPr>
      </w:pPr>
    </w:p>
    <w:p w14:paraId="6CC90C33" w14:textId="77777777" w:rsidR="00ED751C" w:rsidRPr="004954B0" w:rsidRDefault="00ED751C" w:rsidP="00ED751C">
      <w:pPr>
        <w:tabs>
          <w:tab w:val="left" w:pos="1440"/>
          <w:tab w:val="left" w:pos="3060"/>
        </w:tabs>
        <w:jc w:val="center"/>
        <w:rPr>
          <w:rFonts w:ascii="Arial" w:hAnsi="Arial" w:cs="Arial"/>
          <w:sz w:val="22"/>
          <w:szCs w:val="22"/>
          <w:lang w:val="en-GB"/>
        </w:rPr>
      </w:pPr>
    </w:p>
    <w:p w14:paraId="6CC90C34" w14:textId="77777777" w:rsidR="00ED751C" w:rsidRPr="004954B0" w:rsidRDefault="00ED751C" w:rsidP="00ED751C">
      <w:pPr>
        <w:tabs>
          <w:tab w:val="left" w:pos="1440"/>
          <w:tab w:val="left" w:pos="3060"/>
        </w:tabs>
        <w:jc w:val="center"/>
        <w:rPr>
          <w:rFonts w:ascii="Arial" w:hAnsi="Arial" w:cs="Arial"/>
          <w:sz w:val="22"/>
          <w:szCs w:val="22"/>
          <w:lang w:val="en-GB"/>
        </w:rPr>
      </w:pPr>
    </w:p>
    <w:p w14:paraId="6CC90C35" w14:textId="77777777" w:rsidR="00ED751C" w:rsidRPr="004954B0" w:rsidRDefault="00ED751C" w:rsidP="00ED751C">
      <w:pPr>
        <w:tabs>
          <w:tab w:val="left" w:pos="1440"/>
          <w:tab w:val="left" w:pos="3060"/>
        </w:tabs>
        <w:jc w:val="center"/>
        <w:rPr>
          <w:rFonts w:ascii="Arial" w:hAnsi="Arial" w:cs="Arial"/>
          <w:sz w:val="22"/>
          <w:szCs w:val="22"/>
          <w:lang w:val="en-GB"/>
        </w:rPr>
      </w:pPr>
    </w:p>
    <w:p w14:paraId="6CC90C36" w14:textId="77777777" w:rsidR="00ED751C" w:rsidRPr="004954B0" w:rsidRDefault="00ED751C" w:rsidP="00ED751C">
      <w:pPr>
        <w:tabs>
          <w:tab w:val="left" w:pos="1440"/>
          <w:tab w:val="left" w:pos="3060"/>
        </w:tabs>
        <w:jc w:val="center"/>
        <w:rPr>
          <w:rFonts w:ascii="Arial" w:hAnsi="Arial" w:cs="Arial"/>
          <w:sz w:val="22"/>
          <w:szCs w:val="22"/>
          <w:lang w:val="en-GB"/>
        </w:rPr>
      </w:pPr>
    </w:p>
    <w:p w14:paraId="6CC90C37" w14:textId="77777777" w:rsidR="00ED751C" w:rsidRPr="004954B0" w:rsidRDefault="00ED751C" w:rsidP="00ED751C">
      <w:pPr>
        <w:tabs>
          <w:tab w:val="left" w:pos="1440"/>
          <w:tab w:val="left" w:pos="3060"/>
        </w:tabs>
        <w:jc w:val="center"/>
        <w:rPr>
          <w:rFonts w:ascii="Arial" w:hAnsi="Arial" w:cs="Arial"/>
          <w:sz w:val="22"/>
          <w:szCs w:val="22"/>
          <w:lang w:val="en-GB"/>
        </w:rPr>
      </w:pPr>
    </w:p>
    <w:p w14:paraId="6CC90C3B" w14:textId="77777777" w:rsidR="00ED751C" w:rsidRPr="004954B0" w:rsidRDefault="00ED751C" w:rsidP="00276323">
      <w:pPr>
        <w:tabs>
          <w:tab w:val="left" w:pos="1440"/>
          <w:tab w:val="left" w:pos="3060"/>
        </w:tabs>
        <w:rPr>
          <w:rFonts w:ascii="Arial" w:hAnsi="Arial" w:cs="Arial"/>
          <w:sz w:val="22"/>
          <w:szCs w:val="22"/>
          <w:lang w:val="en-GB"/>
        </w:rPr>
      </w:pPr>
    </w:p>
    <w:p w14:paraId="6CC90C3D" w14:textId="77777777" w:rsidR="00ED751C" w:rsidRPr="004954B0" w:rsidRDefault="00ED751C" w:rsidP="00276323">
      <w:pPr>
        <w:tabs>
          <w:tab w:val="left" w:pos="1440"/>
          <w:tab w:val="left" w:pos="3060"/>
        </w:tabs>
        <w:rPr>
          <w:rFonts w:ascii="Arial" w:hAnsi="Arial" w:cs="Arial"/>
          <w:sz w:val="22"/>
          <w:szCs w:val="22"/>
          <w:lang w:val="en-GB"/>
        </w:rPr>
      </w:pPr>
    </w:p>
    <w:p w14:paraId="6CC90C3E" w14:textId="305B16BF" w:rsidR="00ED751C" w:rsidRPr="004B4126" w:rsidRDefault="006E73B4" w:rsidP="00ED751C">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b/>
          <w:sz w:val="22"/>
          <w:szCs w:val="22"/>
          <w:lang w:val="es-GT"/>
        </w:rPr>
      </w:pPr>
      <w:r w:rsidRPr="004B4126">
        <w:rPr>
          <w:rFonts w:ascii="Arial" w:hAnsi="Arial" w:cs="Arial"/>
          <w:sz w:val="22"/>
          <w:szCs w:val="22"/>
          <w:lang w:val="es-GT"/>
        </w:rPr>
        <w:t>This document was prepared by</w:t>
      </w:r>
      <w:r w:rsidR="00ED751C" w:rsidRPr="004B4126">
        <w:rPr>
          <w:rFonts w:ascii="Arial" w:hAnsi="Arial" w:cs="Arial"/>
          <w:sz w:val="22"/>
          <w:szCs w:val="22"/>
          <w:lang w:val="es-GT"/>
        </w:rPr>
        <w:t xml:space="preserve">: </w:t>
      </w:r>
      <w:r w:rsidR="00755028" w:rsidRPr="004B4126">
        <w:rPr>
          <w:rFonts w:ascii="Arial" w:hAnsi="Arial" w:cs="Arial"/>
          <w:sz w:val="22"/>
          <w:szCs w:val="22"/>
          <w:lang w:val="es-GT"/>
        </w:rPr>
        <w:t>Gerardo Reyes</w:t>
      </w:r>
      <w:r w:rsidR="00F210E2" w:rsidRPr="004B4126">
        <w:rPr>
          <w:rFonts w:ascii="Arial" w:hAnsi="Arial" w:cs="Arial"/>
          <w:sz w:val="22"/>
          <w:szCs w:val="22"/>
          <w:lang w:val="es-GT"/>
        </w:rPr>
        <w:t xml:space="preserve"> (IFD/FMM); Alejandro Rasteletti, Martín Ardanaz, Luis Alejandro Alejos (IFD/FMM); Sebastián Martinez, Cecilia Vidal and </w:t>
      </w:r>
      <w:r w:rsidR="00755028" w:rsidRPr="004B4126">
        <w:rPr>
          <w:rFonts w:ascii="Arial" w:hAnsi="Arial" w:cs="Arial"/>
          <w:sz w:val="22"/>
          <w:szCs w:val="22"/>
          <w:lang w:val="es-GT"/>
        </w:rPr>
        <w:t>Edgar Salgado</w:t>
      </w:r>
      <w:r w:rsidR="00F210E2" w:rsidRPr="004B4126">
        <w:rPr>
          <w:rFonts w:ascii="Arial" w:hAnsi="Arial" w:cs="Arial"/>
          <w:sz w:val="22"/>
          <w:szCs w:val="22"/>
          <w:lang w:val="es-GT"/>
        </w:rPr>
        <w:t xml:space="preserve"> (SPD/SDV).</w:t>
      </w:r>
      <w:r w:rsidR="00ED751C" w:rsidRPr="004B4126">
        <w:rPr>
          <w:rFonts w:ascii="Arial" w:hAnsi="Arial" w:cs="Arial"/>
          <w:sz w:val="22"/>
          <w:szCs w:val="22"/>
          <w:lang w:val="es-GT"/>
        </w:rPr>
        <w:t xml:space="preserve"> </w:t>
      </w:r>
    </w:p>
    <w:p w14:paraId="6CC90C3F" w14:textId="77777777" w:rsidR="00ED751C" w:rsidRPr="004B4126" w:rsidRDefault="00ED751C" w:rsidP="00ED751C">
      <w:pPr>
        <w:tabs>
          <w:tab w:val="left" w:pos="1440"/>
          <w:tab w:val="left" w:pos="3060"/>
        </w:tabs>
        <w:outlineLvl w:val="0"/>
        <w:rPr>
          <w:rFonts w:ascii="Arial" w:hAnsi="Arial" w:cs="Arial"/>
          <w:sz w:val="20"/>
          <w:lang w:val="es-GT"/>
        </w:rPr>
      </w:pPr>
    </w:p>
    <w:p w14:paraId="6CC90C40" w14:textId="77777777" w:rsidR="00ED751C" w:rsidRPr="004B4126" w:rsidRDefault="00ED751C" w:rsidP="00ED751C">
      <w:pPr>
        <w:tabs>
          <w:tab w:val="left" w:pos="1440"/>
          <w:tab w:val="left" w:pos="3060"/>
        </w:tabs>
        <w:outlineLvl w:val="0"/>
        <w:rPr>
          <w:rFonts w:ascii="Arial" w:hAnsi="Arial" w:cs="Arial"/>
          <w:sz w:val="22"/>
          <w:szCs w:val="22"/>
          <w:lang w:val="es-GT"/>
        </w:rPr>
        <w:sectPr w:rsidR="00ED751C" w:rsidRPr="004B4126" w:rsidSect="00ED751C">
          <w:headerReference w:type="even" r:id="rId13"/>
          <w:headerReference w:type="default" r:id="rId14"/>
          <w:footerReference w:type="even" r:id="rId15"/>
          <w:pgSz w:w="12240" w:h="15840" w:code="1"/>
          <w:pgMar w:top="1440" w:right="1800" w:bottom="1440" w:left="1800" w:header="706" w:footer="706" w:gutter="0"/>
          <w:pgNumType w:fmt="lowerRoman" w:start="1"/>
          <w:cols w:space="720"/>
          <w:formProt w:val="0"/>
          <w:titlePg/>
        </w:sectPr>
      </w:pPr>
    </w:p>
    <w:p w14:paraId="6CC90C41" w14:textId="604248EC" w:rsidR="00ED751C" w:rsidRPr="004954B0" w:rsidRDefault="006E73B4" w:rsidP="003F69C9">
      <w:pPr>
        <w:pStyle w:val="Newpage"/>
        <w:rPr>
          <w:rFonts w:ascii="Arial" w:hAnsi="Arial" w:cs="Arial"/>
          <w:szCs w:val="24"/>
          <w:lang w:val="en-GB"/>
        </w:rPr>
      </w:pPr>
      <w:r w:rsidRPr="004954B0">
        <w:rPr>
          <w:rFonts w:ascii="Arial" w:hAnsi="Arial" w:cs="Arial"/>
          <w:szCs w:val="24"/>
          <w:lang w:val="en-GB"/>
        </w:rPr>
        <w:lastRenderedPageBreak/>
        <w:t>Table of Contents</w:t>
      </w:r>
    </w:p>
    <w:p w14:paraId="6CC90C42" w14:textId="77777777" w:rsidR="00ED751C" w:rsidRPr="004954B0" w:rsidRDefault="00ED751C" w:rsidP="00ED751C">
      <w:pPr>
        <w:pStyle w:val="Newpage"/>
        <w:rPr>
          <w:rFonts w:ascii="Arial" w:hAnsi="Arial" w:cs="Arial"/>
          <w:sz w:val="22"/>
          <w:szCs w:val="22"/>
          <w:lang w:val="en-GB"/>
        </w:rPr>
      </w:pPr>
    </w:p>
    <w:p w14:paraId="43826E63" w14:textId="68EDEDDC" w:rsidR="007677F7" w:rsidRPr="004954B0" w:rsidRDefault="00E3347F">
      <w:pPr>
        <w:pStyle w:val="TOC1"/>
        <w:rPr>
          <w:rFonts w:asciiTheme="minorHAnsi" w:eastAsiaTheme="minorEastAsia" w:hAnsiTheme="minorHAnsi" w:cstheme="minorBidi"/>
          <w:b w:val="0"/>
          <w:smallCaps w:val="0"/>
          <w:lang w:val="en-GB"/>
        </w:rPr>
      </w:pPr>
      <w:r w:rsidRPr="004954B0">
        <w:rPr>
          <w:noProof w:val="0"/>
          <w:sz w:val="22"/>
          <w:szCs w:val="22"/>
          <w:lang w:val="en-GB"/>
        </w:rPr>
        <w:fldChar w:fldCharType="begin"/>
      </w:r>
      <w:r w:rsidR="00ED751C" w:rsidRPr="004954B0">
        <w:rPr>
          <w:noProof w:val="0"/>
          <w:sz w:val="22"/>
          <w:szCs w:val="22"/>
          <w:lang w:val="en-GB"/>
        </w:rPr>
        <w:instrText xml:space="preserve"> TOC \f \t "Chapter,1,FirstHeading,2,SecHeading,3" </w:instrText>
      </w:r>
      <w:r w:rsidRPr="004954B0">
        <w:rPr>
          <w:noProof w:val="0"/>
          <w:sz w:val="22"/>
          <w:szCs w:val="22"/>
          <w:lang w:val="en-GB"/>
        </w:rPr>
        <w:fldChar w:fldCharType="separate"/>
      </w:r>
      <w:r w:rsidR="007677F7" w:rsidRPr="004954B0">
        <w:rPr>
          <w:lang w:val="en-GB"/>
        </w:rPr>
        <w:t>I.</w:t>
      </w:r>
      <w:r w:rsidR="007677F7" w:rsidRPr="004954B0">
        <w:rPr>
          <w:rFonts w:asciiTheme="minorHAnsi" w:eastAsiaTheme="minorEastAsia" w:hAnsiTheme="minorHAnsi" w:cstheme="minorBidi"/>
          <w:b w:val="0"/>
          <w:smallCaps w:val="0"/>
          <w:lang w:val="en-GB"/>
        </w:rPr>
        <w:tab/>
      </w:r>
      <w:r w:rsidR="007677F7" w:rsidRPr="004954B0">
        <w:rPr>
          <w:lang w:val="en-GB"/>
        </w:rPr>
        <w:t>Introduction</w:t>
      </w:r>
      <w:r w:rsidR="007677F7" w:rsidRPr="004954B0">
        <w:rPr>
          <w:lang w:val="en-GB"/>
        </w:rPr>
        <w:tab/>
      </w:r>
      <w:r w:rsidR="007677F7" w:rsidRPr="004954B0">
        <w:rPr>
          <w:lang w:val="en-GB"/>
        </w:rPr>
        <w:fldChar w:fldCharType="begin"/>
      </w:r>
      <w:r w:rsidR="007677F7" w:rsidRPr="004954B0">
        <w:rPr>
          <w:lang w:val="en-GB"/>
        </w:rPr>
        <w:instrText xml:space="preserve"> PAGEREF _Toc38495909 \h </w:instrText>
      </w:r>
      <w:r w:rsidR="007677F7" w:rsidRPr="004954B0">
        <w:rPr>
          <w:lang w:val="en-GB"/>
        </w:rPr>
      </w:r>
      <w:r w:rsidR="007677F7" w:rsidRPr="004954B0">
        <w:rPr>
          <w:lang w:val="en-GB"/>
        </w:rPr>
        <w:fldChar w:fldCharType="separate"/>
      </w:r>
      <w:r w:rsidR="00B63845" w:rsidRPr="004954B0">
        <w:rPr>
          <w:lang w:val="en-GB"/>
        </w:rPr>
        <w:t>2</w:t>
      </w:r>
      <w:r w:rsidR="007677F7" w:rsidRPr="004954B0">
        <w:rPr>
          <w:lang w:val="en-GB"/>
        </w:rPr>
        <w:fldChar w:fldCharType="end"/>
      </w:r>
    </w:p>
    <w:p w14:paraId="7DD19A7C" w14:textId="26D37E8C" w:rsidR="007677F7" w:rsidRPr="004954B0" w:rsidRDefault="007677F7">
      <w:pPr>
        <w:pStyle w:val="TOC1"/>
        <w:rPr>
          <w:rFonts w:asciiTheme="minorHAnsi" w:eastAsiaTheme="minorEastAsia" w:hAnsiTheme="minorHAnsi" w:cstheme="minorBidi"/>
          <w:b w:val="0"/>
          <w:smallCaps w:val="0"/>
          <w:lang w:val="en-GB"/>
        </w:rPr>
      </w:pPr>
      <w:r w:rsidRPr="004954B0">
        <w:rPr>
          <w:lang w:val="en-GB"/>
        </w:rPr>
        <w:t>II.</w:t>
      </w:r>
      <w:r w:rsidRPr="004954B0">
        <w:rPr>
          <w:rFonts w:asciiTheme="minorHAnsi" w:eastAsiaTheme="minorEastAsia" w:hAnsiTheme="minorHAnsi" w:cstheme="minorBidi"/>
          <w:b w:val="0"/>
          <w:smallCaps w:val="0"/>
          <w:lang w:val="en-GB"/>
        </w:rPr>
        <w:tab/>
      </w:r>
      <w:r w:rsidRPr="004954B0">
        <w:rPr>
          <w:lang w:val="en-GB"/>
        </w:rPr>
        <w:t>Monitoring</w:t>
      </w:r>
      <w:r w:rsidRPr="004954B0">
        <w:rPr>
          <w:lang w:val="en-GB"/>
        </w:rPr>
        <w:tab/>
      </w:r>
      <w:r w:rsidRPr="004954B0">
        <w:rPr>
          <w:lang w:val="en-GB"/>
        </w:rPr>
        <w:fldChar w:fldCharType="begin"/>
      </w:r>
      <w:r w:rsidRPr="004954B0">
        <w:rPr>
          <w:lang w:val="en-GB"/>
        </w:rPr>
        <w:instrText xml:space="preserve"> PAGEREF _Toc38495910 \h </w:instrText>
      </w:r>
      <w:r w:rsidRPr="004954B0">
        <w:rPr>
          <w:lang w:val="en-GB"/>
        </w:rPr>
      </w:r>
      <w:r w:rsidRPr="004954B0">
        <w:rPr>
          <w:lang w:val="en-GB"/>
        </w:rPr>
        <w:fldChar w:fldCharType="separate"/>
      </w:r>
      <w:r w:rsidR="00B63845" w:rsidRPr="004954B0">
        <w:rPr>
          <w:lang w:val="en-GB"/>
        </w:rPr>
        <w:t>3</w:t>
      </w:r>
      <w:r w:rsidRPr="004954B0">
        <w:rPr>
          <w:lang w:val="en-GB"/>
        </w:rPr>
        <w:fldChar w:fldCharType="end"/>
      </w:r>
    </w:p>
    <w:p w14:paraId="6D209509" w14:textId="1A76FF4F" w:rsidR="007677F7" w:rsidRPr="004954B0" w:rsidRDefault="007677F7">
      <w:pPr>
        <w:pStyle w:val="TOC2"/>
        <w:rPr>
          <w:rFonts w:ascii="Arial" w:eastAsiaTheme="minorEastAsia" w:hAnsi="Arial" w:cs="Arial"/>
          <w:szCs w:val="24"/>
          <w:lang w:val="en-GB"/>
        </w:rPr>
      </w:pPr>
      <w:r w:rsidRPr="004954B0">
        <w:rPr>
          <w:rFonts w:ascii="Arial" w:hAnsi="Arial" w:cs="Arial"/>
          <w:lang w:val="en-GB"/>
        </w:rPr>
        <w:t>A.</w:t>
      </w:r>
      <w:r w:rsidRPr="004954B0">
        <w:rPr>
          <w:rFonts w:ascii="Arial" w:eastAsiaTheme="minorEastAsia" w:hAnsi="Arial" w:cs="Arial"/>
          <w:szCs w:val="24"/>
          <w:lang w:val="en-GB"/>
        </w:rPr>
        <w:tab/>
      </w:r>
      <w:r w:rsidRPr="004954B0">
        <w:rPr>
          <w:rFonts w:ascii="Arial" w:hAnsi="Arial" w:cs="Arial"/>
          <w:lang w:val="en-GB"/>
        </w:rPr>
        <w:t>Indicators</w:t>
      </w:r>
      <w:r w:rsidRPr="004954B0">
        <w:rPr>
          <w:rFonts w:ascii="Arial" w:hAnsi="Arial" w:cs="Arial"/>
          <w:lang w:val="en-GB"/>
        </w:rPr>
        <w:tab/>
      </w:r>
      <w:r w:rsidRPr="004954B0">
        <w:rPr>
          <w:rFonts w:ascii="Arial" w:hAnsi="Arial" w:cs="Arial"/>
          <w:lang w:val="en-GB"/>
        </w:rPr>
        <w:fldChar w:fldCharType="begin"/>
      </w:r>
      <w:r w:rsidRPr="004954B0">
        <w:rPr>
          <w:rFonts w:ascii="Arial" w:hAnsi="Arial" w:cs="Arial"/>
          <w:lang w:val="en-GB"/>
        </w:rPr>
        <w:instrText xml:space="preserve"> PAGEREF _Toc38495911 \h </w:instrText>
      </w:r>
      <w:r w:rsidRPr="004954B0">
        <w:rPr>
          <w:rFonts w:ascii="Arial" w:hAnsi="Arial" w:cs="Arial"/>
          <w:lang w:val="en-GB"/>
        </w:rPr>
      </w:r>
      <w:r w:rsidRPr="004954B0">
        <w:rPr>
          <w:rFonts w:ascii="Arial" w:hAnsi="Arial" w:cs="Arial"/>
          <w:lang w:val="en-GB"/>
        </w:rPr>
        <w:fldChar w:fldCharType="separate"/>
      </w:r>
      <w:r w:rsidR="00B63845" w:rsidRPr="004954B0">
        <w:rPr>
          <w:rFonts w:ascii="Arial" w:hAnsi="Arial" w:cs="Arial"/>
          <w:lang w:val="en-GB"/>
        </w:rPr>
        <w:t>3</w:t>
      </w:r>
      <w:r w:rsidRPr="004954B0">
        <w:rPr>
          <w:rFonts w:ascii="Arial" w:hAnsi="Arial" w:cs="Arial"/>
          <w:lang w:val="en-GB"/>
        </w:rPr>
        <w:fldChar w:fldCharType="end"/>
      </w:r>
    </w:p>
    <w:p w14:paraId="16025C34" w14:textId="7E4CB96D" w:rsidR="007677F7" w:rsidRPr="004954B0" w:rsidRDefault="007677F7">
      <w:pPr>
        <w:pStyle w:val="TOC2"/>
        <w:rPr>
          <w:rFonts w:ascii="Arial" w:eastAsiaTheme="minorEastAsia" w:hAnsi="Arial" w:cs="Arial"/>
          <w:szCs w:val="24"/>
          <w:lang w:val="en-GB"/>
        </w:rPr>
      </w:pPr>
      <w:r w:rsidRPr="004954B0">
        <w:rPr>
          <w:rFonts w:ascii="Arial" w:hAnsi="Arial" w:cs="Arial"/>
          <w:lang w:val="en-GB"/>
        </w:rPr>
        <w:t>B.</w:t>
      </w:r>
      <w:r w:rsidRPr="004954B0">
        <w:rPr>
          <w:rFonts w:ascii="Arial" w:eastAsiaTheme="minorEastAsia" w:hAnsi="Arial" w:cs="Arial"/>
          <w:szCs w:val="24"/>
          <w:lang w:val="en-GB"/>
        </w:rPr>
        <w:tab/>
      </w:r>
      <w:r w:rsidRPr="004954B0">
        <w:rPr>
          <w:rFonts w:ascii="Arial" w:hAnsi="Arial" w:cs="Arial"/>
          <w:lang w:val="en-GB"/>
        </w:rPr>
        <w:t>Data Collection and Instruments</w:t>
      </w:r>
      <w:r w:rsidRPr="004954B0">
        <w:rPr>
          <w:rFonts w:ascii="Arial" w:hAnsi="Arial" w:cs="Arial"/>
          <w:lang w:val="en-GB"/>
        </w:rPr>
        <w:tab/>
      </w:r>
      <w:r w:rsidRPr="004954B0">
        <w:rPr>
          <w:rFonts w:ascii="Arial" w:hAnsi="Arial" w:cs="Arial"/>
          <w:lang w:val="en-GB"/>
        </w:rPr>
        <w:fldChar w:fldCharType="begin"/>
      </w:r>
      <w:r w:rsidRPr="004954B0">
        <w:rPr>
          <w:rFonts w:ascii="Arial" w:hAnsi="Arial" w:cs="Arial"/>
          <w:lang w:val="en-GB"/>
        </w:rPr>
        <w:instrText xml:space="preserve"> PAGEREF _Toc38495912 \h </w:instrText>
      </w:r>
      <w:r w:rsidRPr="004954B0">
        <w:rPr>
          <w:rFonts w:ascii="Arial" w:hAnsi="Arial" w:cs="Arial"/>
          <w:lang w:val="en-GB"/>
        </w:rPr>
      </w:r>
      <w:r w:rsidRPr="004954B0">
        <w:rPr>
          <w:rFonts w:ascii="Arial" w:hAnsi="Arial" w:cs="Arial"/>
          <w:lang w:val="en-GB"/>
        </w:rPr>
        <w:fldChar w:fldCharType="separate"/>
      </w:r>
      <w:r w:rsidR="00B63845" w:rsidRPr="004954B0">
        <w:rPr>
          <w:rFonts w:ascii="Arial" w:hAnsi="Arial" w:cs="Arial"/>
          <w:lang w:val="en-GB"/>
        </w:rPr>
        <w:t>3</w:t>
      </w:r>
      <w:r w:rsidRPr="004954B0">
        <w:rPr>
          <w:rFonts w:ascii="Arial" w:hAnsi="Arial" w:cs="Arial"/>
          <w:lang w:val="en-GB"/>
        </w:rPr>
        <w:fldChar w:fldCharType="end"/>
      </w:r>
    </w:p>
    <w:p w14:paraId="7397F9F3" w14:textId="2224902D" w:rsidR="007677F7" w:rsidRPr="004954B0" w:rsidRDefault="007677F7">
      <w:pPr>
        <w:pStyle w:val="TOC2"/>
        <w:rPr>
          <w:rFonts w:ascii="Arial" w:eastAsiaTheme="minorEastAsia" w:hAnsi="Arial" w:cs="Arial"/>
          <w:szCs w:val="24"/>
          <w:lang w:val="en-GB"/>
        </w:rPr>
      </w:pPr>
      <w:r w:rsidRPr="004954B0">
        <w:rPr>
          <w:rFonts w:ascii="Arial" w:hAnsi="Arial" w:cs="Arial"/>
          <w:lang w:val="en-GB"/>
        </w:rPr>
        <w:t>C.</w:t>
      </w:r>
      <w:r w:rsidRPr="004954B0">
        <w:rPr>
          <w:rFonts w:ascii="Arial" w:eastAsiaTheme="minorEastAsia" w:hAnsi="Arial" w:cs="Arial"/>
          <w:szCs w:val="24"/>
          <w:lang w:val="en-GB"/>
        </w:rPr>
        <w:tab/>
      </w:r>
      <w:r w:rsidRPr="004954B0">
        <w:rPr>
          <w:rFonts w:ascii="Arial" w:hAnsi="Arial" w:cs="Arial"/>
          <w:lang w:val="en-GB"/>
        </w:rPr>
        <w:t>Reporting</w:t>
      </w:r>
      <w:r w:rsidRPr="004954B0">
        <w:rPr>
          <w:rFonts w:ascii="Arial" w:hAnsi="Arial" w:cs="Arial"/>
          <w:lang w:val="en-GB"/>
        </w:rPr>
        <w:tab/>
      </w:r>
      <w:r w:rsidRPr="004954B0">
        <w:rPr>
          <w:rFonts w:ascii="Arial" w:hAnsi="Arial" w:cs="Arial"/>
          <w:lang w:val="en-GB"/>
        </w:rPr>
        <w:fldChar w:fldCharType="begin"/>
      </w:r>
      <w:r w:rsidRPr="004954B0">
        <w:rPr>
          <w:rFonts w:ascii="Arial" w:hAnsi="Arial" w:cs="Arial"/>
          <w:lang w:val="en-GB"/>
        </w:rPr>
        <w:instrText xml:space="preserve"> PAGEREF _Toc38495913 \h </w:instrText>
      </w:r>
      <w:r w:rsidRPr="004954B0">
        <w:rPr>
          <w:rFonts w:ascii="Arial" w:hAnsi="Arial" w:cs="Arial"/>
          <w:lang w:val="en-GB"/>
        </w:rPr>
      </w:r>
      <w:r w:rsidRPr="004954B0">
        <w:rPr>
          <w:rFonts w:ascii="Arial" w:hAnsi="Arial" w:cs="Arial"/>
          <w:lang w:val="en-GB"/>
        </w:rPr>
        <w:fldChar w:fldCharType="separate"/>
      </w:r>
      <w:r w:rsidR="00B63845" w:rsidRPr="004954B0">
        <w:rPr>
          <w:rFonts w:ascii="Arial" w:hAnsi="Arial" w:cs="Arial"/>
          <w:lang w:val="en-GB"/>
        </w:rPr>
        <w:t>3</w:t>
      </w:r>
      <w:r w:rsidRPr="004954B0">
        <w:rPr>
          <w:rFonts w:ascii="Arial" w:hAnsi="Arial" w:cs="Arial"/>
          <w:lang w:val="en-GB"/>
        </w:rPr>
        <w:fldChar w:fldCharType="end"/>
      </w:r>
    </w:p>
    <w:p w14:paraId="285CCEEC" w14:textId="11386B21" w:rsidR="007677F7" w:rsidRPr="004954B0" w:rsidRDefault="007677F7">
      <w:pPr>
        <w:pStyle w:val="TOC2"/>
        <w:rPr>
          <w:rFonts w:ascii="Arial" w:eastAsiaTheme="minorEastAsia" w:hAnsi="Arial" w:cs="Arial"/>
          <w:szCs w:val="24"/>
          <w:lang w:val="en-GB"/>
        </w:rPr>
      </w:pPr>
      <w:r w:rsidRPr="004954B0">
        <w:rPr>
          <w:rFonts w:ascii="Arial" w:hAnsi="Arial" w:cs="Arial"/>
          <w:lang w:val="en-GB"/>
        </w:rPr>
        <w:t>D.</w:t>
      </w:r>
      <w:r w:rsidRPr="004954B0">
        <w:rPr>
          <w:rFonts w:ascii="Arial" w:eastAsiaTheme="minorEastAsia" w:hAnsi="Arial" w:cs="Arial"/>
          <w:szCs w:val="24"/>
          <w:lang w:val="en-GB"/>
        </w:rPr>
        <w:tab/>
      </w:r>
      <w:r w:rsidRPr="004954B0">
        <w:rPr>
          <w:rFonts w:ascii="Arial" w:hAnsi="Arial" w:cs="Arial"/>
          <w:lang w:val="en-GB"/>
        </w:rPr>
        <w:t>Coordination, Working Plan, and Budget for Monitoring</w:t>
      </w:r>
      <w:r w:rsidRPr="004954B0">
        <w:rPr>
          <w:rFonts w:ascii="Arial" w:hAnsi="Arial" w:cs="Arial"/>
          <w:lang w:val="en-GB"/>
        </w:rPr>
        <w:tab/>
      </w:r>
      <w:r w:rsidRPr="004954B0">
        <w:rPr>
          <w:rFonts w:ascii="Arial" w:hAnsi="Arial" w:cs="Arial"/>
          <w:lang w:val="en-GB"/>
        </w:rPr>
        <w:fldChar w:fldCharType="begin"/>
      </w:r>
      <w:r w:rsidRPr="004954B0">
        <w:rPr>
          <w:rFonts w:ascii="Arial" w:hAnsi="Arial" w:cs="Arial"/>
          <w:lang w:val="en-GB"/>
        </w:rPr>
        <w:instrText xml:space="preserve"> PAGEREF _Toc38495914 \h </w:instrText>
      </w:r>
      <w:r w:rsidRPr="004954B0">
        <w:rPr>
          <w:rFonts w:ascii="Arial" w:hAnsi="Arial" w:cs="Arial"/>
          <w:lang w:val="en-GB"/>
        </w:rPr>
      </w:r>
      <w:r w:rsidRPr="004954B0">
        <w:rPr>
          <w:rFonts w:ascii="Arial" w:hAnsi="Arial" w:cs="Arial"/>
          <w:lang w:val="en-GB"/>
        </w:rPr>
        <w:fldChar w:fldCharType="separate"/>
      </w:r>
      <w:r w:rsidR="00B63845" w:rsidRPr="004954B0">
        <w:rPr>
          <w:rFonts w:ascii="Arial" w:hAnsi="Arial" w:cs="Arial"/>
          <w:lang w:val="en-GB"/>
        </w:rPr>
        <w:t>7</w:t>
      </w:r>
      <w:r w:rsidRPr="004954B0">
        <w:rPr>
          <w:rFonts w:ascii="Arial" w:hAnsi="Arial" w:cs="Arial"/>
          <w:lang w:val="en-GB"/>
        </w:rPr>
        <w:fldChar w:fldCharType="end"/>
      </w:r>
    </w:p>
    <w:p w14:paraId="0B7B0017" w14:textId="1142100B" w:rsidR="007677F7" w:rsidRPr="004954B0" w:rsidRDefault="007677F7">
      <w:pPr>
        <w:pStyle w:val="TOC1"/>
        <w:rPr>
          <w:rFonts w:asciiTheme="minorHAnsi" w:eastAsiaTheme="minorEastAsia" w:hAnsiTheme="minorHAnsi" w:cstheme="minorBidi"/>
          <w:b w:val="0"/>
          <w:smallCaps w:val="0"/>
          <w:lang w:val="en-GB"/>
        </w:rPr>
      </w:pPr>
      <w:r w:rsidRPr="004954B0">
        <w:rPr>
          <w:lang w:val="en-GB"/>
        </w:rPr>
        <w:t>III.</w:t>
      </w:r>
      <w:r w:rsidRPr="004954B0">
        <w:rPr>
          <w:rFonts w:asciiTheme="minorHAnsi" w:eastAsiaTheme="minorEastAsia" w:hAnsiTheme="minorHAnsi" w:cstheme="minorBidi"/>
          <w:b w:val="0"/>
          <w:smallCaps w:val="0"/>
          <w:lang w:val="en-GB"/>
        </w:rPr>
        <w:tab/>
      </w:r>
      <w:r w:rsidRPr="004954B0">
        <w:rPr>
          <w:lang w:val="en-GB"/>
        </w:rPr>
        <w:t>Evalua</w:t>
      </w:r>
      <w:r w:rsidRPr="004954B0">
        <w:rPr>
          <w:lang w:val="en-GB" w:eastAsia="zh-CN"/>
        </w:rPr>
        <w:t>tion</w:t>
      </w:r>
      <w:r w:rsidRPr="004954B0">
        <w:rPr>
          <w:lang w:val="en-GB"/>
        </w:rPr>
        <w:tab/>
      </w:r>
      <w:r w:rsidRPr="004954B0">
        <w:rPr>
          <w:lang w:val="en-GB"/>
        </w:rPr>
        <w:fldChar w:fldCharType="begin"/>
      </w:r>
      <w:r w:rsidRPr="004954B0">
        <w:rPr>
          <w:lang w:val="en-GB"/>
        </w:rPr>
        <w:instrText xml:space="preserve"> PAGEREF _Toc38495915 \h </w:instrText>
      </w:r>
      <w:r w:rsidRPr="004954B0">
        <w:rPr>
          <w:lang w:val="en-GB"/>
        </w:rPr>
      </w:r>
      <w:r w:rsidRPr="004954B0">
        <w:rPr>
          <w:lang w:val="en-GB"/>
        </w:rPr>
        <w:fldChar w:fldCharType="separate"/>
      </w:r>
      <w:r w:rsidR="00B63845" w:rsidRPr="004954B0">
        <w:rPr>
          <w:lang w:val="en-GB"/>
        </w:rPr>
        <w:t>7</w:t>
      </w:r>
      <w:r w:rsidRPr="004954B0">
        <w:rPr>
          <w:lang w:val="en-GB"/>
        </w:rPr>
        <w:fldChar w:fldCharType="end"/>
      </w:r>
    </w:p>
    <w:p w14:paraId="08BF295B" w14:textId="53061AF5" w:rsidR="007677F7" w:rsidRPr="004954B0" w:rsidRDefault="007677F7">
      <w:pPr>
        <w:pStyle w:val="TOC2"/>
        <w:rPr>
          <w:rFonts w:ascii="Arial" w:eastAsiaTheme="minorEastAsia" w:hAnsi="Arial" w:cs="Arial"/>
          <w:szCs w:val="24"/>
          <w:lang w:val="en-GB"/>
        </w:rPr>
      </w:pPr>
      <w:r w:rsidRPr="004954B0">
        <w:rPr>
          <w:rFonts w:ascii="Arial" w:hAnsi="Arial" w:cs="Arial"/>
          <w:lang w:val="en-GB"/>
        </w:rPr>
        <w:t>A.</w:t>
      </w:r>
      <w:r w:rsidRPr="004954B0">
        <w:rPr>
          <w:rFonts w:ascii="Arial" w:eastAsiaTheme="minorEastAsia" w:hAnsi="Arial" w:cs="Arial"/>
          <w:szCs w:val="24"/>
          <w:lang w:val="en-GB"/>
        </w:rPr>
        <w:tab/>
      </w:r>
      <w:r w:rsidRPr="004954B0">
        <w:rPr>
          <w:rFonts w:ascii="Arial" w:hAnsi="Arial" w:cs="Arial"/>
          <w:lang w:val="en-GB" w:eastAsia="zh-CN"/>
        </w:rPr>
        <w:t>Main Evaluation Questions</w:t>
      </w:r>
      <w:r w:rsidRPr="004954B0">
        <w:rPr>
          <w:rFonts w:ascii="Arial" w:hAnsi="Arial" w:cs="Arial"/>
          <w:lang w:val="en-GB"/>
        </w:rPr>
        <w:tab/>
      </w:r>
      <w:r w:rsidRPr="004954B0">
        <w:rPr>
          <w:rFonts w:ascii="Arial" w:hAnsi="Arial" w:cs="Arial"/>
          <w:lang w:val="en-GB"/>
        </w:rPr>
        <w:fldChar w:fldCharType="begin"/>
      </w:r>
      <w:r w:rsidRPr="004954B0">
        <w:rPr>
          <w:rFonts w:ascii="Arial" w:hAnsi="Arial" w:cs="Arial"/>
          <w:lang w:val="en-GB"/>
        </w:rPr>
        <w:instrText xml:space="preserve"> PAGEREF _Toc38495916 \h </w:instrText>
      </w:r>
      <w:r w:rsidRPr="004954B0">
        <w:rPr>
          <w:rFonts w:ascii="Arial" w:hAnsi="Arial" w:cs="Arial"/>
          <w:lang w:val="en-GB"/>
        </w:rPr>
      </w:r>
      <w:r w:rsidRPr="004954B0">
        <w:rPr>
          <w:rFonts w:ascii="Arial" w:hAnsi="Arial" w:cs="Arial"/>
          <w:lang w:val="en-GB"/>
        </w:rPr>
        <w:fldChar w:fldCharType="separate"/>
      </w:r>
      <w:r w:rsidR="00B63845" w:rsidRPr="004954B0">
        <w:rPr>
          <w:rFonts w:ascii="Arial" w:hAnsi="Arial" w:cs="Arial"/>
          <w:lang w:val="en-GB"/>
        </w:rPr>
        <w:t>7</w:t>
      </w:r>
      <w:r w:rsidRPr="004954B0">
        <w:rPr>
          <w:rFonts w:ascii="Arial" w:hAnsi="Arial" w:cs="Arial"/>
          <w:lang w:val="en-GB"/>
        </w:rPr>
        <w:fldChar w:fldCharType="end"/>
      </w:r>
    </w:p>
    <w:p w14:paraId="28A247F9" w14:textId="6E17EF50" w:rsidR="007677F7" w:rsidRPr="004954B0" w:rsidRDefault="007677F7">
      <w:pPr>
        <w:pStyle w:val="TOC2"/>
        <w:rPr>
          <w:rFonts w:ascii="Arial" w:eastAsiaTheme="minorEastAsia" w:hAnsi="Arial" w:cs="Arial"/>
          <w:szCs w:val="24"/>
          <w:lang w:val="en-GB"/>
        </w:rPr>
      </w:pPr>
      <w:r w:rsidRPr="004954B0">
        <w:rPr>
          <w:rFonts w:ascii="Arial" w:hAnsi="Arial" w:cs="Arial"/>
          <w:lang w:val="en-GB"/>
        </w:rPr>
        <w:t>B.</w:t>
      </w:r>
      <w:r w:rsidRPr="004954B0">
        <w:rPr>
          <w:rFonts w:ascii="Arial" w:eastAsiaTheme="minorEastAsia" w:hAnsi="Arial" w:cs="Arial"/>
          <w:szCs w:val="24"/>
          <w:lang w:val="en-GB"/>
        </w:rPr>
        <w:tab/>
      </w:r>
      <w:r w:rsidRPr="004954B0">
        <w:rPr>
          <w:rFonts w:ascii="Arial" w:hAnsi="Arial" w:cs="Arial"/>
          <w:lang w:val="en-GB" w:eastAsia="zh-CN"/>
        </w:rPr>
        <w:t>Main Result Indicators</w:t>
      </w:r>
      <w:r w:rsidRPr="004954B0">
        <w:rPr>
          <w:rFonts w:ascii="Arial" w:hAnsi="Arial" w:cs="Arial"/>
          <w:lang w:val="en-GB"/>
        </w:rPr>
        <w:tab/>
      </w:r>
      <w:r w:rsidRPr="004954B0">
        <w:rPr>
          <w:rFonts w:ascii="Arial" w:hAnsi="Arial" w:cs="Arial"/>
          <w:lang w:val="en-GB"/>
        </w:rPr>
        <w:fldChar w:fldCharType="begin"/>
      </w:r>
      <w:r w:rsidRPr="004954B0">
        <w:rPr>
          <w:rFonts w:ascii="Arial" w:hAnsi="Arial" w:cs="Arial"/>
          <w:lang w:val="en-GB"/>
        </w:rPr>
        <w:instrText xml:space="preserve"> PAGEREF _Toc38495917 \h </w:instrText>
      </w:r>
      <w:r w:rsidRPr="004954B0">
        <w:rPr>
          <w:rFonts w:ascii="Arial" w:hAnsi="Arial" w:cs="Arial"/>
          <w:lang w:val="en-GB"/>
        </w:rPr>
      </w:r>
      <w:r w:rsidRPr="004954B0">
        <w:rPr>
          <w:rFonts w:ascii="Arial" w:hAnsi="Arial" w:cs="Arial"/>
          <w:lang w:val="en-GB"/>
        </w:rPr>
        <w:fldChar w:fldCharType="separate"/>
      </w:r>
      <w:r w:rsidR="00B63845" w:rsidRPr="004954B0">
        <w:rPr>
          <w:rFonts w:ascii="Arial" w:hAnsi="Arial" w:cs="Arial"/>
          <w:lang w:val="en-GB"/>
        </w:rPr>
        <w:t>8</w:t>
      </w:r>
      <w:r w:rsidRPr="004954B0">
        <w:rPr>
          <w:rFonts w:ascii="Arial" w:hAnsi="Arial" w:cs="Arial"/>
          <w:lang w:val="en-GB"/>
        </w:rPr>
        <w:fldChar w:fldCharType="end"/>
      </w:r>
    </w:p>
    <w:p w14:paraId="74AFF2F8" w14:textId="11DA81C9" w:rsidR="007677F7" w:rsidRPr="004954B0" w:rsidRDefault="007677F7">
      <w:pPr>
        <w:pStyle w:val="TOC2"/>
        <w:rPr>
          <w:rFonts w:ascii="Arial" w:eastAsiaTheme="minorEastAsia" w:hAnsi="Arial" w:cs="Arial"/>
          <w:szCs w:val="24"/>
          <w:lang w:val="en-GB"/>
        </w:rPr>
      </w:pPr>
      <w:r w:rsidRPr="004954B0">
        <w:rPr>
          <w:rFonts w:ascii="Arial" w:hAnsi="Arial" w:cs="Arial"/>
          <w:lang w:val="en-GB"/>
        </w:rPr>
        <w:t>C.</w:t>
      </w:r>
      <w:r w:rsidRPr="004954B0">
        <w:rPr>
          <w:rFonts w:ascii="Arial" w:eastAsiaTheme="minorEastAsia" w:hAnsi="Arial" w:cs="Arial"/>
          <w:szCs w:val="24"/>
          <w:lang w:val="en-GB"/>
        </w:rPr>
        <w:tab/>
      </w:r>
      <w:r w:rsidRPr="004954B0">
        <w:rPr>
          <w:rFonts w:ascii="Arial" w:hAnsi="Arial" w:cs="Arial"/>
          <w:lang w:val="en-GB" w:eastAsia="zh-CN"/>
        </w:rPr>
        <w:t>Current knowledge</w:t>
      </w:r>
      <w:r w:rsidRPr="004954B0">
        <w:rPr>
          <w:rFonts w:ascii="Arial" w:hAnsi="Arial" w:cs="Arial"/>
          <w:lang w:val="en-GB"/>
        </w:rPr>
        <w:t xml:space="preserve"> </w:t>
      </w:r>
      <w:r w:rsidRPr="004954B0">
        <w:rPr>
          <w:rFonts w:ascii="Arial" w:hAnsi="Arial" w:cs="Arial"/>
          <w:lang w:val="en-GB"/>
        </w:rPr>
        <w:tab/>
      </w:r>
      <w:r w:rsidRPr="004954B0">
        <w:rPr>
          <w:rFonts w:ascii="Arial" w:hAnsi="Arial" w:cs="Arial"/>
          <w:lang w:val="en-GB"/>
        </w:rPr>
        <w:fldChar w:fldCharType="begin"/>
      </w:r>
      <w:r w:rsidRPr="004954B0">
        <w:rPr>
          <w:rFonts w:ascii="Arial" w:hAnsi="Arial" w:cs="Arial"/>
          <w:lang w:val="en-GB"/>
        </w:rPr>
        <w:instrText xml:space="preserve"> PAGEREF _Toc38495918 \h </w:instrText>
      </w:r>
      <w:r w:rsidRPr="004954B0">
        <w:rPr>
          <w:rFonts w:ascii="Arial" w:hAnsi="Arial" w:cs="Arial"/>
          <w:lang w:val="en-GB"/>
        </w:rPr>
      </w:r>
      <w:r w:rsidRPr="004954B0">
        <w:rPr>
          <w:rFonts w:ascii="Arial" w:hAnsi="Arial" w:cs="Arial"/>
          <w:lang w:val="en-GB"/>
        </w:rPr>
        <w:fldChar w:fldCharType="separate"/>
      </w:r>
      <w:r w:rsidR="00B63845" w:rsidRPr="004954B0">
        <w:rPr>
          <w:rFonts w:ascii="Arial" w:hAnsi="Arial" w:cs="Arial"/>
          <w:lang w:val="en-GB"/>
        </w:rPr>
        <w:t>13</w:t>
      </w:r>
      <w:r w:rsidRPr="004954B0">
        <w:rPr>
          <w:rFonts w:ascii="Arial" w:hAnsi="Arial" w:cs="Arial"/>
          <w:lang w:val="en-GB"/>
        </w:rPr>
        <w:fldChar w:fldCharType="end"/>
      </w:r>
    </w:p>
    <w:p w14:paraId="1D091A4B" w14:textId="6C722C9B" w:rsidR="007677F7" w:rsidRPr="004954B0" w:rsidRDefault="007677F7">
      <w:pPr>
        <w:pStyle w:val="TOC2"/>
        <w:rPr>
          <w:rFonts w:ascii="Arial" w:eastAsiaTheme="minorEastAsia" w:hAnsi="Arial" w:cs="Arial"/>
          <w:szCs w:val="24"/>
          <w:lang w:val="en-GB"/>
        </w:rPr>
      </w:pPr>
      <w:r w:rsidRPr="004954B0">
        <w:rPr>
          <w:rFonts w:ascii="Arial" w:hAnsi="Arial" w:cs="Arial"/>
          <w:lang w:val="en-GB"/>
        </w:rPr>
        <w:t>D.</w:t>
      </w:r>
      <w:r w:rsidRPr="004954B0">
        <w:rPr>
          <w:rFonts w:ascii="Arial" w:eastAsiaTheme="minorEastAsia" w:hAnsi="Arial" w:cs="Arial"/>
          <w:szCs w:val="24"/>
          <w:lang w:val="en-GB"/>
        </w:rPr>
        <w:tab/>
      </w:r>
      <w:r w:rsidRPr="004954B0">
        <w:rPr>
          <w:rFonts w:ascii="Arial" w:hAnsi="Arial" w:cs="Arial"/>
          <w:lang w:val="en-GB" w:eastAsia="zh-CN"/>
        </w:rPr>
        <w:t>Evaluation methodology</w:t>
      </w:r>
      <w:r w:rsidRPr="004954B0">
        <w:rPr>
          <w:rFonts w:ascii="Arial" w:hAnsi="Arial" w:cs="Arial"/>
          <w:lang w:val="en-GB"/>
        </w:rPr>
        <w:tab/>
      </w:r>
      <w:r w:rsidRPr="004954B0">
        <w:rPr>
          <w:rFonts w:ascii="Arial" w:hAnsi="Arial" w:cs="Arial"/>
          <w:lang w:val="en-GB"/>
        </w:rPr>
        <w:fldChar w:fldCharType="begin"/>
      </w:r>
      <w:r w:rsidRPr="004954B0">
        <w:rPr>
          <w:rFonts w:ascii="Arial" w:hAnsi="Arial" w:cs="Arial"/>
          <w:lang w:val="en-GB"/>
        </w:rPr>
        <w:instrText xml:space="preserve"> PAGEREF _Toc38495919 \h </w:instrText>
      </w:r>
      <w:r w:rsidRPr="004954B0">
        <w:rPr>
          <w:rFonts w:ascii="Arial" w:hAnsi="Arial" w:cs="Arial"/>
          <w:lang w:val="en-GB"/>
        </w:rPr>
      </w:r>
      <w:r w:rsidRPr="004954B0">
        <w:rPr>
          <w:rFonts w:ascii="Arial" w:hAnsi="Arial" w:cs="Arial"/>
          <w:lang w:val="en-GB"/>
        </w:rPr>
        <w:fldChar w:fldCharType="separate"/>
      </w:r>
      <w:r w:rsidR="00B63845" w:rsidRPr="004954B0">
        <w:rPr>
          <w:rFonts w:ascii="Arial" w:hAnsi="Arial" w:cs="Arial"/>
          <w:lang w:val="en-GB"/>
        </w:rPr>
        <w:t>16</w:t>
      </w:r>
      <w:r w:rsidRPr="004954B0">
        <w:rPr>
          <w:rFonts w:ascii="Arial" w:hAnsi="Arial" w:cs="Arial"/>
          <w:lang w:val="en-GB"/>
        </w:rPr>
        <w:fldChar w:fldCharType="end"/>
      </w:r>
    </w:p>
    <w:p w14:paraId="01426F04" w14:textId="17A7E3B9" w:rsidR="007677F7" w:rsidRPr="004954B0" w:rsidRDefault="007677F7">
      <w:pPr>
        <w:pStyle w:val="TOC2"/>
        <w:rPr>
          <w:rFonts w:ascii="Arial" w:eastAsiaTheme="minorEastAsia" w:hAnsi="Arial" w:cs="Arial"/>
          <w:szCs w:val="24"/>
          <w:lang w:val="en-GB"/>
        </w:rPr>
      </w:pPr>
      <w:r w:rsidRPr="004954B0">
        <w:rPr>
          <w:rFonts w:ascii="Arial" w:hAnsi="Arial" w:cs="Arial"/>
          <w:lang w:val="en-GB"/>
        </w:rPr>
        <w:t>E.</w:t>
      </w:r>
      <w:r w:rsidRPr="004954B0">
        <w:rPr>
          <w:rFonts w:ascii="Arial" w:eastAsiaTheme="minorEastAsia" w:hAnsi="Arial" w:cs="Arial"/>
          <w:szCs w:val="24"/>
          <w:lang w:val="en-GB"/>
        </w:rPr>
        <w:tab/>
      </w:r>
      <w:r w:rsidRPr="004954B0">
        <w:rPr>
          <w:rFonts w:ascii="Arial" w:hAnsi="Arial" w:cs="Arial"/>
          <w:lang w:val="en-GB" w:eastAsia="zh-CN"/>
        </w:rPr>
        <w:t>Reporting</w:t>
      </w:r>
      <w:r w:rsidRPr="004954B0">
        <w:rPr>
          <w:rFonts w:ascii="Arial" w:hAnsi="Arial" w:cs="Arial"/>
          <w:lang w:val="en-GB"/>
        </w:rPr>
        <w:tab/>
      </w:r>
      <w:r w:rsidRPr="004954B0">
        <w:rPr>
          <w:rFonts w:ascii="Arial" w:hAnsi="Arial" w:cs="Arial"/>
          <w:lang w:val="en-GB"/>
        </w:rPr>
        <w:fldChar w:fldCharType="begin"/>
      </w:r>
      <w:r w:rsidRPr="004954B0">
        <w:rPr>
          <w:rFonts w:ascii="Arial" w:hAnsi="Arial" w:cs="Arial"/>
          <w:lang w:val="en-GB"/>
        </w:rPr>
        <w:instrText xml:space="preserve"> PAGEREF _Toc38495920 \h </w:instrText>
      </w:r>
      <w:r w:rsidRPr="004954B0">
        <w:rPr>
          <w:rFonts w:ascii="Arial" w:hAnsi="Arial" w:cs="Arial"/>
          <w:lang w:val="en-GB"/>
        </w:rPr>
      </w:r>
      <w:r w:rsidRPr="004954B0">
        <w:rPr>
          <w:rFonts w:ascii="Arial" w:hAnsi="Arial" w:cs="Arial"/>
          <w:lang w:val="en-GB"/>
        </w:rPr>
        <w:fldChar w:fldCharType="separate"/>
      </w:r>
      <w:r w:rsidR="00B63845" w:rsidRPr="004954B0">
        <w:rPr>
          <w:rFonts w:ascii="Arial" w:hAnsi="Arial" w:cs="Arial"/>
          <w:lang w:val="en-GB"/>
        </w:rPr>
        <w:t>17</w:t>
      </w:r>
      <w:r w:rsidRPr="004954B0">
        <w:rPr>
          <w:rFonts w:ascii="Arial" w:hAnsi="Arial" w:cs="Arial"/>
          <w:lang w:val="en-GB"/>
        </w:rPr>
        <w:fldChar w:fldCharType="end"/>
      </w:r>
    </w:p>
    <w:p w14:paraId="6CA98FAB" w14:textId="5C1578EF" w:rsidR="007677F7" w:rsidRPr="004954B0" w:rsidRDefault="007677F7">
      <w:pPr>
        <w:pStyle w:val="TOC2"/>
        <w:rPr>
          <w:rFonts w:ascii="Arial" w:eastAsiaTheme="minorEastAsia" w:hAnsi="Arial" w:cs="Arial"/>
          <w:szCs w:val="24"/>
          <w:lang w:val="en-GB"/>
        </w:rPr>
      </w:pPr>
      <w:r w:rsidRPr="004954B0">
        <w:rPr>
          <w:rFonts w:ascii="Arial" w:hAnsi="Arial" w:cs="Arial"/>
          <w:lang w:val="en-GB"/>
        </w:rPr>
        <w:t>F.</w:t>
      </w:r>
      <w:r w:rsidRPr="004954B0">
        <w:rPr>
          <w:rFonts w:ascii="Arial" w:eastAsiaTheme="minorEastAsia" w:hAnsi="Arial" w:cs="Arial"/>
          <w:szCs w:val="24"/>
          <w:lang w:val="en-GB"/>
        </w:rPr>
        <w:tab/>
      </w:r>
      <w:r w:rsidRPr="004954B0">
        <w:rPr>
          <w:rFonts w:ascii="Arial" w:hAnsi="Arial" w:cs="Arial"/>
          <w:lang w:val="en-GB"/>
        </w:rPr>
        <w:t>Coordina</w:t>
      </w:r>
      <w:r w:rsidRPr="004954B0">
        <w:rPr>
          <w:rFonts w:ascii="Arial" w:hAnsi="Arial" w:cs="Arial"/>
          <w:lang w:val="en-GB" w:eastAsia="zh-CN"/>
        </w:rPr>
        <w:t>tion</w:t>
      </w:r>
      <w:r w:rsidRPr="004954B0">
        <w:rPr>
          <w:rFonts w:ascii="Arial" w:hAnsi="Arial" w:cs="Arial"/>
          <w:lang w:val="en-GB"/>
        </w:rPr>
        <w:t xml:space="preserve">, </w:t>
      </w:r>
      <w:r w:rsidRPr="004954B0">
        <w:rPr>
          <w:rFonts w:ascii="Arial" w:hAnsi="Arial" w:cs="Arial"/>
          <w:lang w:val="en-GB" w:eastAsia="zh-CN"/>
        </w:rPr>
        <w:t>working plan, and budget for evaluation</w:t>
      </w:r>
      <w:r w:rsidRPr="004954B0">
        <w:rPr>
          <w:rFonts w:ascii="Arial" w:hAnsi="Arial" w:cs="Arial"/>
          <w:lang w:val="en-GB"/>
        </w:rPr>
        <w:tab/>
      </w:r>
      <w:r w:rsidRPr="004954B0">
        <w:rPr>
          <w:rFonts w:ascii="Arial" w:hAnsi="Arial" w:cs="Arial"/>
          <w:lang w:val="en-GB"/>
        </w:rPr>
        <w:fldChar w:fldCharType="begin"/>
      </w:r>
      <w:r w:rsidRPr="004954B0">
        <w:rPr>
          <w:rFonts w:ascii="Arial" w:hAnsi="Arial" w:cs="Arial"/>
          <w:lang w:val="en-GB"/>
        </w:rPr>
        <w:instrText xml:space="preserve"> PAGEREF _Toc38495921 \h </w:instrText>
      </w:r>
      <w:r w:rsidRPr="004954B0">
        <w:rPr>
          <w:rFonts w:ascii="Arial" w:hAnsi="Arial" w:cs="Arial"/>
          <w:lang w:val="en-GB"/>
        </w:rPr>
      </w:r>
      <w:r w:rsidRPr="004954B0">
        <w:rPr>
          <w:rFonts w:ascii="Arial" w:hAnsi="Arial" w:cs="Arial"/>
          <w:lang w:val="en-GB"/>
        </w:rPr>
        <w:fldChar w:fldCharType="separate"/>
      </w:r>
      <w:r w:rsidR="00B63845" w:rsidRPr="004954B0">
        <w:rPr>
          <w:rFonts w:ascii="Arial" w:hAnsi="Arial" w:cs="Arial"/>
          <w:lang w:val="en-GB"/>
        </w:rPr>
        <w:t>17</w:t>
      </w:r>
      <w:r w:rsidRPr="004954B0">
        <w:rPr>
          <w:rFonts w:ascii="Arial" w:hAnsi="Arial" w:cs="Arial"/>
          <w:lang w:val="en-GB"/>
        </w:rPr>
        <w:fldChar w:fldCharType="end"/>
      </w:r>
    </w:p>
    <w:p w14:paraId="6CC90C50" w14:textId="67EE7EC6" w:rsidR="003F69C9" w:rsidRPr="004954B0" w:rsidRDefault="00E3347F" w:rsidP="003F69C9">
      <w:pPr>
        <w:pStyle w:val="TOC3"/>
        <w:rPr>
          <w:rFonts w:ascii="Arial" w:hAnsi="Arial" w:cs="Arial"/>
          <w:sz w:val="22"/>
          <w:szCs w:val="22"/>
          <w:lang w:val="en-GB"/>
        </w:rPr>
      </w:pPr>
      <w:r w:rsidRPr="004954B0">
        <w:rPr>
          <w:rFonts w:ascii="Arial" w:hAnsi="Arial" w:cs="Arial"/>
          <w:sz w:val="22"/>
          <w:szCs w:val="22"/>
          <w:lang w:val="en-GB"/>
        </w:rPr>
        <w:fldChar w:fldCharType="end"/>
      </w:r>
    </w:p>
    <w:p w14:paraId="6CC90C51" w14:textId="77777777" w:rsidR="003F69C9" w:rsidRPr="004954B0" w:rsidRDefault="003F69C9" w:rsidP="003F69C9">
      <w:pPr>
        <w:rPr>
          <w:rFonts w:ascii="Arial" w:hAnsi="Arial" w:cs="Arial"/>
          <w:sz w:val="22"/>
          <w:szCs w:val="22"/>
          <w:lang w:val="en-GB"/>
        </w:rPr>
      </w:pPr>
    </w:p>
    <w:p w14:paraId="6CC90C52" w14:textId="77777777" w:rsidR="003F69C9" w:rsidRPr="004954B0" w:rsidRDefault="003F69C9" w:rsidP="003F69C9">
      <w:pPr>
        <w:rPr>
          <w:rFonts w:ascii="Arial" w:hAnsi="Arial" w:cs="Arial"/>
          <w:sz w:val="22"/>
          <w:szCs w:val="22"/>
          <w:lang w:val="en-GB"/>
        </w:rPr>
      </w:pPr>
    </w:p>
    <w:p w14:paraId="6CC90C68" w14:textId="01BE0653" w:rsidR="00532A6A" w:rsidRPr="004954B0" w:rsidRDefault="00532A6A">
      <w:pPr>
        <w:spacing w:after="200" w:line="276" w:lineRule="auto"/>
        <w:rPr>
          <w:rFonts w:ascii="Arial" w:hAnsi="Arial" w:cs="Arial"/>
          <w:sz w:val="22"/>
          <w:szCs w:val="22"/>
          <w:lang w:val="en-GB"/>
        </w:rPr>
      </w:pPr>
      <w:r w:rsidRPr="004954B0">
        <w:rPr>
          <w:rFonts w:ascii="Arial" w:hAnsi="Arial" w:cs="Arial"/>
          <w:sz w:val="22"/>
          <w:szCs w:val="22"/>
          <w:lang w:val="en-GB"/>
        </w:rPr>
        <w:br w:type="page"/>
      </w:r>
    </w:p>
    <w:p w14:paraId="72054569" w14:textId="77777777" w:rsidR="003F69C9" w:rsidRPr="004954B0" w:rsidRDefault="003F69C9" w:rsidP="003F69C9">
      <w:pPr>
        <w:rPr>
          <w:rFonts w:ascii="Arial" w:hAnsi="Arial" w:cs="Arial"/>
          <w:sz w:val="22"/>
          <w:szCs w:val="22"/>
          <w:lang w:val="en-GB"/>
        </w:rPr>
      </w:pPr>
    </w:p>
    <w:p w14:paraId="6CC90C69" w14:textId="77777777" w:rsidR="003F69C9" w:rsidRPr="004954B0" w:rsidRDefault="003F69C9" w:rsidP="003F69C9">
      <w:pPr>
        <w:rPr>
          <w:rFonts w:ascii="Arial" w:hAnsi="Arial" w:cs="Arial"/>
          <w:sz w:val="22"/>
          <w:szCs w:val="22"/>
          <w:lang w:val="en-GB"/>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2"/>
        <w:gridCol w:w="7128"/>
      </w:tblGrid>
      <w:tr w:rsidR="00C62367" w:rsidRPr="004954B0" w14:paraId="6CC90C6C" w14:textId="77777777" w:rsidTr="00697B8A">
        <w:trPr>
          <w:cantSplit/>
          <w:trHeight w:val="423"/>
        </w:trPr>
        <w:tc>
          <w:tcPr>
            <w:tcW w:w="8640" w:type="dxa"/>
            <w:gridSpan w:val="2"/>
            <w:tcBorders>
              <w:bottom w:val="single" w:sz="4" w:space="0" w:color="auto"/>
            </w:tcBorders>
            <w:shd w:val="clear" w:color="auto" w:fill="C0C0C0"/>
            <w:vAlign w:val="center"/>
          </w:tcPr>
          <w:p w14:paraId="6CC90C6B" w14:textId="6BAE447C" w:rsidR="00C62367" w:rsidRPr="004954B0" w:rsidRDefault="007C4FEA" w:rsidP="008416C7">
            <w:pPr>
              <w:spacing w:before="20" w:after="20"/>
              <w:jc w:val="center"/>
              <w:rPr>
                <w:rFonts w:ascii="Arial" w:eastAsia="Arial Unicode MS" w:hAnsi="Arial" w:cs="Arial"/>
                <w:b/>
                <w:bCs/>
                <w:smallCaps/>
                <w:sz w:val="22"/>
                <w:szCs w:val="22"/>
                <w:lang w:val="en-GB"/>
              </w:rPr>
            </w:pPr>
            <w:r w:rsidRPr="004954B0">
              <w:rPr>
                <w:rFonts w:ascii="Arial" w:eastAsia="Arial Unicode MS" w:hAnsi="Arial" w:cs="Arial"/>
                <w:b/>
                <w:bCs/>
                <w:smallCaps/>
                <w:sz w:val="22"/>
                <w:szCs w:val="22"/>
                <w:lang w:val="en-GB"/>
              </w:rPr>
              <w:t>Abbreviations</w:t>
            </w:r>
          </w:p>
        </w:tc>
      </w:tr>
      <w:tr w:rsidR="00A25974" w:rsidRPr="004954B0" w14:paraId="6CC90C77" w14:textId="77777777" w:rsidTr="00697B8A">
        <w:trPr>
          <w:cantSplit/>
        </w:trPr>
        <w:tc>
          <w:tcPr>
            <w:tcW w:w="1512" w:type="dxa"/>
            <w:tcBorders>
              <w:bottom w:val="nil"/>
            </w:tcBorders>
          </w:tcPr>
          <w:p w14:paraId="6CC90C71" w14:textId="650A81FE" w:rsidR="009C4480" w:rsidRPr="004954B0" w:rsidRDefault="00DD191C" w:rsidP="00600530">
            <w:pPr>
              <w:spacing w:before="20" w:after="20"/>
              <w:rPr>
                <w:rFonts w:ascii="Arial" w:hAnsi="Arial" w:cs="Arial"/>
                <w:sz w:val="22"/>
                <w:szCs w:val="22"/>
                <w:lang w:val="en-GB"/>
              </w:rPr>
            </w:pPr>
            <w:r w:rsidRPr="004954B0">
              <w:rPr>
                <w:rFonts w:ascii="Arial" w:hAnsi="Arial" w:cs="Arial"/>
                <w:sz w:val="22"/>
                <w:szCs w:val="22"/>
                <w:lang w:val="en-GB"/>
              </w:rPr>
              <w:t>ARDS</w:t>
            </w:r>
          </w:p>
        </w:tc>
        <w:tc>
          <w:tcPr>
            <w:tcW w:w="7128" w:type="dxa"/>
            <w:tcBorders>
              <w:bottom w:val="nil"/>
            </w:tcBorders>
          </w:tcPr>
          <w:p w14:paraId="6CC90C76" w14:textId="5F29E6E1" w:rsidR="00270657" w:rsidRPr="004954B0" w:rsidRDefault="00DD191C" w:rsidP="00600530">
            <w:pPr>
              <w:spacing w:before="20" w:after="20"/>
              <w:rPr>
                <w:rFonts w:ascii="Arial" w:eastAsiaTheme="minorHAnsi" w:hAnsi="Arial" w:cs="Arial"/>
                <w:sz w:val="22"/>
                <w:szCs w:val="22"/>
                <w:lang w:val="en-GB"/>
              </w:rPr>
            </w:pPr>
            <w:r w:rsidRPr="004954B0">
              <w:rPr>
                <w:rFonts w:ascii="Arial" w:hAnsi="Arial" w:cs="Arial"/>
                <w:sz w:val="22"/>
                <w:szCs w:val="22"/>
                <w:lang w:val="en-GB"/>
              </w:rPr>
              <w:t>Acute Respiratory Distress Syndrome</w:t>
            </w:r>
          </w:p>
        </w:tc>
      </w:tr>
      <w:tr w:rsidR="00697B8A" w:rsidRPr="004954B0" w14:paraId="39E6D1DB" w14:textId="77777777" w:rsidTr="00697B8A">
        <w:trPr>
          <w:cantSplit/>
        </w:trPr>
        <w:tc>
          <w:tcPr>
            <w:tcW w:w="1512" w:type="dxa"/>
            <w:tcBorders>
              <w:top w:val="nil"/>
              <w:bottom w:val="nil"/>
            </w:tcBorders>
          </w:tcPr>
          <w:p w14:paraId="00709871" w14:textId="2EF60064" w:rsidR="00697B8A" w:rsidRPr="004954B0" w:rsidRDefault="00697B8A" w:rsidP="00600530">
            <w:pPr>
              <w:spacing w:before="20" w:after="20"/>
              <w:rPr>
                <w:rFonts w:ascii="Arial" w:hAnsi="Arial" w:cs="Arial"/>
                <w:sz w:val="22"/>
                <w:szCs w:val="22"/>
                <w:lang w:val="en-GB"/>
              </w:rPr>
            </w:pPr>
            <w:r w:rsidRPr="004954B0">
              <w:rPr>
                <w:rFonts w:ascii="Arial" w:hAnsi="Arial" w:cs="Arial"/>
                <w:sz w:val="22"/>
                <w:szCs w:val="22"/>
                <w:lang w:val="en-GB"/>
              </w:rPr>
              <w:t>CCT</w:t>
            </w:r>
          </w:p>
        </w:tc>
        <w:tc>
          <w:tcPr>
            <w:tcW w:w="7128" w:type="dxa"/>
            <w:tcBorders>
              <w:top w:val="nil"/>
              <w:bottom w:val="nil"/>
            </w:tcBorders>
          </w:tcPr>
          <w:p w14:paraId="7A94CF6F" w14:textId="00A56B7F" w:rsidR="00697B8A" w:rsidRPr="004954B0" w:rsidRDefault="00697B8A" w:rsidP="00600530">
            <w:pPr>
              <w:spacing w:before="20" w:after="20"/>
              <w:rPr>
                <w:rFonts w:ascii="Arial" w:hAnsi="Arial" w:cs="Arial"/>
                <w:sz w:val="22"/>
                <w:szCs w:val="22"/>
                <w:lang w:val="en-GB"/>
              </w:rPr>
            </w:pPr>
            <w:r w:rsidRPr="004954B0">
              <w:rPr>
                <w:rFonts w:ascii="Arial" w:hAnsi="Arial" w:cs="Arial"/>
                <w:sz w:val="22"/>
                <w:szCs w:val="22"/>
                <w:lang w:val="en-GB"/>
              </w:rPr>
              <w:t>Conditional Cash Transfer</w:t>
            </w:r>
          </w:p>
        </w:tc>
      </w:tr>
      <w:tr w:rsidR="009B5EAD" w:rsidRPr="004954B0" w14:paraId="7B015517" w14:textId="77777777" w:rsidTr="00697B8A">
        <w:trPr>
          <w:cantSplit/>
        </w:trPr>
        <w:tc>
          <w:tcPr>
            <w:tcW w:w="1512" w:type="dxa"/>
            <w:tcBorders>
              <w:top w:val="nil"/>
              <w:bottom w:val="nil"/>
            </w:tcBorders>
          </w:tcPr>
          <w:p w14:paraId="125B8B14" w14:textId="62DECF3D" w:rsidR="009B5EAD" w:rsidRPr="004954B0" w:rsidRDefault="009B5EAD" w:rsidP="00600530">
            <w:pPr>
              <w:spacing w:before="20" w:after="20"/>
              <w:rPr>
                <w:rFonts w:ascii="Arial" w:hAnsi="Arial" w:cs="Arial"/>
                <w:sz w:val="22"/>
                <w:szCs w:val="22"/>
                <w:lang w:val="en-GB"/>
              </w:rPr>
            </w:pPr>
            <w:r w:rsidRPr="004954B0">
              <w:rPr>
                <w:rFonts w:ascii="Arial" w:hAnsi="Arial" w:cs="Arial"/>
                <w:sz w:val="22"/>
                <w:szCs w:val="22"/>
                <w:lang w:val="en-GB"/>
              </w:rPr>
              <w:t>EA</w:t>
            </w:r>
          </w:p>
        </w:tc>
        <w:tc>
          <w:tcPr>
            <w:tcW w:w="7128" w:type="dxa"/>
            <w:tcBorders>
              <w:top w:val="nil"/>
              <w:bottom w:val="nil"/>
            </w:tcBorders>
          </w:tcPr>
          <w:p w14:paraId="5CF34094" w14:textId="02447D84" w:rsidR="009B5EAD" w:rsidRPr="004954B0" w:rsidRDefault="009B5EAD" w:rsidP="00600530">
            <w:pPr>
              <w:spacing w:before="20" w:after="20"/>
              <w:rPr>
                <w:rFonts w:ascii="Arial" w:hAnsi="Arial" w:cs="Arial"/>
                <w:sz w:val="22"/>
                <w:szCs w:val="22"/>
                <w:lang w:val="en-GB"/>
              </w:rPr>
            </w:pPr>
            <w:r w:rsidRPr="004954B0">
              <w:rPr>
                <w:rFonts w:ascii="Arial" w:hAnsi="Arial" w:cs="Arial"/>
                <w:sz w:val="22"/>
                <w:szCs w:val="22"/>
                <w:lang w:val="en-GB"/>
              </w:rPr>
              <w:t>Executing agency</w:t>
            </w:r>
          </w:p>
        </w:tc>
      </w:tr>
      <w:tr w:rsidR="009B5EAD" w:rsidRPr="004954B0" w14:paraId="30B4DD44" w14:textId="77777777" w:rsidTr="00697B8A">
        <w:trPr>
          <w:cantSplit/>
        </w:trPr>
        <w:tc>
          <w:tcPr>
            <w:tcW w:w="1512" w:type="dxa"/>
            <w:tcBorders>
              <w:top w:val="nil"/>
              <w:bottom w:val="nil"/>
            </w:tcBorders>
          </w:tcPr>
          <w:p w14:paraId="79929159" w14:textId="69EAD261" w:rsidR="009B5EAD" w:rsidRPr="004954B0" w:rsidRDefault="009B5EAD" w:rsidP="00DD191C">
            <w:pPr>
              <w:spacing w:before="20" w:after="20"/>
              <w:rPr>
                <w:rFonts w:ascii="Arial" w:hAnsi="Arial" w:cs="Arial"/>
                <w:sz w:val="22"/>
                <w:szCs w:val="22"/>
                <w:lang w:val="en-GB"/>
              </w:rPr>
            </w:pPr>
            <w:r w:rsidRPr="004954B0">
              <w:rPr>
                <w:rFonts w:ascii="Arial" w:hAnsi="Arial" w:cs="Arial"/>
                <w:sz w:val="22"/>
                <w:szCs w:val="22"/>
                <w:lang w:val="en-GB"/>
              </w:rPr>
              <w:t>FMM</w:t>
            </w:r>
          </w:p>
        </w:tc>
        <w:tc>
          <w:tcPr>
            <w:tcW w:w="7128" w:type="dxa"/>
            <w:tcBorders>
              <w:top w:val="nil"/>
              <w:bottom w:val="nil"/>
            </w:tcBorders>
          </w:tcPr>
          <w:p w14:paraId="06DEE99D" w14:textId="67285608" w:rsidR="009B5EAD" w:rsidRPr="004954B0" w:rsidRDefault="00DD3A03" w:rsidP="00600530">
            <w:pPr>
              <w:spacing w:before="20" w:after="20"/>
              <w:rPr>
                <w:rFonts w:ascii="Arial" w:hAnsi="Arial" w:cs="Arial"/>
                <w:sz w:val="22"/>
                <w:szCs w:val="22"/>
                <w:lang w:val="en-GB"/>
              </w:rPr>
            </w:pPr>
            <w:r w:rsidRPr="004954B0">
              <w:rPr>
                <w:rFonts w:ascii="Arial" w:hAnsi="Arial" w:cs="Arial"/>
                <w:sz w:val="22"/>
                <w:szCs w:val="22"/>
                <w:lang w:val="en-GB"/>
              </w:rPr>
              <w:t>Fiscal Management Division</w:t>
            </w:r>
          </w:p>
        </w:tc>
      </w:tr>
      <w:tr w:rsidR="009B5EAD" w:rsidRPr="004954B0" w14:paraId="6442B0AB" w14:textId="77777777" w:rsidTr="00697B8A">
        <w:trPr>
          <w:cantSplit/>
        </w:trPr>
        <w:tc>
          <w:tcPr>
            <w:tcW w:w="1512" w:type="dxa"/>
            <w:tcBorders>
              <w:top w:val="nil"/>
              <w:bottom w:val="nil"/>
            </w:tcBorders>
          </w:tcPr>
          <w:p w14:paraId="67E322AE" w14:textId="31A961F7" w:rsidR="009B5EAD" w:rsidRPr="004954B0" w:rsidRDefault="00DD3A03" w:rsidP="00600530">
            <w:pPr>
              <w:spacing w:before="20" w:after="20"/>
              <w:rPr>
                <w:rFonts w:ascii="Arial" w:hAnsi="Arial" w:cs="Arial"/>
                <w:sz w:val="22"/>
                <w:szCs w:val="22"/>
                <w:lang w:val="en-GB"/>
              </w:rPr>
            </w:pPr>
            <w:r w:rsidRPr="004954B0">
              <w:rPr>
                <w:rFonts w:ascii="Arial" w:hAnsi="Arial" w:cs="Arial"/>
                <w:sz w:val="22"/>
                <w:szCs w:val="22"/>
                <w:lang w:val="en-GB"/>
              </w:rPr>
              <w:t>GDP</w:t>
            </w:r>
          </w:p>
        </w:tc>
        <w:tc>
          <w:tcPr>
            <w:tcW w:w="7128" w:type="dxa"/>
            <w:tcBorders>
              <w:top w:val="nil"/>
              <w:bottom w:val="nil"/>
            </w:tcBorders>
          </w:tcPr>
          <w:p w14:paraId="0FB66B65" w14:textId="7597E608" w:rsidR="009B5EAD" w:rsidRPr="004954B0" w:rsidRDefault="00DD3A03" w:rsidP="00600530">
            <w:pPr>
              <w:spacing w:before="20" w:after="20"/>
              <w:rPr>
                <w:rFonts w:ascii="Arial" w:eastAsiaTheme="minorHAnsi" w:hAnsi="Arial" w:cs="Arial"/>
                <w:sz w:val="22"/>
                <w:szCs w:val="22"/>
                <w:lang w:val="en-GB"/>
              </w:rPr>
            </w:pPr>
            <w:r w:rsidRPr="004954B0">
              <w:rPr>
                <w:rFonts w:ascii="Arial" w:eastAsiaTheme="minorHAnsi" w:hAnsi="Arial" w:cs="Arial"/>
                <w:sz w:val="22"/>
                <w:szCs w:val="22"/>
                <w:lang w:val="en-GB"/>
              </w:rPr>
              <w:t>Gross domestic product</w:t>
            </w:r>
          </w:p>
        </w:tc>
      </w:tr>
      <w:tr w:rsidR="00C60885" w:rsidRPr="004954B0" w14:paraId="3C480D68" w14:textId="77777777" w:rsidTr="00697B8A">
        <w:trPr>
          <w:cantSplit/>
        </w:trPr>
        <w:tc>
          <w:tcPr>
            <w:tcW w:w="1512" w:type="dxa"/>
            <w:tcBorders>
              <w:top w:val="nil"/>
              <w:bottom w:val="nil"/>
            </w:tcBorders>
          </w:tcPr>
          <w:p w14:paraId="1A3A9A1D" w14:textId="142FD967" w:rsidR="00C60885" w:rsidRPr="004954B0" w:rsidRDefault="001437EC" w:rsidP="00600530">
            <w:pPr>
              <w:spacing w:before="20" w:after="20"/>
              <w:rPr>
                <w:rFonts w:ascii="Arial" w:hAnsi="Arial" w:cs="Arial"/>
                <w:sz w:val="22"/>
                <w:szCs w:val="22"/>
                <w:lang w:val="en-GB"/>
              </w:rPr>
            </w:pPr>
            <w:r w:rsidRPr="004954B0">
              <w:rPr>
                <w:rFonts w:ascii="Arial" w:hAnsi="Arial" w:cs="Arial"/>
                <w:sz w:val="22"/>
                <w:szCs w:val="22"/>
                <w:lang w:val="en-GB"/>
              </w:rPr>
              <w:t>ICU</w:t>
            </w:r>
          </w:p>
        </w:tc>
        <w:tc>
          <w:tcPr>
            <w:tcW w:w="7128" w:type="dxa"/>
            <w:tcBorders>
              <w:top w:val="nil"/>
              <w:bottom w:val="nil"/>
            </w:tcBorders>
          </w:tcPr>
          <w:p w14:paraId="55370F05" w14:textId="550E1B96" w:rsidR="00C60885" w:rsidRPr="004954B0" w:rsidRDefault="0000539C" w:rsidP="00600530">
            <w:pPr>
              <w:spacing w:before="20" w:after="20"/>
              <w:rPr>
                <w:rFonts w:ascii="Arial" w:eastAsiaTheme="minorHAnsi" w:hAnsi="Arial" w:cs="Arial"/>
                <w:sz w:val="22"/>
                <w:szCs w:val="22"/>
                <w:lang w:val="en-GB"/>
              </w:rPr>
            </w:pPr>
            <w:r w:rsidRPr="004954B0">
              <w:rPr>
                <w:rFonts w:ascii="Arial" w:hAnsi="Arial" w:cs="Arial"/>
                <w:sz w:val="22"/>
                <w:szCs w:val="22"/>
                <w:lang w:val="en-GB"/>
              </w:rPr>
              <w:t>Intensive Care Unit</w:t>
            </w:r>
          </w:p>
        </w:tc>
      </w:tr>
      <w:tr w:rsidR="00E51523" w:rsidRPr="004954B0" w14:paraId="5C00F16E" w14:textId="77777777" w:rsidTr="00697B8A">
        <w:trPr>
          <w:cantSplit/>
        </w:trPr>
        <w:tc>
          <w:tcPr>
            <w:tcW w:w="1512" w:type="dxa"/>
            <w:tcBorders>
              <w:top w:val="nil"/>
              <w:bottom w:val="nil"/>
            </w:tcBorders>
          </w:tcPr>
          <w:p w14:paraId="2260FA55" w14:textId="31259DBF" w:rsidR="00E51523" w:rsidRPr="004954B0" w:rsidRDefault="00DD3A03" w:rsidP="00600530">
            <w:pPr>
              <w:spacing w:before="20" w:after="20"/>
              <w:rPr>
                <w:rFonts w:ascii="Arial" w:hAnsi="Arial" w:cs="Arial"/>
                <w:sz w:val="22"/>
                <w:szCs w:val="22"/>
                <w:lang w:val="en-GB"/>
              </w:rPr>
            </w:pPr>
            <w:r w:rsidRPr="004954B0">
              <w:rPr>
                <w:rFonts w:ascii="Arial" w:hAnsi="Arial" w:cs="Arial"/>
                <w:sz w:val="22"/>
                <w:szCs w:val="22"/>
                <w:lang w:val="en-GB"/>
              </w:rPr>
              <w:t>IDB</w:t>
            </w:r>
          </w:p>
        </w:tc>
        <w:tc>
          <w:tcPr>
            <w:tcW w:w="7128" w:type="dxa"/>
            <w:tcBorders>
              <w:top w:val="nil"/>
              <w:bottom w:val="nil"/>
            </w:tcBorders>
          </w:tcPr>
          <w:p w14:paraId="7D7065DE" w14:textId="2731AD78" w:rsidR="00E51523" w:rsidRPr="004954B0" w:rsidRDefault="00DD3A03" w:rsidP="00600530">
            <w:pPr>
              <w:spacing w:before="20" w:after="20"/>
              <w:rPr>
                <w:rFonts w:ascii="Arial" w:hAnsi="Arial" w:cs="Arial"/>
                <w:sz w:val="22"/>
                <w:szCs w:val="22"/>
                <w:lang w:val="en-GB"/>
              </w:rPr>
            </w:pPr>
            <w:r w:rsidRPr="004954B0">
              <w:rPr>
                <w:rFonts w:ascii="Arial" w:eastAsiaTheme="minorHAnsi" w:hAnsi="Arial" w:cs="Arial"/>
                <w:sz w:val="22"/>
                <w:szCs w:val="22"/>
                <w:lang w:val="en-GB"/>
              </w:rPr>
              <w:t>Inter-American Development Bank</w:t>
            </w:r>
          </w:p>
        </w:tc>
      </w:tr>
      <w:tr w:rsidR="00DD3A03" w:rsidRPr="00CC71C6" w14:paraId="1821CE00" w14:textId="77777777" w:rsidTr="00697B8A">
        <w:trPr>
          <w:cantSplit/>
        </w:trPr>
        <w:tc>
          <w:tcPr>
            <w:tcW w:w="1512" w:type="dxa"/>
            <w:tcBorders>
              <w:top w:val="nil"/>
              <w:bottom w:val="nil"/>
            </w:tcBorders>
          </w:tcPr>
          <w:p w14:paraId="1714BC03" w14:textId="2F42ACAB" w:rsidR="00DD3A03" w:rsidRPr="004954B0" w:rsidRDefault="00DD3A03" w:rsidP="00DD191C">
            <w:pPr>
              <w:spacing w:before="20" w:after="20"/>
              <w:rPr>
                <w:rFonts w:ascii="Arial" w:hAnsi="Arial" w:cs="Arial"/>
                <w:sz w:val="22"/>
                <w:szCs w:val="22"/>
                <w:lang w:val="en-GB"/>
              </w:rPr>
            </w:pPr>
            <w:r w:rsidRPr="004954B0">
              <w:rPr>
                <w:rFonts w:ascii="Arial" w:hAnsi="Arial" w:cs="Arial"/>
                <w:sz w:val="22"/>
                <w:szCs w:val="22"/>
                <w:lang w:val="en-GB"/>
              </w:rPr>
              <w:t>LAC</w:t>
            </w:r>
          </w:p>
        </w:tc>
        <w:tc>
          <w:tcPr>
            <w:tcW w:w="7128" w:type="dxa"/>
            <w:tcBorders>
              <w:top w:val="nil"/>
              <w:bottom w:val="nil"/>
            </w:tcBorders>
          </w:tcPr>
          <w:p w14:paraId="117D89F2" w14:textId="204647DB" w:rsidR="00DD3A03" w:rsidRPr="004954B0" w:rsidRDefault="00DD3A03" w:rsidP="00600530">
            <w:pPr>
              <w:spacing w:before="20" w:after="20"/>
              <w:rPr>
                <w:rFonts w:ascii="Arial" w:hAnsi="Arial" w:cs="Arial"/>
                <w:sz w:val="22"/>
                <w:szCs w:val="22"/>
                <w:lang w:val="en-GB"/>
              </w:rPr>
            </w:pPr>
            <w:r w:rsidRPr="004954B0">
              <w:rPr>
                <w:rFonts w:ascii="Arial" w:hAnsi="Arial" w:cs="Arial"/>
                <w:sz w:val="22"/>
                <w:szCs w:val="22"/>
                <w:lang w:val="en-GB"/>
              </w:rPr>
              <w:t>Latin America and the Caribbean</w:t>
            </w:r>
          </w:p>
        </w:tc>
      </w:tr>
      <w:tr w:rsidR="00203EAB" w:rsidRPr="004954B0" w14:paraId="2DD2BCB3" w14:textId="77777777" w:rsidTr="00697B8A">
        <w:trPr>
          <w:cantSplit/>
        </w:trPr>
        <w:tc>
          <w:tcPr>
            <w:tcW w:w="1512" w:type="dxa"/>
            <w:tcBorders>
              <w:top w:val="nil"/>
              <w:bottom w:val="nil"/>
            </w:tcBorders>
          </w:tcPr>
          <w:p w14:paraId="46454CD6" w14:textId="45B1A884" w:rsidR="00203EAB" w:rsidRPr="004954B0" w:rsidRDefault="00203EAB" w:rsidP="00DD191C">
            <w:pPr>
              <w:spacing w:before="20" w:after="20"/>
              <w:rPr>
                <w:rFonts w:ascii="Arial" w:hAnsi="Arial" w:cs="Arial"/>
                <w:sz w:val="22"/>
                <w:szCs w:val="22"/>
                <w:lang w:val="en-GB"/>
              </w:rPr>
            </w:pPr>
            <w:r w:rsidRPr="004954B0">
              <w:rPr>
                <w:rFonts w:ascii="Arial" w:hAnsi="Arial" w:cs="Arial"/>
                <w:sz w:val="22"/>
                <w:szCs w:val="22"/>
                <w:lang w:val="en-GB"/>
              </w:rPr>
              <w:t>MF</w:t>
            </w:r>
          </w:p>
        </w:tc>
        <w:tc>
          <w:tcPr>
            <w:tcW w:w="7128" w:type="dxa"/>
            <w:tcBorders>
              <w:top w:val="nil"/>
              <w:bottom w:val="nil"/>
            </w:tcBorders>
          </w:tcPr>
          <w:p w14:paraId="6BA180AF" w14:textId="2EC45933" w:rsidR="00203EAB" w:rsidRPr="004954B0" w:rsidRDefault="00203EAB" w:rsidP="00600530">
            <w:pPr>
              <w:spacing w:before="20" w:after="20"/>
              <w:rPr>
                <w:rFonts w:ascii="Arial" w:hAnsi="Arial" w:cs="Arial"/>
                <w:sz w:val="22"/>
                <w:szCs w:val="22"/>
                <w:lang w:val="en-GB"/>
              </w:rPr>
            </w:pPr>
            <w:r w:rsidRPr="004954B0">
              <w:rPr>
                <w:rFonts w:ascii="Arial" w:hAnsi="Arial" w:cs="Arial"/>
                <w:sz w:val="22"/>
                <w:szCs w:val="22"/>
                <w:lang w:val="en-GB"/>
              </w:rPr>
              <w:t>Ministry of Finance</w:t>
            </w:r>
          </w:p>
        </w:tc>
      </w:tr>
      <w:tr w:rsidR="00DD3A03" w:rsidRPr="004954B0" w14:paraId="60CB1877" w14:textId="77777777" w:rsidTr="00697B8A">
        <w:trPr>
          <w:cantSplit/>
        </w:trPr>
        <w:tc>
          <w:tcPr>
            <w:tcW w:w="1512" w:type="dxa"/>
            <w:tcBorders>
              <w:top w:val="nil"/>
              <w:bottom w:val="nil"/>
            </w:tcBorders>
          </w:tcPr>
          <w:p w14:paraId="277DA935" w14:textId="6A9E08AB" w:rsidR="00DD3A03" w:rsidRPr="004954B0" w:rsidRDefault="00DD3A03" w:rsidP="00600530">
            <w:pPr>
              <w:spacing w:before="20" w:after="20"/>
              <w:rPr>
                <w:rFonts w:ascii="Arial" w:hAnsi="Arial" w:cs="Arial"/>
                <w:sz w:val="22"/>
                <w:szCs w:val="22"/>
                <w:lang w:val="en-GB"/>
              </w:rPr>
            </w:pPr>
            <w:r w:rsidRPr="004954B0">
              <w:rPr>
                <w:rFonts w:ascii="Arial" w:hAnsi="Arial" w:cs="Arial"/>
                <w:sz w:val="22"/>
                <w:szCs w:val="22"/>
                <w:lang w:val="en-GB"/>
              </w:rPr>
              <w:t>PBL</w:t>
            </w:r>
          </w:p>
        </w:tc>
        <w:tc>
          <w:tcPr>
            <w:tcW w:w="7128" w:type="dxa"/>
            <w:tcBorders>
              <w:top w:val="nil"/>
              <w:bottom w:val="nil"/>
            </w:tcBorders>
          </w:tcPr>
          <w:p w14:paraId="1AD10C21" w14:textId="50E76E85" w:rsidR="00DD3A03" w:rsidRPr="004954B0" w:rsidRDefault="00DD3A03" w:rsidP="00600530">
            <w:pPr>
              <w:spacing w:before="20" w:after="20"/>
              <w:rPr>
                <w:rFonts w:ascii="Arial" w:eastAsiaTheme="minorHAnsi" w:hAnsi="Arial" w:cs="Arial"/>
                <w:iCs/>
                <w:sz w:val="22"/>
                <w:szCs w:val="22"/>
                <w:lang w:val="en-GB"/>
              </w:rPr>
            </w:pPr>
            <w:r w:rsidRPr="004954B0">
              <w:rPr>
                <w:rFonts w:ascii="Arial" w:hAnsi="Arial" w:cs="Arial"/>
                <w:sz w:val="22"/>
                <w:szCs w:val="22"/>
                <w:lang w:val="en-GB"/>
              </w:rPr>
              <w:t>Policy-based loan</w:t>
            </w:r>
          </w:p>
        </w:tc>
      </w:tr>
      <w:tr w:rsidR="00DD3A03" w:rsidRPr="004954B0" w14:paraId="58F197AF" w14:textId="77777777" w:rsidTr="00697B8A">
        <w:trPr>
          <w:cantSplit/>
        </w:trPr>
        <w:tc>
          <w:tcPr>
            <w:tcW w:w="1512" w:type="dxa"/>
            <w:tcBorders>
              <w:top w:val="nil"/>
              <w:bottom w:val="nil"/>
            </w:tcBorders>
          </w:tcPr>
          <w:p w14:paraId="7EB6C425" w14:textId="133D4D76" w:rsidR="00DD3A03" w:rsidRPr="004954B0" w:rsidRDefault="00DD3A03" w:rsidP="00DD3A03">
            <w:pPr>
              <w:spacing w:before="20" w:after="20"/>
              <w:rPr>
                <w:rFonts w:ascii="Arial" w:hAnsi="Arial" w:cs="Arial"/>
                <w:sz w:val="22"/>
                <w:szCs w:val="22"/>
                <w:lang w:val="en-GB"/>
              </w:rPr>
            </w:pPr>
            <w:r w:rsidRPr="004954B0">
              <w:rPr>
                <w:rFonts w:ascii="Arial" w:hAnsi="Arial" w:cs="Arial"/>
                <w:sz w:val="22"/>
                <w:szCs w:val="22"/>
                <w:lang w:val="en-GB"/>
              </w:rPr>
              <w:t>PCR</w:t>
            </w:r>
          </w:p>
        </w:tc>
        <w:tc>
          <w:tcPr>
            <w:tcW w:w="7128" w:type="dxa"/>
            <w:tcBorders>
              <w:top w:val="nil"/>
              <w:bottom w:val="nil"/>
            </w:tcBorders>
          </w:tcPr>
          <w:p w14:paraId="448FBA79" w14:textId="6B78AFEF" w:rsidR="00DD3A03" w:rsidRPr="004954B0" w:rsidRDefault="00DD3A03" w:rsidP="00DD3A03">
            <w:pPr>
              <w:spacing w:before="20" w:after="20"/>
              <w:rPr>
                <w:rFonts w:ascii="Arial" w:hAnsi="Arial" w:cs="Arial"/>
                <w:sz w:val="22"/>
                <w:szCs w:val="22"/>
                <w:lang w:val="en-GB"/>
              </w:rPr>
            </w:pPr>
            <w:r w:rsidRPr="004954B0">
              <w:rPr>
                <w:rFonts w:ascii="Arial" w:hAnsi="Arial" w:cs="Arial"/>
                <w:sz w:val="22"/>
                <w:szCs w:val="22"/>
                <w:lang w:val="en-GB"/>
              </w:rPr>
              <w:t>Project completion report</w:t>
            </w:r>
          </w:p>
        </w:tc>
      </w:tr>
      <w:tr w:rsidR="00DD3A03" w:rsidRPr="004954B0" w14:paraId="58296FC7" w14:textId="77777777" w:rsidTr="00697B8A">
        <w:trPr>
          <w:cantSplit/>
        </w:trPr>
        <w:tc>
          <w:tcPr>
            <w:tcW w:w="1512" w:type="dxa"/>
            <w:tcBorders>
              <w:top w:val="nil"/>
              <w:bottom w:val="nil"/>
            </w:tcBorders>
          </w:tcPr>
          <w:p w14:paraId="0B41BEDA" w14:textId="4EFBB43C" w:rsidR="00DD3A03" w:rsidRPr="004954B0" w:rsidRDefault="00DD3A03" w:rsidP="00DD3A03">
            <w:pPr>
              <w:spacing w:before="20" w:after="20"/>
              <w:rPr>
                <w:rFonts w:ascii="Arial" w:hAnsi="Arial" w:cs="Arial"/>
                <w:sz w:val="22"/>
                <w:szCs w:val="22"/>
                <w:lang w:val="en-GB"/>
              </w:rPr>
            </w:pPr>
            <w:r w:rsidRPr="004954B0">
              <w:rPr>
                <w:rFonts w:ascii="Arial" w:hAnsi="Arial" w:cs="Arial"/>
                <w:sz w:val="22"/>
                <w:szCs w:val="22"/>
                <w:lang w:val="en-GB"/>
              </w:rPr>
              <w:t>PM</w:t>
            </w:r>
          </w:p>
        </w:tc>
        <w:tc>
          <w:tcPr>
            <w:tcW w:w="7128" w:type="dxa"/>
            <w:tcBorders>
              <w:top w:val="nil"/>
              <w:bottom w:val="nil"/>
            </w:tcBorders>
          </w:tcPr>
          <w:p w14:paraId="74436292" w14:textId="4357E55C" w:rsidR="00DD3A03" w:rsidRPr="004954B0" w:rsidRDefault="00DD3A03" w:rsidP="00DD3A03">
            <w:pPr>
              <w:spacing w:before="20" w:after="20"/>
              <w:rPr>
                <w:rFonts w:ascii="Arial" w:hAnsi="Arial" w:cs="Arial"/>
                <w:sz w:val="22"/>
                <w:szCs w:val="22"/>
                <w:lang w:val="en-GB"/>
              </w:rPr>
            </w:pPr>
            <w:r w:rsidRPr="004954B0">
              <w:rPr>
                <w:rFonts w:ascii="Arial" w:hAnsi="Arial" w:cs="Arial"/>
                <w:sz w:val="22"/>
                <w:szCs w:val="22"/>
                <w:lang w:val="en-GB"/>
              </w:rPr>
              <w:t>Policy matrix</w:t>
            </w:r>
          </w:p>
        </w:tc>
      </w:tr>
      <w:tr w:rsidR="00DD3A03" w:rsidRPr="004954B0" w14:paraId="1E0B9C8E" w14:textId="77777777" w:rsidTr="00697B8A">
        <w:trPr>
          <w:cantSplit/>
        </w:trPr>
        <w:tc>
          <w:tcPr>
            <w:tcW w:w="1512" w:type="dxa"/>
            <w:tcBorders>
              <w:top w:val="nil"/>
              <w:bottom w:val="nil"/>
            </w:tcBorders>
          </w:tcPr>
          <w:p w14:paraId="73A89394" w14:textId="5A89557D" w:rsidR="00DD3A03" w:rsidRPr="004954B0" w:rsidRDefault="00DD3A03" w:rsidP="00DD3A03">
            <w:pPr>
              <w:spacing w:before="20" w:after="20"/>
              <w:rPr>
                <w:rFonts w:ascii="Arial" w:hAnsi="Arial" w:cs="Arial"/>
                <w:sz w:val="22"/>
                <w:szCs w:val="22"/>
                <w:lang w:val="en-GB"/>
              </w:rPr>
            </w:pPr>
            <w:r w:rsidRPr="004954B0">
              <w:rPr>
                <w:rFonts w:ascii="Arial" w:hAnsi="Arial" w:cs="Arial"/>
                <w:sz w:val="22"/>
                <w:szCs w:val="22"/>
                <w:lang w:val="en-GB"/>
              </w:rPr>
              <w:t>PMR</w:t>
            </w:r>
          </w:p>
        </w:tc>
        <w:tc>
          <w:tcPr>
            <w:tcW w:w="7128" w:type="dxa"/>
            <w:tcBorders>
              <w:top w:val="nil"/>
              <w:bottom w:val="nil"/>
            </w:tcBorders>
          </w:tcPr>
          <w:p w14:paraId="25328456" w14:textId="084C374C" w:rsidR="00DD3A03" w:rsidRPr="004954B0" w:rsidRDefault="00DD3A03" w:rsidP="00DD3A03">
            <w:pPr>
              <w:spacing w:before="20" w:after="20"/>
              <w:rPr>
                <w:rFonts w:ascii="Arial" w:hAnsi="Arial" w:cs="Arial"/>
                <w:sz w:val="22"/>
                <w:szCs w:val="22"/>
                <w:lang w:val="en-GB"/>
              </w:rPr>
            </w:pPr>
            <w:r w:rsidRPr="004954B0">
              <w:rPr>
                <w:rFonts w:ascii="Arial" w:hAnsi="Arial" w:cs="Arial"/>
                <w:color w:val="000000"/>
                <w:sz w:val="22"/>
                <w:szCs w:val="22"/>
                <w:lang w:val="en-GB"/>
              </w:rPr>
              <w:t>Progress monitoring report</w:t>
            </w:r>
          </w:p>
        </w:tc>
      </w:tr>
      <w:tr w:rsidR="00DD3A03" w:rsidRPr="004954B0" w14:paraId="7BC5F606" w14:textId="77777777" w:rsidTr="00697B8A">
        <w:trPr>
          <w:cantSplit/>
          <w:trHeight w:val="279"/>
        </w:trPr>
        <w:tc>
          <w:tcPr>
            <w:tcW w:w="1512" w:type="dxa"/>
            <w:tcBorders>
              <w:top w:val="nil"/>
              <w:bottom w:val="nil"/>
            </w:tcBorders>
          </w:tcPr>
          <w:p w14:paraId="20804E79" w14:textId="5F15C25E" w:rsidR="00DD3A03" w:rsidRPr="004954B0" w:rsidRDefault="00DD3A03" w:rsidP="00DD3A03">
            <w:pPr>
              <w:spacing w:before="20" w:after="20"/>
              <w:rPr>
                <w:rFonts w:ascii="Arial" w:hAnsi="Arial" w:cs="Arial"/>
                <w:sz w:val="22"/>
                <w:szCs w:val="22"/>
                <w:lang w:val="en-GB"/>
              </w:rPr>
            </w:pPr>
            <w:r w:rsidRPr="004954B0">
              <w:rPr>
                <w:rFonts w:ascii="Arial" w:hAnsi="Arial" w:cs="Arial"/>
                <w:sz w:val="22"/>
                <w:szCs w:val="22"/>
                <w:lang w:val="en-GB"/>
              </w:rPr>
              <w:t>PPE</w:t>
            </w:r>
          </w:p>
        </w:tc>
        <w:tc>
          <w:tcPr>
            <w:tcW w:w="7128" w:type="dxa"/>
            <w:tcBorders>
              <w:top w:val="nil"/>
              <w:bottom w:val="nil"/>
            </w:tcBorders>
          </w:tcPr>
          <w:p w14:paraId="754F3C37" w14:textId="26956D1D" w:rsidR="00DD3A03" w:rsidRPr="004954B0" w:rsidRDefault="00DD3A03" w:rsidP="00DD3A03">
            <w:pPr>
              <w:spacing w:before="20" w:after="20"/>
              <w:rPr>
                <w:rFonts w:ascii="Arial" w:hAnsi="Arial" w:cs="Arial"/>
                <w:sz w:val="22"/>
                <w:szCs w:val="22"/>
                <w:highlight w:val="yellow"/>
                <w:lang w:val="en-GB"/>
              </w:rPr>
            </w:pPr>
            <w:r w:rsidRPr="004954B0">
              <w:rPr>
                <w:rFonts w:ascii="Arial" w:hAnsi="Arial" w:cs="Arial"/>
                <w:sz w:val="22"/>
                <w:szCs w:val="22"/>
                <w:lang w:val="en-GB"/>
              </w:rPr>
              <w:t>Personal protective equipment</w:t>
            </w:r>
          </w:p>
        </w:tc>
      </w:tr>
      <w:tr w:rsidR="00A93DB9" w:rsidRPr="004954B0" w14:paraId="6CC90C90" w14:textId="77777777" w:rsidTr="001D3338">
        <w:trPr>
          <w:cantSplit/>
        </w:trPr>
        <w:tc>
          <w:tcPr>
            <w:tcW w:w="1512" w:type="dxa"/>
            <w:tcBorders>
              <w:top w:val="nil"/>
              <w:bottom w:val="nil"/>
            </w:tcBorders>
          </w:tcPr>
          <w:p w14:paraId="6CC90C8E" w14:textId="5A3DF0E9" w:rsidR="00270657" w:rsidRPr="004954B0" w:rsidRDefault="00270657" w:rsidP="00A93DB9">
            <w:pPr>
              <w:spacing w:before="20" w:after="20"/>
              <w:rPr>
                <w:rFonts w:ascii="Arial" w:hAnsi="Arial" w:cs="Arial"/>
                <w:sz w:val="22"/>
                <w:szCs w:val="22"/>
                <w:lang w:val="en-GB"/>
              </w:rPr>
            </w:pPr>
            <w:r w:rsidRPr="004954B0">
              <w:rPr>
                <w:rFonts w:ascii="Arial" w:hAnsi="Arial" w:cs="Arial"/>
                <w:sz w:val="22"/>
                <w:szCs w:val="22"/>
                <w:lang w:val="en-GB"/>
              </w:rPr>
              <w:t>RM</w:t>
            </w:r>
          </w:p>
        </w:tc>
        <w:tc>
          <w:tcPr>
            <w:tcW w:w="7128" w:type="dxa"/>
            <w:tcBorders>
              <w:top w:val="nil"/>
              <w:bottom w:val="nil"/>
            </w:tcBorders>
          </w:tcPr>
          <w:p w14:paraId="6CC90C8F" w14:textId="0DD2EC02" w:rsidR="00270657" w:rsidRPr="004954B0" w:rsidRDefault="00270657" w:rsidP="00A93DB9">
            <w:pPr>
              <w:spacing w:before="20" w:after="20"/>
              <w:rPr>
                <w:rFonts w:ascii="Arial" w:hAnsi="Arial" w:cs="Arial"/>
                <w:sz w:val="22"/>
                <w:szCs w:val="22"/>
                <w:highlight w:val="yellow"/>
                <w:lang w:val="en-GB"/>
              </w:rPr>
            </w:pPr>
            <w:r w:rsidRPr="004954B0">
              <w:rPr>
                <w:rFonts w:ascii="Arial" w:hAnsi="Arial" w:cs="Arial"/>
                <w:sz w:val="22"/>
                <w:szCs w:val="22"/>
                <w:lang w:val="en-GB"/>
              </w:rPr>
              <w:t>Results matrix</w:t>
            </w:r>
          </w:p>
        </w:tc>
      </w:tr>
      <w:tr w:rsidR="001D3338" w:rsidRPr="004954B0" w14:paraId="24F5A102" w14:textId="77777777" w:rsidTr="00697B8A">
        <w:trPr>
          <w:cantSplit/>
        </w:trPr>
        <w:tc>
          <w:tcPr>
            <w:tcW w:w="1512" w:type="dxa"/>
            <w:tcBorders>
              <w:top w:val="nil"/>
            </w:tcBorders>
          </w:tcPr>
          <w:p w14:paraId="7909EA3C" w14:textId="2D785DE9" w:rsidR="001D3338" w:rsidRPr="004954B0" w:rsidRDefault="001D3338" w:rsidP="00A93DB9">
            <w:pPr>
              <w:spacing w:before="20" w:after="20"/>
              <w:rPr>
                <w:rFonts w:ascii="Arial" w:hAnsi="Arial" w:cs="Arial"/>
                <w:sz w:val="22"/>
                <w:szCs w:val="22"/>
                <w:lang w:val="en-GB"/>
              </w:rPr>
            </w:pPr>
            <w:r w:rsidRPr="004954B0">
              <w:rPr>
                <w:rFonts w:ascii="Arial" w:hAnsi="Arial" w:cs="Arial"/>
                <w:sz w:val="22"/>
                <w:szCs w:val="22"/>
                <w:lang w:val="en-GB"/>
              </w:rPr>
              <w:t>WHO</w:t>
            </w:r>
          </w:p>
        </w:tc>
        <w:tc>
          <w:tcPr>
            <w:tcW w:w="7128" w:type="dxa"/>
            <w:tcBorders>
              <w:top w:val="nil"/>
            </w:tcBorders>
          </w:tcPr>
          <w:p w14:paraId="0C6BF729" w14:textId="2D9B32B9" w:rsidR="001D3338" w:rsidRPr="004954B0" w:rsidRDefault="001D3338" w:rsidP="00A93DB9">
            <w:pPr>
              <w:spacing w:before="20" w:after="20"/>
              <w:rPr>
                <w:rFonts w:ascii="Arial" w:hAnsi="Arial" w:cs="Arial"/>
                <w:sz w:val="22"/>
                <w:szCs w:val="22"/>
                <w:lang w:val="en-GB"/>
              </w:rPr>
            </w:pPr>
            <w:r w:rsidRPr="004954B0">
              <w:rPr>
                <w:rFonts w:ascii="Arial" w:hAnsi="Arial"/>
                <w:spacing w:val="-3"/>
                <w:sz w:val="22"/>
                <w:szCs w:val="22"/>
                <w:lang w:val="en-GB"/>
              </w:rPr>
              <w:t xml:space="preserve">World Health Organization </w:t>
            </w:r>
          </w:p>
        </w:tc>
      </w:tr>
    </w:tbl>
    <w:p w14:paraId="6CC90C91" w14:textId="77777777" w:rsidR="00ED751C" w:rsidRPr="004954B0" w:rsidRDefault="00ED751C" w:rsidP="00ED751C">
      <w:pPr>
        <w:pStyle w:val="AbbrDesc"/>
        <w:tabs>
          <w:tab w:val="left" w:pos="1440"/>
        </w:tabs>
        <w:rPr>
          <w:rFonts w:ascii="Arial" w:hAnsi="Arial" w:cs="Arial"/>
          <w:sz w:val="22"/>
          <w:szCs w:val="22"/>
          <w:lang w:val="en-GB"/>
        </w:rPr>
        <w:sectPr w:rsidR="00ED751C" w:rsidRPr="004954B0">
          <w:headerReference w:type="first" r:id="rId16"/>
          <w:pgSz w:w="12240" w:h="15840" w:code="1"/>
          <w:pgMar w:top="1440" w:right="1800" w:bottom="1440" w:left="1800" w:header="706" w:footer="706" w:gutter="0"/>
          <w:pgNumType w:fmt="lowerRoman" w:start="1"/>
          <w:cols w:space="720"/>
          <w:formProt w:val="0"/>
          <w:titlePg/>
        </w:sectPr>
      </w:pPr>
    </w:p>
    <w:p w14:paraId="6CC90C92" w14:textId="77777777" w:rsidR="003F69C9" w:rsidRPr="004954B0" w:rsidRDefault="003F69C9">
      <w:pPr>
        <w:spacing w:after="200" w:line="276" w:lineRule="auto"/>
        <w:rPr>
          <w:rFonts w:ascii="Arial" w:hAnsi="Arial" w:cs="Arial"/>
          <w:b/>
          <w:smallCaps/>
          <w:szCs w:val="22"/>
          <w:lang w:val="en-GB"/>
        </w:rPr>
      </w:pPr>
      <w:r w:rsidRPr="004954B0">
        <w:rPr>
          <w:rFonts w:ascii="Arial" w:hAnsi="Arial" w:cs="Arial"/>
          <w:szCs w:val="22"/>
          <w:lang w:val="en-GB"/>
        </w:rPr>
        <w:br w:type="page"/>
      </w:r>
    </w:p>
    <w:p w14:paraId="6CC90C93" w14:textId="6F9C8938" w:rsidR="00ED751C" w:rsidRPr="004954B0" w:rsidRDefault="007C1307" w:rsidP="00EB2886">
      <w:pPr>
        <w:pStyle w:val="Chapter"/>
        <w:spacing w:before="360"/>
        <w:rPr>
          <w:rFonts w:ascii="Arial" w:hAnsi="Arial" w:cs="Arial"/>
          <w:szCs w:val="22"/>
          <w:lang w:val="en-GB"/>
        </w:rPr>
      </w:pPr>
      <w:bookmarkStart w:id="0" w:name="_Toc38495909"/>
      <w:r w:rsidRPr="004954B0">
        <w:rPr>
          <w:rFonts w:ascii="Arial" w:hAnsi="Arial" w:cs="Arial"/>
          <w:szCs w:val="22"/>
          <w:lang w:val="en-GB"/>
        </w:rPr>
        <w:lastRenderedPageBreak/>
        <w:t>Int</w:t>
      </w:r>
      <w:r w:rsidR="009774EB" w:rsidRPr="004954B0">
        <w:rPr>
          <w:rFonts w:ascii="Arial" w:hAnsi="Arial" w:cs="Arial"/>
          <w:szCs w:val="22"/>
          <w:lang w:val="en-GB"/>
        </w:rPr>
        <w:t>roduction</w:t>
      </w:r>
      <w:bookmarkEnd w:id="0"/>
    </w:p>
    <w:p w14:paraId="07B13B33" w14:textId="4732A6E3" w:rsidR="00023E76" w:rsidRPr="004954B0" w:rsidRDefault="001F6CDA" w:rsidP="00F45827">
      <w:pPr>
        <w:pStyle w:val="Paragraph"/>
        <w:tabs>
          <w:tab w:val="clear" w:pos="2448"/>
          <w:tab w:val="num" w:pos="720"/>
          <w:tab w:val="num" w:pos="1440"/>
        </w:tabs>
        <w:ind w:left="720" w:hanging="720"/>
        <w:rPr>
          <w:rFonts w:ascii="Arial" w:hAnsi="Arial" w:cs="Arial"/>
          <w:color w:val="000000"/>
          <w:sz w:val="22"/>
          <w:szCs w:val="22"/>
          <w:lang w:val="en-GB"/>
        </w:rPr>
      </w:pPr>
      <w:r w:rsidRPr="001F6CDA">
        <w:rPr>
          <w:rFonts w:ascii="Arial" w:hAnsi="Arial" w:cs="Arial"/>
          <w:sz w:val="22"/>
          <w:szCs w:val="22"/>
          <w:lang w:val="en-GB"/>
        </w:rPr>
        <w:t>The general objective of the programme is to strengthen the efficiency and effectiveness of public policy and fiscal management in response to the health and economic crisis caused by COVID-19, through the design and implementation of effective and fiscally responsible policy measures. The specific objectives are: (i)</w:t>
      </w:r>
      <w:r w:rsidR="008D6C5A">
        <w:rPr>
          <w:rFonts w:ascii="Arial" w:hAnsi="Arial" w:cs="Arial"/>
          <w:sz w:val="22"/>
          <w:szCs w:val="22"/>
          <w:lang w:val="en-GB"/>
        </w:rPr>
        <w:t> </w:t>
      </w:r>
      <w:r w:rsidRPr="001F6CDA">
        <w:rPr>
          <w:rFonts w:ascii="Arial" w:hAnsi="Arial" w:cs="Arial"/>
          <w:sz w:val="22"/>
          <w:szCs w:val="22"/>
          <w:lang w:val="en-GB"/>
        </w:rPr>
        <w:t xml:space="preserve">to promote the availability and timely execution of public resources to respond to the health crisis caused by COVID19 ; (ii) to strengthen the countercyclical effect of fiscal policy through the temporary introduction of measures to protect the income of vulnerable households and increase liquidity for businesses during the health and economic crisis; and (iii) to promote economic and fiscal recovery during the post-pandemic period. </w:t>
      </w:r>
      <w:r w:rsidR="00F45827" w:rsidRPr="004954B0">
        <w:rPr>
          <w:rFonts w:ascii="Arial" w:hAnsi="Arial" w:cs="Arial"/>
          <w:sz w:val="22"/>
          <w:szCs w:val="22"/>
          <w:lang w:val="en-GB"/>
        </w:rPr>
        <w:t>The executing agency (EA) for this program</w:t>
      </w:r>
      <w:r w:rsidR="006704D5" w:rsidRPr="004954B0">
        <w:rPr>
          <w:rFonts w:ascii="Arial" w:hAnsi="Arial" w:cs="Arial"/>
          <w:sz w:val="22"/>
          <w:szCs w:val="22"/>
          <w:lang w:val="en-GB"/>
        </w:rPr>
        <w:t>me</w:t>
      </w:r>
      <w:r w:rsidR="00F45827" w:rsidRPr="004954B0">
        <w:rPr>
          <w:rFonts w:ascii="Arial" w:hAnsi="Arial" w:cs="Arial"/>
          <w:sz w:val="22"/>
          <w:szCs w:val="22"/>
          <w:lang w:val="en-GB"/>
        </w:rPr>
        <w:t xml:space="preserve"> is</w:t>
      </w:r>
      <w:r w:rsidR="00F210E2" w:rsidRPr="004954B0">
        <w:rPr>
          <w:rFonts w:ascii="Arial" w:hAnsi="Arial" w:cs="Arial"/>
          <w:color w:val="000000"/>
          <w:sz w:val="22"/>
          <w:szCs w:val="22"/>
          <w:lang w:val="en-GB"/>
        </w:rPr>
        <w:t xml:space="preserve"> the </w:t>
      </w:r>
      <w:r w:rsidR="004954B0" w:rsidRPr="004954B0">
        <w:rPr>
          <w:rFonts w:ascii="Arial" w:hAnsi="Arial" w:cs="Arial"/>
          <w:color w:val="000000"/>
          <w:sz w:val="22"/>
          <w:szCs w:val="22"/>
          <w:lang w:val="en-GB"/>
        </w:rPr>
        <w:t xml:space="preserve">Ministry of Finance, Economic Affairs &amp; Investment </w:t>
      </w:r>
      <w:r w:rsidR="004954B0">
        <w:rPr>
          <w:rFonts w:ascii="Arial" w:hAnsi="Arial" w:cs="Arial"/>
          <w:color w:val="000000"/>
          <w:sz w:val="22"/>
          <w:szCs w:val="22"/>
          <w:lang w:val="en-GB"/>
        </w:rPr>
        <w:t xml:space="preserve">(MFEI) </w:t>
      </w:r>
      <w:r w:rsidR="00F210E2" w:rsidRPr="004954B0">
        <w:rPr>
          <w:rFonts w:ascii="Arial" w:hAnsi="Arial" w:cs="Arial"/>
          <w:color w:val="000000"/>
          <w:sz w:val="22"/>
          <w:szCs w:val="22"/>
          <w:lang w:val="en-GB"/>
        </w:rPr>
        <w:t xml:space="preserve">of </w:t>
      </w:r>
      <w:r w:rsidR="00755028" w:rsidRPr="004954B0">
        <w:rPr>
          <w:rFonts w:ascii="Arial" w:hAnsi="Arial" w:cs="Arial"/>
          <w:color w:val="000000"/>
          <w:sz w:val="22"/>
          <w:szCs w:val="22"/>
          <w:lang w:val="en-GB"/>
        </w:rPr>
        <w:t>Barbados</w:t>
      </w:r>
      <w:r w:rsidR="00D34B84" w:rsidRPr="004954B0">
        <w:rPr>
          <w:rFonts w:ascii="Arial" w:hAnsi="Arial" w:cs="Arial"/>
          <w:color w:val="000000"/>
          <w:sz w:val="22"/>
          <w:szCs w:val="22"/>
          <w:lang w:val="en-GB"/>
        </w:rPr>
        <w:t>.</w:t>
      </w:r>
    </w:p>
    <w:p w14:paraId="21E4ACE4" w14:textId="777C2F6D" w:rsidR="008A0183" w:rsidRPr="004954B0" w:rsidRDefault="004C1475" w:rsidP="00E6181F">
      <w:pPr>
        <w:pStyle w:val="Paragraph"/>
        <w:tabs>
          <w:tab w:val="clear" w:pos="2448"/>
          <w:tab w:val="num" w:pos="720"/>
          <w:tab w:val="num" w:pos="1440"/>
        </w:tabs>
        <w:ind w:left="720" w:hanging="720"/>
        <w:rPr>
          <w:rFonts w:ascii="Arial" w:hAnsi="Arial" w:cs="Arial"/>
          <w:color w:val="000000"/>
          <w:sz w:val="22"/>
          <w:szCs w:val="22"/>
          <w:lang w:val="en-GB"/>
        </w:rPr>
      </w:pPr>
      <w:r w:rsidRPr="004954B0">
        <w:rPr>
          <w:rFonts w:ascii="Arial" w:eastAsiaTheme="minorHAnsi" w:hAnsi="Arial" w:cs="Arial"/>
          <w:sz w:val="22"/>
          <w:szCs w:val="22"/>
          <w:lang w:val="en-GB"/>
        </w:rPr>
        <w:t>The program</w:t>
      </w:r>
      <w:r w:rsidR="006704D5" w:rsidRPr="004954B0">
        <w:rPr>
          <w:rFonts w:ascii="Arial" w:eastAsiaTheme="minorHAnsi" w:hAnsi="Arial" w:cs="Arial"/>
          <w:sz w:val="22"/>
          <w:szCs w:val="22"/>
          <w:lang w:val="en-GB"/>
        </w:rPr>
        <w:t>me</w:t>
      </w:r>
      <w:r w:rsidRPr="004954B0">
        <w:rPr>
          <w:rFonts w:ascii="Arial" w:eastAsiaTheme="minorHAnsi" w:hAnsi="Arial" w:cs="Arial"/>
          <w:sz w:val="22"/>
          <w:szCs w:val="22"/>
          <w:lang w:val="en-GB"/>
        </w:rPr>
        <w:t xml:space="preserve"> is structured as</w:t>
      </w:r>
      <w:r w:rsidR="002052F0" w:rsidRPr="004954B0">
        <w:rPr>
          <w:rFonts w:ascii="Arial" w:eastAsiaTheme="minorHAnsi" w:hAnsi="Arial" w:cs="Arial"/>
          <w:sz w:val="22"/>
          <w:szCs w:val="22"/>
          <w:lang w:val="en-GB"/>
        </w:rPr>
        <w:t xml:space="preserve"> a </w:t>
      </w:r>
      <w:r w:rsidR="00032AB3" w:rsidRPr="004954B0">
        <w:rPr>
          <w:rFonts w:ascii="Arial" w:eastAsiaTheme="minorHAnsi" w:hAnsi="Arial" w:cs="Arial"/>
          <w:sz w:val="22"/>
          <w:szCs w:val="22"/>
          <w:lang w:val="en-GB"/>
        </w:rPr>
        <w:t>p</w:t>
      </w:r>
      <w:r w:rsidR="002052F0" w:rsidRPr="004954B0">
        <w:rPr>
          <w:rFonts w:ascii="Arial" w:eastAsiaTheme="minorHAnsi" w:hAnsi="Arial" w:cs="Arial"/>
          <w:sz w:val="22"/>
          <w:szCs w:val="22"/>
          <w:lang w:val="en-GB"/>
        </w:rPr>
        <w:t xml:space="preserve">olicy-based </w:t>
      </w:r>
      <w:r w:rsidR="00032AB3" w:rsidRPr="004954B0">
        <w:rPr>
          <w:rFonts w:ascii="Arial" w:eastAsiaTheme="minorHAnsi" w:hAnsi="Arial" w:cs="Arial"/>
          <w:sz w:val="22"/>
          <w:szCs w:val="22"/>
          <w:lang w:val="en-GB"/>
        </w:rPr>
        <w:t>l</w:t>
      </w:r>
      <w:r w:rsidR="002052F0" w:rsidRPr="004954B0">
        <w:rPr>
          <w:rFonts w:ascii="Arial" w:eastAsiaTheme="minorHAnsi" w:hAnsi="Arial" w:cs="Arial"/>
          <w:sz w:val="22"/>
          <w:szCs w:val="22"/>
          <w:lang w:val="en-GB"/>
        </w:rPr>
        <w:t>oan</w:t>
      </w:r>
      <w:r w:rsidR="00032AB3" w:rsidRPr="004954B0">
        <w:rPr>
          <w:rFonts w:ascii="Arial" w:eastAsiaTheme="minorHAnsi" w:hAnsi="Arial" w:cs="Arial"/>
          <w:sz w:val="22"/>
          <w:szCs w:val="22"/>
          <w:lang w:val="en-GB"/>
        </w:rPr>
        <w:t xml:space="preserve"> (PBL)</w:t>
      </w:r>
      <w:r w:rsidR="00E42B20" w:rsidRPr="004954B0">
        <w:rPr>
          <w:rFonts w:ascii="Arial" w:eastAsiaTheme="minorHAnsi" w:hAnsi="Arial" w:cs="Arial"/>
          <w:sz w:val="22"/>
          <w:szCs w:val="22"/>
          <w:lang w:val="en-GB"/>
        </w:rPr>
        <w:t xml:space="preserve"> </w:t>
      </w:r>
      <w:r w:rsidRPr="004954B0">
        <w:rPr>
          <w:rFonts w:ascii="Arial" w:eastAsiaTheme="minorHAnsi" w:hAnsi="Arial" w:cs="Arial"/>
          <w:sz w:val="22"/>
          <w:szCs w:val="22"/>
          <w:lang w:val="en-GB"/>
        </w:rPr>
        <w:t>program</w:t>
      </w:r>
      <w:r w:rsidR="006704D5" w:rsidRPr="004954B0">
        <w:rPr>
          <w:rFonts w:ascii="Arial" w:eastAsiaTheme="minorHAnsi" w:hAnsi="Arial" w:cs="Arial"/>
          <w:sz w:val="22"/>
          <w:szCs w:val="22"/>
          <w:lang w:val="en-GB"/>
        </w:rPr>
        <w:t>me</w:t>
      </w:r>
      <w:r w:rsidRPr="004954B0">
        <w:rPr>
          <w:rFonts w:ascii="Arial" w:eastAsiaTheme="minorHAnsi" w:hAnsi="Arial" w:cs="Arial"/>
          <w:sz w:val="22"/>
          <w:szCs w:val="22"/>
          <w:lang w:val="en-GB"/>
        </w:rPr>
        <w:t xml:space="preserve"> modality</w:t>
      </w:r>
      <w:r w:rsidR="00E42B20" w:rsidRPr="004954B0">
        <w:rPr>
          <w:rFonts w:ascii="Arial" w:eastAsiaTheme="minorHAnsi" w:hAnsi="Arial" w:cs="Arial"/>
          <w:sz w:val="22"/>
          <w:szCs w:val="22"/>
          <w:lang w:val="en-GB"/>
        </w:rPr>
        <w:t xml:space="preserve">, </w:t>
      </w:r>
      <w:r w:rsidR="00071048" w:rsidRPr="004954B0">
        <w:rPr>
          <w:rFonts w:ascii="Arial" w:eastAsiaTheme="minorHAnsi" w:hAnsi="Arial" w:cs="Arial"/>
          <w:sz w:val="22"/>
          <w:szCs w:val="22"/>
          <w:lang w:val="en-GB"/>
        </w:rPr>
        <w:t>with a series of two independent but technically linked operations</w:t>
      </w:r>
      <w:r w:rsidR="00E42B20" w:rsidRPr="004954B0">
        <w:rPr>
          <w:rFonts w:ascii="Arial" w:eastAsiaTheme="minorHAnsi" w:hAnsi="Arial" w:cs="Arial"/>
          <w:sz w:val="22"/>
          <w:szCs w:val="22"/>
          <w:lang w:val="en-GB"/>
        </w:rPr>
        <w:t xml:space="preserve"> </w:t>
      </w:r>
      <w:r w:rsidR="004558F4" w:rsidRPr="004954B0">
        <w:rPr>
          <w:rFonts w:ascii="Arial" w:eastAsiaTheme="minorHAnsi" w:hAnsi="Arial" w:cs="Arial"/>
          <w:sz w:val="22"/>
          <w:szCs w:val="22"/>
          <w:lang w:val="en-GB"/>
        </w:rPr>
        <w:t xml:space="preserve">whose policy actions seek to support the country in adopting measures to respond to the main challenges it faces in </w:t>
      </w:r>
      <w:r w:rsidR="006A1A14" w:rsidRPr="004954B0">
        <w:rPr>
          <w:rFonts w:ascii="Arial" w:eastAsiaTheme="minorHAnsi" w:hAnsi="Arial" w:cs="Arial"/>
          <w:sz w:val="22"/>
          <w:szCs w:val="22"/>
          <w:lang w:val="en-GB"/>
        </w:rPr>
        <w:t>responding to</w:t>
      </w:r>
      <w:r w:rsidR="004558F4" w:rsidRPr="004954B0">
        <w:rPr>
          <w:rFonts w:ascii="Arial" w:eastAsiaTheme="minorHAnsi" w:hAnsi="Arial" w:cs="Arial"/>
          <w:sz w:val="22"/>
          <w:szCs w:val="22"/>
          <w:lang w:val="en-GB"/>
        </w:rPr>
        <w:t xml:space="preserve"> the health and economic crisis caused by COVID-19. This first operation is mainly aimed at supporting the public policy </w:t>
      </w:r>
      <w:r w:rsidR="007E5BDB">
        <w:rPr>
          <w:rFonts w:ascii="Arial" w:eastAsiaTheme="minorHAnsi" w:hAnsi="Arial" w:cs="Arial"/>
          <w:sz w:val="22"/>
          <w:szCs w:val="22"/>
          <w:lang w:val="en-GB"/>
        </w:rPr>
        <w:t xml:space="preserve">and fiscal management </w:t>
      </w:r>
      <w:r w:rsidR="00C82E66" w:rsidRPr="004954B0">
        <w:rPr>
          <w:rFonts w:ascii="Arial" w:eastAsiaTheme="minorHAnsi" w:hAnsi="Arial" w:cs="Arial"/>
          <w:sz w:val="22"/>
          <w:szCs w:val="22"/>
          <w:lang w:val="en-GB"/>
        </w:rPr>
        <w:t xml:space="preserve">measures needed to address </w:t>
      </w:r>
      <w:r w:rsidR="004558F4" w:rsidRPr="004954B0">
        <w:rPr>
          <w:rFonts w:ascii="Arial" w:eastAsiaTheme="minorHAnsi" w:hAnsi="Arial" w:cs="Arial"/>
          <w:sz w:val="22"/>
          <w:szCs w:val="22"/>
          <w:lang w:val="en-GB"/>
        </w:rPr>
        <w:t xml:space="preserve">the </w:t>
      </w:r>
      <w:r w:rsidR="007E5BDB">
        <w:rPr>
          <w:rFonts w:ascii="Arial" w:eastAsiaTheme="minorHAnsi" w:hAnsi="Arial" w:cs="Arial"/>
          <w:sz w:val="22"/>
          <w:szCs w:val="22"/>
          <w:lang w:val="en-GB"/>
        </w:rPr>
        <w:t>emergency</w:t>
      </w:r>
      <w:r w:rsidR="00E42B20" w:rsidRPr="004954B0">
        <w:rPr>
          <w:rFonts w:ascii="Arial" w:eastAsiaTheme="minorHAnsi" w:hAnsi="Arial" w:cs="Arial"/>
          <w:sz w:val="22"/>
          <w:szCs w:val="22"/>
          <w:lang w:val="en-GB"/>
        </w:rPr>
        <w:t xml:space="preserve">. </w:t>
      </w:r>
      <w:r w:rsidR="004558F4" w:rsidRPr="004954B0">
        <w:rPr>
          <w:rFonts w:ascii="Arial" w:eastAsiaTheme="minorHAnsi" w:hAnsi="Arial" w:cs="Arial"/>
          <w:sz w:val="22"/>
          <w:szCs w:val="22"/>
          <w:lang w:val="en-GB"/>
        </w:rPr>
        <w:t>The second operation in the series</w:t>
      </w:r>
      <w:r w:rsidR="00E42B20" w:rsidRPr="004954B0">
        <w:rPr>
          <w:rFonts w:ascii="Arial" w:eastAsiaTheme="minorHAnsi" w:hAnsi="Arial" w:cs="Arial"/>
          <w:sz w:val="22"/>
          <w:szCs w:val="22"/>
          <w:lang w:val="en-GB"/>
        </w:rPr>
        <w:t xml:space="preserve"> </w:t>
      </w:r>
      <w:r w:rsidR="00BC0B03" w:rsidRPr="004954B0">
        <w:rPr>
          <w:rFonts w:ascii="Arial" w:eastAsiaTheme="minorHAnsi" w:hAnsi="Arial" w:cs="Arial"/>
          <w:sz w:val="22"/>
          <w:szCs w:val="22"/>
          <w:lang w:val="en-GB"/>
        </w:rPr>
        <w:t xml:space="preserve">seeks </w:t>
      </w:r>
      <w:r w:rsidR="006A389D" w:rsidRPr="004954B0">
        <w:rPr>
          <w:rFonts w:ascii="Arial" w:eastAsiaTheme="minorHAnsi" w:hAnsi="Arial" w:cs="Arial"/>
          <w:sz w:val="22"/>
          <w:szCs w:val="22"/>
          <w:lang w:val="en-GB"/>
        </w:rPr>
        <w:t xml:space="preserve">to promote economic and fiscal recovery through implementing policies to restore </w:t>
      </w:r>
      <w:r w:rsidR="007E5E73" w:rsidRPr="004954B0">
        <w:rPr>
          <w:rFonts w:ascii="Arial" w:eastAsiaTheme="minorHAnsi" w:hAnsi="Arial" w:cs="Arial"/>
          <w:sz w:val="22"/>
          <w:szCs w:val="22"/>
          <w:lang w:val="en-GB"/>
        </w:rPr>
        <w:t xml:space="preserve">equitable and fiscally sustainable </w:t>
      </w:r>
      <w:r w:rsidR="006A389D" w:rsidRPr="004954B0">
        <w:rPr>
          <w:rFonts w:ascii="Arial" w:eastAsiaTheme="minorHAnsi" w:hAnsi="Arial" w:cs="Arial"/>
          <w:sz w:val="22"/>
          <w:szCs w:val="22"/>
          <w:lang w:val="en-GB"/>
        </w:rPr>
        <w:t>growth in the post-pandemic period</w:t>
      </w:r>
      <w:r w:rsidR="00E42B20" w:rsidRPr="004954B0">
        <w:rPr>
          <w:rFonts w:ascii="Arial" w:hAnsi="Arial" w:cs="Arial"/>
          <w:sz w:val="22"/>
          <w:szCs w:val="22"/>
          <w:lang w:val="en-GB"/>
        </w:rPr>
        <w:t>.</w:t>
      </w:r>
    </w:p>
    <w:p w14:paraId="33FECA7E" w14:textId="2B5BAF0F" w:rsidR="001F64ED" w:rsidRPr="004954B0" w:rsidRDefault="00C8782E" w:rsidP="00967329">
      <w:pPr>
        <w:pStyle w:val="Paragraph"/>
        <w:tabs>
          <w:tab w:val="clear" w:pos="2448"/>
          <w:tab w:val="num" w:pos="720"/>
          <w:tab w:val="num" w:pos="1440"/>
        </w:tabs>
        <w:ind w:left="720" w:hanging="720"/>
        <w:rPr>
          <w:rFonts w:ascii="Arial" w:hAnsi="Arial" w:cs="Arial"/>
          <w:sz w:val="22"/>
          <w:szCs w:val="22"/>
          <w:lang w:val="en-GB"/>
        </w:rPr>
      </w:pPr>
      <w:r w:rsidRPr="004954B0">
        <w:rPr>
          <w:rFonts w:ascii="Arial" w:hAnsi="Arial" w:cs="Arial"/>
          <w:color w:val="000000"/>
          <w:sz w:val="22"/>
          <w:szCs w:val="22"/>
          <w:lang w:val="en-GB"/>
        </w:rPr>
        <w:t>The program</w:t>
      </w:r>
      <w:r w:rsidR="006704D5" w:rsidRPr="004954B0">
        <w:rPr>
          <w:rFonts w:ascii="Arial" w:hAnsi="Arial" w:cs="Arial"/>
          <w:color w:val="000000"/>
          <w:sz w:val="22"/>
          <w:szCs w:val="22"/>
          <w:lang w:val="en-GB"/>
        </w:rPr>
        <w:t>me</w:t>
      </w:r>
      <w:r w:rsidRPr="004954B0">
        <w:rPr>
          <w:rFonts w:ascii="Arial" w:hAnsi="Arial" w:cs="Arial"/>
          <w:color w:val="000000"/>
          <w:sz w:val="22"/>
          <w:szCs w:val="22"/>
          <w:lang w:val="en-GB"/>
        </w:rPr>
        <w:t xml:space="preserve"> has </w:t>
      </w:r>
      <w:r w:rsidR="007E5BDB">
        <w:rPr>
          <w:rFonts w:ascii="Arial" w:hAnsi="Arial" w:cs="Arial"/>
          <w:color w:val="000000"/>
          <w:sz w:val="22"/>
          <w:szCs w:val="22"/>
          <w:lang w:val="en-GB"/>
        </w:rPr>
        <w:t>four</w:t>
      </w:r>
      <w:r w:rsidRPr="004954B0">
        <w:rPr>
          <w:rFonts w:ascii="Arial" w:hAnsi="Arial" w:cs="Arial"/>
          <w:color w:val="000000"/>
          <w:sz w:val="22"/>
          <w:szCs w:val="22"/>
          <w:lang w:val="en-GB"/>
        </w:rPr>
        <w:t xml:space="preserve"> components</w:t>
      </w:r>
      <w:r w:rsidR="005D6650" w:rsidRPr="004954B0">
        <w:rPr>
          <w:rFonts w:ascii="Arial" w:hAnsi="Arial" w:cs="Arial"/>
          <w:color w:val="000000"/>
          <w:sz w:val="22"/>
          <w:szCs w:val="22"/>
          <w:lang w:val="en-GB"/>
        </w:rPr>
        <w:t xml:space="preserve">. </w:t>
      </w:r>
      <w:r w:rsidR="004C6DC6" w:rsidRPr="004954B0">
        <w:rPr>
          <w:rFonts w:ascii="Arial" w:hAnsi="Arial" w:cs="Arial"/>
          <w:color w:val="000000"/>
          <w:sz w:val="22"/>
          <w:szCs w:val="22"/>
          <w:lang w:val="en-GB"/>
        </w:rPr>
        <w:t xml:space="preserve">The first component </w:t>
      </w:r>
      <w:r w:rsidR="00032AB3" w:rsidRPr="004954B0">
        <w:rPr>
          <w:rFonts w:ascii="Arial" w:hAnsi="Arial" w:cs="Arial"/>
          <w:color w:val="000000"/>
          <w:sz w:val="22"/>
          <w:szCs w:val="22"/>
          <w:lang w:val="en-GB"/>
        </w:rPr>
        <w:t>encompasses</w:t>
      </w:r>
      <w:r w:rsidR="004C6DC6" w:rsidRPr="004954B0">
        <w:rPr>
          <w:rFonts w:ascii="Arial" w:hAnsi="Arial" w:cs="Arial"/>
          <w:color w:val="000000"/>
          <w:sz w:val="22"/>
          <w:szCs w:val="22"/>
          <w:lang w:val="en-GB"/>
        </w:rPr>
        <w:t xml:space="preserve"> macroeconomic stability and aims to ensure a context </w:t>
      </w:r>
      <w:r w:rsidR="00032AB3" w:rsidRPr="004954B0">
        <w:rPr>
          <w:rFonts w:ascii="Arial" w:hAnsi="Arial" w:cs="Arial"/>
          <w:color w:val="000000"/>
          <w:sz w:val="22"/>
          <w:szCs w:val="22"/>
          <w:lang w:val="en-GB"/>
        </w:rPr>
        <w:t xml:space="preserve">that is </w:t>
      </w:r>
      <w:r w:rsidR="004C6DC6" w:rsidRPr="004954B0">
        <w:rPr>
          <w:rFonts w:ascii="Arial" w:hAnsi="Arial" w:cs="Arial"/>
          <w:color w:val="000000"/>
          <w:sz w:val="22"/>
          <w:szCs w:val="22"/>
          <w:lang w:val="en-GB"/>
        </w:rPr>
        <w:t>consistent with the program</w:t>
      </w:r>
      <w:r w:rsidR="006704D5" w:rsidRPr="004954B0">
        <w:rPr>
          <w:rFonts w:ascii="Arial" w:hAnsi="Arial" w:cs="Arial"/>
          <w:color w:val="000000"/>
          <w:sz w:val="22"/>
          <w:szCs w:val="22"/>
          <w:lang w:val="en-GB"/>
        </w:rPr>
        <w:t>me</w:t>
      </w:r>
      <w:r w:rsidR="004C6DC6" w:rsidRPr="004954B0">
        <w:rPr>
          <w:rFonts w:ascii="Arial" w:hAnsi="Arial" w:cs="Arial"/>
          <w:color w:val="000000"/>
          <w:sz w:val="22"/>
          <w:szCs w:val="22"/>
          <w:lang w:val="en-GB"/>
        </w:rPr>
        <w:t xml:space="preserve"> objectives set out in </w:t>
      </w:r>
      <w:r w:rsidR="003D3FCE" w:rsidRPr="004954B0">
        <w:rPr>
          <w:rFonts w:ascii="Arial" w:hAnsi="Arial" w:cs="Arial"/>
          <w:color w:val="000000"/>
          <w:sz w:val="22"/>
          <w:szCs w:val="22"/>
          <w:lang w:val="en-GB"/>
        </w:rPr>
        <w:t>the</w:t>
      </w:r>
      <w:r w:rsidR="004C6DC6" w:rsidRPr="004954B0">
        <w:rPr>
          <w:rFonts w:ascii="Arial" w:hAnsi="Arial" w:cs="Arial"/>
          <w:color w:val="000000"/>
          <w:sz w:val="22"/>
          <w:szCs w:val="22"/>
          <w:lang w:val="en-GB"/>
        </w:rPr>
        <w:t xml:space="preserve"> </w:t>
      </w:r>
      <w:r w:rsidR="009C4606">
        <w:rPr>
          <w:rFonts w:ascii="Arial" w:hAnsi="Arial" w:cs="Arial"/>
          <w:color w:val="000000"/>
          <w:sz w:val="22"/>
          <w:szCs w:val="22"/>
          <w:lang w:val="en-GB"/>
        </w:rPr>
        <w:t>P</w:t>
      </w:r>
      <w:r w:rsidR="004C6DC6" w:rsidRPr="004954B0">
        <w:rPr>
          <w:rFonts w:ascii="Arial" w:hAnsi="Arial" w:cs="Arial"/>
          <w:color w:val="000000"/>
          <w:sz w:val="22"/>
          <w:szCs w:val="22"/>
          <w:lang w:val="en-GB"/>
        </w:rPr>
        <w:t xml:space="preserve">olicy </w:t>
      </w:r>
      <w:r w:rsidR="009C4606">
        <w:rPr>
          <w:rFonts w:ascii="Arial" w:hAnsi="Arial" w:cs="Arial"/>
          <w:color w:val="000000"/>
          <w:sz w:val="22"/>
          <w:szCs w:val="22"/>
          <w:lang w:val="en-GB"/>
        </w:rPr>
        <w:t>M</w:t>
      </w:r>
      <w:r w:rsidR="004C6DC6" w:rsidRPr="004954B0">
        <w:rPr>
          <w:rFonts w:ascii="Arial" w:hAnsi="Arial" w:cs="Arial"/>
          <w:color w:val="000000"/>
          <w:sz w:val="22"/>
          <w:szCs w:val="22"/>
          <w:lang w:val="en-GB"/>
        </w:rPr>
        <w:t>atrix</w:t>
      </w:r>
      <w:r w:rsidR="00032AB3" w:rsidRPr="004954B0">
        <w:rPr>
          <w:rFonts w:ascii="Arial" w:hAnsi="Arial" w:cs="Arial"/>
          <w:color w:val="000000"/>
          <w:sz w:val="22"/>
          <w:szCs w:val="22"/>
          <w:lang w:val="en-GB"/>
        </w:rPr>
        <w:t xml:space="preserve"> (PM)</w:t>
      </w:r>
      <w:r w:rsidR="00E4448D" w:rsidRPr="004954B0">
        <w:rPr>
          <w:rFonts w:ascii="Arial" w:hAnsi="Arial" w:cs="Arial"/>
          <w:color w:val="000000"/>
          <w:sz w:val="22"/>
          <w:szCs w:val="22"/>
          <w:lang w:val="en-GB"/>
        </w:rPr>
        <w:t xml:space="preserve">. </w:t>
      </w:r>
      <w:r w:rsidR="00414ABA" w:rsidRPr="004954B0">
        <w:rPr>
          <w:rFonts w:ascii="Arial" w:hAnsi="Arial" w:cs="Arial"/>
          <w:color w:val="000000"/>
          <w:sz w:val="22"/>
          <w:szCs w:val="22"/>
          <w:lang w:val="en-GB"/>
        </w:rPr>
        <w:t>The second component deals with strengthening public policy and fiscal management for emergency health</w:t>
      </w:r>
      <w:r w:rsidR="00350664" w:rsidRPr="004954B0">
        <w:rPr>
          <w:rFonts w:ascii="Arial" w:hAnsi="Arial" w:cs="Arial"/>
          <w:color w:val="000000"/>
          <w:sz w:val="22"/>
          <w:szCs w:val="22"/>
          <w:lang w:val="en-GB"/>
        </w:rPr>
        <w:t xml:space="preserve">care </w:t>
      </w:r>
      <w:r w:rsidR="00032AB3" w:rsidRPr="004954B0">
        <w:rPr>
          <w:rFonts w:ascii="Arial" w:hAnsi="Arial" w:cs="Arial"/>
          <w:color w:val="000000"/>
          <w:sz w:val="22"/>
          <w:szCs w:val="22"/>
          <w:lang w:val="en-GB"/>
        </w:rPr>
        <w:t xml:space="preserve">services </w:t>
      </w:r>
      <w:r w:rsidR="00414ABA" w:rsidRPr="004954B0">
        <w:rPr>
          <w:rFonts w:ascii="Arial" w:hAnsi="Arial" w:cs="Arial"/>
          <w:color w:val="000000"/>
          <w:sz w:val="22"/>
          <w:szCs w:val="22"/>
          <w:lang w:val="en-GB"/>
        </w:rPr>
        <w:t>and aims to promote the availability and timely execution of material and financial resources to address the effects of the health crisis</w:t>
      </w:r>
      <w:r w:rsidR="00E4448D" w:rsidRPr="004954B0">
        <w:rPr>
          <w:rFonts w:ascii="Arial" w:hAnsi="Arial" w:cs="Arial"/>
          <w:color w:val="000000"/>
          <w:sz w:val="22"/>
          <w:szCs w:val="22"/>
          <w:lang w:val="en-GB"/>
        </w:rPr>
        <w:t xml:space="preserve">. </w:t>
      </w:r>
      <w:r w:rsidR="00E6551D" w:rsidRPr="004954B0">
        <w:rPr>
          <w:rFonts w:ascii="Arial" w:hAnsi="Arial" w:cs="Arial"/>
          <w:color w:val="000000"/>
          <w:sz w:val="22"/>
          <w:szCs w:val="22"/>
          <w:lang w:val="en-GB"/>
        </w:rPr>
        <w:t xml:space="preserve">The third component, called strengthening </w:t>
      </w:r>
      <w:r w:rsidR="005A3317">
        <w:rPr>
          <w:rFonts w:ascii="Arial" w:hAnsi="Arial" w:cs="Arial"/>
          <w:color w:val="000000"/>
          <w:sz w:val="22"/>
          <w:szCs w:val="22"/>
          <w:lang w:val="en-GB"/>
        </w:rPr>
        <w:t xml:space="preserve">of </w:t>
      </w:r>
      <w:r w:rsidR="00E6551D" w:rsidRPr="004954B0">
        <w:rPr>
          <w:rFonts w:ascii="Arial" w:hAnsi="Arial" w:cs="Arial"/>
          <w:color w:val="000000"/>
          <w:sz w:val="22"/>
          <w:szCs w:val="22"/>
          <w:lang w:val="en-GB"/>
        </w:rPr>
        <w:t xml:space="preserve">public policy and fiscal management to respond to the economic crisis, </w:t>
      </w:r>
      <w:r w:rsidR="00A468D9" w:rsidRPr="004954B0">
        <w:rPr>
          <w:rFonts w:ascii="Arial" w:hAnsi="Arial" w:cs="Arial"/>
          <w:color w:val="000000"/>
          <w:sz w:val="22"/>
          <w:szCs w:val="22"/>
          <w:lang w:val="en-GB"/>
        </w:rPr>
        <w:t xml:space="preserve">seeks to </w:t>
      </w:r>
      <w:r w:rsidR="00032AB3" w:rsidRPr="004954B0">
        <w:rPr>
          <w:rFonts w:ascii="Arial" w:hAnsi="Arial" w:cs="Arial"/>
          <w:color w:val="000000"/>
          <w:sz w:val="22"/>
          <w:szCs w:val="22"/>
          <w:lang w:val="en-GB"/>
        </w:rPr>
        <w:t>reinforce</w:t>
      </w:r>
      <w:r w:rsidR="00A468D9" w:rsidRPr="004954B0">
        <w:rPr>
          <w:rFonts w:ascii="Arial" w:hAnsi="Arial" w:cs="Arial"/>
          <w:color w:val="000000"/>
          <w:sz w:val="22"/>
          <w:szCs w:val="22"/>
          <w:lang w:val="en-GB"/>
        </w:rPr>
        <w:t xml:space="preserve"> the counter</w:t>
      </w:r>
      <w:r w:rsidR="00E6551D" w:rsidRPr="004954B0">
        <w:rPr>
          <w:rFonts w:ascii="Arial" w:hAnsi="Arial" w:cs="Arial"/>
          <w:color w:val="000000"/>
          <w:sz w:val="22"/>
          <w:szCs w:val="22"/>
          <w:lang w:val="en-GB"/>
        </w:rPr>
        <w:t xml:space="preserve">cyclical effect of public policies through measures to protect the income of vulnerable households and increase </w:t>
      </w:r>
      <w:r w:rsidR="00A468D9" w:rsidRPr="004954B0">
        <w:rPr>
          <w:rFonts w:ascii="Arial" w:hAnsi="Arial" w:cs="Arial"/>
          <w:color w:val="000000"/>
          <w:sz w:val="22"/>
          <w:szCs w:val="22"/>
          <w:lang w:val="en-GB"/>
        </w:rPr>
        <w:t>business</w:t>
      </w:r>
      <w:r w:rsidR="00E6551D" w:rsidRPr="004954B0">
        <w:rPr>
          <w:rFonts w:ascii="Arial" w:hAnsi="Arial" w:cs="Arial"/>
          <w:color w:val="000000"/>
          <w:sz w:val="22"/>
          <w:szCs w:val="22"/>
          <w:lang w:val="en-GB"/>
        </w:rPr>
        <w:t xml:space="preserve"> liquidity during the health and economic crisis</w:t>
      </w:r>
      <w:r w:rsidR="00E4448D" w:rsidRPr="004954B0">
        <w:rPr>
          <w:rFonts w:ascii="Arial" w:hAnsi="Arial" w:cs="Arial"/>
          <w:color w:val="000000"/>
          <w:sz w:val="22"/>
          <w:szCs w:val="22"/>
          <w:lang w:val="en-GB"/>
        </w:rPr>
        <w:t xml:space="preserve">. </w:t>
      </w:r>
      <w:r w:rsidR="006E1EF6" w:rsidRPr="004954B0">
        <w:rPr>
          <w:rFonts w:ascii="Arial" w:hAnsi="Arial" w:cs="Arial"/>
          <w:color w:val="000000"/>
          <w:sz w:val="22"/>
          <w:szCs w:val="22"/>
          <w:lang w:val="en-GB"/>
        </w:rPr>
        <w:t xml:space="preserve">The </w:t>
      </w:r>
      <w:r w:rsidR="007E5BDB">
        <w:rPr>
          <w:rFonts w:ascii="Arial" w:hAnsi="Arial" w:cs="Arial"/>
          <w:color w:val="000000"/>
          <w:sz w:val="22"/>
          <w:szCs w:val="22"/>
          <w:lang w:val="en-GB"/>
        </w:rPr>
        <w:t>fourth</w:t>
      </w:r>
      <w:r w:rsidR="006E1EF6" w:rsidRPr="004954B0">
        <w:rPr>
          <w:rFonts w:ascii="Arial" w:hAnsi="Arial" w:cs="Arial"/>
          <w:color w:val="000000"/>
          <w:sz w:val="22"/>
          <w:szCs w:val="22"/>
          <w:lang w:val="en-GB"/>
        </w:rPr>
        <w:t xml:space="preserve"> and final component relates to economic and fiscal strengthening for the post-pandemic period and aims to promote economic and fiscal recovery in </w:t>
      </w:r>
      <w:r w:rsidR="00C9682D" w:rsidRPr="004954B0">
        <w:rPr>
          <w:rFonts w:ascii="Arial" w:hAnsi="Arial" w:cs="Arial"/>
          <w:color w:val="000000"/>
          <w:sz w:val="22"/>
          <w:szCs w:val="22"/>
          <w:lang w:val="en-GB"/>
        </w:rPr>
        <w:t>said</w:t>
      </w:r>
      <w:r w:rsidR="006E1EF6" w:rsidRPr="004954B0">
        <w:rPr>
          <w:rFonts w:ascii="Arial" w:hAnsi="Arial" w:cs="Arial"/>
          <w:color w:val="000000"/>
          <w:sz w:val="22"/>
          <w:szCs w:val="22"/>
          <w:lang w:val="en-GB"/>
        </w:rPr>
        <w:t xml:space="preserve"> period</w:t>
      </w:r>
      <w:r w:rsidR="00A159C1" w:rsidRPr="004954B0">
        <w:rPr>
          <w:rFonts w:ascii="Arial" w:hAnsi="Arial" w:cs="Arial"/>
          <w:color w:val="000000"/>
          <w:sz w:val="22"/>
          <w:szCs w:val="22"/>
          <w:lang w:val="en-GB"/>
        </w:rPr>
        <w:t>.</w:t>
      </w:r>
      <w:r w:rsidR="001F64ED" w:rsidRPr="004954B0">
        <w:rPr>
          <w:rFonts w:ascii="Arial" w:hAnsi="Arial" w:cs="Arial"/>
          <w:color w:val="000000"/>
          <w:sz w:val="22"/>
          <w:szCs w:val="22"/>
          <w:lang w:val="en-GB"/>
        </w:rPr>
        <w:t xml:space="preserve"> </w:t>
      </w:r>
    </w:p>
    <w:p w14:paraId="62B7D6DF" w14:textId="6BB6D0C9" w:rsidR="00102FB9" w:rsidRPr="004954B0" w:rsidRDefault="0066672F" w:rsidP="00102FB9">
      <w:pPr>
        <w:pStyle w:val="Paragraph"/>
        <w:tabs>
          <w:tab w:val="clear" w:pos="2448"/>
          <w:tab w:val="num" w:pos="720"/>
          <w:tab w:val="num" w:pos="1440"/>
        </w:tabs>
        <w:ind w:left="720" w:hanging="720"/>
        <w:rPr>
          <w:rFonts w:ascii="Arial" w:hAnsi="Arial" w:cs="Arial"/>
          <w:color w:val="000000"/>
          <w:sz w:val="22"/>
          <w:szCs w:val="22"/>
          <w:lang w:val="en-GB"/>
        </w:rPr>
      </w:pPr>
      <w:r w:rsidRPr="004954B0">
        <w:rPr>
          <w:rFonts w:ascii="Arial" w:hAnsi="Arial" w:cs="Arial"/>
          <w:color w:val="000000"/>
          <w:sz w:val="22"/>
          <w:szCs w:val="22"/>
          <w:lang w:val="en-GB"/>
        </w:rPr>
        <w:t>Thi</w:t>
      </w:r>
      <w:r w:rsidR="00AA419F" w:rsidRPr="004954B0">
        <w:rPr>
          <w:rFonts w:ascii="Arial" w:hAnsi="Arial" w:cs="Arial"/>
          <w:color w:val="000000"/>
          <w:sz w:val="22"/>
          <w:szCs w:val="22"/>
          <w:lang w:val="en-GB"/>
        </w:rPr>
        <w:t xml:space="preserve">s document presents the </w:t>
      </w:r>
      <w:r w:rsidR="007E6EB2" w:rsidRPr="004954B0">
        <w:rPr>
          <w:rFonts w:ascii="Arial" w:hAnsi="Arial" w:cs="Arial"/>
          <w:color w:val="000000"/>
          <w:sz w:val="22"/>
          <w:szCs w:val="22"/>
          <w:lang w:val="en-GB"/>
        </w:rPr>
        <w:t>p</w:t>
      </w:r>
      <w:r w:rsidR="00AA419F" w:rsidRPr="004954B0">
        <w:rPr>
          <w:rFonts w:ascii="Arial" w:hAnsi="Arial" w:cs="Arial"/>
          <w:color w:val="000000"/>
          <w:sz w:val="22"/>
          <w:szCs w:val="22"/>
          <w:lang w:val="en-GB"/>
        </w:rPr>
        <w:t>rogram</w:t>
      </w:r>
      <w:r w:rsidR="00DA1291" w:rsidRPr="004954B0">
        <w:rPr>
          <w:rFonts w:ascii="Arial" w:hAnsi="Arial" w:cs="Arial"/>
          <w:color w:val="000000"/>
          <w:sz w:val="22"/>
          <w:szCs w:val="22"/>
          <w:lang w:val="en-GB"/>
        </w:rPr>
        <w:t>me</w:t>
      </w:r>
      <w:r w:rsidR="00AA419F" w:rsidRPr="004954B0">
        <w:rPr>
          <w:rFonts w:ascii="Arial" w:hAnsi="Arial" w:cs="Arial"/>
          <w:color w:val="000000"/>
          <w:sz w:val="22"/>
          <w:szCs w:val="22"/>
          <w:lang w:val="en-GB"/>
        </w:rPr>
        <w:t>’</w:t>
      </w:r>
      <w:r w:rsidRPr="004954B0">
        <w:rPr>
          <w:rFonts w:ascii="Arial" w:hAnsi="Arial" w:cs="Arial"/>
          <w:color w:val="000000"/>
          <w:sz w:val="22"/>
          <w:szCs w:val="22"/>
          <w:lang w:val="en-GB"/>
        </w:rPr>
        <w:t>s monitoring and evaluation plan</w:t>
      </w:r>
      <w:r w:rsidR="007E6EB2" w:rsidRPr="004954B0">
        <w:rPr>
          <w:rFonts w:ascii="Arial" w:hAnsi="Arial" w:cs="Arial"/>
          <w:color w:val="000000"/>
          <w:sz w:val="22"/>
          <w:szCs w:val="22"/>
          <w:lang w:val="en-GB"/>
        </w:rPr>
        <w:t>. It</w:t>
      </w:r>
      <w:r w:rsidRPr="004954B0">
        <w:rPr>
          <w:rFonts w:ascii="Arial" w:hAnsi="Arial" w:cs="Arial"/>
          <w:color w:val="000000"/>
          <w:sz w:val="22"/>
          <w:szCs w:val="22"/>
          <w:lang w:val="en-GB"/>
        </w:rPr>
        <w:t xml:space="preserve"> </w:t>
      </w:r>
      <w:r w:rsidR="0063233C" w:rsidRPr="004954B0">
        <w:rPr>
          <w:rFonts w:ascii="Arial" w:hAnsi="Arial" w:cs="Arial"/>
          <w:color w:val="000000"/>
          <w:sz w:val="22"/>
          <w:szCs w:val="22"/>
          <w:lang w:val="en-GB" w:eastAsia="zh-CN"/>
        </w:rPr>
        <w:t>contains</w:t>
      </w:r>
      <w:r w:rsidRPr="004954B0">
        <w:rPr>
          <w:rFonts w:ascii="Arial" w:hAnsi="Arial" w:cs="Arial"/>
          <w:color w:val="000000"/>
          <w:sz w:val="22"/>
          <w:szCs w:val="22"/>
          <w:lang w:val="en-GB"/>
        </w:rPr>
        <w:t xml:space="preserve"> two sections in addition to this introductory section. The first deals with </w:t>
      </w:r>
      <w:r w:rsidR="00D85B02" w:rsidRPr="004954B0">
        <w:rPr>
          <w:rFonts w:ascii="Arial" w:hAnsi="Arial" w:cs="Arial"/>
          <w:color w:val="000000"/>
          <w:sz w:val="22"/>
          <w:szCs w:val="22"/>
          <w:lang w:val="en-GB" w:eastAsia="zh-CN"/>
        </w:rPr>
        <w:t>program</w:t>
      </w:r>
      <w:r w:rsidR="006704D5" w:rsidRPr="004954B0">
        <w:rPr>
          <w:rFonts w:ascii="Arial" w:hAnsi="Arial" w:cs="Arial"/>
          <w:color w:val="000000"/>
          <w:sz w:val="22"/>
          <w:szCs w:val="22"/>
          <w:lang w:val="en-GB" w:eastAsia="zh-CN"/>
        </w:rPr>
        <w:t>me</w:t>
      </w:r>
      <w:r w:rsidR="00D85B02" w:rsidRPr="004954B0">
        <w:rPr>
          <w:rFonts w:ascii="Arial" w:hAnsi="Arial" w:cs="Arial"/>
          <w:color w:val="000000"/>
          <w:sz w:val="22"/>
          <w:szCs w:val="22"/>
          <w:lang w:val="en-GB" w:eastAsia="zh-CN"/>
        </w:rPr>
        <w:t xml:space="preserve"> monitoring</w:t>
      </w:r>
      <w:r w:rsidRPr="004954B0">
        <w:rPr>
          <w:rFonts w:ascii="Arial" w:hAnsi="Arial" w:cs="Arial"/>
          <w:color w:val="000000"/>
          <w:sz w:val="22"/>
          <w:szCs w:val="22"/>
          <w:lang w:val="en-GB"/>
        </w:rPr>
        <w:t xml:space="preserve">, which will </w:t>
      </w:r>
      <w:r w:rsidR="00D85B02" w:rsidRPr="004954B0">
        <w:rPr>
          <w:rFonts w:ascii="Arial" w:hAnsi="Arial" w:cs="Arial"/>
          <w:color w:val="000000"/>
          <w:sz w:val="22"/>
          <w:szCs w:val="22"/>
          <w:lang w:val="en-GB" w:eastAsia="zh-CN"/>
        </w:rPr>
        <w:t>rely mainly on</w:t>
      </w:r>
      <w:r w:rsidRPr="004954B0">
        <w:rPr>
          <w:rFonts w:ascii="Arial" w:hAnsi="Arial" w:cs="Arial"/>
          <w:color w:val="000000"/>
          <w:sz w:val="22"/>
          <w:szCs w:val="22"/>
          <w:lang w:val="en-GB"/>
        </w:rPr>
        <w:t xml:space="preserve"> official </w:t>
      </w:r>
      <w:r w:rsidR="00B03D83" w:rsidRPr="004954B0">
        <w:rPr>
          <w:rFonts w:ascii="Arial" w:hAnsi="Arial" w:cs="Arial"/>
          <w:color w:val="000000"/>
          <w:sz w:val="22"/>
          <w:szCs w:val="22"/>
          <w:lang w:val="en-GB" w:eastAsia="zh-CN"/>
        </w:rPr>
        <w:t>reports with</w:t>
      </w:r>
      <w:r w:rsidRPr="004954B0">
        <w:rPr>
          <w:rFonts w:ascii="Arial" w:hAnsi="Arial" w:cs="Arial"/>
          <w:color w:val="000000"/>
          <w:sz w:val="22"/>
          <w:szCs w:val="22"/>
          <w:lang w:val="en-GB"/>
        </w:rPr>
        <w:t xml:space="preserve"> detailed information and will present evidence of compliance with the condit</w:t>
      </w:r>
      <w:r w:rsidR="00F8745B" w:rsidRPr="004954B0">
        <w:rPr>
          <w:rFonts w:ascii="Arial" w:hAnsi="Arial" w:cs="Arial"/>
          <w:color w:val="000000"/>
          <w:sz w:val="22"/>
          <w:szCs w:val="22"/>
          <w:lang w:val="en-GB"/>
        </w:rPr>
        <w:t>ions established in the program</w:t>
      </w:r>
      <w:r w:rsidR="00C56692" w:rsidRPr="004954B0">
        <w:rPr>
          <w:rFonts w:ascii="Arial" w:hAnsi="Arial" w:cs="Arial"/>
          <w:color w:val="000000"/>
          <w:sz w:val="22"/>
          <w:szCs w:val="22"/>
          <w:lang w:val="en-GB"/>
        </w:rPr>
        <w:t>me</w:t>
      </w:r>
      <w:r w:rsidR="00F8745B" w:rsidRPr="004954B0">
        <w:rPr>
          <w:rFonts w:ascii="Arial" w:hAnsi="Arial" w:cs="Arial"/>
          <w:color w:val="000000"/>
          <w:sz w:val="22"/>
          <w:szCs w:val="22"/>
          <w:lang w:val="en-GB"/>
        </w:rPr>
        <w:t>’</w:t>
      </w:r>
      <w:r w:rsidRPr="004954B0">
        <w:rPr>
          <w:rFonts w:ascii="Arial" w:hAnsi="Arial" w:cs="Arial"/>
          <w:color w:val="000000"/>
          <w:sz w:val="22"/>
          <w:szCs w:val="22"/>
          <w:lang w:val="en-GB"/>
        </w:rPr>
        <w:t xml:space="preserve">s </w:t>
      </w:r>
      <w:r w:rsidR="007E6EB2" w:rsidRPr="004954B0">
        <w:rPr>
          <w:rFonts w:ascii="Arial" w:hAnsi="Arial" w:cs="Arial"/>
          <w:color w:val="000000"/>
          <w:sz w:val="22"/>
          <w:szCs w:val="22"/>
          <w:lang w:val="en-GB"/>
        </w:rPr>
        <w:t>PM</w:t>
      </w:r>
      <w:r w:rsidRPr="004954B0">
        <w:rPr>
          <w:rFonts w:ascii="Arial" w:hAnsi="Arial" w:cs="Arial"/>
          <w:color w:val="000000"/>
          <w:sz w:val="22"/>
          <w:szCs w:val="22"/>
          <w:lang w:val="en-GB"/>
        </w:rPr>
        <w:t xml:space="preserve">. The second section </w:t>
      </w:r>
      <w:r w:rsidR="00385E51" w:rsidRPr="004954B0">
        <w:rPr>
          <w:rFonts w:ascii="Arial" w:hAnsi="Arial" w:cs="Arial"/>
          <w:color w:val="000000"/>
          <w:sz w:val="22"/>
          <w:szCs w:val="22"/>
          <w:lang w:val="en-GB" w:eastAsia="zh-CN"/>
        </w:rPr>
        <w:t>presents</w:t>
      </w:r>
      <w:r w:rsidRPr="004954B0">
        <w:rPr>
          <w:rFonts w:ascii="Arial" w:hAnsi="Arial" w:cs="Arial"/>
          <w:color w:val="000000"/>
          <w:sz w:val="22"/>
          <w:szCs w:val="22"/>
          <w:lang w:val="en-GB"/>
        </w:rPr>
        <w:t xml:space="preserve"> the </w:t>
      </w:r>
      <w:r w:rsidR="005D227C" w:rsidRPr="004954B0">
        <w:rPr>
          <w:rFonts w:ascii="Arial" w:hAnsi="Arial" w:cs="Arial"/>
          <w:color w:val="000000"/>
          <w:sz w:val="22"/>
          <w:szCs w:val="22"/>
          <w:lang w:val="en-GB" w:eastAsia="zh-CN"/>
        </w:rPr>
        <w:t>p</w:t>
      </w:r>
      <w:r w:rsidR="00683E97" w:rsidRPr="004954B0">
        <w:rPr>
          <w:rFonts w:ascii="Arial" w:hAnsi="Arial" w:cs="Arial"/>
          <w:color w:val="000000"/>
          <w:sz w:val="22"/>
          <w:szCs w:val="22"/>
          <w:lang w:val="en-GB"/>
        </w:rPr>
        <w:t>rogram</w:t>
      </w:r>
      <w:r w:rsidR="00DA1291" w:rsidRPr="004954B0">
        <w:rPr>
          <w:rFonts w:ascii="Arial" w:hAnsi="Arial" w:cs="Arial"/>
          <w:color w:val="000000"/>
          <w:sz w:val="22"/>
          <w:szCs w:val="22"/>
          <w:lang w:val="en-GB"/>
        </w:rPr>
        <w:t>me</w:t>
      </w:r>
      <w:r w:rsidR="00683E97" w:rsidRPr="004954B0">
        <w:rPr>
          <w:rFonts w:ascii="Arial" w:hAnsi="Arial" w:cs="Arial"/>
          <w:color w:val="000000"/>
          <w:sz w:val="22"/>
          <w:szCs w:val="22"/>
          <w:lang w:val="en-GB"/>
        </w:rPr>
        <w:t>’</w:t>
      </w:r>
      <w:r w:rsidRPr="004954B0">
        <w:rPr>
          <w:rFonts w:ascii="Arial" w:hAnsi="Arial" w:cs="Arial"/>
          <w:color w:val="000000"/>
          <w:sz w:val="22"/>
          <w:szCs w:val="22"/>
          <w:lang w:val="en-GB"/>
        </w:rPr>
        <w:t>s evaluation strategy, whic</w:t>
      </w:r>
      <w:r w:rsidR="00BC6FB7" w:rsidRPr="004954B0">
        <w:rPr>
          <w:rFonts w:ascii="Arial" w:hAnsi="Arial" w:cs="Arial"/>
          <w:color w:val="000000"/>
          <w:sz w:val="22"/>
          <w:szCs w:val="22"/>
          <w:lang w:val="en-GB"/>
        </w:rPr>
        <w:t>h includes (i) an ex</w:t>
      </w:r>
      <w:r w:rsidR="00063FE8" w:rsidRPr="004954B0">
        <w:rPr>
          <w:rFonts w:ascii="Arial" w:hAnsi="Arial" w:cs="Arial"/>
          <w:color w:val="000000"/>
          <w:sz w:val="22"/>
          <w:szCs w:val="22"/>
          <w:lang w:val="en-GB"/>
        </w:rPr>
        <w:t>-ante and</w:t>
      </w:r>
      <w:r w:rsidR="00927A43" w:rsidRPr="004954B0">
        <w:rPr>
          <w:rFonts w:ascii="Arial" w:hAnsi="Arial" w:cs="Arial"/>
          <w:color w:val="000000"/>
          <w:sz w:val="22"/>
          <w:szCs w:val="22"/>
          <w:lang w:val="en-GB"/>
        </w:rPr>
        <w:t xml:space="preserve"> </w:t>
      </w:r>
      <w:r w:rsidR="00BC6FB7" w:rsidRPr="004954B0">
        <w:rPr>
          <w:rFonts w:ascii="Arial" w:hAnsi="Arial" w:cs="Arial"/>
          <w:color w:val="000000"/>
          <w:sz w:val="22"/>
          <w:szCs w:val="22"/>
          <w:lang w:val="en-GB"/>
        </w:rPr>
        <w:t>ex-post evaluation</w:t>
      </w:r>
      <w:r w:rsidRPr="004954B0">
        <w:rPr>
          <w:rFonts w:ascii="Arial" w:hAnsi="Arial" w:cs="Arial"/>
          <w:color w:val="000000"/>
          <w:sz w:val="22"/>
          <w:szCs w:val="22"/>
          <w:lang w:val="en-GB"/>
        </w:rPr>
        <w:t xml:space="preserve"> of the results and impact indicators included in the </w:t>
      </w:r>
      <w:r w:rsidR="002E02B6" w:rsidRPr="004954B0">
        <w:rPr>
          <w:rFonts w:ascii="Arial" w:hAnsi="Arial" w:cs="Arial"/>
          <w:color w:val="000000"/>
          <w:sz w:val="22"/>
          <w:szCs w:val="22"/>
          <w:lang w:val="en-GB"/>
        </w:rPr>
        <w:t>R</w:t>
      </w:r>
      <w:r w:rsidRPr="004954B0">
        <w:rPr>
          <w:rFonts w:ascii="Arial" w:hAnsi="Arial" w:cs="Arial"/>
          <w:color w:val="000000"/>
          <w:sz w:val="22"/>
          <w:szCs w:val="22"/>
          <w:lang w:val="en-GB"/>
        </w:rPr>
        <w:t xml:space="preserve">esults </w:t>
      </w:r>
      <w:r w:rsidR="002E02B6" w:rsidRPr="004954B0">
        <w:rPr>
          <w:rFonts w:ascii="Arial" w:hAnsi="Arial" w:cs="Arial"/>
          <w:color w:val="000000"/>
          <w:sz w:val="22"/>
          <w:szCs w:val="22"/>
          <w:lang w:val="en-GB"/>
        </w:rPr>
        <w:t>M</w:t>
      </w:r>
      <w:r w:rsidRPr="004954B0">
        <w:rPr>
          <w:rFonts w:ascii="Arial" w:hAnsi="Arial" w:cs="Arial"/>
          <w:color w:val="000000"/>
          <w:sz w:val="22"/>
          <w:szCs w:val="22"/>
          <w:lang w:val="en-GB"/>
        </w:rPr>
        <w:t>atrix</w:t>
      </w:r>
      <w:r w:rsidR="007E6EB2" w:rsidRPr="004954B0">
        <w:rPr>
          <w:rFonts w:ascii="Arial" w:hAnsi="Arial" w:cs="Arial"/>
          <w:color w:val="000000"/>
          <w:sz w:val="22"/>
          <w:szCs w:val="22"/>
          <w:lang w:val="en-GB"/>
        </w:rPr>
        <w:t xml:space="preserve"> (RM)</w:t>
      </w:r>
      <w:r w:rsidRPr="004954B0">
        <w:rPr>
          <w:rFonts w:ascii="Arial" w:hAnsi="Arial" w:cs="Arial"/>
          <w:color w:val="000000"/>
          <w:sz w:val="22"/>
          <w:szCs w:val="22"/>
          <w:lang w:val="en-GB"/>
        </w:rPr>
        <w:t>; (ii) a review of the theory of change of the int</w:t>
      </w:r>
      <w:r w:rsidR="002C3DD4" w:rsidRPr="004954B0">
        <w:rPr>
          <w:rFonts w:ascii="Arial" w:hAnsi="Arial" w:cs="Arial"/>
          <w:color w:val="000000"/>
          <w:sz w:val="22"/>
          <w:szCs w:val="22"/>
          <w:lang w:val="en-GB"/>
        </w:rPr>
        <w:t>ervention; (iii) a review of</w:t>
      </w:r>
      <w:r w:rsidRPr="004954B0">
        <w:rPr>
          <w:rFonts w:ascii="Arial" w:hAnsi="Arial" w:cs="Arial"/>
          <w:color w:val="000000"/>
          <w:sz w:val="22"/>
          <w:szCs w:val="22"/>
          <w:lang w:val="en-GB"/>
        </w:rPr>
        <w:t xml:space="preserve"> evidence in the literature on the effectiveness of similar interventions in comparable contexts</w:t>
      </w:r>
      <w:r w:rsidR="00D6565B" w:rsidRPr="004954B0">
        <w:rPr>
          <w:rFonts w:ascii="Arial" w:hAnsi="Arial" w:cs="Arial"/>
          <w:color w:val="000000"/>
          <w:sz w:val="22"/>
          <w:szCs w:val="22"/>
          <w:lang w:val="en-GB"/>
        </w:rPr>
        <w:t>; and</w:t>
      </w:r>
      <w:r w:rsidR="008B73BA" w:rsidRPr="004954B0">
        <w:rPr>
          <w:rFonts w:ascii="Arial" w:hAnsi="Arial" w:cs="Arial"/>
          <w:color w:val="000000"/>
          <w:sz w:val="22"/>
          <w:szCs w:val="22"/>
          <w:lang w:val="en-GB"/>
        </w:rPr>
        <w:t xml:space="preserve"> (iv) a qualitative assessment providing complementary information on the attribution of the results of the program</w:t>
      </w:r>
      <w:r w:rsidR="00DA1291" w:rsidRPr="004954B0">
        <w:rPr>
          <w:rFonts w:ascii="Arial" w:hAnsi="Arial" w:cs="Arial"/>
          <w:color w:val="000000"/>
          <w:sz w:val="22"/>
          <w:szCs w:val="22"/>
          <w:lang w:val="en-GB"/>
        </w:rPr>
        <w:t>me</w:t>
      </w:r>
      <w:r w:rsidR="00B836E4" w:rsidRPr="004954B0">
        <w:rPr>
          <w:rFonts w:ascii="Arial" w:hAnsi="Arial" w:cs="Arial"/>
          <w:color w:val="000000"/>
          <w:sz w:val="22"/>
          <w:szCs w:val="22"/>
          <w:lang w:val="en-GB"/>
        </w:rPr>
        <w:t xml:space="preserve">. </w:t>
      </w:r>
      <w:r w:rsidR="00102FB9" w:rsidRPr="004954B0">
        <w:rPr>
          <w:rFonts w:ascii="Arial" w:hAnsi="Arial" w:cs="Arial"/>
          <w:color w:val="000000"/>
          <w:sz w:val="22"/>
          <w:szCs w:val="22"/>
          <w:lang w:val="en-GB"/>
        </w:rPr>
        <w:t xml:space="preserve">The </w:t>
      </w:r>
      <w:r w:rsidR="00FC610A" w:rsidRPr="004954B0">
        <w:rPr>
          <w:rFonts w:ascii="Arial" w:hAnsi="Arial" w:cs="Arial"/>
          <w:color w:val="000000"/>
          <w:sz w:val="22"/>
          <w:szCs w:val="22"/>
          <w:lang w:val="en-GB" w:eastAsia="zh-CN"/>
        </w:rPr>
        <w:t>main evaluation questions</w:t>
      </w:r>
      <w:r w:rsidR="00102FB9" w:rsidRPr="004954B0">
        <w:rPr>
          <w:rFonts w:ascii="Arial" w:hAnsi="Arial" w:cs="Arial"/>
          <w:color w:val="000000"/>
          <w:sz w:val="22"/>
          <w:szCs w:val="22"/>
          <w:lang w:val="en-GB"/>
        </w:rPr>
        <w:t xml:space="preserve"> will </w:t>
      </w:r>
      <w:r w:rsidR="00CC38CA" w:rsidRPr="004954B0">
        <w:rPr>
          <w:rFonts w:ascii="Arial" w:hAnsi="Arial" w:cs="Arial"/>
          <w:color w:val="000000"/>
          <w:sz w:val="22"/>
          <w:szCs w:val="22"/>
          <w:lang w:val="en-GB" w:eastAsia="zh-CN"/>
        </w:rPr>
        <w:t>deal with</w:t>
      </w:r>
      <w:r w:rsidR="00102FB9" w:rsidRPr="004954B0">
        <w:rPr>
          <w:rFonts w:ascii="Arial" w:hAnsi="Arial" w:cs="Arial"/>
          <w:color w:val="000000"/>
          <w:sz w:val="22"/>
          <w:szCs w:val="22"/>
          <w:lang w:val="en-GB"/>
        </w:rPr>
        <w:t xml:space="preserve"> </w:t>
      </w:r>
      <w:r w:rsidR="007E6EB2" w:rsidRPr="004954B0">
        <w:rPr>
          <w:rFonts w:ascii="Arial" w:hAnsi="Arial" w:cs="Arial"/>
          <w:color w:val="000000"/>
          <w:sz w:val="22"/>
          <w:szCs w:val="22"/>
          <w:lang w:val="en-GB"/>
        </w:rPr>
        <w:t xml:space="preserve">determining </w:t>
      </w:r>
      <w:r w:rsidR="00102FB9" w:rsidRPr="004954B0">
        <w:rPr>
          <w:rFonts w:ascii="Arial" w:hAnsi="Arial" w:cs="Arial"/>
          <w:color w:val="000000"/>
          <w:sz w:val="22"/>
          <w:szCs w:val="22"/>
          <w:lang w:val="en-GB"/>
        </w:rPr>
        <w:t>whether the policies contribute</w:t>
      </w:r>
      <w:r w:rsidR="007E6EB2" w:rsidRPr="004954B0">
        <w:rPr>
          <w:rFonts w:ascii="Arial" w:hAnsi="Arial" w:cs="Arial"/>
          <w:color w:val="000000"/>
          <w:sz w:val="22"/>
          <w:szCs w:val="22"/>
          <w:lang w:val="en-GB"/>
        </w:rPr>
        <w:t>d</w:t>
      </w:r>
      <w:r w:rsidR="00102FB9" w:rsidRPr="004954B0">
        <w:rPr>
          <w:rFonts w:ascii="Arial" w:hAnsi="Arial" w:cs="Arial"/>
          <w:color w:val="000000"/>
          <w:sz w:val="22"/>
          <w:szCs w:val="22"/>
          <w:lang w:val="en-GB"/>
        </w:rPr>
        <w:t xml:space="preserve"> to program</w:t>
      </w:r>
      <w:r w:rsidR="00DA1291" w:rsidRPr="004954B0">
        <w:rPr>
          <w:rFonts w:ascii="Arial" w:hAnsi="Arial" w:cs="Arial"/>
          <w:color w:val="000000"/>
          <w:sz w:val="22"/>
          <w:szCs w:val="22"/>
          <w:lang w:val="en-GB"/>
        </w:rPr>
        <w:t>me</w:t>
      </w:r>
      <w:r w:rsidR="00102FB9" w:rsidRPr="004954B0">
        <w:rPr>
          <w:rFonts w:ascii="Arial" w:hAnsi="Arial" w:cs="Arial"/>
          <w:color w:val="000000"/>
          <w:sz w:val="22"/>
          <w:szCs w:val="22"/>
          <w:lang w:val="en-GB"/>
        </w:rPr>
        <w:t xml:space="preserve"> objectives. Through the analysis, we will try to identify lessons learned for future Bank </w:t>
      </w:r>
      <w:r w:rsidR="00102FB9" w:rsidRPr="004954B0">
        <w:rPr>
          <w:rFonts w:ascii="Arial" w:hAnsi="Arial" w:cs="Arial"/>
          <w:color w:val="000000"/>
          <w:sz w:val="22"/>
          <w:szCs w:val="22"/>
          <w:lang w:val="en-GB"/>
        </w:rPr>
        <w:lastRenderedPageBreak/>
        <w:t xml:space="preserve">operations </w:t>
      </w:r>
      <w:proofErr w:type="gramStart"/>
      <w:r w:rsidR="00102FB9" w:rsidRPr="004954B0">
        <w:rPr>
          <w:rFonts w:ascii="Arial" w:hAnsi="Arial" w:cs="Arial"/>
          <w:color w:val="000000"/>
          <w:sz w:val="22"/>
          <w:szCs w:val="22"/>
          <w:lang w:val="en-GB"/>
        </w:rPr>
        <w:t>in the area of</w:t>
      </w:r>
      <w:proofErr w:type="gramEnd"/>
      <w:r w:rsidR="00102FB9" w:rsidRPr="004954B0">
        <w:rPr>
          <w:rFonts w:ascii="Arial" w:hAnsi="Arial" w:cs="Arial"/>
          <w:color w:val="000000"/>
          <w:sz w:val="22"/>
          <w:szCs w:val="22"/>
          <w:lang w:val="en-GB"/>
        </w:rPr>
        <w:t xml:space="preserve"> </w:t>
      </w:r>
      <w:r w:rsidR="007E5BDB">
        <w:rPr>
          <w:rFonts w:ascii="Arial" w:hAnsi="Arial" w:cs="Arial"/>
          <w:color w:val="000000"/>
          <w:sz w:val="22"/>
          <w:szCs w:val="22"/>
          <w:lang w:val="en-GB"/>
        </w:rPr>
        <w:t xml:space="preserve">public </w:t>
      </w:r>
      <w:r w:rsidR="00102FB9" w:rsidRPr="004954B0">
        <w:rPr>
          <w:rFonts w:ascii="Arial" w:hAnsi="Arial" w:cs="Arial"/>
          <w:color w:val="000000"/>
          <w:sz w:val="22"/>
          <w:szCs w:val="22"/>
          <w:lang w:val="en-GB"/>
        </w:rPr>
        <w:t xml:space="preserve">policy and fiscal management to </w:t>
      </w:r>
      <w:r w:rsidR="00462940" w:rsidRPr="004954B0">
        <w:rPr>
          <w:rFonts w:ascii="Arial" w:hAnsi="Arial" w:cs="Arial"/>
          <w:color w:val="000000"/>
          <w:sz w:val="22"/>
          <w:szCs w:val="22"/>
          <w:lang w:val="en-GB" w:eastAsia="zh-CN"/>
        </w:rPr>
        <w:t>respond to</w:t>
      </w:r>
      <w:r w:rsidR="00102FB9" w:rsidRPr="004954B0">
        <w:rPr>
          <w:rFonts w:ascii="Arial" w:hAnsi="Arial" w:cs="Arial"/>
          <w:color w:val="000000"/>
          <w:sz w:val="22"/>
          <w:szCs w:val="22"/>
          <w:lang w:val="en-GB"/>
        </w:rPr>
        <w:t xml:space="preserve"> health </w:t>
      </w:r>
      <w:r w:rsidR="007E6EB2" w:rsidRPr="004954B0">
        <w:rPr>
          <w:rFonts w:ascii="Arial" w:hAnsi="Arial" w:cs="Arial"/>
          <w:color w:val="000000"/>
          <w:sz w:val="22"/>
          <w:szCs w:val="22"/>
          <w:lang w:val="en-GB"/>
        </w:rPr>
        <w:t xml:space="preserve">crises </w:t>
      </w:r>
      <w:r w:rsidR="00102FB9" w:rsidRPr="004954B0">
        <w:rPr>
          <w:rFonts w:ascii="Arial" w:hAnsi="Arial" w:cs="Arial"/>
          <w:color w:val="000000"/>
          <w:sz w:val="22"/>
          <w:szCs w:val="22"/>
          <w:lang w:val="en-GB"/>
        </w:rPr>
        <w:t>and other emergencies</w:t>
      </w:r>
      <w:r w:rsidR="00462940" w:rsidRPr="004954B0">
        <w:rPr>
          <w:rFonts w:ascii="Arial" w:hAnsi="Arial" w:cs="Arial"/>
          <w:color w:val="000000"/>
          <w:sz w:val="22"/>
          <w:szCs w:val="22"/>
          <w:lang w:val="en-GB" w:eastAsia="zh-CN"/>
        </w:rPr>
        <w:t>.</w:t>
      </w:r>
    </w:p>
    <w:p w14:paraId="6CC90C96" w14:textId="52EE534A" w:rsidR="00ED751C" w:rsidRPr="004954B0" w:rsidRDefault="007C1307" w:rsidP="00D55E4C">
      <w:pPr>
        <w:pStyle w:val="Chapter"/>
        <w:widowControl w:val="0"/>
        <w:spacing w:before="360"/>
        <w:rPr>
          <w:rFonts w:ascii="Arial" w:hAnsi="Arial" w:cs="Arial"/>
          <w:szCs w:val="22"/>
          <w:lang w:val="en-GB"/>
        </w:rPr>
      </w:pPr>
      <w:bookmarkStart w:id="1" w:name="_Toc38495910"/>
      <w:r w:rsidRPr="004954B0">
        <w:rPr>
          <w:rFonts w:ascii="Arial" w:hAnsi="Arial" w:cs="Arial"/>
          <w:szCs w:val="22"/>
          <w:lang w:val="en-GB"/>
        </w:rPr>
        <w:t>Monitor</w:t>
      </w:r>
      <w:r w:rsidR="00AE2598" w:rsidRPr="004954B0">
        <w:rPr>
          <w:rFonts w:ascii="Arial" w:hAnsi="Arial" w:cs="Arial"/>
          <w:szCs w:val="22"/>
          <w:lang w:val="en-GB"/>
        </w:rPr>
        <w:t>ing</w:t>
      </w:r>
      <w:bookmarkEnd w:id="1"/>
    </w:p>
    <w:p w14:paraId="4CDD63E0" w14:textId="61105C9B" w:rsidR="006F1D55" w:rsidRPr="004954B0" w:rsidRDefault="004B1BD7" w:rsidP="006F1D55">
      <w:pPr>
        <w:pStyle w:val="Paragraph"/>
        <w:tabs>
          <w:tab w:val="clear" w:pos="2448"/>
          <w:tab w:val="num" w:pos="720"/>
          <w:tab w:val="num" w:pos="1440"/>
        </w:tabs>
        <w:ind w:left="720" w:hanging="720"/>
        <w:rPr>
          <w:rFonts w:ascii="Arial" w:hAnsi="Arial" w:cs="Arial"/>
          <w:color w:val="000000"/>
          <w:sz w:val="22"/>
          <w:szCs w:val="22"/>
          <w:lang w:val="en-GB"/>
        </w:rPr>
      </w:pPr>
      <w:r w:rsidRPr="004954B0">
        <w:rPr>
          <w:rFonts w:ascii="Arial" w:hAnsi="Arial" w:cs="Arial"/>
          <w:color w:val="000000"/>
          <w:sz w:val="22"/>
          <w:szCs w:val="22"/>
          <w:lang w:val="en-GB"/>
        </w:rPr>
        <w:t xml:space="preserve">This section describes the monitoring process for this </w:t>
      </w:r>
      <w:r w:rsidR="005D0956" w:rsidRPr="004954B0">
        <w:rPr>
          <w:rFonts w:ascii="Arial" w:hAnsi="Arial" w:cs="Arial"/>
          <w:color w:val="000000"/>
          <w:sz w:val="22"/>
          <w:szCs w:val="22"/>
          <w:lang w:val="en-GB"/>
        </w:rPr>
        <w:t>operation</w:t>
      </w:r>
      <w:r w:rsidR="007E6EB2" w:rsidRPr="004954B0">
        <w:rPr>
          <w:rFonts w:ascii="Arial" w:hAnsi="Arial" w:cs="Arial"/>
          <w:color w:val="000000"/>
          <w:sz w:val="22"/>
          <w:szCs w:val="22"/>
          <w:lang w:val="en-GB"/>
        </w:rPr>
        <w:t>. It discusses the</w:t>
      </w:r>
      <w:r w:rsidRPr="004954B0">
        <w:rPr>
          <w:rFonts w:ascii="Arial" w:hAnsi="Arial" w:cs="Arial"/>
          <w:color w:val="000000"/>
          <w:sz w:val="22"/>
          <w:szCs w:val="22"/>
          <w:lang w:val="en-GB"/>
        </w:rPr>
        <w:t xml:space="preserve"> main indicators to be monitored, identification of data sources, </w:t>
      </w:r>
      <w:r w:rsidR="00734E76" w:rsidRPr="004954B0">
        <w:rPr>
          <w:rFonts w:ascii="Arial" w:hAnsi="Arial" w:cs="Arial"/>
          <w:color w:val="000000"/>
          <w:sz w:val="22"/>
          <w:szCs w:val="22"/>
          <w:lang w:val="en-GB"/>
        </w:rPr>
        <w:t>reporting</w:t>
      </w:r>
      <w:r w:rsidR="00C24F6D" w:rsidRPr="004954B0">
        <w:rPr>
          <w:rFonts w:ascii="Arial" w:hAnsi="Arial" w:cs="Arial"/>
          <w:color w:val="000000"/>
          <w:sz w:val="22"/>
          <w:szCs w:val="22"/>
          <w:lang w:val="en-GB" w:eastAsia="zh-CN"/>
        </w:rPr>
        <w:t xml:space="preserve"> process</w:t>
      </w:r>
      <w:r w:rsidR="00734E76" w:rsidRPr="004954B0">
        <w:rPr>
          <w:rFonts w:ascii="Arial" w:hAnsi="Arial" w:cs="Arial"/>
          <w:color w:val="000000"/>
          <w:sz w:val="22"/>
          <w:szCs w:val="22"/>
          <w:lang w:val="en-GB"/>
        </w:rPr>
        <w:t xml:space="preserve">, </w:t>
      </w:r>
      <w:r w:rsidRPr="004954B0">
        <w:rPr>
          <w:rFonts w:ascii="Arial" w:hAnsi="Arial" w:cs="Arial"/>
          <w:color w:val="000000"/>
          <w:sz w:val="22"/>
          <w:szCs w:val="22"/>
          <w:lang w:val="en-GB"/>
        </w:rPr>
        <w:t>working plan for monitoring</w:t>
      </w:r>
      <w:r w:rsidR="00734E76" w:rsidRPr="004954B0">
        <w:rPr>
          <w:rFonts w:ascii="Arial" w:hAnsi="Arial" w:cs="Arial"/>
          <w:color w:val="000000"/>
          <w:sz w:val="22"/>
          <w:szCs w:val="22"/>
          <w:lang w:val="en-GB" w:eastAsia="zh-CN"/>
        </w:rPr>
        <w:t>,</w:t>
      </w:r>
      <w:r w:rsidR="00734E76" w:rsidRPr="004954B0">
        <w:rPr>
          <w:rFonts w:ascii="Arial" w:hAnsi="Arial" w:cs="Arial"/>
          <w:color w:val="000000"/>
          <w:sz w:val="22"/>
          <w:szCs w:val="22"/>
          <w:lang w:val="en-GB"/>
        </w:rPr>
        <w:t xml:space="preserve"> and </w:t>
      </w:r>
      <w:r w:rsidR="007E6EB2" w:rsidRPr="004954B0">
        <w:rPr>
          <w:rFonts w:ascii="Arial" w:hAnsi="Arial" w:cs="Arial"/>
          <w:color w:val="000000"/>
          <w:sz w:val="22"/>
          <w:szCs w:val="22"/>
          <w:lang w:val="en-GB"/>
        </w:rPr>
        <w:t xml:space="preserve">details of the </w:t>
      </w:r>
      <w:r w:rsidRPr="004954B0">
        <w:rPr>
          <w:rFonts w:ascii="Arial" w:hAnsi="Arial" w:cs="Arial"/>
          <w:color w:val="000000"/>
          <w:sz w:val="22"/>
          <w:szCs w:val="22"/>
          <w:lang w:val="en-GB"/>
        </w:rPr>
        <w:t>budget</w:t>
      </w:r>
      <w:r w:rsidR="006F1D55" w:rsidRPr="004954B0">
        <w:rPr>
          <w:rFonts w:ascii="Arial" w:hAnsi="Arial" w:cs="Arial"/>
          <w:color w:val="000000"/>
          <w:sz w:val="22"/>
          <w:szCs w:val="22"/>
          <w:lang w:val="en-GB"/>
        </w:rPr>
        <w:t>.</w:t>
      </w:r>
    </w:p>
    <w:p w14:paraId="6CC90C97" w14:textId="1B3DEAEE" w:rsidR="00960179" w:rsidRPr="004954B0" w:rsidRDefault="00EB0154" w:rsidP="003173DB">
      <w:pPr>
        <w:pStyle w:val="FirstHeading"/>
        <w:spacing w:before="0"/>
        <w:ind w:left="720"/>
        <w:rPr>
          <w:rFonts w:ascii="Arial" w:hAnsi="Arial" w:cs="Arial"/>
          <w:sz w:val="22"/>
          <w:szCs w:val="22"/>
          <w:lang w:val="en-GB"/>
        </w:rPr>
      </w:pPr>
      <w:r w:rsidRPr="004954B0">
        <w:rPr>
          <w:rFonts w:ascii="Arial" w:hAnsi="Arial" w:cs="Arial"/>
          <w:sz w:val="22"/>
          <w:szCs w:val="22"/>
          <w:lang w:val="en-GB"/>
        </w:rPr>
        <w:fldChar w:fldCharType="begin"/>
      </w:r>
      <w:r w:rsidRPr="004954B0">
        <w:rPr>
          <w:rFonts w:ascii="Arial" w:hAnsi="Arial" w:cs="Arial"/>
          <w:sz w:val="22"/>
          <w:szCs w:val="22"/>
          <w:lang w:val="en-GB"/>
        </w:rPr>
        <w:instrText xml:space="preserve"> SEQ "</w:instrText>
      </w:r>
      <w:r w:rsidRPr="004954B0">
        <w:rPr>
          <w:rFonts w:ascii="Arial" w:hAnsi="Arial" w:cs="Arial"/>
          <w:sz w:val="22"/>
          <w:szCs w:val="22"/>
          <w:lang w:val="en-GB"/>
        </w:rPr>
        <w:fldChar w:fldCharType="begin"/>
      </w:r>
      <w:r w:rsidRPr="004954B0">
        <w:rPr>
          <w:rFonts w:ascii="Arial" w:hAnsi="Arial" w:cs="Arial"/>
          <w:sz w:val="22"/>
          <w:szCs w:val="22"/>
          <w:lang w:val="en-GB"/>
        </w:rPr>
        <w:instrText xml:space="preserve"> SECTION  \* MERGEFORMAT </w:instrText>
      </w:r>
      <w:r w:rsidRPr="004954B0">
        <w:rPr>
          <w:rFonts w:ascii="Arial" w:hAnsi="Arial" w:cs="Arial"/>
          <w:sz w:val="22"/>
          <w:szCs w:val="22"/>
          <w:lang w:val="en-GB"/>
        </w:rPr>
        <w:fldChar w:fldCharType="separate"/>
      </w:r>
      <w:r w:rsidRPr="004954B0">
        <w:rPr>
          <w:rFonts w:ascii="Arial" w:hAnsi="Arial" w:cs="Arial"/>
          <w:sz w:val="22"/>
          <w:szCs w:val="22"/>
          <w:lang w:val="en-GB"/>
        </w:rPr>
        <w:instrText>5</w:instrText>
      </w:r>
      <w:r w:rsidRPr="004954B0">
        <w:rPr>
          <w:rFonts w:ascii="Arial" w:hAnsi="Arial" w:cs="Arial"/>
          <w:sz w:val="22"/>
          <w:szCs w:val="22"/>
          <w:lang w:val="en-GB"/>
        </w:rPr>
        <w:fldChar w:fldCharType="end"/>
      </w:r>
      <w:r w:rsidRPr="004954B0">
        <w:rPr>
          <w:rFonts w:ascii="Arial" w:hAnsi="Arial" w:cs="Arial"/>
          <w:sz w:val="22"/>
          <w:szCs w:val="22"/>
          <w:lang w:val="en-GB"/>
        </w:rPr>
        <w:instrText xml:space="preserve">#"\* ALPHABETIC \* MERGEFORMAT </w:instrText>
      </w:r>
      <w:r w:rsidRPr="004954B0">
        <w:rPr>
          <w:rFonts w:ascii="Arial" w:hAnsi="Arial" w:cs="Arial"/>
          <w:sz w:val="22"/>
          <w:szCs w:val="22"/>
          <w:lang w:val="en-GB"/>
        </w:rPr>
        <w:fldChar w:fldCharType="separate"/>
      </w:r>
      <w:bookmarkStart w:id="2" w:name="_Toc38495911"/>
      <w:r w:rsidRPr="004954B0">
        <w:rPr>
          <w:rFonts w:ascii="Arial" w:hAnsi="Arial" w:cs="Arial"/>
          <w:sz w:val="22"/>
          <w:szCs w:val="22"/>
          <w:lang w:val="en-GB"/>
        </w:rPr>
        <w:t>A</w:t>
      </w:r>
      <w:r w:rsidRPr="004954B0">
        <w:rPr>
          <w:rFonts w:ascii="Arial" w:hAnsi="Arial" w:cs="Arial"/>
          <w:sz w:val="22"/>
          <w:szCs w:val="22"/>
          <w:lang w:val="en-GB"/>
        </w:rPr>
        <w:fldChar w:fldCharType="end"/>
      </w:r>
      <w:r w:rsidRPr="004954B0">
        <w:rPr>
          <w:rFonts w:ascii="Arial" w:hAnsi="Arial" w:cs="Arial"/>
          <w:sz w:val="22"/>
          <w:szCs w:val="22"/>
          <w:lang w:val="en-GB"/>
        </w:rPr>
        <w:t>.</w:t>
      </w:r>
      <w:r w:rsidRPr="004954B0">
        <w:rPr>
          <w:rFonts w:ascii="Arial" w:hAnsi="Arial" w:cs="Arial"/>
          <w:sz w:val="22"/>
          <w:szCs w:val="22"/>
          <w:lang w:val="en-GB"/>
        </w:rPr>
        <w:tab/>
      </w:r>
      <w:r w:rsidR="007C1307" w:rsidRPr="004954B0">
        <w:rPr>
          <w:rFonts w:ascii="Arial" w:hAnsi="Arial" w:cs="Arial"/>
          <w:sz w:val="22"/>
          <w:szCs w:val="22"/>
          <w:lang w:val="en-GB"/>
        </w:rPr>
        <w:t>Indica</w:t>
      </w:r>
      <w:r w:rsidR="004B1BD7" w:rsidRPr="004954B0">
        <w:rPr>
          <w:rFonts w:ascii="Arial" w:hAnsi="Arial" w:cs="Arial"/>
          <w:sz w:val="22"/>
          <w:szCs w:val="22"/>
          <w:lang w:val="en-GB"/>
        </w:rPr>
        <w:t>tors</w:t>
      </w:r>
      <w:bookmarkEnd w:id="2"/>
    </w:p>
    <w:p w14:paraId="3D307634" w14:textId="338CDF79" w:rsidR="001F64ED" w:rsidRPr="004954B0" w:rsidRDefault="008B6A70" w:rsidP="00E6181F">
      <w:pPr>
        <w:pStyle w:val="Paragraph"/>
        <w:tabs>
          <w:tab w:val="clear" w:pos="2448"/>
          <w:tab w:val="num" w:pos="720"/>
          <w:tab w:val="num" w:pos="1440"/>
        </w:tabs>
        <w:ind w:left="720" w:hanging="720"/>
        <w:rPr>
          <w:rFonts w:ascii="Arial" w:hAnsi="Arial" w:cs="Arial"/>
          <w:color w:val="000000"/>
          <w:sz w:val="22"/>
          <w:szCs w:val="22"/>
          <w:lang w:val="en-GB"/>
        </w:rPr>
      </w:pPr>
      <w:r w:rsidRPr="004954B0">
        <w:rPr>
          <w:rFonts w:ascii="Arial" w:hAnsi="Arial" w:cs="Arial"/>
          <w:color w:val="000000"/>
          <w:sz w:val="22"/>
          <w:szCs w:val="22"/>
          <w:lang w:val="en-GB"/>
        </w:rPr>
        <w:t>The ou</w:t>
      </w:r>
      <w:r w:rsidR="00DD23F7" w:rsidRPr="004954B0">
        <w:rPr>
          <w:rFonts w:ascii="Arial" w:hAnsi="Arial" w:cs="Arial"/>
          <w:color w:val="000000"/>
          <w:sz w:val="22"/>
          <w:szCs w:val="22"/>
          <w:lang w:val="en-GB"/>
        </w:rPr>
        <w:t xml:space="preserve">tput indicators set out in the </w:t>
      </w:r>
      <w:r w:rsidR="007E6EB2" w:rsidRPr="004954B0">
        <w:rPr>
          <w:rFonts w:ascii="Arial" w:hAnsi="Arial" w:cs="Arial"/>
          <w:color w:val="000000"/>
          <w:sz w:val="22"/>
          <w:szCs w:val="22"/>
          <w:lang w:val="en-GB" w:eastAsia="zh-CN"/>
        </w:rPr>
        <w:t>RM</w:t>
      </w:r>
      <w:r w:rsidRPr="004954B0">
        <w:rPr>
          <w:rFonts w:ascii="Arial" w:hAnsi="Arial" w:cs="Arial"/>
          <w:color w:val="000000"/>
          <w:sz w:val="22"/>
          <w:szCs w:val="22"/>
          <w:lang w:val="en-GB"/>
        </w:rPr>
        <w:t xml:space="preserve"> will be monitored continuously throughout the implementation of this program</w:t>
      </w:r>
      <w:r w:rsidR="00DA1291" w:rsidRPr="004954B0">
        <w:rPr>
          <w:rFonts w:ascii="Arial" w:hAnsi="Arial" w:cs="Arial"/>
          <w:color w:val="000000"/>
          <w:sz w:val="22"/>
          <w:szCs w:val="22"/>
          <w:lang w:val="en-GB"/>
        </w:rPr>
        <w:t>me</w:t>
      </w:r>
      <w:r w:rsidRPr="004954B0">
        <w:rPr>
          <w:rFonts w:ascii="Arial" w:hAnsi="Arial" w:cs="Arial"/>
          <w:color w:val="000000"/>
          <w:sz w:val="22"/>
          <w:szCs w:val="22"/>
          <w:lang w:val="en-GB"/>
        </w:rPr>
        <w:t xml:space="preserve">. These outputs are </w:t>
      </w:r>
      <w:r w:rsidR="002A316A" w:rsidRPr="004954B0">
        <w:rPr>
          <w:rFonts w:ascii="Arial" w:hAnsi="Arial" w:cs="Arial"/>
          <w:color w:val="000000"/>
          <w:sz w:val="22"/>
          <w:szCs w:val="22"/>
          <w:lang w:val="en-GB"/>
        </w:rPr>
        <w:t>essential</w:t>
      </w:r>
      <w:r w:rsidRPr="004954B0">
        <w:rPr>
          <w:rFonts w:ascii="Arial" w:hAnsi="Arial" w:cs="Arial"/>
          <w:color w:val="000000"/>
          <w:sz w:val="22"/>
          <w:szCs w:val="22"/>
          <w:lang w:val="en-GB"/>
        </w:rPr>
        <w:t xml:space="preserve">, as they </w:t>
      </w:r>
      <w:r w:rsidR="00F973D3" w:rsidRPr="004954B0">
        <w:rPr>
          <w:rFonts w:ascii="Arial" w:hAnsi="Arial" w:cs="Arial"/>
          <w:color w:val="000000"/>
          <w:sz w:val="22"/>
          <w:szCs w:val="22"/>
          <w:lang w:val="en-GB" w:eastAsia="zh-CN"/>
        </w:rPr>
        <w:t>are related to the</w:t>
      </w:r>
      <w:r w:rsidRPr="004954B0">
        <w:rPr>
          <w:rFonts w:ascii="Arial" w:hAnsi="Arial" w:cs="Arial"/>
          <w:color w:val="000000"/>
          <w:sz w:val="22"/>
          <w:szCs w:val="22"/>
          <w:lang w:val="en-GB"/>
        </w:rPr>
        <w:t xml:space="preserve"> conditions </w:t>
      </w:r>
      <w:r w:rsidR="00170541" w:rsidRPr="004954B0">
        <w:rPr>
          <w:rFonts w:ascii="Arial" w:hAnsi="Arial" w:cs="Arial"/>
          <w:color w:val="000000"/>
          <w:sz w:val="22"/>
          <w:szCs w:val="22"/>
          <w:lang w:val="en-GB"/>
        </w:rPr>
        <w:t>established</w:t>
      </w:r>
      <w:r w:rsidRPr="004954B0">
        <w:rPr>
          <w:rFonts w:ascii="Arial" w:hAnsi="Arial" w:cs="Arial"/>
          <w:color w:val="000000"/>
          <w:sz w:val="22"/>
          <w:szCs w:val="22"/>
          <w:lang w:val="en-GB"/>
        </w:rPr>
        <w:t xml:space="preserve"> in the </w:t>
      </w:r>
      <w:r w:rsidR="007E6EB2" w:rsidRPr="004954B0">
        <w:rPr>
          <w:rFonts w:ascii="Arial" w:hAnsi="Arial" w:cs="Arial"/>
          <w:color w:val="000000"/>
          <w:sz w:val="22"/>
          <w:szCs w:val="22"/>
          <w:lang w:val="en-GB"/>
        </w:rPr>
        <w:t>PM.</w:t>
      </w:r>
      <w:r w:rsidRPr="004954B0">
        <w:rPr>
          <w:rFonts w:ascii="Arial" w:hAnsi="Arial" w:cs="Arial"/>
          <w:color w:val="000000"/>
          <w:sz w:val="22"/>
          <w:szCs w:val="22"/>
          <w:lang w:val="en-GB"/>
        </w:rPr>
        <w:t xml:space="preserve"> Table 1 presents the output indicators that will be monitored during the implementation of the program</w:t>
      </w:r>
      <w:r w:rsidR="00DA1291" w:rsidRPr="004954B0">
        <w:rPr>
          <w:rFonts w:ascii="Arial" w:hAnsi="Arial" w:cs="Arial"/>
          <w:color w:val="000000"/>
          <w:sz w:val="22"/>
          <w:szCs w:val="22"/>
          <w:lang w:val="en-GB"/>
        </w:rPr>
        <w:t>me</w:t>
      </w:r>
      <w:r w:rsidRPr="004954B0">
        <w:rPr>
          <w:rFonts w:ascii="Arial" w:hAnsi="Arial" w:cs="Arial"/>
          <w:color w:val="000000"/>
          <w:sz w:val="22"/>
          <w:szCs w:val="22"/>
          <w:lang w:val="en-GB"/>
        </w:rPr>
        <w:t>, including the baseline, means of verification</w:t>
      </w:r>
      <w:r w:rsidR="00D12481" w:rsidRPr="004954B0">
        <w:rPr>
          <w:rFonts w:ascii="Arial" w:hAnsi="Arial" w:cs="Arial"/>
          <w:color w:val="000000"/>
          <w:sz w:val="22"/>
          <w:szCs w:val="22"/>
          <w:lang w:val="en-GB" w:eastAsia="zh-CN"/>
        </w:rPr>
        <w:t>,</w:t>
      </w:r>
      <w:r w:rsidRPr="004954B0">
        <w:rPr>
          <w:rFonts w:ascii="Arial" w:hAnsi="Arial" w:cs="Arial"/>
          <w:color w:val="000000"/>
          <w:sz w:val="22"/>
          <w:szCs w:val="22"/>
          <w:lang w:val="en-GB"/>
        </w:rPr>
        <w:t xml:space="preserve"> and</w:t>
      </w:r>
      <w:r w:rsidR="007E6EB2" w:rsidRPr="004954B0">
        <w:rPr>
          <w:rFonts w:ascii="Arial" w:hAnsi="Arial" w:cs="Arial"/>
          <w:color w:val="000000"/>
          <w:sz w:val="22"/>
          <w:szCs w:val="22"/>
          <w:lang w:val="en-GB"/>
        </w:rPr>
        <w:t xml:space="preserve"> </w:t>
      </w:r>
      <w:r w:rsidRPr="004954B0">
        <w:rPr>
          <w:rFonts w:ascii="Arial" w:hAnsi="Arial" w:cs="Arial"/>
          <w:color w:val="000000"/>
          <w:sz w:val="22"/>
          <w:szCs w:val="22"/>
          <w:lang w:val="en-GB"/>
        </w:rPr>
        <w:t>target</w:t>
      </w:r>
      <w:r w:rsidR="005B6CF4" w:rsidRPr="004954B0">
        <w:rPr>
          <w:rFonts w:ascii="Arial" w:hAnsi="Arial" w:cs="Arial"/>
          <w:color w:val="000000"/>
          <w:sz w:val="22"/>
          <w:szCs w:val="22"/>
          <w:lang w:val="en-GB" w:eastAsia="zh-CN"/>
        </w:rPr>
        <w:t>s</w:t>
      </w:r>
      <w:r w:rsidRPr="004954B0">
        <w:rPr>
          <w:rFonts w:ascii="Arial" w:hAnsi="Arial" w:cs="Arial"/>
          <w:color w:val="000000"/>
          <w:sz w:val="22"/>
          <w:szCs w:val="22"/>
          <w:lang w:val="en-GB"/>
        </w:rPr>
        <w:t xml:space="preserve"> </w:t>
      </w:r>
      <w:r w:rsidR="007E6EB2" w:rsidRPr="004954B0">
        <w:rPr>
          <w:rFonts w:ascii="Arial" w:hAnsi="Arial" w:cs="Arial"/>
          <w:color w:val="000000"/>
          <w:sz w:val="22"/>
          <w:szCs w:val="22"/>
          <w:lang w:val="en-GB"/>
        </w:rPr>
        <w:t>for</w:t>
      </w:r>
      <w:r w:rsidRPr="004954B0">
        <w:rPr>
          <w:rFonts w:ascii="Arial" w:hAnsi="Arial" w:cs="Arial"/>
          <w:color w:val="000000"/>
          <w:sz w:val="22"/>
          <w:szCs w:val="22"/>
          <w:lang w:val="en-GB"/>
        </w:rPr>
        <w:t xml:space="preserve"> </w:t>
      </w:r>
      <w:r w:rsidR="005B6CF4" w:rsidRPr="004954B0">
        <w:rPr>
          <w:rFonts w:ascii="Arial" w:hAnsi="Arial" w:cs="Arial"/>
          <w:color w:val="000000"/>
          <w:sz w:val="22"/>
          <w:szCs w:val="22"/>
          <w:lang w:val="en-GB" w:eastAsia="zh-CN"/>
        </w:rPr>
        <w:t>year-end</w:t>
      </w:r>
      <w:r w:rsidRPr="004954B0">
        <w:rPr>
          <w:rFonts w:ascii="Arial" w:hAnsi="Arial" w:cs="Arial"/>
          <w:color w:val="000000"/>
          <w:sz w:val="22"/>
          <w:szCs w:val="22"/>
          <w:lang w:val="en-GB"/>
        </w:rPr>
        <w:t xml:space="preserve"> 2020, when the reforms introduced </w:t>
      </w:r>
      <w:r w:rsidR="00DA1587" w:rsidRPr="004954B0">
        <w:rPr>
          <w:rFonts w:ascii="Arial" w:hAnsi="Arial" w:cs="Arial"/>
          <w:color w:val="000000"/>
          <w:sz w:val="22"/>
          <w:szCs w:val="22"/>
          <w:lang w:val="en-GB" w:eastAsia="zh-CN"/>
        </w:rPr>
        <w:t xml:space="preserve">will </w:t>
      </w:r>
      <w:r w:rsidRPr="004954B0">
        <w:rPr>
          <w:rFonts w:ascii="Arial" w:hAnsi="Arial" w:cs="Arial"/>
          <w:color w:val="000000"/>
          <w:sz w:val="22"/>
          <w:szCs w:val="22"/>
          <w:lang w:val="en-GB"/>
        </w:rPr>
        <w:t>have generated the expected outputs</w:t>
      </w:r>
      <w:r w:rsidR="007B67F5" w:rsidRPr="004954B0">
        <w:rPr>
          <w:rFonts w:ascii="Arial" w:hAnsi="Arial" w:cs="Arial"/>
          <w:color w:val="000000"/>
          <w:sz w:val="22"/>
          <w:szCs w:val="22"/>
          <w:lang w:val="en-GB"/>
        </w:rPr>
        <w:t>.</w:t>
      </w:r>
    </w:p>
    <w:p w14:paraId="07336EE1" w14:textId="01D17C9E" w:rsidR="001F64ED" w:rsidRPr="004954B0" w:rsidRDefault="008B6A70" w:rsidP="003173DB">
      <w:pPr>
        <w:pStyle w:val="FirstHeading"/>
        <w:spacing w:after="0"/>
        <w:ind w:left="720"/>
        <w:rPr>
          <w:rFonts w:ascii="Arial" w:hAnsi="Arial" w:cs="Arial"/>
          <w:sz w:val="22"/>
          <w:szCs w:val="22"/>
          <w:lang w:val="en-GB"/>
        </w:rPr>
      </w:pPr>
      <w:bookmarkStart w:id="3" w:name="_Toc38495912"/>
      <w:r w:rsidRPr="004954B0">
        <w:rPr>
          <w:rFonts w:ascii="Arial" w:hAnsi="Arial" w:cs="Arial"/>
          <w:sz w:val="22"/>
          <w:szCs w:val="22"/>
          <w:lang w:val="en-GB"/>
        </w:rPr>
        <w:t>B.</w:t>
      </w:r>
      <w:r w:rsidRPr="004954B0">
        <w:rPr>
          <w:rFonts w:ascii="Arial" w:hAnsi="Arial" w:cs="Arial"/>
          <w:sz w:val="22"/>
          <w:szCs w:val="22"/>
          <w:lang w:val="en-GB"/>
        </w:rPr>
        <w:tab/>
        <w:t xml:space="preserve">Data </w:t>
      </w:r>
      <w:r w:rsidR="006B4FF6" w:rsidRPr="004954B0">
        <w:rPr>
          <w:rFonts w:ascii="Arial" w:hAnsi="Arial" w:cs="Arial"/>
          <w:sz w:val="22"/>
          <w:szCs w:val="22"/>
          <w:lang w:val="en-GB"/>
        </w:rPr>
        <w:t>C</w:t>
      </w:r>
      <w:r w:rsidRPr="004954B0">
        <w:rPr>
          <w:rFonts w:ascii="Arial" w:hAnsi="Arial" w:cs="Arial"/>
          <w:sz w:val="22"/>
          <w:szCs w:val="22"/>
          <w:lang w:val="en-GB"/>
        </w:rPr>
        <w:t xml:space="preserve">ollection and </w:t>
      </w:r>
      <w:r w:rsidR="006B4FF6" w:rsidRPr="004954B0">
        <w:rPr>
          <w:rFonts w:ascii="Arial" w:hAnsi="Arial" w:cs="Arial"/>
          <w:sz w:val="22"/>
          <w:szCs w:val="22"/>
          <w:lang w:val="en-GB"/>
        </w:rPr>
        <w:t>I</w:t>
      </w:r>
      <w:r w:rsidRPr="004954B0">
        <w:rPr>
          <w:rFonts w:ascii="Arial" w:hAnsi="Arial" w:cs="Arial"/>
          <w:sz w:val="22"/>
          <w:szCs w:val="22"/>
          <w:lang w:val="en-GB"/>
        </w:rPr>
        <w:t>nstruments</w:t>
      </w:r>
      <w:bookmarkEnd w:id="3"/>
      <w:r w:rsidR="001F64ED" w:rsidRPr="004954B0">
        <w:rPr>
          <w:rFonts w:ascii="Arial" w:hAnsi="Arial" w:cs="Arial"/>
          <w:sz w:val="22"/>
          <w:szCs w:val="22"/>
          <w:lang w:val="en-GB"/>
        </w:rPr>
        <w:t xml:space="preserve"> </w:t>
      </w:r>
      <w:r w:rsidRPr="004954B0">
        <w:rPr>
          <w:rFonts w:ascii="Arial" w:hAnsi="Arial" w:cs="Arial"/>
          <w:sz w:val="22"/>
          <w:szCs w:val="22"/>
          <w:lang w:val="en-GB"/>
        </w:rPr>
        <w:t xml:space="preserve"> </w:t>
      </w:r>
    </w:p>
    <w:p w14:paraId="5B3153E0" w14:textId="693A71CC" w:rsidR="001F64ED" w:rsidRPr="004954B0" w:rsidRDefault="000177D8" w:rsidP="00E6181F">
      <w:pPr>
        <w:pStyle w:val="Paragraph"/>
        <w:tabs>
          <w:tab w:val="clear" w:pos="2448"/>
          <w:tab w:val="num" w:pos="720"/>
          <w:tab w:val="num" w:pos="1440"/>
        </w:tabs>
        <w:ind w:left="720" w:hanging="720"/>
        <w:rPr>
          <w:rFonts w:ascii="Arial" w:hAnsi="Arial" w:cs="Arial"/>
          <w:color w:val="000000"/>
          <w:sz w:val="22"/>
          <w:szCs w:val="22"/>
          <w:lang w:val="en-GB"/>
        </w:rPr>
      </w:pPr>
      <w:r w:rsidRPr="004954B0">
        <w:rPr>
          <w:rFonts w:ascii="Arial" w:hAnsi="Arial" w:cs="Arial"/>
          <w:color w:val="000000"/>
          <w:sz w:val="22"/>
          <w:szCs w:val="22"/>
          <w:lang w:val="en-GB" w:eastAsia="zh-CN"/>
        </w:rPr>
        <w:t>I</w:t>
      </w:r>
      <w:r w:rsidR="0012262E" w:rsidRPr="004954B0">
        <w:rPr>
          <w:rFonts w:ascii="Arial" w:hAnsi="Arial" w:cs="Arial"/>
          <w:color w:val="000000"/>
          <w:sz w:val="22"/>
          <w:szCs w:val="22"/>
          <w:lang w:val="en-GB"/>
        </w:rPr>
        <w:t xml:space="preserve">nformation </w:t>
      </w:r>
      <w:r w:rsidRPr="004954B0">
        <w:rPr>
          <w:rFonts w:ascii="Arial" w:hAnsi="Arial" w:cs="Arial"/>
          <w:color w:val="000000"/>
          <w:sz w:val="22"/>
          <w:szCs w:val="22"/>
          <w:lang w:val="en-GB" w:eastAsia="zh-CN"/>
        </w:rPr>
        <w:t xml:space="preserve">on outputs </w:t>
      </w:r>
      <w:r w:rsidR="0012262E" w:rsidRPr="004954B0">
        <w:rPr>
          <w:rFonts w:ascii="Arial" w:hAnsi="Arial" w:cs="Arial"/>
          <w:color w:val="000000"/>
          <w:sz w:val="22"/>
          <w:szCs w:val="22"/>
          <w:lang w:val="en-GB"/>
        </w:rPr>
        <w:t>will be presented to the Bank as part of the</w:t>
      </w:r>
      <w:r w:rsidR="00AF11E5" w:rsidRPr="004954B0">
        <w:rPr>
          <w:rFonts w:ascii="Arial" w:hAnsi="Arial" w:cs="Arial"/>
          <w:color w:val="000000"/>
          <w:sz w:val="22"/>
          <w:szCs w:val="22"/>
          <w:lang w:val="en-GB"/>
        </w:rPr>
        <w:t xml:space="preserve"> </w:t>
      </w:r>
      <w:r w:rsidR="00AF11E5" w:rsidRPr="004954B0">
        <w:rPr>
          <w:rFonts w:ascii="Arial" w:hAnsi="Arial" w:cs="Arial"/>
          <w:color w:val="000000"/>
          <w:sz w:val="22"/>
          <w:szCs w:val="22"/>
          <w:lang w:val="en-GB" w:eastAsia="zh-CN"/>
        </w:rPr>
        <w:t>p</w:t>
      </w:r>
      <w:r w:rsidR="00BB7D74" w:rsidRPr="004954B0">
        <w:rPr>
          <w:rFonts w:ascii="Arial" w:hAnsi="Arial" w:cs="Arial"/>
          <w:color w:val="000000"/>
          <w:sz w:val="22"/>
          <w:szCs w:val="22"/>
          <w:lang w:val="en-GB"/>
        </w:rPr>
        <w:t>rogram</w:t>
      </w:r>
      <w:r w:rsidR="00DA1291" w:rsidRPr="004954B0">
        <w:rPr>
          <w:rFonts w:ascii="Arial" w:hAnsi="Arial" w:cs="Arial"/>
          <w:color w:val="000000"/>
          <w:sz w:val="22"/>
          <w:szCs w:val="22"/>
          <w:lang w:val="en-GB"/>
        </w:rPr>
        <w:t>me</w:t>
      </w:r>
      <w:r w:rsidR="00BB7D74" w:rsidRPr="004954B0">
        <w:rPr>
          <w:rFonts w:ascii="Arial" w:hAnsi="Arial" w:cs="Arial"/>
          <w:color w:val="000000"/>
          <w:sz w:val="22"/>
          <w:szCs w:val="22"/>
          <w:lang w:val="en-GB"/>
        </w:rPr>
        <w:t xml:space="preserve"> commitment</w:t>
      </w:r>
      <w:r w:rsidR="00BB7D74" w:rsidRPr="004954B0">
        <w:rPr>
          <w:rFonts w:ascii="Arial" w:hAnsi="Arial" w:cs="Arial"/>
          <w:color w:val="000000"/>
          <w:sz w:val="22"/>
          <w:szCs w:val="22"/>
          <w:lang w:val="en-GB" w:eastAsia="zh-CN"/>
        </w:rPr>
        <w:t xml:space="preserve"> compliance report</w:t>
      </w:r>
      <w:r w:rsidR="0012262E" w:rsidRPr="004954B0">
        <w:rPr>
          <w:rFonts w:ascii="Arial" w:hAnsi="Arial" w:cs="Arial"/>
          <w:color w:val="000000"/>
          <w:sz w:val="22"/>
          <w:szCs w:val="22"/>
          <w:lang w:val="en-GB"/>
        </w:rPr>
        <w:t xml:space="preserve">. The outputs </w:t>
      </w:r>
      <w:r w:rsidR="00713748" w:rsidRPr="004954B0">
        <w:rPr>
          <w:rFonts w:ascii="Arial" w:hAnsi="Arial" w:cs="Arial"/>
          <w:color w:val="000000"/>
          <w:sz w:val="22"/>
          <w:szCs w:val="22"/>
          <w:lang w:val="en-GB" w:eastAsia="zh-CN"/>
        </w:rPr>
        <w:t>to</w:t>
      </w:r>
      <w:r w:rsidR="0012262E" w:rsidRPr="004954B0">
        <w:rPr>
          <w:rFonts w:ascii="Arial" w:hAnsi="Arial" w:cs="Arial"/>
          <w:color w:val="000000"/>
          <w:sz w:val="22"/>
          <w:szCs w:val="22"/>
          <w:lang w:val="en-GB"/>
        </w:rPr>
        <w:t xml:space="preserve"> be monitored are specified</w:t>
      </w:r>
      <w:r w:rsidR="00713748" w:rsidRPr="004954B0">
        <w:rPr>
          <w:rFonts w:ascii="Arial" w:hAnsi="Arial" w:cs="Arial"/>
          <w:color w:val="000000"/>
          <w:sz w:val="22"/>
          <w:szCs w:val="22"/>
          <w:lang w:val="en-GB"/>
        </w:rPr>
        <w:t xml:space="preserve"> </w:t>
      </w:r>
      <w:r w:rsidR="007E6EB2" w:rsidRPr="004954B0">
        <w:rPr>
          <w:rFonts w:ascii="Arial" w:hAnsi="Arial" w:cs="Arial"/>
          <w:color w:val="000000"/>
          <w:sz w:val="22"/>
          <w:szCs w:val="22"/>
          <w:lang w:val="en-GB"/>
        </w:rPr>
        <w:t xml:space="preserve">in </w:t>
      </w:r>
      <w:r w:rsidR="00713748" w:rsidRPr="004954B0">
        <w:rPr>
          <w:rFonts w:ascii="Arial" w:hAnsi="Arial" w:cs="Arial"/>
          <w:color w:val="000000"/>
          <w:sz w:val="22"/>
          <w:szCs w:val="22"/>
          <w:lang w:val="en-GB"/>
        </w:rPr>
        <w:t xml:space="preserve">the </w:t>
      </w:r>
      <w:r w:rsidR="007E6EB2" w:rsidRPr="004954B0">
        <w:rPr>
          <w:rFonts w:ascii="Arial" w:hAnsi="Arial" w:cs="Arial"/>
          <w:color w:val="000000"/>
          <w:sz w:val="22"/>
          <w:szCs w:val="22"/>
          <w:lang w:val="en-GB" w:eastAsia="zh-CN"/>
        </w:rPr>
        <w:t>RM</w:t>
      </w:r>
      <w:r w:rsidR="0012262E" w:rsidRPr="004954B0">
        <w:rPr>
          <w:rFonts w:ascii="Arial" w:hAnsi="Arial" w:cs="Arial"/>
          <w:color w:val="000000"/>
          <w:sz w:val="22"/>
          <w:szCs w:val="22"/>
          <w:lang w:val="en-GB"/>
        </w:rPr>
        <w:t xml:space="preserve"> of this operation. This report</w:t>
      </w:r>
      <w:r w:rsidR="007E6EB2" w:rsidRPr="004954B0">
        <w:rPr>
          <w:rFonts w:ascii="Arial" w:hAnsi="Arial" w:cs="Arial"/>
          <w:color w:val="000000"/>
          <w:sz w:val="22"/>
          <w:szCs w:val="22"/>
          <w:lang w:val="en-GB"/>
        </w:rPr>
        <w:t xml:space="preserve"> </w:t>
      </w:r>
      <w:r w:rsidR="0012262E" w:rsidRPr="004954B0">
        <w:rPr>
          <w:rFonts w:ascii="Arial" w:hAnsi="Arial" w:cs="Arial"/>
          <w:color w:val="000000"/>
          <w:sz w:val="22"/>
          <w:szCs w:val="22"/>
          <w:lang w:val="en-GB"/>
        </w:rPr>
        <w:t xml:space="preserve">will verify progress </w:t>
      </w:r>
      <w:r w:rsidR="005261B2" w:rsidRPr="004954B0">
        <w:rPr>
          <w:rFonts w:ascii="Arial" w:hAnsi="Arial" w:cs="Arial"/>
          <w:color w:val="000000"/>
          <w:sz w:val="22"/>
          <w:szCs w:val="22"/>
          <w:lang w:val="en-GB" w:eastAsia="zh-CN"/>
        </w:rPr>
        <w:t xml:space="preserve">on </w:t>
      </w:r>
      <w:r w:rsidR="0012262E" w:rsidRPr="004954B0">
        <w:rPr>
          <w:rFonts w:ascii="Arial" w:hAnsi="Arial" w:cs="Arial"/>
          <w:color w:val="000000"/>
          <w:sz w:val="22"/>
          <w:szCs w:val="22"/>
          <w:lang w:val="en-GB"/>
        </w:rPr>
        <w:t>or compliance with each of the indicators durin</w:t>
      </w:r>
      <w:r w:rsidR="00AF11E5" w:rsidRPr="004954B0">
        <w:rPr>
          <w:rFonts w:ascii="Arial" w:hAnsi="Arial" w:cs="Arial"/>
          <w:color w:val="000000"/>
          <w:sz w:val="22"/>
          <w:szCs w:val="22"/>
          <w:lang w:val="en-GB"/>
        </w:rPr>
        <w:t>g the evaluation period</w:t>
      </w:r>
      <w:r w:rsidR="007E6EB2" w:rsidRPr="004954B0">
        <w:rPr>
          <w:rFonts w:ascii="Arial" w:hAnsi="Arial" w:cs="Arial"/>
          <w:color w:val="000000"/>
          <w:sz w:val="22"/>
          <w:szCs w:val="22"/>
          <w:lang w:val="en-GB" w:eastAsia="zh-CN"/>
        </w:rPr>
        <w:t>. S</w:t>
      </w:r>
      <w:r w:rsidR="0012262E" w:rsidRPr="004954B0">
        <w:rPr>
          <w:rFonts w:ascii="Arial" w:hAnsi="Arial" w:cs="Arial"/>
          <w:color w:val="000000"/>
          <w:sz w:val="22"/>
          <w:szCs w:val="22"/>
          <w:lang w:val="en-GB"/>
        </w:rPr>
        <w:t xml:space="preserve">upporting documentation must be </w:t>
      </w:r>
      <w:r w:rsidR="00144956" w:rsidRPr="004954B0">
        <w:rPr>
          <w:rFonts w:ascii="Arial" w:hAnsi="Arial" w:cs="Arial"/>
          <w:color w:val="000000"/>
          <w:sz w:val="22"/>
          <w:szCs w:val="22"/>
          <w:lang w:val="en-GB" w:eastAsia="zh-CN"/>
        </w:rPr>
        <w:t>submitted</w:t>
      </w:r>
      <w:r w:rsidR="001F64ED" w:rsidRPr="004954B0">
        <w:rPr>
          <w:rFonts w:ascii="Arial" w:hAnsi="Arial" w:cs="Arial"/>
          <w:color w:val="000000"/>
          <w:sz w:val="22"/>
          <w:szCs w:val="22"/>
          <w:lang w:val="en-GB"/>
        </w:rPr>
        <w:t xml:space="preserve">. </w:t>
      </w:r>
    </w:p>
    <w:p w14:paraId="5272DB85" w14:textId="714015DD" w:rsidR="001F64ED" w:rsidRPr="004954B0" w:rsidRDefault="00F539A7" w:rsidP="00E6181F">
      <w:pPr>
        <w:pStyle w:val="Paragraph"/>
        <w:tabs>
          <w:tab w:val="clear" w:pos="2448"/>
          <w:tab w:val="num" w:pos="720"/>
          <w:tab w:val="num" w:pos="1440"/>
        </w:tabs>
        <w:ind w:left="720" w:hanging="720"/>
        <w:rPr>
          <w:rFonts w:ascii="Arial" w:hAnsi="Arial" w:cs="Arial"/>
          <w:color w:val="000000"/>
          <w:sz w:val="22"/>
          <w:szCs w:val="22"/>
          <w:lang w:val="en-GB"/>
        </w:rPr>
      </w:pPr>
      <w:r w:rsidRPr="004954B0">
        <w:rPr>
          <w:rFonts w:ascii="Arial" w:hAnsi="Arial" w:cs="Arial"/>
          <w:color w:val="000000"/>
          <w:sz w:val="22"/>
          <w:szCs w:val="22"/>
          <w:lang w:val="en-GB" w:eastAsia="zh-CN"/>
        </w:rPr>
        <w:t>Monitoring of the results will rely on i</w:t>
      </w:r>
      <w:r w:rsidR="005D0956" w:rsidRPr="004954B0">
        <w:rPr>
          <w:rFonts w:ascii="Arial" w:hAnsi="Arial" w:cs="Arial"/>
          <w:color w:val="000000"/>
          <w:sz w:val="22"/>
          <w:szCs w:val="22"/>
          <w:lang w:val="en-GB"/>
        </w:rPr>
        <w:t xml:space="preserve">nformation published in official </w:t>
      </w:r>
      <w:r w:rsidR="004C00AF" w:rsidRPr="004954B0">
        <w:rPr>
          <w:rFonts w:ascii="Arial" w:hAnsi="Arial" w:cs="Arial"/>
          <w:color w:val="000000"/>
          <w:sz w:val="22"/>
          <w:szCs w:val="22"/>
          <w:lang w:val="en-GB" w:eastAsia="zh-CN"/>
        </w:rPr>
        <w:t>media</w:t>
      </w:r>
      <w:r w:rsidR="00994495" w:rsidRPr="004954B0">
        <w:rPr>
          <w:rFonts w:ascii="Arial" w:hAnsi="Arial" w:cs="Arial"/>
          <w:color w:val="000000"/>
          <w:sz w:val="22"/>
          <w:szCs w:val="22"/>
          <w:lang w:val="en-GB"/>
        </w:rPr>
        <w:t xml:space="preserve"> </w:t>
      </w:r>
      <w:r w:rsidR="00994495" w:rsidRPr="004954B0">
        <w:rPr>
          <w:rFonts w:ascii="Arial" w:hAnsi="Arial" w:cs="Arial"/>
          <w:color w:val="000000"/>
          <w:sz w:val="22"/>
          <w:szCs w:val="22"/>
          <w:lang w:val="en-GB" w:eastAsia="zh-CN"/>
        </w:rPr>
        <w:t>by</w:t>
      </w:r>
      <w:r w:rsidR="005D0956" w:rsidRPr="004954B0">
        <w:rPr>
          <w:rFonts w:ascii="Arial" w:hAnsi="Arial" w:cs="Arial"/>
          <w:color w:val="000000"/>
          <w:sz w:val="22"/>
          <w:szCs w:val="22"/>
          <w:lang w:val="en-GB"/>
        </w:rPr>
        <w:t xml:space="preserve"> the government. Other sources of information will also be used, which are specified in the </w:t>
      </w:r>
      <w:r w:rsidR="00AA6356" w:rsidRPr="004954B0">
        <w:rPr>
          <w:rFonts w:ascii="Arial" w:hAnsi="Arial" w:cs="Arial"/>
          <w:color w:val="000000"/>
          <w:sz w:val="22"/>
          <w:szCs w:val="22"/>
          <w:lang w:val="en-GB" w:eastAsia="zh-CN"/>
        </w:rPr>
        <w:t>“</w:t>
      </w:r>
      <w:r w:rsidR="005D0956" w:rsidRPr="004954B0">
        <w:rPr>
          <w:rFonts w:ascii="Arial" w:hAnsi="Arial" w:cs="Arial"/>
          <w:color w:val="000000"/>
          <w:sz w:val="22"/>
          <w:szCs w:val="22"/>
          <w:lang w:val="en-GB"/>
        </w:rPr>
        <w:t>means of verification</w:t>
      </w:r>
      <w:r w:rsidR="00AA6356" w:rsidRPr="004954B0">
        <w:rPr>
          <w:rFonts w:ascii="Arial" w:hAnsi="Arial" w:cs="Arial"/>
          <w:color w:val="000000"/>
          <w:sz w:val="22"/>
          <w:szCs w:val="22"/>
          <w:lang w:val="en-GB" w:eastAsia="zh-CN"/>
        </w:rPr>
        <w:t>”</w:t>
      </w:r>
      <w:r w:rsidR="005D0956" w:rsidRPr="004954B0">
        <w:rPr>
          <w:rFonts w:ascii="Arial" w:hAnsi="Arial" w:cs="Arial"/>
          <w:color w:val="000000"/>
          <w:sz w:val="22"/>
          <w:szCs w:val="22"/>
          <w:lang w:val="en-GB"/>
        </w:rPr>
        <w:t xml:space="preserve"> column of the RM. The information required to monitor and verify compliance with the indicators will be </w:t>
      </w:r>
      <w:r w:rsidR="00077BDE" w:rsidRPr="004954B0">
        <w:rPr>
          <w:rFonts w:ascii="Arial" w:hAnsi="Arial" w:cs="Arial"/>
          <w:color w:val="000000"/>
          <w:sz w:val="22"/>
          <w:szCs w:val="22"/>
          <w:lang w:val="en-GB" w:eastAsia="zh-CN"/>
        </w:rPr>
        <w:t>checked</w:t>
      </w:r>
      <w:r w:rsidR="005D0956" w:rsidRPr="004954B0">
        <w:rPr>
          <w:rFonts w:ascii="Arial" w:hAnsi="Arial" w:cs="Arial"/>
          <w:color w:val="000000"/>
          <w:sz w:val="22"/>
          <w:szCs w:val="22"/>
          <w:lang w:val="en-GB"/>
        </w:rPr>
        <w:t xml:space="preserve"> </w:t>
      </w:r>
      <w:r w:rsidR="007A7F22" w:rsidRPr="004954B0">
        <w:rPr>
          <w:rFonts w:ascii="Arial" w:hAnsi="Arial" w:cs="Arial"/>
          <w:color w:val="000000"/>
          <w:sz w:val="22"/>
          <w:szCs w:val="22"/>
          <w:lang w:val="en-GB" w:eastAsia="zh-CN"/>
        </w:rPr>
        <w:t>against information in</w:t>
      </w:r>
      <w:r w:rsidR="005D0956" w:rsidRPr="004954B0">
        <w:rPr>
          <w:rFonts w:ascii="Arial" w:hAnsi="Arial" w:cs="Arial"/>
          <w:color w:val="000000"/>
          <w:sz w:val="22"/>
          <w:szCs w:val="22"/>
          <w:lang w:val="en-GB"/>
        </w:rPr>
        <w:t xml:space="preserve"> official media or requested from the EA</w:t>
      </w:r>
      <w:r w:rsidR="001F64ED" w:rsidRPr="004954B0">
        <w:rPr>
          <w:rFonts w:ascii="Arial" w:hAnsi="Arial" w:cs="Arial"/>
          <w:color w:val="000000"/>
          <w:sz w:val="22"/>
          <w:szCs w:val="22"/>
          <w:lang w:val="en-GB"/>
        </w:rPr>
        <w:t xml:space="preserve">. </w:t>
      </w:r>
    </w:p>
    <w:p w14:paraId="1B5C5596" w14:textId="14252378" w:rsidR="001F64ED" w:rsidRPr="004954B0" w:rsidRDefault="001F64ED" w:rsidP="005009E2">
      <w:pPr>
        <w:pStyle w:val="FirstHeading"/>
        <w:ind w:left="720"/>
        <w:rPr>
          <w:rFonts w:ascii="Arial" w:hAnsi="Arial" w:cs="Arial"/>
          <w:sz w:val="22"/>
          <w:szCs w:val="22"/>
          <w:lang w:val="en-GB"/>
        </w:rPr>
      </w:pPr>
      <w:bookmarkStart w:id="4" w:name="_Toc38495913"/>
      <w:r w:rsidRPr="004954B0">
        <w:rPr>
          <w:rFonts w:ascii="Arial" w:hAnsi="Arial" w:cs="Arial"/>
          <w:sz w:val="22"/>
          <w:szCs w:val="22"/>
          <w:lang w:val="en-GB"/>
        </w:rPr>
        <w:t>C.</w:t>
      </w:r>
      <w:r w:rsidRPr="004954B0">
        <w:rPr>
          <w:rFonts w:ascii="Arial" w:hAnsi="Arial" w:cs="Arial"/>
          <w:sz w:val="22"/>
          <w:szCs w:val="22"/>
          <w:lang w:val="en-GB"/>
        </w:rPr>
        <w:tab/>
      </w:r>
      <w:r w:rsidR="005D0956" w:rsidRPr="004954B0">
        <w:rPr>
          <w:rFonts w:ascii="Arial" w:hAnsi="Arial" w:cs="Arial"/>
          <w:sz w:val="22"/>
          <w:szCs w:val="22"/>
          <w:lang w:val="en-GB"/>
        </w:rPr>
        <w:t>Reporting</w:t>
      </w:r>
      <w:bookmarkEnd w:id="4"/>
    </w:p>
    <w:p w14:paraId="343FA23A" w14:textId="02E32904" w:rsidR="009F6FC6" w:rsidRPr="004954B0" w:rsidRDefault="005570F6" w:rsidP="00E6181F">
      <w:pPr>
        <w:pStyle w:val="Paragraph"/>
        <w:tabs>
          <w:tab w:val="clear" w:pos="2448"/>
          <w:tab w:val="num" w:pos="720"/>
          <w:tab w:val="num" w:pos="1440"/>
        </w:tabs>
        <w:ind w:left="720" w:hanging="720"/>
        <w:rPr>
          <w:rFonts w:ascii="Arial" w:hAnsi="Arial" w:cs="Arial"/>
          <w:color w:val="000000"/>
          <w:sz w:val="22"/>
          <w:szCs w:val="22"/>
          <w:lang w:val="en-GB"/>
        </w:rPr>
      </w:pPr>
      <w:r w:rsidRPr="004954B0">
        <w:rPr>
          <w:rFonts w:ascii="Arial" w:hAnsi="Arial" w:cs="Arial"/>
          <w:b/>
          <w:bCs/>
          <w:color w:val="000000"/>
          <w:sz w:val="22"/>
          <w:szCs w:val="22"/>
          <w:lang w:val="en-GB"/>
        </w:rPr>
        <w:t>Disbursement requirement compliance report</w:t>
      </w:r>
      <w:r w:rsidR="00B9411E" w:rsidRPr="004954B0">
        <w:rPr>
          <w:rFonts w:ascii="Arial" w:hAnsi="Arial" w:cs="Arial"/>
          <w:color w:val="000000"/>
          <w:sz w:val="22"/>
          <w:szCs w:val="22"/>
          <w:lang w:val="en-GB"/>
        </w:rPr>
        <w:t xml:space="preserve">. </w:t>
      </w:r>
      <w:r w:rsidR="00630859" w:rsidRPr="004954B0">
        <w:rPr>
          <w:rFonts w:ascii="Arial" w:hAnsi="Arial" w:cs="Arial"/>
          <w:color w:val="000000"/>
          <w:sz w:val="22"/>
          <w:szCs w:val="22"/>
          <w:lang w:val="en-GB"/>
        </w:rPr>
        <w:t xml:space="preserve">The main </w:t>
      </w:r>
      <w:r w:rsidR="00504064" w:rsidRPr="004954B0">
        <w:rPr>
          <w:rFonts w:ascii="Arial" w:hAnsi="Arial" w:cs="Arial"/>
          <w:color w:val="000000"/>
          <w:sz w:val="22"/>
          <w:szCs w:val="22"/>
          <w:lang w:val="en-GB"/>
        </w:rPr>
        <w:t>input for the monitoring of the operation</w:t>
      </w:r>
      <w:r w:rsidR="005761A4" w:rsidRPr="004954B0">
        <w:rPr>
          <w:rFonts w:ascii="Arial" w:hAnsi="Arial" w:cs="Arial"/>
          <w:color w:val="000000"/>
          <w:sz w:val="22"/>
          <w:szCs w:val="22"/>
          <w:lang w:val="en-GB"/>
        </w:rPr>
        <w:t xml:space="preserve"> will be the</w:t>
      </w:r>
      <w:r w:rsidR="007E6EB2" w:rsidRPr="004954B0">
        <w:rPr>
          <w:rFonts w:ascii="Arial" w:hAnsi="Arial" w:cs="Arial"/>
          <w:color w:val="000000"/>
          <w:sz w:val="22"/>
          <w:szCs w:val="22"/>
          <w:lang w:val="en-GB"/>
        </w:rPr>
        <w:t xml:space="preserve"> </w:t>
      </w:r>
      <w:r w:rsidR="001B0139" w:rsidRPr="004954B0">
        <w:rPr>
          <w:rFonts w:ascii="Arial" w:hAnsi="Arial" w:cs="Arial"/>
          <w:color w:val="000000"/>
          <w:sz w:val="22"/>
          <w:szCs w:val="22"/>
          <w:lang w:val="en-GB"/>
        </w:rPr>
        <w:t>report of fulfilment of conditions for disbursement</w:t>
      </w:r>
      <w:r w:rsidR="007E6EB2" w:rsidRPr="004954B0">
        <w:rPr>
          <w:rFonts w:ascii="Arial" w:hAnsi="Arial" w:cs="Arial"/>
          <w:color w:val="000000"/>
          <w:sz w:val="22"/>
          <w:szCs w:val="22"/>
          <w:lang w:val="en-GB"/>
        </w:rPr>
        <w:t xml:space="preserve">. </w:t>
      </w:r>
      <w:r w:rsidR="00630859" w:rsidRPr="004954B0">
        <w:rPr>
          <w:rFonts w:ascii="Arial" w:hAnsi="Arial" w:cs="Arial"/>
          <w:color w:val="000000"/>
          <w:sz w:val="22"/>
          <w:szCs w:val="22"/>
          <w:lang w:val="en-GB"/>
        </w:rPr>
        <w:t xml:space="preserve">This report will verify compliance with the commitments defined for this operation in the PM (see Annex II of the Proposal </w:t>
      </w:r>
      <w:r w:rsidR="00F06478" w:rsidRPr="004954B0">
        <w:rPr>
          <w:rFonts w:ascii="Arial" w:hAnsi="Arial" w:cs="Arial"/>
          <w:color w:val="000000"/>
          <w:sz w:val="22"/>
          <w:szCs w:val="22"/>
          <w:lang w:val="en-GB"/>
        </w:rPr>
        <w:t>for Operations Development</w:t>
      </w:r>
      <w:r w:rsidR="00D7178E" w:rsidRPr="004954B0">
        <w:rPr>
          <w:rFonts w:ascii="Arial" w:hAnsi="Arial" w:cs="Arial"/>
          <w:color w:val="000000"/>
          <w:sz w:val="22"/>
          <w:szCs w:val="22"/>
          <w:lang w:val="en-GB"/>
        </w:rPr>
        <w:t xml:space="preserve">). </w:t>
      </w:r>
      <w:r w:rsidR="009F7366" w:rsidRPr="004954B0">
        <w:rPr>
          <w:rFonts w:ascii="Arial" w:hAnsi="Arial" w:cs="Arial"/>
          <w:color w:val="000000"/>
          <w:sz w:val="22"/>
          <w:szCs w:val="22"/>
          <w:lang w:val="en-GB" w:eastAsia="zh-CN"/>
        </w:rPr>
        <w:t xml:space="preserve">The report </w:t>
      </w:r>
      <w:r w:rsidR="00630859" w:rsidRPr="004954B0">
        <w:rPr>
          <w:rFonts w:ascii="Arial" w:hAnsi="Arial" w:cs="Arial"/>
          <w:color w:val="000000"/>
          <w:sz w:val="22"/>
          <w:szCs w:val="22"/>
          <w:lang w:val="en-GB"/>
        </w:rPr>
        <w:t xml:space="preserve">will be prepared after the </w:t>
      </w:r>
      <w:r w:rsidR="00270657" w:rsidRPr="004954B0">
        <w:rPr>
          <w:rFonts w:ascii="Arial" w:hAnsi="Arial" w:cs="Arial"/>
          <w:color w:val="000000"/>
          <w:sz w:val="22"/>
          <w:szCs w:val="22"/>
          <w:lang w:val="en-GB"/>
        </w:rPr>
        <w:t xml:space="preserve">Inter-American Development Bank (IDB) </w:t>
      </w:r>
      <w:r w:rsidR="009F7366" w:rsidRPr="004954B0">
        <w:rPr>
          <w:rFonts w:ascii="Arial" w:hAnsi="Arial" w:cs="Arial"/>
          <w:color w:val="000000"/>
          <w:sz w:val="22"/>
          <w:szCs w:val="22"/>
          <w:lang w:val="en-GB"/>
        </w:rPr>
        <w:t>Board of Governors approves the program</w:t>
      </w:r>
      <w:r w:rsidR="00DA1291" w:rsidRPr="004954B0">
        <w:rPr>
          <w:rFonts w:ascii="Arial" w:hAnsi="Arial" w:cs="Arial"/>
          <w:color w:val="000000"/>
          <w:sz w:val="22"/>
          <w:szCs w:val="22"/>
          <w:lang w:val="en-GB"/>
        </w:rPr>
        <w:t>me</w:t>
      </w:r>
      <w:r w:rsidR="00630859" w:rsidRPr="004954B0">
        <w:rPr>
          <w:rFonts w:ascii="Arial" w:hAnsi="Arial" w:cs="Arial"/>
          <w:color w:val="000000"/>
          <w:sz w:val="22"/>
          <w:szCs w:val="22"/>
          <w:lang w:val="en-GB"/>
        </w:rPr>
        <w:t>, once all the conditions of the PM are met</w:t>
      </w:r>
      <w:r w:rsidR="00AB1F0C" w:rsidRPr="004954B0">
        <w:rPr>
          <w:rFonts w:ascii="Arial" w:hAnsi="Arial" w:cs="Arial"/>
          <w:color w:val="000000"/>
          <w:sz w:val="22"/>
          <w:szCs w:val="22"/>
          <w:lang w:val="en-GB"/>
        </w:rPr>
        <w:t>.</w:t>
      </w:r>
    </w:p>
    <w:p w14:paraId="639FC6D0" w14:textId="7ACA8AA9" w:rsidR="000B35E0" w:rsidRPr="004954B0" w:rsidRDefault="00835DE9" w:rsidP="000B35E0">
      <w:pPr>
        <w:pStyle w:val="Paragraph"/>
        <w:tabs>
          <w:tab w:val="clear" w:pos="2448"/>
          <w:tab w:val="num" w:pos="720"/>
          <w:tab w:val="num" w:pos="1440"/>
        </w:tabs>
        <w:ind w:left="720" w:hanging="720"/>
        <w:rPr>
          <w:rFonts w:ascii="Arial" w:hAnsi="Arial" w:cs="Arial"/>
          <w:color w:val="000000"/>
          <w:sz w:val="22"/>
          <w:szCs w:val="22"/>
          <w:lang w:val="en-GB"/>
        </w:rPr>
      </w:pPr>
      <w:r w:rsidRPr="004954B0">
        <w:rPr>
          <w:rFonts w:ascii="Arial" w:hAnsi="Arial" w:cs="Arial"/>
          <w:b/>
          <w:bCs/>
          <w:color w:val="000000"/>
          <w:sz w:val="22"/>
          <w:szCs w:val="22"/>
          <w:lang w:val="en-GB"/>
        </w:rPr>
        <w:t xml:space="preserve">Progress </w:t>
      </w:r>
      <w:r w:rsidR="00E02D5C" w:rsidRPr="004954B0">
        <w:rPr>
          <w:rFonts w:ascii="Arial" w:hAnsi="Arial" w:cs="Arial"/>
          <w:b/>
          <w:bCs/>
          <w:color w:val="000000"/>
          <w:sz w:val="22"/>
          <w:szCs w:val="22"/>
          <w:lang w:val="en-GB"/>
        </w:rPr>
        <w:t>m</w:t>
      </w:r>
      <w:r w:rsidRPr="004954B0">
        <w:rPr>
          <w:rFonts w:ascii="Arial" w:hAnsi="Arial" w:cs="Arial"/>
          <w:b/>
          <w:bCs/>
          <w:color w:val="000000"/>
          <w:sz w:val="22"/>
          <w:szCs w:val="22"/>
          <w:lang w:val="en-GB"/>
        </w:rPr>
        <w:t xml:space="preserve">onitoring </w:t>
      </w:r>
      <w:r w:rsidR="00E02D5C" w:rsidRPr="004954B0">
        <w:rPr>
          <w:rFonts w:ascii="Arial" w:hAnsi="Arial" w:cs="Arial"/>
          <w:b/>
          <w:bCs/>
          <w:color w:val="000000"/>
          <w:sz w:val="22"/>
          <w:szCs w:val="22"/>
          <w:lang w:val="en-GB"/>
        </w:rPr>
        <w:t>r</w:t>
      </w:r>
      <w:r w:rsidRPr="004954B0">
        <w:rPr>
          <w:rFonts w:ascii="Arial" w:hAnsi="Arial" w:cs="Arial"/>
          <w:b/>
          <w:bCs/>
          <w:color w:val="000000"/>
          <w:sz w:val="22"/>
          <w:szCs w:val="22"/>
          <w:lang w:val="en-GB"/>
        </w:rPr>
        <w:t>eport</w:t>
      </w:r>
      <w:r w:rsidR="0007088A" w:rsidRPr="004954B0">
        <w:rPr>
          <w:rFonts w:ascii="Arial" w:hAnsi="Arial" w:cs="Arial"/>
          <w:b/>
          <w:bCs/>
          <w:color w:val="000000"/>
          <w:sz w:val="22"/>
          <w:szCs w:val="22"/>
          <w:lang w:val="en-GB"/>
        </w:rPr>
        <w:t xml:space="preserve"> </w:t>
      </w:r>
      <w:r w:rsidR="000533D7" w:rsidRPr="004954B0">
        <w:rPr>
          <w:rFonts w:ascii="Arial" w:hAnsi="Arial" w:cs="Arial"/>
          <w:b/>
          <w:bCs/>
          <w:color w:val="000000"/>
          <w:sz w:val="22"/>
          <w:szCs w:val="22"/>
          <w:lang w:val="en-GB"/>
        </w:rPr>
        <w:t>(PMR)</w:t>
      </w:r>
      <w:r w:rsidR="000B35E0" w:rsidRPr="004954B0">
        <w:rPr>
          <w:rFonts w:ascii="Arial" w:hAnsi="Arial" w:cs="Arial"/>
          <w:color w:val="000000"/>
          <w:sz w:val="22"/>
          <w:szCs w:val="22"/>
          <w:lang w:val="en-GB"/>
        </w:rPr>
        <w:t xml:space="preserve">. </w:t>
      </w:r>
      <w:r w:rsidR="00390D5B" w:rsidRPr="004954B0">
        <w:rPr>
          <w:rFonts w:ascii="Arial" w:hAnsi="Arial" w:cs="Arial"/>
          <w:color w:val="000000"/>
          <w:sz w:val="22"/>
          <w:szCs w:val="22"/>
          <w:lang w:val="en-GB"/>
        </w:rPr>
        <w:t>The main tool for reporting on program</w:t>
      </w:r>
      <w:r w:rsidR="00DA1291" w:rsidRPr="004954B0">
        <w:rPr>
          <w:rFonts w:ascii="Arial" w:hAnsi="Arial" w:cs="Arial"/>
          <w:color w:val="000000"/>
          <w:sz w:val="22"/>
          <w:szCs w:val="22"/>
          <w:lang w:val="en-GB"/>
        </w:rPr>
        <w:t>me</w:t>
      </w:r>
      <w:r w:rsidR="00390D5B" w:rsidRPr="004954B0">
        <w:rPr>
          <w:rFonts w:ascii="Arial" w:hAnsi="Arial" w:cs="Arial"/>
          <w:color w:val="000000"/>
          <w:sz w:val="22"/>
          <w:szCs w:val="22"/>
          <w:lang w:val="en-GB"/>
        </w:rPr>
        <w:t xml:space="preserve"> monitoring is the PMR. The primary sources of information for the </w:t>
      </w:r>
      <w:r w:rsidR="00054FED" w:rsidRPr="004954B0">
        <w:rPr>
          <w:rFonts w:ascii="Arial" w:hAnsi="Arial" w:cs="Arial"/>
          <w:color w:val="000000"/>
          <w:sz w:val="22"/>
          <w:szCs w:val="22"/>
          <w:lang w:val="en-GB" w:eastAsia="zh-CN"/>
        </w:rPr>
        <w:t>PMR</w:t>
      </w:r>
      <w:r w:rsidR="00390D5B" w:rsidRPr="004954B0">
        <w:rPr>
          <w:rFonts w:ascii="Arial" w:hAnsi="Arial" w:cs="Arial"/>
          <w:color w:val="000000"/>
          <w:sz w:val="22"/>
          <w:szCs w:val="22"/>
          <w:lang w:val="en-GB"/>
        </w:rPr>
        <w:t xml:space="preserve"> </w:t>
      </w:r>
      <w:r w:rsidR="00054FED" w:rsidRPr="004954B0">
        <w:rPr>
          <w:rFonts w:ascii="Arial" w:hAnsi="Arial" w:cs="Arial"/>
          <w:color w:val="000000"/>
          <w:sz w:val="22"/>
          <w:szCs w:val="22"/>
          <w:lang w:val="en-GB" w:eastAsia="zh-CN"/>
        </w:rPr>
        <w:t>include</w:t>
      </w:r>
      <w:r w:rsidR="00E02D5C" w:rsidRPr="004954B0">
        <w:rPr>
          <w:rFonts w:ascii="Arial" w:hAnsi="Arial" w:cs="Arial"/>
          <w:color w:val="000000"/>
          <w:sz w:val="22"/>
          <w:szCs w:val="22"/>
          <w:lang w:val="en-GB" w:eastAsia="zh-CN"/>
        </w:rPr>
        <w:t xml:space="preserve"> </w:t>
      </w:r>
      <w:r w:rsidR="00390D5B" w:rsidRPr="004954B0">
        <w:rPr>
          <w:rFonts w:ascii="Arial" w:hAnsi="Arial" w:cs="Arial"/>
          <w:color w:val="000000"/>
          <w:sz w:val="22"/>
          <w:szCs w:val="22"/>
          <w:lang w:val="en-GB"/>
        </w:rPr>
        <w:t xml:space="preserve">the RM, </w:t>
      </w:r>
      <w:r w:rsidR="00E02D5C" w:rsidRPr="004954B0">
        <w:rPr>
          <w:rFonts w:ascii="Arial" w:hAnsi="Arial" w:cs="Arial"/>
          <w:color w:val="000000"/>
          <w:sz w:val="22"/>
          <w:szCs w:val="22"/>
          <w:lang w:val="en-GB"/>
        </w:rPr>
        <w:t>r</w:t>
      </w:r>
      <w:r w:rsidR="00390D5B" w:rsidRPr="004954B0">
        <w:rPr>
          <w:rFonts w:ascii="Arial" w:hAnsi="Arial" w:cs="Arial"/>
          <w:color w:val="000000"/>
          <w:sz w:val="22"/>
          <w:szCs w:val="22"/>
          <w:lang w:val="en-GB"/>
        </w:rPr>
        <w:t xml:space="preserve">isk </w:t>
      </w:r>
      <w:r w:rsidR="00E02D5C" w:rsidRPr="004954B0">
        <w:rPr>
          <w:rFonts w:ascii="Arial" w:hAnsi="Arial" w:cs="Arial"/>
          <w:color w:val="000000"/>
          <w:sz w:val="22"/>
          <w:szCs w:val="22"/>
          <w:lang w:val="en-GB"/>
        </w:rPr>
        <w:t>m</w:t>
      </w:r>
      <w:r w:rsidR="00390D5B" w:rsidRPr="004954B0">
        <w:rPr>
          <w:rFonts w:ascii="Arial" w:hAnsi="Arial" w:cs="Arial"/>
          <w:color w:val="000000"/>
          <w:sz w:val="22"/>
          <w:szCs w:val="22"/>
          <w:lang w:val="en-GB"/>
        </w:rPr>
        <w:t xml:space="preserve">atrix, </w:t>
      </w:r>
      <w:r w:rsidR="00054FED" w:rsidRPr="004954B0">
        <w:rPr>
          <w:rFonts w:ascii="Arial" w:hAnsi="Arial" w:cs="Arial"/>
          <w:color w:val="000000"/>
          <w:sz w:val="22"/>
          <w:szCs w:val="22"/>
          <w:lang w:val="en-GB" w:eastAsia="zh-CN"/>
        </w:rPr>
        <w:t xml:space="preserve">and </w:t>
      </w:r>
      <w:r w:rsidR="00390D5B" w:rsidRPr="004954B0">
        <w:rPr>
          <w:rFonts w:ascii="Arial" w:hAnsi="Arial" w:cs="Arial"/>
          <w:color w:val="000000"/>
          <w:sz w:val="22"/>
          <w:szCs w:val="22"/>
          <w:lang w:val="en-GB"/>
        </w:rPr>
        <w:t>audited financial reports</w:t>
      </w:r>
      <w:r w:rsidR="00E02D5C" w:rsidRPr="004954B0">
        <w:rPr>
          <w:rFonts w:ascii="Arial" w:hAnsi="Arial" w:cs="Arial"/>
          <w:color w:val="000000"/>
          <w:sz w:val="22"/>
          <w:szCs w:val="22"/>
          <w:lang w:val="en-GB"/>
        </w:rPr>
        <w:t>.</w:t>
      </w:r>
    </w:p>
    <w:p w14:paraId="16AC3426" w14:textId="13146067" w:rsidR="00651BB6" w:rsidRPr="004954B0" w:rsidRDefault="0048359F" w:rsidP="005956A6">
      <w:pPr>
        <w:pStyle w:val="Paragraph"/>
        <w:tabs>
          <w:tab w:val="clear" w:pos="2448"/>
          <w:tab w:val="num" w:pos="720"/>
          <w:tab w:val="num" w:pos="1440"/>
        </w:tabs>
        <w:ind w:left="720" w:hanging="720"/>
        <w:rPr>
          <w:rFonts w:ascii="Arial" w:hAnsi="Arial" w:cs="Arial"/>
          <w:color w:val="000000"/>
          <w:sz w:val="22"/>
          <w:szCs w:val="22"/>
          <w:lang w:val="en-GB"/>
        </w:rPr>
        <w:sectPr w:rsidR="00651BB6" w:rsidRPr="004954B0" w:rsidSect="009F6FC6">
          <w:type w:val="continuous"/>
          <w:pgSz w:w="12240" w:h="15840" w:code="1"/>
          <w:pgMar w:top="1440" w:right="1800" w:bottom="1440" w:left="1800" w:header="706" w:footer="706" w:gutter="0"/>
          <w:pgNumType w:start="1"/>
          <w:cols w:space="720"/>
          <w:formProt w:val="0"/>
          <w:docGrid w:linePitch="326"/>
        </w:sectPr>
      </w:pPr>
      <w:r w:rsidRPr="004954B0">
        <w:rPr>
          <w:rFonts w:ascii="Arial" w:hAnsi="Arial" w:cs="Arial"/>
          <w:b/>
          <w:bCs/>
          <w:color w:val="000000"/>
          <w:sz w:val="22"/>
          <w:szCs w:val="22"/>
          <w:lang w:val="en-GB"/>
        </w:rPr>
        <w:t xml:space="preserve">Project </w:t>
      </w:r>
      <w:r w:rsidR="00E02D5C" w:rsidRPr="004954B0">
        <w:rPr>
          <w:rFonts w:ascii="Arial" w:hAnsi="Arial" w:cs="Arial"/>
          <w:b/>
          <w:bCs/>
          <w:color w:val="000000"/>
          <w:sz w:val="22"/>
          <w:szCs w:val="22"/>
          <w:lang w:val="en-GB"/>
        </w:rPr>
        <w:t>c</w:t>
      </w:r>
      <w:r w:rsidRPr="004954B0">
        <w:rPr>
          <w:rFonts w:ascii="Arial" w:hAnsi="Arial" w:cs="Arial"/>
          <w:b/>
          <w:bCs/>
          <w:color w:val="000000"/>
          <w:sz w:val="22"/>
          <w:szCs w:val="22"/>
          <w:lang w:val="en-GB"/>
        </w:rPr>
        <w:t xml:space="preserve">ompletion </w:t>
      </w:r>
      <w:r w:rsidR="00E02D5C" w:rsidRPr="004954B0">
        <w:rPr>
          <w:rFonts w:ascii="Arial" w:hAnsi="Arial" w:cs="Arial"/>
          <w:b/>
          <w:bCs/>
          <w:color w:val="000000"/>
          <w:sz w:val="22"/>
          <w:szCs w:val="22"/>
          <w:lang w:val="en-GB"/>
        </w:rPr>
        <w:t>r</w:t>
      </w:r>
      <w:r w:rsidRPr="004954B0">
        <w:rPr>
          <w:rFonts w:ascii="Arial" w:hAnsi="Arial" w:cs="Arial"/>
          <w:b/>
          <w:bCs/>
          <w:color w:val="000000"/>
          <w:sz w:val="22"/>
          <w:szCs w:val="22"/>
          <w:lang w:val="en-GB"/>
        </w:rPr>
        <w:t xml:space="preserve">eport </w:t>
      </w:r>
      <w:r w:rsidR="000533D7" w:rsidRPr="004954B0">
        <w:rPr>
          <w:rFonts w:ascii="Arial" w:hAnsi="Arial" w:cs="Arial"/>
          <w:b/>
          <w:bCs/>
          <w:color w:val="000000"/>
          <w:sz w:val="22"/>
          <w:szCs w:val="22"/>
          <w:lang w:val="en-GB"/>
        </w:rPr>
        <w:t>(PCR)</w:t>
      </w:r>
      <w:r w:rsidR="00B9411E" w:rsidRPr="004954B0">
        <w:rPr>
          <w:rFonts w:ascii="Arial" w:hAnsi="Arial" w:cs="Arial"/>
          <w:color w:val="000000"/>
          <w:sz w:val="22"/>
          <w:szCs w:val="22"/>
          <w:lang w:val="en-GB"/>
        </w:rPr>
        <w:t xml:space="preserve">. </w:t>
      </w:r>
      <w:r w:rsidR="005956A6" w:rsidRPr="004954B0">
        <w:rPr>
          <w:rFonts w:ascii="Arial" w:hAnsi="Arial" w:cs="Arial"/>
          <w:color w:val="000000"/>
          <w:sz w:val="22"/>
          <w:szCs w:val="22"/>
          <w:lang w:val="en-GB"/>
        </w:rPr>
        <w:t xml:space="preserve">The PCR will examine the results </w:t>
      </w:r>
      <w:r w:rsidR="00830AA9" w:rsidRPr="004954B0">
        <w:rPr>
          <w:rFonts w:ascii="Arial" w:hAnsi="Arial" w:cs="Arial"/>
          <w:color w:val="000000"/>
          <w:sz w:val="22"/>
          <w:szCs w:val="22"/>
          <w:lang w:val="en-GB" w:eastAsia="zh-CN"/>
        </w:rPr>
        <w:t>achieved</w:t>
      </w:r>
      <w:r w:rsidR="005956A6" w:rsidRPr="004954B0">
        <w:rPr>
          <w:rFonts w:ascii="Arial" w:hAnsi="Arial" w:cs="Arial"/>
          <w:color w:val="000000"/>
          <w:sz w:val="22"/>
          <w:szCs w:val="22"/>
          <w:lang w:val="en-GB"/>
        </w:rPr>
        <w:t xml:space="preserve"> by the program</w:t>
      </w:r>
      <w:r w:rsidR="00DA1291" w:rsidRPr="004954B0">
        <w:rPr>
          <w:rFonts w:ascii="Arial" w:hAnsi="Arial" w:cs="Arial"/>
          <w:color w:val="000000"/>
          <w:sz w:val="22"/>
          <w:szCs w:val="22"/>
          <w:lang w:val="en-GB"/>
        </w:rPr>
        <w:t>me</w:t>
      </w:r>
      <w:r w:rsidR="005956A6" w:rsidRPr="004954B0">
        <w:rPr>
          <w:rFonts w:ascii="Arial" w:hAnsi="Arial" w:cs="Arial"/>
          <w:color w:val="000000"/>
          <w:sz w:val="22"/>
          <w:szCs w:val="22"/>
          <w:lang w:val="en-GB"/>
        </w:rPr>
        <w:t xml:space="preserve">, as measured by the </w:t>
      </w:r>
      <w:r w:rsidR="00830AA9" w:rsidRPr="004954B0">
        <w:rPr>
          <w:rFonts w:ascii="Arial" w:hAnsi="Arial" w:cs="Arial"/>
          <w:color w:val="000000"/>
          <w:sz w:val="22"/>
          <w:szCs w:val="22"/>
          <w:lang w:val="en-GB" w:eastAsia="zh-CN"/>
        </w:rPr>
        <w:t>attainment</w:t>
      </w:r>
      <w:r w:rsidR="005956A6" w:rsidRPr="004954B0">
        <w:rPr>
          <w:rFonts w:ascii="Arial" w:hAnsi="Arial" w:cs="Arial"/>
          <w:color w:val="000000"/>
          <w:sz w:val="22"/>
          <w:szCs w:val="22"/>
          <w:lang w:val="en-GB"/>
        </w:rPr>
        <w:t xml:space="preserve"> of targets and performance indicators set forth in the RM. The PCR will be submitted within the timeframe established in the current </w:t>
      </w:r>
      <w:r w:rsidR="00E02D5C" w:rsidRPr="004954B0">
        <w:rPr>
          <w:rFonts w:ascii="Arial" w:hAnsi="Arial" w:cs="Arial"/>
          <w:color w:val="000000"/>
          <w:sz w:val="22"/>
          <w:szCs w:val="22"/>
          <w:lang w:val="en-GB"/>
        </w:rPr>
        <w:t>d</w:t>
      </w:r>
      <w:r w:rsidR="005956A6" w:rsidRPr="004954B0">
        <w:rPr>
          <w:rFonts w:ascii="Arial" w:hAnsi="Arial" w:cs="Arial"/>
          <w:color w:val="000000"/>
          <w:sz w:val="22"/>
          <w:szCs w:val="22"/>
          <w:lang w:val="en-GB"/>
        </w:rPr>
        <w:t xml:space="preserve">evelopment </w:t>
      </w:r>
      <w:r w:rsidR="00E02D5C" w:rsidRPr="004954B0">
        <w:rPr>
          <w:rFonts w:ascii="Arial" w:hAnsi="Arial" w:cs="Arial"/>
          <w:color w:val="000000"/>
          <w:sz w:val="22"/>
          <w:szCs w:val="22"/>
          <w:lang w:val="en-GB"/>
        </w:rPr>
        <w:t>effectiveness</w:t>
      </w:r>
      <w:r w:rsidR="005956A6" w:rsidRPr="004954B0">
        <w:rPr>
          <w:rFonts w:ascii="Arial" w:hAnsi="Arial" w:cs="Arial"/>
          <w:color w:val="000000"/>
          <w:sz w:val="22"/>
          <w:szCs w:val="22"/>
          <w:lang w:val="en-GB"/>
        </w:rPr>
        <w:t xml:space="preserve"> </w:t>
      </w:r>
      <w:r w:rsidR="00E02D5C" w:rsidRPr="004954B0">
        <w:rPr>
          <w:rFonts w:ascii="Arial" w:hAnsi="Arial" w:cs="Arial"/>
          <w:color w:val="000000"/>
          <w:sz w:val="22"/>
          <w:szCs w:val="22"/>
          <w:lang w:val="en-GB"/>
        </w:rPr>
        <w:t>f</w:t>
      </w:r>
      <w:r w:rsidR="005956A6" w:rsidRPr="004954B0">
        <w:rPr>
          <w:rFonts w:ascii="Arial" w:hAnsi="Arial" w:cs="Arial"/>
          <w:color w:val="000000"/>
          <w:sz w:val="22"/>
          <w:szCs w:val="22"/>
          <w:lang w:val="en-GB"/>
        </w:rPr>
        <w:t xml:space="preserve">ramework document and </w:t>
      </w:r>
      <w:r w:rsidR="00E02D5C" w:rsidRPr="004954B0">
        <w:rPr>
          <w:rFonts w:ascii="Arial" w:hAnsi="Arial" w:cs="Arial"/>
          <w:color w:val="000000"/>
          <w:sz w:val="22"/>
          <w:szCs w:val="22"/>
          <w:lang w:val="en-GB"/>
        </w:rPr>
        <w:t>must</w:t>
      </w:r>
      <w:r w:rsidR="005956A6" w:rsidRPr="004954B0">
        <w:rPr>
          <w:rFonts w:ascii="Arial" w:hAnsi="Arial" w:cs="Arial"/>
          <w:color w:val="000000"/>
          <w:sz w:val="22"/>
          <w:szCs w:val="22"/>
          <w:lang w:val="en-GB"/>
        </w:rPr>
        <w:t xml:space="preserve"> contain the disbursement requirement compliance report</w:t>
      </w:r>
      <w:r w:rsidR="00B9411E" w:rsidRPr="004954B0">
        <w:rPr>
          <w:rFonts w:ascii="Arial" w:hAnsi="Arial" w:cs="Arial"/>
          <w:color w:val="000000"/>
          <w:sz w:val="22"/>
          <w:szCs w:val="22"/>
          <w:lang w:val="en-GB"/>
        </w:rPr>
        <w:t>.</w:t>
      </w:r>
    </w:p>
    <w:p w14:paraId="19CB5DED" w14:textId="4229E391" w:rsidR="00441FF0" w:rsidRPr="004954B0" w:rsidRDefault="004B331C" w:rsidP="00CC5663">
      <w:pPr>
        <w:spacing w:after="120"/>
        <w:jc w:val="center"/>
        <w:rPr>
          <w:rFonts w:ascii="Arial" w:hAnsi="Arial" w:cs="Arial"/>
          <w:b/>
          <w:bCs/>
          <w:sz w:val="22"/>
          <w:szCs w:val="18"/>
          <w:lang w:val="en-GB" w:eastAsia="zh-CN"/>
        </w:rPr>
      </w:pPr>
      <w:r w:rsidRPr="00567997">
        <w:rPr>
          <w:rFonts w:ascii="Arial" w:hAnsi="Arial" w:cs="Arial"/>
          <w:b/>
          <w:bCs/>
          <w:sz w:val="22"/>
          <w:szCs w:val="18"/>
          <w:lang w:val="en-GB" w:eastAsia="zh-CN"/>
        </w:rPr>
        <w:lastRenderedPageBreak/>
        <w:t>Table 1</w:t>
      </w:r>
      <w:r w:rsidR="00CC5663" w:rsidRPr="00567997">
        <w:rPr>
          <w:rFonts w:ascii="Arial" w:hAnsi="Arial" w:cs="Arial"/>
          <w:b/>
          <w:bCs/>
          <w:sz w:val="22"/>
          <w:szCs w:val="18"/>
          <w:lang w:val="en-GB" w:eastAsia="zh-CN"/>
        </w:rPr>
        <w:t>. Outputs</w:t>
      </w:r>
    </w:p>
    <w:tbl>
      <w:tblPr>
        <w:tblW w:w="14125"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4135"/>
        <w:gridCol w:w="1710"/>
        <w:gridCol w:w="1080"/>
        <w:gridCol w:w="1620"/>
        <w:gridCol w:w="1800"/>
        <w:gridCol w:w="3780"/>
      </w:tblGrid>
      <w:tr w:rsidR="00883886" w:rsidRPr="000267AA" w14:paraId="7A504E50" w14:textId="77777777" w:rsidTr="003D27A2">
        <w:trPr>
          <w:cantSplit/>
          <w:trHeight w:val="720"/>
          <w:tblHeader/>
          <w:jc w:val="center"/>
        </w:trPr>
        <w:tc>
          <w:tcPr>
            <w:tcW w:w="41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752D7B2" w14:textId="77777777" w:rsidR="00883886" w:rsidRPr="000267AA" w:rsidRDefault="00883886" w:rsidP="003D27A2">
            <w:pPr>
              <w:keepNext/>
              <w:spacing w:before="40" w:after="40"/>
              <w:ind w:left="-29" w:right="-29"/>
              <w:jc w:val="center"/>
              <w:rPr>
                <w:rFonts w:ascii="Arial" w:hAnsi="Arial" w:cs="Arial"/>
                <w:b/>
                <w:spacing w:val="-3"/>
                <w:sz w:val="18"/>
                <w:szCs w:val="18"/>
                <w:lang w:val="en-GB"/>
              </w:rPr>
            </w:pPr>
            <w:r w:rsidRPr="000267AA">
              <w:rPr>
                <w:rFonts w:ascii="Arial" w:hAnsi="Arial" w:cs="Arial"/>
                <w:b/>
                <w:spacing w:val="-3"/>
                <w:sz w:val="18"/>
                <w:szCs w:val="18"/>
                <w:lang w:val="en-GB"/>
              </w:rPr>
              <w:t>Outputs</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02973F3" w14:textId="77777777" w:rsidR="00883886" w:rsidRPr="000267AA" w:rsidRDefault="00883886" w:rsidP="003D27A2">
            <w:pPr>
              <w:keepNext/>
              <w:spacing w:before="40" w:after="40"/>
              <w:ind w:left="-29" w:right="-29"/>
              <w:jc w:val="center"/>
              <w:rPr>
                <w:rFonts w:ascii="Arial" w:hAnsi="Arial" w:cs="Arial"/>
                <w:b/>
                <w:spacing w:val="-3"/>
                <w:sz w:val="18"/>
                <w:szCs w:val="18"/>
                <w:lang w:val="en-GB"/>
              </w:rPr>
            </w:pPr>
            <w:r w:rsidRPr="000267AA">
              <w:rPr>
                <w:rFonts w:ascii="Arial" w:hAnsi="Arial" w:cs="Arial"/>
                <w:b/>
                <w:spacing w:val="-3"/>
                <w:sz w:val="18"/>
                <w:szCs w:val="18"/>
                <w:lang w:val="en-GB"/>
              </w:rPr>
              <w:t xml:space="preserve">Unit of </w:t>
            </w:r>
            <w:r>
              <w:rPr>
                <w:rFonts w:ascii="Arial" w:hAnsi="Arial" w:cs="Arial"/>
                <w:b/>
                <w:spacing w:val="-3"/>
                <w:sz w:val="18"/>
                <w:szCs w:val="18"/>
                <w:lang w:val="en-GB"/>
              </w:rPr>
              <w:t>M</w:t>
            </w:r>
            <w:r w:rsidRPr="000267AA">
              <w:rPr>
                <w:rFonts w:ascii="Arial" w:hAnsi="Arial" w:cs="Arial"/>
                <w:b/>
                <w:spacing w:val="-3"/>
                <w:sz w:val="18"/>
                <w:szCs w:val="18"/>
                <w:lang w:val="en-GB"/>
              </w:rPr>
              <w:t>easure</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151F22B" w14:textId="77777777" w:rsidR="00883886" w:rsidRPr="000267AA" w:rsidRDefault="00883886" w:rsidP="003D27A2">
            <w:pPr>
              <w:keepNext/>
              <w:spacing w:before="40" w:after="40"/>
              <w:ind w:left="-29" w:right="-29"/>
              <w:jc w:val="center"/>
              <w:rPr>
                <w:rFonts w:ascii="Arial" w:hAnsi="Arial" w:cs="Arial"/>
                <w:b/>
                <w:spacing w:val="-3"/>
                <w:sz w:val="18"/>
                <w:szCs w:val="18"/>
                <w:lang w:val="en-GB"/>
              </w:rPr>
            </w:pPr>
            <w:r w:rsidRPr="000267AA">
              <w:rPr>
                <w:rFonts w:ascii="Arial" w:hAnsi="Arial" w:cs="Arial"/>
                <w:b/>
                <w:spacing w:val="-3"/>
                <w:sz w:val="18"/>
                <w:szCs w:val="18"/>
                <w:lang w:val="en-GB"/>
              </w:rPr>
              <w:t>Baseline</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FC41AA2" w14:textId="77777777" w:rsidR="00883886" w:rsidRPr="000267AA" w:rsidRDefault="00883886" w:rsidP="003D27A2">
            <w:pPr>
              <w:keepNext/>
              <w:spacing w:before="40" w:after="40"/>
              <w:ind w:left="-29" w:right="-29"/>
              <w:jc w:val="center"/>
              <w:rPr>
                <w:rFonts w:ascii="Arial" w:hAnsi="Arial" w:cs="Arial"/>
                <w:b/>
                <w:spacing w:val="-3"/>
                <w:sz w:val="18"/>
                <w:szCs w:val="18"/>
                <w:lang w:val="en-GB"/>
              </w:rPr>
            </w:pPr>
            <w:r w:rsidRPr="000267AA">
              <w:rPr>
                <w:rFonts w:ascii="Arial" w:hAnsi="Arial" w:cs="Arial"/>
                <w:b/>
                <w:spacing w:val="-3"/>
                <w:sz w:val="18"/>
                <w:szCs w:val="18"/>
                <w:lang w:val="en-GB"/>
              </w:rPr>
              <w:t>Baseline</w:t>
            </w:r>
            <w:r>
              <w:rPr>
                <w:rFonts w:ascii="Arial" w:hAnsi="Arial" w:cs="Arial"/>
                <w:b/>
                <w:spacing w:val="-3"/>
                <w:sz w:val="18"/>
                <w:szCs w:val="18"/>
                <w:lang w:val="en-GB"/>
              </w:rPr>
              <w:t xml:space="preserve"> Y</w:t>
            </w:r>
            <w:r w:rsidRPr="000267AA">
              <w:rPr>
                <w:rFonts w:ascii="Arial" w:hAnsi="Arial" w:cs="Arial"/>
                <w:b/>
                <w:spacing w:val="-3"/>
                <w:sz w:val="18"/>
                <w:szCs w:val="18"/>
                <w:lang w:val="en-GB"/>
              </w:rPr>
              <w:t>ear</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13EAFD8" w14:textId="77777777" w:rsidR="00883886" w:rsidRPr="000267AA" w:rsidRDefault="00883886" w:rsidP="003D27A2">
            <w:pPr>
              <w:keepNext/>
              <w:spacing w:before="40" w:after="40"/>
              <w:ind w:left="-29" w:right="-29"/>
              <w:jc w:val="center"/>
              <w:rPr>
                <w:rFonts w:ascii="Arial" w:hAnsi="Arial" w:cs="Arial"/>
                <w:b/>
                <w:spacing w:val="-3"/>
                <w:sz w:val="18"/>
                <w:szCs w:val="18"/>
                <w:lang w:val="en-GB"/>
              </w:rPr>
            </w:pPr>
            <w:r w:rsidRPr="000267AA">
              <w:rPr>
                <w:rFonts w:ascii="Arial" w:hAnsi="Arial" w:cs="Arial"/>
                <w:b/>
                <w:spacing w:val="-3"/>
                <w:sz w:val="18"/>
                <w:szCs w:val="18"/>
                <w:lang w:val="en-GB"/>
              </w:rPr>
              <w:t xml:space="preserve">Final </w:t>
            </w:r>
            <w:r>
              <w:rPr>
                <w:rFonts w:ascii="Arial" w:hAnsi="Arial" w:cs="Arial"/>
                <w:b/>
                <w:spacing w:val="-3"/>
                <w:sz w:val="18"/>
                <w:szCs w:val="18"/>
                <w:lang w:val="en-GB"/>
              </w:rPr>
              <w:t>T</w:t>
            </w:r>
            <w:r w:rsidRPr="000267AA">
              <w:rPr>
                <w:rFonts w:ascii="Arial" w:hAnsi="Arial" w:cs="Arial"/>
                <w:b/>
                <w:spacing w:val="-3"/>
                <w:sz w:val="18"/>
                <w:szCs w:val="18"/>
                <w:lang w:val="en-GB"/>
              </w:rPr>
              <w:t>arget</w:t>
            </w:r>
            <w:r>
              <w:rPr>
                <w:rFonts w:ascii="Arial" w:hAnsi="Arial" w:cs="Arial"/>
                <w:b/>
                <w:spacing w:val="-3"/>
                <w:sz w:val="18"/>
                <w:szCs w:val="18"/>
                <w:lang w:val="en-GB"/>
              </w:rPr>
              <w:t xml:space="preserve"> </w:t>
            </w:r>
            <w:r w:rsidRPr="000267AA">
              <w:rPr>
                <w:rFonts w:ascii="Arial" w:hAnsi="Arial" w:cs="Arial"/>
                <w:b/>
                <w:spacing w:val="-3"/>
                <w:sz w:val="18"/>
                <w:szCs w:val="18"/>
                <w:lang w:val="en-GB"/>
              </w:rPr>
              <w:t>(2020)</w:t>
            </w:r>
          </w:p>
        </w:tc>
        <w:tc>
          <w:tcPr>
            <w:tcW w:w="37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CEC8FAA" w14:textId="77777777" w:rsidR="00883886" w:rsidRPr="000267AA" w:rsidRDefault="00883886" w:rsidP="003D27A2">
            <w:pPr>
              <w:keepNext/>
              <w:spacing w:before="40" w:after="40"/>
              <w:ind w:left="-29" w:right="-29"/>
              <w:jc w:val="center"/>
              <w:rPr>
                <w:rFonts w:ascii="Arial" w:hAnsi="Arial" w:cs="Arial"/>
                <w:b/>
                <w:spacing w:val="-3"/>
                <w:sz w:val="18"/>
                <w:szCs w:val="18"/>
                <w:lang w:val="en-GB"/>
              </w:rPr>
            </w:pPr>
            <w:r w:rsidRPr="000267AA">
              <w:rPr>
                <w:rFonts w:ascii="Arial" w:hAnsi="Arial" w:cs="Arial"/>
                <w:b/>
                <w:spacing w:val="-3"/>
                <w:sz w:val="18"/>
                <w:szCs w:val="18"/>
                <w:lang w:val="en-GB"/>
              </w:rPr>
              <w:t xml:space="preserve">Means of </w:t>
            </w:r>
            <w:r>
              <w:rPr>
                <w:rFonts w:ascii="Arial" w:hAnsi="Arial" w:cs="Arial"/>
                <w:b/>
                <w:spacing w:val="-3"/>
                <w:sz w:val="18"/>
                <w:szCs w:val="18"/>
                <w:lang w:val="en-GB"/>
              </w:rPr>
              <w:t>V</w:t>
            </w:r>
            <w:r w:rsidRPr="000267AA">
              <w:rPr>
                <w:rFonts w:ascii="Arial" w:hAnsi="Arial" w:cs="Arial"/>
                <w:b/>
                <w:spacing w:val="-3"/>
                <w:sz w:val="18"/>
                <w:szCs w:val="18"/>
                <w:lang w:val="en-GB"/>
              </w:rPr>
              <w:t>erification</w:t>
            </w:r>
          </w:p>
        </w:tc>
      </w:tr>
      <w:tr w:rsidR="00883886" w:rsidRPr="00CC71C6" w14:paraId="2C2E571B" w14:textId="77777777" w:rsidTr="003D27A2">
        <w:trPr>
          <w:cantSplit/>
          <w:trHeight w:val="64"/>
          <w:jc w:val="center"/>
        </w:trPr>
        <w:tc>
          <w:tcPr>
            <w:tcW w:w="1412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2D69B" w:themeFill="accent3" w:themeFillTint="99"/>
            <w:vAlign w:val="center"/>
            <w:hideMark/>
          </w:tcPr>
          <w:p w14:paraId="75D94B65" w14:textId="77777777" w:rsidR="00883886" w:rsidRPr="000267AA" w:rsidRDefault="00883886" w:rsidP="003D27A2">
            <w:pPr>
              <w:keepNext/>
              <w:spacing w:before="120" w:after="120"/>
              <w:rPr>
                <w:rFonts w:ascii="Arial" w:hAnsi="Arial" w:cs="Arial"/>
                <w:b/>
                <w:spacing w:val="-3"/>
                <w:sz w:val="18"/>
                <w:szCs w:val="18"/>
                <w:lang w:val="en-GB"/>
              </w:rPr>
            </w:pPr>
            <w:r w:rsidRPr="000267AA">
              <w:rPr>
                <w:rFonts w:ascii="Arial" w:hAnsi="Arial" w:cs="Arial"/>
                <w:b/>
                <w:spacing w:val="-3"/>
                <w:sz w:val="18"/>
                <w:szCs w:val="18"/>
                <w:lang w:val="en-GB"/>
              </w:rPr>
              <w:t>Component 2: Strengthening public policy and fiscal management to respond to the health crisis caused by COVID</w:t>
            </w:r>
            <w:r w:rsidRPr="000267AA">
              <w:rPr>
                <w:rFonts w:ascii="Arial" w:hAnsi="Arial" w:cs="Arial"/>
                <w:b/>
                <w:spacing w:val="-3"/>
                <w:sz w:val="18"/>
                <w:szCs w:val="18"/>
                <w:lang w:val="en-GB"/>
              </w:rPr>
              <w:noBreakHyphen/>
              <w:t>19</w:t>
            </w:r>
          </w:p>
        </w:tc>
      </w:tr>
      <w:tr w:rsidR="00883886" w:rsidRPr="00CC71C6" w14:paraId="2BB75B6C" w14:textId="77777777" w:rsidTr="003D27A2">
        <w:trPr>
          <w:cantSplit/>
          <w:trHeight w:val="64"/>
          <w:jc w:val="center"/>
        </w:trPr>
        <w:tc>
          <w:tcPr>
            <w:tcW w:w="41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8D07291" w14:textId="77777777" w:rsidR="00883886" w:rsidRPr="000267AA" w:rsidRDefault="00883886" w:rsidP="003D27A2">
            <w:pPr>
              <w:pStyle w:val="ListParagraph"/>
              <w:spacing w:before="40" w:after="40"/>
              <w:ind w:left="0"/>
              <w:contextualSpacing w:val="0"/>
              <w:rPr>
                <w:rFonts w:ascii="Arial" w:hAnsi="Arial" w:cs="Arial"/>
                <w:spacing w:val="-3"/>
                <w:sz w:val="18"/>
                <w:szCs w:val="18"/>
                <w:lang w:val="en-GB"/>
              </w:rPr>
            </w:pPr>
            <w:r w:rsidRPr="000267AA">
              <w:rPr>
                <w:rFonts w:ascii="Arial" w:hAnsi="Arial" w:cs="Arial"/>
                <w:spacing w:val="-3"/>
                <w:sz w:val="18"/>
                <w:szCs w:val="18"/>
                <w:lang w:val="en-GB"/>
              </w:rPr>
              <w:t xml:space="preserve">Supplementary allocation for health sector approved </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C7CA4A" w14:textId="77777777" w:rsidR="00883886" w:rsidRPr="000267AA" w:rsidRDefault="00883886" w:rsidP="003D27A2">
            <w:pPr>
              <w:spacing w:before="40" w:after="40"/>
              <w:jc w:val="center"/>
              <w:rPr>
                <w:rFonts w:ascii="Arial" w:hAnsi="Arial" w:cs="Arial"/>
                <w:spacing w:val="-3"/>
                <w:sz w:val="18"/>
                <w:szCs w:val="18"/>
                <w:lang w:val="en-GB"/>
              </w:rPr>
            </w:pPr>
            <w:r w:rsidRPr="000267AA">
              <w:rPr>
                <w:rFonts w:ascii="Arial" w:hAnsi="Arial" w:cs="Arial"/>
                <w:spacing w:val="-3"/>
                <w:sz w:val="18"/>
                <w:szCs w:val="18"/>
                <w:lang w:val="en-GB"/>
              </w:rPr>
              <w:t>Cabinet Approval</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A859C3" w14:textId="77777777" w:rsidR="00883886" w:rsidRPr="000267AA" w:rsidRDefault="00883886" w:rsidP="003D27A2">
            <w:pPr>
              <w:spacing w:before="40" w:after="40"/>
              <w:jc w:val="center"/>
              <w:rPr>
                <w:rFonts w:ascii="Arial" w:hAnsi="Arial" w:cs="Arial"/>
                <w:spacing w:val="-3"/>
                <w:sz w:val="18"/>
                <w:szCs w:val="18"/>
                <w:lang w:val="en-GB"/>
              </w:rPr>
            </w:pPr>
            <w:r w:rsidRPr="000267AA">
              <w:rPr>
                <w:rFonts w:ascii="Arial" w:hAnsi="Arial" w:cs="Arial"/>
                <w:spacing w:val="-3"/>
                <w:sz w:val="18"/>
                <w:szCs w:val="18"/>
                <w:lang w:val="en-GB"/>
              </w:rPr>
              <w:t>0</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8888B9" w14:textId="77777777" w:rsidR="00883886" w:rsidRPr="000267AA" w:rsidRDefault="00883886" w:rsidP="003D27A2">
            <w:pPr>
              <w:spacing w:before="40" w:after="40"/>
              <w:jc w:val="center"/>
              <w:rPr>
                <w:rFonts w:ascii="Arial" w:hAnsi="Arial" w:cs="Arial"/>
                <w:spacing w:val="-3"/>
                <w:sz w:val="18"/>
                <w:szCs w:val="18"/>
                <w:lang w:val="en-GB"/>
              </w:rPr>
            </w:pPr>
            <w:r w:rsidRPr="000267AA">
              <w:rPr>
                <w:rFonts w:ascii="Arial" w:hAnsi="Arial" w:cs="Arial"/>
                <w:spacing w:val="-3"/>
                <w:sz w:val="18"/>
                <w:szCs w:val="18"/>
                <w:lang w:val="en-GB"/>
              </w:rPr>
              <w:t>2019</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F1F6D9" w14:textId="77777777" w:rsidR="00883886" w:rsidRPr="000267AA" w:rsidRDefault="00883886" w:rsidP="003D27A2">
            <w:pPr>
              <w:spacing w:before="40" w:after="40"/>
              <w:jc w:val="center"/>
              <w:rPr>
                <w:rFonts w:ascii="Arial" w:hAnsi="Arial" w:cs="Arial"/>
                <w:spacing w:val="-3"/>
                <w:sz w:val="18"/>
                <w:szCs w:val="18"/>
                <w:lang w:val="en-GB"/>
              </w:rPr>
            </w:pPr>
            <w:r w:rsidRPr="000267AA">
              <w:rPr>
                <w:rFonts w:ascii="Arial" w:hAnsi="Arial" w:cs="Arial"/>
                <w:spacing w:val="-3"/>
                <w:sz w:val="18"/>
                <w:szCs w:val="18"/>
                <w:lang w:val="en-GB"/>
              </w:rPr>
              <w:t>1</w:t>
            </w:r>
          </w:p>
        </w:tc>
        <w:tc>
          <w:tcPr>
            <w:tcW w:w="37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097D447" w14:textId="77777777" w:rsidR="00883886" w:rsidRPr="000267AA" w:rsidRDefault="00883886" w:rsidP="003D27A2">
            <w:pPr>
              <w:spacing w:before="40" w:after="40"/>
              <w:rPr>
                <w:rFonts w:ascii="Arial" w:hAnsi="Arial" w:cs="Arial"/>
                <w:spacing w:val="-3"/>
                <w:sz w:val="18"/>
                <w:szCs w:val="18"/>
                <w:highlight w:val="yellow"/>
                <w:lang w:val="en-GB"/>
              </w:rPr>
            </w:pPr>
            <w:r w:rsidRPr="000267AA">
              <w:rPr>
                <w:rFonts w:ascii="Arial" w:hAnsi="Arial" w:cs="Arial"/>
                <w:spacing w:val="-3"/>
                <w:sz w:val="18"/>
                <w:szCs w:val="18"/>
                <w:lang w:val="en-GB"/>
              </w:rPr>
              <w:t>Official letter from the MFEI documenting the approval of the government supplementary to expand health sector spending.</w:t>
            </w:r>
          </w:p>
        </w:tc>
      </w:tr>
      <w:tr w:rsidR="00883886" w:rsidRPr="00CC71C6" w14:paraId="5534FAD4" w14:textId="77777777" w:rsidTr="003D27A2">
        <w:trPr>
          <w:cantSplit/>
          <w:trHeight w:val="64"/>
          <w:jc w:val="center"/>
        </w:trPr>
        <w:tc>
          <w:tcPr>
            <w:tcW w:w="1412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2D69B" w:themeFill="accent3" w:themeFillTint="99"/>
            <w:vAlign w:val="center"/>
            <w:hideMark/>
          </w:tcPr>
          <w:p w14:paraId="343AF77B" w14:textId="77777777" w:rsidR="00883886" w:rsidRPr="000267AA" w:rsidRDefault="00883886" w:rsidP="003D27A2">
            <w:pPr>
              <w:keepNext/>
              <w:spacing w:before="120" w:after="120"/>
              <w:rPr>
                <w:rFonts w:ascii="Arial" w:hAnsi="Arial" w:cs="Arial"/>
                <w:b/>
                <w:spacing w:val="-3"/>
                <w:sz w:val="18"/>
                <w:szCs w:val="18"/>
                <w:lang w:val="en-GB"/>
              </w:rPr>
            </w:pPr>
            <w:r w:rsidRPr="000267AA">
              <w:rPr>
                <w:rFonts w:ascii="Arial" w:hAnsi="Arial" w:cs="Arial"/>
                <w:b/>
                <w:spacing w:val="-3"/>
                <w:sz w:val="18"/>
                <w:szCs w:val="18"/>
                <w:lang w:val="en-GB"/>
              </w:rPr>
              <w:t>Component 3: Strengthening public policy and fiscal management to respond to the economic crisis</w:t>
            </w:r>
          </w:p>
        </w:tc>
      </w:tr>
      <w:tr w:rsidR="00883886" w:rsidRPr="00CC71C6" w14:paraId="6FE64DAF" w14:textId="77777777" w:rsidTr="003D27A2">
        <w:trPr>
          <w:cantSplit/>
          <w:trHeight w:val="64"/>
          <w:jc w:val="center"/>
        </w:trPr>
        <w:tc>
          <w:tcPr>
            <w:tcW w:w="41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C878C5A" w14:textId="77777777" w:rsidR="00883886" w:rsidRPr="000267AA" w:rsidRDefault="00883886" w:rsidP="003D27A2">
            <w:pPr>
              <w:pStyle w:val="ListParagraph"/>
              <w:spacing w:before="40" w:after="40"/>
              <w:ind w:left="0"/>
              <w:contextualSpacing w:val="0"/>
              <w:rPr>
                <w:rFonts w:ascii="Arial" w:hAnsi="Arial" w:cs="Arial"/>
                <w:spacing w:val="-3"/>
                <w:sz w:val="18"/>
                <w:szCs w:val="18"/>
                <w:lang w:val="en-GB"/>
              </w:rPr>
            </w:pPr>
            <w:r w:rsidRPr="000267AA">
              <w:rPr>
                <w:rFonts w:ascii="Arial" w:hAnsi="Arial" w:cs="Arial"/>
                <w:color w:val="000000"/>
                <w:spacing w:val="-3"/>
                <w:sz w:val="18"/>
                <w:szCs w:val="18"/>
                <w:lang w:val="en-GB"/>
              </w:rPr>
              <w:t xml:space="preserve">The creation and funding of the Household Survival </w:t>
            </w:r>
            <w:r>
              <w:rPr>
                <w:rFonts w:ascii="Arial" w:hAnsi="Arial" w:cs="Arial"/>
                <w:color w:val="000000"/>
                <w:spacing w:val="-3"/>
                <w:sz w:val="18"/>
                <w:szCs w:val="18"/>
                <w:lang w:val="en-GB"/>
              </w:rPr>
              <w:t>programme</w:t>
            </w:r>
            <w:r w:rsidRPr="000267AA">
              <w:rPr>
                <w:rFonts w:ascii="Arial" w:hAnsi="Arial" w:cs="Arial"/>
                <w:color w:val="000000"/>
                <w:spacing w:val="-3"/>
                <w:sz w:val="18"/>
                <w:szCs w:val="18"/>
                <w:lang w:val="en-GB"/>
              </w:rPr>
              <w:t>.</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72043C5" w14:textId="77777777" w:rsidR="00883886" w:rsidRPr="000267AA" w:rsidRDefault="00883886" w:rsidP="003D27A2">
            <w:pPr>
              <w:spacing w:before="40" w:after="40"/>
              <w:jc w:val="center"/>
              <w:rPr>
                <w:rFonts w:ascii="Arial" w:hAnsi="Arial" w:cs="Arial"/>
                <w:spacing w:val="-3"/>
                <w:sz w:val="18"/>
                <w:szCs w:val="18"/>
                <w:highlight w:val="yellow"/>
                <w:lang w:val="en-GB"/>
              </w:rPr>
            </w:pPr>
            <w:r w:rsidRPr="000267AA">
              <w:rPr>
                <w:rFonts w:ascii="Arial" w:hAnsi="Arial" w:cs="Arial"/>
                <w:spacing w:val="-3"/>
                <w:sz w:val="18"/>
                <w:szCs w:val="18"/>
                <w:lang w:val="en-GB"/>
              </w:rPr>
              <w:t>Ministerial Approval</w:t>
            </w:r>
            <w:r w:rsidRPr="000267AA" w:rsidDel="00C81051">
              <w:rPr>
                <w:rFonts w:ascii="Arial" w:hAnsi="Arial" w:cs="Arial"/>
                <w:spacing w:val="-3"/>
                <w:sz w:val="18"/>
                <w:szCs w:val="18"/>
                <w:lang w:val="en-GB"/>
              </w:rPr>
              <w:t xml:space="preserve"> </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D4A5C6" w14:textId="77777777" w:rsidR="00883886" w:rsidRPr="000267AA" w:rsidRDefault="00883886" w:rsidP="003D27A2">
            <w:pPr>
              <w:spacing w:before="40" w:after="40"/>
              <w:jc w:val="center"/>
              <w:rPr>
                <w:rFonts w:ascii="Arial" w:hAnsi="Arial" w:cs="Arial"/>
                <w:spacing w:val="-3"/>
                <w:sz w:val="18"/>
                <w:szCs w:val="18"/>
                <w:lang w:val="en-GB"/>
              </w:rPr>
            </w:pPr>
            <w:r w:rsidRPr="000267AA">
              <w:rPr>
                <w:rFonts w:ascii="Arial" w:hAnsi="Arial" w:cs="Arial"/>
                <w:spacing w:val="-3"/>
                <w:sz w:val="18"/>
                <w:szCs w:val="18"/>
                <w:lang w:val="en-GB"/>
              </w:rPr>
              <w:t>0</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E8622A" w14:textId="77777777" w:rsidR="00883886" w:rsidRPr="000267AA" w:rsidRDefault="00883886" w:rsidP="003D27A2">
            <w:pPr>
              <w:spacing w:before="40" w:after="40"/>
              <w:jc w:val="center"/>
              <w:rPr>
                <w:rFonts w:ascii="Arial" w:hAnsi="Arial" w:cs="Arial"/>
                <w:spacing w:val="-3"/>
                <w:sz w:val="18"/>
                <w:szCs w:val="18"/>
                <w:lang w:val="en-GB"/>
              </w:rPr>
            </w:pPr>
            <w:r w:rsidRPr="000267AA">
              <w:rPr>
                <w:rFonts w:ascii="Arial" w:hAnsi="Arial" w:cs="Arial"/>
                <w:spacing w:val="-3"/>
                <w:sz w:val="18"/>
                <w:szCs w:val="18"/>
                <w:lang w:val="en-GB"/>
              </w:rPr>
              <w:t>2019</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0AB8CE" w14:textId="77777777" w:rsidR="00883886" w:rsidRPr="000267AA" w:rsidRDefault="00883886" w:rsidP="003D27A2">
            <w:pPr>
              <w:spacing w:before="40" w:after="40"/>
              <w:jc w:val="center"/>
              <w:rPr>
                <w:rFonts w:ascii="Arial" w:hAnsi="Arial" w:cs="Arial"/>
                <w:spacing w:val="-3"/>
                <w:sz w:val="18"/>
                <w:szCs w:val="18"/>
                <w:lang w:val="en-GB"/>
              </w:rPr>
            </w:pPr>
            <w:r w:rsidRPr="000267AA">
              <w:rPr>
                <w:rFonts w:ascii="Arial" w:hAnsi="Arial" w:cs="Arial"/>
                <w:spacing w:val="-3"/>
                <w:sz w:val="18"/>
                <w:szCs w:val="18"/>
                <w:lang w:val="en-GB"/>
              </w:rPr>
              <w:t>1</w:t>
            </w:r>
          </w:p>
        </w:tc>
        <w:tc>
          <w:tcPr>
            <w:tcW w:w="37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607E9D" w14:textId="77777777" w:rsidR="00883886" w:rsidRPr="000267AA" w:rsidRDefault="00883886" w:rsidP="003D27A2">
            <w:pPr>
              <w:spacing w:before="40" w:after="40"/>
              <w:rPr>
                <w:rFonts w:ascii="Arial" w:hAnsi="Arial" w:cs="Arial"/>
                <w:spacing w:val="-3"/>
                <w:sz w:val="18"/>
                <w:szCs w:val="18"/>
                <w:lang w:val="en-GB"/>
              </w:rPr>
            </w:pPr>
            <w:r w:rsidRPr="000267AA">
              <w:rPr>
                <w:rFonts w:ascii="Arial" w:hAnsi="Arial" w:cs="Arial"/>
                <w:spacing w:val="-3"/>
                <w:sz w:val="18"/>
                <w:szCs w:val="18"/>
                <w:lang w:val="en-GB"/>
              </w:rPr>
              <w:t>Official letter from the MFEI /PMO documenting the approval of the corresponding government policy.</w:t>
            </w:r>
          </w:p>
        </w:tc>
      </w:tr>
      <w:tr w:rsidR="00883886" w:rsidRPr="00CC71C6" w14:paraId="09A43E62" w14:textId="77777777" w:rsidTr="003D27A2">
        <w:trPr>
          <w:cantSplit/>
          <w:trHeight w:val="242"/>
          <w:jc w:val="center"/>
        </w:trPr>
        <w:tc>
          <w:tcPr>
            <w:tcW w:w="41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13F2E21" w14:textId="77777777" w:rsidR="00883886" w:rsidRPr="000267AA" w:rsidRDefault="00883886" w:rsidP="003D27A2">
            <w:pPr>
              <w:pStyle w:val="ListParagraph"/>
              <w:spacing w:before="40" w:after="40"/>
              <w:ind w:left="0"/>
              <w:contextualSpacing w:val="0"/>
              <w:rPr>
                <w:rFonts w:ascii="Arial" w:hAnsi="Arial" w:cs="Arial"/>
                <w:spacing w:val="-3"/>
                <w:sz w:val="18"/>
                <w:szCs w:val="18"/>
                <w:lang w:val="en-GB"/>
              </w:rPr>
            </w:pPr>
            <w:r w:rsidRPr="000267AA">
              <w:rPr>
                <w:rFonts w:ascii="Arial" w:hAnsi="Arial" w:cs="Arial"/>
                <w:color w:val="000000"/>
                <w:spacing w:val="-3"/>
                <w:sz w:val="18"/>
                <w:szCs w:val="18"/>
                <w:lang w:val="en-GB"/>
              </w:rPr>
              <w:t>The creation and funding of the “Adopt our Families” program</w:t>
            </w:r>
            <w:r>
              <w:rPr>
                <w:rFonts w:ascii="Arial" w:hAnsi="Arial" w:cs="Arial"/>
                <w:color w:val="000000"/>
                <w:spacing w:val="-3"/>
                <w:sz w:val="18"/>
                <w:szCs w:val="18"/>
                <w:lang w:val="en-GB"/>
              </w:rPr>
              <w:t>me</w:t>
            </w:r>
            <w:r w:rsidRPr="000267AA">
              <w:rPr>
                <w:rFonts w:ascii="Arial" w:hAnsi="Arial" w:cs="Arial"/>
                <w:color w:val="000000"/>
                <w:spacing w:val="-3"/>
                <w:sz w:val="18"/>
                <w:szCs w:val="18"/>
                <w:lang w:val="en-GB"/>
              </w:rPr>
              <w:t>.</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D9960F" w14:textId="77777777" w:rsidR="00883886" w:rsidRPr="000267AA" w:rsidRDefault="00883886" w:rsidP="003D27A2">
            <w:pPr>
              <w:spacing w:before="40" w:after="40"/>
              <w:jc w:val="center"/>
              <w:rPr>
                <w:rFonts w:ascii="Arial" w:hAnsi="Arial" w:cs="Arial"/>
                <w:spacing w:val="-3"/>
                <w:sz w:val="18"/>
                <w:szCs w:val="18"/>
                <w:highlight w:val="yellow"/>
                <w:lang w:val="en-GB"/>
              </w:rPr>
            </w:pPr>
            <w:r w:rsidRPr="000267AA">
              <w:rPr>
                <w:rFonts w:ascii="Arial" w:hAnsi="Arial" w:cs="Arial"/>
                <w:spacing w:val="-3"/>
                <w:sz w:val="18"/>
                <w:szCs w:val="18"/>
                <w:lang w:val="en-GB"/>
              </w:rPr>
              <w:t xml:space="preserve">Ministerial Approval </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5E90D7" w14:textId="77777777" w:rsidR="00883886" w:rsidRPr="000267AA" w:rsidRDefault="00883886" w:rsidP="003D27A2">
            <w:pPr>
              <w:spacing w:before="40" w:after="40"/>
              <w:jc w:val="center"/>
              <w:rPr>
                <w:rFonts w:ascii="Arial" w:hAnsi="Arial" w:cs="Arial"/>
                <w:spacing w:val="-3"/>
                <w:sz w:val="18"/>
                <w:szCs w:val="18"/>
                <w:lang w:val="en-GB"/>
              </w:rPr>
            </w:pPr>
            <w:r w:rsidRPr="000267AA">
              <w:rPr>
                <w:rFonts w:ascii="Arial" w:hAnsi="Arial" w:cs="Arial"/>
                <w:spacing w:val="-3"/>
                <w:sz w:val="18"/>
                <w:szCs w:val="18"/>
                <w:lang w:val="en-GB"/>
              </w:rPr>
              <w:t>0</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E78EAD" w14:textId="77777777" w:rsidR="00883886" w:rsidRPr="000267AA" w:rsidRDefault="00883886" w:rsidP="003D27A2">
            <w:pPr>
              <w:spacing w:before="40" w:after="40"/>
              <w:jc w:val="center"/>
              <w:rPr>
                <w:rFonts w:ascii="Arial" w:hAnsi="Arial" w:cs="Arial"/>
                <w:spacing w:val="-3"/>
                <w:sz w:val="18"/>
                <w:szCs w:val="18"/>
                <w:lang w:val="en-GB"/>
              </w:rPr>
            </w:pPr>
            <w:r w:rsidRPr="000267AA">
              <w:rPr>
                <w:rFonts w:ascii="Arial" w:hAnsi="Arial" w:cs="Arial"/>
                <w:spacing w:val="-3"/>
                <w:sz w:val="18"/>
                <w:szCs w:val="18"/>
                <w:lang w:val="en-GB"/>
              </w:rPr>
              <w:t>2019</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596561" w14:textId="77777777" w:rsidR="00883886" w:rsidRPr="000267AA" w:rsidRDefault="00883886" w:rsidP="003D27A2">
            <w:pPr>
              <w:spacing w:before="40" w:after="40"/>
              <w:jc w:val="center"/>
              <w:rPr>
                <w:rFonts w:ascii="Arial" w:hAnsi="Arial" w:cs="Arial"/>
                <w:spacing w:val="-3"/>
                <w:sz w:val="18"/>
                <w:szCs w:val="18"/>
                <w:lang w:val="en-GB"/>
              </w:rPr>
            </w:pPr>
            <w:r w:rsidRPr="000267AA">
              <w:rPr>
                <w:rFonts w:ascii="Arial" w:hAnsi="Arial" w:cs="Arial"/>
                <w:spacing w:val="-3"/>
                <w:sz w:val="18"/>
                <w:szCs w:val="18"/>
                <w:lang w:val="en-GB"/>
              </w:rPr>
              <w:t>1</w:t>
            </w:r>
          </w:p>
        </w:tc>
        <w:tc>
          <w:tcPr>
            <w:tcW w:w="37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930E9C" w14:textId="77777777" w:rsidR="00883886" w:rsidRPr="000267AA" w:rsidRDefault="00883886" w:rsidP="003D27A2">
            <w:pPr>
              <w:spacing w:before="40" w:after="40"/>
              <w:rPr>
                <w:rFonts w:ascii="Arial" w:hAnsi="Arial" w:cs="Arial"/>
                <w:spacing w:val="-3"/>
                <w:sz w:val="18"/>
                <w:szCs w:val="18"/>
                <w:lang w:val="en-GB"/>
              </w:rPr>
            </w:pPr>
            <w:r w:rsidRPr="000267AA">
              <w:rPr>
                <w:rFonts w:ascii="Arial" w:hAnsi="Arial" w:cs="Arial"/>
                <w:spacing w:val="-3"/>
                <w:sz w:val="18"/>
                <w:szCs w:val="18"/>
                <w:lang w:val="en-GB"/>
              </w:rPr>
              <w:t>Official letter from the MFEI/PMO documenting the approval of the corresponding government policy.</w:t>
            </w:r>
          </w:p>
        </w:tc>
      </w:tr>
      <w:tr w:rsidR="00883886" w:rsidRPr="00CC71C6" w14:paraId="27957514" w14:textId="77777777" w:rsidTr="003D27A2">
        <w:trPr>
          <w:cantSplit/>
          <w:trHeight w:val="242"/>
          <w:jc w:val="center"/>
        </w:trPr>
        <w:tc>
          <w:tcPr>
            <w:tcW w:w="41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F9E28E" w14:textId="77777777" w:rsidR="00883886" w:rsidRPr="000267AA" w:rsidRDefault="00883886" w:rsidP="003D27A2">
            <w:pPr>
              <w:pStyle w:val="ListParagraph"/>
              <w:spacing w:before="40" w:after="40"/>
              <w:ind w:left="0"/>
              <w:contextualSpacing w:val="0"/>
              <w:rPr>
                <w:rFonts w:ascii="Arial" w:hAnsi="Arial" w:cs="Arial"/>
                <w:spacing w:val="-3"/>
                <w:sz w:val="18"/>
                <w:szCs w:val="18"/>
                <w:lang w:val="en-GB"/>
              </w:rPr>
            </w:pPr>
            <w:r w:rsidRPr="000267AA">
              <w:rPr>
                <w:rFonts w:ascii="Arial" w:hAnsi="Arial" w:cs="Arial"/>
                <w:color w:val="000000"/>
                <w:spacing w:val="-3"/>
                <w:sz w:val="18"/>
                <w:szCs w:val="18"/>
                <w:lang w:val="en-GB"/>
              </w:rPr>
              <w:t>A creative art stimulus package to support artists and athletes during the pandemic.</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9756131" w14:textId="77777777" w:rsidR="00883886" w:rsidRPr="000267AA" w:rsidRDefault="00883886" w:rsidP="003D27A2">
            <w:pPr>
              <w:spacing w:before="40" w:after="40"/>
              <w:jc w:val="center"/>
              <w:rPr>
                <w:rFonts w:ascii="Arial" w:hAnsi="Arial" w:cs="Arial"/>
                <w:spacing w:val="-3"/>
                <w:sz w:val="18"/>
                <w:szCs w:val="18"/>
                <w:highlight w:val="yellow"/>
                <w:lang w:val="en-GB"/>
              </w:rPr>
            </w:pPr>
            <w:r w:rsidRPr="000267AA">
              <w:rPr>
                <w:rFonts w:ascii="Arial" w:hAnsi="Arial" w:cs="Arial"/>
                <w:spacing w:val="-3"/>
                <w:sz w:val="18"/>
                <w:szCs w:val="18"/>
                <w:lang w:val="en-GB"/>
              </w:rPr>
              <w:t>Ministerial Approval</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1E552A" w14:textId="77777777" w:rsidR="00883886" w:rsidRPr="000267AA" w:rsidRDefault="00883886" w:rsidP="003D27A2">
            <w:pPr>
              <w:spacing w:before="40" w:after="40"/>
              <w:jc w:val="center"/>
              <w:rPr>
                <w:rFonts w:ascii="Arial" w:hAnsi="Arial" w:cs="Arial"/>
                <w:spacing w:val="-3"/>
                <w:sz w:val="18"/>
                <w:szCs w:val="18"/>
                <w:lang w:val="en-GB"/>
              </w:rPr>
            </w:pPr>
            <w:r w:rsidRPr="000267AA">
              <w:rPr>
                <w:rFonts w:ascii="Arial" w:hAnsi="Arial" w:cs="Arial"/>
                <w:spacing w:val="-3"/>
                <w:sz w:val="18"/>
                <w:szCs w:val="18"/>
                <w:lang w:val="en-GB"/>
              </w:rPr>
              <w:t>0</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1B60738" w14:textId="77777777" w:rsidR="00883886" w:rsidRPr="000267AA" w:rsidRDefault="00883886" w:rsidP="003D27A2">
            <w:pPr>
              <w:spacing w:before="40" w:after="40"/>
              <w:jc w:val="center"/>
              <w:rPr>
                <w:rFonts w:ascii="Arial" w:hAnsi="Arial" w:cs="Arial"/>
                <w:spacing w:val="-3"/>
                <w:sz w:val="18"/>
                <w:szCs w:val="18"/>
                <w:lang w:val="en-GB"/>
              </w:rPr>
            </w:pPr>
            <w:r w:rsidRPr="000267AA">
              <w:rPr>
                <w:rFonts w:ascii="Arial" w:hAnsi="Arial" w:cs="Arial"/>
                <w:spacing w:val="-3"/>
                <w:sz w:val="18"/>
                <w:szCs w:val="18"/>
                <w:lang w:val="en-GB"/>
              </w:rPr>
              <w:t>2019</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F3FDCD0" w14:textId="77777777" w:rsidR="00883886" w:rsidRPr="000267AA" w:rsidRDefault="00883886" w:rsidP="003D27A2">
            <w:pPr>
              <w:spacing w:before="40" w:after="40"/>
              <w:jc w:val="center"/>
              <w:rPr>
                <w:rFonts w:ascii="Arial" w:hAnsi="Arial" w:cs="Arial"/>
                <w:spacing w:val="-3"/>
                <w:sz w:val="18"/>
                <w:szCs w:val="18"/>
                <w:lang w:val="en-GB"/>
              </w:rPr>
            </w:pPr>
            <w:r w:rsidRPr="000267AA">
              <w:rPr>
                <w:rFonts w:ascii="Arial" w:hAnsi="Arial" w:cs="Arial"/>
                <w:spacing w:val="-3"/>
                <w:sz w:val="18"/>
                <w:szCs w:val="18"/>
                <w:lang w:val="en-GB"/>
              </w:rPr>
              <w:t>1</w:t>
            </w:r>
          </w:p>
        </w:tc>
        <w:tc>
          <w:tcPr>
            <w:tcW w:w="37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06FFF1" w14:textId="77777777" w:rsidR="00883886" w:rsidRPr="000267AA" w:rsidRDefault="00883886" w:rsidP="003D27A2">
            <w:pPr>
              <w:spacing w:before="40" w:after="40"/>
              <w:rPr>
                <w:rFonts w:ascii="Arial" w:hAnsi="Arial" w:cs="Arial"/>
                <w:color w:val="000000"/>
                <w:spacing w:val="-3"/>
                <w:sz w:val="18"/>
                <w:szCs w:val="18"/>
                <w:lang w:val="en-GB"/>
              </w:rPr>
            </w:pPr>
            <w:r w:rsidRPr="000267AA">
              <w:rPr>
                <w:rFonts w:ascii="Arial" w:hAnsi="Arial" w:cs="Arial"/>
                <w:spacing w:val="-3"/>
                <w:sz w:val="18"/>
                <w:szCs w:val="18"/>
                <w:lang w:val="en-GB"/>
              </w:rPr>
              <w:t>Official letter from the MFEI documenting the approval of the corresponding government policy.</w:t>
            </w:r>
          </w:p>
        </w:tc>
      </w:tr>
      <w:tr w:rsidR="00883886" w:rsidRPr="00CC71C6" w14:paraId="6E0FF7E0" w14:textId="77777777" w:rsidTr="003D27A2">
        <w:trPr>
          <w:cantSplit/>
          <w:trHeight w:val="242"/>
          <w:jc w:val="center"/>
        </w:trPr>
        <w:tc>
          <w:tcPr>
            <w:tcW w:w="41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B94068" w14:textId="77777777" w:rsidR="00883886" w:rsidRPr="000267AA" w:rsidRDefault="00883886" w:rsidP="003D27A2">
            <w:pPr>
              <w:pStyle w:val="ListParagraph"/>
              <w:spacing w:before="40" w:after="40"/>
              <w:ind w:left="0"/>
              <w:contextualSpacing w:val="0"/>
              <w:rPr>
                <w:rFonts w:ascii="Arial" w:hAnsi="Arial" w:cs="Arial"/>
                <w:spacing w:val="-3"/>
                <w:sz w:val="18"/>
                <w:szCs w:val="18"/>
                <w:lang w:val="en-GB"/>
              </w:rPr>
            </w:pPr>
            <w:r w:rsidRPr="000267AA">
              <w:rPr>
                <w:rFonts w:ascii="Arial" w:hAnsi="Arial" w:cs="Arial"/>
                <w:color w:val="000000"/>
                <w:spacing w:val="-3"/>
                <w:sz w:val="18"/>
                <w:szCs w:val="18"/>
                <w:lang w:val="en-GB"/>
              </w:rPr>
              <w:t xml:space="preserve">The creation and funding of the “Home Ownership Providing Energy” (HOPE)” programme.  </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E8A979" w14:textId="77777777" w:rsidR="00883886" w:rsidRPr="000267AA" w:rsidRDefault="00883886" w:rsidP="003D27A2">
            <w:pPr>
              <w:spacing w:before="40" w:after="40"/>
              <w:jc w:val="center"/>
              <w:rPr>
                <w:rFonts w:ascii="Arial" w:hAnsi="Arial" w:cs="Arial"/>
                <w:spacing w:val="-3"/>
                <w:sz w:val="18"/>
                <w:szCs w:val="18"/>
                <w:highlight w:val="yellow"/>
                <w:lang w:val="en-GB"/>
              </w:rPr>
            </w:pPr>
            <w:r w:rsidRPr="000267AA">
              <w:rPr>
                <w:rFonts w:ascii="Arial" w:hAnsi="Arial" w:cs="Arial"/>
                <w:spacing w:val="-3"/>
                <w:sz w:val="18"/>
                <w:szCs w:val="18"/>
                <w:lang w:val="en-GB"/>
              </w:rPr>
              <w:t xml:space="preserve">Cabinet Approval </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BA830B" w14:textId="77777777" w:rsidR="00883886" w:rsidRPr="000267AA" w:rsidRDefault="00883886" w:rsidP="003D27A2">
            <w:pPr>
              <w:spacing w:before="40" w:after="40"/>
              <w:jc w:val="center"/>
              <w:rPr>
                <w:rFonts w:ascii="Arial" w:hAnsi="Arial" w:cs="Arial"/>
                <w:spacing w:val="-3"/>
                <w:sz w:val="18"/>
                <w:szCs w:val="18"/>
                <w:lang w:val="en-GB"/>
              </w:rPr>
            </w:pPr>
            <w:r w:rsidRPr="000267AA">
              <w:rPr>
                <w:rFonts w:ascii="Arial" w:hAnsi="Arial" w:cs="Arial"/>
                <w:spacing w:val="-3"/>
                <w:sz w:val="18"/>
                <w:szCs w:val="18"/>
                <w:lang w:val="en-GB"/>
              </w:rPr>
              <w:t>0</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241E8AF" w14:textId="77777777" w:rsidR="00883886" w:rsidRPr="000267AA" w:rsidRDefault="00883886" w:rsidP="003D27A2">
            <w:pPr>
              <w:spacing w:before="40" w:after="40"/>
              <w:jc w:val="center"/>
              <w:rPr>
                <w:rFonts w:ascii="Arial" w:hAnsi="Arial" w:cs="Arial"/>
                <w:spacing w:val="-3"/>
                <w:sz w:val="18"/>
                <w:szCs w:val="18"/>
                <w:lang w:val="en-GB"/>
              </w:rPr>
            </w:pPr>
            <w:r w:rsidRPr="000267AA">
              <w:rPr>
                <w:rFonts w:ascii="Arial" w:hAnsi="Arial" w:cs="Arial"/>
                <w:spacing w:val="-3"/>
                <w:sz w:val="18"/>
                <w:szCs w:val="18"/>
                <w:lang w:val="en-GB"/>
              </w:rPr>
              <w:t>2019</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883114" w14:textId="77777777" w:rsidR="00883886" w:rsidRPr="000267AA" w:rsidRDefault="00883886" w:rsidP="003D27A2">
            <w:pPr>
              <w:spacing w:before="40" w:after="40"/>
              <w:jc w:val="center"/>
              <w:rPr>
                <w:rFonts w:ascii="Arial" w:hAnsi="Arial" w:cs="Arial"/>
                <w:spacing w:val="-3"/>
                <w:sz w:val="18"/>
                <w:szCs w:val="18"/>
                <w:lang w:val="en-GB"/>
              </w:rPr>
            </w:pPr>
            <w:r w:rsidRPr="000267AA">
              <w:rPr>
                <w:rFonts w:ascii="Arial" w:hAnsi="Arial" w:cs="Arial"/>
                <w:spacing w:val="-3"/>
                <w:sz w:val="18"/>
                <w:szCs w:val="18"/>
                <w:lang w:val="en-GB"/>
              </w:rPr>
              <w:t>1</w:t>
            </w:r>
          </w:p>
        </w:tc>
        <w:tc>
          <w:tcPr>
            <w:tcW w:w="37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CFAC40" w14:textId="77777777" w:rsidR="00883886" w:rsidRPr="000267AA" w:rsidRDefault="00883886" w:rsidP="003D27A2">
            <w:pPr>
              <w:spacing w:before="40" w:after="40"/>
              <w:rPr>
                <w:rFonts w:ascii="Arial" w:hAnsi="Arial" w:cs="Arial"/>
                <w:color w:val="000000"/>
                <w:spacing w:val="-3"/>
                <w:sz w:val="18"/>
                <w:szCs w:val="18"/>
                <w:lang w:val="en-GB"/>
              </w:rPr>
            </w:pPr>
            <w:r w:rsidRPr="000267AA">
              <w:rPr>
                <w:rFonts w:ascii="Arial" w:hAnsi="Arial" w:cs="Arial"/>
                <w:spacing w:val="-3"/>
                <w:sz w:val="18"/>
                <w:szCs w:val="18"/>
                <w:lang w:val="en-GB"/>
              </w:rPr>
              <w:t>Official letter from the MFEI/PMO documenting the approval of the corresponding government policy.</w:t>
            </w:r>
          </w:p>
        </w:tc>
      </w:tr>
      <w:tr w:rsidR="00883886" w:rsidRPr="00CC71C6" w14:paraId="56275B66" w14:textId="77777777" w:rsidTr="003D27A2">
        <w:trPr>
          <w:cantSplit/>
          <w:trHeight w:val="242"/>
          <w:jc w:val="center"/>
        </w:trPr>
        <w:tc>
          <w:tcPr>
            <w:tcW w:w="41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A54A67" w14:textId="77777777" w:rsidR="00883886" w:rsidRPr="000267AA" w:rsidRDefault="00883886" w:rsidP="003D27A2">
            <w:pPr>
              <w:pStyle w:val="ListParagraph"/>
              <w:spacing w:before="40" w:after="40"/>
              <w:ind w:left="0"/>
              <w:contextualSpacing w:val="0"/>
              <w:rPr>
                <w:rFonts w:ascii="Arial" w:hAnsi="Arial" w:cs="Arial"/>
                <w:color w:val="000000"/>
                <w:spacing w:val="-3"/>
                <w:sz w:val="18"/>
                <w:szCs w:val="18"/>
                <w:lang w:val="en-GB"/>
              </w:rPr>
            </w:pPr>
            <w:r w:rsidRPr="000267AA">
              <w:rPr>
                <w:rFonts w:ascii="Arial" w:hAnsi="Arial" w:cs="Arial"/>
                <w:color w:val="000000"/>
                <w:spacing w:val="-3"/>
                <w:sz w:val="18"/>
                <w:szCs w:val="18"/>
                <w:lang w:val="en-GB"/>
              </w:rPr>
              <w:t>The creation and funding of a Business Interruption Benefit for self-employed individuals.</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243F56" w14:textId="77777777" w:rsidR="00883886" w:rsidRPr="000267AA" w:rsidRDefault="00883886" w:rsidP="003D27A2">
            <w:pPr>
              <w:spacing w:before="40" w:after="40"/>
              <w:jc w:val="center"/>
              <w:rPr>
                <w:rFonts w:ascii="Arial" w:hAnsi="Arial" w:cs="Arial"/>
                <w:spacing w:val="-3"/>
                <w:sz w:val="18"/>
                <w:szCs w:val="18"/>
                <w:highlight w:val="yellow"/>
                <w:lang w:val="en-GB"/>
              </w:rPr>
            </w:pPr>
            <w:r w:rsidRPr="000267AA">
              <w:rPr>
                <w:rFonts w:ascii="Arial" w:hAnsi="Arial" w:cs="Arial"/>
                <w:spacing w:val="-3"/>
                <w:sz w:val="18"/>
                <w:szCs w:val="18"/>
                <w:lang w:val="en-GB"/>
              </w:rPr>
              <w:t xml:space="preserve">Ministerial Approval </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69EB210" w14:textId="77777777" w:rsidR="00883886" w:rsidRPr="000267AA" w:rsidRDefault="00883886" w:rsidP="003D27A2">
            <w:pPr>
              <w:spacing w:before="40" w:after="40"/>
              <w:jc w:val="center"/>
              <w:rPr>
                <w:rFonts w:ascii="Arial" w:hAnsi="Arial" w:cs="Arial"/>
                <w:spacing w:val="-3"/>
                <w:sz w:val="18"/>
                <w:szCs w:val="18"/>
                <w:lang w:val="en-GB"/>
              </w:rPr>
            </w:pPr>
            <w:r w:rsidRPr="000267AA">
              <w:rPr>
                <w:rFonts w:ascii="Arial" w:hAnsi="Arial" w:cs="Arial"/>
                <w:spacing w:val="-3"/>
                <w:sz w:val="18"/>
                <w:szCs w:val="18"/>
                <w:lang w:val="en-GB"/>
              </w:rPr>
              <w:t>0</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21F843" w14:textId="77777777" w:rsidR="00883886" w:rsidRPr="000267AA" w:rsidRDefault="00883886" w:rsidP="003D27A2">
            <w:pPr>
              <w:spacing w:before="40" w:after="40"/>
              <w:jc w:val="center"/>
              <w:rPr>
                <w:rFonts w:ascii="Arial" w:hAnsi="Arial" w:cs="Arial"/>
                <w:spacing w:val="-3"/>
                <w:sz w:val="18"/>
                <w:szCs w:val="18"/>
                <w:lang w:val="en-GB"/>
              </w:rPr>
            </w:pPr>
            <w:r w:rsidRPr="000267AA">
              <w:rPr>
                <w:rFonts w:ascii="Arial" w:hAnsi="Arial" w:cs="Arial"/>
                <w:spacing w:val="-3"/>
                <w:sz w:val="18"/>
                <w:szCs w:val="18"/>
                <w:lang w:val="en-GB"/>
              </w:rPr>
              <w:t>2019</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3E0420" w14:textId="77777777" w:rsidR="00883886" w:rsidRPr="000267AA" w:rsidRDefault="00883886" w:rsidP="003D27A2">
            <w:pPr>
              <w:spacing w:before="40" w:after="40"/>
              <w:jc w:val="center"/>
              <w:rPr>
                <w:rFonts w:ascii="Arial" w:hAnsi="Arial" w:cs="Arial"/>
                <w:spacing w:val="-3"/>
                <w:sz w:val="18"/>
                <w:szCs w:val="18"/>
                <w:lang w:val="en-GB"/>
              </w:rPr>
            </w:pPr>
            <w:r w:rsidRPr="000267AA">
              <w:rPr>
                <w:rFonts w:ascii="Arial" w:hAnsi="Arial" w:cs="Arial"/>
                <w:spacing w:val="-3"/>
                <w:sz w:val="18"/>
                <w:szCs w:val="18"/>
                <w:lang w:val="en-GB"/>
              </w:rPr>
              <w:t>1</w:t>
            </w:r>
          </w:p>
        </w:tc>
        <w:tc>
          <w:tcPr>
            <w:tcW w:w="37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30F4AD" w14:textId="77777777" w:rsidR="00883886" w:rsidRPr="000267AA" w:rsidRDefault="00883886" w:rsidP="003D27A2">
            <w:pPr>
              <w:spacing w:before="40" w:after="40"/>
              <w:rPr>
                <w:rFonts w:ascii="Arial" w:hAnsi="Arial" w:cs="Arial"/>
                <w:color w:val="000000"/>
                <w:spacing w:val="-3"/>
                <w:sz w:val="18"/>
                <w:szCs w:val="18"/>
                <w:lang w:val="en-GB"/>
              </w:rPr>
            </w:pPr>
            <w:r w:rsidRPr="000267AA">
              <w:rPr>
                <w:rFonts w:ascii="Arial" w:hAnsi="Arial" w:cs="Arial"/>
                <w:spacing w:val="-3"/>
                <w:sz w:val="18"/>
                <w:szCs w:val="18"/>
                <w:lang w:val="en-GB"/>
              </w:rPr>
              <w:t xml:space="preserve">Official letter from the MFEI documenting the approval of the corresponding government </w:t>
            </w:r>
            <w:r>
              <w:rPr>
                <w:rFonts w:ascii="Arial" w:hAnsi="Arial" w:cs="Arial"/>
                <w:spacing w:val="-3"/>
                <w:sz w:val="18"/>
                <w:szCs w:val="18"/>
                <w:lang w:val="en-GB"/>
              </w:rPr>
              <w:t>policy</w:t>
            </w:r>
            <w:r w:rsidRPr="000267AA">
              <w:rPr>
                <w:rFonts w:ascii="Arial" w:hAnsi="Arial" w:cs="Arial"/>
                <w:spacing w:val="-3"/>
                <w:sz w:val="18"/>
                <w:szCs w:val="18"/>
                <w:lang w:val="en-GB"/>
              </w:rPr>
              <w:t>.</w:t>
            </w:r>
          </w:p>
        </w:tc>
      </w:tr>
      <w:tr w:rsidR="00883886" w:rsidRPr="00CC71C6" w14:paraId="4C9A7188" w14:textId="77777777" w:rsidTr="003D27A2">
        <w:trPr>
          <w:cantSplit/>
          <w:trHeight w:val="242"/>
          <w:jc w:val="center"/>
        </w:trPr>
        <w:tc>
          <w:tcPr>
            <w:tcW w:w="41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EEA4DFE" w14:textId="77777777" w:rsidR="00883886" w:rsidRPr="000267AA" w:rsidRDefault="00883886" w:rsidP="003D27A2">
            <w:pPr>
              <w:pStyle w:val="ListParagraph"/>
              <w:spacing w:before="40" w:after="40"/>
              <w:ind w:left="0"/>
              <w:contextualSpacing w:val="0"/>
              <w:rPr>
                <w:rFonts w:ascii="Arial" w:hAnsi="Arial" w:cs="Arial"/>
                <w:color w:val="000000"/>
                <w:spacing w:val="-3"/>
                <w:sz w:val="18"/>
                <w:szCs w:val="18"/>
                <w:lang w:val="en-GB"/>
              </w:rPr>
            </w:pPr>
            <w:r w:rsidRPr="000267AA">
              <w:rPr>
                <w:rFonts w:ascii="Arial" w:hAnsi="Arial" w:cs="Arial"/>
                <w:color w:val="000000"/>
                <w:spacing w:val="-3"/>
                <w:sz w:val="18"/>
                <w:szCs w:val="18"/>
                <w:lang w:val="en-GB"/>
              </w:rPr>
              <w:t>The creation and funding of a small business wage fund for SMEs.</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BEDF5E" w14:textId="77777777" w:rsidR="00883886" w:rsidRPr="000267AA" w:rsidRDefault="00883886" w:rsidP="003D27A2">
            <w:pPr>
              <w:spacing w:before="40" w:after="40"/>
              <w:jc w:val="center"/>
              <w:rPr>
                <w:rFonts w:ascii="Arial" w:hAnsi="Arial" w:cs="Arial"/>
                <w:spacing w:val="-3"/>
                <w:sz w:val="18"/>
                <w:szCs w:val="18"/>
                <w:highlight w:val="yellow"/>
                <w:lang w:val="en-GB"/>
              </w:rPr>
            </w:pPr>
            <w:r w:rsidRPr="000267AA">
              <w:rPr>
                <w:rFonts w:ascii="Arial" w:hAnsi="Arial" w:cs="Arial"/>
                <w:spacing w:val="-3"/>
                <w:sz w:val="18"/>
                <w:szCs w:val="18"/>
                <w:lang w:val="en-GB"/>
              </w:rPr>
              <w:t xml:space="preserve">Ministerial Approval </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E8BE7AC" w14:textId="77777777" w:rsidR="00883886" w:rsidRPr="000267AA" w:rsidRDefault="00883886" w:rsidP="003D27A2">
            <w:pPr>
              <w:spacing w:before="40" w:after="40"/>
              <w:jc w:val="center"/>
              <w:rPr>
                <w:rFonts w:ascii="Arial" w:hAnsi="Arial" w:cs="Arial"/>
                <w:spacing w:val="-3"/>
                <w:sz w:val="18"/>
                <w:szCs w:val="18"/>
                <w:lang w:val="en-GB"/>
              </w:rPr>
            </w:pPr>
            <w:r w:rsidRPr="000267AA">
              <w:rPr>
                <w:rFonts w:ascii="Arial" w:hAnsi="Arial" w:cs="Arial"/>
                <w:spacing w:val="-3"/>
                <w:sz w:val="18"/>
                <w:szCs w:val="18"/>
                <w:lang w:val="en-GB"/>
              </w:rPr>
              <w:t>0</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43991C" w14:textId="77777777" w:rsidR="00883886" w:rsidRPr="000267AA" w:rsidRDefault="00883886" w:rsidP="003D27A2">
            <w:pPr>
              <w:spacing w:before="40" w:after="40"/>
              <w:jc w:val="center"/>
              <w:rPr>
                <w:rFonts w:ascii="Arial" w:hAnsi="Arial" w:cs="Arial"/>
                <w:spacing w:val="-3"/>
                <w:sz w:val="18"/>
                <w:szCs w:val="18"/>
                <w:lang w:val="en-GB"/>
              </w:rPr>
            </w:pPr>
            <w:r w:rsidRPr="000267AA">
              <w:rPr>
                <w:rFonts w:ascii="Arial" w:hAnsi="Arial" w:cs="Arial"/>
                <w:spacing w:val="-3"/>
                <w:sz w:val="18"/>
                <w:szCs w:val="18"/>
                <w:lang w:val="en-GB"/>
              </w:rPr>
              <w:t>2019</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55A908" w14:textId="77777777" w:rsidR="00883886" w:rsidRPr="000267AA" w:rsidRDefault="00883886" w:rsidP="003D27A2">
            <w:pPr>
              <w:spacing w:before="40" w:after="40"/>
              <w:jc w:val="center"/>
              <w:rPr>
                <w:rFonts w:ascii="Arial" w:hAnsi="Arial" w:cs="Arial"/>
                <w:spacing w:val="-3"/>
                <w:sz w:val="18"/>
                <w:szCs w:val="18"/>
                <w:lang w:val="en-GB"/>
              </w:rPr>
            </w:pPr>
            <w:r w:rsidRPr="000267AA">
              <w:rPr>
                <w:rFonts w:ascii="Arial" w:hAnsi="Arial" w:cs="Arial"/>
                <w:spacing w:val="-3"/>
                <w:sz w:val="18"/>
                <w:szCs w:val="18"/>
                <w:lang w:val="en-GB"/>
              </w:rPr>
              <w:t>1</w:t>
            </w:r>
          </w:p>
        </w:tc>
        <w:tc>
          <w:tcPr>
            <w:tcW w:w="37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4253ED" w14:textId="77777777" w:rsidR="00883886" w:rsidRPr="000267AA" w:rsidRDefault="00883886" w:rsidP="003D27A2">
            <w:pPr>
              <w:spacing w:before="40" w:after="40"/>
              <w:rPr>
                <w:rFonts w:ascii="Arial" w:hAnsi="Arial" w:cs="Arial"/>
                <w:color w:val="000000"/>
                <w:spacing w:val="-3"/>
                <w:sz w:val="18"/>
                <w:szCs w:val="18"/>
                <w:lang w:val="en-GB"/>
              </w:rPr>
            </w:pPr>
            <w:r w:rsidRPr="000267AA">
              <w:rPr>
                <w:rFonts w:ascii="Arial" w:hAnsi="Arial" w:cs="Arial"/>
                <w:spacing w:val="-3"/>
                <w:sz w:val="18"/>
                <w:szCs w:val="18"/>
                <w:lang w:val="en-GB"/>
              </w:rPr>
              <w:t>Official letter from the MFEI documenting the approval of the corresponding government policy.</w:t>
            </w:r>
          </w:p>
        </w:tc>
      </w:tr>
      <w:tr w:rsidR="00883886" w:rsidRPr="00CC71C6" w14:paraId="48C73202" w14:textId="77777777" w:rsidTr="003D27A2">
        <w:trPr>
          <w:cantSplit/>
          <w:trHeight w:val="242"/>
          <w:jc w:val="center"/>
        </w:trPr>
        <w:tc>
          <w:tcPr>
            <w:tcW w:w="41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C023E5A" w14:textId="77777777" w:rsidR="00883886" w:rsidRPr="000267AA" w:rsidRDefault="00883886" w:rsidP="003D27A2">
            <w:pPr>
              <w:pStyle w:val="ListParagraph"/>
              <w:spacing w:before="40" w:after="40"/>
              <w:ind w:left="0"/>
              <w:contextualSpacing w:val="0"/>
              <w:rPr>
                <w:rFonts w:ascii="Arial" w:hAnsi="Arial" w:cs="Arial"/>
                <w:spacing w:val="-3"/>
                <w:sz w:val="18"/>
                <w:szCs w:val="18"/>
                <w:lang w:val="en-GB"/>
              </w:rPr>
            </w:pPr>
            <w:r w:rsidRPr="000267AA">
              <w:rPr>
                <w:rFonts w:ascii="Arial" w:hAnsi="Arial" w:cs="Arial"/>
                <w:color w:val="000000"/>
                <w:spacing w:val="-3"/>
                <w:sz w:val="18"/>
                <w:szCs w:val="18"/>
                <w:lang w:val="en-GB"/>
              </w:rPr>
              <w:t>The deferment of employer’s contributions to the NIS for three months for companies that retain 75% of their workers.</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D1EFBA1" w14:textId="77777777" w:rsidR="00883886" w:rsidRPr="000267AA" w:rsidRDefault="00883886" w:rsidP="003D27A2">
            <w:pPr>
              <w:spacing w:before="40" w:after="40"/>
              <w:jc w:val="center"/>
              <w:rPr>
                <w:rFonts w:ascii="Arial" w:hAnsi="Arial" w:cs="Arial"/>
                <w:spacing w:val="-3"/>
                <w:sz w:val="18"/>
                <w:szCs w:val="18"/>
                <w:highlight w:val="yellow"/>
                <w:lang w:val="en-GB"/>
              </w:rPr>
            </w:pPr>
            <w:r w:rsidRPr="000267AA">
              <w:rPr>
                <w:rFonts w:ascii="Arial" w:hAnsi="Arial" w:cs="Arial"/>
                <w:spacing w:val="-3"/>
                <w:sz w:val="18"/>
                <w:szCs w:val="18"/>
                <w:lang w:val="en-GB"/>
              </w:rPr>
              <w:t xml:space="preserve">Ministerial Approval </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A82FC6" w14:textId="77777777" w:rsidR="00883886" w:rsidRPr="000267AA" w:rsidRDefault="00883886" w:rsidP="003D27A2">
            <w:pPr>
              <w:spacing w:before="40" w:after="40"/>
              <w:jc w:val="center"/>
              <w:rPr>
                <w:rFonts w:ascii="Arial" w:hAnsi="Arial" w:cs="Arial"/>
                <w:spacing w:val="-3"/>
                <w:sz w:val="18"/>
                <w:szCs w:val="18"/>
                <w:lang w:val="en-GB"/>
              </w:rPr>
            </w:pPr>
            <w:r w:rsidRPr="000267AA">
              <w:rPr>
                <w:rFonts w:ascii="Arial" w:hAnsi="Arial" w:cs="Arial"/>
                <w:spacing w:val="-3"/>
                <w:sz w:val="18"/>
                <w:szCs w:val="18"/>
                <w:lang w:val="en-GB"/>
              </w:rPr>
              <w:t>0</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73D8211" w14:textId="77777777" w:rsidR="00883886" w:rsidRPr="000267AA" w:rsidRDefault="00883886" w:rsidP="003D27A2">
            <w:pPr>
              <w:spacing w:before="40" w:after="40"/>
              <w:jc w:val="center"/>
              <w:rPr>
                <w:rFonts w:ascii="Arial" w:hAnsi="Arial" w:cs="Arial"/>
                <w:spacing w:val="-3"/>
                <w:sz w:val="18"/>
                <w:szCs w:val="18"/>
                <w:lang w:val="en-GB"/>
              </w:rPr>
            </w:pPr>
            <w:r w:rsidRPr="000267AA">
              <w:rPr>
                <w:rFonts w:ascii="Arial" w:hAnsi="Arial" w:cs="Arial"/>
                <w:spacing w:val="-3"/>
                <w:sz w:val="18"/>
                <w:szCs w:val="18"/>
                <w:lang w:val="en-GB"/>
              </w:rPr>
              <w:t>2019</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DB3966C" w14:textId="77777777" w:rsidR="00883886" w:rsidRPr="000267AA" w:rsidRDefault="00883886" w:rsidP="003D27A2">
            <w:pPr>
              <w:spacing w:before="40" w:after="40"/>
              <w:jc w:val="center"/>
              <w:rPr>
                <w:rFonts w:ascii="Arial" w:hAnsi="Arial" w:cs="Arial"/>
                <w:spacing w:val="-3"/>
                <w:sz w:val="18"/>
                <w:szCs w:val="18"/>
                <w:lang w:val="en-GB"/>
              </w:rPr>
            </w:pPr>
            <w:r w:rsidRPr="000267AA">
              <w:rPr>
                <w:rFonts w:ascii="Arial" w:hAnsi="Arial" w:cs="Arial"/>
                <w:spacing w:val="-3"/>
                <w:sz w:val="18"/>
                <w:szCs w:val="18"/>
                <w:lang w:val="en-GB"/>
              </w:rPr>
              <w:t>1</w:t>
            </w:r>
          </w:p>
        </w:tc>
        <w:tc>
          <w:tcPr>
            <w:tcW w:w="37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9E9BAD" w14:textId="77777777" w:rsidR="00883886" w:rsidRPr="000267AA" w:rsidRDefault="00883886" w:rsidP="003D27A2">
            <w:pPr>
              <w:spacing w:before="40" w:after="40"/>
              <w:rPr>
                <w:rFonts w:ascii="Arial" w:hAnsi="Arial" w:cs="Arial"/>
                <w:color w:val="000000"/>
                <w:spacing w:val="-3"/>
                <w:sz w:val="18"/>
                <w:szCs w:val="18"/>
                <w:lang w:val="en-GB"/>
              </w:rPr>
            </w:pPr>
            <w:r w:rsidRPr="000267AA">
              <w:rPr>
                <w:rFonts w:ascii="Arial" w:hAnsi="Arial" w:cs="Arial"/>
                <w:spacing w:val="-3"/>
                <w:sz w:val="18"/>
                <w:szCs w:val="18"/>
                <w:lang w:val="en-GB"/>
              </w:rPr>
              <w:t>Official letter from the MFEI documenting the approval of the corresponding government policy.</w:t>
            </w:r>
          </w:p>
        </w:tc>
      </w:tr>
      <w:tr w:rsidR="00883886" w:rsidRPr="00CC71C6" w14:paraId="6772BE9A" w14:textId="77777777" w:rsidTr="003D27A2">
        <w:trPr>
          <w:cantSplit/>
          <w:trHeight w:val="242"/>
          <w:jc w:val="center"/>
        </w:trPr>
        <w:tc>
          <w:tcPr>
            <w:tcW w:w="1412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2D69B" w:themeFill="accent3" w:themeFillTint="99"/>
            <w:vAlign w:val="center"/>
          </w:tcPr>
          <w:p w14:paraId="1CD661CD" w14:textId="77777777" w:rsidR="00883886" w:rsidRPr="000267AA" w:rsidRDefault="00883886" w:rsidP="003D27A2">
            <w:pPr>
              <w:keepNext/>
              <w:spacing w:before="120" w:after="120"/>
              <w:rPr>
                <w:rFonts w:ascii="Arial" w:hAnsi="Arial" w:cs="Arial"/>
                <w:b/>
                <w:spacing w:val="-3"/>
                <w:sz w:val="18"/>
                <w:szCs w:val="18"/>
                <w:lang w:val="en-GB"/>
              </w:rPr>
            </w:pPr>
            <w:r w:rsidRPr="000267AA">
              <w:rPr>
                <w:rFonts w:ascii="Arial" w:hAnsi="Arial" w:cs="Arial"/>
                <w:b/>
                <w:spacing w:val="-3"/>
                <w:sz w:val="18"/>
                <w:szCs w:val="18"/>
                <w:lang w:val="en-GB"/>
              </w:rPr>
              <w:lastRenderedPageBreak/>
              <w:t>Component 4: Economic and fiscal strengthening for the post</w:t>
            </w:r>
            <w:r w:rsidRPr="000267AA">
              <w:rPr>
                <w:rFonts w:ascii="Arial" w:hAnsi="Arial" w:cs="Arial"/>
                <w:b/>
                <w:spacing w:val="-3"/>
                <w:sz w:val="18"/>
                <w:szCs w:val="18"/>
                <w:lang w:val="en-GB"/>
              </w:rPr>
              <w:noBreakHyphen/>
              <w:t>pandemic period</w:t>
            </w:r>
          </w:p>
        </w:tc>
      </w:tr>
      <w:tr w:rsidR="00883886" w:rsidRPr="00CC71C6" w14:paraId="5CF98D51" w14:textId="77777777" w:rsidTr="003D27A2">
        <w:trPr>
          <w:cantSplit/>
          <w:trHeight w:val="242"/>
          <w:jc w:val="center"/>
        </w:trPr>
        <w:tc>
          <w:tcPr>
            <w:tcW w:w="41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06FE93" w14:textId="77777777" w:rsidR="00883886" w:rsidRPr="000267AA" w:rsidRDefault="00883886" w:rsidP="003D27A2">
            <w:pPr>
              <w:pStyle w:val="ListParagraph"/>
              <w:spacing w:before="40" w:after="40"/>
              <w:ind w:left="0"/>
              <w:contextualSpacing w:val="0"/>
              <w:rPr>
                <w:rFonts w:ascii="Arial" w:hAnsi="Arial" w:cs="Arial"/>
                <w:color w:val="000000"/>
                <w:spacing w:val="-3"/>
                <w:sz w:val="18"/>
                <w:szCs w:val="18"/>
                <w:lang w:val="en-GB"/>
              </w:rPr>
            </w:pPr>
            <w:r w:rsidRPr="000267AA">
              <w:rPr>
                <w:rFonts w:ascii="Arial" w:hAnsi="Arial" w:cs="Arial"/>
                <w:color w:val="000000"/>
                <w:spacing w:val="-3"/>
                <w:sz w:val="18"/>
                <w:szCs w:val="18"/>
                <w:lang w:val="en-GB"/>
              </w:rPr>
              <w:t>Jobs and Investment Council, established.</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F612511" w14:textId="77777777" w:rsidR="00883886" w:rsidRPr="000267AA" w:rsidRDefault="00883886" w:rsidP="003D27A2">
            <w:pPr>
              <w:spacing w:before="40" w:after="40"/>
              <w:jc w:val="center"/>
              <w:rPr>
                <w:rFonts w:ascii="Arial" w:eastAsia="Arial" w:hAnsi="Arial" w:cs="Arial"/>
                <w:sz w:val="18"/>
                <w:szCs w:val="18"/>
                <w:lang w:val="en-GB"/>
              </w:rPr>
            </w:pPr>
            <w:r w:rsidRPr="000267AA">
              <w:rPr>
                <w:rFonts w:ascii="Arial" w:hAnsi="Arial" w:cs="Arial"/>
                <w:sz w:val="18"/>
                <w:szCs w:val="18"/>
                <w:lang w:val="en-GB"/>
              </w:rPr>
              <w:t xml:space="preserve">Council </w:t>
            </w:r>
            <w:r>
              <w:rPr>
                <w:rFonts w:ascii="Arial" w:hAnsi="Arial" w:cs="Arial"/>
                <w:sz w:val="18"/>
                <w:szCs w:val="18"/>
                <w:lang w:val="en-GB"/>
              </w:rPr>
              <w:t>e</w:t>
            </w:r>
            <w:r w:rsidRPr="000267AA">
              <w:rPr>
                <w:rFonts w:ascii="Arial" w:hAnsi="Arial" w:cs="Arial"/>
                <w:sz w:val="18"/>
                <w:szCs w:val="18"/>
                <w:lang w:val="en-GB"/>
              </w:rPr>
              <w:t xml:space="preserve">stablished </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D7EAF2" w14:textId="77777777" w:rsidR="00883886" w:rsidRPr="000267AA" w:rsidRDefault="00883886" w:rsidP="003D27A2">
            <w:pPr>
              <w:spacing w:before="40" w:after="40"/>
              <w:jc w:val="center"/>
              <w:rPr>
                <w:rFonts w:ascii="Arial" w:hAnsi="Arial" w:cs="Arial"/>
                <w:spacing w:val="-3"/>
                <w:sz w:val="18"/>
                <w:szCs w:val="18"/>
                <w:lang w:val="en-GB"/>
              </w:rPr>
            </w:pPr>
            <w:r w:rsidRPr="000267AA">
              <w:rPr>
                <w:rFonts w:ascii="Arial" w:hAnsi="Arial" w:cs="Arial"/>
                <w:spacing w:val="-3"/>
                <w:sz w:val="18"/>
                <w:szCs w:val="18"/>
                <w:lang w:val="en-GB"/>
              </w:rPr>
              <w:t>0</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5D23CD" w14:textId="77777777" w:rsidR="00883886" w:rsidRPr="000267AA" w:rsidRDefault="00883886" w:rsidP="003D27A2">
            <w:pPr>
              <w:spacing w:before="40" w:after="40"/>
              <w:jc w:val="center"/>
              <w:rPr>
                <w:rFonts w:ascii="Arial" w:hAnsi="Arial" w:cs="Arial"/>
                <w:spacing w:val="-3"/>
                <w:sz w:val="18"/>
                <w:szCs w:val="18"/>
                <w:lang w:val="en-GB"/>
              </w:rPr>
            </w:pPr>
            <w:r w:rsidRPr="000267AA">
              <w:rPr>
                <w:rFonts w:ascii="Arial" w:hAnsi="Arial" w:cs="Arial"/>
                <w:spacing w:val="-3"/>
                <w:sz w:val="18"/>
                <w:szCs w:val="18"/>
                <w:lang w:val="en-GB"/>
              </w:rPr>
              <w:t>2019</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3339CE" w14:textId="77777777" w:rsidR="00883886" w:rsidRPr="000267AA" w:rsidRDefault="00883886" w:rsidP="003D27A2">
            <w:pPr>
              <w:spacing w:before="40" w:after="40"/>
              <w:jc w:val="center"/>
              <w:rPr>
                <w:rFonts w:ascii="Arial" w:hAnsi="Arial" w:cs="Arial"/>
                <w:spacing w:val="-3"/>
                <w:sz w:val="18"/>
                <w:szCs w:val="18"/>
                <w:lang w:val="en-GB"/>
              </w:rPr>
            </w:pPr>
            <w:r w:rsidRPr="000267AA">
              <w:rPr>
                <w:rFonts w:ascii="Arial" w:hAnsi="Arial" w:cs="Arial"/>
                <w:spacing w:val="-3"/>
                <w:sz w:val="18"/>
                <w:szCs w:val="18"/>
                <w:lang w:val="en-GB"/>
              </w:rPr>
              <w:t>1</w:t>
            </w:r>
          </w:p>
        </w:tc>
        <w:tc>
          <w:tcPr>
            <w:tcW w:w="37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3D4E81" w14:textId="77777777" w:rsidR="00883886" w:rsidRPr="000267AA" w:rsidRDefault="00883886" w:rsidP="003D27A2">
            <w:pPr>
              <w:spacing w:before="40" w:after="40"/>
              <w:rPr>
                <w:rFonts w:ascii="Arial" w:hAnsi="Arial" w:cs="Arial"/>
                <w:spacing w:val="-3"/>
                <w:sz w:val="18"/>
                <w:szCs w:val="18"/>
                <w:lang w:val="en-GB"/>
              </w:rPr>
            </w:pPr>
            <w:r w:rsidRPr="000267AA">
              <w:rPr>
                <w:rFonts w:ascii="Arial" w:hAnsi="Arial" w:cs="Arial"/>
                <w:spacing w:val="-3"/>
                <w:sz w:val="18"/>
                <w:szCs w:val="18"/>
                <w:lang w:val="en-GB"/>
              </w:rPr>
              <w:t>Official letter from the MFEI/PMO documenting the establishment of a Jobs and Investment Council.</w:t>
            </w:r>
          </w:p>
        </w:tc>
      </w:tr>
      <w:tr w:rsidR="00CC71C6" w:rsidRPr="00CC71C6" w14:paraId="60664A54" w14:textId="77777777" w:rsidTr="003D27A2">
        <w:trPr>
          <w:cantSplit/>
          <w:trHeight w:val="242"/>
          <w:jc w:val="center"/>
        </w:trPr>
        <w:tc>
          <w:tcPr>
            <w:tcW w:w="41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CAF5030" w14:textId="194C3677" w:rsidR="00CC71C6" w:rsidRPr="000267AA" w:rsidRDefault="00CC71C6" w:rsidP="00CC71C6">
            <w:pPr>
              <w:pStyle w:val="ListParagraph"/>
              <w:spacing w:before="40" w:after="40"/>
              <w:ind w:left="0"/>
              <w:contextualSpacing w:val="0"/>
              <w:rPr>
                <w:rFonts w:ascii="Arial" w:hAnsi="Arial" w:cs="Arial"/>
                <w:color w:val="000000"/>
                <w:spacing w:val="-3"/>
                <w:sz w:val="18"/>
                <w:szCs w:val="18"/>
                <w:lang w:val="en-GB"/>
              </w:rPr>
            </w:pPr>
            <w:r w:rsidRPr="000267AA">
              <w:rPr>
                <w:rFonts w:ascii="Arial" w:hAnsi="Arial" w:cs="Arial"/>
                <w:color w:val="000000"/>
                <w:spacing w:val="-3"/>
                <w:sz w:val="18"/>
                <w:szCs w:val="18"/>
                <w:lang w:val="en-GB"/>
              </w:rPr>
              <w:t>Companies (</w:t>
            </w:r>
            <w:r>
              <w:rPr>
                <w:rFonts w:ascii="Arial" w:hAnsi="Arial" w:cs="Arial"/>
                <w:color w:val="000000"/>
                <w:spacing w:val="-3"/>
                <w:sz w:val="18"/>
                <w:szCs w:val="18"/>
                <w:lang w:val="en-GB"/>
              </w:rPr>
              <w:t>A</w:t>
            </w:r>
            <w:r w:rsidRPr="000267AA">
              <w:rPr>
                <w:rFonts w:ascii="Arial" w:hAnsi="Arial" w:cs="Arial"/>
                <w:color w:val="000000"/>
                <w:spacing w:val="-3"/>
                <w:sz w:val="18"/>
                <w:szCs w:val="18"/>
                <w:lang w:val="en-GB"/>
              </w:rPr>
              <w:t>mendment)</w:t>
            </w:r>
            <w:r>
              <w:rPr>
                <w:rFonts w:ascii="Arial" w:hAnsi="Arial" w:cs="Arial"/>
                <w:color w:val="000000"/>
                <w:spacing w:val="-3"/>
                <w:sz w:val="18"/>
                <w:szCs w:val="18"/>
                <w:lang w:val="en-GB"/>
              </w:rPr>
              <w:t xml:space="preserve"> (No. 2)</w:t>
            </w:r>
            <w:r w:rsidRPr="000267AA">
              <w:rPr>
                <w:rFonts w:ascii="Arial" w:hAnsi="Arial" w:cs="Arial"/>
                <w:color w:val="000000"/>
                <w:spacing w:val="-3"/>
                <w:sz w:val="18"/>
                <w:szCs w:val="18"/>
                <w:lang w:val="en-GB"/>
              </w:rPr>
              <w:t xml:space="preserve"> Act passed.</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A433A1" w14:textId="6B6B19A9" w:rsidR="00CC71C6" w:rsidRPr="000267AA" w:rsidRDefault="00CC71C6" w:rsidP="00CC71C6">
            <w:pPr>
              <w:spacing w:before="40" w:after="40"/>
              <w:jc w:val="center"/>
              <w:rPr>
                <w:rFonts w:ascii="Arial" w:hAnsi="Arial" w:cs="Arial"/>
                <w:spacing w:val="-3"/>
                <w:sz w:val="18"/>
                <w:szCs w:val="18"/>
                <w:lang w:val="en-GB"/>
              </w:rPr>
            </w:pPr>
            <w:r w:rsidRPr="000267AA">
              <w:rPr>
                <w:rFonts w:ascii="Arial" w:hAnsi="Arial" w:cs="Arial"/>
                <w:spacing w:val="-3"/>
                <w:sz w:val="18"/>
                <w:szCs w:val="18"/>
                <w:lang w:val="en-GB"/>
              </w:rPr>
              <w:t>Amendment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25D7A6F" w14:textId="35BFE06B" w:rsidR="00CC71C6" w:rsidRPr="000267AA" w:rsidRDefault="00CC71C6" w:rsidP="00CC71C6">
            <w:pPr>
              <w:spacing w:before="40" w:after="40"/>
              <w:jc w:val="center"/>
              <w:rPr>
                <w:rFonts w:ascii="Arial" w:hAnsi="Arial" w:cs="Arial"/>
                <w:spacing w:val="-3"/>
                <w:sz w:val="18"/>
                <w:szCs w:val="18"/>
                <w:lang w:val="en-GB"/>
              </w:rPr>
            </w:pPr>
            <w:r w:rsidRPr="000267AA">
              <w:rPr>
                <w:rFonts w:ascii="Arial" w:hAnsi="Arial" w:cs="Arial"/>
                <w:spacing w:val="-3"/>
                <w:sz w:val="18"/>
                <w:szCs w:val="18"/>
                <w:lang w:val="en-GB"/>
              </w:rPr>
              <w:t>0</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72ED116" w14:textId="3A477125" w:rsidR="00CC71C6" w:rsidRPr="000267AA" w:rsidRDefault="00CC71C6" w:rsidP="00CC71C6">
            <w:pPr>
              <w:spacing w:before="40" w:after="40"/>
              <w:jc w:val="center"/>
              <w:rPr>
                <w:rFonts w:ascii="Arial" w:hAnsi="Arial" w:cs="Arial"/>
                <w:spacing w:val="-3"/>
                <w:sz w:val="18"/>
                <w:szCs w:val="18"/>
                <w:lang w:val="en-GB"/>
              </w:rPr>
            </w:pPr>
            <w:r w:rsidRPr="000267AA">
              <w:rPr>
                <w:rFonts w:ascii="Arial" w:hAnsi="Arial" w:cs="Arial"/>
                <w:spacing w:val="-3"/>
                <w:sz w:val="18"/>
                <w:szCs w:val="18"/>
                <w:lang w:val="en-GB"/>
              </w:rPr>
              <w:t>2019</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180DE3" w14:textId="78214A2A" w:rsidR="00CC71C6" w:rsidRPr="000267AA" w:rsidRDefault="00CC71C6" w:rsidP="00CC71C6">
            <w:pPr>
              <w:spacing w:before="40" w:after="40"/>
              <w:jc w:val="center"/>
              <w:rPr>
                <w:rFonts w:ascii="Arial" w:hAnsi="Arial" w:cs="Arial"/>
                <w:spacing w:val="-3"/>
                <w:sz w:val="18"/>
                <w:szCs w:val="18"/>
                <w:lang w:val="en-GB"/>
              </w:rPr>
            </w:pPr>
            <w:r w:rsidRPr="000267AA">
              <w:rPr>
                <w:rFonts w:ascii="Arial" w:hAnsi="Arial" w:cs="Arial"/>
                <w:spacing w:val="-3"/>
                <w:sz w:val="18"/>
                <w:szCs w:val="18"/>
                <w:lang w:val="en-GB"/>
              </w:rPr>
              <w:t>1</w:t>
            </w:r>
          </w:p>
        </w:tc>
        <w:tc>
          <w:tcPr>
            <w:tcW w:w="37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7D98F97" w14:textId="578D049F" w:rsidR="00CC71C6" w:rsidRPr="000267AA" w:rsidRDefault="00CC71C6" w:rsidP="00CC71C6">
            <w:pPr>
              <w:spacing w:before="40" w:after="40"/>
              <w:rPr>
                <w:rFonts w:ascii="Arial" w:hAnsi="Arial" w:cs="Arial"/>
                <w:spacing w:val="-3"/>
                <w:sz w:val="18"/>
                <w:szCs w:val="18"/>
                <w:lang w:val="en-GB"/>
              </w:rPr>
            </w:pPr>
            <w:r w:rsidRPr="000267AA">
              <w:rPr>
                <w:rFonts w:ascii="Arial" w:hAnsi="Arial" w:cs="Arial"/>
                <w:spacing w:val="-3"/>
                <w:sz w:val="18"/>
                <w:szCs w:val="18"/>
                <w:lang w:val="en-GB"/>
              </w:rPr>
              <w:t xml:space="preserve">Official letter from the MFEI documenting </w:t>
            </w:r>
            <w:r w:rsidRPr="004152F6">
              <w:rPr>
                <w:rFonts w:ascii="Arial" w:hAnsi="Arial" w:cs="Arial"/>
                <w:spacing w:val="-3"/>
                <w:sz w:val="18"/>
                <w:szCs w:val="18"/>
                <w:lang w:val="en-GB"/>
              </w:rPr>
              <w:t>the publication of Companies (Amendment) (No. 2) Act, 2019-51 in the Official Gazette</w:t>
            </w:r>
            <w:r w:rsidRPr="000267AA">
              <w:rPr>
                <w:rFonts w:ascii="Arial" w:hAnsi="Arial" w:cs="Arial"/>
                <w:spacing w:val="-3"/>
                <w:sz w:val="18"/>
                <w:szCs w:val="18"/>
                <w:lang w:val="en-GB"/>
              </w:rPr>
              <w:t>.</w:t>
            </w:r>
          </w:p>
        </w:tc>
      </w:tr>
      <w:tr w:rsidR="00883886" w:rsidRPr="00CC71C6" w14:paraId="4290B132" w14:textId="77777777" w:rsidTr="003D27A2">
        <w:trPr>
          <w:cantSplit/>
          <w:trHeight w:val="242"/>
          <w:jc w:val="center"/>
        </w:trPr>
        <w:tc>
          <w:tcPr>
            <w:tcW w:w="41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3E5461" w14:textId="77777777" w:rsidR="00883886" w:rsidRPr="000267AA" w:rsidRDefault="00883886" w:rsidP="003D27A2">
            <w:pPr>
              <w:pStyle w:val="ListParagraph"/>
              <w:spacing w:before="40" w:after="40"/>
              <w:ind w:left="0"/>
              <w:contextualSpacing w:val="0"/>
              <w:rPr>
                <w:rFonts w:ascii="Arial" w:hAnsi="Arial" w:cs="Arial"/>
                <w:color w:val="000000"/>
                <w:spacing w:val="-3"/>
                <w:sz w:val="18"/>
                <w:szCs w:val="18"/>
                <w:lang w:val="en-GB"/>
              </w:rPr>
            </w:pPr>
            <w:r w:rsidRPr="000267AA">
              <w:rPr>
                <w:rFonts w:ascii="Arial" w:hAnsi="Arial" w:cs="Arial"/>
                <w:color w:val="000000"/>
                <w:spacing w:val="-3"/>
                <w:sz w:val="18"/>
                <w:szCs w:val="18"/>
                <w:lang w:val="en-GB"/>
              </w:rPr>
              <w:t xml:space="preserve">Draft Customs Bill prepared. </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537DB3E" w14:textId="77777777" w:rsidR="00883886" w:rsidRPr="000267AA" w:rsidRDefault="00883886" w:rsidP="003D27A2">
            <w:pPr>
              <w:spacing w:before="40" w:after="40"/>
              <w:jc w:val="center"/>
              <w:rPr>
                <w:rFonts w:ascii="Arial" w:hAnsi="Arial" w:cs="Arial"/>
                <w:spacing w:val="-3"/>
                <w:sz w:val="18"/>
                <w:szCs w:val="18"/>
                <w:lang w:val="en-GB"/>
              </w:rPr>
            </w:pPr>
            <w:r w:rsidRPr="000267AA">
              <w:rPr>
                <w:rFonts w:ascii="Arial" w:hAnsi="Arial" w:cs="Arial"/>
                <w:spacing w:val="-3"/>
                <w:sz w:val="18"/>
                <w:szCs w:val="18"/>
                <w:lang w:val="en-GB"/>
              </w:rPr>
              <w:t>Draft Bill prepared</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E2905E" w14:textId="77777777" w:rsidR="00883886" w:rsidRPr="000267AA" w:rsidRDefault="00883886" w:rsidP="003D27A2">
            <w:pPr>
              <w:spacing w:before="40" w:after="40"/>
              <w:jc w:val="center"/>
              <w:rPr>
                <w:rFonts w:ascii="Arial" w:hAnsi="Arial" w:cs="Arial"/>
                <w:spacing w:val="-3"/>
                <w:sz w:val="18"/>
                <w:szCs w:val="18"/>
                <w:lang w:val="en-GB"/>
              </w:rPr>
            </w:pPr>
            <w:r w:rsidRPr="000267AA">
              <w:rPr>
                <w:rFonts w:ascii="Arial" w:hAnsi="Arial" w:cs="Arial"/>
                <w:spacing w:val="-3"/>
                <w:sz w:val="18"/>
                <w:szCs w:val="18"/>
                <w:lang w:val="en-GB"/>
              </w:rPr>
              <w:t>0</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0C964DB" w14:textId="77777777" w:rsidR="00883886" w:rsidRPr="000267AA" w:rsidRDefault="00883886" w:rsidP="003D27A2">
            <w:pPr>
              <w:spacing w:before="40" w:after="40"/>
              <w:jc w:val="center"/>
              <w:rPr>
                <w:rFonts w:ascii="Arial" w:hAnsi="Arial" w:cs="Arial"/>
                <w:spacing w:val="-3"/>
                <w:sz w:val="18"/>
                <w:szCs w:val="18"/>
                <w:lang w:val="en-GB"/>
              </w:rPr>
            </w:pPr>
            <w:r w:rsidRPr="000267AA">
              <w:rPr>
                <w:rFonts w:ascii="Arial" w:hAnsi="Arial" w:cs="Arial"/>
                <w:spacing w:val="-3"/>
                <w:sz w:val="18"/>
                <w:szCs w:val="18"/>
                <w:lang w:val="en-GB"/>
              </w:rPr>
              <w:t>2019</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92EDF08" w14:textId="77777777" w:rsidR="00883886" w:rsidRPr="000267AA" w:rsidRDefault="00883886" w:rsidP="003D27A2">
            <w:pPr>
              <w:spacing w:before="40" w:after="40"/>
              <w:jc w:val="center"/>
              <w:rPr>
                <w:rFonts w:ascii="Arial" w:hAnsi="Arial" w:cs="Arial"/>
                <w:spacing w:val="-3"/>
                <w:sz w:val="18"/>
                <w:szCs w:val="18"/>
                <w:lang w:val="en-GB"/>
              </w:rPr>
            </w:pPr>
            <w:r w:rsidRPr="000267AA">
              <w:rPr>
                <w:rFonts w:ascii="Arial" w:hAnsi="Arial" w:cs="Arial"/>
                <w:spacing w:val="-3"/>
                <w:sz w:val="18"/>
                <w:szCs w:val="18"/>
                <w:lang w:val="en-GB"/>
              </w:rPr>
              <w:t>1</w:t>
            </w:r>
          </w:p>
        </w:tc>
        <w:tc>
          <w:tcPr>
            <w:tcW w:w="37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2EF599" w14:textId="77777777" w:rsidR="00883886" w:rsidRPr="000267AA" w:rsidRDefault="00883886" w:rsidP="003D27A2">
            <w:pPr>
              <w:spacing w:before="40" w:after="40"/>
              <w:rPr>
                <w:rFonts w:ascii="Arial" w:hAnsi="Arial" w:cs="Arial"/>
                <w:spacing w:val="-3"/>
                <w:sz w:val="18"/>
                <w:szCs w:val="18"/>
                <w:lang w:val="en-GB"/>
              </w:rPr>
            </w:pPr>
            <w:r w:rsidRPr="000267AA">
              <w:rPr>
                <w:rFonts w:ascii="Arial" w:hAnsi="Arial" w:cs="Arial"/>
                <w:spacing w:val="-3"/>
                <w:sz w:val="18"/>
                <w:szCs w:val="18"/>
                <w:lang w:val="en-GB"/>
              </w:rPr>
              <w:t xml:space="preserve">Official letter from the MFEI documenting the preparation of the Draft Customs Bill. </w:t>
            </w:r>
          </w:p>
        </w:tc>
      </w:tr>
      <w:tr w:rsidR="00883886" w:rsidRPr="00CC71C6" w14:paraId="1E210467" w14:textId="77777777" w:rsidTr="003D27A2">
        <w:trPr>
          <w:cantSplit/>
          <w:trHeight w:val="170"/>
          <w:jc w:val="center"/>
        </w:trPr>
        <w:tc>
          <w:tcPr>
            <w:tcW w:w="4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EA90FF" w14:textId="77777777" w:rsidR="00883886" w:rsidRPr="000267AA" w:rsidRDefault="00883886" w:rsidP="003D27A2">
            <w:pPr>
              <w:pStyle w:val="ListParagraph"/>
              <w:spacing w:before="40" w:after="40"/>
              <w:ind w:left="0"/>
              <w:contextualSpacing w:val="0"/>
              <w:rPr>
                <w:rFonts w:ascii="Arial" w:hAnsi="Arial" w:cs="Arial"/>
                <w:color w:val="000000"/>
                <w:spacing w:val="-3"/>
                <w:sz w:val="18"/>
                <w:szCs w:val="18"/>
                <w:lang w:val="en-GB"/>
              </w:rPr>
            </w:pPr>
            <w:r w:rsidRPr="000267AA">
              <w:rPr>
                <w:rFonts w:ascii="Arial" w:hAnsi="Arial" w:cs="Arial"/>
                <w:color w:val="000000"/>
                <w:spacing w:val="-3"/>
                <w:sz w:val="18"/>
                <w:szCs w:val="18"/>
                <w:lang w:val="en-GB"/>
              </w:rPr>
              <w:t>Committee on Doing Business to execute short- and medium-term action, established.</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C96B91" w14:textId="77777777" w:rsidR="00883886" w:rsidRPr="000267AA" w:rsidRDefault="00883886" w:rsidP="003D27A2">
            <w:pPr>
              <w:spacing w:before="40" w:after="40"/>
              <w:jc w:val="center"/>
              <w:rPr>
                <w:rFonts w:ascii="Arial" w:hAnsi="Arial" w:cs="Arial"/>
                <w:spacing w:val="-3"/>
                <w:sz w:val="18"/>
                <w:szCs w:val="18"/>
                <w:lang w:val="en-GB"/>
              </w:rPr>
            </w:pPr>
            <w:r w:rsidRPr="000267AA">
              <w:rPr>
                <w:rFonts w:ascii="Arial" w:hAnsi="Arial" w:cs="Arial"/>
                <w:spacing w:val="-3"/>
                <w:sz w:val="18"/>
                <w:szCs w:val="18"/>
                <w:lang w:val="en-GB"/>
              </w:rPr>
              <w:t xml:space="preserve">Committee </w:t>
            </w:r>
            <w:r>
              <w:rPr>
                <w:rFonts w:ascii="Arial" w:hAnsi="Arial" w:cs="Arial"/>
                <w:spacing w:val="-3"/>
                <w:sz w:val="18"/>
                <w:szCs w:val="18"/>
                <w:lang w:val="en-GB"/>
              </w:rPr>
              <w:t>e</w:t>
            </w:r>
            <w:r w:rsidRPr="000267AA">
              <w:rPr>
                <w:rFonts w:ascii="Arial" w:hAnsi="Arial" w:cs="Arial"/>
                <w:spacing w:val="-3"/>
                <w:sz w:val="18"/>
                <w:szCs w:val="18"/>
                <w:lang w:val="en-GB"/>
              </w:rPr>
              <w:t xml:space="preserve">stablished </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23066DB" w14:textId="77777777" w:rsidR="00883886" w:rsidRPr="000267AA" w:rsidRDefault="00883886" w:rsidP="003D27A2">
            <w:pPr>
              <w:spacing w:before="40" w:after="40"/>
              <w:jc w:val="center"/>
              <w:rPr>
                <w:rFonts w:ascii="Arial" w:hAnsi="Arial" w:cs="Arial"/>
                <w:spacing w:val="-3"/>
                <w:sz w:val="18"/>
                <w:szCs w:val="18"/>
                <w:lang w:val="en-GB"/>
              </w:rPr>
            </w:pPr>
            <w:r w:rsidRPr="000267AA">
              <w:rPr>
                <w:rFonts w:ascii="Arial" w:hAnsi="Arial" w:cs="Arial"/>
                <w:spacing w:val="-3"/>
                <w:sz w:val="18"/>
                <w:szCs w:val="18"/>
                <w:lang w:val="en-GB"/>
              </w:rPr>
              <w:t>0</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E6967C" w14:textId="77777777" w:rsidR="00883886" w:rsidRPr="000267AA" w:rsidRDefault="00883886" w:rsidP="003D27A2">
            <w:pPr>
              <w:spacing w:before="40" w:after="40"/>
              <w:jc w:val="center"/>
              <w:rPr>
                <w:rFonts w:ascii="Arial" w:hAnsi="Arial" w:cs="Arial"/>
                <w:spacing w:val="-3"/>
                <w:sz w:val="18"/>
                <w:szCs w:val="18"/>
                <w:lang w:val="en-GB"/>
              </w:rPr>
            </w:pPr>
            <w:r w:rsidRPr="000267AA">
              <w:rPr>
                <w:rFonts w:ascii="Arial" w:hAnsi="Arial" w:cs="Arial"/>
                <w:spacing w:val="-3"/>
                <w:sz w:val="18"/>
                <w:szCs w:val="18"/>
                <w:lang w:val="en-GB"/>
              </w:rPr>
              <w:t>2019</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27CBFF" w14:textId="77777777" w:rsidR="00883886" w:rsidRPr="000267AA" w:rsidRDefault="00883886" w:rsidP="003D27A2">
            <w:pPr>
              <w:spacing w:before="40" w:after="40"/>
              <w:jc w:val="center"/>
              <w:rPr>
                <w:rFonts w:ascii="Arial" w:hAnsi="Arial" w:cs="Arial"/>
                <w:spacing w:val="-3"/>
                <w:sz w:val="18"/>
                <w:szCs w:val="18"/>
                <w:lang w:val="en-GB"/>
              </w:rPr>
            </w:pPr>
            <w:r w:rsidRPr="000267AA">
              <w:rPr>
                <w:rFonts w:ascii="Arial" w:hAnsi="Arial" w:cs="Arial"/>
                <w:spacing w:val="-3"/>
                <w:sz w:val="18"/>
                <w:szCs w:val="18"/>
                <w:lang w:val="en-GB"/>
              </w:rPr>
              <w:t>1</w:t>
            </w:r>
          </w:p>
        </w:tc>
        <w:tc>
          <w:tcPr>
            <w:tcW w:w="37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C9C1E9" w14:textId="77777777" w:rsidR="00883886" w:rsidRPr="000267AA" w:rsidRDefault="00883886" w:rsidP="003D27A2">
            <w:pPr>
              <w:spacing w:before="40" w:after="40"/>
              <w:rPr>
                <w:rFonts w:ascii="Arial" w:hAnsi="Arial" w:cs="Arial"/>
                <w:spacing w:val="-3"/>
                <w:sz w:val="18"/>
                <w:szCs w:val="18"/>
                <w:lang w:val="en-GB"/>
              </w:rPr>
            </w:pPr>
            <w:r w:rsidRPr="000267AA">
              <w:rPr>
                <w:rFonts w:ascii="Arial" w:hAnsi="Arial" w:cs="Arial"/>
                <w:spacing w:val="-3"/>
                <w:sz w:val="18"/>
                <w:szCs w:val="18"/>
                <w:lang w:val="en-GB"/>
              </w:rPr>
              <w:t xml:space="preserve">Official letter of the MFEI/PMO documenting the establishment of the Committee on Doing Business. </w:t>
            </w:r>
          </w:p>
        </w:tc>
      </w:tr>
    </w:tbl>
    <w:p w14:paraId="5C0BF9C1" w14:textId="52795746" w:rsidR="002A316A" w:rsidRPr="004B4126" w:rsidRDefault="002A316A" w:rsidP="00CC5663">
      <w:pPr>
        <w:spacing w:after="120"/>
        <w:jc w:val="center"/>
        <w:rPr>
          <w:rFonts w:ascii="Arial" w:hAnsi="Arial" w:cs="Arial"/>
          <w:b/>
          <w:bCs/>
          <w:sz w:val="22"/>
          <w:szCs w:val="18"/>
          <w:lang w:val="en-US" w:eastAsia="zh-CN"/>
        </w:rPr>
      </w:pPr>
    </w:p>
    <w:p w14:paraId="1416036E" w14:textId="77777777" w:rsidR="002A316A" w:rsidRPr="00CC71C6" w:rsidRDefault="002A316A" w:rsidP="00CC5663">
      <w:pPr>
        <w:spacing w:after="120"/>
        <w:jc w:val="center"/>
        <w:rPr>
          <w:rFonts w:ascii="Arial" w:hAnsi="Arial" w:cs="Arial"/>
          <w:b/>
          <w:bCs/>
          <w:sz w:val="22"/>
          <w:szCs w:val="18"/>
          <w:lang w:val="en-US" w:eastAsia="zh-CN"/>
        </w:rPr>
      </w:pPr>
    </w:p>
    <w:p w14:paraId="228059E8" w14:textId="77777777" w:rsidR="009F6FC6" w:rsidRPr="004954B0" w:rsidRDefault="009F6FC6" w:rsidP="009F6FC6">
      <w:pPr>
        <w:pStyle w:val="FirstHeading"/>
        <w:spacing w:after="0"/>
        <w:rPr>
          <w:rFonts w:ascii="Arial" w:hAnsi="Arial" w:cs="Arial"/>
          <w:sz w:val="22"/>
          <w:szCs w:val="22"/>
          <w:lang w:val="en-GB"/>
        </w:rPr>
        <w:sectPr w:rsidR="009F6FC6" w:rsidRPr="004954B0" w:rsidSect="005A0ED4">
          <w:pgSz w:w="15840" w:h="12240" w:orient="landscape" w:code="1"/>
          <w:pgMar w:top="1800" w:right="1440" w:bottom="1800" w:left="1440" w:header="706" w:footer="706" w:gutter="0"/>
          <w:cols w:space="720"/>
          <w:formProt w:val="0"/>
          <w:docGrid w:linePitch="326"/>
        </w:sectPr>
      </w:pPr>
    </w:p>
    <w:p w14:paraId="6CC90CCA" w14:textId="60261EFA" w:rsidR="00022BE3" w:rsidRPr="004954B0" w:rsidRDefault="00022BE3" w:rsidP="00074590">
      <w:pPr>
        <w:pStyle w:val="FirstHeading"/>
        <w:ind w:left="720"/>
        <w:rPr>
          <w:rFonts w:ascii="Arial" w:hAnsi="Arial" w:cs="Arial"/>
          <w:sz w:val="22"/>
          <w:szCs w:val="22"/>
          <w:lang w:val="en-GB"/>
        </w:rPr>
      </w:pPr>
      <w:bookmarkStart w:id="5" w:name="_Toc38495914"/>
      <w:r w:rsidRPr="004954B0">
        <w:rPr>
          <w:rFonts w:ascii="Arial" w:hAnsi="Arial" w:cs="Arial"/>
          <w:sz w:val="22"/>
          <w:szCs w:val="22"/>
          <w:lang w:val="en-GB"/>
        </w:rPr>
        <w:lastRenderedPageBreak/>
        <w:t>D.</w:t>
      </w:r>
      <w:r w:rsidRPr="004954B0">
        <w:rPr>
          <w:rFonts w:ascii="Arial" w:hAnsi="Arial" w:cs="Arial"/>
          <w:sz w:val="22"/>
          <w:szCs w:val="22"/>
          <w:lang w:val="en-GB"/>
        </w:rPr>
        <w:tab/>
        <w:t>Co</w:t>
      </w:r>
      <w:r w:rsidR="00523B31" w:rsidRPr="004954B0">
        <w:rPr>
          <w:rFonts w:ascii="Arial" w:hAnsi="Arial" w:cs="Arial"/>
          <w:sz w:val="22"/>
          <w:szCs w:val="22"/>
          <w:lang w:val="en-GB"/>
        </w:rPr>
        <w:t xml:space="preserve">ordination, </w:t>
      </w:r>
      <w:r w:rsidR="006B4FF6" w:rsidRPr="004954B0">
        <w:rPr>
          <w:rFonts w:ascii="Arial" w:hAnsi="Arial" w:cs="Arial"/>
          <w:sz w:val="22"/>
          <w:szCs w:val="22"/>
          <w:lang w:val="en-GB"/>
        </w:rPr>
        <w:t>W</w:t>
      </w:r>
      <w:r w:rsidR="00523B31" w:rsidRPr="004954B0">
        <w:rPr>
          <w:rFonts w:ascii="Arial" w:hAnsi="Arial" w:cs="Arial"/>
          <w:sz w:val="22"/>
          <w:szCs w:val="22"/>
          <w:lang w:val="en-GB"/>
        </w:rPr>
        <w:t xml:space="preserve">orking </w:t>
      </w:r>
      <w:r w:rsidR="006B4FF6" w:rsidRPr="004954B0">
        <w:rPr>
          <w:rFonts w:ascii="Arial" w:hAnsi="Arial" w:cs="Arial"/>
          <w:sz w:val="22"/>
          <w:szCs w:val="22"/>
          <w:lang w:val="en-GB"/>
        </w:rPr>
        <w:t>P</w:t>
      </w:r>
      <w:r w:rsidR="00523B31" w:rsidRPr="004954B0">
        <w:rPr>
          <w:rFonts w:ascii="Arial" w:hAnsi="Arial" w:cs="Arial"/>
          <w:sz w:val="22"/>
          <w:szCs w:val="22"/>
          <w:lang w:val="en-GB"/>
        </w:rPr>
        <w:t>lan</w:t>
      </w:r>
      <w:r w:rsidR="006B4FF6" w:rsidRPr="004954B0">
        <w:rPr>
          <w:rFonts w:ascii="Arial" w:hAnsi="Arial" w:cs="Arial"/>
          <w:sz w:val="22"/>
          <w:szCs w:val="22"/>
          <w:lang w:val="en-GB"/>
        </w:rPr>
        <w:t>,</w:t>
      </w:r>
      <w:r w:rsidR="00523B31" w:rsidRPr="004954B0">
        <w:rPr>
          <w:rFonts w:ascii="Arial" w:hAnsi="Arial" w:cs="Arial"/>
          <w:sz w:val="22"/>
          <w:szCs w:val="22"/>
          <w:lang w:val="en-GB"/>
        </w:rPr>
        <w:t xml:space="preserve"> and </w:t>
      </w:r>
      <w:r w:rsidR="006B4FF6" w:rsidRPr="004954B0">
        <w:rPr>
          <w:rFonts w:ascii="Arial" w:hAnsi="Arial" w:cs="Arial"/>
          <w:sz w:val="22"/>
          <w:szCs w:val="22"/>
          <w:lang w:val="en-GB"/>
        </w:rPr>
        <w:t>B</w:t>
      </w:r>
      <w:r w:rsidR="00523B31" w:rsidRPr="004954B0">
        <w:rPr>
          <w:rFonts w:ascii="Arial" w:hAnsi="Arial" w:cs="Arial"/>
          <w:sz w:val="22"/>
          <w:szCs w:val="22"/>
          <w:lang w:val="en-GB"/>
        </w:rPr>
        <w:t xml:space="preserve">udget for </w:t>
      </w:r>
      <w:r w:rsidR="006B4FF6" w:rsidRPr="004954B0">
        <w:rPr>
          <w:rFonts w:ascii="Arial" w:hAnsi="Arial" w:cs="Arial"/>
          <w:sz w:val="22"/>
          <w:szCs w:val="22"/>
          <w:lang w:val="en-GB"/>
        </w:rPr>
        <w:t>M</w:t>
      </w:r>
      <w:r w:rsidR="00523B31" w:rsidRPr="004954B0">
        <w:rPr>
          <w:rFonts w:ascii="Arial" w:hAnsi="Arial" w:cs="Arial"/>
          <w:sz w:val="22"/>
          <w:szCs w:val="22"/>
          <w:lang w:val="en-GB"/>
        </w:rPr>
        <w:t>onitoring</w:t>
      </w:r>
      <w:bookmarkEnd w:id="5"/>
      <w:r w:rsidR="00523B31" w:rsidRPr="004954B0">
        <w:rPr>
          <w:rFonts w:ascii="Arial" w:hAnsi="Arial" w:cs="Arial"/>
          <w:sz w:val="22"/>
          <w:szCs w:val="22"/>
          <w:lang w:val="en-GB"/>
        </w:rPr>
        <w:t xml:space="preserve">  </w:t>
      </w:r>
    </w:p>
    <w:p w14:paraId="3AB05456" w14:textId="428FA751" w:rsidR="00CB7EF0" w:rsidRPr="004954B0" w:rsidRDefault="00455F4B" w:rsidP="00E6181F">
      <w:pPr>
        <w:pStyle w:val="Paragraph"/>
        <w:tabs>
          <w:tab w:val="clear" w:pos="2448"/>
          <w:tab w:val="num" w:pos="720"/>
          <w:tab w:val="num" w:pos="1440"/>
        </w:tabs>
        <w:ind w:left="720" w:hanging="720"/>
        <w:rPr>
          <w:rFonts w:ascii="Arial" w:hAnsi="Arial" w:cs="Arial"/>
          <w:color w:val="000000"/>
          <w:sz w:val="22"/>
          <w:szCs w:val="22"/>
          <w:lang w:val="en-GB"/>
        </w:rPr>
      </w:pPr>
      <w:r w:rsidRPr="004954B0">
        <w:rPr>
          <w:rFonts w:ascii="Arial" w:hAnsi="Arial" w:cs="Arial"/>
          <w:color w:val="000000"/>
          <w:sz w:val="22"/>
          <w:szCs w:val="22"/>
          <w:lang w:val="en-GB"/>
        </w:rPr>
        <w:t>Monitoring and reporting activities will be coordinated by the project team for this program</w:t>
      </w:r>
      <w:r w:rsidR="00171B43" w:rsidRPr="004954B0">
        <w:rPr>
          <w:rFonts w:ascii="Arial" w:hAnsi="Arial" w:cs="Arial"/>
          <w:color w:val="000000"/>
          <w:sz w:val="22"/>
          <w:szCs w:val="22"/>
          <w:lang w:val="en-GB"/>
        </w:rPr>
        <w:t>me</w:t>
      </w:r>
      <w:r w:rsidRPr="004954B0">
        <w:rPr>
          <w:rFonts w:ascii="Arial" w:hAnsi="Arial" w:cs="Arial"/>
          <w:color w:val="000000"/>
          <w:sz w:val="22"/>
          <w:szCs w:val="22"/>
          <w:lang w:val="en-GB"/>
        </w:rPr>
        <w:t xml:space="preserve"> in conjunction with the EA, </w:t>
      </w:r>
      <w:r w:rsidR="0046785D" w:rsidRPr="004954B0">
        <w:rPr>
          <w:rFonts w:ascii="Arial" w:hAnsi="Arial" w:cs="Arial"/>
          <w:color w:val="000000"/>
          <w:sz w:val="22"/>
          <w:szCs w:val="22"/>
          <w:lang w:val="en-GB" w:eastAsia="zh-CN"/>
        </w:rPr>
        <w:t xml:space="preserve">and both will </w:t>
      </w:r>
      <w:r w:rsidR="00F47A85" w:rsidRPr="004954B0">
        <w:rPr>
          <w:rFonts w:ascii="Arial" w:hAnsi="Arial" w:cs="Arial"/>
          <w:color w:val="000000"/>
          <w:sz w:val="22"/>
          <w:szCs w:val="22"/>
          <w:lang w:val="en-GB" w:eastAsia="zh-CN"/>
        </w:rPr>
        <w:t>monitor</w:t>
      </w:r>
      <w:r w:rsidR="0046785D" w:rsidRPr="004954B0">
        <w:rPr>
          <w:rFonts w:ascii="Arial" w:hAnsi="Arial" w:cs="Arial"/>
          <w:color w:val="000000"/>
          <w:sz w:val="22"/>
          <w:szCs w:val="22"/>
          <w:lang w:val="en-GB" w:eastAsia="zh-CN"/>
        </w:rPr>
        <w:t xml:space="preserve"> the </w:t>
      </w:r>
      <w:r w:rsidR="0046785D" w:rsidRPr="004954B0">
        <w:rPr>
          <w:rFonts w:ascii="Arial" w:hAnsi="Arial" w:cs="Arial"/>
          <w:color w:val="000000"/>
          <w:sz w:val="22"/>
          <w:szCs w:val="22"/>
          <w:lang w:val="en-GB"/>
        </w:rPr>
        <w:t>indicators</w:t>
      </w:r>
      <w:r w:rsidRPr="004954B0">
        <w:rPr>
          <w:rFonts w:ascii="Arial" w:hAnsi="Arial" w:cs="Arial"/>
          <w:color w:val="000000"/>
          <w:sz w:val="22"/>
          <w:szCs w:val="22"/>
          <w:lang w:val="en-GB"/>
        </w:rPr>
        <w:t xml:space="preserve"> proposed in this program</w:t>
      </w:r>
      <w:r w:rsidR="00171B43" w:rsidRPr="004954B0">
        <w:rPr>
          <w:rFonts w:ascii="Arial" w:hAnsi="Arial" w:cs="Arial"/>
          <w:color w:val="000000"/>
          <w:sz w:val="22"/>
          <w:szCs w:val="22"/>
          <w:lang w:val="en-GB"/>
        </w:rPr>
        <w:t>me</w:t>
      </w:r>
      <w:r w:rsidRPr="004954B0">
        <w:rPr>
          <w:rFonts w:ascii="Arial" w:hAnsi="Arial" w:cs="Arial"/>
          <w:color w:val="000000"/>
          <w:sz w:val="22"/>
          <w:szCs w:val="22"/>
          <w:lang w:val="en-GB"/>
        </w:rPr>
        <w:t xml:space="preserve">. Regular monitoring meetings </w:t>
      </w:r>
      <w:r w:rsidR="00F47A85" w:rsidRPr="004954B0">
        <w:rPr>
          <w:rFonts w:ascii="Arial" w:hAnsi="Arial" w:cs="Arial"/>
          <w:color w:val="000000"/>
          <w:sz w:val="22"/>
          <w:szCs w:val="22"/>
          <w:lang w:val="en-GB" w:eastAsia="zh-CN"/>
        </w:rPr>
        <w:t>will be</w:t>
      </w:r>
      <w:r w:rsidRPr="004954B0">
        <w:rPr>
          <w:rFonts w:ascii="Arial" w:hAnsi="Arial" w:cs="Arial"/>
          <w:color w:val="000000"/>
          <w:sz w:val="22"/>
          <w:szCs w:val="22"/>
          <w:lang w:val="en-GB"/>
        </w:rPr>
        <w:t xml:space="preserve"> planned to assess progress on the agreed output and outcome indicators. The</w:t>
      </w:r>
      <w:r w:rsidR="00E02D5C" w:rsidRPr="004954B0">
        <w:rPr>
          <w:rFonts w:ascii="Arial" w:hAnsi="Arial" w:cs="Arial"/>
          <w:color w:val="000000"/>
          <w:sz w:val="22"/>
          <w:szCs w:val="22"/>
          <w:lang w:val="en-GB"/>
        </w:rPr>
        <w:t xml:space="preserve"> administrative budget will finance the</w:t>
      </w:r>
      <w:r w:rsidRPr="004954B0">
        <w:rPr>
          <w:rFonts w:ascii="Arial" w:hAnsi="Arial" w:cs="Arial"/>
          <w:color w:val="000000"/>
          <w:sz w:val="22"/>
          <w:szCs w:val="22"/>
          <w:lang w:val="en-GB"/>
        </w:rPr>
        <w:t xml:space="preserve"> cost</w:t>
      </w:r>
      <w:r w:rsidR="00E02D5C" w:rsidRPr="004954B0">
        <w:rPr>
          <w:rFonts w:ascii="Arial" w:hAnsi="Arial" w:cs="Arial"/>
          <w:color w:val="000000"/>
          <w:sz w:val="22"/>
          <w:szCs w:val="22"/>
          <w:lang w:val="en-GB"/>
        </w:rPr>
        <w:t>s</w:t>
      </w:r>
      <w:r w:rsidRPr="004954B0">
        <w:rPr>
          <w:rFonts w:ascii="Arial" w:hAnsi="Arial" w:cs="Arial"/>
          <w:color w:val="000000"/>
          <w:sz w:val="22"/>
          <w:szCs w:val="22"/>
          <w:lang w:val="en-GB"/>
        </w:rPr>
        <w:t xml:space="preserve"> of these meetings</w:t>
      </w:r>
      <w:r w:rsidR="00E02D5C" w:rsidRPr="004954B0">
        <w:rPr>
          <w:rFonts w:ascii="Arial" w:hAnsi="Arial" w:cs="Arial"/>
          <w:color w:val="000000"/>
          <w:sz w:val="22"/>
          <w:szCs w:val="22"/>
          <w:lang w:val="en-GB"/>
        </w:rPr>
        <w:t>.</w:t>
      </w:r>
    </w:p>
    <w:p w14:paraId="03E8EBCA" w14:textId="24E3456D" w:rsidR="00D34B84" w:rsidRPr="004954B0" w:rsidRDefault="00410122" w:rsidP="00E6181F">
      <w:pPr>
        <w:pStyle w:val="Paragraph"/>
        <w:tabs>
          <w:tab w:val="clear" w:pos="2448"/>
          <w:tab w:val="num" w:pos="720"/>
          <w:tab w:val="num" w:pos="1440"/>
        </w:tabs>
        <w:ind w:left="720" w:hanging="720"/>
        <w:rPr>
          <w:rFonts w:ascii="Arial" w:hAnsi="Arial" w:cs="Arial"/>
          <w:color w:val="000000"/>
          <w:sz w:val="22"/>
          <w:szCs w:val="22"/>
          <w:lang w:val="en-GB"/>
        </w:rPr>
      </w:pPr>
      <w:r w:rsidRPr="004954B0">
        <w:rPr>
          <w:rFonts w:ascii="Arial" w:hAnsi="Arial" w:cs="Arial"/>
          <w:color w:val="000000"/>
          <w:sz w:val="22"/>
          <w:szCs w:val="22"/>
          <w:lang w:val="en-GB"/>
        </w:rPr>
        <w:t xml:space="preserve">The </w:t>
      </w:r>
      <w:r w:rsidR="00E02D5C" w:rsidRPr="004954B0">
        <w:rPr>
          <w:rFonts w:ascii="Arial" w:hAnsi="Arial" w:cs="Arial"/>
          <w:color w:val="000000"/>
          <w:sz w:val="22"/>
          <w:szCs w:val="22"/>
          <w:lang w:val="en-GB"/>
        </w:rPr>
        <w:t>EA</w:t>
      </w:r>
      <w:r w:rsidRPr="004954B0">
        <w:rPr>
          <w:rFonts w:ascii="Arial" w:hAnsi="Arial" w:cs="Arial"/>
          <w:color w:val="000000"/>
          <w:sz w:val="22"/>
          <w:szCs w:val="22"/>
          <w:lang w:val="en-GB"/>
        </w:rPr>
        <w:t xml:space="preserve"> will provide the data necessary for conducting the evaluations</w:t>
      </w:r>
      <w:r w:rsidR="00E02D5C" w:rsidRPr="004954B0">
        <w:rPr>
          <w:rFonts w:ascii="Arial" w:hAnsi="Arial" w:cs="Arial"/>
          <w:color w:val="000000"/>
          <w:sz w:val="22"/>
          <w:szCs w:val="22"/>
          <w:lang w:val="en-GB"/>
        </w:rPr>
        <w:t xml:space="preserve">, and </w:t>
      </w:r>
      <w:r w:rsidRPr="004954B0">
        <w:rPr>
          <w:rFonts w:ascii="Arial" w:hAnsi="Arial" w:cs="Arial"/>
          <w:color w:val="000000"/>
          <w:sz w:val="22"/>
          <w:szCs w:val="22"/>
          <w:lang w:val="en-GB"/>
        </w:rPr>
        <w:t xml:space="preserve">FMM specialists will carry </w:t>
      </w:r>
      <w:r w:rsidR="00E02D5C" w:rsidRPr="004954B0">
        <w:rPr>
          <w:rFonts w:ascii="Arial" w:hAnsi="Arial" w:cs="Arial"/>
          <w:color w:val="000000"/>
          <w:sz w:val="22"/>
          <w:szCs w:val="22"/>
          <w:lang w:val="en-GB"/>
        </w:rPr>
        <w:t>them out</w:t>
      </w:r>
      <w:r w:rsidRPr="004954B0">
        <w:rPr>
          <w:rFonts w:ascii="Arial" w:hAnsi="Arial" w:cs="Arial"/>
          <w:color w:val="000000"/>
          <w:sz w:val="22"/>
          <w:szCs w:val="22"/>
          <w:lang w:val="en-GB"/>
        </w:rPr>
        <w:t xml:space="preserve">. </w:t>
      </w:r>
      <w:r w:rsidR="00E02D5C" w:rsidRPr="004954B0">
        <w:rPr>
          <w:rFonts w:ascii="Arial" w:hAnsi="Arial" w:cs="Arial"/>
          <w:color w:val="000000"/>
          <w:sz w:val="22"/>
          <w:szCs w:val="22"/>
          <w:lang w:val="en-GB"/>
        </w:rPr>
        <w:t>If</w:t>
      </w:r>
      <w:r w:rsidRPr="004954B0">
        <w:rPr>
          <w:rFonts w:ascii="Arial" w:hAnsi="Arial" w:cs="Arial"/>
          <w:color w:val="000000"/>
          <w:sz w:val="22"/>
          <w:szCs w:val="22"/>
          <w:lang w:val="en-GB"/>
        </w:rPr>
        <w:t xml:space="preserve"> this is not possible due to time constraints, financing for the evaluation will come from administrative resources</w:t>
      </w:r>
      <w:r w:rsidR="00341B66" w:rsidRPr="004954B0">
        <w:rPr>
          <w:rFonts w:ascii="Arial" w:hAnsi="Arial" w:cs="Arial"/>
          <w:color w:val="000000"/>
          <w:sz w:val="22"/>
          <w:szCs w:val="22"/>
          <w:lang w:val="en-GB"/>
        </w:rPr>
        <w:t>.</w:t>
      </w:r>
      <w:r w:rsidR="00735808" w:rsidRPr="004954B0">
        <w:rPr>
          <w:rFonts w:ascii="Arial" w:hAnsi="Arial" w:cs="Arial"/>
          <w:color w:val="000000"/>
          <w:sz w:val="22"/>
          <w:szCs w:val="22"/>
          <w:lang w:val="en-GB"/>
        </w:rPr>
        <w:t xml:space="preserve"> </w:t>
      </w:r>
    </w:p>
    <w:p w14:paraId="6CC90CCC" w14:textId="4DAF222B" w:rsidR="009B3E59" w:rsidRPr="004954B0" w:rsidRDefault="00331388" w:rsidP="00CC5663">
      <w:pPr>
        <w:pStyle w:val="Paragraph"/>
        <w:numPr>
          <w:ilvl w:val="0"/>
          <w:numId w:val="0"/>
        </w:numPr>
        <w:spacing w:before="0"/>
        <w:ind w:left="720"/>
        <w:jc w:val="center"/>
        <w:rPr>
          <w:rFonts w:ascii="Arial" w:hAnsi="Arial" w:cs="Arial"/>
          <w:b/>
          <w:sz w:val="20"/>
          <w:lang w:val="en-GB"/>
        </w:rPr>
      </w:pPr>
      <w:r w:rsidRPr="004954B0">
        <w:rPr>
          <w:rFonts w:ascii="Arial" w:hAnsi="Arial" w:cs="Arial"/>
          <w:b/>
          <w:sz w:val="20"/>
          <w:lang w:val="en-GB" w:eastAsia="zh-CN"/>
        </w:rPr>
        <w:t xml:space="preserve">Table </w:t>
      </w:r>
      <w:r w:rsidR="009B3E59" w:rsidRPr="004954B0">
        <w:rPr>
          <w:rFonts w:ascii="Arial" w:hAnsi="Arial" w:cs="Arial"/>
          <w:b/>
          <w:sz w:val="20"/>
          <w:lang w:val="en-GB"/>
        </w:rPr>
        <w:t>2</w:t>
      </w:r>
      <w:r w:rsidR="00CC5663" w:rsidRPr="004954B0">
        <w:rPr>
          <w:rFonts w:ascii="Arial" w:hAnsi="Arial" w:cs="Arial"/>
          <w:b/>
          <w:sz w:val="20"/>
          <w:lang w:val="en-GB"/>
        </w:rPr>
        <w:t xml:space="preserve">. </w:t>
      </w:r>
      <w:r w:rsidRPr="004954B0">
        <w:rPr>
          <w:rFonts w:ascii="Arial" w:hAnsi="Arial" w:cs="Arial"/>
          <w:b/>
          <w:bCs/>
          <w:color w:val="000000"/>
          <w:sz w:val="20"/>
          <w:lang w:val="en-GB" w:eastAsia="zh-CN"/>
        </w:rPr>
        <w:t xml:space="preserve">Main Monitoring Activities / Outputs by Activity </w:t>
      </w:r>
    </w:p>
    <w:tbl>
      <w:tblPr>
        <w:tblW w:w="9090" w:type="dxa"/>
        <w:tblInd w:w="-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600"/>
        <w:gridCol w:w="1800"/>
        <w:gridCol w:w="1530"/>
        <w:gridCol w:w="900"/>
        <w:gridCol w:w="1260"/>
      </w:tblGrid>
      <w:tr w:rsidR="00D34B84" w:rsidRPr="004954B0" w14:paraId="6CC90CD3" w14:textId="77777777" w:rsidTr="00E02D5C">
        <w:trPr>
          <w:trHeight w:val="598"/>
          <w:tblHeader/>
        </w:trPr>
        <w:tc>
          <w:tcPr>
            <w:tcW w:w="3600" w:type="dxa"/>
            <w:shd w:val="clear" w:color="000000" w:fill="8DB3E2"/>
            <w:vAlign w:val="center"/>
            <w:hideMark/>
          </w:tcPr>
          <w:p w14:paraId="6CC90CCD" w14:textId="3C18536A" w:rsidR="00D34B84" w:rsidRPr="004954B0" w:rsidRDefault="00E02D5C" w:rsidP="005A0ED4">
            <w:pPr>
              <w:spacing w:before="40" w:after="40"/>
              <w:jc w:val="center"/>
              <w:rPr>
                <w:rFonts w:ascii="Arial" w:hAnsi="Arial" w:cs="Arial"/>
                <w:b/>
                <w:bCs/>
                <w:color w:val="000000"/>
                <w:sz w:val="18"/>
                <w:szCs w:val="18"/>
                <w:lang w:val="en-GB"/>
              </w:rPr>
            </w:pPr>
            <w:r w:rsidRPr="004954B0">
              <w:rPr>
                <w:rFonts w:ascii="Arial" w:hAnsi="Arial" w:cs="Arial"/>
                <w:b/>
                <w:bCs/>
                <w:color w:val="000000"/>
                <w:sz w:val="18"/>
                <w:szCs w:val="18"/>
                <w:lang w:val="en-GB"/>
              </w:rPr>
              <w:t>Activities and products</w:t>
            </w:r>
          </w:p>
        </w:tc>
        <w:tc>
          <w:tcPr>
            <w:tcW w:w="1800" w:type="dxa"/>
            <w:shd w:val="clear" w:color="000000" w:fill="8DB3E2"/>
            <w:vAlign w:val="center"/>
          </w:tcPr>
          <w:p w14:paraId="6CC90CCF" w14:textId="514E8CFF" w:rsidR="00D34B84" w:rsidRPr="004954B0" w:rsidRDefault="00E02D5C" w:rsidP="005A0ED4">
            <w:pPr>
              <w:spacing w:before="40" w:after="40"/>
              <w:jc w:val="center"/>
              <w:rPr>
                <w:rFonts w:ascii="Arial" w:hAnsi="Arial" w:cs="Arial"/>
                <w:b/>
                <w:bCs/>
                <w:color w:val="000000"/>
                <w:sz w:val="18"/>
                <w:szCs w:val="18"/>
                <w:lang w:val="en-GB"/>
              </w:rPr>
            </w:pPr>
            <w:r w:rsidRPr="004954B0">
              <w:rPr>
                <w:rFonts w:ascii="Arial" w:hAnsi="Arial" w:cs="Arial"/>
                <w:b/>
                <w:bCs/>
                <w:color w:val="000000"/>
                <w:sz w:val="18"/>
                <w:szCs w:val="18"/>
                <w:lang w:val="en-GB"/>
              </w:rPr>
              <w:t>Quantity</w:t>
            </w:r>
          </w:p>
        </w:tc>
        <w:tc>
          <w:tcPr>
            <w:tcW w:w="1530" w:type="dxa"/>
            <w:shd w:val="clear" w:color="000000" w:fill="8DB3E2"/>
            <w:vAlign w:val="center"/>
            <w:hideMark/>
          </w:tcPr>
          <w:p w14:paraId="6CC90CD0" w14:textId="5D49D330" w:rsidR="00D34B84" w:rsidRPr="004954B0" w:rsidRDefault="00E02D5C" w:rsidP="005A0ED4">
            <w:pPr>
              <w:spacing w:before="40" w:after="40"/>
              <w:jc w:val="center"/>
              <w:rPr>
                <w:rFonts w:ascii="Arial" w:hAnsi="Arial" w:cs="Arial"/>
                <w:b/>
                <w:bCs/>
                <w:color w:val="000000"/>
                <w:sz w:val="18"/>
                <w:szCs w:val="18"/>
                <w:lang w:val="en-GB"/>
              </w:rPr>
            </w:pPr>
            <w:r w:rsidRPr="004954B0">
              <w:rPr>
                <w:rFonts w:ascii="Arial" w:hAnsi="Arial" w:cs="Arial"/>
                <w:b/>
                <w:bCs/>
                <w:color w:val="000000"/>
                <w:sz w:val="18"/>
                <w:szCs w:val="18"/>
                <w:lang w:val="en-GB"/>
              </w:rPr>
              <w:t>Responsible party</w:t>
            </w:r>
          </w:p>
        </w:tc>
        <w:tc>
          <w:tcPr>
            <w:tcW w:w="900" w:type="dxa"/>
            <w:shd w:val="clear" w:color="000000" w:fill="8DB3E2"/>
            <w:vAlign w:val="center"/>
            <w:hideMark/>
          </w:tcPr>
          <w:p w14:paraId="79E38AE5" w14:textId="2C37813F" w:rsidR="00D34B84" w:rsidRPr="004954B0" w:rsidRDefault="00D34B84" w:rsidP="005A0ED4">
            <w:pPr>
              <w:spacing w:before="40"/>
              <w:jc w:val="center"/>
              <w:rPr>
                <w:rFonts w:ascii="Arial" w:hAnsi="Arial" w:cs="Arial"/>
                <w:b/>
                <w:bCs/>
                <w:color w:val="000000"/>
                <w:sz w:val="18"/>
                <w:szCs w:val="18"/>
                <w:lang w:val="en-GB"/>
              </w:rPr>
            </w:pPr>
            <w:r w:rsidRPr="004954B0">
              <w:rPr>
                <w:rFonts w:ascii="Arial" w:hAnsi="Arial" w:cs="Arial"/>
                <w:b/>
                <w:bCs/>
                <w:color w:val="000000"/>
                <w:sz w:val="18"/>
                <w:szCs w:val="18"/>
                <w:lang w:val="en-GB"/>
              </w:rPr>
              <w:t>Cost</w:t>
            </w:r>
            <w:r w:rsidR="00E02D5C" w:rsidRPr="004954B0">
              <w:rPr>
                <w:rFonts w:ascii="Arial" w:hAnsi="Arial" w:cs="Arial"/>
                <w:b/>
                <w:bCs/>
                <w:color w:val="000000"/>
                <w:sz w:val="18"/>
                <w:szCs w:val="18"/>
                <w:lang w:val="en-GB"/>
              </w:rPr>
              <w:t xml:space="preserve"> in</w:t>
            </w:r>
          </w:p>
          <w:p w14:paraId="6CC90CD1" w14:textId="2954786A" w:rsidR="00D34B84" w:rsidRPr="004954B0" w:rsidRDefault="00D34B84" w:rsidP="005A0ED4">
            <w:pPr>
              <w:spacing w:after="40"/>
              <w:jc w:val="center"/>
              <w:rPr>
                <w:rFonts w:ascii="Arial" w:hAnsi="Arial" w:cs="Arial"/>
                <w:b/>
                <w:bCs/>
                <w:color w:val="000000"/>
                <w:sz w:val="18"/>
                <w:szCs w:val="18"/>
                <w:lang w:val="en-GB"/>
              </w:rPr>
            </w:pPr>
            <w:r w:rsidRPr="004954B0">
              <w:rPr>
                <w:rFonts w:ascii="Arial" w:hAnsi="Arial" w:cs="Arial"/>
                <w:b/>
                <w:bCs/>
                <w:color w:val="000000"/>
                <w:sz w:val="18"/>
                <w:szCs w:val="18"/>
                <w:lang w:val="en-GB"/>
              </w:rPr>
              <w:t>US$</w:t>
            </w:r>
          </w:p>
        </w:tc>
        <w:tc>
          <w:tcPr>
            <w:tcW w:w="1260" w:type="dxa"/>
            <w:shd w:val="clear" w:color="000000" w:fill="8DB3E2"/>
            <w:vAlign w:val="center"/>
            <w:hideMark/>
          </w:tcPr>
          <w:p w14:paraId="6CC90CD2" w14:textId="0237A176" w:rsidR="00D34B84" w:rsidRPr="004954B0" w:rsidRDefault="00E02D5C" w:rsidP="005A0ED4">
            <w:pPr>
              <w:spacing w:before="40" w:after="40"/>
              <w:jc w:val="center"/>
              <w:rPr>
                <w:rFonts w:ascii="Arial" w:hAnsi="Arial" w:cs="Arial"/>
                <w:b/>
                <w:bCs/>
                <w:color w:val="000000"/>
                <w:sz w:val="18"/>
                <w:szCs w:val="18"/>
                <w:lang w:val="en-GB"/>
              </w:rPr>
            </w:pPr>
            <w:r w:rsidRPr="004954B0">
              <w:rPr>
                <w:rFonts w:ascii="Arial" w:hAnsi="Arial" w:cs="Arial"/>
                <w:b/>
                <w:bCs/>
                <w:color w:val="000000"/>
                <w:sz w:val="18"/>
                <w:szCs w:val="18"/>
                <w:lang w:val="en-GB"/>
              </w:rPr>
              <w:t>Financing</w:t>
            </w:r>
          </w:p>
        </w:tc>
      </w:tr>
      <w:tr w:rsidR="00D34B84" w:rsidRPr="004954B0" w14:paraId="6CC90CEF" w14:textId="77777777" w:rsidTr="00E02D5C">
        <w:trPr>
          <w:trHeight w:val="315"/>
        </w:trPr>
        <w:tc>
          <w:tcPr>
            <w:tcW w:w="3600" w:type="dxa"/>
            <w:shd w:val="clear" w:color="auto" w:fill="auto"/>
            <w:vAlign w:val="center"/>
            <w:hideMark/>
          </w:tcPr>
          <w:p w14:paraId="6CC90CE9" w14:textId="7FD5DC66" w:rsidR="00D34B84" w:rsidRPr="004954B0" w:rsidRDefault="001B0139" w:rsidP="001A5A3B">
            <w:pPr>
              <w:rPr>
                <w:rFonts w:ascii="Arial" w:hAnsi="Arial" w:cs="Arial"/>
                <w:color w:val="000000"/>
                <w:sz w:val="18"/>
                <w:szCs w:val="18"/>
                <w:highlight w:val="yellow"/>
                <w:lang w:val="en-GB"/>
              </w:rPr>
            </w:pPr>
            <w:r w:rsidRPr="004954B0">
              <w:rPr>
                <w:rFonts w:ascii="Arial" w:hAnsi="Arial" w:cs="Arial"/>
                <w:color w:val="000000"/>
                <w:sz w:val="18"/>
                <w:szCs w:val="18"/>
                <w:lang w:val="en-GB"/>
              </w:rPr>
              <w:t xml:space="preserve">Report of fulfilment of conditions for disbursement </w:t>
            </w:r>
          </w:p>
        </w:tc>
        <w:tc>
          <w:tcPr>
            <w:tcW w:w="1800" w:type="dxa"/>
            <w:vAlign w:val="center"/>
          </w:tcPr>
          <w:p w14:paraId="6CC90CEB" w14:textId="102BAD28" w:rsidR="00D34B84" w:rsidRPr="004954B0" w:rsidRDefault="00D34B84" w:rsidP="001A5A3B">
            <w:pPr>
              <w:jc w:val="center"/>
              <w:rPr>
                <w:rFonts w:ascii="Arial" w:hAnsi="Arial" w:cs="Arial"/>
                <w:color w:val="000000"/>
                <w:sz w:val="18"/>
                <w:szCs w:val="18"/>
                <w:lang w:val="en-GB"/>
              </w:rPr>
            </w:pPr>
            <w:r w:rsidRPr="004954B0">
              <w:rPr>
                <w:rFonts w:ascii="Arial" w:hAnsi="Arial" w:cs="Arial"/>
                <w:color w:val="000000"/>
                <w:sz w:val="18"/>
                <w:szCs w:val="18"/>
                <w:lang w:val="en-GB"/>
              </w:rPr>
              <w:t>1</w:t>
            </w:r>
          </w:p>
        </w:tc>
        <w:tc>
          <w:tcPr>
            <w:tcW w:w="1530" w:type="dxa"/>
            <w:shd w:val="clear" w:color="auto" w:fill="auto"/>
            <w:vAlign w:val="center"/>
            <w:hideMark/>
          </w:tcPr>
          <w:p w14:paraId="6CC90CEC" w14:textId="35F79ED8" w:rsidR="00D34B84" w:rsidRPr="004954B0" w:rsidRDefault="00B81279" w:rsidP="001A5A3B">
            <w:pPr>
              <w:jc w:val="center"/>
              <w:rPr>
                <w:rFonts w:ascii="Arial" w:hAnsi="Arial" w:cs="Arial"/>
                <w:color w:val="000000"/>
                <w:sz w:val="18"/>
                <w:szCs w:val="18"/>
                <w:lang w:val="en-GB"/>
              </w:rPr>
            </w:pPr>
            <w:r w:rsidRPr="004954B0">
              <w:rPr>
                <w:rFonts w:ascii="Arial" w:hAnsi="Arial" w:cs="Arial"/>
                <w:color w:val="000000"/>
                <w:sz w:val="18"/>
                <w:szCs w:val="18"/>
                <w:lang w:val="en-GB"/>
              </w:rPr>
              <w:t>IDB</w:t>
            </w:r>
          </w:p>
        </w:tc>
        <w:tc>
          <w:tcPr>
            <w:tcW w:w="900" w:type="dxa"/>
            <w:shd w:val="clear" w:color="auto" w:fill="auto"/>
            <w:vAlign w:val="center"/>
            <w:hideMark/>
          </w:tcPr>
          <w:p w14:paraId="6CC90CED" w14:textId="3A7C17A3" w:rsidR="00D34B84" w:rsidRPr="004954B0" w:rsidRDefault="00D34B84" w:rsidP="006210E2">
            <w:pPr>
              <w:jc w:val="center"/>
              <w:rPr>
                <w:rFonts w:ascii="Arial" w:hAnsi="Arial" w:cs="Arial"/>
                <w:color w:val="000000"/>
                <w:sz w:val="18"/>
                <w:szCs w:val="18"/>
                <w:lang w:val="en-GB"/>
              </w:rPr>
            </w:pPr>
            <w:r w:rsidRPr="004954B0">
              <w:rPr>
                <w:rFonts w:ascii="Arial" w:hAnsi="Arial" w:cs="Arial"/>
                <w:color w:val="000000"/>
                <w:sz w:val="18"/>
                <w:szCs w:val="18"/>
                <w:lang w:val="en-GB"/>
              </w:rPr>
              <w:t>0</w:t>
            </w:r>
          </w:p>
        </w:tc>
        <w:tc>
          <w:tcPr>
            <w:tcW w:w="1260" w:type="dxa"/>
            <w:shd w:val="clear" w:color="auto" w:fill="auto"/>
            <w:vAlign w:val="center"/>
            <w:hideMark/>
          </w:tcPr>
          <w:p w14:paraId="6CC90CEE" w14:textId="4AAFD26C" w:rsidR="00D34B84" w:rsidRPr="004954B0" w:rsidRDefault="00B81279" w:rsidP="001A5A3B">
            <w:pPr>
              <w:jc w:val="center"/>
              <w:rPr>
                <w:rFonts w:ascii="Arial" w:hAnsi="Arial" w:cs="Arial"/>
                <w:color w:val="000000"/>
                <w:sz w:val="18"/>
                <w:szCs w:val="18"/>
                <w:lang w:val="en-GB"/>
              </w:rPr>
            </w:pPr>
            <w:r w:rsidRPr="004954B0">
              <w:rPr>
                <w:rFonts w:ascii="Arial" w:hAnsi="Arial" w:cs="Arial"/>
                <w:color w:val="000000"/>
                <w:sz w:val="18"/>
                <w:szCs w:val="18"/>
                <w:lang w:val="en-GB"/>
              </w:rPr>
              <w:t>IDB</w:t>
            </w:r>
          </w:p>
        </w:tc>
      </w:tr>
      <w:tr w:rsidR="00E02D5C" w:rsidRPr="004954B0" w14:paraId="06DE400B" w14:textId="77777777" w:rsidTr="00E02D5C">
        <w:trPr>
          <w:trHeight w:val="394"/>
        </w:trPr>
        <w:tc>
          <w:tcPr>
            <w:tcW w:w="3600" w:type="dxa"/>
            <w:shd w:val="clear" w:color="auto" w:fill="auto"/>
            <w:vAlign w:val="center"/>
          </w:tcPr>
          <w:p w14:paraId="3F255DB2" w14:textId="15AC50D4" w:rsidR="00C1434E" w:rsidRPr="004954B0" w:rsidRDefault="006824C7" w:rsidP="00C1434E">
            <w:pPr>
              <w:rPr>
                <w:rFonts w:ascii="Arial" w:hAnsi="Arial" w:cs="Arial"/>
                <w:color w:val="000000"/>
                <w:sz w:val="18"/>
                <w:szCs w:val="18"/>
                <w:highlight w:val="yellow"/>
                <w:lang w:val="en-GB"/>
              </w:rPr>
            </w:pPr>
            <w:r w:rsidRPr="004954B0">
              <w:rPr>
                <w:rFonts w:ascii="Arial" w:hAnsi="Arial" w:cs="Arial"/>
                <w:color w:val="000000"/>
                <w:sz w:val="18"/>
                <w:szCs w:val="18"/>
                <w:lang w:val="en-GB"/>
              </w:rPr>
              <w:t>Monitoring meetings</w:t>
            </w:r>
          </w:p>
        </w:tc>
        <w:tc>
          <w:tcPr>
            <w:tcW w:w="1800" w:type="dxa"/>
            <w:vAlign w:val="center"/>
          </w:tcPr>
          <w:p w14:paraId="6256656E" w14:textId="4910EDFC" w:rsidR="00C1434E" w:rsidRPr="004954B0" w:rsidRDefault="008C244A" w:rsidP="00C1434E">
            <w:pPr>
              <w:jc w:val="center"/>
              <w:rPr>
                <w:rFonts w:ascii="Arial" w:hAnsi="Arial" w:cs="Arial"/>
                <w:color w:val="000000"/>
                <w:sz w:val="18"/>
                <w:szCs w:val="18"/>
                <w:lang w:val="en-GB"/>
              </w:rPr>
            </w:pPr>
            <w:r w:rsidRPr="004954B0">
              <w:rPr>
                <w:rFonts w:ascii="Arial" w:hAnsi="Arial" w:cs="Arial"/>
                <w:color w:val="000000"/>
                <w:sz w:val="18"/>
                <w:szCs w:val="18"/>
                <w:lang w:val="en-GB"/>
              </w:rPr>
              <w:t>1</w:t>
            </w:r>
          </w:p>
        </w:tc>
        <w:tc>
          <w:tcPr>
            <w:tcW w:w="1530" w:type="dxa"/>
            <w:shd w:val="clear" w:color="auto" w:fill="auto"/>
            <w:vAlign w:val="center"/>
          </w:tcPr>
          <w:p w14:paraId="277E2838" w14:textId="7795904B" w:rsidR="00C1434E" w:rsidRPr="004954B0" w:rsidRDefault="00B81279" w:rsidP="00C1434E">
            <w:pPr>
              <w:jc w:val="center"/>
              <w:rPr>
                <w:rFonts w:ascii="Arial" w:hAnsi="Arial" w:cs="Arial"/>
                <w:color w:val="000000"/>
                <w:sz w:val="18"/>
                <w:szCs w:val="18"/>
                <w:lang w:val="en-GB"/>
              </w:rPr>
            </w:pPr>
            <w:r w:rsidRPr="004954B0">
              <w:rPr>
                <w:rFonts w:ascii="Arial" w:hAnsi="Arial" w:cs="Arial"/>
                <w:color w:val="000000"/>
                <w:sz w:val="18"/>
                <w:szCs w:val="18"/>
                <w:lang w:val="en-GB"/>
              </w:rPr>
              <w:t>IDB</w:t>
            </w:r>
          </w:p>
        </w:tc>
        <w:tc>
          <w:tcPr>
            <w:tcW w:w="900" w:type="dxa"/>
            <w:shd w:val="clear" w:color="auto" w:fill="auto"/>
            <w:vAlign w:val="center"/>
          </w:tcPr>
          <w:p w14:paraId="2DD9BE77" w14:textId="79F4ED57" w:rsidR="00C1434E" w:rsidRPr="004954B0" w:rsidRDefault="007C3F83" w:rsidP="006210E2">
            <w:pPr>
              <w:jc w:val="center"/>
              <w:rPr>
                <w:rFonts w:ascii="Arial" w:hAnsi="Arial" w:cs="Arial"/>
                <w:color w:val="000000"/>
                <w:sz w:val="18"/>
                <w:szCs w:val="18"/>
                <w:lang w:val="en-GB"/>
              </w:rPr>
            </w:pPr>
            <w:r w:rsidRPr="004954B0">
              <w:rPr>
                <w:rFonts w:ascii="Arial" w:hAnsi="Arial" w:cs="Arial"/>
                <w:color w:val="000000"/>
                <w:sz w:val="18"/>
                <w:szCs w:val="18"/>
                <w:lang w:val="en-GB"/>
              </w:rPr>
              <w:t>5,000</w:t>
            </w:r>
          </w:p>
        </w:tc>
        <w:tc>
          <w:tcPr>
            <w:tcW w:w="1260" w:type="dxa"/>
            <w:shd w:val="clear" w:color="auto" w:fill="auto"/>
            <w:vAlign w:val="center"/>
          </w:tcPr>
          <w:p w14:paraId="156CB812" w14:textId="56285518" w:rsidR="00C1434E" w:rsidRPr="004954B0" w:rsidRDefault="00C1434E" w:rsidP="00E02D5C">
            <w:pPr>
              <w:jc w:val="center"/>
              <w:rPr>
                <w:rFonts w:ascii="Arial" w:hAnsi="Arial" w:cs="Arial"/>
                <w:color w:val="000000"/>
                <w:sz w:val="18"/>
                <w:szCs w:val="18"/>
                <w:lang w:val="en-GB"/>
              </w:rPr>
            </w:pPr>
            <w:r w:rsidRPr="004954B0">
              <w:rPr>
                <w:rFonts w:ascii="Arial" w:hAnsi="Arial" w:cs="Arial"/>
                <w:color w:val="000000"/>
                <w:sz w:val="18"/>
                <w:szCs w:val="18"/>
                <w:lang w:val="en-GB"/>
              </w:rPr>
              <w:t>ID</w:t>
            </w:r>
            <w:r w:rsidR="00B81279" w:rsidRPr="004954B0">
              <w:rPr>
                <w:rFonts w:ascii="Arial" w:hAnsi="Arial" w:cs="Arial"/>
                <w:color w:val="000000"/>
                <w:sz w:val="18"/>
                <w:szCs w:val="18"/>
                <w:lang w:val="en-GB"/>
              </w:rPr>
              <w:t>B</w:t>
            </w:r>
          </w:p>
        </w:tc>
      </w:tr>
      <w:tr w:rsidR="00E02D5C" w:rsidRPr="004954B0" w14:paraId="6CC90CFD" w14:textId="77777777" w:rsidTr="00E02D5C">
        <w:trPr>
          <w:trHeight w:val="394"/>
        </w:trPr>
        <w:tc>
          <w:tcPr>
            <w:tcW w:w="3600" w:type="dxa"/>
            <w:shd w:val="clear" w:color="auto" w:fill="auto"/>
            <w:vAlign w:val="center"/>
          </w:tcPr>
          <w:p w14:paraId="6CC90CF7" w14:textId="77777777" w:rsidR="00C1434E" w:rsidRPr="004954B0" w:rsidRDefault="00C1434E" w:rsidP="00C1434E">
            <w:pPr>
              <w:jc w:val="center"/>
              <w:rPr>
                <w:rFonts w:ascii="Arial" w:hAnsi="Arial" w:cs="Arial"/>
                <w:b/>
                <w:bCs/>
                <w:color w:val="000000"/>
                <w:sz w:val="18"/>
                <w:szCs w:val="18"/>
                <w:lang w:val="en-GB"/>
              </w:rPr>
            </w:pPr>
            <w:r w:rsidRPr="004954B0">
              <w:rPr>
                <w:rFonts w:ascii="Arial" w:hAnsi="Arial" w:cs="Arial"/>
                <w:b/>
                <w:bCs/>
                <w:color w:val="000000"/>
                <w:sz w:val="18"/>
                <w:szCs w:val="18"/>
                <w:lang w:val="en-GB"/>
              </w:rPr>
              <w:t>Total</w:t>
            </w:r>
          </w:p>
        </w:tc>
        <w:tc>
          <w:tcPr>
            <w:tcW w:w="1800" w:type="dxa"/>
            <w:vAlign w:val="center"/>
          </w:tcPr>
          <w:p w14:paraId="6CC90CF9" w14:textId="442EBA35" w:rsidR="00C1434E" w:rsidRPr="004954B0" w:rsidRDefault="008C244A" w:rsidP="00C1434E">
            <w:pPr>
              <w:jc w:val="center"/>
              <w:rPr>
                <w:rFonts w:ascii="Arial" w:hAnsi="Arial" w:cs="Arial"/>
                <w:b/>
                <w:bCs/>
                <w:color w:val="000000"/>
                <w:sz w:val="18"/>
                <w:szCs w:val="18"/>
                <w:lang w:val="en-GB"/>
              </w:rPr>
            </w:pPr>
            <w:r w:rsidRPr="004954B0">
              <w:rPr>
                <w:rFonts w:ascii="Arial" w:hAnsi="Arial" w:cs="Arial"/>
                <w:b/>
                <w:bCs/>
                <w:color w:val="000000"/>
                <w:sz w:val="18"/>
                <w:szCs w:val="18"/>
                <w:lang w:val="en-GB"/>
              </w:rPr>
              <w:t>2</w:t>
            </w:r>
          </w:p>
        </w:tc>
        <w:tc>
          <w:tcPr>
            <w:tcW w:w="1530" w:type="dxa"/>
            <w:shd w:val="clear" w:color="auto" w:fill="auto"/>
            <w:vAlign w:val="center"/>
          </w:tcPr>
          <w:p w14:paraId="6CC90CFA" w14:textId="3FCD868E" w:rsidR="00C1434E" w:rsidRPr="004954B0" w:rsidRDefault="00B81279" w:rsidP="00C1434E">
            <w:pPr>
              <w:jc w:val="center"/>
              <w:rPr>
                <w:rFonts w:ascii="Arial" w:hAnsi="Arial" w:cs="Arial"/>
                <w:b/>
                <w:bCs/>
                <w:color w:val="000000"/>
                <w:sz w:val="18"/>
                <w:szCs w:val="18"/>
                <w:lang w:val="en-GB"/>
              </w:rPr>
            </w:pPr>
            <w:r w:rsidRPr="004954B0">
              <w:rPr>
                <w:rFonts w:ascii="Arial" w:hAnsi="Arial" w:cs="Arial"/>
                <w:b/>
                <w:bCs/>
                <w:color w:val="000000"/>
                <w:sz w:val="18"/>
                <w:szCs w:val="18"/>
                <w:lang w:val="en-GB"/>
              </w:rPr>
              <w:t>IDB</w:t>
            </w:r>
          </w:p>
        </w:tc>
        <w:tc>
          <w:tcPr>
            <w:tcW w:w="900" w:type="dxa"/>
            <w:shd w:val="clear" w:color="auto" w:fill="auto"/>
            <w:vAlign w:val="center"/>
          </w:tcPr>
          <w:p w14:paraId="6CC90CFB" w14:textId="3544734B" w:rsidR="00C1434E" w:rsidRPr="004954B0" w:rsidRDefault="007C3F83" w:rsidP="006210E2">
            <w:pPr>
              <w:jc w:val="center"/>
              <w:rPr>
                <w:rFonts w:ascii="Arial" w:hAnsi="Arial" w:cs="Arial"/>
                <w:b/>
                <w:bCs/>
                <w:color w:val="000000"/>
                <w:sz w:val="18"/>
                <w:szCs w:val="18"/>
                <w:lang w:val="en-GB"/>
              </w:rPr>
            </w:pPr>
            <w:r w:rsidRPr="004954B0">
              <w:rPr>
                <w:rFonts w:ascii="Arial" w:hAnsi="Arial" w:cs="Arial"/>
                <w:b/>
                <w:bCs/>
                <w:color w:val="000000"/>
                <w:sz w:val="18"/>
                <w:szCs w:val="18"/>
                <w:lang w:val="en-GB"/>
              </w:rPr>
              <w:t>5,000</w:t>
            </w:r>
          </w:p>
        </w:tc>
        <w:tc>
          <w:tcPr>
            <w:tcW w:w="1260" w:type="dxa"/>
            <w:shd w:val="clear" w:color="auto" w:fill="auto"/>
            <w:vAlign w:val="center"/>
          </w:tcPr>
          <w:p w14:paraId="6CC90CFC" w14:textId="64556E15" w:rsidR="00C1434E" w:rsidRPr="004954B0" w:rsidRDefault="00B81279" w:rsidP="00E02D5C">
            <w:pPr>
              <w:jc w:val="center"/>
              <w:rPr>
                <w:rFonts w:ascii="Arial" w:hAnsi="Arial" w:cs="Arial"/>
                <w:b/>
                <w:bCs/>
                <w:color w:val="000000"/>
                <w:sz w:val="18"/>
                <w:szCs w:val="18"/>
                <w:lang w:val="en-GB"/>
              </w:rPr>
            </w:pPr>
            <w:r w:rsidRPr="004954B0">
              <w:rPr>
                <w:rFonts w:ascii="Arial" w:hAnsi="Arial" w:cs="Arial"/>
                <w:b/>
                <w:bCs/>
                <w:color w:val="000000"/>
                <w:sz w:val="18"/>
                <w:szCs w:val="18"/>
                <w:lang w:val="en-GB"/>
              </w:rPr>
              <w:t>IDB</w:t>
            </w:r>
          </w:p>
        </w:tc>
      </w:tr>
    </w:tbl>
    <w:p w14:paraId="6CC90CFE" w14:textId="299912F3" w:rsidR="00ED751C" w:rsidRPr="004954B0" w:rsidRDefault="007C1307" w:rsidP="00E636CB">
      <w:pPr>
        <w:pStyle w:val="Chapter"/>
        <w:spacing w:before="600"/>
        <w:rPr>
          <w:rFonts w:ascii="Arial" w:hAnsi="Arial" w:cs="Arial"/>
          <w:szCs w:val="22"/>
          <w:lang w:val="en-GB"/>
        </w:rPr>
      </w:pPr>
      <w:bookmarkStart w:id="6" w:name="_Toc38495915"/>
      <w:r w:rsidRPr="004954B0">
        <w:rPr>
          <w:rFonts w:ascii="Arial" w:hAnsi="Arial" w:cs="Arial"/>
          <w:szCs w:val="22"/>
          <w:lang w:val="en-GB"/>
        </w:rPr>
        <w:t>Evalua</w:t>
      </w:r>
      <w:r w:rsidR="00410122" w:rsidRPr="004954B0">
        <w:rPr>
          <w:rFonts w:ascii="Arial" w:hAnsi="Arial" w:cs="Arial"/>
          <w:szCs w:val="22"/>
          <w:lang w:val="en-GB" w:eastAsia="zh-CN"/>
        </w:rPr>
        <w:t>tion</w:t>
      </w:r>
      <w:bookmarkEnd w:id="6"/>
    </w:p>
    <w:p w14:paraId="527FEBD3" w14:textId="50B37456" w:rsidR="00E6181F" w:rsidRPr="004954B0" w:rsidRDefault="00717A02" w:rsidP="00E6181F">
      <w:pPr>
        <w:pStyle w:val="Paragraph"/>
        <w:tabs>
          <w:tab w:val="clear" w:pos="2448"/>
          <w:tab w:val="num" w:pos="720"/>
          <w:tab w:val="num" w:pos="1440"/>
        </w:tabs>
        <w:ind w:left="720" w:hanging="720"/>
        <w:rPr>
          <w:rFonts w:ascii="Arial" w:hAnsi="Arial" w:cs="Arial"/>
          <w:color w:val="000000"/>
          <w:sz w:val="22"/>
          <w:szCs w:val="22"/>
          <w:lang w:val="en-GB"/>
        </w:rPr>
      </w:pPr>
      <w:r w:rsidRPr="004954B0">
        <w:rPr>
          <w:rFonts w:ascii="Arial" w:hAnsi="Arial" w:cs="Arial"/>
          <w:color w:val="000000"/>
          <w:sz w:val="22"/>
          <w:szCs w:val="22"/>
          <w:lang w:val="en-GB"/>
        </w:rPr>
        <w:t>This section presents the program</w:t>
      </w:r>
      <w:r w:rsidR="00171B43" w:rsidRPr="004954B0">
        <w:rPr>
          <w:rFonts w:ascii="Arial" w:hAnsi="Arial" w:cs="Arial"/>
          <w:color w:val="000000"/>
          <w:sz w:val="22"/>
          <w:szCs w:val="22"/>
          <w:lang w:val="en-GB"/>
        </w:rPr>
        <w:t>me</w:t>
      </w:r>
      <w:r w:rsidRPr="004954B0">
        <w:rPr>
          <w:rFonts w:ascii="Arial" w:hAnsi="Arial" w:cs="Arial"/>
          <w:color w:val="000000"/>
          <w:sz w:val="22"/>
          <w:szCs w:val="22"/>
          <w:lang w:val="en-GB"/>
        </w:rPr>
        <w:t xml:space="preserve"> evaluation plan, including the main evaluation questions, a description of the existing evidence, evaluation indicators, methodology-related issues, the timeline</w:t>
      </w:r>
      <w:r w:rsidR="00C43AD4" w:rsidRPr="004954B0">
        <w:rPr>
          <w:rFonts w:ascii="Arial" w:hAnsi="Arial" w:cs="Arial"/>
          <w:color w:val="000000"/>
          <w:sz w:val="22"/>
          <w:szCs w:val="22"/>
          <w:lang w:val="en-GB" w:eastAsia="zh-CN"/>
        </w:rPr>
        <w:t>,</w:t>
      </w:r>
      <w:r w:rsidRPr="004954B0">
        <w:rPr>
          <w:rFonts w:ascii="Arial" w:hAnsi="Arial" w:cs="Arial"/>
          <w:color w:val="000000"/>
          <w:sz w:val="22"/>
          <w:szCs w:val="22"/>
          <w:lang w:val="en-GB"/>
        </w:rPr>
        <w:t xml:space="preserve"> and the budget. The main objective of the evaluation will be to assess the extent to which the program</w:t>
      </w:r>
      <w:r w:rsidR="00171B43" w:rsidRPr="004954B0">
        <w:rPr>
          <w:rFonts w:ascii="Arial" w:hAnsi="Arial" w:cs="Arial"/>
          <w:color w:val="000000"/>
          <w:sz w:val="22"/>
          <w:szCs w:val="22"/>
          <w:lang w:val="en-GB"/>
        </w:rPr>
        <w:t>me</w:t>
      </w:r>
      <w:r w:rsidRPr="004954B0">
        <w:rPr>
          <w:rFonts w:ascii="Arial" w:hAnsi="Arial" w:cs="Arial"/>
          <w:color w:val="000000"/>
          <w:sz w:val="22"/>
          <w:szCs w:val="22"/>
          <w:lang w:val="en-GB"/>
        </w:rPr>
        <w:t xml:space="preserve"> achiev</w:t>
      </w:r>
      <w:r w:rsidR="00E02D5C" w:rsidRPr="004954B0">
        <w:rPr>
          <w:rFonts w:ascii="Arial" w:hAnsi="Arial" w:cs="Arial"/>
          <w:color w:val="000000"/>
          <w:sz w:val="22"/>
          <w:szCs w:val="22"/>
          <w:lang w:val="en-GB"/>
        </w:rPr>
        <w:t>es</w:t>
      </w:r>
      <w:r w:rsidRPr="004954B0">
        <w:rPr>
          <w:rFonts w:ascii="Arial" w:hAnsi="Arial" w:cs="Arial"/>
          <w:color w:val="000000"/>
          <w:sz w:val="22"/>
          <w:szCs w:val="22"/>
          <w:lang w:val="en-GB"/>
        </w:rPr>
        <w:t xml:space="preserve"> its specific objectives. The evaluation of the operation will help draw lessons on the adequacy of the response to the COVID-19 pandemic</w:t>
      </w:r>
      <w:r w:rsidR="00D647D0" w:rsidRPr="004954B0">
        <w:rPr>
          <w:rFonts w:ascii="Arial" w:hAnsi="Arial" w:cs="Arial"/>
          <w:color w:val="000000"/>
          <w:sz w:val="22"/>
          <w:szCs w:val="22"/>
          <w:lang w:val="en-GB"/>
        </w:rPr>
        <w:t>.</w:t>
      </w:r>
    </w:p>
    <w:p w14:paraId="19DAE46C" w14:textId="2EC788D9" w:rsidR="00D647D0" w:rsidRPr="004954B0" w:rsidRDefault="001C57AB" w:rsidP="00E6181F">
      <w:pPr>
        <w:pStyle w:val="Paragraph"/>
        <w:tabs>
          <w:tab w:val="clear" w:pos="2448"/>
          <w:tab w:val="num" w:pos="720"/>
          <w:tab w:val="num" w:pos="1440"/>
        </w:tabs>
        <w:ind w:left="720" w:hanging="720"/>
        <w:rPr>
          <w:rFonts w:ascii="Arial" w:hAnsi="Arial" w:cs="Arial"/>
          <w:color w:val="000000"/>
          <w:sz w:val="22"/>
          <w:szCs w:val="22"/>
          <w:lang w:val="en-GB"/>
        </w:rPr>
      </w:pPr>
      <w:r w:rsidRPr="004954B0">
        <w:rPr>
          <w:rFonts w:ascii="Arial" w:hAnsi="Arial" w:cs="Arial"/>
          <w:color w:val="000000"/>
          <w:sz w:val="22"/>
          <w:szCs w:val="22"/>
          <w:lang w:val="en-GB"/>
        </w:rPr>
        <w:t xml:space="preserve">The evaluation plan </w:t>
      </w:r>
      <w:r w:rsidR="007426A6" w:rsidRPr="004954B0">
        <w:rPr>
          <w:rFonts w:ascii="Arial" w:hAnsi="Arial" w:cs="Arial"/>
          <w:color w:val="000000"/>
          <w:sz w:val="22"/>
          <w:szCs w:val="22"/>
          <w:lang w:val="en-GB"/>
        </w:rPr>
        <w:t xml:space="preserve">will </w:t>
      </w:r>
      <w:r w:rsidRPr="004954B0">
        <w:rPr>
          <w:rFonts w:ascii="Arial" w:hAnsi="Arial" w:cs="Arial"/>
          <w:color w:val="000000"/>
          <w:sz w:val="22"/>
          <w:szCs w:val="22"/>
          <w:lang w:val="en-GB"/>
        </w:rPr>
        <w:t xml:space="preserve">include (i) </w:t>
      </w:r>
      <w:r w:rsidR="00D32CFF" w:rsidRPr="004954B0">
        <w:rPr>
          <w:rFonts w:ascii="Arial" w:hAnsi="Arial" w:cs="Arial"/>
          <w:color w:val="000000"/>
          <w:sz w:val="22"/>
          <w:szCs w:val="22"/>
          <w:lang w:val="en-GB"/>
        </w:rPr>
        <w:t>an ex-ante and ex-post evaluation</w:t>
      </w:r>
      <w:r w:rsidRPr="004954B0">
        <w:rPr>
          <w:rFonts w:ascii="Arial" w:hAnsi="Arial" w:cs="Arial"/>
          <w:color w:val="000000"/>
          <w:sz w:val="22"/>
          <w:szCs w:val="22"/>
          <w:lang w:val="en-GB"/>
        </w:rPr>
        <w:t xml:space="preserve"> of the outcome and impact indicators included i</w:t>
      </w:r>
      <w:r w:rsidR="00F667C6" w:rsidRPr="004954B0">
        <w:rPr>
          <w:rFonts w:ascii="Arial" w:hAnsi="Arial" w:cs="Arial"/>
          <w:color w:val="000000"/>
          <w:sz w:val="22"/>
          <w:szCs w:val="22"/>
          <w:lang w:val="en-GB"/>
        </w:rPr>
        <w:t>n the RM</w:t>
      </w:r>
      <w:r w:rsidR="000A2389" w:rsidRPr="004954B0">
        <w:rPr>
          <w:rFonts w:ascii="Arial" w:hAnsi="Arial" w:cs="Arial"/>
          <w:color w:val="000000"/>
          <w:sz w:val="22"/>
          <w:szCs w:val="22"/>
          <w:lang w:val="en-GB"/>
        </w:rPr>
        <w:t>;</w:t>
      </w:r>
      <w:r w:rsidR="00F667C6" w:rsidRPr="004954B0">
        <w:rPr>
          <w:rFonts w:ascii="Arial" w:hAnsi="Arial" w:cs="Arial"/>
          <w:color w:val="000000"/>
          <w:sz w:val="22"/>
          <w:szCs w:val="22"/>
          <w:lang w:val="en-GB"/>
        </w:rPr>
        <w:t xml:space="preserve"> (ii) a review of the </w:t>
      </w:r>
      <w:r w:rsidRPr="004954B0">
        <w:rPr>
          <w:rFonts w:ascii="Arial" w:hAnsi="Arial" w:cs="Arial"/>
          <w:color w:val="000000"/>
          <w:sz w:val="22"/>
          <w:szCs w:val="22"/>
          <w:lang w:val="en-GB"/>
        </w:rPr>
        <w:t>theory of change of the intervention</w:t>
      </w:r>
      <w:r w:rsidR="000A2389" w:rsidRPr="004954B0">
        <w:rPr>
          <w:rFonts w:ascii="Arial" w:hAnsi="Arial" w:cs="Arial"/>
          <w:color w:val="000000"/>
          <w:sz w:val="22"/>
          <w:szCs w:val="22"/>
          <w:lang w:val="en-GB"/>
        </w:rPr>
        <w:t>;</w:t>
      </w:r>
      <w:r w:rsidRPr="004954B0">
        <w:rPr>
          <w:rFonts w:ascii="Arial" w:hAnsi="Arial" w:cs="Arial"/>
          <w:color w:val="000000"/>
          <w:sz w:val="22"/>
          <w:szCs w:val="22"/>
          <w:lang w:val="en-GB"/>
        </w:rPr>
        <w:t xml:space="preserve"> (iii) a review of evidence in the literature on the effectiveness of similar interventions in comparable contexts</w:t>
      </w:r>
      <w:r w:rsidR="000A2389" w:rsidRPr="004954B0">
        <w:rPr>
          <w:rFonts w:ascii="Arial" w:hAnsi="Arial" w:cs="Arial"/>
          <w:color w:val="000000"/>
          <w:sz w:val="22"/>
          <w:szCs w:val="22"/>
          <w:lang w:val="en-GB"/>
        </w:rPr>
        <w:t xml:space="preserve">; and </w:t>
      </w:r>
      <w:r w:rsidR="00635EE9" w:rsidRPr="004954B0">
        <w:rPr>
          <w:rFonts w:ascii="Arial" w:hAnsi="Arial" w:cs="Arial"/>
          <w:color w:val="000000"/>
          <w:sz w:val="22"/>
          <w:szCs w:val="22"/>
          <w:lang w:val="en-GB"/>
        </w:rPr>
        <w:t>(iv) a qualitative evaluation that provides complementary information on the attribution of program</w:t>
      </w:r>
      <w:r w:rsidR="00171B43" w:rsidRPr="004954B0">
        <w:rPr>
          <w:rFonts w:ascii="Arial" w:hAnsi="Arial" w:cs="Arial"/>
          <w:color w:val="000000"/>
          <w:sz w:val="22"/>
          <w:szCs w:val="22"/>
          <w:lang w:val="en-GB"/>
        </w:rPr>
        <w:t>me</w:t>
      </w:r>
      <w:r w:rsidR="00635EE9" w:rsidRPr="004954B0">
        <w:rPr>
          <w:rFonts w:ascii="Arial" w:hAnsi="Arial" w:cs="Arial"/>
          <w:color w:val="000000"/>
          <w:sz w:val="22"/>
          <w:szCs w:val="22"/>
          <w:lang w:val="en-GB"/>
        </w:rPr>
        <w:t xml:space="preserve"> results</w:t>
      </w:r>
      <w:r w:rsidRPr="004954B0">
        <w:rPr>
          <w:rFonts w:ascii="Arial" w:hAnsi="Arial" w:cs="Arial"/>
          <w:color w:val="000000"/>
          <w:sz w:val="22"/>
          <w:szCs w:val="22"/>
          <w:lang w:val="en-GB"/>
        </w:rPr>
        <w:t>.</w:t>
      </w:r>
      <w:r w:rsidR="00D647D0" w:rsidRPr="004954B0">
        <w:rPr>
          <w:rFonts w:ascii="Arial" w:hAnsi="Arial" w:cs="Arial"/>
          <w:color w:val="000000"/>
          <w:sz w:val="22"/>
          <w:szCs w:val="22"/>
          <w:lang w:val="en-GB"/>
        </w:rPr>
        <w:t xml:space="preserve"> </w:t>
      </w:r>
    </w:p>
    <w:p w14:paraId="69B661B8" w14:textId="728EAB6C" w:rsidR="00700F69" w:rsidRPr="004954B0" w:rsidRDefault="000340CA" w:rsidP="002A287A">
      <w:pPr>
        <w:pStyle w:val="FirstHeading"/>
        <w:numPr>
          <w:ilvl w:val="0"/>
          <w:numId w:val="13"/>
        </w:numPr>
        <w:ind w:left="720"/>
        <w:rPr>
          <w:rFonts w:ascii="Arial" w:hAnsi="Arial" w:cs="Arial"/>
          <w:sz w:val="22"/>
          <w:szCs w:val="22"/>
          <w:lang w:val="en-GB"/>
        </w:rPr>
      </w:pPr>
      <w:bookmarkStart w:id="7" w:name="_Toc38495916"/>
      <w:r w:rsidRPr="004954B0">
        <w:rPr>
          <w:rFonts w:ascii="Arial" w:hAnsi="Arial" w:cs="Arial"/>
          <w:sz w:val="22"/>
          <w:szCs w:val="22"/>
          <w:lang w:val="en-GB" w:eastAsia="zh-CN"/>
        </w:rPr>
        <w:t xml:space="preserve">Main </w:t>
      </w:r>
      <w:r w:rsidR="00E02D5C" w:rsidRPr="004954B0">
        <w:rPr>
          <w:rFonts w:ascii="Arial" w:hAnsi="Arial" w:cs="Arial"/>
          <w:sz w:val="22"/>
          <w:szCs w:val="22"/>
          <w:lang w:val="en-GB" w:eastAsia="zh-CN"/>
        </w:rPr>
        <w:t>E</w:t>
      </w:r>
      <w:r w:rsidRPr="004954B0">
        <w:rPr>
          <w:rFonts w:ascii="Arial" w:hAnsi="Arial" w:cs="Arial"/>
          <w:sz w:val="22"/>
          <w:szCs w:val="22"/>
          <w:lang w:val="en-GB" w:eastAsia="zh-CN"/>
        </w:rPr>
        <w:t xml:space="preserve">valuation </w:t>
      </w:r>
      <w:r w:rsidR="00E02D5C" w:rsidRPr="004954B0">
        <w:rPr>
          <w:rFonts w:ascii="Arial" w:hAnsi="Arial" w:cs="Arial"/>
          <w:sz w:val="22"/>
          <w:szCs w:val="22"/>
          <w:lang w:val="en-GB" w:eastAsia="zh-CN"/>
        </w:rPr>
        <w:t>Q</w:t>
      </w:r>
      <w:r w:rsidRPr="004954B0">
        <w:rPr>
          <w:rFonts w:ascii="Arial" w:hAnsi="Arial" w:cs="Arial"/>
          <w:sz w:val="22"/>
          <w:szCs w:val="22"/>
          <w:lang w:val="en-GB" w:eastAsia="zh-CN"/>
        </w:rPr>
        <w:t>uestions</w:t>
      </w:r>
      <w:bookmarkEnd w:id="7"/>
    </w:p>
    <w:p w14:paraId="062707D6" w14:textId="10E7F8F7" w:rsidR="00D63F7A" w:rsidRPr="004954B0" w:rsidRDefault="006B4D8C" w:rsidP="004B72D7">
      <w:pPr>
        <w:pStyle w:val="Paragraph"/>
        <w:tabs>
          <w:tab w:val="clear" w:pos="2448"/>
          <w:tab w:val="num" w:pos="720"/>
          <w:tab w:val="num" w:pos="1440"/>
        </w:tabs>
        <w:ind w:left="720" w:hanging="720"/>
        <w:rPr>
          <w:rFonts w:ascii="Arial" w:hAnsi="Arial" w:cs="Arial"/>
          <w:color w:val="000000"/>
          <w:sz w:val="22"/>
          <w:szCs w:val="22"/>
          <w:lang w:val="en-GB"/>
        </w:rPr>
      </w:pPr>
      <w:bookmarkStart w:id="8" w:name="_Hlk36390641"/>
      <w:r w:rsidRPr="004954B0">
        <w:rPr>
          <w:rFonts w:ascii="Arial" w:hAnsi="Arial" w:cs="Arial"/>
          <w:color w:val="000000"/>
          <w:sz w:val="22"/>
          <w:szCs w:val="22"/>
          <w:lang w:val="en-GB" w:eastAsia="zh-CN"/>
        </w:rPr>
        <w:t>The general objective of the program</w:t>
      </w:r>
      <w:r w:rsidR="00171B43" w:rsidRPr="004954B0">
        <w:rPr>
          <w:rFonts w:ascii="Arial" w:hAnsi="Arial" w:cs="Arial"/>
          <w:color w:val="000000"/>
          <w:sz w:val="22"/>
          <w:szCs w:val="22"/>
          <w:lang w:val="en-GB" w:eastAsia="zh-CN"/>
        </w:rPr>
        <w:t>me</w:t>
      </w:r>
      <w:r w:rsidRPr="004954B0">
        <w:rPr>
          <w:rFonts w:ascii="Arial" w:hAnsi="Arial" w:cs="Arial"/>
          <w:color w:val="000000"/>
          <w:sz w:val="22"/>
          <w:szCs w:val="22"/>
          <w:lang w:val="en-GB" w:eastAsia="zh-CN"/>
        </w:rPr>
        <w:t xml:space="preserve"> is to strengthen the efficiency and effectiveness of public policy and fiscal management in response to the health and </w:t>
      </w:r>
      <w:r w:rsidR="00655E2C" w:rsidRPr="004954B0">
        <w:rPr>
          <w:rFonts w:ascii="Arial" w:hAnsi="Arial" w:cs="Arial"/>
          <w:color w:val="000000"/>
          <w:sz w:val="22"/>
          <w:szCs w:val="22"/>
          <w:lang w:val="en-GB" w:eastAsia="zh-CN"/>
        </w:rPr>
        <w:t>economic</w:t>
      </w:r>
      <w:r w:rsidRPr="004954B0">
        <w:rPr>
          <w:rFonts w:ascii="Arial" w:hAnsi="Arial" w:cs="Arial"/>
          <w:color w:val="000000"/>
          <w:sz w:val="22"/>
          <w:szCs w:val="22"/>
          <w:lang w:val="en-GB" w:eastAsia="zh-CN"/>
        </w:rPr>
        <w:t xml:space="preserve"> crisis caused by COVID-19, </w:t>
      </w:r>
      <w:r w:rsidR="001E2790" w:rsidRPr="004954B0">
        <w:rPr>
          <w:rFonts w:ascii="Arial" w:hAnsi="Arial" w:cs="Arial"/>
          <w:color w:val="000000"/>
          <w:sz w:val="22"/>
          <w:szCs w:val="22"/>
          <w:lang w:val="en-GB" w:eastAsia="zh-CN"/>
        </w:rPr>
        <w:t xml:space="preserve">through the design and implementation of effective and fiscally responsible policy measures. </w:t>
      </w:r>
      <w:bookmarkEnd w:id="8"/>
      <w:r w:rsidR="00893135" w:rsidRPr="004954B0">
        <w:rPr>
          <w:rFonts w:ascii="Arial" w:hAnsi="Arial" w:cs="Arial"/>
          <w:color w:val="000000"/>
          <w:sz w:val="22"/>
          <w:szCs w:val="22"/>
          <w:lang w:val="en-GB"/>
        </w:rPr>
        <w:t>In this framework, the main evaluation questions assess whether the policy measures introduced achieved the desired impact</w:t>
      </w:r>
      <w:r w:rsidR="00F54755" w:rsidRPr="004954B0">
        <w:rPr>
          <w:rFonts w:ascii="Arial" w:hAnsi="Arial" w:cs="Arial"/>
          <w:color w:val="000000"/>
          <w:sz w:val="22"/>
          <w:szCs w:val="22"/>
          <w:lang w:val="en-GB" w:eastAsia="zh-CN"/>
        </w:rPr>
        <w:t>,</w:t>
      </w:r>
      <w:r w:rsidR="00893135" w:rsidRPr="004954B0">
        <w:rPr>
          <w:rFonts w:ascii="Arial" w:hAnsi="Arial" w:cs="Arial"/>
          <w:color w:val="000000"/>
          <w:sz w:val="22"/>
          <w:szCs w:val="22"/>
          <w:lang w:val="en-GB"/>
        </w:rPr>
        <w:t xml:space="preserve"> as measured by the performance indicators envisaged in the RM (Table 3). These indicators measure the availability and timely delivery of resources to address the health emergency</w:t>
      </w:r>
      <w:r w:rsidR="00D05304" w:rsidRPr="004954B0">
        <w:rPr>
          <w:rFonts w:ascii="Arial" w:hAnsi="Arial" w:cs="Arial"/>
          <w:color w:val="000000"/>
          <w:sz w:val="22"/>
          <w:szCs w:val="22"/>
          <w:lang w:val="en-GB"/>
        </w:rPr>
        <w:t>,</w:t>
      </w:r>
      <w:r w:rsidR="00893135" w:rsidRPr="004954B0">
        <w:rPr>
          <w:rFonts w:ascii="Arial" w:hAnsi="Arial" w:cs="Arial"/>
          <w:color w:val="000000"/>
          <w:sz w:val="22"/>
          <w:szCs w:val="22"/>
          <w:lang w:val="en-GB"/>
        </w:rPr>
        <w:t xml:space="preserve"> protection of employment and income </w:t>
      </w:r>
      <w:r w:rsidR="00893135" w:rsidRPr="004954B0">
        <w:rPr>
          <w:rFonts w:ascii="Arial" w:hAnsi="Arial" w:cs="Arial"/>
          <w:color w:val="000000"/>
          <w:sz w:val="22"/>
          <w:szCs w:val="22"/>
          <w:lang w:val="en-GB"/>
        </w:rPr>
        <w:lastRenderedPageBreak/>
        <w:t>of vulnerable households during the health and economic crisis</w:t>
      </w:r>
      <w:r w:rsidR="00D05304" w:rsidRPr="004954B0">
        <w:rPr>
          <w:rFonts w:ascii="Arial" w:hAnsi="Arial" w:cs="Arial"/>
          <w:color w:val="000000"/>
          <w:sz w:val="22"/>
          <w:szCs w:val="22"/>
          <w:lang w:val="en-GB"/>
        </w:rPr>
        <w:t xml:space="preserve">, </w:t>
      </w:r>
      <w:r w:rsidR="00893135" w:rsidRPr="004954B0">
        <w:rPr>
          <w:rFonts w:ascii="Arial" w:hAnsi="Arial" w:cs="Arial"/>
          <w:color w:val="000000"/>
          <w:sz w:val="22"/>
          <w:szCs w:val="22"/>
          <w:lang w:val="en-GB"/>
        </w:rPr>
        <w:t>and support to the promotion of economic and fiscal recovery in the post-pandemic period</w:t>
      </w:r>
      <w:r w:rsidR="00D63F7A" w:rsidRPr="004954B0">
        <w:rPr>
          <w:rFonts w:ascii="Arial" w:hAnsi="Arial" w:cs="Arial"/>
          <w:color w:val="000000"/>
          <w:sz w:val="22"/>
          <w:szCs w:val="22"/>
          <w:lang w:val="en-GB"/>
        </w:rPr>
        <w:t>.</w:t>
      </w:r>
    </w:p>
    <w:p w14:paraId="1710FDEC" w14:textId="6DE111EA" w:rsidR="00A578FB" w:rsidRPr="004954B0" w:rsidRDefault="00005A3E" w:rsidP="005609ED">
      <w:pPr>
        <w:pStyle w:val="Paragraph"/>
        <w:tabs>
          <w:tab w:val="clear" w:pos="2448"/>
          <w:tab w:val="num" w:pos="720"/>
          <w:tab w:val="num" w:pos="1440"/>
        </w:tabs>
        <w:spacing w:before="0"/>
        <w:ind w:left="720" w:hanging="720"/>
        <w:rPr>
          <w:rFonts w:ascii="Arial" w:hAnsi="Arial" w:cs="Arial"/>
          <w:sz w:val="22"/>
          <w:szCs w:val="22"/>
          <w:lang w:val="en-GB"/>
        </w:rPr>
      </w:pPr>
      <w:r w:rsidRPr="004954B0">
        <w:rPr>
          <w:rFonts w:ascii="Arial" w:hAnsi="Arial" w:cs="Arial"/>
          <w:sz w:val="22"/>
          <w:szCs w:val="22"/>
          <w:lang w:val="en-GB" w:eastAsia="zh-CN"/>
        </w:rPr>
        <w:t>Specifically, th</w:t>
      </w:r>
      <w:r w:rsidR="00060365" w:rsidRPr="004954B0">
        <w:rPr>
          <w:rFonts w:ascii="Arial" w:hAnsi="Arial" w:cs="Arial"/>
          <w:sz w:val="22"/>
          <w:szCs w:val="22"/>
          <w:lang w:val="en-GB" w:eastAsia="zh-CN"/>
        </w:rPr>
        <w:t xml:space="preserve">e </w:t>
      </w:r>
      <w:r w:rsidR="003D224E" w:rsidRPr="004954B0">
        <w:rPr>
          <w:rFonts w:ascii="Arial" w:hAnsi="Arial" w:cs="Arial"/>
          <w:b/>
          <w:sz w:val="22"/>
          <w:szCs w:val="22"/>
          <w:lang w:val="en-GB" w:eastAsia="zh-CN"/>
        </w:rPr>
        <w:t>ex</w:t>
      </w:r>
      <w:r w:rsidR="008D6C5A">
        <w:rPr>
          <w:rFonts w:ascii="Arial" w:hAnsi="Arial" w:cs="Arial"/>
          <w:b/>
          <w:sz w:val="22"/>
          <w:szCs w:val="22"/>
          <w:lang w:val="en-GB" w:eastAsia="zh-CN"/>
        </w:rPr>
        <w:t xml:space="preserve"> </w:t>
      </w:r>
      <w:r w:rsidR="003D224E" w:rsidRPr="004954B0">
        <w:rPr>
          <w:rFonts w:ascii="Arial" w:hAnsi="Arial" w:cs="Arial"/>
          <w:b/>
          <w:sz w:val="22"/>
          <w:szCs w:val="22"/>
          <w:lang w:val="en-GB" w:eastAsia="zh-CN"/>
        </w:rPr>
        <w:t>ante</w:t>
      </w:r>
      <w:r w:rsidRPr="004954B0">
        <w:rPr>
          <w:rFonts w:ascii="Arial" w:hAnsi="Arial" w:cs="Arial"/>
          <w:b/>
          <w:sz w:val="22"/>
          <w:szCs w:val="22"/>
          <w:lang w:val="en-GB" w:eastAsia="zh-CN"/>
        </w:rPr>
        <w:t xml:space="preserve"> and </w:t>
      </w:r>
      <w:r w:rsidR="003D224E" w:rsidRPr="004954B0">
        <w:rPr>
          <w:rFonts w:ascii="Arial" w:hAnsi="Arial" w:cs="Arial"/>
          <w:b/>
          <w:sz w:val="22"/>
          <w:szCs w:val="22"/>
          <w:lang w:val="en-GB" w:eastAsia="zh-CN"/>
        </w:rPr>
        <w:t>ex</w:t>
      </w:r>
      <w:r w:rsidR="008D6C5A">
        <w:rPr>
          <w:rFonts w:ascii="Arial" w:hAnsi="Arial" w:cs="Arial"/>
          <w:b/>
          <w:sz w:val="22"/>
          <w:szCs w:val="22"/>
          <w:lang w:val="en-GB" w:eastAsia="zh-CN"/>
        </w:rPr>
        <w:t xml:space="preserve"> </w:t>
      </w:r>
      <w:r w:rsidR="003D224E" w:rsidRPr="004954B0">
        <w:rPr>
          <w:rFonts w:ascii="Arial" w:hAnsi="Arial" w:cs="Arial"/>
          <w:b/>
          <w:sz w:val="22"/>
          <w:szCs w:val="22"/>
          <w:lang w:val="en-GB" w:eastAsia="zh-CN"/>
        </w:rPr>
        <w:t>post evaluation</w:t>
      </w:r>
      <w:r w:rsidR="002C0E5D" w:rsidRPr="004954B0">
        <w:rPr>
          <w:rFonts w:ascii="Arial" w:hAnsi="Arial" w:cs="Arial"/>
          <w:b/>
          <w:sz w:val="22"/>
          <w:szCs w:val="22"/>
          <w:lang w:val="en-GB" w:eastAsia="zh-CN"/>
        </w:rPr>
        <w:t>s</w:t>
      </w:r>
      <w:r w:rsidRPr="004954B0">
        <w:rPr>
          <w:rFonts w:ascii="Arial" w:hAnsi="Arial" w:cs="Arial"/>
          <w:sz w:val="22"/>
          <w:szCs w:val="22"/>
          <w:lang w:val="en-GB" w:eastAsia="zh-CN"/>
        </w:rPr>
        <w:t xml:space="preserve"> seek to answer the following questions: </w:t>
      </w:r>
      <w:r w:rsidR="00A56B78" w:rsidRPr="004954B0">
        <w:rPr>
          <w:rFonts w:ascii="Arial" w:hAnsi="Arial" w:cs="Arial"/>
          <w:sz w:val="22"/>
          <w:szCs w:val="22"/>
          <w:lang w:val="en-GB"/>
        </w:rPr>
        <w:t xml:space="preserve"> </w:t>
      </w:r>
      <w:r w:rsidRPr="004954B0">
        <w:rPr>
          <w:rFonts w:ascii="Arial" w:hAnsi="Arial" w:cs="Arial"/>
          <w:sz w:val="22"/>
          <w:szCs w:val="22"/>
          <w:lang w:val="en-GB" w:eastAsia="zh-CN"/>
        </w:rPr>
        <w:t xml:space="preserve"> </w:t>
      </w:r>
    </w:p>
    <w:p w14:paraId="204916E7" w14:textId="27433203" w:rsidR="00A56B78" w:rsidRPr="004954B0" w:rsidRDefault="002B49D5" w:rsidP="005609ED">
      <w:pPr>
        <w:pStyle w:val="subpar"/>
        <w:tabs>
          <w:tab w:val="clear" w:pos="2304"/>
          <w:tab w:val="num" w:pos="720"/>
        </w:tabs>
        <w:spacing w:before="0"/>
        <w:ind w:left="1080" w:hanging="360"/>
        <w:rPr>
          <w:rFonts w:ascii="Arial" w:hAnsi="Arial" w:cs="Arial"/>
          <w:sz w:val="22"/>
          <w:szCs w:val="18"/>
          <w:lang w:val="en-GB"/>
        </w:rPr>
      </w:pPr>
      <w:r w:rsidRPr="004954B0">
        <w:rPr>
          <w:rFonts w:ascii="Arial" w:hAnsi="Arial" w:cs="Arial"/>
          <w:sz w:val="22"/>
          <w:szCs w:val="18"/>
          <w:lang w:val="en-GB"/>
        </w:rPr>
        <w:t xml:space="preserve">How </w:t>
      </w:r>
      <w:r w:rsidR="008F769E" w:rsidRPr="004954B0">
        <w:rPr>
          <w:rFonts w:ascii="Arial" w:hAnsi="Arial" w:cs="Arial"/>
          <w:sz w:val="22"/>
          <w:szCs w:val="18"/>
          <w:lang w:val="en-GB" w:eastAsia="zh-CN"/>
        </w:rPr>
        <w:t xml:space="preserve">much has </w:t>
      </w:r>
      <w:r w:rsidR="0028592D" w:rsidRPr="004954B0">
        <w:rPr>
          <w:rFonts w:ascii="Arial" w:hAnsi="Arial" w:cs="Arial"/>
          <w:sz w:val="22"/>
          <w:szCs w:val="18"/>
          <w:lang w:val="en-GB" w:eastAsia="zh-CN"/>
        </w:rPr>
        <w:t xml:space="preserve">the </w:t>
      </w:r>
      <w:r w:rsidR="008F769E" w:rsidRPr="004954B0">
        <w:rPr>
          <w:rFonts w:ascii="Arial" w:hAnsi="Arial" w:cs="Arial"/>
          <w:sz w:val="22"/>
          <w:szCs w:val="18"/>
          <w:lang w:val="en-GB" w:eastAsia="zh-CN"/>
        </w:rPr>
        <w:t>availability of</w:t>
      </w:r>
      <w:r w:rsidRPr="004954B0">
        <w:rPr>
          <w:rFonts w:ascii="Arial" w:hAnsi="Arial" w:cs="Arial"/>
          <w:sz w:val="22"/>
          <w:szCs w:val="18"/>
          <w:lang w:val="en-GB"/>
        </w:rPr>
        <w:t xml:space="preserve"> </w:t>
      </w:r>
      <w:r w:rsidR="0028592D" w:rsidRPr="004954B0">
        <w:rPr>
          <w:rFonts w:ascii="Arial" w:hAnsi="Arial" w:cs="Arial"/>
          <w:sz w:val="22"/>
          <w:szCs w:val="18"/>
          <w:lang w:val="en-GB" w:eastAsia="zh-CN"/>
        </w:rPr>
        <w:t>health sector resources</w:t>
      </w:r>
      <w:r w:rsidRPr="004954B0">
        <w:rPr>
          <w:rFonts w:ascii="Arial" w:hAnsi="Arial" w:cs="Arial"/>
          <w:sz w:val="22"/>
          <w:szCs w:val="18"/>
          <w:lang w:val="en-GB"/>
        </w:rPr>
        <w:t xml:space="preserve"> </w:t>
      </w:r>
      <w:r w:rsidR="008F769E" w:rsidRPr="004954B0">
        <w:rPr>
          <w:rFonts w:ascii="Arial" w:hAnsi="Arial" w:cs="Arial"/>
          <w:sz w:val="22"/>
          <w:szCs w:val="18"/>
          <w:lang w:val="en-GB" w:eastAsia="zh-CN"/>
        </w:rPr>
        <w:t>increased</w:t>
      </w:r>
      <w:r w:rsidRPr="004954B0">
        <w:rPr>
          <w:rFonts w:ascii="Arial" w:hAnsi="Arial" w:cs="Arial"/>
          <w:sz w:val="22"/>
          <w:szCs w:val="18"/>
          <w:lang w:val="en-GB"/>
        </w:rPr>
        <w:t xml:space="preserve"> after the program</w:t>
      </w:r>
      <w:r w:rsidR="00545141" w:rsidRPr="004954B0">
        <w:rPr>
          <w:rFonts w:ascii="Arial" w:hAnsi="Arial" w:cs="Arial"/>
          <w:sz w:val="22"/>
          <w:szCs w:val="18"/>
          <w:lang w:val="en-GB"/>
        </w:rPr>
        <w:t>me</w:t>
      </w:r>
      <w:r w:rsidR="0044173C" w:rsidRPr="004954B0">
        <w:rPr>
          <w:rFonts w:ascii="Arial" w:hAnsi="Arial" w:cs="Arial"/>
          <w:sz w:val="22"/>
          <w:szCs w:val="18"/>
          <w:lang w:val="en-GB"/>
        </w:rPr>
        <w:t>?</w:t>
      </w:r>
    </w:p>
    <w:p w14:paraId="6CF34C1A" w14:textId="2108930A" w:rsidR="00A56B78" w:rsidRPr="004954B0" w:rsidRDefault="00570556" w:rsidP="005609ED">
      <w:pPr>
        <w:pStyle w:val="subpar"/>
        <w:tabs>
          <w:tab w:val="clear" w:pos="2304"/>
          <w:tab w:val="num" w:pos="720"/>
        </w:tabs>
        <w:spacing w:before="0"/>
        <w:ind w:left="1080" w:hanging="360"/>
        <w:rPr>
          <w:rFonts w:ascii="Arial" w:hAnsi="Arial" w:cs="Arial"/>
          <w:sz w:val="22"/>
          <w:szCs w:val="18"/>
          <w:lang w:val="en-GB"/>
        </w:rPr>
      </w:pPr>
      <w:r w:rsidRPr="004954B0">
        <w:rPr>
          <w:rFonts w:ascii="Arial" w:hAnsi="Arial" w:cs="Arial"/>
          <w:sz w:val="22"/>
          <w:szCs w:val="18"/>
          <w:lang w:val="en-GB"/>
        </w:rPr>
        <w:t xml:space="preserve">How </w:t>
      </w:r>
      <w:r w:rsidR="00D05304" w:rsidRPr="004954B0">
        <w:rPr>
          <w:rFonts w:ascii="Arial" w:hAnsi="Arial" w:cs="Arial"/>
          <w:sz w:val="22"/>
          <w:szCs w:val="18"/>
          <w:lang w:val="en-GB"/>
        </w:rPr>
        <w:t>many more</w:t>
      </w:r>
      <w:r w:rsidRPr="004954B0">
        <w:rPr>
          <w:rFonts w:ascii="Arial" w:hAnsi="Arial" w:cs="Arial"/>
          <w:sz w:val="22"/>
          <w:szCs w:val="18"/>
          <w:lang w:val="en-GB"/>
        </w:rPr>
        <w:t xml:space="preserve"> households </w:t>
      </w:r>
      <w:r w:rsidR="00D05304" w:rsidRPr="004954B0">
        <w:rPr>
          <w:rFonts w:ascii="Arial" w:hAnsi="Arial" w:cs="Arial"/>
          <w:sz w:val="22"/>
          <w:szCs w:val="18"/>
          <w:lang w:val="en-GB"/>
        </w:rPr>
        <w:t xml:space="preserve">are </w:t>
      </w:r>
      <w:r w:rsidRPr="004954B0">
        <w:rPr>
          <w:rFonts w:ascii="Arial" w:hAnsi="Arial" w:cs="Arial"/>
          <w:sz w:val="22"/>
          <w:szCs w:val="18"/>
          <w:lang w:val="en-GB"/>
        </w:rPr>
        <w:t>benefiting from emer</w:t>
      </w:r>
      <w:r w:rsidR="00D40B6A" w:rsidRPr="004954B0">
        <w:rPr>
          <w:rFonts w:ascii="Arial" w:hAnsi="Arial" w:cs="Arial"/>
          <w:sz w:val="22"/>
          <w:szCs w:val="18"/>
          <w:lang w:val="en-GB"/>
        </w:rPr>
        <w:t>gency-related direct cash or in-</w:t>
      </w:r>
      <w:r w:rsidRPr="004954B0">
        <w:rPr>
          <w:rFonts w:ascii="Arial" w:hAnsi="Arial" w:cs="Arial"/>
          <w:sz w:val="22"/>
          <w:szCs w:val="18"/>
          <w:lang w:val="en-GB"/>
        </w:rPr>
        <w:t>kind transfers after the program</w:t>
      </w:r>
      <w:r w:rsidR="00545141" w:rsidRPr="004954B0">
        <w:rPr>
          <w:rFonts w:ascii="Arial" w:hAnsi="Arial" w:cs="Arial"/>
          <w:sz w:val="22"/>
          <w:szCs w:val="18"/>
          <w:lang w:val="en-GB"/>
        </w:rPr>
        <w:t>me</w:t>
      </w:r>
      <w:r w:rsidR="0044173C" w:rsidRPr="004954B0">
        <w:rPr>
          <w:rFonts w:ascii="Arial" w:hAnsi="Arial" w:cs="Arial"/>
          <w:sz w:val="22"/>
          <w:szCs w:val="18"/>
          <w:lang w:val="en-GB"/>
        </w:rPr>
        <w:t>?</w:t>
      </w:r>
    </w:p>
    <w:p w14:paraId="4B937736" w14:textId="6B627F1E" w:rsidR="00630637" w:rsidRPr="004954B0" w:rsidRDefault="00030973" w:rsidP="005609ED">
      <w:pPr>
        <w:pStyle w:val="subpar"/>
        <w:tabs>
          <w:tab w:val="clear" w:pos="2304"/>
          <w:tab w:val="num" w:pos="720"/>
        </w:tabs>
        <w:spacing w:before="0"/>
        <w:ind w:left="1080" w:hanging="360"/>
        <w:rPr>
          <w:rFonts w:ascii="Arial" w:hAnsi="Arial" w:cs="Arial"/>
          <w:sz w:val="22"/>
          <w:szCs w:val="18"/>
          <w:lang w:val="en-GB"/>
        </w:rPr>
      </w:pPr>
      <w:r w:rsidRPr="004954B0">
        <w:rPr>
          <w:rFonts w:ascii="Arial" w:hAnsi="Arial" w:cs="Arial"/>
          <w:sz w:val="22"/>
          <w:szCs w:val="18"/>
          <w:lang w:val="en-GB"/>
        </w:rPr>
        <w:t xml:space="preserve">How </w:t>
      </w:r>
      <w:r w:rsidR="00D05304" w:rsidRPr="004954B0">
        <w:rPr>
          <w:rFonts w:ascii="Arial" w:hAnsi="Arial" w:cs="Arial"/>
          <w:sz w:val="22"/>
          <w:szCs w:val="18"/>
          <w:lang w:val="en-GB"/>
        </w:rPr>
        <w:t>many more</w:t>
      </w:r>
      <w:r w:rsidRPr="004954B0">
        <w:rPr>
          <w:rFonts w:ascii="Arial" w:hAnsi="Arial" w:cs="Arial"/>
          <w:sz w:val="22"/>
          <w:szCs w:val="18"/>
          <w:lang w:val="en-GB"/>
        </w:rPr>
        <w:t xml:space="preserve"> </w:t>
      </w:r>
      <w:r w:rsidR="00CE6846" w:rsidRPr="004954B0">
        <w:rPr>
          <w:rFonts w:ascii="Arial" w:hAnsi="Arial" w:cs="Arial"/>
          <w:sz w:val="22"/>
          <w:szCs w:val="18"/>
          <w:lang w:val="en-GB" w:eastAsia="zh-CN"/>
        </w:rPr>
        <w:t>businesses</w:t>
      </w:r>
      <w:r w:rsidRPr="004954B0">
        <w:rPr>
          <w:rFonts w:ascii="Arial" w:hAnsi="Arial" w:cs="Arial"/>
          <w:sz w:val="22"/>
          <w:szCs w:val="18"/>
          <w:lang w:val="en-GB"/>
        </w:rPr>
        <w:t xml:space="preserve"> </w:t>
      </w:r>
      <w:r w:rsidR="00D05304" w:rsidRPr="004954B0">
        <w:rPr>
          <w:rFonts w:ascii="Arial" w:hAnsi="Arial" w:cs="Arial"/>
          <w:sz w:val="22"/>
          <w:szCs w:val="18"/>
          <w:lang w:val="en-GB"/>
        </w:rPr>
        <w:t>are receiving</w:t>
      </w:r>
      <w:r w:rsidRPr="004954B0">
        <w:rPr>
          <w:rFonts w:ascii="Arial" w:hAnsi="Arial" w:cs="Arial"/>
          <w:sz w:val="22"/>
          <w:szCs w:val="18"/>
          <w:lang w:val="en-GB"/>
        </w:rPr>
        <w:t xml:space="preserve"> emergency </w:t>
      </w:r>
      <w:r w:rsidR="00756645">
        <w:rPr>
          <w:rFonts w:ascii="Arial" w:hAnsi="Arial" w:cs="Arial"/>
          <w:sz w:val="22"/>
          <w:szCs w:val="18"/>
          <w:lang w:val="en-GB"/>
        </w:rPr>
        <w:t>support</w:t>
      </w:r>
      <w:r w:rsidR="007426A6" w:rsidRPr="004954B0">
        <w:rPr>
          <w:rFonts w:ascii="Arial" w:hAnsi="Arial" w:cs="Arial"/>
          <w:sz w:val="22"/>
          <w:szCs w:val="18"/>
          <w:lang w:val="en-GB"/>
        </w:rPr>
        <w:t xml:space="preserve"> </w:t>
      </w:r>
      <w:r w:rsidRPr="004954B0">
        <w:rPr>
          <w:rFonts w:ascii="Arial" w:hAnsi="Arial" w:cs="Arial"/>
          <w:sz w:val="22"/>
          <w:szCs w:val="18"/>
          <w:lang w:val="en-GB"/>
        </w:rPr>
        <w:t>after the program</w:t>
      </w:r>
      <w:r w:rsidR="00545141" w:rsidRPr="004954B0">
        <w:rPr>
          <w:rFonts w:ascii="Arial" w:hAnsi="Arial" w:cs="Arial"/>
          <w:sz w:val="22"/>
          <w:szCs w:val="18"/>
          <w:lang w:val="en-GB"/>
        </w:rPr>
        <w:t>me</w:t>
      </w:r>
      <w:r w:rsidR="00630637" w:rsidRPr="004954B0">
        <w:rPr>
          <w:rFonts w:ascii="Arial" w:hAnsi="Arial" w:cs="Arial"/>
          <w:sz w:val="22"/>
          <w:szCs w:val="18"/>
          <w:lang w:val="en-GB"/>
        </w:rPr>
        <w:t>?</w:t>
      </w:r>
    </w:p>
    <w:p w14:paraId="462713AE" w14:textId="06DF44A9" w:rsidR="00331257" w:rsidRPr="004954B0" w:rsidRDefault="001645EB" w:rsidP="005609ED">
      <w:pPr>
        <w:pStyle w:val="subpar"/>
        <w:tabs>
          <w:tab w:val="clear" w:pos="2304"/>
          <w:tab w:val="num" w:pos="720"/>
        </w:tabs>
        <w:spacing w:before="0"/>
        <w:ind w:left="1080" w:hanging="360"/>
        <w:rPr>
          <w:rFonts w:ascii="Arial" w:hAnsi="Arial" w:cs="Arial"/>
          <w:sz w:val="22"/>
          <w:szCs w:val="18"/>
          <w:lang w:val="en-GB"/>
        </w:rPr>
      </w:pPr>
      <w:r w:rsidRPr="004954B0">
        <w:rPr>
          <w:rFonts w:ascii="Arial" w:hAnsi="Arial" w:cs="Arial"/>
          <w:sz w:val="22"/>
          <w:szCs w:val="18"/>
          <w:lang w:val="en-GB"/>
        </w:rPr>
        <w:t xml:space="preserve">How much progress has been made </w:t>
      </w:r>
      <w:r w:rsidR="00F53DA3" w:rsidRPr="004954B0">
        <w:rPr>
          <w:rFonts w:ascii="Arial" w:hAnsi="Arial" w:cs="Arial"/>
          <w:sz w:val="22"/>
          <w:szCs w:val="18"/>
          <w:lang w:val="en-GB"/>
        </w:rPr>
        <w:t>on implementation of</w:t>
      </w:r>
      <w:r w:rsidR="00E65896" w:rsidRPr="004954B0">
        <w:rPr>
          <w:rFonts w:ascii="Arial" w:hAnsi="Arial" w:cs="Arial"/>
          <w:sz w:val="22"/>
          <w:szCs w:val="18"/>
          <w:lang w:val="en-GB"/>
        </w:rPr>
        <w:t xml:space="preserve"> </w:t>
      </w:r>
      <w:r w:rsidRPr="004954B0">
        <w:rPr>
          <w:rFonts w:ascii="Arial" w:hAnsi="Arial" w:cs="Arial"/>
          <w:sz w:val="22"/>
          <w:szCs w:val="18"/>
          <w:lang w:val="en-GB"/>
        </w:rPr>
        <w:t>economic and fiscal recovery plans and program</w:t>
      </w:r>
      <w:r w:rsidR="00545141" w:rsidRPr="004954B0">
        <w:rPr>
          <w:rFonts w:ascii="Arial" w:hAnsi="Arial" w:cs="Arial"/>
          <w:sz w:val="22"/>
          <w:szCs w:val="18"/>
          <w:lang w:val="en-GB"/>
        </w:rPr>
        <w:t>me’</w:t>
      </w:r>
      <w:r w:rsidRPr="004954B0">
        <w:rPr>
          <w:rFonts w:ascii="Arial" w:hAnsi="Arial" w:cs="Arial"/>
          <w:sz w:val="22"/>
          <w:szCs w:val="18"/>
          <w:lang w:val="en-GB"/>
        </w:rPr>
        <w:t>s in the post-pandemic period</w:t>
      </w:r>
      <w:r w:rsidR="00331257" w:rsidRPr="004954B0">
        <w:rPr>
          <w:rFonts w:ascii="Arial" w:hAnsi="Arial" w:cs="Arial"/>
          <w:sz w:val="22"/>
          <w:szCs w:val="18"/>
          <w:lang w:val="en-GB"/>
        </w:rPr>
        <w:t xml:space="preserve">? </w:t>
      </w:r>
    </w:p>
    <w:p w14:paraId="190B67B5" w14:textId="77777777" w:rsidR="00094BC4" w:rsidRPr="004954B0" w:rsidRDefault="00094BC4" w:rsidP="00094BC4">
      <w:pPr>
        <w:pStyle w:val="Paragraph"/>
        <w:tabs>
          <w:tab w:val="clear" w:pos="2448"/>
          <w:tab w:val="num" w:pos="720"/>
          <w:tab w:val="num" w:pos="1440"/>
        </w:tabs>
        <w:spacing w:before="0"/>
        <w:ind w:left="720" w:hanging="720"/>
        <w:rPr>
          <w:rFonts w:ascii="Arial" w:hAnsi="Arial" w:cs="Arial"/>
          <w:sz w:val="22"/>
          <w:szCs w:val="22"/>
          <w:lang w:val="en-GB"/>
        </w:rPr>
      </w:pPr>
      <w:r w:rsidRPr="004954B0">
        <w:rPr>
          <w:rFonts w:ascii="Arial" w:hAnsi="Arial" w:cs="Arial"/>
          <w:sz w:val="22"/>
          <w:szCs w:val="22"/>
          <w:lang w:val="en-GB" w:eastAsia="zh-CN"/>
        </w:rPr>
        <w:t>The</w:t>
      </w:r>
      <w:r w:rsidRPr="004954B0">
        <w:rPr>
          <w:rFonts w:ascii="Arial" w:hAnsi="Arial" w:cs="Arial"/>
          <w:sz w:val="22"/>
          <w:szCs w:val="22"/>
          <w:lang w:val="en-GB"/>
        </w:rPr>
        <w:t xml:space="preserve"> </w:t>
      </w:r>
      <w:r w:rsidRPr="004954B0">
        <w:rPr>
          <w:rFonts w:ascii="Arial" w:hAnsi="Arial" w:cs="Arial"/>
          <w:b/>
          <w:bCs/>
          <w:sz w:val="22"/>
          <w:szCs w:val="22"/>
          <w:lang w:val="en-GB" w:eastAsia="zh-CN"/>
        </w:rPr>
        <w:t xml:space="preserve">qualitative analysis </w:t>
      </w:r>
      <w:r w:rsidRPr="004954B0">
        <w:rPr>
          <w:rFonts w:ascii="Arial" w:hAnsi="Arial" w:cs="Arial"/>
          <w:sz w:val="22"/>
          <w:szCs w:val="22"/>
          <w:lang w:val="en-GB" w:eastAsia="zh-CN"/>
        </w:rPr>
        <w:t>seeks to answer questions such as</w:t>
      </w:r>
      <w:r w:rsidRPr="004954B0">
        <w:rPr>
          <w:rFonts w:ascii="Arial" w:hAnsi="Arial" w:cs="Arial"/>
          <w:sz w:val="22"/>
          <w:szCs w:val="22"/>
          <w:lang w:val="en-GB"/>
        </w:rPr>
        <w:t xml:space="preserve">: </w:t>
      </w:r>
    </w:p>
    <w:p w14:paraId="7F8922DC" w14:textId="77777777" w:rsidR="00094BC4" w:rsidRPr="004954B0" w:rsidRDefault="00094BC4" w:rsidP="00094BC4">
      <w:pPr>
        <w:pStyle w:val="subpar"/>
        <w:tabs>
          <w:tab w:val="clear" w:pos="2304"/>
          <w:tab w:val="num" w:pos="720"/>
        </w:tabs>
        <w:spacing w:before="0"/>
        <w:ind w:left="1080" w:hanging="360"/>
        <w:rPr>
          <w:rFonts w:ascii="Arial" w:hAnsi="Arial" w:cs="Arial"/>
          <w:sz w:val="22"/>
          <w:szCs w:val="18"/>
          <w:lang w:val="en-GB"/>
        </w:rPr>
      </w:pPr>
      <w:r w:rsidRPr="004954B0">
        <w:rPr>
          <w:rFonts w:ascii="Arial" w:hAnsi="Arial" w:cs="Arial"/>
          <w:sz w:val="22"/>
          <w:szCs w:val="18"/>
          <w:lang w:val="en-GB"/>
        </w:rPr>
        <w:t xml:space="preserve">What were the main weaknesses and challenges in the implementation of the policy measures? </w:t>
      </w:r>
    </w:p>
    <w:p w14:paraId="30D5E6FE" w14:textId="15B2F40C" w:rsidR="00094BC4" w:rsidRPr="004954B0" w:rsidRDefault="00094BC4" w:rsidP="00094BC4">
      <w:pPr>
        <w:pStyle w:val="subpar"/>
        <w:tabs>
          <w:tab w:val="clear" w:pos="2304"/>
          <w:tab w:val="num" w:pos="720"/>
        </w:tabs>
        <w:spacing w:before="0"/>
        <w:ind w:left="1080" w:hanging="360"/>
        <w:rPr>
          <w:rFonts w:ascii="Arial" w:hAnsi="Arial" w:cs="Arial"/>
          <w:sz w:val="22"/>
          <w:szCs w:val="18"/>
          <w:lang w:val="en-GB"/>
        </w:rPr>
      </w:pPr>
      <w:r w:rsidRPr="004954B0">
        <w:rPr>
          <w:rFonts w:ascii="Arial" w:hAnsi="Arial" w:cs="Arial"/>
          <w:sz w:val="22"/>
          <w:szCs w:val="18"/>
          <w:lang w:val="en-GB"/>
        </w:rPr>
        <w:t>What are the perceptions of policymakers, program</w:t>
      </w:r>
      <w:r w:rsidR="00545141" w:rsidRPr="004954B0">
        <w:rPr>
          <w:rFonts w:ascii="Arial" w:hAnsi="Arial" w:cs="Arial"/>
          <w:sz w:val="22"/>
          <w:szCs w:val="18"/>
          <w:lang w:val="en-GB"/>
        </w:rPr>
        <w:t>me</w:t>
      </w:r>
      <w:r w:rsidRPr="004954B0">
        <w:rPr>
          <w:rFonts w:ascii="Arial" w:hAnsi="Arial" w:cs="Arial"/>
          <w:sz w:val="22"/>
          <w:szCs w:val="18"/>
          <w:lang w:val="en-GB"/>
        </w:rPr>
        <w:t xml:space="preserve"> executors, and beneficiaries of the effectiveness of policy measures?</w:t>
      </w:r>
    </w:p>
    <w:p w14:paraId="6C6FBA23" w14:textId="77777777" w:rsidR="00094BC4" w:rsidRPr="004954B0" w:rsidRDefault="00094BC4" w:rsidP="00094BC4">
      <w:pPr>
        <w:pStyle w:val="subpar"/>
        <w:numPr>
          <w:ilvl w:val="0"/>
          <w:numId w:val="0"/>
        </w:numPr>
        <w:spacing w:before="0"/>
        <w:ind w:left="720"/>
        <w:rPr>
          <w:rFonts w:ascii="Arial" w:hAnsi="Arial" w:cs="Arial"/>
          <w:sz w:val="22"/>
          <w:szCs w:val="18"/>
          <w:lang w:val="en-GB"/>
        </w:rPr>
      </w:pPr>
    </w:p>
    <w:p w14:paraId="2A63CD0E" w14:textId="07926EF7" w:rsidR="001B161E" w:rsidRPr="004954B0" w:rsidRDefault="00E56DF0" w:rsidP="005609ED">
      <w:pPr>
        <w:pStyle w:val="FirstHeading"/>
        <w:numPr>
          <w:ilvl w:val="0"/>
          <w:numId w:val="13"/>
        </w:numPr>
        <w:spacing w:before="0"/>
        <w:ind w:left="720"/>
        <w:rPr>
          <w:rFonts w:ascii="Arial" w:hAnsi="Arial" w:cs="Arial"/>
          <w:sz w:val="22"/>
          <w:szCs w:val="22"/>
          <w:lang w:val="en-GB"/>
        </w:rPr>
      </w:pPr>
      <w:bookmarkStart w:id="9" w:name="_Toc38495917"/>
      <w:bookmarkStart w:id="10" w:name="_Toc36022880"/>
      <w:r w:rsidRPr="004954B0">
        <w:rPr>
          <w:rFonts w:ascii="Arial" w:hAnsi="Arial" w:cs="Arial"/>
          <w:sz w:val="22"/>
          <w:szCs w:val="22"/>
          <w:lang w:val="en-GB" w:eastAsia="zh-CN"/>
        </w:rPr>
        <w:t xml:space="preserve">Main </w:t>
      </w:r>
      <w:r w:rsidR="00D05304" w:rsidRPr="004954B0">
        <w:rPr>
          <w:rFonts w:ascii="Arial" w:hAnsi="Arial" w:cs="Arial"/>
          <w:sz w:val="22"/>
          <w:szCs w:val="22"/>
          <w:lang w:val="en-GB" w:eastAsia="zh-CN"/>
        </w:rPr>
        <w:t>R</w:t>
      </w:r>
      <w:r w:rsidR="000073C1" w:rsidRPr="004954B0">
        <w:rPr>
          <w:rFonts w:ascii="Arial" w:hAnsi="Arial" w:cs="Arial"/>
          <w:sz w:val="22"/>
          <w:szCs w:val="22"/>
          <w:lang w:val="en-GB" w:eastAsia="zh-CN"/>
        </w:rPr>
        <w:t>esult</w:t>
      </w:r>
      <w:r w:rsidRPr="004954B0">
        <w:rPr>
          <w:rFonts w:ascii="Arial" w:hAnsi="Arial" w:cs="Arial"/>
          <w:sz w:val="22"/>
          <w:szCs w:val="22"/>
          <w:lang w:val="en-GB" w:eastAsia="zh-CN"/>
        </w:rPr>
        <w:t xml:space="preserve"> </w:t>
      </w:r>
      <w:r w:rsidR="00D05304" w:rsidRPr="004954B0">
        <w:rPr>
          <w:rFonts w:ascii="Arial" w:hAnsi="Arial" w:cs="Arial"/>
          <w:sz w:val="22"/>
          <w:szCs w:val="22"/>
          <w:lang w:val="en-GB" w:eastAsia="zh-CN"/>
        </w:rPr>
        <w:t>I</w:t>
      </w:r>
      <w:r w:rsidRPr="004954B0">
        <w:rPr>
          <w:rFonts w:ascii="Arial" w:hAnsi="Arial" w:cs="Arial"/>
          <w:sz w:val="22"/>
          <w:szCs w:val="22"/>
          <w:lang w:val="en-GB" w:eastAsia="zh-CN"/>
        </w:rPr>
        <w:t>ndicators</w:t>
      </w:r>
      <w:bookmarkEnd w:id="9"/>
      <w:r w:rsidR="001B161E" w:rsidRPr="004954B0">
        <w:rPr>
          <w:rFonts w:ascii="Arial" w:hAnsi="Arial" w:cs="Arial"/>
          <w:sz w:val="22"/>
          <w:szCs w:val="22"/>
          <w:lang w:val="en-GB"/>
        </w:rPr>
        <w:t xml:space="preserve"> </w:t>
      </w:r>
      <w:bookmarkEnd w:id="10"/>
      <w:r w:rsidRPr="004954B0">
        <w:rPr>
          <w:rFonts w:ascii="Arial" w:hAnsi="Arial" w:cs="Arial"/>
          <w:sz w:val="22"/>
          <w:szCs w:val="22"/>
          <w:lang w:val="en-GB" w:eastAsia="zh-CN"/>
        </w:rPr>
        <w:t xml:space="preserve"> </w:t>
      </w:r>
    </w:p>
    <w:p w14:paraId="787E6DE1" w14:textId="14A67982" w:rsidR="001B161E" w:rsidRPr="004954B0" w:rsidRDefault="00AA464C" w:rsidP="0038065E">
      <w:pPr>
        <w:pStyle w:val="Paragraph"/>
        <w:tabs>
          <w:tab w:val="num" w:pos="1440"/>
          <w:tab w:val="num" w:pos="1746"/>
        </w:tabs>
        <w:ind w:left="720" w:hanging="720"/>
        <w:rPr>
          <w:rFonts w:ascii="Arial" w:hAnsi="Arial" w:cs="Arial"/>
          <w:sz w:val="22"/>
          <w:szCs w:val="22"/>
          <w:lang w:val="en-GB"/>
        </w:rPr>
        <w:sectPr w:rsidR="001B161E" w:rsidRPr="004954B0" w:rsidSect="005A0ED4">
          <w:pgSz w:w="12240" w:h="15840" w:code="1"/>
          <w:pgMar w:top="1440" w:right="1800" w:bottom="1440" w:left="1800" w:header="706" w:footer="706" w:gutter="0"/>
          <w:cols w:space="720"/>
          <w:formProt w:val="0"/>
          <w:docGrid w:linePitch="326"/>
        </w:sectPr>
      </w:pPr>
      <w:r w:rsidRPr="004954B0">
        <w:rPr>
          <w:rFonts w:ascii="Arial" w:hAnsi="Arial" w:cs="Arial"/>
          <w:sz w:val="22"/>
          <w:szCs w:val="22"/>
          <w:lang w:val="en-GB"/>
        </w:rPr>
        <w:t>Impact and outcome indicators that will be measured as part of the program</w:t>
      </w:r>
      <w:r w:rsidR="00545141" w:rsidRPr="004954B0">
        <w:rPr>
          <w:rFonts w:ascii="Arial" w:hAnsi="Arial" w:cs="Arial"/>
          <w:sz w:val="22"/>
          <w:szCs w:val="22"/>
          <w:lang w:val="en-GB"/>
        </w:rPr>
        <w:t>me</w:t>
      </w:r>
      <w:r w:rsidRPr="004954B0">
        <w:rPr>
          <w:rFonts w:ascii="Arial" w:hAnsi="Arial" w:cs="Arial"/>
          <w:sz w:val="22"/>
          <w:szCs w:val="22"/>
          <w:lang w:val="en-GB"/>
        </w:rPr>
        <w:t xml:space="preserve"> evaluation are </w:t>
      </w:r>
      <w:r w:rsidR="00D05304" w:rsidRPr="004954B0">
        <w:rPr>
          <w:rFonts w:ascii="Arial" w:hAnsi="Arial" w:cs="Arial"/>
          <w:sz w:val="22"/>
          <w:szCs w:val="22"/>
          <w:lang w:val="en-GB"/>
        </w:rPr>
        <w:t>described in</w:t>
      </w:r>
      <w:r w:rsidRPr="004954B0">
        <w:rPr>
          <w:rFonts w:ascii="Arial" w:hAnsi="Arial" w:cs="Arial"/>
          <w:sz w:val="22"/>
          <w:szCs w:val="22"/>
          <w:lang w:val="en-GB"/>
        </w:rPr>
        <w:t xml:space="preserve"> Tables 3 and 4, respectively. In addition, Annex I </w:t>
      </w:r>
      <w:r w:rsidR="0064578A" w:rsidRPr="004954B0">
        <w:rPr>
          <w:rFonts w:ascii="Arial" w:hAnsi="Arial" w:cs="Arial"/>
          <w:sz w:val="22"/>
          <w:szCs w:val="22"/>
          <w:lang w:val="en-GB"/>
        </w:rPr>
        <w:t>provide</w:t>
      </w:r>
      <w:r w:rsidR="00D05304" w:rsidRPr="004954B0">
        <w:rPr>
          <w:rFonts w:ascii="Arial" w:hAnsi="Arial" w:cs="Arial"/>
          <w:sz w:val="22"/>
          <w:szCs w:val="22"/>
          <w:lang w:val="en-GB"/>
        </w:rPr>
        <w:t xml:space="preserve"> </w:t>
      </w:r>
      <w:r w:rsidRPr="004954B0">
        <w:rPr>
          <w:rFonts w:ascii="Arial" w:hAnsi="Arial" w:cs="Arial"/>
          <w:sz w:val="22"/>
          <w:szCs w:val="22"/>
          <w:lang w:val="en-GB"/>
        </w:rPr>
        <w:t>the methodology for measuring the impact indicators</w:t>
      </w:r>
      <w:r w:rsidR="0038065E" w:rsidRPr="004954B0">
        <w:rPr>
          <w:rFonts w:ascii="Arial" w:hAnsi="Arial" w:cs="Arial"/>
          <w:sz w:val="22"/>
          <w:szCs w:val="22"/>
          <w:lang w:val="en-GB"/>
        </w:rPr>
        <w:t>.</w:t>
      </w:r>
    </w:p>
    <w:p w14:paraId="28AE43A0" w14:textId="63A3A2E0" w:rsidR="00B51002" w:rsidRPr="004954B0" w:rsidRDefault="00AA464C" w:rsidP="00CC5663">
      <w:pPr>
        <w:autoSpaceDE w:val="0"/>
        <w:autoSpaceDN w:val="0"/>
        <w:adjustRightInd w:val="0"/>
        <w:jc w:val="center"/>
        <w:rPr>
          <w:rFonts w:ascii="Arial" w:hAnsi="Arial" w:cs="Arial"/>
          <w:b/>
          <w:sz w:val="20"/>
          <w:lang w:val="en-GB"/>
        </w:rPr>
      </w:pPr>
      <w:r w:rsidRPr="00A530A4">
        <w:rPr>
          <w:rFonts w:ascii="Arial" w:hAnsi="Arial" w:cs="Arial"/>
          <w:b/>
          <w:sz w:val="20"/>
          <w:lang w:val="en-GB" w:eastAsia="zh-CN"/>
        </w:rPr>
        <w:lastRenderedPageBreak/>
        <w:t>Table</w:t>
      </w:r>
      <w:r w:rsidR="00B51002" w:rsidRPr="00A530A4">
        <w:rPr>
          <w:rFonts w:ascii="Arial" w:hAnsi="Arial" w:cs="Arial"/>
          <w:b/>
          <w:sz w:val="20"/>
          <w:lang w:val="en-GB"/>
        </w:rPr>
        <w:t xml:space="preserve"> 3</w:t>
      </w:r>
      <w:r w:rsidR="00CC5663" w:rsidRPr="00A530A4">
        <w:rPr>
          <w:rFonts w:ascii="Arial" w:hAnsi="Arial" w:cs="Arial"/>
          <w:b/>
          <w:sz w:val="20"/>
          <w:lang w:val="en-GB"/>
        </w:rPr>
        <w:t xml:space="preserve">. </w:t>
      </w:r>
      <w:r w:rsidR="0089101D" w:rsidRPr="00A530A4">
        <w:rPr>
          <w:rFonts w:ascii="Arial" w:hAnsi="Arial" w:cs="Arial"/>
          <w:b/>
          <w:sz w:val="20"/>
          <w:lang w:val="en-GB" w:eastAsia="zh-CN"/>
        </w:rPr>
        <w:t>Expected Impact</w:t>
      </w:r>
      <w:r w:rsidR="0089101D" w:rsidRPr="004954B0">
        <w:rPr>
          <w:rFonts w:ascii="Arial" w:hAnsi="Arial" w:cs="Arial"/>
          <w:b/>
          <w:sz w:val="20"/>
          <w:lang w:val="en-GB" w:eastAsia="zh-CN"/>
        </w:rPr>
        <w:t xml:space="preserve"> </w:t>
      </w:r>
    </w:p>
    <w:tbl>
      <w:tblPr>
        <w:tblW w:w="141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2875"/>
        <w:gridCol w:w="1170"/>
        <w:gridCol w:w="1080"/>
        <w:gridCol w:w="1080"/>
        <w:gridCol w:w="900"/>
        <w:gridCol w:w="990"/>
        <w:gridCol w:w="2520"/>
        <w:gridCol w:w="3497"/>
      </w:tblGrid>
      <w:tr w:rsidR="002B0774" w:rsidRPr="004954B0" w14:paraId="0F0B5175" w14:textId="77777777" w:rsidTr="00A724C7">
        <w:trPr>
          <w:trHeight w:val="20"/>
          <w:jc w:val="center"/>
        </w:trPr>
        <w:tc>
          <w:tcPr>
            <w:tcW w:w="2875"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56397890" w14:textId="4CC73AE3" w:rsidR="002B0774" w:rsidRPr="004954B0" w:rsidRDefault="002B0774" w:rsidP="002B0774">
            <w:pPr>
              <w:spacing w:before="40" w:after="40"/>
              <w:ind w:left="-29" w:right="-29"/>
              <w:jc w:val="center"/>
              <w:rPr>
                <w:rFonts w:ascii="Arial" w:hAnsi="Arial" w:cs="Arial"/>
                <w:b/>
                <w:spacing w:val="-3"/>
                <w:sz w:val="18"/>
                <w:szCs w:val="18"/>
                <w:lang w:val="en-GB"/>
              </w:rPr>
            </w:pPr>
            <w:r w:rsidRPr="000267AA">
              <w:rPr>
                <w:rFonts w:ascii="Arial" w:hAnsi="Arial"/>
                <w:b/>
                <w:spacing w:val="-3"/>
                <w:sz w:val="18"/>
                <w:szCs w:val="18"/>
                <w:lang w:val="en-GB"/>
              </w:rPr>
              <w:t>Indicators</w:t>
            </w:r>
          </w:p>
        </w:tc>
        <w:tc>
          <w:tcPr>
            <w:tcW w:w="1170"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75D30EEA" w14:textId="122AFC25" w:rsidR="002B0774" w:rsidRPr="004954B0" w:rsidRDefault="002B0774" w:rsidP="002B0774">
            <w:pPr>
              <w:spacing w:before="40" w:after="40"/>
              <w:ind w:left="-29" w:right="-29"/>
              <w:jc w:val="center"/>
              <w:rPr>
                <w:rFonts w:ascii="Arial" w:hAnsi="Arial" w:cs="Arial"/>
                <w:b/>
                <w:spacing w:val="-3"/>
                <w:sz w:val="18"/>
                <w:szCs w:val="18"/>
                <w:lang w:val="en-GB"/>
              </w:rPr>
            </w:pPr>
            <w:r w:rsidRPr="000267AA">
              <w:rPr>
                <w:rFonts w:ascii="Arial" w:hAnsi="Arial"/>
                <w:b/>
                <w:spacing w:val="-3"/>
                <w:sz w:val="18"/>
                <w:szCs w:val="18"/>
                <w:lang w:val="en-GB"/>
              </w:rPr>
              <w:t xml:space="preserve">Unit of </w:t>
            </w:r>
            <w:r>
              <w:rPr>
                <w:rFonts w:ascii="Arial" w:hAnsi="Arial"/>
                <w:b/>
                <w:spacing w:val="-3"/>
                <w:sz w:val="18"/>
                <w:szCs w:val="18"/>
                <w:lang w:val="en-GB"/>
              </w:rPr>
              <w:t>M</w:t>
            </w:r>
            <w:r w:rsidRPr="000267AA">
              <w:rPr>
                <w:rFonts w:ascii="Arial" w:hAnsi="Arial"/>
                <w:b/>
                <w:spacing w:val="-3"/>
                <w:sz w:val="18"/>
                <w:szCs w:val="18"/>
                <w:lang w:val="en-GB"/>
              </w:rPr>
              <w:t>easure</w:t>
            </w:r>
          </w:p>
        </w:tc>
        <w:tc>
          <w:tcPr>
            <w:tcW w:w="1080"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3CF028B6" w14:textId="1617DD94" w:rsidR="002B0774" w:rsidRPr="004954B0" w:rsidRDefault="002B0774" w:rsidP="002B0774">
            <w:pPr>
              <w:spacing w:before="40" w:after="40"/>
              <w:ind w:left="-29" w:right="-29"/>
              <w:jc w:val="center"/>
              <w:rPr>
                <w:rFonts w:ascii="Arial" w:hAnsi="Arial" w:cs="Arial"/>
                <w:b/>
                <w:spacing w:val="-3"/>
                <w:sz w:val="18"/>
                <w:szCs w:val="18"/>
                <w:lang w:val="en-GB"/>
              </w:rPr>
            </w:pPr>
            <w:r w:rsidRPr="000267AA">
              <w:rPr>
                <w:rFonts w:ascii="Arial" w:hAnsi="Arial"/>
                <w:b/>
                <w:spacing w:val="-3"/>
                <w:sz w:val="18"/>
                <w:szCs w:val="18"/>
                <w:lang w:val="en-GB"/>
              </w:rPr>
              <w:t xml:space="preserve">Baseline </w:t>
            </w:r>
          </w:p>
        </w:tc>
        <w:tc>
          <w:tcPr>
            <w:tcW w:w="1080"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645691C7" w14:textId="2C9C2AD8" w:rsidR="002B0774" w:rsidRPr="004954B0" w:rsidRDefault="002B0774" w:rsidP="002B0774">
            <w:pPr>
              <w:spacing w:before="40" w:after="40"/>
              <w:ind w:left="-29" w:right="-29"/>
              <w:jc w:val="center"/>
              <w:rPr>
                <w:rFonts w:ascii="Arial" w:hAnsi="Arial" w:cs="Arial"/>
                <w:b/>
                <w:spacing w:val="-3"/>
                <w:sz w:val="18"/>
                <w:szCs w:val="18"/>
                <w:lang w:val="en-GB"/>
              </w:rPr>
            </w:pPr>
            <w:r w:rsidRPr="000267AA">
              <w:rPr>
                <w:rFonts w:ascii="Arial" w:hAnsi="Arial"/>
                <w:b/>
                <w:spacing w:val="-3"/>
                <w:sz w:val="18"/>
                <w:szCs w:val="18"/>
                <w:lang w:val="en-GB"/>
              </w:rPr>
              <w:t xml:space="preserve">Baseline </w:t>
            </w:r>
            <w:r>
              <w:rPr>
                <w:rFonts w:ascii="Arial" w:hAnsi="Arial"/>
                <w:b/>
                <w:spacing w:val="-3"/>
                <w:sz w:val="18"/>
                <w:szCs w:val="18"/>
                <w:lang w:val="en-GB"/>
              </w:rPr>
              <w:t>Y</w:t>
            </w:r>
            <w:r w:rsidRPr="000267AA">
              <w:rPr>
                <w:rFonts w:ascii="Arial" w:hAnsi="Arial"/>
                <w:b/>
                <w:spacing w:val="-3"/>
                <w:sz w:val="18"/>
                <w:szCs w:val="18"/>
                <w:lang w:val="en-GB"/>
              </w:rPr>
              <w:t>ear</w:t>
            </w:r>
          </w:p>
        </w:tc>
        <w:tc>
          <w:tcPr>
            <w:tcW w:w="900"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682359F4" w14:textId="7E245D28" w:rsidR="002B0774" w:rsidRPr="004954B0" w:rsidRDefault="002B0774" w:rsidP="002B0774">
            <w:pPr>
              <w:spacing w:before="40" w:after="40"/>
              <w:ind w:left="-29" w:right="-29"/>
              <w:jc w:val="center"/>
              <w:rPr>
                <w:rFonts w:ascii="Arial" w:hAnsi="Arial" w:cs="Arial"/>
                <w:b/>
                <w:spacing w:val="-3"/>
                <w:sz w:val="18"/>
                <w:szCs w:val="18"/>
                <w:lang w:val="en-GB"/>
              </w:rPr>
            </w:pPr>
            <w:r w:rsidRPr="000267AA">
              <w:rPr>
                <w:rFonts w:ascii="Arial" w:hAnsi="Arial"/>
                <w:b/>
                <w:spacing w:val="-3"/>
                <w:sz w:val="18"/>
                <w:szCs w:val="18"/>
                <w:lang w:val="en-GB"/>
              </w:rPr>
              <w:t xml:space="preserve">Final </w:t>
            </w:r>
            <w:r>
              <w:rPr>
                <w:rFonts w:ascii="Arial" w:hAnsi="Arial"/>
                <w:b/>
                <w:spacing w:val="-3"/>
                <w:sz w:val="18"/>
                <w:szCs w:val="18"/>
                <w:lang w:val="en-GB"/>
              </w:rPr>
              <w:t>T</w:t>
            </w:r>
            <w:r w:rsidRPr="000267AA">
              <w:rPr>
                <w:rFonts w:ascii="Arial" w:hAnsi="Arial"/>
                <w:b/>
                <w:spacing w:val="-3"/>
                <w:sz w:val="18"/>
                <w:szCs w:val="18"/>
                <w:lang w:val="en-GB"/>
              </w:rPr>
              <w:t xml:space="preserve">arget </w:t>
            </w:r>
          </w:p>
        </w:tc>
        <w:tc>
          <w:tcPr>
            <w:tcW w:w="990"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26EE7A13" w14:textId="77777777" w:rsidR="002B0774" w:rsidRPr="000267AA" w:rsidRDefault="002B0774" w:rsidP="002B0774">
            <w:pPr>
              <w:spacing w:before="40" w:after="40"/>
              <w:ind w:left="-29" w:right="-29"/>
              <w:jc w:val="center"/>
              <w:rPr>
                <w:rFonts w:ascii="Arial" w:hAnsi="Arial" w:cs="Arial"/>
                <w:b/>
                <w:spacing w:val="-3"/>
                <w:sz w:val="18"/>
                <w:szCs w:val="18"/>
                <w:lang w:val="en-GB"/>
              </w:rPr>
            </w:pPr>
            <w:r w:rsidRPr="000267AA">
              <w:rPr>
                <w:rFonts w:ascii="Arial" w:hAnsi="Arial"/>
                <w:b/>
                <w:spacing w:val="-3"/>
                <w:sz w:val="18"/>
                <w:szCs w:val="18"/>
                <w:lang w:val="en-GB"/>
              </w:rPr>
              <w:t>Final</w:t>
            </w:r>
          </w:p>
          <w:p w14:paraId="19C82F5E" w14:textId="1F8DD9BE" w:rsidR="002B0774" w:rsidRPr="004954B0" w:rsidRDefault="002B0774" w:rsidP="002B0774">
            <w:pPr>
              <w:spacing w:before="40" w:after="40"/>
              <w:ind w:left="-29" w:right="-29"/>
              <w:jc w:val="center"/>
              <w:rPr>
                <w:rFonts w:ascii="Arial" w:hAnsi="Arial" w:cs="Arial"/>
                <w:b/>
                <w:spacing w:val="-3"/>
                <w:sz w:val="18"/>
                <w:szCs w:val="18"/>
                <w:lang w:val="en-GB"/>
              </w:rPr>
            </w:pPr>
            <w:r>
              <w:rPr>
                <w:rFonts w:ascii="Arial" w:hAnsi="Arial"/>
                <w:b/>
                <w:spacing w:val="-3"/>
                <w:sz w:val="18"/>
                <w:szCs w:val="18"/>
                <w:lang w:val="en-GB"/>
              </w:rPr>
              <w:t>Y</w:t>
            </w:r>
            <w:r w:rsidRPr="000267AA">
              <w:rPr>
                <w:rFonts w:ascii="Arial" w:hAnsi="Arial"/>
                <w:b/>
                <w:spacing w:val="-3"/>
                <w:sz w:val="18"/>
                <w:szCs w:val="18"/>
                <w:lang w:val="en-GB"/>
              </w:rPr>
              <w:t>ear</w:t>
            </w:r>
          </w:p>
        </w:tc>
        <w:tc>
          <w:tcPr>
            <w:tcW w:w="2520"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2FCDFB7F" w14:textId="1FE70566" w:rsidR="002B0774" w:rsidRPr="004954B0" w:rsidRDefault="002B0774" w:rsidP="002B0774">
            <w:pPr>
              <w:spacing w:before="40" w:after="40"/>
              <w:ind w:left="-29" w:right="-29"/>
              <w:jc w:val="center"/>
              <w:rPr>
                <w:rFonts w:ascii="Arial" w:hAnsi="Arial" w:cs="Arial"/>
                <w:b/>
                <w:spacing w:val="-3"/>
                <w:sz w:val="18"/>
                <w:szCs w:val="18"/>
                <w:lang w:val="en-GB"/>
              </w:rPr>
            </w:pPr>
            <w:r w:rsidRPr="000267AA">
              <w:rPr>
                <w:rFonts w:ascii="Arial" w:hAnsi="Arial"/>
                <w:b/>
                <w:spacing w:val="-3"/>
                <w:sz w:val="18"/>
                <w:szCs w:val="18"/>
                <w:lang w:val="en-GB"/>
              </w:rPr>
              <w:t xml:space="preserve">Means of </w:t>
            </w:r>
            <w:r>
              <w:rPr>
                <w:rFonts w:ascii="Arial" w:hAnsi="Arial"/>
                <w:b/>
                <w:spacing w:val="-3"/>
                <w:sz w:val="18"/>
                <w:szCs w:val="18"/>
                <w:lang w:val="en-GB"/>
              </w:rPr>
              <w:t>V</w:t>
            </w:r>
            <w:r w:rsidRPr="000267AA">
              <w:rPr>
                <w:rFonts w:ascii="Arial" w:hAnsi="Arial"/>
                <w:b/>
                <w:spacing w:val="-3"/>
                <w:sz w:val="18"/>
                <w:szCs w:val="18"/>
                <w:lang w:val="en-GB"/>
              </w:rPr>
              <w:t xml:space="preserve">erification </w:t>
            </w:r>
          </w:p>
        </w:tc>
        <w:tc>
          <w:tcPr>
            <w:tcW w:w="3497"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0C360285" w14:textId="7CC6D672" w:rsidR="002B0774" w:rsidRPr="004954B0" w:rsidRDefault="002B0774" w:rsidP="002B0774">
            <w:pPr>
              <w:spacing w:before="40" w:after="40"/>
              <w:ind w:left="-29" w:right="-29"/>
              <w:jc w:val="center"/>
              <w:rPr>
                <w:rFonts w:ascii="Arial" w:hAnsi="Arial" w:cs="Arial"/>
                <w:b/>
                <w:spacing w:val="-3"/>
                <w:sz w:val="18"/>
                <w:szCs w:val="18"/>
                <w:lang w:val="en-GB"/>
              </w:rPr>
            </w:pPr>
            <w:r w:rsidRPr="000267AA">
              <w:rPr>
                <w:rFonts w:ascii="Arial" w:hAnsi="Arial"/>
                <w:b/>
                <w:spacing w:val="-3"/>
                <w:sz w:val="18"/>
                <w:szCs w:val="18"/>
                <w:lang w:val="en-GB"/>
              </w:rPr>
              <w:t>Comments</w:t>
            </w:r>
          </w:p>
        </w:tc>
      </w:tr>
      <w:tr w:rsidR="00A530A4" w:rsidRPr="00CC71C6" w14:paraId="38D492DE" w14:textId="77777777" w:rsidTr="00A724C7">
        <w:trPr>
          <w:trHeight w:val="20"/>
          <w:jc w:val="center"/>
        </w:trPr>
        <w:tc>
          <w:tcPr>
            <w:tcW w:w="2875" w:type="dxa"/>
            <w:tcBorders>
              <w:top w:val="single" w:sz="4" w:space="0" w:color="auto"/>
              <w:left w:val="single" w:sz="4" w:space="0" w:color="auto"/>
              <w:bottom w:val="single" w:sz="4" w:space="0" w:color="auto"/>
              <w:right w:val="single" w:sz="4" w:space="0" w:color="auto"/>
            </w:tcBorders>
            <w:vAlign w:val="center"/>
          </w:tcPr>
          <w:p w14:paraId="40409E44" w14:textId="0686722F" w:rsidR="00A530A4" w:rsidRPr="004954B0" w:rsidRDefault="00A530A4" w:rsidP="00A530A4">
            <w:pPr>
              <w:pStyle w:val="ListParagraph"/>
              <w:spacing w:before="120" w:after="120"/>
              <w:ind w:left="0"/>
              <w:rPr>
                <w:rFonts w:ascii="Arial" w:hAnsi="Arial" w:cs="Arial"/>
                <w:spacing w:val="-3"/>
                <w:sz w:val="18"/>
                <w:szCs w:val="18"/>
                <w:highlight w:val="yellow"/>
                <w:lang w:val="en-GB"/>
              </w:rPr>
            </w:pPr>
            <w:r w:rsidRPr="000267AA">
              <w:rPr>
                <w:rFonts w:ascii="Arial" w:hAnsi="Arial"/>
                <w:spacing w:val="-3"/>
                <w:sz w:val="18"/>
                <w:szCs w:val="18"/>
                <w:lang w:val="en-GB"/>
              </w:rPr>
              <w:t>Estimated COVID</w:t>
            </w:r>
            <w:r w:rsidRPr="000267AA">
              <w:rPr>
                <w:rFonts w:ascii="Arial" w:hAnsi="Arial"/>
                <w:spacing w:val="-3"/>
                <w:sz w:val="18"/>
                <w:szCs w:val="18"/>
                <w:lang w:val="en-GB"/>
              </w:rPr>
              <w:noBreakHyphen/>
              <w:t>19 cases</w:t>
            </w:r>
          </w:p>
        </w:tc>
        <w:tc>
          <w:tcPr>
            <w:tcW w:w="1170" w:type="dxa"/>
            <w:tcBorders>
              <w:top w:val="single" w:sz="4" w:space="0" w:color="auto"/>
              <w:left w:val="single" w:sz="4" w:space="0" w:color="auto"/>
              <w:bottom w:val="single" w:sz="4" w:space="0" w:color="auto"/>
              <w:right w:val="single" w:sz="4" w:space="0" w:color="auto"/>
            </w:tcBorders>
            <w:vAlign w:val="center"/>
          </w:tcPr>
          <w:p w14:paraId="0A04695A" w14:textId="4F04DD5A" w:rsidR="00A530A4" w:rsidRPr="004954B0" w:rsidRDefault="00A530A4" w:rsidP="00A530A4">
            <w:pPr>
              <w:spacing w:before="120" w:after="120"/>
              <w:jc w:val="center"/>
              <w:rPr>
                <w:rFonts w:ascii="Arial" w:hAnsi="Arial" w:cs="Arial"/>
                <w:spacing w:val="-3"/>
                <w:sz w:val="18"/>
                <w:szCs w:val="18"/>
                <w:highlight w:val="yellow"/>
                <w:lang w:val="en-GB"/>
              </w:rPr>
            </w:pPr>
            <w:r w:rsidRPr="000267AA">
              <w:rPr>
                <w:rFonts w:ascii="Arial" w:hAnsi="Arial"/>
                <w:spacing w:val="-3"/>
                <w:sz w:val="18"/>
                <w:szCs w:val="18"/>
                <w:lang w:val="en-GB"/>
              </w:rPr>
              <w:t>Number</w:t>
            </w:r>
          </w:p>
        </w:tc>
        <w:tc>
          <w:tcPr>
            <w:tcW w:w="1080" w:type="dxa"/>
            <w:tcBorders>
              <w:top w:val="single" w:sz="4" w:space="0" w:color="auto"/>
              <w:left w:val="single" w:sz="4" w:space="0" w:color="auto"/>
              <w:bottom w:val="single" w:sz="4" w:space="0" w:color="auto"/>
              <w:right w:val="single" w:sz="4" w:space="0" w:color="auto"/>
            </w:tcBorders>
            <w:vAlign w:val="center"/>
          </w:tcPr>
          <w:p w14:paraId="664A6295" w14:textId="2FC392B1" w:rsidR="00A530A4" w:rsidRPr="004954B0" w:rsidRDefault="00A530A4" w:rsidP="00A530A4">
            <w:pPr>
              <w:spacing w:before="120" w:after="120"/>
              <w:jc w:val="center"/>
              <w:rPr>
                <w:rFonts w:ascii="Arial" w:hAnsi="Arial" w:cs="Arial"/>
                <w:spacing w:val="-3"/>
                <w:sz w:val="18"/>
                <w:szCs w:val="18"/>
                <w:highlight w:val="yellow"/>
                <w:lang w:val="en-GB"/>
              </w:rPr>
            </w:pPr>
            <w:r w:rsidRPr="003D27A2">
              <w:rPr>
                <w:rFonts w:ascii="Arial" w:hAnsi="Arial"/>
                <w:spacing w:val="-3"/>
                <w:sz w:val="18"/>
                <w:szCs w:val="18"/>
                <w:lang w:val="en-GB"/>
              </w:rPr>
              <w:t>221,943</w:t>
            </w:r>
          </w:p>
        </w:tc>
        <w:tc>
          <w:tcPr>
            <w:tcW w:w="1080" w:type="dxa"/>
            <w:tcBorders>
              <w:top w:val="single" w:sz="4" w:space="0" w:color="auto"/>
              <w:left w:val="single" w:sz="4" w:space="0" w:color="auto"/>
              <w:bottom w:val="single" w:sz="4" w:space="0" w:color="auto"/>
              <w:right w:val="single" w:sz="4" w:space="0" w:color="auto"/>
            </w:tcBorders>
            <w:vAlign w:val="center"/>
          </w:tcPr>
          <w:p w14:paraId="4EB4D382" w14:textId="05C9CEF8" w:rsidR="00A530A4" w:rsidRPr="004954B0" w:rsidRDefault="00A530A4" w:rsidP="00A530A4">
            <w:pPr>
              <w:spacing w:before="120" w:after="120"/>
              <w:jc w:val="center"/>
              <w:rPr>
                <w:rFonts w:ascii="Arial" w:hAnsi="Arial" w:cs="Arial"/>
                <w:spacing w:val="-3"/>
                <w:sz w:val="18"/>
                <w:szCs w:val="18"/>
                <w:lang w:val="en-GB"/>
              </w:rPr>
            </w:pPr>
            <w:r w:rsidRPr="000267AA">
              <w:rPr>
                <w:rFonts w:ascii="Arial" w:hAnsi="Arial"/>
                <w:spacing w:val="-3"/>
                <w:sz w:val="18"/>
                <w:szCs w:val="18"/>
                <w:lang w:val="en-GB"/>
              </w:rPr>
              <w:t>2020</w:t>
            </w:r>
          </w:p>
        </w:tc>
        <w:tc>
          <w:tcPr>
            <w:tcW w:w="900" w:type="dxa"/>
            <w:tcBorders>
              <w:top w:val="single" w:sz="4" w:space="0" w:color="auto"/>
              <w:left w:val="single" w:sz="4" w:space="0" w:color="auto"/>
              <w:bottom w:val="single" w:sz="4" w:space="0" w:color="auto"/>
              <w:right w:val="single" w:sz="4" w:space="0" w:color="auto"/>
            </w:tcBorders>
            <w:vAlign w:val="center"/>
          </w:tcPr>
          <w:p w14:paraId="0A22F2DA" w14:textId="1FF25E8E" w:rsidR="00A530A4" w:rsidRPr="004954B0" w:rsidRDefault="00A530A4" w:rsidP="00A530A4">
            <w:pPr>
              <w:spacing w:before="120" w:after="120"/>
              <w:jc w:val="center"/>
              <w:rPr>
                <w:rFonts w:ascii="Arial" w:hAnsi="Arial" w:cs="Arial"/>
                <w:spacing w:val="-3"/>
                <w:sz w:val="18"/>
                <w:szCs w:val="18"/>
                <w:lang w:val="en-GB"/>
              </w:rPr>
            </w:pPr>
            <w:r w:rsidRPr="003D27A2">
              <w:rPr>
                <w:rFonts w:ascii="Arial" w:hAnsi="Arial"/>
                <w:spacing w:val="-3"/>
                <w:sz w:val="18"/>
                <w:szCs w:val="18"/>
                <w:lang w:val="en-GB"/>
              </w:rPr>
              <w:t>120,472</w:t>
            </w:r>
          </w:p>
        </w:tc>
        <w:tc>
          <w:tcPr>
            <w:tcW w:w="990" w:type="dxa"/>
            <w:tcBorders>
              <w:top w:val="single" w:sz="4" w:space="0" w:color="auto"/>
              <w:left w:val="single" w:sz="4" w:space="0" w:color="auto"/>
              <w:bottom w:val="single" w:sz="4" w:space="0" w:color="auto"/>
              <w:right w:val="single" w:sz="4" w:space="0" w:color="auto"/>
            </w:tcBorders>
            <w:vAlign w:val="center"/>
          </w:tcPr>
          <w:p w14:paraId="79CB59C0" w14:textId="2AD39809" w:rsidR="00A530A4" w:rsidRPr="004954B0" w:rsidRDefault="00A530A4" w:rsidP="00A530A4">
            <w:pPr>
              <w:spacing w:before="120" w:after="120"/>
              <w:jc w:val="center"/>
              <w:rPr>
                <w:rFonts w:ascii="Arial" w:hAnsi="Arial" w:cs="Arial"/>
                <w:spacing w:val="-3"/>
                <w:sz w:val="18"/>
                <w:szCs w:val="18"/>
                <w:lang w:val="en-GB"/>
              </w:rPr>
            </w:pPr>
            <w:r w:rsidRPr="000267AA">
              <w:rPr>
                <w:rFonts w:ascii="Arial" w:hAnsi="Arial"/>
                <w:spacing w:val="-3"/>
                <w:sz w:val="18"/>
                <w:szCs w:val="18"/>
                <w:lang w:val="en-GB"/>
              </w:rPr>
              <w:t>2020</w:t>
            </w:r>
          </w:p>
        </w:tc>
        <w:tc>
          <w:tcPr>
            <w:tcW w:w="2520" w:type="dxa"/>
            <w:tcBorders>
              <w:top w:val="single" w:sz="4" w:space="0" w:color="auto"/>
              <w:left w:val="single" w:sz="4" w:space="0" w:color="auto"/>
              <w:bottom w:val="single" w:sz="4" w:space="0" w:color="auto"/>
              <w:right w:val="single" w:sz="4" w:space="0" w:color="auto"/>
            </w:tcBorders>
            <w:vAlign w:val="center"/>
          </w:tcPr>
          <w:p w14:paraId="093F22AC" w14:textId="46714D85" w:rsidR="00A530A4" w:rsidRPr="004954B0" w:rsidRDefault="00A530A4" w:rsidP="00A530A4">
            <w:pPr>
              <w:spacing w:before="120" w:after="120"/>
              <w:rPr>
                <w:rFonts w:ascii="Arial" w:hAnsi="Arial" w:cs="Arial"/>
                <w:spacing w:val="-3"/>
                <w:sz w:val="18"/>
                <w:szCs w:val="18"/>
                <w:highlight w:val="yellow"/>
                <w:lang w:val="en-GB"/>
              </w:rPr>
            </w:pPr>
            <w:r w:rsidRPr="000267AA">
              <w:rPr>
                <w:rFonts w:ascii="Arial" w:hAnsi="Arial"/>
                <w:spacing w:val="-3"/>
                <w:sz w:val="18"/>
                <w:szCs w:val="18"/>
                <w:lang w:val="en-GB"/>
              </w:rPr>
              <w:t>World Health Organization reports.</w:t>
            </w:r>
          </w:p>
        </w:tc>
        <w:tc>
          <w:tcPr>
            <w:tcW w:w="3497" w:type="dxa"/>
            <w:tcBorders>
              <w:top w:val="single" w:sz="4" w:space="0" w:color="auto"/>
              <w:left w:val="single" w:sz="4" w:space="0" w:color="auto"/>
              <w:bottom w:val="single" w:sz="4" w:space="0" w:color="auto"/>
              <w:right w:val="single" w:sz="4" w:space="0" w:color="auto"/>
            </w:tcBorders>
            <w:vAlign w:val="center"/>
          </w:tcPr>
          <w:p w14:paraId="3DFDD03C" w14:textId="77777777" w:rsidR="00A530A4" w:rsidRPr="000267AA" w:rsidRDefault="00A530A4" w:rsidP="00A530A4">
            <w:pPr>
              <w:spacing w:before="120" w:after="120"/>
              <w:rPr>
                <w:rFonts w:ascii="Arial" w:hAnsi="Arial"/>
                <w:spacing w:val="-3"/>
                <w:sz w:val="18"/>
                <w:szCs w:val="18"/>
                <w:lang w:val="en-GB"/>
              </w:rPr>
            </w:pPr>
            <w:r w:rsidRPr="000267AA">
              <w:rPr>
                <w:rFonts w:ascii="Arial" w:hAnsi="Arial"/>
                <w:spacing w:val="-3"/>
                <w:sz w:val="18"/>
                <w:szCs w:val="18"/>
                <w:lang w:val="en-GB"/>
              </w:rPr>
              <w:t>The indicator allows a comparison between the estimated number of cases in 2020 (final target) versus the projected number of cases in a scenario of no government intervention (baseline) simulated with the use of epidemiological models</w:t>
            </w:r>
            <w:r w:rsidRPr="000267AA">
              <w:rPr>
                <w:rStyle w:val="FootnoteReference"/>
                <w:rFonts w:ascii="Arial" w:hAnsi="Arial" w:cs="Arial"/>
                <w:spacing w:val="-3"/>
                <w:sz w:val="18"/>
                <w:szCs w:val="18"/>
                <w:lang w:val="en-GB"/>
              </w:rPr>
              <w:footnoteReference w:id="2"/>
            </w:r>
            <w:r w:rsidRPr="000267AA">
              <w:rPr>
                <w:rFonts w:ascii="Arial" w:hAnsi="Arial" w:cs="Arial"/>
                <w:spacing w:val="-3"/>
                <w:sz w:val="18"/>
                <w:szCs w:val="18"/>
                <w:lang w:val="en-GB"/>
              </w:rPr>
              <w:t>.</w:t>
            </w:r>
          </w:p>
          <w:p w14:paraId="4D2A64CA" w14:textId="77777777" w:rsidR="00A530A4" w:rsidRPr="000267AA" w:rsidRDefault="00A530A4" w:rsidP="00C07D90">
            <w:pPr>
              <w:pStyle w:val="ListParagraph"/>
              <w:numPr>
                <w:ilvl w:val="0"/>
                <w:numId w:val="16"/>
              </w:numPr>
              <w:spacing w:before="120" w:after="120"/>
              <w:ind w:left="266" w:hanging="180"/>
              <w:rPr>
                <w:rFonts w:ascii="Arial" w:hAnsi="Arial"/>
                <w:spacing w:val="-3"/>
                <w:sz w:val="18"/>
                <w:szCs w:val="18"/>
                <w:lang w:val="en-GB"/>
              </w:rPr>
            </w:pPr>
            <w:r w:rsidRPr="000267AA">
              <w:rPr>
                <w:rFonts w:ascii="Arial" w:hAnsi="Arial"/>
                <w:spacing w:val="-3"/>
                <w:sz w:val="18"/>
                <w:szCs w:val="18"/>
                <w:lang w:val="en-GB"/>
              </w:rPr>
              <w:t xml:space="preserve">Expected cases in unmitigated scenario: </w:t>
            </w:r>
            <w:r w:rsidRPr="003D27A2">
              <w:rPr>
                <w:rFonts w:ascii="Arial" w:hAnsi="Arial"/>
                <w:spacing w:val="-3"/>
                <w:sz w:val="18"/>
                <w:szCs w:val="18"/>
                <w:lang w:val="en-GB"/>
              </w:rPr>
              <w:t>221,943</w:t>
            </w:r>
            <w:r w:rsidRPr="000267AA">
              <w:rPr>
                <w:rFonts w:ascii="Arial" w:hAnsi="Arial"/>
                <w:spacing w:val="-3"/>
                <w:sz w:val="18"/>
                <w:szCs w:val="18"/>
                <w:lang w:val="en-GB"/>
              </w:rPr>
              <w:t xml:space="preserve"> </w:t>
            </w:r>
          </w:p>
          <w:p w14:paraId="7A80C362" w14:textId="6E696ECC" w:rsidR="00A530A4" w:rsidRPr="004954B0" w:rsidRDefault="00A530A4" w:rsidP="00A530A4">
            <w:pPr>
              <w:pStyle w:val="ListParagraph"/>
              <w:numPr>
                <w:ilvl w:val="0"/>
                <w:numId w:val="16"/>
              </w:numPr>
              <w:spacing w:before="120" w:after="120"/>
              <w:ind w:left="298" w:hanging="208"/>
              <w:rPr>
                <w:rFonts w:ascii="Arial" w:hAnsi="Arial" w:cs="Arial"/>
                <w:spacing w:val="-3"/>
                <w:sz w:val="18"/>
                <w:szCs w:val="18"/>
                <w:lang w:val="en-GB"/>
              </w:rPr>
            </w:pPr>
            <w:r w:rsidRPr="000267AA">
              <w:rPr>
                <w:rFonts w:ascii="Arial" w:hAnsi="Arial"/>
                <w:spacing w:val="-3"/>
                <w:sz w:val="18"/>
                <w:szCs w:val="18"/>
                <w:lang w:val="en-GB"/>
              </w:rPr>
              <w:t xml:space="preserve">Expected cases in social distancing scenario: </w:t>
            </w:r>
            <w:r w:rsidRPr="003D27A2">
              <w:rPr>
                <w:rFonts w:ascii="Arial" w:hAnsi="Arial"/>
                <w:spacing w:val="-3"/>
                <w:sz w:val="18"/>
                <w:szCs w:val="18"/>
                <w:lang w:val="en-GB"/>
              </w:rPr>
              <w:t>120,472</w:t>
            </w:r>
            <w:r w:rsidRPr="000267AA">
              <w:rPr>
                <w:lang w:val="en-GB"/>
              </w:rPr>
              <w:t xml:space="preserve"> </w:t>
            </w:r>
          </w:p>
        </w:tc>
      </w:tr>
      <w:tr w:rsidR="00A530A4" w:rsidRPr="00CC71C6" w14:paraId="6E86EFAC" w14:textId="77777777" w:rsidTr="00A724C7">
        <w:trPr>
          <w:trHeight w:val="20"/>
          <w:jc w:val="center"/>
        </w:trPr>
        <w:tc>
          <w:tcPr>
            <w:tcW w:w="2875" w:type="dxa"/>
            <w:tcBorders>
              <w:top w:val="single" w:sz="4" w:space="0" w:color="auto"/>
              <w:left w:val="single" w:sz="4" w:space="0" w:color="auto"/>
              <w:bottom w:val="single" w:sz="4" w:space="0" w:color="auto"/>
              <w:right w:val="single" w:sz="4" w:space="0" w:color="auto"/>
            </w:tcBorders>
            <w:vAlign w:val="center"/>
          </w:tcPr>
          <w:p w14:paraId="4E1329B0" w14:textId="41A8679F" w:rsidR="00A530A4" w:rsidRPr="004954B0" w:rsidRDefault="00A530A4" w:rsidP="00A530A4">
            <w:pPr>
              <w:pStyle w:val="ListParagraph"/>
              <w:spacing w:before="120" w:after="120"/>
              <w:ind w:left="0"/>
              <w:rPr>
                <w:rFonts w:ascii="Arial" w:hAnsi="Arial" w:cs="Arial"/>
                <w:spacing w:val="-3"/>
                <w:sz w:val="18"/>
                <w:szCs w:val="18"/>
                <w:lang w:val="en-GB"/>
              </w:rPr>
            </w:pPr>
            <w:r w:rsidRPr="000267AA">
              <w:rPr>
                <w:rFonts w:ascii="Arial" w:hAnsi="Arial"/>
                <w:spacing w:val="-3"/>
                <w:sz w:val="18"/>
                <w:szCs w:val="18"/>
                <w:lang w:val="en-GB"/>
              </w:rPr>
              <w:t>Government primary balance</w:t>
            </w:r>
          </w:p>
        </w:tc>
        <w:tc>
          <w:tcPr>
            <w:tcW w:w="1170" w:type="dxa"/>
            <w:tcBorders>
              <w:top w:val="single" w:sz="4" w:space="0" w:color="auto"/>
              <w:left w:val="single" w:sz="4" w:space="0" w:color="auto"/>
              <w:bottom w:val="single" w:sz="4" w:space="0" w:color="auto"/>
              <w:right w:val="single" w:sz="4" w:space="0" w:color="auto"/>
            </w:tcBorders>
            <w:vAlign w:val="center"/>
          </w:tcPr>
          <w:p w14:paraId="50331303" w14:textId="23126180" w:rsidR="00A530A4" w:rsidRPr="004954B0" w:rsidRDefault="00A530A4" w:rsidP="00A530A4">
            <w:pPr>
              <w:spacing w:before="120" w:after="120"/>
              <w:jc w:val="center"/>
              <w:rPr>
                <w:rFonts w:ascii="Arial" w:hAnsi="Arial" w:cs="Arial"/>
                <w:spacing w:val="-3"/>
                <w:sz w:val="18"/>
                <w:szCs w:val="18"/>
                <w:lang w:val="en-GB"/>
              </w:rPr>
            </w:pPr>
            <w:r w:rsidRPr="000267AA">
              <w:rPr>
                <w:rFonts w:ascii="Arial" w:hAnsi="Arial"/>
                <w:spacing w:val="-3"/>
                <w:sz w:val="18"/>
                <w:szCs w:val="18"/>
                <w:lang w:val="en-GB"/>
              </w:rPr>
              <w:t>Percentage</w:t>
            </w:r>
          </w:p>
        </w:tc>
        <w:tc>
          <w:tcPr>
            <w:tcW w:w="1080" w:type="dxa"/>
            <w:tcBorders>
              <w:top w:val="single" w:sz="4" w:space="0" w:color="auto"/>
              <w:left w:val="single" w:sz="4" w:space="0" w:color="auto"/>
              <w:bottom w:val="single" w:sz="4" w:space="0" w:color="auto"/>
              <w:right w:val="single" w:sz="4" w:space="0" w:color="auto"/>
            </w:tcBorders>
            <w:vAlign w:val="center"/>
          </w:tcPr>
          <w:p w14:paraId="526D3E45" w14:textId="2C6EA087" w:rsidR="00A530A4" w:rsidRPr="004954B0" w:rsidRDefault="00A530A4" w:rsidP="00A530A4">
            <w:pPr>
              <w:spacing w:before="120" w:after="120"/>
              <w:jc w:val="center"/>
              <w:rPr>
                <w:rFonts w:ascii="Arial" w:hAnsi="Arial" w:cs="Arial"/>
                <w:spacing w:val="-3"/>
                <w:sz w:val="18"/>
                <w:szCs w:val="18"/>
                <w:lang w:val="en-GB"/>
              </w:rPr>
            </w:pPr>
            <w:r w:rsidRPr="003D27A2">
              <w:rPr>
                <w:rFonts w:ascii="Arial" w:hAnsi="Arial"/>
                <w:spacing w:val="-3"/>
                <w:sz w:val="18"/>
                <w:szCs w:val="18"/>
                <w:lang w:val="en-GB"/>
              </w:rPr>
              <w:t>1.0</w:t>
            </w:r>
          </w:p>
        </w:tc>
        <w:tc>
          <w:tcPr>
            <w:tcW w:w="1080" w:type="dxa"/>
            <w:tcBorders>
              <w:top w:val="single" w:sz="4" w:space="0" w:color="auto"/>
              <w:left w:val="single" w:sz="4" w:space="0" w:color="auto"/>
              <w:bottom w:val="single" w:sz="4" w:space="0" w:color="auto"/>
              <w:right w:val="single" w:sz="4" w:space="0" w:color="auto"/>
            </w:tcBorders>
            <w:vAlign w:val="center"/>
          </w:tcPr>
          <w:p w14:paraId="43FAB149" w14:textId="4A9FFC62" w:rsidR="00A530A4" w:rsidRPr="004954B0" w:rsidRDefault="00A530A4" w:rsidP="00A530A4">
            <w:pPr>
              <w:spacing w:before="120" w:after="120"/>
              <w:jc w:val="center"/>
              <w:rPr>
                <w:rFonts w:ascii="Arial" w:hAnsi="Arial" w:cs="Arial"/>
                <w:spacing w:val="-3"/>
                <w:sz w:val="18"/>
                <w:szCs w:val="18"/>
                <w:lang w:val="en-GB"/>
              </w:rPr>
            </w:pPr>
            <w:r w:rsidRPr="003A7126">
              <w:rPr>
                <w:rFonts w:ascii="Arial" w:hAnsi="Arial"/>
                <w:spacing w:val="-3"/>
                <w:sz w:val="18"/>
                <w:szCs w:val="18"/>
                <w:lang w:val="en-GB"/>
              </w:rPr>
              <w:t>FY2020/21</w:t>
            </w:r>
          </w:p>
        </w:tc>
        <w:tc>
          <w:tcPr>
            <w:tcW w:w="900" w:type="dxa"/>
            <w:tcBorders>
              <w:top w:val="single" w:sz="4" w:space="0" w:color="auto"/>
              <w:left w:val="single" w:sz="4" w:space="0" w:color="auto"/>
              <w:bottom w:val="single" w:sz="4" w:space="0" w:color="auto"/>
              <w:right w:val="single" w:sz="4" w:space="0" w:color="auto"/>
            </w:tcBorders>
            <w:vAlign w:val="center"/>
          </w:tcPr>
          <w:p w14:paraId="03701DA8" w14:textId="417F7459" w:rsidR="00A530A4" w:rsidRPr="004954B0" w:rsidRDefault="00A530A4" w:rsidP="00A530A4">
            <w:pPr>
              <w:spacing w:before="120" w:after="120"/>
              <w:jc w:val="center"/>
              <w:rPr>
                <w:rFonts w:ascii="Arial" w:hAnsi="Arial" w:cs="Arial"/>
                <w:spacing w:val="-3"/>
                <w:sz w:val="18"/>
                <w:szCs w:val="18"/>
                <w:lang w:val="en-GB"/>
              </w:rPr>
            </w:pPr>
            <w:r w:rsidRPr="003D27A2">
              <w:rPr>
                <w:rFonts w:ascii="Arial" w:hAnsi="Arial"/>
                <w:spacing w:val="-3"/>
                <w:sz w:val="18"/>
                <w:szCs w:val="18"/>
                <w:lang w:val="en-GB"/>
              </w:rPr>
              <w:t>3.5</w:t>
            </w:r>
          </w:p>
        </w:tc>
        <w:tc>
          <w:tcPr>
            <w:tcW w:w="990" w:type="dxa"/>
            <w:tcBorders>
              <w:top w:val="single" w:sz="4" w:space="0" w:color="auto"/>
              <w:left w:val="single" w:sz="4" w:space="0" w:color="auto"/>
              <w:bottom w:val="single" w:sz="4" w:space="0" w:color="auto"/>
              <w:right w:val="single" w:sz="4" w:space="0" w:color="auto"/>
            </w:tcBorders>
            <w:vAlign w:val="center"/>
          </w:tcPr>
          <w:p w14:paraId="7F2E6B3A" w14:textId="65539159" w:rsidR="00A530A4" w:rsidRPr="004954B0" w:rsidRDefault="00A530A4" w:rsidP="00A530A4">
            <w:pPr>
              <w:spacing w:before="120" w:after="120"/>
              <w:jc w:val="center"/>
              <w:rPr>
                <w:rFonts w:ascii="Arial" w:hAnsi="Arial" w:cs="Arial"/>
                <w:spacing w:val="-3"/>
                <w:sz w:val="18"/>
                <w:szCs w:val="18"/>
                <w:lang w:val="en-GB"/>
              </w:rPr>
            </w:pPr>
            <w:r w:rsidRPr="003A7126">
              <w:rPr>
                <w:rFonts w:ascii="Arial" w:hAnsi="Arial"/>
                <w:spacing w:val="-3"/>
                <w:sz w:val="18"/>
                <w:szCs w:val="18"/>
                <w:lang w:val="en-GB"/>
              </w:rPr>
              <w:t>FY2021/22</w:t>
            </w: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tcPr>
          <w:p w14:paraId="32D48EED" w14:textId="6B1D9F02" w:rsidR="00A530A4" w:rsidRPr="004954B0" w:rsidRDefault="00857FEC" w:rsidP="00A530A4">
            <w:pPr>
              <w:spacing w:before="120" w:after="120"/>
              <w:rPr>
                <w:rFonts w:ascii="Arial" w:hAnsi="Arial" w:cs="Arial"/>
                <w:spacing w:val="-3"/>
                <w:sz w:val="18"/>
                <w:szCs w:val="18"/>
                <w:lang w:val="en-GB"/>
              </w:rPr>
            </w:pPr>
            <w:r w:rsidRPr="00857FEC">
              <w:rPr>
                <w:rFonts w:ascii="Arial" w:hAnsi="Arial"/>
                <w:spacing w:val="-3"/>
                <w:sz w:val="18"/>
                <w:szCs w:val="18"/>
                <w:lang w:val="en-GB"/>
              </w:rPr>
              <w:t>Official letter of the MFEI</w:t>
            </w:r>
            <w:r>
              <w:rPr>
                <w:rFonts w:ascii="Arial" w:hAnsi="Arial"/>
                <w:spacing w:val="-3"/>
                <w:sz w:val="18"/>
                <w:szCs w:val="18"/>
                <w:lang w:val="en-GB"/>
              </w:rPr>
              <w:t>.</w:t>
            </w:r>
          </w:p>
        </w:tc>
        <w:tc>
          <w:tcPr>
            <w:tcW w:w="3497" w:type="dxa"/>
            <w:tcBorders>
              <w:top w:val="single" w:sz="4" w:space="0" w:color="auto"/>
              <w:left w:val="single" w:sz="4" w:space="0" w:color="auto"/>
              <w:bottom w:val="single" w:sz="4" w:space="0" w:color="auto"/>
              <w:right w:val="single" w:sz="4" w:space="0" w:color="auto"/>
            </w:tcBorders>
            <w:vAlign w:val="center"/>
          </w:tcPr>
          <w:p w14:paraId="1F7BE182" w14:textId="6C1AF9FA" w:rsidR="00A530A4" w:rsidRPr="004954B0" w:rsidRDefault="00A530A4" w:rsidP="00A530A4">
            <w:pPr>
              <w:spacing w:before="120" w:after="120"/>
              <w:rPr>
                <w:rFonts w:ascii="Arial" w:hAnsi="Arial" w:cs="Arial"/>
                <w:spacing w:val="-3"/>
                <w:sz w:val="18"/>
                <w:szCs w:val="18"/>
                <w:lang w:val="en-GB"/>
              </w:rPr>
            </w:pPr>
            <w:r w:rsidRPr="000267AA">
              <w:rPr>
                <w:rFonts w:ascii="Arial" w:hAnsi="Arial"/>
                <w:spacing w:val="-3"/>
                <w:sz w:val="18"/>
                <w:szCs w:val="18"/>
                <w:lang w:val="en-GB"/>
              </w:rPr>
              <w:t xml:space="preserve">Primary fiscal balance as a percentage of GDP. </w:t>
            </w:r>
          </w:p>
        </w:tc>
      </w:tr>
    </w:tbl>
    <w:p w14:paraId="1F1B65FE" w14:textId="77777777" w:rsidR="00485402" w:rsidRPr="004954B0" w:rsidRDefault="00485402" w:rsidP="00CC5663">
      <w:pPr>
        <w:autoSpaceDE w:val="0"/>
        <w:autoSpaceDN w:val="0"/>
        <w:adjustRightInd w:val="0"/>
        <w:rPr>
          <w:rFonts w:ascii="Arial" w:hAnsi="Arial" w:cs="Arial"/>
          <w:b/>
          <w:sz w:val="20"/>
          <w:lang w:val="en-GB"/>
        </w:rPr>
      </w:pPr>
    </w:p>
    <w:p w14:paraId="5EB60D84" w14:textId="464E0193" w:rsidR="00A578FB" w:rsidRPr="004954B0" w:rsidRDefault="00AA464C" w:rsidP="00CC5663">
      <w:pPr>
        <w:autoSpaceDE w:val="0"/>
        <w:autoSpaceDN w:val="0"/>
        <w:adjustRightInd w:val="0"/>
        <w:jc w:val="center"/>
        <w:rPr>
          <w:rFonts w:ascii="Arial" w:hAnsi="Arial" w:cs="Arial"/>
          <w:b/>
          <w:sz w:val="20"/>
          <w:lang w:val="en-GB"/>
        </w:rPr>
      </w:pPr>
      <w:r w:rsidRPr="004954B0">
        <w:rPr>
          <w:rFonts w:ascii="Arial" w:hAnsi="Arial" w:cs="Arial"/>
          <w:b/>
          <w:sz w:val="20"/>
          <w:lang w:val="en-GB" w:eastAsia="zh-CN"/>
        </w:rPr>
        <w:t>Table</w:t>
      </w:r>
      <w:r w:rsidR="00A578FB" w:rsidRPr="004954B0">
        <w:rPr>
          <w:rFonts w:ascii="Arial" w:hAnsi="Arial" w:cs="Arial"/>
          <w:b/>
          <w:sz w:val="20"/>
          <w:lang w:val="en-GB"/>
        </w:rPr>
        <w:t xml:space="preserve"> </w:t>
      </w:r>
      <w:r w:rsidR="00B70FE0" w:rsidRPr="004954B0">
        <w:rPr>
          <w:rFonts w:ascii="Arial" w:hAnsi="Arial" w:cs="Arial"/>
          <w:b/>
          <w:sz w:val="20"/>
          <w:lang w:val="en-GB"/>
        </w:rPr>
        <w:t>4</w:t>
      </w:r>
      <w:r w:rsidR="00CC5663" w:rsidRPr="004954B0">
        <w:rPr>
          <w:rFonts w:ascii="Arial" w:hAnsi="Arial" w:cs="Arial"/>
          <w:b/>
          <w:sz w:val="20"/>
          <w:lang w:val="en-GB"/>
        </w:rPr>
        <w:t xml:space="preserve">. </w:t>
      </w:r>
      <w:r w:rsidR="00CC5663" w:rsidRPr="004954B0">
        <w:rPr>
          <w:rFonts w:ascii="Arial" w:hAnsi="Arial" w:cs="Arial"/>
          <w:b/>
          <w:sz w:val="20"/>
          <w:lang w:val="en-GB" w:eastAsia="zh-CN"/>
        </w:rPr>
        <w:t>Expected Outcomes</w:t>
      </w:r>
    </w:p>
    <w:tbl>
      <w:tblPr>
        <w:tblW w:w="14130"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58" w:type="dxa"/>
          <w:right w:w="58" w:type="dxa"/>
        </w:tblCellMar>
        <w:tblLook w:val="04A0" w:firstRow="1" w:lastRow="0" w:firstColumn="1" w:lastColumn="0" w:noHBand="0" w:noVBand="1"/>
      </w:tblPr>
      <w:tblGrid>
        <w:gridCol w:w="2936"/>
        <w:gridCol w:w="1147"/>
        <w:gridCol w:w="1058"/>
        <w:gridCol w:w="1011"/>
        <w:gridCol w:w="1286"/>
        <w:gridCol w:w="2597"/>
        <w:gridCol w:w="4095"/>
      </w:tblGrid>
      <w:tr w:rsidR="004E6798" w:rsidRPr="000267AA" w14:paraId="54D05967" w14:textId="77777777" w:rsidTr="003D27A2">
        <w:trPr>
          <w:trHeight w:val="791"/>
          <w:tblHeader/>
          <w:jc w:val="center"/>
        </w:trPr>
        <w:tc>
          <w:tcPr>
            <w:tcW w:w="29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0459A06" w14:textId="77777777" w:rsidR="004E6798" w:rsidRPr="000267AA" w:rsidRDefault="004E6798" w:rsidP="003D27A2">
            <w:pPr>
              <w:spacing w:before="40" w:after="40"/>
              <w:ind w:left="-29" w:right="-29"/>
              <w:jc w:val="center"/>
              <w:rPr>
                <w:rFonts w:ascii="Arial" w:hAnsi="Arial" w:cs="Arial"/>
                <w:b/>
                <w:spacing w:val="-3"/>
                <w:sz w:val="18"/>
                <w:szCs w:val="18"/>
                <w:lang w:val="en-GB"/>
              </w:rPr>
            </w:pPr>
            <w:r w:rsidRPr="000267AA">
              <w:rPr>
                <w:rFonts w:ascii="Arial" w:hAnsi="Arial" w:cs="Arial"/>
                <w:b/>
                <w:spacing w:val="-3"/>
                <w:sz w:val="18"/>
                <w:szCs w:val="18"/>
                <w:lang w:val="en-GB"/>
              </w:rPr>
              <w:t>Indicators</w:t>
            </w:r>
          </w:p>
        </w:tc>
        <w:tc>
          <w:tcPr>
            <w:tcW w:w="114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9328D87" w14:textId="77777777" w:rsidR="004E6798" w:rsidRPr="000267AA" w:rsidRDefault="004E6798" w:rsidP="003D27A2">
            <w:pPr>
              <w:spacing w:before="40" w:after="40"/>
              <w:ind w:left="-29" w:right="-29"/>
              <w:jc w:val="center"/>
              <w:rPr>
                <w:rFonts w:ascii="Arial" w:hAnsi="Arial" w:cs="Arial"/>
                <w:b/>
                <w:spacing w:val="-3"/>
                <w:sz w:val="18"/>
                <w:szCs w:val="18"/>
                <w:lang w:val="en-GB"/>
              </w:rPr>
            </w:pPr>
            <w:r w:rsidRPr="000267AA">
              <w:rPr>
                <w:rFonts w:ascii="Arial" w:hAnsi="Arial" w:cs="Arial"/>
                <w:b/>
                <w:spacing w:val="-3"/>
                <w:sz w:val="18"/>
                <w:szCs w:val="18"/>
                <w:lang w:val="en-GB"/>
              </w:rPr>
              <w:t xml:space="preserve">Unit of </w:t>
            </w:r>
            <w:r>
              <w:rPr>
                <w:rFonts w:ascii="Arial" w:hAnsi="Arial" w:cs="Arial"/>
                <w:b/>
                <w:spacing w:val="-3"/>
                <w:sz w:val="18"/>
                <w:szCs w:val="18"/>
                <w:lang w:val="en-GB"/>
              </w:rPr>
              <w:t>M</w:t>
            </w:r>
            <w:r w:rsidRPr="000267AA">
              <w:rPr>
                <w:rFonts w:ascii="Arial" w:hAnsi="Arial" w:cs="Arial"/>
                <w:b/>
                <w:spacing w:val="-3"/>
                <w:sz w:val="18"/>
                <w:szCs w:val="18"/>
                <w:lang w:val="en-GB"/>
              </w:rPr>
              <w:t>easure</w:t>
            </w:r>
          </w:p>
        </w:tc>
        <w:tc>
          <w:tcPr>
            <w:tcW w:w="10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36C5A79" w14:textId="77777777" w:rsidR="004E6798" w:rsidRPr="000267AA" w:rsidRDefault="004E6798" w:rsidP="003D27A2">
            <w:pPr>
              <w:spacing w:before="40" w:after="40"/>
              <w:ind w:left="-29" w:right="-29"/>
              <w:jc w:val="center"/>
              <w:rPr>
                <w:rFonts w:ascii="Arial" w:hAnsi="Arial" w:cs="Arial"/>
                <w:b/>
                <w:spacing w:val="-3"/>
                <w:sz w:val="18"/>
                <w:szCs w:val="18"/>
                <w:lang w:val="en-GB"/>
              </w:rPr>
            </w:pPr>
            <w:r w:rsidRPr="000267AA">
              <w:rPr>
                <w:rFonts w:ascii="Arial" w:hAnsi="Arial" w:cs="Arial"/>
                <w:b/>
                <w:spacing w:val="-3"/>
                <w:sz w:val="18"/>
                <w:szCs w:val="18"/>
                <w:lang w:val="en-GB"/>
              </w:rPr>
              <w:t xml:space="preserve">Baseline </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ED7930B" w14:textId="77777777" w:rsidR="004E6798" w:rsidRPr="000267AA" w:rsidRDefault="004E6798" w:rsidP="003D27A2">
            <w:pPr>
              <w:spacing w:before="40" w:after="40"/>
              <w:ind w:left="-29" w:right="-29"/>
              <w:jc w:val="center"/>
              <w:rPr>
                <w:rFonts w:ascii="Arial" w:hAnsi="Arial" w:cs="Arial"/>
                <w:b/>
                <w:spacing w:val="-3"/>
                <w:sz w:val="18"/>
                <w:szCs w:val="18"/>
                <w:lang w:val="en-GB"/>
              </w:rPr>
            </w:pPr>
            <w:r w:rsidRPr="000267AA">
              <w:rPr>
                <w:rFonts w:ascii="Arial" w:hAnsi="Arial" w:cs="Arial"/>
                <w:b/>
                <w:spacing w:val="-3"/>
                <w:sz w:val="18"/>
                <w:szCs w:val="18"/>
                <w:lang w:val="en-GB"/>
              </w:rPr>
              <w:t>Baseline</w:t>
            </w:r>
            <w:r w:rsidRPr="000267AA">
              <w:rPr>
                <w:rFonts w:ascii="Arial" w:hAnsi="Arial" w:cs="Arial"/>
                <w:b/>
                <w:spacing w:val="-3"/>
                <w:sz w:val="18"/>
                <w:szCs w:val="18"/>
                <w:lang w:val="en-GB"/>
              </w:rPr>
              <w:br/>
            </w:r>
            <w:r>
              <w:rPr>
                <w:rFonts w:ascii="Arial" w:hAnsi="Arial" w:cs="Arial"/>
                <w:b/>
                <w:spacing w:val="-3"/>
                <w:sz w:val="18"/>
                <w:szCs w:val="18"/>
                <w:lang w:val="en-GB"/>
              </w:rPr>
              <w:t>Y</w:t>
            </w:r>
            <w:r w:rsidRPr="000267AA">
              <w:rPr>
                <w:rFonts w:ascii="Arial" w:hAnsi="Arial" w:cs="Arial"/>
                <w:b/>
                <w:spacing w:val="-3"/>
                <w:sz w:val="18"/>
                <w:szCs w:val="18"/>
                <w:lang w:val="en-GB"/>
              </w:rPr>
              <w:t>ear</w:t>
            </w:r>
          </w:p>
        </w:tc>
        <w:tc>
          <w:tcPr>
            <w:tcW w:w="12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5F310AF3" w14:textId="77777777" w:rsidR="004E6798" w:rsidRPr="000267AA" w:rsidRDefault="004E6798" w:rsidP="003D27A2">
            <w:pPr>
              <w:spacing w:before="40" w:after="40"/>
              <w:ind w:left="-29" w:right="-29"/>
              <w:jc w:val="center"/>
              <w:rPr>
                <w:rFonts w:ascii="Arial" w:hAnsi="Arial" w:cs="Arial"/>
                <w:b/>
                <w:spacing w:val="-3"/>
                <w:sz w:val="18"/>
                <w:szCs w:val="18"/>
                <w:lang w:val="en-GB"/>
              </w:rPr>
            </w:pPr>
            <w:r w:rsidRPr="000267AA">
              <w:rPr>
                <w:rFonts w:ascii="Arial" w:hAnsi="Arial" w:cs="Arial"/>
                <w:b/>
                <w:spacing w:val="-3"/>
                <w:sz w:val="18"/>
                <w:szCs w:val="18"/>
                <w:lang w:val="en-GB"/>
              </w:rPr>
              <w:t xml:space="preserve">Final </w:t>
            </w:r>
            <w:r>
              <w:rPr>
                <w:rFonts w:ascii="Arial" w:hAnsi="Arial" w:cs="Arial"/>
                <w:b/>
                <w:spacing w:val="-3"/>
                <w:sz w:val="18"/>
                <w:szCs w:val="18"/>
                <w:lang w:val="en-GB"/>
              </w:rPr>
              <w:t>T</w:t>
            </w:r>
            <w:r w:rsidRPr="000267AA">
              <w:rPr>
                <w:rFonts w:ascii="Arial" w:hAnsi="Arial" w:cs="Arial"/>
                <w:b/>
                <w:spacing w:val="-3"/>
                <w:sz w:val="18"/>
                <w:szCs w:val="18"/>
                <w:lang w:val="en-GB"/>
              </w:rPr>
              <w:t>arget</w:t>
            </w:r>
            <w:r w:rsidRPr="000267AA">
              <w:rPr>
                <w:rFonts w:ascii="Arial" w:hAnsi="Arial" w:cs="Arial"/>
                <w:b/>
                <w:spacing w:val="-3"/>
                <w:sz w:val="18"/>
                <w:szCs w:val="18"/>
                <w:lang w:val="en-GB"/>
              </w:rPr>
              <w:br/>
              <w:t>(2020)</w:t>
            </w:r>
            <w:r w:rsidRPr="000267AA">
              <w:rPr>
                <w:rStyle w:val="FootnoteReference"/>
                <w:rFonts w:ascii="Arial" w:hAnsi="Arial" w:cs="Arial"/>
                <w:b/>
                <w:color w:val="D9D9D9" w:themeColor="background1" w:themeShade="D9"/>
                <w:spacing w:val="-3"/>
                <w:sz w:val="18"/>
                <w:szCs w:val="18"/>
                <w:lang w:val="en-GB" w:eastAsia="zh-CN"/>
              </w:rPr>
              <w:footnoteRef/>
            </w:r>
          </w:p>
        </w:tc>
        <w:tc>
          <w:tcPr>
            <w:tcW w:w="25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77DF327" w14:textId="77777777" w:rsidR="004E6798" w:rsidRPr="000267AA" w:rsidRDefault="004E6798" w:rsidP="003D27A2">
            <w:pPr>
              <w:spacing w:before="40" w:after="40"/>
              <w:ind w:left="-29" w:right="-29"/>
              <w:jc w:val="center"/>
              <w:rPr>
                <w:rFonts w:ascii="Arial" w:hAnsi="Arial" w:cs="Arial"/>
                <w:b/>
                <w:spacing w:val="-3"/>
                <w:sz w:val="18"/>
                <w:szCs w:val="18"/>
                <w:lang w:val="en-GB"/>
              </w:rPr>
            </w:pPr>
            <w:r w:rsidRPr="000267AA">
              <w:rPr>
                <w:rFonts w:ascii="Arial" w:hAnsi="Arial" w:cs="Arial"/>
                <w:b/>
                <w:spacing w:val="-3"/>
                <w:sz w:val="18"/>
                <w:szCs w:val="18"/>
                <w:lang w:val="en-GB"/>
              </w:rPr>
              <w:t xml:space="preserve">Means of </w:t>
            </w:r>
            <w:r>
              <w:rPr>
                <w:rFonts w:ascii="Arial" w:hAnsi="Arial" w:cs="Arial"/>
                <w:b/>
                <w:spacing w:val="-3"/>
                <w:sz w:val="18"/>
                <w:szCs w:val="18"/>
                <w:lang w:val="en-GB"/>
              </w:rPr>
              <w:t>V</w:t>
            </w:r>
            <w:r w:rsidRPr="000267AA">
              <w:rPr>
                <w:rFonts w:ascii="Arial" w:hAnsi="Arial" w:cs="Arial"/>
                <w:b/>
                <w:spacing w:val="-3"/>
                <w:sz w:val="18"/>
                <w:szCs w:val="18"/>
                <w:lang w:val="en-GB"/>
              </w:rPr>
              <w:t>erification</w:t>
            </w:r>
          </w:p>
        </w:tc>
        <w:tc>
          <w:tcPr>
            <w:tcW w:w="40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5E60812" w14:textId="77777777" w:rsidR="004E6798" w:rsidRPr="000267AA" w:rsidRDefault="004E6798" w:rsidP="003D27A2">
            <w:pPr>
              <w:spacing w:before="40" w:after="40"/>
              <w:ind w:left="-29" w:right="-29"/>
              <w:jc w:val="center"/>
              <w:rPr>
                <w:rFonts w:ascii="Arial" w:hAnsi="Arial" w:cs="Arial"/>
                <w:b/>
                <w:spacing w:val="-3"/>
                <w:sz w:val="18"/>
                <w:szCs w:val="18"/>
                <w:lang w:val="en-GB"/>
              </w:rPr>
            </w:pPr>
            <w:r w:rsidRPr="000267AA">
              <w:rPr>
                <w:rFonts w:ascii="Arial" w:hAnsi="Arial" w:cs="Arial"/>
                <w:b/>
                <w:spacing w:val="-3"/>
                <w:sz w:val="18"/>
                <w:szCs w:val="18"/>
                <w:lang w:val="en-GB"/>
              </w:rPr>
              <w:t>Comments</w:t>
            </w:r>
          </w:p>
        </w:tc>
      </w:tr>
      <w:tr w:rsidR="004E6798" w:rsidRPr="00CC71C6" w14:paraId="79C5A164" w14:textId="77777777" w:rsidTr="003D27A2">
        <w:trPr>
          <w:trHeight w:val="260"/>
          <w:jc w:val="center"/>
        </w:trPr>
        <w:tc>
          <w:tcPr>
            <w:tcW w:w="1413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802AD77" w14:textId="77777777" w:rsidR="004E6798" w:rsidRPr="000267AA" w:rsidRDefault="004E6798" w:rsidP="003D27A2">
            <w:pPr>
              <w:spacing w:before="120" w:after="120"/>
              <w:rPr>
                <w:rFonts w:ascii="Arial" w:hAnsi="Arial" w:cs="Arial"/>
                <w:spacing w:val="-3"/>
                <w:sz w:val="18"/>
                <w:szCs w:val="18"/>
                <w:lang w:val="en-GB"/>
              </w:rPr>
            </w:pPr>
            <w:r w:rsidRPr="000267AA">
              <w:rPr>
                <w:rFonts w:ascii="Arial" w:hAnsi="Arial" w:cs="Arial"/>
                <w:b/>
                <w:caps/>
                <w:spacing w:val="-3"/>
                <w:sz w:val="18"/>
                <w:szCs w:val="18"/>
                <w:u w:val="single"/>
                <w:lang w:val="en-GB"/>
              </w:rPr>
              <w:t>Specific OBJECTIVE 1:</w:t>
            </w:r>
            <w:r w:rsidRPr="000267AA">
              <w:rPr>
                <w:rFonts w:ascii="Arial" w:hAnsi="Arial" w:cs="Arial"/>
                <w:spacing w:val="-3"/>
                <w:sz w:val="18"/>
                <w:szCs w:val="18"/>
                <w:lang w:val="en-GB"/>
              </w:rPr>
              <w:t xml:space="preserve"> P</w:t>
            </w:r>
            <w:r w:rsidRPr="000267AA">
              <w:rPr>
                <w:rFonts w:ascii="Arial" w:hAnsi="Arial" w:cs="Arial"/>
                <w:color w:val="000000"/>
                <w:spacing w:val="-3"/>
                <w:sz w:val="18"/>
                <w:szCs w:val="18"/>
                <w:lang w:val="en-GB"/>
              </w:rPr>
              <w:t>romote the availability and timely execution of public resources to respond to the health crisis caused by COVID-19</w:t>
            </w:r>
          </w:p>
        </w:tc>
      </w:tr>
      <w:tr w:rsidR="004E6798" w:rsidRPr="00CC71C6" w14:paraId="067774E6" w14:textId="77777777" w:rsidTr="003D27A2">
        <w:trPr>
          <w:trHeight w:val="547"/>
          <w:jc w:val="center"/>
        </w:trPr>
        <w:tc>
          <w:tcPr>
            <w:tcW w:w="29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DCD8080" w14:textId="77777777" w:rsidR="004E6798" w:rsidRPr="000267AA" w:rsidRDefault="004E6798" w:rsidP="003D27A2">
            <w:pPr>
              <w:pStyle w:val="ListParagraph"/>
              <w:spacing w:before="40" w:after="40"/>
              <w:ind w:left="0"/>
              <w:contextualSpacing w:val="0"/>
              <w:rPr>
                <w:rFonts w:ascii="Arial" w:hAnsi="Arial" w:cs="Arial"/>
                <w:spacing w:val="-3"/>
                <w:sz w:val="18"/>
                <w:szCs w:val="18"/>
                <w:lang w:val="en-GB"/>
              </w:rPr>
            </w:pPr>
            <w:r w:rsidRPr="000267AA">
              <w:rPr>
                <w:rFonts w:ascii="Arial" w:hAnsi="Arial" w:cs="Arial"/>
                <w:spacing w:val="-3"/>
                <w:sz w:val="18"/>
                <w:szCs w:val="18"/>
                <w:lang w:val="en-GB"/>
              </w:rPr>
              <w:t xml:space="preserve">Budget allocated to the health sector </w:t>
            </w:r>
          </w:p>
        </w:tc>
        <w:tc>
          <w:tcPr>
            <w:tcW w:w="11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C77C0D" w14:textId="77777777" w:rsidR="004E6798" w:rsidRPr="000267AA" w:rsidRDefault="004E6798" w:rsidP="003D27A2">
            <w:pPr>
              <w:spacing w:before="40" w:after="40"/>
              <w:jc w:val="center"/>
              <w:rPr>
                <w:rFonts w:ascii="Arial" w:hAnsi="Arial" w:cs="Arial"/>
                <w:spacing w:val="-3"/>
                <w:sz w:val="18"/>
                <w:szCs w:val="18"/>
                <w:lang w:val="en-GB"/>
              </w:rPr>
            </w:pPr>
            <w:r w:rsidRPr="000267AA">
              <w:rPr>
                <w:rFonts w:ascii="Arial" w:hAnsi="Arial" w:cs="Arial"/>
                <w:spacing w:val="-3"/>
                <w:sz w:val="18"/>
                <w:szCs w:val="18"/>
                <w:lang w:val="en-GB"/>
              </w:rPr>
              <w:t>Percentage of GDP</w:t>
            </w:r>
            <w:r>
              <w:rPr>
                <w:rFonts w:ascii="Arial" w:hAnsi="Arial" w:cs="Arial"/>
                <w:spacing w:val="-3"/>
                <w:sz w:val="18"/>
                <w:szCs w:val="18"/>
                <w:lang w:val="en-GB"/>
              </w:rPr>
              <w:t xml:space="preserve"> (%)</w:t>
            </w:r>
          </w:p>
        </w:tc>
        <w:tc>
          <w:tcPr>
            <w:tcW w:w="10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2EED87C" w14:textId="77777777" w:rsidR="004E6798" w:rsidRPr="000267AA" w:rsidRDefault="004E6798" w:rsidP="003D27A2">
            <w:pPr>
              <w:spacing w:before="40" w:after="40"/>
              <w:jc w:val="center"/>
              <w:rPr>
                <w:rFonts w:ascii="Arial" w:hAnsi="Arial" w:cs="Arial"/>
                <w:spacing w:val="-3"/>
                <w:sz w:val="18"/>
                <w:szCs w:val="18"/>
                <w:lang w:val="en-GB"/>
              </w:rPr>
            </w:pPr>
            <w:r w:rsidRPr="000267AA">
              <w:rPr>
                <w:rFonts w:ascii="Arial" w:hAnsi="Arial" w:cs="Arial"/>
                <w:spacing w:val="-3"/>
                <w:sz w:val="18"/>
                <w:szCs w:val="18"/>
                <w:lang w:val="en-GB"/>
              </w:rPr>
              <w:t>3.4</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FF3FE1C" w14:textId="77777777" w:rsidR="004E6798" w:rsidRPr="000267AA" w:rsidRDefault="004E6798" w:rsidP="003D27A2">
            <w:pPr>
              <w:spacing w:before="40" w:after="40"/>
              <w:jc w:val="center"/>
              <w:rPr>
                <w:rFonts w:ascii="Arial" w:hAnsi="Arial" w:cs="Arial"/>
                <w:spacing w:val="-3"/>
                <w:sz w:val="18"/>
                <w:szCs w:val="18"/>
                <w:lang w:val="en-GB"/>
              </w:rPr>
            </w:pPr>
            <w:r w:rsidRPr="000267AA">
              <w:rPr>
                <w:rFonts w:ascii="Arial" w:hAnsi="Arial" w:cs="Arial"/>
                <w:spacing w:val="-3"/>
                <w:sz w:val="18"/>
                <w:szCs w:val="18"/>
                <w:lang w:val="en-GB"/>
              </w:rPr>
              <w:t>2018/19</w:t>
            </w:r>
          </w:p>
        </w:tc>
        <w:tc>
          <w:tcPr>
            <w:tcW w:w="12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687C0C" w14:textId="77777777" w:rsidR="004E6798" w:rsidRPr="000267AA" w:rsidRDefault="004E6798" w:rsidP="003D27A2">
            <w:pPr>
              <w:spacing w:before="40" w:after="40"/>
              <w:jc w:val="center"/>
              <w:rPr>
                <w:rFonts w:ascii="Arial" w:hAnsi="Arial" w:cs="Arial"/>
                <w:spacing w:val="-3"/>
                <w:sz w:val="18"/>
                <w:szCs w:val="18"/>
                <w:lang w:val="en-GB"/>
              </w:rPr>
            </w:pPr>
            <w:r w:rsidRPr="000267AA">
              <w:rPr>
                <w:rFonts w:ascii="Arial" w:hAnsi="Arial" w:cs="Arial"/>
                <w:spacing w:val="-3"/>
                <w:sz w:val="18"/>
                <w:szCs w:val="18"/>
                <w:lang w:val="en-GB"/>
              </w:rPr>
              <w:t>3.9</w:t>
            </w:r>
          </w:p>
        </w:tc>
        <w:tc>
          <w:tcPr>
            <w:tcW w:w="25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96BA636" w14:textId="77777777" w:rsidR="004E6798" w:rsidRPr="000267AA" w:rsidRDefault="004E6798" w:rsidP="003D27A2">
            <w:pPr>
              <w:spacing w:before="40" w:after="40"/>
              <w:rPr>
                <w:rFonts w:ascii="Arial" w:hAnsi="Arial" w:cs="Arial"/>
                <w:spacing w:val="-3"/>
                <w:sz w:val="18"/>
                <w:szCs w:val="18"/>
                <w:lang w:val="en-GB"/>
              </w:rPr>
            </w:pPr>
            <w:r w:rsidRPr="000267AA">
              <w:rPr>
                <w:rFonts w:ascii="Arial" w:hAnsi="Arial" w:cs="Arial"/>
                <w:spacing w:val="-3"/>
                <w:sz w:val="18"/>
                <w:szCs w:val="18"/>
                <w:lang w:val="en-GB"/>
              </w:rPr>
              <w:t xml:space="preserve">Official letter from the MFEI, including the approved health sector budgets for 2018 and 2019. </w:t>
            </w:r>
          </w:p>
        </w:tc>
        <w:tc>
          <w:tcPr>
            <w:tcW w:w="40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D434E4" w14:textId="77777777" w:rsidR="004E6798" w:rsidRPr="000267AA" w:rsidRDefault="004E6798" w:rsidP="003D27A2">
            <w:pPr>
              <w:spacing w:before="40" w:after="40"/>
              <w:rPr>
                <w:rFonts w:ascii="Arial" w:hAnsi="Arial" w:cs="Arial"/>
                <w:spacing w:val="-3"/>
                <w:sz w:val="18"/>
                <w:szCs w:val="18"/>
                <w:lang w:val="en-GB"/>
              </w:rPr>
            </w:pPr>
            <w:r w:rsidRPr="000267AA">
              <w:rPr>
                <w:rFonts w:ascii="Arial" w:hAnsi="Arial" w:cs="Arial"/>
                <w:b/>
                <w:bCs/>
                <w:spacing w:val="-3"/>
                <w:sz w:val="18"/>
                <w:szCs w:val="18"/>
                <w:lang w:val="en-GB"/>
              </w:rPr>
              <w:t>Formula:</w:t>
            </w:r>
            <w:r w:rsidRPr="000267AA">
              <w:rPr>
                <w:rFonts w:ascii="Arial" w:hAnsi="Arial" w:cs="Arial"/>
                <w:spacing w:val="-3"/>
                <w:sz w:val="18"/>
                <w:szCs w:val="18"/>
                <w:lang w:val="en-GB"/>
              </w:rPr>
              <w:t xml:space="preserve"> (Approved health sector budget) / (GDP)</w:t>
            </w:r>
          </w:p>
          <w:p w14:paraId="54FDEF69" w14:textId="77777777" w:rsidR="004E6798" w:rsidRPr="000267AA" w:rsidRDefault="004E6798" w:rsidP="003D27A2">
            <w:pPr>
              <w:spacing w:before="40" w:after="40"/>
              <w:rPr>
                <w:rFonts w:ascii="Arial" w:hAnsi="Arial" w:cs="Arial"/>
                <w:spacing w:val="-3"/>
                <w:sz w:val="18"/>
                <w:szCs w:val="18"/>
                <w:lang w:val="en-GB"/>
              </w:rPr>
            </w:pPr>
            <w:r w:rsidRPr="000267AA">
              <w:rPr>
                <w:rFonts w:ascii="Arial" w:hAnsi="Arial" w:cs="Arial"/>
                <w:spacing w:val="-3"/>
                <w:sz w:val="18"/>
                <w:szCs w:val="18"/>
                <w:u w:val="single"/>
                <w:lang w:val="en-GB"/>
              </w:rPr>
              <w:t>Baseline (FY2018/19):</w:t>
            </w:r>
            <w:r w:rsidRPr="000267AA">
              <w:rPr>
                <w:rFonts w:ascii="Arial" w:hAnsi="Arial" w:cs="Arial"/>
                <w:spacing w:val="-3"/>
                <w:sz w:val="18"/>
                <w:szCs w:val="18"/>
                <w:lang w:val="en-GB"/>
              </w:rPr>
              <w:t xml:space="preserve"> </w:t>
            </w:r>
          </w:p>
          <w:p w14:paraId="2CD66E28" w14:textId="77777777" w:rsidR="004E6798" w:rsidRPr="000267AA" w:rsidRDefault="004E6798" w:rsidP="003D27A2">
            <w:pPr>
              <w:spacing w:before="40" w:after="40"/>
              <w:rPr>
                <w:rFonts w:ascii="Arial" w:hAnsi="Arial" w:cs="Arial"/>
                <w:spacing w:val="-3"/>
                <w:sz w:val="18"/>
                <w:szCs w:val="18"/>
                <w:lang w:val="en-GB"/>
              </w:rPr>
            </w:pPr>
            <w:r w:rsidRPr="000267AA">
              <w:rPr>
                <w:rFonts w:ascii="Arial" w:hAnsi="Arial" w:cs="Arial"/>
                <w:spacing w:val="-3"/>
                <w:sz w:val="18"/>
                <w:szCs w:val="18"/>
                <w:lang w:val="en-GB"/>
              </w:rPr>
              <w:t>Health sector budget</w:t>
            </w:r>
            <w:r w:rsidRPr="000267AA">
              <w:rPr>
                <w:rStyle w:val="FootnoteReference"/>
                <w:rFonts w:ascii="Arial" w:hAnsi="Arial" w:cs="Arial"/>
                <w:spacing w:val="-3"/>
                <w:sz w:val="18"/>
                <w:szCs w:val="18"/>
                <w:lang w:val="en-GB"/>
              </w:rPr>
              <w:footnoteReference w:id="3"/>
            </w:r>
            <w:r w:rsidRPr="000267AA">
              <w:rPr>
                <w:rFonts w:ascii="Arial" w:hAnsi="Arial" w:cs="Arial"/>
                <w:spacing w:val="-3"/>
                <w:sz w:val="18"/>
                <w:szCs w:val="18"/>
                <w:lang w:val="en-GB"/>
              </w:rPr>
              <w:t>: BDS$351.2 million</w:t>
            </w:r>
            <w:r>
              <w:rPr>
                <w:rFonts w:ascii="Arial" w:hAnsi="Arial" w:cs="Arial"/>
                <w:spacing w:val="-3"/>
                <w:sz w:val="18"/>
                <w:szCs w:val="18"/>
                <w:lang w:val="en-GB"/>
              </w:rPr>
              <w:t>.</w:t>
            </w:r>
          </w:p>
          <w:p w14:paraId="394CB44C" w14:textId="77777777" w:rsidR="004E6798" w:rsidRDefault="004E6798" w:rsidP="003D27A2">
            <w:pPr>
              <w:spacing w:before="40" w:after="40"/>
              <w:rPr>
                <w:rFonts w:ascii="Arial" w:hAnsi="Arial" w:cs="Arial"/>
                <w:spacing w:val="-3"/>
                <w:sz w:val="18"/>
                <w:szCs w:val="18"/>
                <w:lang w:val="en-GB"/>
              </w:rPr>
            </w:pPr>
            <w:r w:rsidRPr="000267AA">
              <w:rPr>
                <w:rFonts w:ascii="Arial" w:hAnsi="Arial" w:cs="Arial"/>
                <w:spacing w:val="-3"/>
                <w:sz w:val="18"/>
                <w:szCs w:val="18"/>
                <w:lang w:val="en-GB"/>
              </w:rPr>
              <w:t xml:space="preserve">GDP: </w:t>
            </w:r>
            <w:r>
              <w:rPr>
                <w:rFonts w:ascii="Arial" w:hAnsi="Arial" w:cs="Arial"/>
                <w:spacing w:val="-3"/>
                <w:sz w:val="18"/>
                <w:szCs w:val="18"/>
                <w:lang w:val="en-GB"/>
              </w:rPr>
              <w:t>BD</w:t>
            </w:r>
            <w:r w:rsidRPr="000267AA">
              <w:rPr>
                <w:rFonts w:ascii="Arial" w:hAnsi="Arial" w:cs="Arial"/>
                <w:spacing w:val="-3"/>
                <w:sz w:val="18"/>
                <w:szCs w:val="18"/>
                <w:lang w:val="en-GB"/>
              </w:rPr>
              <w:t>$10,235 million</w:t>
            </w:r>
            <w:r>
              <w:rPr>
                <w:rFonts w:ascii="Arial" w:hAnsi="Arial" w:cs="Arial"/>
                <w:spacing w:val="-3"/>
                <w:sz w:val="18"/>
                <w:szCs w:val="18"/>
                <w:lang w:val="en-GB"/>
              </w:rPr>
              <w:t>.</w:t>
            </w:r>
          </w:p>
          <w:p w14:paraId="4EAD9130" w14:textId="77777777" w:rsidR="004E6798" w:rsidRDefault="004E6798" w:rsidP="003D27A2">
            <w:pPr>
              <w:spacing w:before="40" w:after="40"/>
              <w:rPr>
                <w:rFonts w:ascii="Arial" w:hAnsi="Arial" w:cs="Arial"/>
                <w:spacing w:val="-3"/>
                <w:sz w:val="18"/>
                <w:szCs w:val="18"/>
                <w:lang w:val="en-GB"/>
              </w:rPr>
            </w:pPr>
          </w:p>
          <w:p w14:paraId="73A7C683" w14:textId="77777777" w:rsidR="004E6798" w:rsidRPr="00745E30" w:rsidRDefault="004E6798" w:rsidP="003D27A2">
            <w:pPr>
              <w:spacing w:before="40" w:after="40"/>
              <w:rPr>
                <w:rFonts w:ascii="Arial" w:hAnsi="Arial" w:cs="Arial"/>
                <w:spacing w:val="-3"/>
                <w:sz w:val="18"/>
                <w:szCs w:val="18"/>
                <w:lang w:val="en-GB"/>
              </w:rPr>
            </w:pPr>
            <w:r>
              <w:rPr>
                <w:rFonts w:ascii="Arial" w:hAnsi="Arial" w:cs="Arial"/>
                <w:spacing w:val="-3"/>
                <w:sz w:val="18"/>
                <w:szCs w:val="18"/>
                <w:lang w:val="en-GB"/>
              </w:rPr>
              <w:lastRenderedPageBreak/>
              <w:t>Final target year: FY2019/2020.</w:t>
            </w:r>
          </w:p>
        </w:tc>
      </w:tr>
      <w:tr w:rsidR="004E6798" w:rsidRPr="00CC71C6" w14:paraId="4993D383" w14:textId="77777777" w:rsidTr="003D27A2">
        <w:trPr>
          <w:trHeight w:val="368"/>
          <w:jc w:val="center"/>
        </w:trPr>
        <w:tc>
          <w:tcPr>
            <w:tcW w:w="1413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FCC3ED9" w14:textId="77777777" w:rsidR="004E6798" w:rsidRPr="000267AA" w:rsidRDefault="004E6798" w:rsidP="003D27A2">
            <w:pPr>
              <w:keepNext/>
              <w:spacing w:before="120" w:after="120"/>
              <w:rPr>
                <w:rFonts w:ascii="Arial" w:hAnsi="Arial" w:cs="Arial"/>
                <w:spacing w:val="-3"/>
                <w:sz w:val="18"/>
                <w:szCs w:val="18"/>
                <w:u w:val="single"/>
                <w:lang w:val="en-GB"/>
              </w:rPr>
            </w:pPr>
            <w:r w:rsidRPr="000267AA">
              <w:rPr>
                <w:rFonts w:ascii="Arial" w:hAnsi="Arial" w:cs="Arial"/>
                <w:b/>
                <w:caps/>
                <w:spacing w:val="-3"/>
                <w:sz w:val="18"/>
                <w:szCs w:val="18"/>
                <w:u w:val="single"/>
                <w:lang w:val="en-GB"/>
              </w:rPr>
              <w:lastRenderedPageBreak/>
              <w:t>Specific OBJECTIVE 2:</w:t>
            </w:r>
            <w:r w:rsidRPr="000267AA">
              <w:rPr>
                <w:rFonts w:ascii="Arial" w:hAnsi="Arial" w:cs="Arial"/>
                <w:spacing w:val="-3"/>
                <w:sz w:val="18"/>
                <w:szCs w:val="18"/>
                <w:lang w:val="en-GB"/>
              </w:rPr>
              <w:t xml:space="preserve"> </w:t>
            </w:r>
            <w:r w:rsidRPr="000267AA">
              <w:rPr>
                <w:rFonts w:ascii="Arial" w:hAnsi="Arial" w:cs="Arial"/>
                <w:color w:val="000000"/>
                <w:spacing w:val="-3"/>
                <w:sz w:val="18"/>
                <w:szCs w:val="18"/>
                <w:lang w:val="en-GB"/>
              </w:rPr>
              <w:t>Strengthen the countercyclical effect of fiscal policy through the temporary introduction of measures to protect the income of vulnerable households and increase liquidity for businesses during the health and economic crisis</w:t>
            </w:r>
          </w:p>
        </w:tc>
      </w:tr>
      <w:tr w:rsidR="004E6798" w:rsidRPr="00CC71C6" w14:paraId="0BB2B858" w14:textId="77777777" w:rsidTr="003D27A2">
        <w:trPr>
          <w:trHeight w:val="64"/>
          <w:jc w:val="center"/>
        </w:trPr>
        <w:tc>
          <w:tcPr>
            <w:tcW w:w="29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72629C6" w14:textId="77777777" w:rsidR="004E6798" w:rsidRPr="000267AA" w:rsidRDefault="004E6798" w:rsidP="003D27A2">
            <w:pPr>
              <w:pStyle w:val="ListParagraph"/>
              <w:spacing w:before="40" w:after="40"/>
              <w:ind w:left="0"/>
              <w:contextualSpacing w:val="0"/>
              <w:rPr>
                <w:rFonts w:ascii="Arial" w:hAnsi="Arial" w:cs="Arial"/>
                <w:spacing w:val="-3"/>
                <w:sz w:val="18"/>
                <w:szCs w:val="18"/>
                <w:lang w:val="en-GB" w:eastAsia="zh-CN"/>
              </w:rPr>
            </w:pPr>
            <w:r w:rsidRPr="000267AA">
              <w:rPr>
                <w:rFonts w:ascii="Arial" w:hAnsi="Arial" w:cs="Arial"/>
                <w:spacing w:val="-3"/>
                <w:sz w:val="18"/>
                <w:szCs w:val="18"/>
                <w:lang w:val="en-GB"/>
              </w:rPr>
              <w:t xml:space="preserve">Households benefited by the Household Survival </w:t>
            </w:r>
            <w:r>
              <w:rPr>
                <w:rFonts w:ascii="Arial" w:hAnsi="Arial" w:cs="Arial"/>
                <w:spacing w:val="-3"/>
                <w:sz w:val="18"/>
                <w:szCs w:val="18"/>
                <w:lang w:val="en-GB"/>
              </w:rPr>
              <w:t>programme</w:t>
            </w:r>
          </w:p>
        </w:tc>
        <w:tc>
          <w:tcPr>
            <w:tcW w:w="11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1D5AF6" w14:textId="77777777" w:rsidR="004E6798" w:rsidRPr="000267AA" w:rsidRDefault="004E6798" w:rsidP="003D27A2">
            <w:pPr>
              <w:spacing w:before="40" w:after="40"/>
              <w:jc w:val="center"/>
              <w:rPr>
                <w:rFonts w:ascii="Arial" w:hAnsi="Arial" w:cs="Arial"/>
                <w:spacing w:val="-3"/>
                <w:sz w:val="18"/>
                <w:szCs w:val="18"/>
                <w:lang w:val="en-GB"/>
              </w:rPr>
            </w:pPr>
            <w:r w:rsidRPr="000267AA">
              <w:rPr>
                <w:rFonts w:ascii="Arial" w:hAnsi="Arial" w:cs="Arial"/>
                <w:spacing w:val="-3"/>
                <w:sz w:val="18"/>
                <w:szCs w:val="18"/>
                <w:lang w:val="en-GB"/>
              </w:rPr>
              <w:t xml:space="preserve">Percentage </w:t>
            </w:r>
            <w:r>
              <w:rPr>
                <w:rFonts w:ascii="Arial" w:hAnsi="Arial" w:cs="Arial"/>
                <w:spacing w:val="-3"/>
                <w:sz w:val="18"/>
                <w:szCs w:val="18"/>
                <w:lang w:val="en-GB"/>
              </w:rPr>
              <w:t>(%)</w:t>
            </w:r>
          </w:p>
        </w:tc>
        <w:tc>
          <w:tcPr>
            <w:tcW w:w="10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7375486" w14:textId="77777777" w:rsidR="004E6798" w:rsidRPr="000267AA" w:rsidRDefault="004E6798" w:rsidP="003D27A2">
            <w:pPr>
              <w:spacing w:before="40" w:after="40"/>
              <w:jc w:val="center"/>
              <w:rPr>
                <w:rFonts w:ascii="Arial" w:hAnsi="Arial" w:cs="Arial"/>
                <w:spacing w:val="-3"/>
                <w:sz w:val="18"/>
                <w:szCs w:val="18"/>
                <w:lang w:val="en-GB"/>
              </w:rPr>
            </w:pPr>
            <w:r w:rsidRPr="000267AA">
              <w:rPr>
                <w:rFonts w:ascii="Arial" w:hAnsi="Arial" w:cs="Arial"/>
                <w:spacing w:val="-3"/>
                <w:sz w:val="18"/>
                <w:szCs w:val="18"/>
                <w:lang w:val="en-GB"/>
              </w:rPr>
              <w:t>0</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0B28B9E" w14:textId="77777777" w:rsidR="004E6798" w:rsidRPr="000267AA" w:rsidRDefault="004E6798" w:rsidP="003D27A2">
            <w:pPr>
              <w:spacing w:before="40" w:after="40"/>
              <w:jc w:val="center"/>
              <w:rPr>
                <w:rFonts w:ascii="Arial" w:hAnsi="Arial" w:cs="Arial"/>
                <w:spacing w:val="-3"/>
                <w:sz w:val="18"/>
                <w:szCs w:val="18"/>
                <w:lang w:val="en-GB"/>
              </w:rPr>
            </w:pPr>
            <w:r w:rsidRPr="000267AA">
              <w:rPr>
                <w:rFonts w:ascii="Arial" w:hAnsi="Arial" w:cs="Arial"/>
                <w:spacing w:val="-3"/>
                <w:sz w:val="18"/>
                <w:szCs w:val="18"/>
                <w:lang w:val="en-GB"/>
              </w:rPr>
              <w:t>2019</w:t>
            </w:r>
          </w:p>
        </w:tc>
        <w:tc>
          <w:tcPr>
            <w:tcW w:w="12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CA31EA9" w14:textId="77777777" w:rsidR="004E6798" w:rsidRPr="000267AA" w:rsidRDefault="004E6798" w:rsidP="003D27A2">
            <w:pPr>
              <w:spacing w:before="40" w:after="40"/>
              <w:jc w:val="center"/>
              <w:rPr>
                <w:rFonts w:ascii="Arial" w:hAnsi="Arial" w:cs="Arial"/>
                <w:spacing w:val="-3"/>
                <w:sz w:val="18"/>
                <w:szCs w:val="18"/>
                <w:lang w:val="en-GB"/>
              </w:rPr>
            </w:pPr>
            <w:r w:rsidRPr="000267AA">
              <w:rPr>
                <w:rFonts w:ascii="Arial" w:hAnsi="Arial" w:cs="Arial"/>
                <w:spacing w:val="-3"/>
                <w:sz w:val="18"/>
                <w:szCs w:val="18"/>
                <w:lang w:val="en-GB"/>
              </w:rPr>
              <w:t>11.6</w:t>
            </w:r>
          </w:p>
        </w:tc>
        <w:tc>
          <w:tcPr>
            <w:tcW w:w="25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8DC39AC" w14:textId="77777777" w:rsidR="004E6798" w:rsidRPr="000267AA" w:rsidRDefault="004E6798" w:rsidP="003D27A2">
            <w:pPr>
              <w:spacing w:before="40" w:after="40"/>
              <w:rPr>
                <w:rFonts w:ascii="Arial" w:hAnsi="Arial" w:cs="Arial"/>
                <w:spacing w:val="-3"/>
                <w:sz w:val="18"/>
                <w:szCs w:val="18"/>
                <w:lang w:val="en-GB"/>
              </w:rPr>
            </w:pPr>
            <w:r w:rsidRPr="000267AA">
              <w:rPr>
                <w:rFonts w:ascii="Arial" w:hAnsi="Arial" w:cs="Arial"/>
                <w:spacing w:val="-3"/>
                <w:sz w:val="18"/>
                <w:szCs w:val="18"/>
                <w:lang w:val="en-GB"/>
              </w:rPr>
              <w:t>Official letter from the MFEI/PMO.</w:t>
            </w:r>
          </w:p>
        </w:tc>
        <w:tc>
          <w:tcPr>
            <w:tcW w:w="40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39D5420" w14:textId="77777777" w:rsidR="004E6798" w:rsidRPr="000267AA" w:rsidRDefault="004E6798" w:rsidP="003D27A2">
            <w:pPr>
              <w:spacing w:before="40" w:after="40"/>
              <w:rPr>
                <w:rFonts w:ascii="Arial" w:hAnsi="Arial" w:cs="Arial"/>
                <w:spacing w:val="-3"/>
                <w:sz w:val="18"/>
                <w:szCs w:val="18"/>
                <w:lang w:val="en-GB"/>
              </w:rPr>
            </w:pPr>
            <w:r w:rsidRPr="000267AA">
              <w:rPr>
                <w:rFonts w:ascii="Arial" w:hAnsi="Arial" w:cs="Arial"/>
                <w:b/>
                <w:bCs/>
                <w:spacing w:val="-3"/>
                <w:sz w:val="18"/>
                <w:szCs w:val="18"/>
                <w:lang w:val="en-GB"/>
              </w:rPr>
              <w:t>Formula:</w:t>
            </w:r>
            <w:r w:rsidRPr="000267AA">
              <w:rPr>
                <w:rFonts w:ascii="Arial" w:hAnsi="Arial" w:cs="Arial"/>
                <w:spacing w:val="-3"/>
                <w:sz w:val="18"/>
                <w:szCs w:val="18"/>
                <w:lang w:val="en-GB"/>
              </w:rPr>
              <w:t xml:space="preserve"> (Benefited households) / (Number of households in Barbados)</w:t>
            </w:r>
          </w:p>
          <w:p w14:paraId="05B124E6" w14:textId="77777777" w:rsidR="004E6798" w:rsidRPr="000267AA" w:rsidRDefault="004E6798" w:rsidP="003D27A2">
            <w:pPr>
              <w:spacing w:before="40" w:after="40"/>
              <w:rPr>
                <w:rFonts w:ascii="Arial" w:hAnsi="Arial" w:cs="Arial"/>
                <w:spacing w:val="-3"/>
                <w:sz w:val="18"/>
                <w:szCs w:val="18"/>
                <w:lang w:val="en-GB"/>
              </w:rPr>
            </w:pPr>
          </w:p>
          <w:p w14:paraId="77E133CA" w14:textId="77777777" w:rsidR="004E6798" w:rsidRPr="000267AA" w:rsidRDefault="004E6798" w:rsidP="003D27A2">
            <w:pPr>
              <w:spacing w:before="40" w:after="40"/>
              <w:rPr>
                <w:rFonts w:ascii="Arial" w:hAnsi="Arial" w:cs="Arial"/>
                <w:spacing w:val="-3"/>
                <w:sz w:val="18"/>
                <w:szCs w:val="18"/>
                <w:u w:val="single"/>
                <w:lang w:val="en-GB"/>
              </w:rPr>
            </w:pPr>
            <w:r w:rsidRPr="000267AA">
              <w:rPr>
                <w:rFonts w:ascii="Arial" w:hAnsi="Arial" w:cs="Arial"/>
                <w:spacing w:val="-3"/>
                <w:sz w:val="18"/>
                <w:szCs w:val="18"/>
                <w:u w:val="single"/>
                <w:lang w:val="en-GB"/>
              </w:rPr>
              <w:t>Baseline (2019)</w:t>
            </w:r>
            <w:r>
              <w:rPr>
                <w:rFonts w:ascii="Arial" w:hAnsi="Arial" w:cs="Arial"/>
                <w:spacing w:val="-3"/>
                <w:sz w:val="18"/>
                <w:szCs w:val="18"/>
                <w:u w:val="single"/>
                <w:lang w:val="en-GB"/>
              </w:rPr>
              <w:t>:</w:t>
            </w:r>
          </w:p>
          <w:p w14:paraId="158CBAFB" w14:textId="77777777" w:rsidR="004E6798" w:rsidRPr="000267AA" w:rsidRDefault="004E6798" w:rsidP="003D27A2">
            <w:pPr>
              <w:spacing w:before="40" w:after="40"/>
              <w:rPr>
                <w:rFonts w:ascii="Arial" w:hAnsi="Arial" w:cs="Arial"/>
                <w:spacing w:val="-3"/>
                <w:sz w:val="18"/>
                <w:szCs w:val="18"/>
                <w:lang w:val="en-GB"/>
              </w:rPr>
            </w:pPr>
            <w:r w:rsidRPr="000267AA">
              <w:rPr>
                <w:rFonts w:ascii="Arial" w:hAnsi="Arial" w:cs="Arial"/>
                <w:spacing w:val="-3"/>
                <w:sz w:val="18"/>
                <w:szCs w:val="18"/>
                <w:lang w:val="en-GB"/>
              </w:rPr>
              <w:t>Benefited households: 1,600</w:t>
            </w:r>
            <w:r>
              <w:rPr>
                <w:rFonts w:ascii="Arial" w:hAnsi="Arial" w:cs="Arial"/>
                <w:spacing w:val="-3"/>
                <w:sz w:val="18"/>
                <w:szCs w:val="18"/>
                <w:lang w:val="en-GB"/>
              </w:rPr>
              <w:t>.</w:t>
            </w:r>
          </w:p>
          <w:p w14:paraId="52EDE68E" w14:textId="77777777" w:rsidR="004E6798" w:rsidRPr="000267AA" w:rsidRDefault="004E6798" w:rsidP="003D27A2">
            <w:pPr>
              <w:spacing w:before="40" w:after="40"/>
              <w:rPr>
                <w:rFonts w:ascii="Arial" w:hAnsi="Arial" w:cs="Arial"/>
                <w:spacing w:val="-3"/>
                <w:sz w:val="18"/>
                <w:szCs w:val="18"/>
                <w:highlight w:val="yellow"/>
                <w:lang w:val="en-GB"/>
              </w:rPr>
            </w:pPr>
            <w:r w:rsidRPr="000267AA">
              <w:rPr>
                <w:rFonts w:ascii="Arial" w:hAnsi="Arial" w:cs="Arial"/>
                <w:spacing w:val="-3"/>
                <w:sz w:val="18"/>
                <w:szCs w:val="18"/>
                <w:lang w:val="en-GB"/>
              </w:rPr>
              <w:t>Number of households under the poverty line in Barbados: 13,825</w:t>
            </w:r>
            <w:r>
              <w:rPr>
                <w:rFonts w:ascii="Arial" w:hAnsi="Arial" w:cs="Arial"/>
                <w:spacing w:val="-3"/>
                <w:sz w:val="18"/>
                <w:szCs w:val="18"/>
                <w:lang w:val="en-GB"/>
              </w:rPr>
              <w:t>.</w:t>
            </w:r>
          </w:p>
        </w:tc>
      </w:tr>
      <w:tr w:rsidR="004E6798" w:rsidRPr="00CC71C6" w14:paraId="50CDAF5E" w14:textId="77777777" w:rsidTr="003D27A2">
        <w:trPr>
          <w:trHeight w:val="64"/>
          <w:jc w:val="center"/>
        </w:trPr>
        <w:tc>
          <w:tcPr>
            <w:tcW w:w="29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256CAE1" w14:textId="77777777" w:rsidR="004E6798" w:rsidRPr="000267AA" w:rsidRDefault="004E6798" w:rsidP="003D27A2">
            <w:pPr>
              <w:pStyle w:val="ListParagraph"/>
              <w:spacing w:before="40" w:after="40"/>
              <w:ind w:left="0"/>
              <w:contextualSpacing w:val="0"/>
              <w:rPr>
                <w:rFonts w:ascii="Arial" w:hAnsi="Arial" w:cs="Arial"/>
                <w:spacing w:val="-3"/>
                <w:sz w:val="18"/>
                <w:szCs w:val="18"/>
                <w:lang w:val="en-GB"/>
              </w:rPr>
            </w:pPr>
            <w:r w:rsidRPr="000267AA">
              <w:rPr>
                <w:rFonts w:ascii="Arial" w:hAnsi="Arial" w:cs="Arial"/>
                <w:spacing w:val="-3"/>
                <w:sz w:val="18"/>
                <w:szCs w:val="18"/>
                <w:lang w:val="en-GB"/>
              </w:rPr>
              <w:t>Self-employed individuals benefited by the Business Interruption Benefit</w:t>
            </w:r>
          </w:p>
        </w:tc>
        <w:tc>
          <w:tcPr>
            <w:tcW w:w="11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B1FB72" w14:textId="77777777" w:rsidR="004E6798" w:rsidRPr="000267AA" w:rsidRDefault="004E6798" w:rsidP="003D27A2">
            <w:pPr>
              <w:spacing w:before="40" w:after="40"/>
              <w:jc w:val="center"/>
              <w:rPr>
                <w:rFonts w:ascii="Arial" w:hAnsi="Arial" w:cs="Arial"/>
                <w:spacing w:val="-3"/>
                <w:sz w:val="18"/>
                <w:szCs w:val="18"/>
                <w:lang w:val="en-GB"/>
              </w:rPr>
            </w:pPr>
            <w:r w:rsidRPr="000267AA">
              <w:rPr>
                <w:rFonts w:ascii="Arial" w:hAnsi="Arial" w:cs="Arial"/>
                <w:spacing w:val="-3"/>
                <w:sz w:val="18"/>
                <w:szCs w:val="18"/>
                <w:lang w:val="en-GB"/>
              </w:rPr>
              <w:t>Percentage</w:t>
            </w:r>
            <w:r>
              <w:rPr>
                <w:rFonts w:ascii="Arial" w:hAnsi="Arial" w:cs="Arial"/>
                <w:spacing w:val="-3"/>
                <w:sz w:val="18"/>
                <w:szCs w:val="18"/>
                <w:lang w:val="en-GB"/>
              </w:rPr>
              <w:t xml:space="preserve"> (%)</w:t>
            </w:r>
          </w:p>
        </w:tc>
        <w:tc>
          <w:tcPr>
            <w:tcW w:w="10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50818DB" w14:textId="77777777" w:rsidR="004E6798" w:rsidRPr="000267AA" w:rsidRDefault="004E6798" w:rsidP="003D27A2">
            <w:pPr>
              <w:spacing w:before="40" w:after="40"/>
              <w:jc w:val="center"/>
              <w:rPr>
                <w:rFonts w:ascii="Arial" w:hAnsi="Arial" w:cs="Arial"/>
                <w:spacing w:val="-3"/>
                <w:sz w:val="18"/>
                <w:szCs w:val="18"/>
                <w:lang w:val="en-GB"/>
              </w:rPr>
            </w:pPr>
            <w:r w:rsidRPr="000267AA">
              <w:rPr>
                <w:rFonts w:ascii="Arial" w:hAnsi="Arial" w:cs="Arial"/>
                <w:spacing w:val="-3"/>
                <w:sz w:val="18"/>
                <w:szCs w:val="18"/>
                <w:lang w:val="en-GB"/>
              </w:rPr>
              <w:t>0</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2AE7E9A" w14:textId="77777777" w:rsidR="004E6798" w:rsidRPr="000267AA" w:rsidRDefault="004E6798" w:rsidP="003D27A2">
            <w:pPr>
              <w:spacing w:before="40" w:after="40"/>
              <w:jc w:val="center"/>
              <w:rPr>
                <w:rFonts w:ascii="Arial" w:hAnsi="Arial" w:cs="Arial"/>
                <w:spacing w:val="-3"/>
                <w:sz w:val="18"/>
                <w:szCs w:val="18"/>
                <w:lang w:val="en-GB"/>
              </w:rPr>
            </w:pPr>
            <w:r w:rsidRPr="000267AA">
              <w:rPr>
                <w:rFonts w:ascii="Arial" w:hAnsi="Arial" w:cs="Arial"/>
                <w:spacing w:val="-3"/>
                <w:sz w:val="18"/>
                <w:szCs w:val="18"/>
                <w:lang w:val="en-GB"/>
              </w:rPr>
              <w:t>2019</w:t>
            </w:r>
          </w:p>
        </w:tc>
        <w:tc>
          <w:tcPr>
            <w:tcW w:w="12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B3B82C7" w14:textId="77777777" w:rsidR="004E6798" w:rsidRPr="000267AA" w:rsidRDefault="004E6798" w:rsidP="003D27A2">
            <w:pPr>
              <w:spacing w:before="40" w:after="40"/>
              <w:jc w:val="center"/>
              <w:rPr>
                <w:rFonts w:ascii="Arial" w:hAnsi="Arial" w:cs="Arial"/>
                <w:spacing w:val="-3"/>
                <w:sz w:val="18"/>
                <w:szCs w:val="18"/>
                <w:lang w:val="en-GB"/>
              </w:rPr>
            </w:pPr>
            <w:r w:rsidRPr="000267AA">
              <w:rPr>
                <w:rFonts w:ascii="Arial" w:hAnsi="Arial" w:cs="Arial"/>
                <w:spacing w:val="-3"/>
                <w:sz w:val="18"/>
                <w:szCs w:val="18"/>
                <w:lang w:val="en-GB"/>
              </w:rPr>
              <w:t>40.5</w:t>
            </w:r>
          </w:p>
        </w:tc>
        <w:tc>
          <w:tcPr>
            <w:tcW w:w="25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150C46" w14:textId="77777777" w:rsidR="004E6798" w:rsidRPr="000267AA" w:rsidRDefault="004E6798" w:rsidP="003D27A2">
            <w:pPr>
              <w:spacing w:before="40" w:after="40"/>
              <w:rPr>
                <w:rFonts w:ascii="Arial" w:hAnsi="Arial" w:cs="Arial"/>
                <w:spacing w:val="-3"/>
                <w:sz w:val="18"/>
                <w:szCs w:val="18"/>
                <w:lang w:val="en-GB"/>
              </w:rPr>
            </w:pPr>
            <w:r w:rsidRPr="000267AA">
              <w:rPr>
                <w:rFonts w:ascii="Arial" w:hAnsi="Arial" w:cs="Arial"/>
                <w:spacing w:val="-3"/>
                <w:sz w:val="18"/>
                <w:szCs w:val="18"/>
                <w:lang w:val="en-GB"/>
              </w:rPr>
              <w:t>Official letter from the MFEI/NIS.</w:t>
            </w:r>
          </w:p>
        </w:tc>
        <w:tc>
          <w:tcPr>
            <w:tcW w:w="40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384AD47" w14:textId="77777777" w:rsidR="004E6798" w:rsidRPr="000267AA" w:rsidRDefault="004E6798" w:rsidP="003D27A2">
            <w:pPr>
              <w:spacing w:before="40" w:after="40"/>
              <w:rPr>
                <w:rFonts w:ascii="Arial" w:hAnsi="Arial" w:cs="Arial"/>
                <w:spacing w:val="-3"/>
                <w:sz w:val="18"/>
                <w:szCs w:val="18"/>
                <w:lang w:val="en-GB"/>
              </w:rPr>
            </w:pPr>
            <w:r w:rsidRPr="000267AA">
              <w:rPr>
                <w:rFonts w:ascii="Arial" w:hAnsi="Arial" w:cs="Arial"/>
                <w:b/>
                <w:bCs/>
                <w:spacing w:val="-3"/>
                <w:sz w:val="18"/>
                <w:szCs w:val="18"/>
                <w:lang w:val="en-GB"/>
              </w:rPr>
              <w:t>Formula:</w:t>
            </w:r>
            <w:r w:rsidRPr="000267AA">
              <w:rPr>
                <w:rFonts w:ascii="Arial" w:hAnsi="Arial" w:cs="Arial"/>
                <w:spacing w:val="-3"/>
                <w:sz w:val="18"/>
                <w:szCs w:val="18"/>
                <w:lang w:val="en-GB"/>
              </w:rPr>
              <w:t xml:space="preserve"> (Benefited self-employed individuals) / (Number of self-employed individuals in Barbados)</w:t>
            </w:r>
          </w:p>
          <w:p w14:paraId="13F83A16" w14:textId="77777777" w:rsidR="004E6798" w:rsidRPr="000267AA" w:rsidRDefault="004E6798" w:rsidP="003D27A2">
            <w:pPr>
              <w:spacing w:before="40" w:after="40"/>
              <w:rPr>
                <w:rFonts w:ascii="Arial" w:hAnsi="Arial" w:cs="Arial"/>
                <w:spacing w:val="-3"/>
                <w:sz w:val="18"/>
                <w:szCs w:val="18"/>
                <w:lang w:val="en-GB"/>
              </w:rPr>
            </w:pPr>
          </w:p>
          <w:p w14:paraId="34D927CC" w14:textId="77777777" w:rsidR="004E6798" w:rsidRPr="000267AA" w:rsidRDefault="004E6798" w:rsidP="003D27A2">
            <w:pPr>
              <w:spacing w:before="40" w:after="40"/>
              <w:rPr>
                <w:rFonts w:ascii="Arial" w:hAnsi="Arial" w:cs="Arial"/>
                <w:spacing w:val="-3"/>
                <w:sz w:val="18"/>
                <w:szCs w:val="18"/>
                <w:u w:val="single"/>
                <w:lang w:val="en-GB"/>
              </w:rPr>
            </w:pPr>
            <w:r w:rsidRPr="000267AA">
              <w:rPr>
                <w:rFonts w:ascii="Arial" w:hAnsi="Arial" w:cs="Arial"/>
                <w:spacing w:val="-3"/>
                <w:sz w:val="18"/>
                <w:szCs w:val="18"/>
                <w:u w:val="single"/>
                <w:lang w:val="en-GB"/>
              </w:rPr>
              <w:t>Baseline (2019)</w:t>
            </w:r>
            <w:r>
              <w:rPr>
                <w:rFonts w:ascii="Arial" w:hAnsi="Arial" w:cs="Arial"/>
                <w:spacing w:val="-3"/>
                <w:sz w:val="18"/>
                <w:szCs w:val="18"/>
                <w:u w:val="single"/>
                <w:lang w:val="en-GB"/>
              </w:rPr>
              <w:t>:</w:t>
            </w:r>
          </w:p>
          <w:p w14:paraId="09D893BB" w14:textId="77777777" w:rsidR="004E6798" w:rsidRPr="000267AA" w:rsidRDefault="004E6798" w:rsidP="003D27A2">
            <w:pPr>
              <w:spacing w:before="40" w:after="40"/>
              <w:rPr>
                <w:rFonts w:ascii="Arial" w:hAnsi="Arial" w:cs="Arial"/>
                <w:spacing w:val="-3"/>
                <w:sz w:val="18"/>
                <w:szCs w:val="18"/>
                <w:lang w:val="en-GB"/>
              </w:rPr>
            </w:pPr>
            <w:r w:rsidRPr="000267AA">
              <w:rPr>
                <w:rFonts w:ascii="Arial" w:hAnsi="Arial" w:cs="Arial"/>
                <w:spacing w:val="-3"/>
                <w:sz w:val="18"/>
                <w:szCs w:val="18"/>
                <w:lang w:val="en-GB"/>
              </w:rPr>
              <w:t>Benefited self-employed individuals: 1,400</w:t>
            </w:r>
            <w:r>
              <w:rPr>
                <w:rFonts w:ascii="Arial" w:hAnsi="Arial" w:cs="Arial"/>
                <w:spacing w:val="-3"/>
                <w:sz w:val="18"/>
                <w:szCs w:val="18"/>
                <w:lang w:val="en-GB"/>
              </w:rPr>
              <w:t>.</w:t>
            </w:r>
          </w:p>
          <w:p w14:paraId="54A81F82" w14:textId="77777777" w:rsidR="004E6798" w:rsidRPr="000267AA" w:rsidRDefault="004E6798" w:rsidP="003D27A2">
            <w:pPr>
              <w:spacing w:before="40" w:after="40"/>
              <w:rPr>
                <w:rFonts w:ascii="Arial" w:hAnsi="Arial" w:cs="Arial"/>
                <w:spacing w:val="-3"/>
                <w:sz w:val="18"/>
                <w:szCs w:val="18"/>
                <w:highlight w:val="yellow"/>
                <w:lang w:val="en-GB"/>
              </w:rPr>
            </w:pPr>
            <w:r w:rsidRPr="000267AA">
              <w:rPr>
                <w:rFonts w:ascii="Arial" w:hAnsi="Arial" w:cs="Arial"/>
                <w:spacing w:val="-3"/>
                <w:sz w:val="18"/>
                <w:szCs w:val="18"/>
                <w:lang w:val="en-GB"/>
              </w:rPr>
              <w:t>Number of self-employed individuals in Barbados: 3,453.</w:t>
            </w:r>
          </w:p>
        </w:tc>
      </w:tr>
      <w:tr w:rsidR="004E6798" w:rsidRPr="00CC71C6" w14:paraId="483A8201" w14:textId="77777777" w:rsidTr="003D27A2">
        <w:trPr>
          <w:trHeight w:val="64"/>
          <w:jc w:val="center"/>
        </w:trPr>
        <w:tc>
          <w:tcPr>
            <w:tcW w:w="29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CD8DA0" w14:textId="77777777" w:rsidR="004E6798" w:rsidRPr="000267AA" w:rsidRDefault="004E6798" w:rsidP="003D27A2">
            <w:pPr>
              <w:pStyle w:val="ListParagraph"/>
              <w:spacing w:before="40" w:after="40"/>
              <w:ind w:left="0"/>
              <w:contextualSpacing w:val="0"/>
              <w:rPr>
                <w:rFonts w:ascii="Arial" w:hAnsi="Arial" w:cs="Arial"/>
                <w:spacing w:val="-3"/>
                <w:sz w:val="18"/>
                <w:szCs w:val="18"/>
                <w:lang w:val="en-GB"/>
              </w:rPr>
            </w:pPr>
            <w:r w:rsidRPr="000267AA">
              <w:rPr>
                <w:rFonts w:ascii="Arial" w:hAnsi="Arial" w:cs="Arial"/>
                <w:spacing w:val="-3"/>
                <w:sz w:val="18"/>
                <w:szCs w:val="18"/>
                <w:lang w:val="en-GB"/>
              </w:rPr>
              <w:t>Companies benefited by the small business wage fund</w:t>
            </w:r>
          </w:p>
        </w:tc>
        <w:tc>
          <w:tcPr>
            <w:tcW w:w="11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BF2338" w14:textId="77777777" w:rsidR="004E6798" w:rsidRPr="000267AA" w:rsidRDefault="004E6798" w:rsidP="003D27A2">
            <w:pPr>
              <w:spacing w:before="40" w:after="40"/>
              <w:jc w:val="center"/>
              <w:rPr>
                <w:rFonts w:ascii="Arial" w:hAnsi="Arial" w:cs="Arial"/>
                <w:spacing w:val="-3"/>
                <w:sz w:val="18"/>
                <w:szCs w:val="18"/>
                <w:lang w:val="en-GB"/>
              </w:rPr>
            </w:pPr>
            <w:r w:rsidRPr="000267AA">
              <w:rPr>
                <w:rFonts w:ascii="Arial" w:hAnsi="Arial" w:cs="Arial"/>
                <w:spacing w:val="-3"/>
                <w:sz w:val="18"/>
                <w:szCs w:val="18"/>
                <w:lang w:val="en-GB"/>
              </w:rPr>
              <w:t>Percentage</w:t>
            </w:r>
            <w:r>
              <w:rPr>
                <w:rFonts w:ascii="Arial" w:hAnsi="Arial" w:cs="Arial"/>
                <w:spacing w:val="-3"/>
                <w:sz w:val="18"/>
                <w:szCs w:val="18"/>
                <w:lang w:val="en-GB"/>
              </w:rPr>
              <w:t xml:space="preserve"> (%)</w:t>
            </w:r>
          </w:p>
        </w:tc>
        <w:tc>
          <w:tcPr>
            <w:tcW w:w="10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B6EAFE" w14:textId="77777777" w:rsidR="004E6798" w:rsidRPr="000267AA" w:rsidRDefault="004E6798" w:rsidP="003D27A2">
            <w:pPr>
              <w:spacing w:before="40" w:after="40"/>
              <w:jc w:val="center"/>
              <w:rPr>
                <w:rFonts w:ascii="Arial" w:hAnsi="Arial" w:cs="Arial"/>
                <w:spacing w:val="-3"/>
                <w:sz w:val="18"/>
                <w:szCs w:val="18"/>
                <w:lang w:val="en-GB"/>
              </w:rPr>
            </w:pPr>
            <w:r w:rsidRPr="000267AA">
              <w:rPr>
                <w:rFonts w:ascii="Arial" w:hAnsi="Arial" w:cs="Arial"/>
                <w:spacing w:val="-3"/>
                <w:sz w:val="18"/>
                <w:szCs w:val="18"/>
                <w:lang w:val="en-GB"/>
              </w:rPr>
              <w:t>0</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61EF57" w14:textId="77777777" w:rsidR="004E6798" w:rsidRPr="000267AA" w:rsidRDefault="004E6798" w:rsidP="003D27A2">
            <w:pPr>
              <w:spacing w:before="40" w:after="40"/>
              <w:jc w:val="center"/>
              <w:rPr>
                <w:rFonts w:ascii="Arial" w:hAnsi="Arial" w:cs="Arial"/>
                <w:spacing w:val="-3"/>
                <w:sz w:val="18"/>
                <w:szCs w:val="18"/>
                <w:lang w:val="en-GB"/>
              </w:rPr>
            </w:pPr>
            <w:r w:rsidRPr="000267AA">
              <w:rPr>
                <w:rFonts w:ascii="Arial" w:hAnsi="Arial" w:cs="Arial"/>
                <w:spacing w:val="-3"/>
                <w:sz w:val="18"/>
                <w:szCs w:val="18"/>
                <w:lang w:val="en-GB"/>
              </w:rPr>
              <w:t>2019</w:t>
            </w:r>
          </w:p>
        </w:tc>
        <w:tc>
          <w:tcPr>
            <w:tcW w:w="12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82780A5" w14:textId="77777777" w:rsidR="004E6798" w:rsidRPr="000267AA" w:rsidRDefault="004E6798" w:rsidP="003D27A2">
            <w:pPr>
              <w:spacing w:before="40" w:after="40"/>
              <w:jc w:val="center"/>
              <w:rPr>
                <w:rFonts w:ascii="Arial" w:hAnsi="Arial" w:cs="Arial"/>
                <w:spacing w:val="-3"/>
                <w:sz w:val="18"/>
                <w:szCs w:val="18"/>
                <w:lang w:val="en-GB"/>
              </w:rPr>
            </w:pPr>
            <w:r w:rsidRPr="000267AA">
              <w:rPr>
                <w:rFonts w:ascii="Arial" w:hAnsi="Arial" w:cs="Arial"/>
                <w:spacing w:val="-3"/>
                <w:sz w:val="18"/>
                <w:szCs w:val="18"/>
                <w:lang w:val="en-GB"/>
              </w:rPr>
              <w:t>19.2</w:t>
            </w:r>
          </w:p>
        </w:tc>
        <w:tc>
          <w:tcPr>
            <w:tcW w:w="25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E7F21F2" w14:textId="77777777" w:rsidR="004E6798" w:rsidRPr="000267AA" w:rsidRDefault="004E6798" w:rsidP="003D27A2">
            <w:pPr>
              <w:spacing w:before="40" w:after="40"/>
              <w:rPr>
                <w:rFonts w:ascii="Arial" w:hAnsi="Arial" w:cs="Arial"/>
                <w:spacing w:val="-3"/>
                <w:sz w:val="18"/>
                <w:szCs w:val="18"/>
                <w:lang w:val="en-GB"/>
              </w:rPr>
            </w:pPr>
            <w:r w:rsidRPr="000267AA">
              <w:rPr>
                <w:rFonts w:ascii="Arial" w:hAnsi="Arial" w:cs="Arial"/>
                <w:spacing w:val="-3"/>
                <w:sz w:val="18"/>
                <w:szCs w:val="18"/>
                <w:lang w:val="en-GB"/>
              </w:rPr>
              <w:t>Official letter from the MFEI.</w:t>
            </w:r>
          </w:p>
        </w:tc>
        <w:tc>
          <w:tcPr>
            <w:tcW w:w="40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E460745" w14:textId="77777777" w:rsidR="004E6798" w:rsidRPr="000267AA" w:rsidRDefault="004E6798" w:rsidP="003D27A2">
            <w:pPr>
              <w:spacing w:before="40" w:after="40"/>
              <w:rPr>
                <w:rFonts w:ascii="Arial" w:hAnsi="Arial" w:cs="Arial"/>
                <w:spacing w:val="-3"/>
                <w:sz w:val="18"/>
                <w:szCs w:val="18"/>
                <w:lang w:val="en-GB"/>
              </w:rPr>
            </w:pPr>
            <w:r w:rsidRPr="000267AA">
              <w:rPr>
                <w:rFonts w:ascii="Arial" w:hAnsi="Arial" w:cs="Arial"/>
                <w:b/>
                <w:bCs/>
                <w:spacing w:val="-3"/>
                <w:sz w:val="18"/>
                <w:szCs w:val="18"/>
                <w:lang w:val="en-GB"/>
              </w:rPr>
              <w:t>Formula:</w:t>
            </w:r>
            <w:r w:rsidRPr="000267AA">
              <w:rPr>
                <w:rFonts w:ascii="Arial" w:hAnsi="Arial" w:cs="Arial"/>
                <w:spacing w:val="-3"/>
                <w:sz w:val="18"/>
                <w:szCs w:val="18"/>
                <w:lang w:val="en-GB"/>
              </w:rPr>
              <w:t xml:space="preserve"> (Benefited companies) / (Number of businesses registered in Barbados)</w:t>
            </w:r>
          </w:p>
          <w:p w14:paraId="3F91D169" w14:textId="77777777" w:rsidR="004E6798" w:rsidRPr="000267AA" w:rsidRDefault="004E6798" w:rsidP="003D27A2">
            <w:pPr>
              <w:spacing w:before="40" w:after="40"/>
              <w:rPr>
                <w:rFonts w:ascii="Arial" w:hAnsi="Arial" w:cs="Arial"/>
                <w:spacing w:val="-3"/>
                <w:sz w:val="18"/>
                <w:szCs w:val="18"/>
                <w:lang w:val="en-GB"/>
              </w:rPr>
            </w:pPr>
          </w:p>
          <w:p w14:paraId="581B7FD6" w14:textId="77777777" w:rsidR="004E6798" w:rsidRPr="000267AA" w:rsidRDefault="004E6798" w:rsidP="003D27A2">
            <w:pPr>
              <w:spacing w:before="40" w:after="40"/>
              <w:rPr>
                <w:rFonts w:ascii="Arial" w:hAnsi="Arial" w:cs="Arial"/>
                <w:spacing w:val="-3"/>
                <w:sz w:val="18"/>
                <w:szCs w:val="18"/>
                <w:u w:val="single"/>
                <w:lang w:val="en-GB"/>
              </w:rPr>
            </w:pPr>
            <w:r w:rsidRPr="000267AA">
              <w:rPr>
                <w:rFonts w:ascii="Arial" w:hAnsi="Arial" w:cs="Arial"/>
                <w:spacing w:val="-3"/>
                <w:sz w:val="18"/>
                <w:szCs w:val="18"/>
                <w:u w:val="single"/>
                <w:lang w:val="en-GB"/>
              </w:rPr>
              <w:t>Baseline (2019)</w:t>
            </w:r>
            <w:r>
              <w:rPr>
                <w:rFonts w:ascii="Arial" w:hAnsi="Arial" w:cs="Arial"/>
                <w:spacing w:val="-3"/>
                <w:sz w:val="18"/>
                <w:szCs w:val="18"/>
                <w:u w:val="single"/>
                <w:lang w:val="en-GB"/>
              </w:rPr>
              <w:t>:</w:t>
            </w:r>
          </w:p>
          <w:p w14:paraId="320414A7" w14:textId="77777777" w:rsidR="004E6798" w:rsidRPr="000267AA" w:rsidRDefault="004E6798" w:rsidP="003D27A2">
            <w:pPr>
              <w:spacing w:before="40" w:after="40"/>
              <w:rPr>
                <w:rFonts w:ascii="Arial" w:hAnsi="Arial" w:cs="Arial"/>
                <w:spacing w:val="-3"/>
                <w:sz w:val="18"/>
                <w:szCs w:val="18"/>
                <w:lang w:val="en-GB"/>
              </w:rPr>
            </w:pPr>
            <w:r w:rsidRPr="000267AA">
              <w:rPr>
                <w:rFonts w:ascii="Arial" w:hAnsi="Arial" w:cs="Arial"/>
                <w:spacing w:val="-3"/>
                <w:sz w:val="18"/>
                <w:szCs w:val="18"/>
                <w:lang w:val="en-GB"/>
              </w:rPr>
              <w:t>Benefited companies: 900</w:t>
            </w:r>
            <w:r>
              <w:rPr>
                <w:rFonts w:ascii="Arial" w:hAnsi="Arial" w:cs="Arial"/>
                <w:spacing w:val="-3"/>
                <w:sz w:val="18"/>
                <w:szCs w:val="18"/>
                <w:lang w:val="en-GB"/>
              </w:rPr>
              <w:t>.</w:t>
            </w:r>
          </w:p>
          <w:p w14:paraId="61991153" w14:textId="77777777" w:rsidR="004E6798" w:rsidRPr="000267AA" w:rsidRDefault="004E6798" w:rsidP="003D27A2">
            <w:pPr>
              <w:spacing w:before="40" w:after="40"/>
              <w:rPr>
                <w:rFonts w:ascii="Arial" w:hAnsi="Arial" w:cs="Arial"/>
                <w:spacing w:val="-3"/>
                <w:sz w:val="18"/>
                <w:szCs w:val="18"/>
                <w:highlight w:val="yellow"/>
                <w:lang w:val="en-GB"/>
              </w:rPr>
            </w:pPr>
            <w:r w:rsidRPr="000267AA">
              <w:rPr>
                <w:rFonts w:ascii="Arial" w:hAnsi="Arial" w:cs="Arial"/>
                <w:spacing w:val="-3"/>
                <w:sz w:val="18"/>
                <w:szCs w:val="18"/>
                <w:lang w:val="en-GB"/>
              </w:rPr>
              <w:t>Number of businesses registered in Barbados: 4,692.</w:t>
            </w:r>
          </w:p>
        </w:tc>
      </w:tr>
      <w:tr w:rsidR="004E6798" w:rsidRPr="00CC71C6" w14:paraId="4CDBDE72" w14:textId="77777777" w:rsidTr="003D27A2">
        <w:trPr>
          <w:trHeight w:val="64"/>
          <w:jc w:val="center"/>
        </w:trPr>
        <w:tc>
          <w:tcPr>
            <w:tcW w:w="2936" w:type="dxa"/>
            <w:tcBorders>
              <w:top w:val="single" w:sz="4" w:space="0" w:color="000000" w:themeColor="text1"/>
              <w:left w:val="nil"/>
              <w:bottom w:val="single" w:sz="4" w:space="0" w:color="FFFFFF" w:themeColor="background1"/>
              <w:right w:val="nil"/>
            </w:tcBorders>
            <w:vAlign w:val="center"/>
          </w:tcPr>
          <w:p w14:paraId="079A4CF0" w14:textId="77777777" w:rsidR="004E6798" w:rsidRPr="000267AA" w:rsidRDefault="004E6798" w:rsidP="003D27A2">
            <w:pPr>
              <w:pStyle w:val="ListParagraph"/>
              <w:spacing w:before="40" w:after="40"/>
              <w:ind w:left="0"/>
              <w:contextualSpacing w:val="0"/>
              <w:rPr>
                <w:rFonts w:ascii="Arial" w:hAnsi="Arial" w:cs="Arial"/>
                <w:spacing w:val="-3"/>
                <w:sz w:val="18"/>
                <w:szCs w:val="18"/>
                <w:lang w:val="en-GB"/>
              </w:rPr>
            </w:pPr>
          </w:p>
        </w:tc>
        <w:tc>
          <w:tcPr>
            <w:tcW w:w="1147" w:type="dxa"/>
            <w:tcBorders>
              <w:top w:val="single" w:sz="4" w:space="0" w:color="000000" w:themeColor="text1"/>
              <w:left w:val="nil"/>
              <w:bottom w:val="single" w:sz="4" w:space="0" w:color="FFFFFF" w:themeColor="background1"/>
              <w:right w:val="nil"/>
            </w:tcBorders>
            <w:vAlign w:val="center"/>
          </w:tcPr>
          <w:p w14:paraId="45864E3B" w14:textId="77777777" w:rsidR="004E6798" w:rsidRPr="000267AA" w:rsidRDefault="004E6798" w:rsidP="003D27A2">
            <w:pPr>
              <w:spacing w:before="40" w:after="40"/>
              <w:jc w:val="center"/>
              <w:rPr>
                <w:rFonts w:ascii="Arial" w:hAnsi="Arial" w:cs="Arial"/>
                <w:spacing w:val="-3"/>
                <w:sz w:val="18"/>
                <w:szCs w:val="18"/>
                <w:lang w:val="en-GB"/>
              </w:rPr>
            </w:pPr>
          </w:p>
        </w:tc>
        <w:tc>
          <w:tcPr>
            <w:tcW w:w="1058" w:type="dxa"/>
            <w:tcBorders>
              <w:top w:val="single" w:sz="4" w:space="0" w:color="000000" w:themeColor="text1"/>
              <w:left w:val="nil"/>
              <w:bottom w:val="single" w:sz="4" w:space="0" w:color="FFFFFF" w:themeColor="background1"/>
              <w:right w:val="nil"/>
            </w:tcBorders>
            <w:vAlign w:val="center"/>
          </w:tcPr>
          <w:p w14:paraId="4C740C5E" w14:textId="77777777" w:rsidR="004E6798" w:rsidRPr="000267AA" w:rsidRDefault="004E6798" w:rsidP="003D27A2">
            <w:pPr>
              <w:spacing w:before="40" w:after="40"/>
              <w:jc w:val="center"/>
              <w:rPr>
                <w:rFonts w:ascii="Arial" w:hAnsi="Arial" w:cs="Arial"/>
                <w:spacing w:val="-3"/>
                <w:sz w:val="18"/>
                <w:szCs w:val="18"/>
                <w:lang w:val="en-GB"/>
              </w:rPr>
            </w:pPr>
          </w:p>
        </w:tc>
        <w:tc>
          <w:tcPr>
            <w:tcW w:w="1011" w:type="dxa"/>
            <w:tcBorders>
              <w:top w:val="single" w:sz="4" w:space="0" w:color="000000" w:themeColor="text1"/>
              <w:left w:val="nil"/>
              <w:bottom w:val="single" w:sz="4" w:space="0" w:color="FFFFFF" w:themeColor="background1"/>
              <w:right w:val="nil"/>
            </w:tcBorders>
            <w:vAlign w:val="center"/>
          </w:tcPr>
          <w:p w14:paraId="1B0B514F" w14:textId="77777777" w:rsidR="004E6798" w:rsidRPr="000267AA" w:rsidRDefault="004E6798" w:rsidP="003D27A2">
            <w:pPr>
              <w:spacing w:before="40" w:after="40"/>
              <w:jc w:val="center"/>
              <w:rPr>
                <w:rFonts w:ascii="Arial" w:hAnsi="Arial" w:cs="Arial"/>
                <w:spacing w:val="-3"/>
                <w:sz w:val="18"/>
                <w:szCs w:val="18"/>
                <w:lang w:val="en-GB"/>
              </w:rPr>
            </w:pPr>
          </w:p>
        </w:tc>
        <w:tc>
          <w:tcPr>
            <w:tcW w:w="1286" w:type="dxa"/>
            <w:tcBorders>
              <w:top w:val="single" w:sz="4" w:space="0" w:color="000000" w:themeColor="text1"/>
              <w:left w:val="nil"/>
              <w:bottom w:val="single" w:sz="4" w:space="0" w:color="FFFFFF" w:themeColor="background1"/>
              <w:right w:val="nil"/>
            </w:tcBorders>
            <w:vAlign w:val="center"/>
          </w:tcPr>
          <w:p w14:paraId="1C3B1167" w14:textId="77777777" w:rsidR="004E6798" w:rsidRPr="000267AA" w:rsidRDefault="004E6798" w:rsidP="003D27A2">
            <w:pPr>
              <w:spacing w:before="40" w:after="40"/>
              <w:jc w:val="center"/>
              <w:rPr>
                <w:rFonts w:ascii="Arial" w:hAnsi="Arial" w:cs="Arial"/>
                <w:spacing w:val="-3"/>
                <w:sz w:val="18"/>
                <w:szCs w:val="18"/>
                <w:lang w:val="en-GB"/>
              </w:rPr>
            </w:pPr>
          </w:p>
        </w:tc>
        <w:tc>
          <w:tcPr>
            <w:tcW w:w="2597" w:type="dxa"/>
            <w:tcBorders>
              <w:top w:val="single" w:sz="4" w:space="0" w:color="000000" w:themeColor="text1"/>
              <w:left w:val="nil"/>
              <w:bottom w:val="single" w:sz="4" w:space="0" w:color="FFFFFF" w:themeColor="background1"/>
              <w:right w:val="nil"/>
            </w:tcBorders>
            <w:vAlign w:val="center"/>
          </w:tcPr>
          <w:p w14:paraId="21175DC2" w14:textId="77777777" w:rsidR="004E6798" w:rsidRPr="000267AA" w:rsidRDefault="004E6798" w:rsidP="003D27A2">
            <w:pPr>
              <w:spacing w:before="40" w:after="40"/>
              <w:rPr>
                <w:rFonts w:ascii="Arial" w:hAnsi="Arial" w:cs="Arial"/>
                <w:spacing w:val="-3"/>
                <w:sz w:val="18"/>
                <w:szCs w:val="18"/>
                <w:lang w:val="en-GB"/>
              </w:rPr>
            </w:pPr>
          </w:p>
        </w:tc>
        <w:tc>
          <w:tcPr>
            <w:tcW w:w="4095" w:type="dxa"/>
            <w:tcBorders>
              <w:top w:val="single" w:sz="4" w:space="0" w:color="000000" w:themeColor="text1"/>
              <w:left w:val="nil"/>
              <w:bottom w:val="single" w:sz="4" w:space="0" w:color="FFFFFF" w:themeColor="background1"/>
              <w:right w:val="nil"/>
            </w:tcBorders>
            <w:vAlign w:val="center"/>
          </w:tcPr>
          <w:p w14:paraId="18749DF1" w14:textId="77777777" w:rsidR="004E6798" w:rsidRPr="000267AA" w:rsidRDefault="004E6798" w:rsidP="003D27A2">
            <w:pPr>
              <w:spacing w:before="40" w:after="40"/>
              <w:rPr>
                <w:rFonts w:ascii="Arial" w:hAnsi="Arial" w:cs="Arial"/>
                <w:b/>
                <w:bCs/>
                <w:spacing w:val="-3"/>
                <w:sz w:val="18"/>
                <w:szCs w:val="18"/>
                <w:lang w:val="en-GB"/>
              </w:rPr>
            </w:pPr>
          </w:p>
        </w:tc>
      </w:tr>
      <w:tr w:rsidR="004E6798" w:rsidRPr="00CC71C6" w14:paraId="36DD4EEC" w14:textId="77777777" w:rsidTr="003D27A2">
        <w:trPr>
          <w:trHeight w:val="64"/>
          <w:jc w:val="center"/>
        </w:trPr>
        <w:tc>
          <w:tcPr>
            <w:tcW w:w="14130" w:type="dxa"/>
            <w:gridSpan w:val="7"/>
            <w:tcBorders>
              <w:top w:val="single" w:sz="4" w:space="0" w:color="FFFFFF" w:themeColor="background1"/>
              <w:left w:val="single" w:sz="4" w:space="0" w:color="000000" w:themeColor="text1"/>
              <w:bottom w:val="single" w:sz="4" w:space="0" w:color="000000" w:themeColor="text1"/>
              <w:right w:val="single" w:sz="4" w:space="0" w:color="000000" w:themeColor="text1"/>
            </w:tcBorders>
            <w:vAlign w:val="center"/>
          </w:tcPr>
          <w:p w14:paraId="29F1A896" w14:textId="77777777" w:rsidR="004E6798" w:rsidRPr="000267AA" w:rsidRDefault="004E6798" w:rsidP="003D27A2">
            <w:pPr>
              <w:spacing w:before="120" w:after="120"/>
              <w:rPr>
                <w:rFonts w:ascii="Arial" w:hAnsi="Arial" w:cs="Arial"/>
                <w:spacing w:val="-3"/>
                <w:sz w:val="18"/>
                <w:szCs w:val="18"/>
                <w:lang w:val="en-GB"/>
              </w:rPr>
            </w:pPr>
            <w:r w:rsidRPr="000267AA">
              <w:rPr>
                <w:rFonts w:ascii="Arial" w:hAnsi="Arial" w:cs="Arial"/>
                <w:b/>
                <w:caps/>
                <w:spacing w:val="-3"/>
                <w:sz w:val="18"/>
                <w:szCs w:val="18"/>
                <w:u w:val="single"/>
                <w:lang w:val="en-GB"/>
              </w:rPr>
              <w:t>Specific Objective 3:</w:t>
            </w:r>
            <w:r w:rsidRPr="000267AA">
              <w:rPr>
                <w:rFonts w:ascii="Arial" w:hAnsi="Arial" w:cs="Arial"/>
                <w:b/>
                <w:caps/>
                <w:spacing w:val="-3"/>
                <w:sz w:val="18"/>
                <w:szCs w:val="18"/>
                <w:lang w:val="en-GB"/>
              </w:rPr>
              <w:t xml:space="preserve"> </w:t>
            </w:r>
            <w:r w:rsidRPr="000267AA">
              <w:rPr>
                <w:rFonts w:ascii="Arial" w:hAnsi="Arial" w:cs="Arial"/>
                <w:color w:val="000000"/>
                <w:spacing w:val="-3"/>
                <w:sz w:val="18"/>
                <w:szCs w:val="18"/>
                <w:lang w:val="en-GB"/>
              </w:rPr>
              <w:t>Promote economic and fiscal recovery during the post-pandemic period</w:t>
            </w:r>
          </w:p>
        </w:tc>
      </w:tr>
      <w:tr w:rsidR="004E6798" w:rsidRPr="000267AA" w14:paraId="118A115E" w14:textId="77777777" w:rsidTr="003D27A2">
        <w:trPr>
          <w:trHeight w:val="64"/>
          <w:jc w:val="center"/>
        </w:trPr>
        <w:tc>
          <w:tcPr>
            <w:tcW w:w="29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32971B3" w14:textId="77777777" w:rsidR="004E6798" w:rsidRPr="000267AA" w:rsidRDefault="004E6798" w:rsidP="003D27A2">
            <w:pPr>
              <w:pStyle w:val="ListParagraph"/>
              <w:spacing w:before="40" w:after="40"/>
              <w:ind w:left="0"/>
              <w:contextualSpacing w:val="0"/>
              <w:rPr>
                <w:rFonts w:ascii="Arial" w:hAnsi="Arial" w:cs="Arial"/>
                <w:spacing w:val="-3"/>
                <w:sz w:val="18"/>
                <w:szCs w:val="18"/>
                <w:lang w:val="en-GB"/>
              </w:rPr>
            </w:pPr>
            <w:r w:rsidRPr="000267AA">
              <w:rPr>
                <w:rFonts w:ascii="Arial" w:hAnsi="Arial" w:cs="Arial"/>
                <w:spacing w:val="-3"/>
                <w:sz w:val="18"/>
                <w:szCs w:val="18"/>
                <w:lang w:val="en-GB"/>
              </w:rPr>
              <w:lastRenderedPageBreak/>
              <w:t>Actions prioritised by the government from the recommendations issued by the Jobs and Investment Council for completion by December 2021 that have been implemented</w:t>
            </w:r>
          </w:p>
        </w:tc>
        <w:tc>
          <w:tcPr>
            <w:tcW w:w="11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FBC22F" w14:textId="77777777" w:rsidR="004E6798" w:rsidRPr="000267AA" w:rsidRDefault="004E6798" w:rsidP="003D27A2">
            <w:pPr>
              <w:spacing w:before="40" w:after="40"/>
              <w:jc w:val="center"/>
              <w:rPr>
                <w:rFonts w:ascii="Arial" w:hAnsi="Arial" w:cs="Arial"/>
                <w:spacing w:val="-3"/>
                <w:sz w:val="18"/>
                <w:szCs w:val="18"/>
                <w:lang w:val="en-GB"/>
              </w:rPr>
            </w:pPr>
            <w:r w:rsidRPr="000267AA">
              <w:rPr>
                <w:rFonts w:ascii="Arial" w:hAnsi="Arial" w:cs="Arial"/>
                <w:spacing w:val="-3"/>
                <w:sz w:val="18"/>
                <w:szCs w:val="18"/>
                <w:lang w:val="en-GB"/>
              </w:rPr>
              <w:t>Percentage</w:t>
            </w:r>
            <w:r>
              <w:rPr>
                <w:rFonts w:ascii="Arial" w:hAnsi="Arial" w:cs="Arial"/>
                <w:spacing w:val="-3"/>
                <w:sz w:val="18"/>
                <w:szCs w:val="18"/>
                <w:lang w:val="en-GB"/>
              </w:rPr>
              <w:t xml:space="preserve"> (%)</w:t>
            </w:r>
          </w:p>
        </w:tc>
        <w:tc>
          <w:tcPr>
            <w:tcW w:w="10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555CF8" w14:textId="77777777" w:rsidR="004E6798" w:rsidRPr="000267AA" w:rsidRDefault="004E6798" w:rsidP="003D27A2">
            <w:pPr>
              <w:spacing w:before="40" w:after="40"/>
              <w:jc w:val="center"/>
              <w:rPr>
                <w:rFonts w:ascii="Arial" w:hAnsi="Arial" w:cs="Arial"/>
                <w:spacing w:val="-3"/>
                <w:sz w:val="18"/>
                <w:szCs w:val="18"/>
                <w:lang w:val="en-GB"/>
              </w:rPr>
            </w:pPr>
            <w:r w:rsidRPr="000267AA">
              <w:rPr>
                <w:rFonts w:ascii="Arial" w:hAnsi="Arial" w:cs="Arial"/>
                <w:spacing w:val="-3"/>
                <w:sz w:val="18"/>
                <w:szCs w:val="18"/>
                <w:lang w:val="en-GB"/>
              </w:rPr>
              <w:t>0</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DC4C0C" w14:textId="77777777" w:rsidR="004E6798" w:rsidRPr="000267AA" w:rsidRDefault="004E6798" w:rsidP="003D27A2">
            <w:pPr>
              <w:spacing w:before="40" w:after="40"/>
              <w:jc w:val="center"/>
              <w:rPr>
                <w:rFonts w:ascii="Arial" w:hAnsi="Arial" w:cs="Arial"/>
                <w:spacing w:val="-3"/>
                <w:sz w:val="18"/>
                <w:szCs w:val="18"/>
                <w:lang w:val="en-GB"/>
              </w:rPr>
            </w:pPr>
            <w:r w:rsidRPr="000267AA">
              <w:rPr>
                <w:rFonts w:ascii="Arial" w:hAnsi="Arial" w:cs="Arial"/>
                <w:spacing w:val="-3"/>
                <w:sz w:val="18"/>
                <w:szCs w:val="18"/>
                <w:lang w:val="en-GB"/>
              </w:rPr>
              <w:t>2019</w:t>
            </w:r>
          </w:p>
        </w:tc>
        <w:tc>
          <w:tcPr>
            <w:tcW w:w="12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F5E1371" w14:textId="77777777" w:rsidR="004E6798" w:rsidRPr="000267AA" w:rsidRDefault="004E6798" w:rsidP="003D27A2">
            <w:pPr>
              <w:spacing w:before="40" w:after="40"/>
              <w:jc w:val="center"/>
              <w:rPr>
                <w:rFonts w:ascii="Arial" w:hAnsi="Arial" w:cs="Arial"/>
                <w:spacing w:val="-3"/>
                <w:sz w:val="18"/>
                <w:szCs w:val="18"/>
                <w:lang w:val="en-GB"/>
              </w:rPr>
            </w:pPr>
            <w:r>
              <w:rPr>
                <w:rFonts w:ascii="Arial" w:hAnsi="Arial" w:cs="Arial"/>
                <w:spacing w:val="-3"/>
                <w:sz w:val="18"/>
                <w:szCs w:val="18"/>
                <w:lang w:val="en-GB"/>
              </w:rPr>
              <w:t>6</w:t>
            </w:r>
            <w:r w:rsidRPr="000267AA">
              <w:rPr>
                <w:rFonts w:ascii="Arial" w:hAnsi="Arial" w:cs="Arial"/>
                <w:spacing w:val="-3"/>
                <w:sz w:val="18"/>
                <w:szCs w:val="18"/>
                <w:lang w:val="en-GB"/>
              </w:rPr>
              <w:t>0</w:t>
            </w:r>
          </w:p>
        </w:tc>
        <w:tc>
          <w:tcPr>
            <w:tcW w:w="25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1CC0E7" w14:textId="77777777" w:rsidR="004E6798" w:rsidRPr="000267AA" w:rsidRDefault="004E6798" w:rsidP="003D27A2">
            <w:pPr>
              <w:spacing w:before="40" w:after="40"/>
              <w:rPr>
                <w:rFonts w:ascii="Arial" w:hAnsi="Arial" w:cs="Arial"/>
                <w:spacing w:val="-3"/>
                <w:sz w:val="18"/>
                <w:szCs w:val="18"/>
                <w:lang w:val="en-GB"/>
              </w:rPr>
            </w:pPr>
            <w:r w:rsidRPr="000267AA">
              <w:rPr>
                <w:rFonts w:ascii="Arial" w:hAnsi="Arial" w:cs="Arial"/>
                <w:spacing w:val="-3"/>
                <w:sz w:val="18"/>
                <w:szCs w:val="18"/>
                <w:lang w:val="en-GB"/>
              </w:rPr>
              <w:t>Cabinet-approved implementation plan.</w:t>
            </w:r>
          </w:p>
        </w:tc>
        <w:tc>
          <w:tcPr>
            <w:tcW w:w="40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21124A" w14:textId="77777777" w:rsidR="004E6798" w:rsidRPr="000267AA" w:rsidRDefault="004E6798" w:rsidP="003D27A2">
            <w:pPr>
              <w:spacing w:before="40" w:after="40"/>
              <w:rPr>
                <w:rFonts w:ascii="Arial" w:hAnsi="Arial" w:cs="Arial"/>
                <w:spacing w:val="-3"/>
                <w:sz w:val="18"/>
                <w:szCs w:val="18"/>
                <w:lang w:val="en-GB"/>
              </w:rPr>
            </w:pPr>
            <w:r w:rsidRPr="000267AA">
              <w:rPr>
                <w:rFonts w:ascii="Arial" w:hAnsi="Arial" w:cs="Arial"/>
                <w:spacing w:val="-3"/>
                <w:sz w:val="18"/>
                <w:szCs w:val="18"/>
                <w:lang w:val="en-GB"/>
              </w:rPr>
              <w:t xml:space="preserve">Percentage of all actions prioritised in the plan for policy response that have been implemented. </w:t>
            </w:r>
          </w:p>
          <w:p w14:paraId="10C79FD1" w14:textId="77777777" w:rsidR="004E6798" w:rsidRPr="000267AA" w:rsidRDefault="004E6798" w:rsidP="003D27A2">
            <w:pPr>
              <w:spacing w:before="40" w:after="40"/>
              <w:rPr>
                <w:rFonts w:ascii="Arial" w:hAnsi="Arial" w:cs="Arial"/>
                <w:spacing w:val="-3"/>
                <w:sz w:val="18"/>
                <w:szCs w:val="18"/>
                <w:lang w:val="en-GB"/>
              </w:rPr>
            </w:pPr>
            <w:r w:rsidRPr="000267AA">
              <w:rPr>
                <w:rFonts w:ascii="Arial" w:hAnsi="Arial" w:cs="Arial"/>
                <w:b/>
                <w:bCs/>
                <w:spacing w:val="-3"/>
                <w:sz w:val="18"/>
                <w:szCs w:val="18"/>
                <w:lang w:val="en-GB"/>
              </w:rPr>
              <w:t>Formula:</w:t>
            </w:r>
            <w:r w:rsidRPr="000267AA">
              <w:rPr>
                <w:rFonts w:ascii="Arial" w:hAnsi="Arial" w:cs="Arial"/>
                <w:spacing w:val="-3"/>
                <w:sz w:val="18"/>
                <w:szCs w:val="18"/>
                <w:lang w:val="en-GB"/>
              </w:rPr>
              <w:t xml:space="preserve"> (Actions implemented) / (Total number of actions prioritised in the plan for policy response)</w:t>
            </w:r>
          </w:p>
          <w:p w14:paraId="554ABD03" w14:textId="77777777" w:rsidR="004E6798" w:rsidRPr="000267AA" w:rsidRDefault="004E6798" w:rsidP="003D27A2">
            <w:pPr>
              <w:spacing w:before="40" w:after="40"/>
              <w:rPr>
                <w:rFonts w:ascii="Arial" w:hAnsi="Arial" w:cs="Arial"/>
                <w:spacing w:val="-3"/>
                <w:sz w:val="18"/>
                <w:szCs w:val="18"/>
                <w:lang w:val="en-GB"/>
              </w:rPr>
            </w:pPr>
          </w:p>
          <w:p w14:paraId="2F41FCC0" w14:textId="77777777" w:rsidR="004E6798" w:rsidRPr="000267AA" w:rsidRDefault="004E6798" w:rsidP="003D27A2">
            <w:pPr>
              <w:spacing w:before="40" w:after="40"/>
              <w:rPr>
                <w:rFonts w:ascii="Arial" w:hAnsi="Arial" w:cs="Arial"/>
                <w:spacing w:val="-3"/>
                <w:sz w:val="18"/>
                <w:szCs w:val="18"/>
                <w:lang w:val="en-GB"/>
              </w:rPr>
            </w:pPr>
            <w:r w:rsidRPr="000267AA">
              <w:rPr>
                <w:rFonts w:ascii="Arial" w:hAnsi="Arial" w:cs="Arial"/>
                <w:spacing w:val="-3"/>
                <w:sz w:val="18"/>
                <w:szCs w:val="18"/>
                <w:lang w:val="en-GB"/>
              </w:rPr>
              <w:t>Final target year: December 2021</w:t>
            </w:r>
            <w:r>
              <w:rPr>
                <w:rFonts w:ascii="Arial" w:hAnsi="Arial" w:cs="Arial"/>
                <w:spacing w:val="-3"/>
                <w:sz w:val="18"/>
                <w:szCs w:val="18"/>
                <w:lang w:val="en-GB"/>
              </w:rPr>
              <w:t>.</w:t>
            </w:r>
          </w:p>
        </w:tc>
      </w:tr>
    </w:tbl>
    <w:p w14:paraId="61D9BEF6" w14:textId="77777777" w:rsidR="00A578FB" w:rsidRPr="004954B0" w:rsidRDefault="00A578FB" w:rsidP="00A578FB">
      <w:pPr>
        <w:rPr>
          <w:highlight w:val="yellow"/>
          <w:lang w:val="en-GB"/>
        </w:rPr>
        <w:sectPr w:rsidR="00A578FB" w:rsidRPr="004954B0" w:rsidSect="005A0ED4">
          <w:pgSz w:w="15840" w:h="12240" w:orient="landscape" w:code="1"/>
          <w:pgMar w:top="1800" w:right="1440" w:bottom="1800" w:left="1440" w:header="706" w:footer="706" w:gutter="0"/>
          <w:cols w:space="720"/>
          <w:formProt w:val="0"/>
          <w:docGrid w:linePitch="326"/>
        </w:sectPr>
      </w:pPr>
    </w:p>
    <w:p w14:paraId="01C95D35" w14:textId="3F32A22E" w:rsidR="006256A4" w:rsidRPr="004954B0" w:rsidRDefault="007625C5" w:rsidP="00835704">
      <w:pPr>
        <w:pStyle w:val="FirstHeading"/>
        <w:ind w:left="720"/>
        <w:rPr>
          <w:rFonts w:ascii="Arial" w:hAnsi="Arial" w:cs="Arial"/>
          <w:sz w:val="22"/>
          <w:szCs w:val="22"/>
          <w:lang w:val="en-GB"/>
        </w:rPr>
      </w:pPr>
      <w:bookmarkStart w:id="11" w:name="_Toc38495918"/>
      <w:r w:rsidRPr="004954B0">
        <w:rPr>
          <w:rFonts w:ascii="Arial" w:hAnsi="Arial" w:cs="Arial"/>
          <w:sz w:val="22"/>
          <w:szCs w:val="22"/>
          <w:lang w:val="en-GB"/>
        </w:rPr>
        <w:lastRenderedPageBreak/>
        <w:t>C</w:t>
      </w:r>
      <w:r w:rsidR="00EB0154" w:rsidRPr="004954B0">
        <w:rPr>
          <w:rFonts w:ascii="Arial" w:hAnsi="Arial" w:cs="Arial"/>
          <w:sz w:val="22"/>
          <w:szCs w:val="22"/>
          <w:lang w:val="en-GB"/>
        </w:rPr>
        <w:t>.</w:t>
      </w:r>
      <w:r w:rsidR="00EB0154" w:rsidRPr="004954B0">
        <w:rPr>
          <w:rFonts w:ascii="Arial" w:hAnsi="Arial" w:cs="Arial"/>
          <w:sz w:val="22"/>
          <w:szCs w:val="22"/>
          <w:lang w:val="en-GB"/>
        </w:rPr>
        <w:tab/>
      </w:r>
      <w:r w:rsidR="00B74537" w:rsidRPr="004954B0">
        <w:rPr>
          <w:rFonts w:ascii="Arial" w:hAnsi="Arial" w:cs="Arial"/>
          <w:sz w:val="22"/>
          <w:szCs w:val="22"/>
          <w:lang w:val="en-GB" w:eastAsia="zh-CN"/>
        </w:rPr>
        <w:t>Current</w:t>
      </w:r>
      <w:r w:rsidR="000758EB" w:rsidRPr="004954B0">
        <w:rPr>
          <w:rFonts w:ascii="Arial" w:hAnsi="Arial" w:cs="Arial"/>
          <w:sz w:val="22"/>
          <w:szCs w:val="22"/>
          <w:lang w:val="en-GB" w:eastAsia="zh-CN"/>
        </w:rPr>
        <w:t xml:space="preserve"> </w:t>
      </w:r>
      <w:r w:rsidR="007677F7" w:rsidRPr="004954B0">
        <w:rPr>
          <w:rFonts w:ascii="Arial" w:hAnsi="Arial" w:cs="Arial"/>
          <w:sz w:val="22"/>
          <w:szCs w:val="22"/>
          <w:lang w:val="en-GB" w:eastAsia="zh-CN"/>
        </w:rPr>
        <w:t>K</w:t>
      </w:r>
      <w:r w:rsidR="000758EB" w:rsidRPr="004954B0">
        <w:rPr>
          <w:rFonts w:ascii="Arial" w:hAnsi="Arial" w:cs="Arial"/>
          <w:sz w:val="22"/>
          <w:szCs w:val="22"/>
          <w:lang w:val="en-GB" w:eastAsia="zh-CN"/>
        </w:rPr>
        <w:t>nowledge</w:t>
      </w:r>
      <w:r w:rsidR="007C1307" w:rsidRPr="004954B0">
        <w:rPr>
          <w:rFonts w:ascii="Arial" w:hAnsi="Arial" w:cs="Arial"/>
          <w:sz w:val="22"/>
          <w:szCs w:val="22"/>
          <w:lang w:val="en-GB"/>
        </w:rPr>
        <w:t xml:space="preserve"> </w:t>
      </w:r>
      <w:bookmarkEnd w:id="11"/>
    </w:p>
    <w:p w14:paraId="76C3910E" w14:textId="2B9D4307" w:rsidR="00821780" w:rsidRPr="004954B0" w:rsidRDefault="00FB5ACA" w:rsidP="00821780">
      <w:pPr>
        <w:pStyle w:val="AutoNumpara"/>
        <w:tabs>
          <w:tab w:val="clear" w:pos="360"/>
        </w:tabs>
        <w:spacing w:line="276" w:lineRule="auto"/>
        <w:ind w:left="0"/>
        <w:rPr>
          <w:rFonts w:ascii="Arial" w:eastAsia="Arial" w:hAnsi="Arial" w:cs="Arial"/>
          <w:noProof w:val="0"/>
          <w:spacing w:val="0"/>
          <w:sz w:val="22"/>
          <w:szCs w:val="22"/>
          <w:u w:val="single"/>
          <w:lang w:val="en-GB" w:eastAsia="zh-CN"/>
        </w:rPr>
      </w:pPr>
      <w:r w:rsidRPr="004954B0">
        <w:rPr>
          <w:rFonts w:ascii="Arial" w:eastAsia="Arial" w:hAnsi="Arial" w:cs="Arial"/>
          <w:noProof w:val="0"/>
          <w:spacing w:val="0"/>
          <w:sz w:val="22"/>
          <w:szCs w:val="22"/>
          <w:u w:val="single"/>
          <w:lang w:val="en-GB"/>
        </w:rPr>
        <w:t xml:space="preserve">Ensure </w:t>
      </w:r>
      <w:r w:rsidR="0022216B" w:rsidRPr="004954B0">
        <w:rPr>
          <w:rFonts w:ascii="Arial" w:eastAsia="Arial" w:hAnsi="Arial" w:cs="Arial"/>
          <w:noProof w:val="0"/>
          <w:spacing w:val="0"/>
          <w:sz w:val="22"/>
          <w:szCs w:val="22"/>
          <w:u w:val="single"/>
          <w:lang w:val="en-GB"/>
        </w:rPr>
        <w:t xml:space="preserve">the </w:t>
      </w:r>
      <w:r w:rsidRPr="004954B0">
        <w:rPr>
          <w:rFonts w:ascii="Arial" w:eastAsia="Arial" w:hAnsi="Arial" w:cs="Arial"/>
          <w:noProof w:val="0"/>
          <w:spacing w:val="0"/>
          <w:sz w:val="22"/>
          <w:szCs w:val="22"/>
          <w:u w:val="single"/>
          <w:lang w:val="en-GB"/>
        </w:rPr>
        <w:t>timely availability of resources to respond to the COVID-19 health crisis</w:t>
      </w:r>
    </w:p>
    <w:p w14:paraId="67938362" w14:textId="41F85730" w:rsidR="00D95999" w:rsidRPr="004954B0" w:rsidRDefault="00E540A2" w:rsidP="00D95999">
      <w:pPr>
        <w:pStyle w:val="Paragraph"/>
        <w:tabs>
          <w:tab w:val="num" w:pos="1440"/>
          <w:tab w:val="num" w:pos="1746"/>
        </w:tabs>
        <w:ind w:left="720" w:hanging="720"/>
        <w:rPr>
          <w:rFonts w:ascii="Arial" w:hAnsi="Arial" w:cs="Arial"/>
          <w:sz w:val="22"/>
          <w:szCs w:val="22"/>
          <w:lang w:val="en-GB"/>
        </w:rPr>
      </w:pPr>
      <w:r w:rsidRPr="004954B0">
        <w:rPr>
          <w:rFonts w:ascii="Arial" w:hAnsi="Arial" w:cs="Arial"/>
          <w:sz w:val="22"/>
          <w:szCs w:val="22"/>
          <w:lang w:val="en-GB"/>
        </w:rPr>
        <w:t xml:space="preserve">As COVID-19 </w:t>
      </w:r>
      <w:r w:rsidR="00C1786C" w:rsidRPr="004954B0">
        <w:rPr>
          <w:rFonts w:ascii="Arial" w:hAnsi="Arial" w:cs="Arial"/>
          <w:sz w:val="22"/>
          <w:szCs w:val="22"/>
          <w:lang w:val="en-GB"/>
        </w:rPr>
        <w:t xml:space="preserve">spread rapidly around the world, health facilities in most countries </w:t>
      </w:r>
      <w:r w:rsidR="00C1786C">
        <w:rPr>
          <w:rFonts w:ascii="Arial" w:hAnsi="Arial" w:cs="Arial"/>
          <w:sz w:val="22"/>
          <w:szCs w:val="22"/>
          <w:lang w:val="en-GB" w:eastAsia="zh-CN"/>
        </w:rPr>
        <w:t>became</w:t>
      </w:r>
      <w:r w:rsidR="00C1786C" w:rsidRPr="004954B0">
        <w:rPr>
          <w:rFonts w:ascii="Arial" w:hAnsi="Arial" w:cs="Arial"/>
          <w:sz w:val="22"/>
          <w:szCs w:val="22"/>
          <w:lang w:val="en-GB" w:eastAsia="zh-CN"/>
        </w:rPr>
        <w:t xml:space="preserve"> strained, </w:t>
      </w:r>
      <w:r w:rsidR="00C1786C" w:rsidRPr="004954B0">
        <w:rPr>
          <w:rFonts w:ascii="Arial" w:hAnsi="Arial" w:cs="Arial"/>
          <w:sz w:val="22"/>
          <w:szCs w:val="22"/>
          <w:lang w:val="en-GB"/>
        </w:rPr>
        <w:t xml:space="preserve">and some </w:t>
      </w:r>
      <w:r w:rsidR="00C1786C" w:rsidRPr="004954B0">
        <w:rPr>
          <w:rFonts w:ascii="Arial" w:hAnsi="Arial" w:cs="Arial"/>
          <w:sz w:val="22"/>
          <w:szCs w:val="22"/>
          <w:lang w:val="en-GB" w:eastAsia="zh-CN"/>
        </w:rPr>
        <w:t>reach</w:t>
      </w:r>
      <w:r w:rsidR="00C1786C">
        <w:rPr>
          <w:rFonts w:ascii="Arial" w:hAnsi="Arial" w:cs="Arial"/>
          <w:sz w:val="22"/>
          <w:szCs w:val="22"/>
          <w:lang w:val="en-GB" w:eastAsia="zh-CN"/>
        </w:rPr>
        <w:t>ed</w:t>
      </w:r>
      <w:r w:rsidR="00C1786C" w:rsidRPr="004954B0">
        <w:rPr>
          <w:rFonts w:ascii="Arial" w:hAnsi="Arial" w:cs="Arial"/>
          <w:sz w:val="22"/>
          <w:szCs w:val="22"/>
          <w:lang w:val="en-GB" w:eastAsia="zh-CN"/>
        </w:rPr>
        <w:t xml:space="preserve"> </w:t>
      </w:r>
      <w:r w:rsidR="00C1786C" w:rsidRPr="004954B0">
        <w:rPr>
          <w:rFonts w:ascii="Arial" w:hAnsi="Arial" w:cs="Arial"/>
          <w:sz w:val="22"/>
          <w:szCs w:val="22"/>
          <w:lang w:val="en-GB"/>
        </w:rPr>
        <w:t>peak capacity. LAC countries ha</w:t>
      </w:r>
      <w:r w:rsidR="00C1786C">
        <w:rPr>
          <w:rFonts w:ascii="Arial" w:hAnsi="Arial" w:cs="Arial"/>
          <w:sz w:val="22"/>
          <w:szCs w:val="22"/>
          <w:lang w:val="en-GB"/>
        </w:rPr>
        <w:t>d</w:t>
      </w:r>
      <w:r w:rsidR="00C1786C" w:rsidRPr="004954B0">
        <w:rPr>
          <w:rFonts w:ascii="Arial" w:hAnsi="Arial" w:cs="Arial"/>
          <w:sz w:val="22"/>
          <w:szCs w:val="22"/>
          <w:lang w:val="en-GB"/>
        </w:rPr>
        <w:t xml:space="preserve"> a small window of opportunity to prepare and learn from others, such as China</w:t>
      </w:r>
      <w:r w:rsidR="00C1786C">
        <w:rPr>
          <w:rFonts w:ascii="Arial" w:hAnsi="Arial" w:cs="Arial"/>
          <w:sz w:val="22"/>
          <w:szCs w:val="22"/>
          <w:lang w:val="en-GB"/>
        </w:rPr>
        <w:t xml:space="preserve"> and</w:t>
      </w:r>
      <w:r w:rsidR="00C1786C" w:rsidRPr="004954B0">
        <w:rPr>
          <w:rFonts w:ascii="Arial" w:hAnsi="Arial" w:cs="Arial"/>
          <w:sz w:val="22"/>
          <w:szCs w:val="22"/>
          <w:lang w:val="en-GB"/>
        </w:rPr>
        <w:t xml:space="preserve"> Italy</w:t>
      </w:r>
      <w:r w:rsidR="00C1786C">
        <w:rPr>
          <w:rFonts w:ascii="Arial" w:hAnsi="Arial" w:cs="Arial"/>
          <w:sz w:val="22"/>
          <w:szCs w:val="22"/>
          <w:lang w:val="en-GB"/>
        </w:rPr>
        <w:t>, before</w:t>
      </w:r>
      <w:r w:rsidR="00C1786C" w:rsidRPr="004954B0">
        <w:rPr>
          <w:rFonts w:ascii="Arial" w:hAnsi="Arial" w:cs="Arial"/>
          <w:sz w:val="22"/>
          <w:szCs w:val="22"/>
          <w:lang w:val="en-GB"/>
        </w:rPr>
        <w:t xml:space="preserve"> the pandemic</w:t>
      </w:r>
      <w:r w:rsidR="00C1786C">
        <w:rPr>
          <w:rFonts w:ascii="Arial" w:hAnsi="Arial" w:cs="Arial"/>
          <w:sz w:val="22"/>
          <w:szCs w:val="22"/>
          <w:lang w:val="en-GB"/>
        </w:rPr>
        <w:t xml:space="preserve"> reached the region</w:t>
      </w:r>
      <w:r w:rsidR="00C1786C" w:rsidRPr="004954B0">
        <w:rPr>
          <w:rFonts w:ascii="Arial" w:hAnsi="Arial" w:cs="Arial"/>
          <w:sz w:val="22"/>
          <w:szCs w:val="22"/>
          <w:lang w:val="en-GB"/>
        </w:rPr>
        <w:t xml:space="preserve">. </w:t>
      </w:r>
      <w:r w:rsidR="00C1786C">
        <w:rPr>
          <w:rFonts w:ascii="Arial" w:hAnsi="Arial" w:cs="Arial"/>
          <w:sz w:val="22"/>
          <w:szCs w:val="22"/>
          <w:lang w:val="en-GB"/>
        </w:rPr>
        <w:t>Globally, s</w:t>
      </w:r>
      <w:r w:rsidR="00C1786C" w:rsidRPr="004954B0">
        <w:rPr>
          <w:rFonts w:ascii="Arial" w:hAnsi="Arial" w:cs="Arial"/>
          <w:sz w:val="22"/>
          <w:szCs w:val="22"/>
          <w:lang w:val="en-GB"/>
        </w:rPr>
        <w:t>evere shortages of medical supplies and resources that are essential for reducing the mortality risks of critically ill patients and protecting healthcare workers</w:t>
      </w:r>
      <w:r w:rsidR="00C1786C">
        <w:rPr>
          <w:rFonts w:ascii="Arial" w:hAnsi="Arial" w:cs="Arial"/>
          <w:sz w:val="22"/>
          <w:szCs w:val="22"/>
          <w:lang w:val="en-GB"/>
        </w:rPr>
        <w:t xml:space="preserve"> have not been uncommon</w:t>
      </w:r>
      <w:r w:rsidR="00C1786C" w:rsidRPr="004954B0">
        <w:rPr>
          <w:rFonts w:ascii="Arial" w:hAnsi="Arial" w:cs="Arial"/>
          <w:sz w:val="22"/>
          <w:szCs w:val="22"/>
          <w:lang w:val="en-GB"/>
        </w:rPr>
        <w:t xml:space="preserve"> </w:t>
      </w:r>
      <w:r w:rsidR="00D95999" w:rsidRPr="004954B0">
        <w:rPr>
          <w:rFonts w:ascii="Arial" w:hAnsi="Arial" w:cs="Arial"/>
          <w:sz w:val="22"/>
          <w:szCs w:val="22"/>
          <w:lang w:val="en-GB"/>
        </w:rPr>
        <w:t>(Remuzzi et al</w:t>
      </w:r>
      <w:r w:rsidR="00640C94" w:rsidRPr="004954B0">
        <w:rPr>
          <w:rFonts w:ascii="Arial" w:hAnsi="Arial" w:cs="Arial"/>
          <w:sz w:val="22"/>
          <w:szCs w:val="22"/>
          <w:lang w:val="en-GB"/>
        </w:rPr>
        <w:t>.</w:t>
      </w:r>
      <w:r w:rsidR="00D95999" w:rsidRPr="004954B0">
        <w:rPr>
          <w:rFonts w:ascii="Arial" w:hAnsi="Arial" w:cs="Arial"/>
          <w:sz w:val="22"/>
          <w:szCs w:val="22"/>
          <w:lang w:val="en-GB"/>
        </w:rPr>
        <w:t>, 2020; Xie et al</w:t>
      </w:r>
      <w:r w:rsidR="00640C94" w:rsidRPr="004954B0">
        <w:rPr>
          <w:rFonts w:ascii="Arial" w:hAnsi="Arial" w:cs="Arial"/>
          <w:sz w:val="22"/>
          <w:szCs w:val="22"/>
          <w:lang w:val="en-GB"/>
        </w:rPr>
        <w:t>.</w:t>
      </w:r>
      <w:r w:rsidR="00D95999" w:rsidRPr="004954B0">
        <w:rPr>
          <w:rFonts w:ascii="Arial" w:hAnsi="Arial" w:cs="Arial"/>
          <w:sz w:val="22"/>
          <w:szCs w:val="22"/>
          <w:lang w:val="en-GB"/>
        </w:rPr>
        <w:t>, 2020).</w:t>
      </w:r>
    </w:p>
    <w:p w14:paraId="212439EB" w14:textId="11BB4B64" w:rsidR="00D95999" w:rsidRPr="004954B0" w:rsidRDefault="00C1786C" w:rsidP="00D95999">
      <w:pPr>
        <w:pStyle w:val="Paragraph"/>
        <w:tabs>
          <w:tab w:val="num" w:pos="1440"/>
          <w:tab w:val="num" w:pos="1746"/>
        </w:tabs>
        <w:ind w:left="720" w:hanging="720"/>
        <w:rPr>
          <w:rFonts w:ascii="Arial" w:hAnsi="Arial" w:cs="Arial"/>
          <w:sz w:val="22"/>
          <w:szCs w:val="22"/>
          <w:lang w:val="en-GB"/>
        </w:rPr>
      </w:pPr>
      <w:r>
        <w:rPr>
          <w:rFonts w:ascii="Arial" w:hAnsi="Arial" w:cs="Arial"/>
          <w:sz w:val="22"/>
          <w:szCs w:val="22"/>
          <w:lang w:val="en-GB"/>
        </w:rPr>
        <w:t xml:space="preserve">During the earlier stages of the pandemic, </w:t>
      </w:r>
      <w:r w:rsidR="00DB7BDA" w:rsidRPr="004954B0">
        <w:rPr>
          <w:rFonts w:ascii="Arial" w:hAnsi="Arial" w:cs="Arial"/>
          <w:sz w:val="22"/>
          <w:szCs w:val="22"/>
          <w:lang w:val="en-GB"/>
        </w:rPr>
        <w:t xml:space="preserve">approximately </w:t>
      </w:r>
      <w:r w:rsidR="009B491C" w:rsidRPr="004954B0">
        <w:rPr>
          <w:rFonts w:ascii="Arial" w:hAnsi="Arial" w:cs="Arial"/>
          <w:sz w:val="22"/>
          <w:szCs w:val="22"/>
          <w:lang w:val="en-GB"/>
        </w:rPr>
        <w:t>10</w:t>
      </w:r>
      <w:r w:rsidR="00BA6725">
        <w:rPr>
          <w:rFonts w:ascii="Arial" w:hAnsi="Arial" w:cs="Arial"/>
          <w:sz w:val="22"/>
          <w:szCs w:val="22"/>
          <w:lang w:val="en-GB"/>
        </w:rPr>
        <w:t>%</w:t>
      </w:r>
      <w:r w:rsidR="00A1242C" w:rsidRPr="004954B0">
        <w:rPr>
          <w:rFonts w:ascii="Arial" w:hAnsi="Arial" w:cs="Arial"/>
          <w:sz w:val="22"/>
          <w:szCs w:val="22"/>
          <w:lang w:val="en-GB"/>
        </w:rPr>
        <w:t xml:space="preserve"> of patients </w:t>
      </w:r>
      <w:r>
        <w:rPr>
          <w:rFonts w:ascii="Arial" w:hAnsi="Arial" w:cs="Arial"/>
          <w:sz w:val="22"/>
          <w:szCs w:val="22"/>
          <w:lang w:val="en-GB"/>
        </w:rPr>
        <w:t xml:space="preserve">in Italy </w:t>
      </w:r>
      <w:r w:rsidR="00650E9A" w:rsidRPr="004954B0">
        <w:rPr>
          <w:rFonts w:ascii="Arial" w:hAnsi="Arial" w:cs="Arial"/>
          <w:sz w:val="22"/>
          <w:szCs w:val="22"/>
          <w:lang w:val="en-GB"/>
        </w:rPr>
        <w:t>were</w:t>
      </w:r>
      <w:r w:rsidR="00A1242C" w:rsidRPr="004954B0">
        <w:rPr>
          <w:rFonts w:ascii="Arial" w:hAnsi="Arial" w:cs="Arial"/>
          <w:sz w:val="22"/>
          <w:szCs w:val="22"/>
          <w:lang w:val="en-GB"/>
        </w:rPr>
        <w:t xml:space="preserve"> admitted to </w:t>
      </w:r>
      <w:r w:rsidR="00DB7BDA" w:rsidRPr="004954B0">
        <w:rPr>
          <w:rFonts w:ascii="Arial" w:hAnsi="Arial" w:cs="Arial"/>
          <w:sz w:val="22"/>
          <w:szCs w:val="22"/>
          <w:lang w:val="en-GB"/>
        </w:rPr>
        <w:t xml:space="preserve">the </w:t>
      </w:r>
      <w:r w:rsidR="0000539C" w:rsidRPr="004954B0">
        <w:rPr>
          <w:rFonts w:ascii="Arial" w:hAnsi="Arial" w:cs="Arial"/>
          <w:sz w:val="22"/>
          <w:szCs w:val="22"/>
          <w:lang w:val="en-GB"/>
        </w:rPr>
        <w:t>I</w:t>
      </w:r>
      <w:r w:rsidR="00A1242C" w:rsidRPr="004954B0">
        <w:rPr>
          <w:rFonts w:ascii="Arial" w:hAnsi="Arial" w:cs="Arial"/>
          <w:sz w:val="22"/>
          <w:szCs w:val="22"/>
          <w:lang w:val="en-GB"/>
        </w:rPr>
        <w:t xml:space="preserve">ntensive </w:t>
      </w:r>
      <w:r w:rsidR="0000539C" w:rsidRPr="004954B0">
        <w:rPr>
          <w:rFonts w:ascii="Arial" w:hAnsi="Arial" w:cs="Arial"/>
          <w:sz w:val="22"/>
          <w:szCs w:val="22"/>
          <w:lang w:val="en-GB"/>
        </w:rPr>
        <w:t>C</w:t>
      </w:r>
      <w:r w:rsidR="00A1242C" w:rsidRPr="004954B0">
        <w:rPr>
          <w:rFonts w:ascii="Arial" w:hAnsi="Arial" w:cs="Arial"/>
          <w:sz w:val="22"/>
          <w:szCs w:val="22"/>
          <w:lang w:val="en-GB"/>
        </w:rPr>
        <w:t xml:space="preserve">are </w:t>
      </w:r>
      <w:r w:rsidR="0000539C" w:rsidRPr="004954B0">
        <w:rPr>
          <w:rFonts w:ascii="Arial" w:hAnsi="Arial" w:cs="Arial"/>
          <w:sz w:val="22"/>
          <w:szCs w:val="22"/>
          <w:lang w:val="en-GB"/>
        </w:rPr>
        <w:t>U</w:t>
      </w:r>
      <w:r w:rsidR="00A1242C" w:rsidRPr="004954B0">
        <w:rPr>
          <w:rFonts w:ascii="Arial" w:hAnsi="Arial" w:cs="Arial"/>
          <w:sz w:val="22"/>
          <w:szCs w:val="22"/>
          <w:lang w:val="en-GB"/>
        </w:rPr>
        <w:t xml:space="preserve">nit (ICU) </w:t>
      </w:r>
      <w:proofErr w:type="gramStart"/>
      <w:r w:rsidR="00A1242C" w:rsidRPr="004954B0">
        <w:rPr>
          <w:rFonts w:ascii="Arial" w:hAnsi="Arial" w:cs="Arial"/>
          <w:sz w:val="22"/>
          <w:szCs w:val="22"/>
          <w:lang w:val="en-GB"/>
        </w:rPr>
        <w:t>on a daily basis</w:t>
      </w:r>
      <w:proofErr w:type="gramEnd"/>
      <w:r w:rsidR="00A1242C" w:rsidRPr="004954B0">
        <w:rPr>
          <w:rFonts w:ascii="Arial" w:hAnsi="Arial" w:cs="Arial"/>
          <w:sz w:val="22"/>
          <w:szCs w:val="22"/>
          <w:lang w:val="en-GB"/>
        </w:rPr>
        <w:t xml:space="preserve">. </w:t>
      </w:r>
      <w:r w:rsidR="00764A89">
        <w:rPr>
          <w:rFonts w:ascii="Arial" w:hAnsi="Arial" w:cs="Arial"/>
          <w:sz w:val="22"/>
          <w:szCs w:val="22"/>
          <w:lang w:val="en-GB"/>
        </w:rPr>
        <w:t>At that rate</w:t>
      </w:r>
      <w:r w:rsidR="00A1242C" w:rsidRPr="004954B0">
        <w:rPr>
          <w:rFonts w:ascii="Arial" w:hAnsi="Arial" w:cs="Arial"/>
          <w:sz w:val="22"/>
          <w:szCs w:val="22"/>
          <w:lang w:val="en-GB"/>
        </w:rPr>
        <w:t xml:space="preserve">, there </w:t>
      </w:r>
      <w:r w:rsidR="00764A89">
        <w:rPr>
          <w:rFonts w:ascii="Arial" w:hAnsi="Arial" w:cs="Arial"/>
          <w:sz w:val="22"/>
          <w:szCs w:val="22"/>
          <w:lang w:val="en-GB"/>
        </w:rPr>
        <w:t>were</w:t>
      </w:r>
      <w:r w:rsidR="00DB7BDA" w:rsidRPr="004954B0">
        <w:rPr>
          <w:rFonts w:ascii="Arial" w:hAnsi="Arial" w:cs="Arial"/>
          <w:sz w:val="22"/>
          <w:szCs w:val="22"/>
          <w:lang w:val="en-GB"/>
        </w:rPr>
        <w:t xml:space="preserve"> </w:t>
      </w:r>
      <w:r w:rsidR="00A1242C" w:rsidRPr="004954B0">
        <w:rPr>
          <w:rFonts w:ascii="Arial" w:hAnsi="Arial" w:cs="Arial"/>
          <w:sz w:val="22"/>
          <w:szCs w:val="22"/>
          <w:lang w:val="en-GB"/>
        </w:rPr>
        <w:t>a shortage of beds, ventilators</w:t>
      </w:r>
      <w:r w:rsidR="00523116" w:rsidRPr="004954B0">
        <w:rPr>
          <w:rFonts w:ascii="Arial" w:hAnsi="Arial" w:cs="Arial"/>
          <w:sz w:val="22"/>
          <w:szCs w:val="22"/>
          <w:lang w:val="en-GB"/>
        </w:rPr>
        <w:t>,</w:t>
      </w:r>
      <w:r w:rsidR="00A1242C" w:rsidRPr="004954B0">
        <w:rPr>
          <w:rFonts w:ascii="Arial" w:hAnsi="Arial" w:cs="Arial"/>
          <w:sz w:val="22"/>
          <w:szCs w:val="22"/>
          <w:lang w:val="en-GB"/>
        </w:rPr>
        <w:t xml:space="preserve"> and other necessary equipment. </w:t>
      </w:r>
      <w:r>
        <w:rPr>
          <w:rFonts w:ascii="Arial" w:hAnsi="Arial" w:cs="Arial"/>
          <w:sz w:val="22"/>
          <w:szCs w:val="22"/>
          <w:lang w:val="en-GB"/>
        </w:rPr>
        <w:t>D</w:t>
      </w:r>
      <w:r w:rsidR="00F90A3D" w:rsidRPr="004954B0">
        <w:rPr>
          <w:rFonts w:ascii="Arial" w:hAnsi="Arial" w:cs="Arial"/>
          <w:sz w:val="22"/>
          <w:szCs w:val="22"/>
          <w:lang w:val="en-GB"/>
        </w:rPr>
        <w:t xml:space="preserve">ata </w:t>
      </w:r>
      <w:r>
        <w:rPr>
          <w:rFonts w:ascii="Arial" w:hAnsi="Arial" w:cs="Arial"/>
          <w:sz w:val="22"/>
          <w:szCs w:val="22"/>
          <w:lang w:val="en-GB"/>
        </w:rPr>
        <w:t xml:space="preserve">from that period </w:t>
      </w:r>
      <w:r w:rsidR="00F90A3D" w:rsidRPr="004954B0">
        <w:rPr>
          <w:rFonts w:ascii="Arial" w:hAnsi="Arial" w:cs="Arial"/>
          <w:sz w:val="22"/>
          <w:szCs w:val="22"/>
          <w:lang w:val="en-GB"/>
        </w:rPr>
        <w:t>indicates that</w:t>
      </w:r>
      <w:r w:rsidR="00A1242C" w:rsidRPr="004954B0">
        <w:rPr>
          <w:rFonts w:ascii="Arial" w:hAnsi="Arial" w:cs="Arial"/>
          <w:sz w:val="22"/>
          <w:szCs w:val="22"/>
          <w:lang w:val="en-GB"/>
        </w:rPr>
        <w:t xml:space="preserve"> about 20</w:t>
      </w:r>
      <w:r w:rsidR="00BA6725">
        <w:rPr>
          <w:rFonts w:ascii="Arial" w:hAnsi="Arial" w:cs="Arial"/>
          <w:sz w:val="22"/>
          <w:szCs w:val="22"/>
          <w:lang w:val="en-GB"/>
        </w:rPr>
        <w:t>%</w:t>
      </w:r>
      <w:r w:rsidR="00A1242C" w:rsidRPr="004954B0">
        <w:rPr>
          <w:rFonts w:ascii="Arial" w:hAnsi="Arial" w:cs="Arial"/>
          <w:sz w:val="22"/>
          <w:szCs w:val="22"/>
          <w:lang w:val="en-GB"/>
        </w:rPr>
        <w:t xml:space="preserve"> of healthcare workers</w:t>
      </w:r>
      <w:r>
        <w:rPr>
          <w:rFonts w:ascii="Arial" w:hAnsi="Arial" w:cs="Arial"/>
          <w:sz w:val="22"/>
          <w:szCs w:val="22"/>
          <w:lang w:val="en-GB"/>
        </w:rPr>
        <w:t xml:space="preserve"> were </w:t>
      </w:r>
      <w:r w:rsidR="00A1242C" w:rsidRPr="004954B0">
        <w:rPr>
          <w:rFonts w:ascii="Arial" w:hAnsi="Arial" w:cs="Arial"/>
          <w:sz w:val="22"/>
          <w:szCs w:val="22"/>
          <w:lang w:val="en-GB"/>
        </w:rPr>
        <w:t xml:space="preserve">infected and some died, largely due to a shortage of </w:t>
      </w:r>
      <w:r w:rsidR="00025938" w:rsidRPr="004954B0">
        <w:rPr>
          <w:rFonts w:ascii="Arial" w:hAnsi="Arial" w:cs="Arial"/>
          <w:sz w:val="22"/>
          <w:szCs w:val="22"/>
          <w:lang w:val="en-GB"/>
        </w:rPr>
        <w:t>P</w:t>
      </w:r>
      <w:r w:rsidR="00A1242C" w:rsidRPr="004954B0">
        <w:rPr>
          <w:rFonts w:ascii="Arial" w:hAnsi="Arial" w:cs="Arial"/>
          <w:sz w:val="22"/>
          <w:szCs w:val="22"/>
          <w:lang w:val="en-GB"/>
        </w:rPr>
        <w:t xml:space="preserve">ersonal </w:t>
      </w:r>
      <w:r w:rsidR="00025938" w:rsidRPr="004954B0">
        <w:rPr>
          <w:rFonts w:ascii="Arial" w:hAnsi="Arial" w:cs="Arial"/>
          <w:sz w:val="22"/>
          <w:szCs w:val="22"/>
          <w:lang w:val="en-GB"/>
        </w:rPr>
        <w:t>P</w:t>
      </w:r>
      <w:r w:rsidR="00A1242C" w:rsidRPr="004954B0">
        <w:rPr>
          <w:rFonts w:ascii="Arial" w:hAnsi="Arial" w:cs="Arial"/>
          <w:sz w:val="22"/>
          <w:szCs w:val="22"/>
          <w:lang w:val="en-GB"/>
        </w:rPr>
        <w:t xml:space="preserve">rotective </w:t>
      </w:r>
      <w:r w:rsidR="00025938" w:rsidRPr="004954B0">
        <w:rPr>
          <w:rFonts w:ascii="Arial" w:hAnsi="Arial" w:cs="Arial"/>
          <w:sz w:val="22"/>
          <w:szCs w:val="22"/>
          <w:lang w:val="en-GB"/>
        </w:rPr>
        <w:t>E</w:t>
      </w:r>
      <w:r w:rsidR="00A1242C" w:rsidRPr="004954B0">
        <w:rPr>
          <w:rFonts w:ascii="Arial" w:hAnsi="Arial" w:cs="Arial"/>
          <w:sz w:val="22"/>
          <w:szCs w:val="22"/>
          <w:lang w:val="en-GB"/>
        </w:rPr>
        <w:t>quipment</w:t>
      </w:r>
      <w:r w:rsidR="00DB7BDA" w:rsidRPr="004954B0">
        <w:rPr>
          <w:rFonts w:ascii="Arial" w:hAnsi="Arial" w:cs="Arial"/>
          <w:sz w:val="22"/>
          <w:szCs w:val="22"/>
          <w:lang w:val="en-GB"/>
        </w:rPr>
        <w:t xml:space="preserve"> (PPE)</w:t>
      </w:r>
      <w:r w:rsidR="00A1242C" w:rsidRPr="004954B0">
        <w:rPr>
          <w:rFonts w:ascii="Arial" w:hAnsi="Arial" w:cs="Arial"/>
          <w:sz w:val="22"/>
          <w:szCs w:val="22"/>
          <w:lang w:val="en-GB"/>
        </w:rPr>
        <w:t>. Predictive models suggest</w:t>
      </w:r>
      <w:r>
        <w:rPr>
          <w:rFonts w:ascii="Arial" w:hAnsi="Arial" w:cs="Arial"/>
          <w:sz w:val="22"/>
          <w:szCs w:val="22"/>
          <w:lang w:val="en-GB"/>
        </w:rPr>
        <w:t>ed</w:t>
      </w:r>
      <w:r w:rsidR="00A1242C" w:rsidRPr="004954B0">
        <w:rPr>
          <w:rFonts w:ascii="Arial" w:hAnsi="Arial" w:cs="Arial"/>
          <w:sz w:val="22"/>
          <w:szCs w:val="22"/>
          <w:lang w:val="en-GB"/>
        </w:rPr>
        <w:t xml:space="preserve"> th</w:t>
      </w:r>
      <w:r>
        <w:rPr>
          <w:rFonts w:ascii="Arial" w:hAnsi="Arial" w:cs="Arial"/>
          <w:sz w:val="22"/>
          <w:szCs w:val="22"/>
          <w:lang w:val="en-GB"/>
        </w:rPr>
        <w:t xml:space="preserve">e need </w:t>
      </w:r>
      <w:r w:rsidR="00A1242C" w:rsidRPr="004954B0">
        <w:rPr>
          <w:rFonts w:ascii="Arial" w:hAnsi="Arial" w:cs="Arial"/>
          <w:sz w:val="22"/>
          <w:szCs w:val="22"/>
          <w:lang w:val="en-GB"/>
        </w:rPr>
        <w:t xml:space="preserve">to undertake </w:t>
      </w:r>
      <w:r w:rsidR="00DB7BDA" w:rsidRPr="004954B0">
        <w:rPr>
          <w:rFonts w:ascii="Arial" w:hAnsi="Arial" w:cs="Arial"/>
          <w:sz w:val="22"/>
          <w:szCs w:val="22"/>
          <w:lang w:val="en-GB"/>
        </w:rPr>
        <w:t xml:space="preserve">urgent </w:t>
      </w:r>
      <w:r w:rsidR="00A1242C" w:rsidRPr="004954B0">
        <w:rPr>
          <w:rFonts w:ascii="Arial" w:hAnsi="Arial" w:cs="Arial"/>
          <w:sz w:val="22"/>
          <w:szCs w:val="22"/>
          <w:lang w:val="en-GB"/>
        </w:rPr>
        <w:t xml:space="preserve">measures in recruitment </w:t>
      </w:r>
      <w:r w:rsidR="00DB7BDA" w:rsidRPr="004954B0">
        <w:rPr>
          <w:rFonts w:ascii="Arial" w:hAnsi="Arial" w:cs="Arial"/>
          <w:sz w:val="22"/>
          <w:szCs w:val="22"/>
          <w:lang w:val="en-GB"/>
        </w:rPr>
        <w:t xml:space="preserve">of healthcare workers </w:t>
      </w:r>
      <w:r w:rsidR="007344F5" w:rsidRPr="004954B0">
        <w:rPr>
          <w:rFonts w:ascii="Arial" w:hAnsi="Arial" w:cs="Arial"/>
          <w:sz w:val="22"/>
          <w:szCs w:val="22"/>
          <w:lang w:val="en-GB"/>
        </w:rPr>
        <w:t>as well as</w:t>
      </w:r>
      <w:r w:rsidR="00A1242C" w:rsidRPr="004954B0">
        <w:rPr>
          <w:rFonts w:ascii="Arial" w:hAnsi="Arial" w:cs="Arial"/>
          <w:sz w:val="22"/>
          <w:szCs w:val="22"/>
          <w:lang w:val="en-GB"/>
        </w:rPr>
        <w:t xml:space="preserve"> </w:t>
      </w:r>
      <w:r w:rsidR="00DB7BDA" w:rsidRPr="004954B0">
        <w:rPr>
          <w:rFonts w:ascii="Arial" w:hAnsi="Arial" w:cs="Arial"/>
          <w:sz w:val="22"/>
          <w:szCs w:val="22"/>
          <w:lang w:val="en-GB"/>
        </w:rPr>
        <w:t xml:space="preserve">in the procurement of </w:t>
      </w:r>
      <w:r w:rsidR="00A1242C" w:rsidRPr="004954B0">
        <w:rPr>
          <w:rFonts w:ascii="Arial" w:hAnsi="Arial" w:cs="Arial"/>
          <w:sz w:val="22"/>
          <w:szCs w:val="22"/>
          <w:lang w:val="en-GB"/>
        </w:rPr>
        <w:t xml:space="preserve">technical equipment and supplies to avoid a considerable number of unnecessary deaths. Some measures </w:t>
      </w:r>
      <w:r>
        <w:rPr>
          <w:rFonts w:ascii="Arial" w:hAnsi="Arial" w:cs="Arial"/>
          <w:sz w:val="22"/>
          <w:szCs w:val="22"/>
          <w:lang w:val="en-GB"/>
        </w:rPr>
        <w:t xml:space="preserve">taken by </w:t>
      </w:r>
      <w:r w:rsidR="00DB7BDA" w:rsidRPr="004954B0">
        <w:rPr>
          <w:rFonts w:ascii="Arial" w:hAnsi="Arial" w:cs="Arial"/>
          <w:sz w:val="22"/>
          <w:szCs w:val="22"/>
          <w:lang w:val="en-GB"/>
        </w:rPr>
        <w:t xml:space="preserve">Italy </w:t>
      </w:r>
      <w:r w:rsidR="00A1242C" w:rsidRPr="004954B0">
        <w:rPr>
          <w:rFonts w:ascii="Arial" w:hAnsi="Arial" w:cs="Arial"/>
          <w:sz w:val="22"/>
          <w:szCs w:val="22"/>
          <w:lang w:val="en-GB"/>
        </w:rPr>
        <w:t>include</w:t>
      </w:r>
      <w:r>
        <w:rPr>
          <w:rFonts w:ascii="Arial" w:hAnsi="Arial" w:cs="Arial"/>
          <w:sz w:val="22"/>
          <w:szCs w:val="22"/>
          <w:lang w:val="en-GB"/>
        </w:rPr>
        <w:t>d</w:t>
      </w:r>
      <w:r w:rsidR="00DB7BDA" w:rsidRPr="004954B0">
        <w:rPr>
          <w:rFonts w:ascii="Arial" w:hAnsi="Arial" w:cs="Arial"/>
          <w:sz w:val="22"/>
          <w:szCs w:val="22"/>
          <w:lang w:val="en-GB"/>
        </w:rPr>
        <w:t xml:space="preserve"> </w:t>
      </w:r>
      <w:r w:rsidR="00A1242C" w:rsidRPr="004954B0">
        <w:rPr>
          <w:rFonts w:ascii="Arial" w:hAnsi="Arial" w:cs="Arial"/>
          <w:sz w:val="22"/>
          <w:szCs w:val="22"/>
          <w:lang w:val="en-GB"/>
        </w:rPr>
        <w:t xml:space="preserve">hiring 20,000 additional doctors and nurses, providing more than 5,000 ventilators to hospitals, and transferring ICU patients who are not infected by COVID-19 to hospitals in other regions with lower infection rates (Remuzzi </w:t>
      </w:r>
      <w:r w:rsidR="0092319A" w:rsidRPr="004954B0">
        <w:rPr>
          <w:rFonts w:ascii="Arial" w:hAnsi="Arial" w:cs="Arial"/>
          <w:sz w:val="22"/>
          <w:szCs w:val="22"/>
          <w:lang w:val="en-GB"/>
        </w:rPr>
        <w:t>et al.,</w:t>
      </w:r>
      <w:r w:rsidR="00A1242C" w:rsidRPr="004954B0">
        <w:rPr>
          <w:rFonts w:ascii="Arial" w:hAnsi="Arial" w:cs="Arial"/>
          <w:sz w:val="22"/>
          <w:szCs w:val="22"/>
          <w:lang w:val="en-GB"/>
        </w:rPr>
        <w:t xml:space="preserve"> </w:t>
      </w:r>
      <w:r w:rsidR="000D1868" w:rsidRPr="004954B0">
        <w:rPr>
          <w:rFonts w:ascii="Arial" w:hAnsi="Arial" w:cs="Arial"/>
          <w:sz w:val="22"/>
          <w:szCs w:val="22"/>
          <w:lang w:val="en-GB"/>
        </w:rPr>
        <w:t>2020)</w:t>
      </w:r>
      <w:r w:rsidR="003F4188" w:rsidRPr="004954B0">
        <w:rPr>
          <w:rFonts w:ascii="Arial" w:hAnsi="Arial" w:cs="Arial"/>
          <w:sz w:val="22"/>
          <w:szCs w:val="22"/>
          <w:lang w:val="en-GB"/>
        </w:rPr>
        <w:t xml:space="preserve">. China, </w:t>
      </w:r>
      <w:r w:rsidR="00A1242C" w:rsidRPr="004954B0">
        <w:rPr>
          <w:rFonts w:ascii="Arial" w:hAnsi="Arial" w:cs="Arial"/>
          <w:sz w:val="22"/>
          <w:szCs w:val="22"/>
          <w:lang w:val="en-GB"/>
        </w:rPr>
        <w:t xml:space="preserve">especially </w:t>
      </w:r>
      <w:r w:rsidR="00DB7BDA" w:rsidRPr="004954B0">
        <w:rPr>
          <w:rFonts w:ascii="Arial" w:hAnsi="Arial" w:cs="Arial"/>
          <w:sz w:val="22"/>
          <w:szCs w:val="22"/>
          <w:lang w:val="en-GB"/>
        </w:rPr>
        <w:t xml:space="preserve">the city of </w:t>
      </w:r>
      <w:r w:rsidR="00A1242C" w:rsidRPr="004954B0">
        <w:rPr>
          <w:rFonts w:ascii="Arial" w:hAnsi="Arial" w:cs="Arial"/>
          <w:sz w:val="22"/>
          <w:szCs w:val="22"/>
          <w:lang w:val="en-GB"/>
        </w:rPr>
        <w:t xml:space="preserve">Wuhan, </w:t>
      </w:r>
      <w:r w:rsidR="003F4188" w:rsidRPr="004954B0">
        <w:rPr>
          <w:rFonts w:ascii="Arial" w:hAnsi="Arial" w:cs="Arial"/>
          <w:sz w:val="22"/>
          <w:szCs w:val="22"/>
          <w:lang w:val="en-GB"/>
        </w:rPr>
        <w:t>suffered from</w:t>
      </w:r>
      <w:r w:rsidR="00A1242C" w:rsidRPr="004954B0">
        <w:rPr>
          <w:rFonts w:ascii="Arial" w:hAnsi="Arial" w:cs="Arial"/>
          <w:sz w:val="22"/>
          <w:szCs w:val="22"/>
          <w:lang w:val="en-GB"/>
        </w:rPr>
        <w:t xml:space="preserve"> a similar lack of critical resources including </w:t>
      </w:r>
      <w:r w:rsidR="00DB7BDA" w:rsidRPr="004954B0">
        <w:rPr>
          <w:rFonts w:ascii="Arial" w:hAnsi="Arial" w:cs="Arial"/>
          <w:sz w:val="22"/>
          <w:szCs w:val="22"/>
          <w:lang w:val="en-GB"/>
        </w:rPr>
        <w:t>ICU</w:t>
      </w:r>
      <w:r w:rsidR="00A1242C" w:rsidRPr="004954B0">
        <w:rPr>
          <w:rFonts w:ascii="Arial" w:hAnsi="Arial" w:cs="Arial"/>
          <w:sz w:val="22"/>
          <w:szCs w:val="22"/>
          <w:lang w:val="en-GB"/>
        </w:rPr>
        <w:t xml:space="preserve"> beds, ventilators, </w:t>
      </w:r>
      <w:r w:rsidR="00DB7BDA" w:rsidRPr="004954B0">
        <w:rPr>
          <w:rFonts w:ascii="Arial" w:hAnsi="Arial" w:cs="Arial"/>
          <w:sz w:val="22"/>
          <w:szCs w:val="22"/>
          <w:lang w:val="en-GB"/>
        </w:rPr>
        <w:t>PPE</w:t>
      </w:r>
      <w:r w:rsidR="00A1242C" w:rsidRPr="004954B0">
        <w:rPr>
          <w:rFonts w:ascii="Arial" w:hAnsi="Arial" w:cs="Arial"/>
          <w:sz w:val="22"/>
          <w:szCs w:val="22"/>
          <w:lang w:val="en-GB"/>
        </w:rPr>
        <w:t xml:space="preserve">, and trained staff. The government quickly converted three general hospitals into critical care hospitals with approximately 2,500 beds </w:t>
      </w:r>
      <w:r w:rsidR="00DB7BDA" w:rsidRPr="004954B0">
        <w:rPr>
          <w:rFonts w:ascii="Arial" w:hAnsi="Arial" w:cs="Arial"/>
          <w:sz w:val="22"/>
          <w:szCs w:val="22"/>
          <w:lang w:val="en-GB"/>
        </w:rPr>
        <w:t xml:space="preserve">in total </w:t>
      </w:r>
      <w:r w:rsidR="00A1242C" w:rsidRPr="004954B0">
        <w:rPr>
          <w:rFonts w:ascii="Arial" w:hAnsi="Arial" w:cs="Arial"/>
          <w:sz w:val="22"/>
          <w:szCs w:val="22"/>
          <w:lang w:val="en-GB"/>
        </w:rPr>
        <w:t>equipped with monitors and ventilators</w:t>
      </w:r>
      <w:r w:rsidR="00DB7BDA" w:rsidRPr="004954B0">
        <w:rPr>
          <w:rFonts w:ascii="Arial" w:hAnsi="Arial" w:cs="Arial"/>
          <w:sz w:val="22"/>
          <w:szCs w:val="22"/>
          <w:lang w:val="en-GB"/>
        </w:rPr>
        <w:t>. Doctors</w:t>
      </w:r>
      <w:r w:rsidR="00A1242C" w:rsidRPr="004954B0">
        <w:rPr>
          <w:rFonts w:ascii="Arial" w:hAnsi="Arial" w:cs="Arial"/>
          <w:sz w:val="22"/>
          <w:szCs w:val="22"/>
          <w:lang w:val="en-GB"/>
        </w:rPr>
        <w:t xml:space="preserve"> and nurses were also transferred </w:t>
      </w:r>
      <w:r w:rsidR="00632085" w:rsidRPr="004954B0">
        <w:rPr>
          <w:rFonts w:ascii="Arial" w:hAnsi="Arial" w:cs="Arial"/>
          <w:sz w:val="22"/>
          <w:szCs w:val="22"/>
          <w:lang w:val="en-GB"/>
        </w:rPr>
        <w:t xml:space="preserve">to Wuhan </w:t>
      </w:r>
      <w:r w:rsidR="00A1242C" w:rsidRPr="004954B0">
        <w:rPr>
          <w:rFonts w:ascii="Arial" w:hAnsi="Arial" w:cs="Arial"/>
          <w:sz w:val="22"/>
          <w:szCs w:val="22"/>
          <w:lang w:val="en-GB"/>
        </w:rPr>
        <w:t xml:space="preserve">from other regions </w:t>
      </w:r>
      <w:r w:rsidR="00DB7BDA" w:rsidRPr="004954B0">
        <w:rPr>
          <w:rFonts w:ascii="Arial" w:hAnsi="Arial" w:cs="Arial"/>
          <w:sz w:val="22"/>
          <w:szCs w:val="22"/>
          <w:lang w:val="en-GB"/>
        </w:rPr>
        <w:t xml:space="preserve">in China </w:t>
      </w:r>
      <w:r w:rsidR="00A1242C" w:rsidRPr="004954B0">
        <w:rPr>
          <w:rFonts w:ascii="Arial" w:hAnsi="Arial" w:cs="Arial"/>
          <w:sz w:val="22"/>
          <w:szCs w:val="22"/>
          <w:lang w:val="en-GB"/>
        </w:rPr>
        <w:t xml:space="preserve">to </w:t>
      </w:r>
      <w:r w:rsidR="00157085" w:rsidRPr="004954B0">
        <w:rPr>
          <w:rFonts w:ascii="Arial" w:hAnsi="Arial" w:cs="Arial"/>
          <w:sz w:val="22"/>
          <w:szCs w:val="22"/>
          <w:lang w:val="en-GB"/>
        </w:rPr>
        <w:t>alleviate</w:t>
      </w:r>
      <w:r w:rsidR="00A1242C" w:rsidRPr="004954B0">
        <w:rPr>
          <w:rFonts w:ascii="Arial" w:hAnsi="Arial" w:cs="Arial"/>
          <w:sz w:val="22"/>
          <w:szCs w:val="22"/>
          <w:lang w:val="en-GB"/>
        </w:rPr>
        <w:t xml:space="preserve"> </w:t>
      </w:r>
      <w:r w:rsidR="00DB7BDA" w:rsidRPr="004954B0">
        <w:rPr>
          <w:rFonts w:ascii="Arial" w:hAnsi="Arial" w:cs="Arial"/>
          <w:sz w:val="22"/>
          <w:szCs w:val="22"/>
          <w:lang w:val="en-GB"/>
        </w:rPr>
        <w:t xml:space="preserve">critical shortages </w:t>
      </w:r>
      <w:r w:rsidR="00D95999" w:rsidRPr="004954B0">
        <w:rPr>
          <w:rFonts w:ascii="Arial" w:hAnsi="Arial" w:cs="Arial"/>
          <w:sz w:val="22"/>
          <w:szCs w:val="22"/>
          <w:lang w:val="en-GB"/>
        </w:rPr>
        <w:t>(Xie et al</w:t>
      </w:r>
      <w:r w:rsidR="0092319A" w:rsidRPr="004954B0">
        <w:rPr>
          <w:rFonts w:ascii="Arial" w:hAnsi="Arial" w:cs="Arial"/>
          <w:sz w:val="22"/>
          <w:szCs w:val="22"/>
          <w:lang w:val="en-GB"/>
        </w:rPr>
        <w:t>.</w:t>
      </w:r>
      <w:r w:rsidR="00D95999" w:rsidRPr="004954B0">
        <w:rPr>
          <w:rFonts w:ascii="Arial" w:hAnsi="Arial" w:cs="Arial"/>
          <w:sz w:val="22"/>
          <w:szCs w:val="22"/>
          <w:lang w:val="en-GB"/>
        </w:rPr>
        <w:t>, 2020).</w:t>
      </w:r>
    </w:p>
    <w:p w14:paraId="05CEB4C1" w14:textId="2C542ADD" w:rsidR="00D95999" w:rsidRPr="004954B0" w:rsidRDefault="00DB7BDA" w:rsidP="00D95999">
      <w:pPr>
        <w:pStyle w:val="Paragraph"/>
        <w:tabs>
          <w:tab w:val="num" w:pos="1440"/>
          <w:tab w:val="num" w:pos="1746"/>
        </w:tabs>
        <w:ind w:left="720" w:hanging="720"/>
        <w:rPr>
          <w:rFonts w:ascii="Arial" w:hAnsi="Arial" w:cs="Arial"/>
          <w:sz w:val="22"/>
          <w:szCs w:val="22"/>
          <w:lang w:val="en-GB"/>
        </w:rPr>
      </w:pPr>
      <w:r w:rsidRPr="004954B0">
        <w:rPr>
          <w:rFonts w:ascii="Arial" w:hAnsi="Arial" w:cs="Arial"/>
          <w:sz w:val="22"/>
          <w:szCs w:val="22"/>
          <w:lang w:val="en-GB"/>
        </w:rPr>
        <w:t>The LAC region</w:t>
      </w:r>
      <w:r w:rsidR="00FE6861" w:rsidRPr="004954B0">
        <w:rPr>
          <w:rFonts w:ascii="Arial" w:hAnsi="Arial" w:cs="Arial"/>
          <w:sz w:val="22"/>
          <w:szCs w:val="22"/>
          <w:lang w:val="en-GB"/>
        </w:rPr>
        <w:t xml:space="preserve"> </w:t>
      </w:r>
      <w:r w:rsidR="00B71FD8">
        <w:rPr>
          <w:rFonts w:ascii="Arial" w:hAnsi="Arial" w:cs="Arial"/>
          <w:sz w:val="22"/>
          <w:szCs w:val="22"/>
          <w:lang w:val="en-GB"/>
        </w:rPr>
        <w:t xml:space="preserve">experienced a rapid </w:t>
      </w:r>
      <w:r w:rsidR="00A665E6" w:rsidRPr="004954B0">
        <w:rPr>
          <w:rFonts w:ascii="Arial" w:hAnsi="Arial" w:cs="Arial"/>
          <w:sz w:val="22"/>
          <w:szCs w:val="22"/>
          <w:lang w:val="en-GB"/>
        </w:rPr>
        <w:t xml:space="preserve">increase in COVID-19 cases and </w:t>
      </w:r>
      <w:r w:rsidR="00B71FD8">
        <w:rPr>
          <w:rFonts w:ascii="Arial" w:hAnsi="Arial" w:cs="Arial"/>
          <w:sz w:val="22"/>
          <w:szCs w:val="22"/>
          <w:lang w:val="en-GB"/>
        </w:rPr>
        <w:t xml:space="preserve">continuous to </w:t>
      </w:r>
      <w:r w:rsidR="00A665E6" w:rsidRPr="004954B0">
        <w:rPr>
          <w:rFonts w:ascii="Arial" w:hAnsi="Arial" w:cs="Arial"/>
          <w:sz w:val="22"/>
          <w:szCs w:val="22"/>
          <w:lang w:val="en-GB"/>
        </w:rPr>
        <w:t xml:space="preserve">face </w:t>
      </w:r>
      <w:r w:rsidR="00B71FD8">
        <w:rPr>
          <w:rFonts w:ascii="Arial" w:hAnsi="Arial" w:cs="Arial"/>
          <w:sz w:val="22"/>
          <w:szCs w:val="22"/>
          <w:lang w:val="en-GB"/>
        </w:rPr>
        <w:t xml:space="preserve">significant </w:t>
      </w:r>
      <w:r w:rsidR="00A665E6" w:rsidRPr="004954B0">
        <w:rPr>
          <w:rFonts w:ascii="Arial" w:hAnsi="Arial" w:cs="Arial"/>
          <w:sz w:val="22"/>
          <w:szCs w:val="22"/>
          <w:lang w:val="en-GB"/>
        </w:rPr>
        <w:t>challenges in managing healthcare system capacity and</w:t>
      </w:r>
      <w:r w:rsidR="00D2165C" w:rsidRPr="004954B0">
        <w:rPr>
          <w:rFonts w:ascii="Arial" w:hAnsi="Arial" w:cs="Arial"/>
          <w:sz w:val="22"/>
          <w:szCs w:val="22"/>
          <w:lang w:val="en-GB"/>
        </w:rPr>
        <w:t xml:space="preserve"> </w:t>
      </w:r>
      <w:r w:rsidR="00A665E6" w:rsidRPr="004954B0">
        <w:rPr>
          <w:rFonts w:ascii="Arial" w:hAnsi="Arial" w:cs="Arial"/>
          <w:sz w:val="22"/>
          <w:szCs w:val="22"/>
          <w:lang w:val="en-GB"/>
        </w:rPr>
        <w:t>essential resource</w:t>
      </w:r>
      <w:r w:rsidRPr="004954B0">
        <w:rPr>
          <w:rFonts w:ascii="Arial" w:hAnsi="Arial" w:cs="Arial"/>
          <w:sz w:val="22"/>
          <w:szCs w:val="22"/>
          <w:lang w:val="en-GB"/>
        </w:rPr>
        <w:t xml:space="preserve"> availability</w:t>
      </w:r>
      <w:r w:rsidR="00A665E6" w:rsidRPr="004954B0">
        <w:rPr>
          <w:rFonts w:ascii="Arial" w:hAnsi="Arial" w:cs="Arial"/>
          <w:sz w:val="22"/>
          <w:szCs w:val="22"/>
          <w:lang w:val="en-GB"/>
        </w:rPr>
        <w:t xml:space="preserve">. </w:t>
      </w:r>
      <w:r w:rsidR="00B71FD8">
        <w:rPr>
          <w:rFonts w:ascii="Arial" w:hAnsi="Arial" w:cs="Arial"/>
          <w:sz w:val="22"/>
          <w:szCs w:val="22"/>
          <w:lang w:val="en-GB"/>
        </w:rPr>
        <w:t>Many countries have i</w:t>
      </w:r>
      <w:r w:rsidR="00A665E6" w:rsidRPr="004954B0">
        <w:rPr>
          <w:rFonts w:ascii="Arial" w:hAnsi="Arial" w:cs="Arial"/>
          <w:sz w:val="22"/>
          <w:szCs w:val="22"/>
          <w:lang w:val="en-GB"/>
        </w:rPr>
        <w:t>ncrease</w:t>
      </w:r>
      <w:r w:rsidR="00B71FD8">
        <w:rPr>
          <w:rFonts w:ascii="Arial" w:hAnsi="Arial" w:cs="Arial"/>
          <w:sz w:val="22"/>
          <w:szCs w:val="22"/>
          <w:lang w:val="en-GB"/>
        </w:rPr>
        <w:t>d</w:t>
      </w:r>
      <w:r w:rsidR="00A665E6" w:rsidRPr="004954B0">
        <w:rPr>
          <w:rFonts w:ascii="Arial" w:hAnsi="Arial" w:cs="Arial"/>
          <w:sz w:val="22"/>
          <w:szCs w:val="22"/>
          <w:lang w:val="en-GB"/>
        </w:rPr>
        <w:t xml:space="preserve"> health sector budget</w:t>
      </w:r>
      <w:r w:rsidRPr="004954B0">
        <w:rPr>
          <w:rFonts w:ascii="Arial" w:hAnsi="Arial" w:cs="Arial"/>
          <w:sz w:val="22"/>
          <w:szCs w:val="22"/>
          <w:lang w:val="en-GB"/>
        </w:rPr>
        <w:t xml:space="preserve">s </w:t>
      </w:r>
      <w:r w:rsidR="00A665E6" w:rsidRPr="004954B0">
        <w:rPr>
          <w:rFonts w:ascii="Arial" w:hAnsi="Arial" w:cs="Arial"/>
          <w:sz w:val="22"/>
          <w:szCs w:val="22"/>
          <w:lang w:val="en-GB"/>
        </w:rPr>
        <w:t>to procure and distribute the necessary resources, such as ICU beds, ventilators</w:t>
      </w:r>
      <w:r w:rsidR="00D2165C" w:rsidRPr="004954B0">
        <w:rPr>
          <w:rFonts w:ascii="Arial" w:hAnsi="Arial" w:cs="Arial"/>
          <w:sz w:val="22"/>
          <w:szCs w:val="22"/>
          <w:lang w:val="en-GB"/>
        </w:rPr>
        <w:t>,</w:t>
      </w:r>
      <w:r w:rsidR="00A665E6" w:rsidRPr="004954B0">
        <w:rPr>
          <w:rFonts w:ascii="Arial" w:hAnsi="Arial" w:cs="Arial"/>
          <w:sz w:val="22"/>
          <w:szCs w:val="22"/>
          <w:lang w:val="en-GB"/>
        </w:rPr>
        <w:t xml:space="preserve"> and </w:t>
      </w:r>
      <w:r w:rsidRPr="004954B0">
        <w:rPr>
          <w:rFonts w:ascii="Arial" w:hAnsi="Arial" w:cs="Arial"/>
          <w:sz w:val="22"/>
          <w:szCs w:val="22"/>
          <w:lang w:val="en-GB"/>
        </w:rPr>
        <w:t>PPE</w:t>
      </w:r>
      <w:r w:rsidR="001675B2" w:rsidRPr="004954B0">
        <w:rPr>
          <w:rFonts w:ascii="Arial" w:hAnsi="Arial" w:cs="Arial"/>
          <w:sz w:val="22"/>
          <w:szCs w:val="22"/>
          <w:lang w:val="en-GB"/>
        </w:rPr>
        <w:t xml:space="preserve"> to manage the increase in case </w:t>
      </w:r>
      <w:r w:rsidR="001675B2" w:rsidRPr="004954B0">
        <w:rPr>
          <w:rFonts w:ascii="Arial" w:hAnsi="Arial" w:cs="Arial"/>
          <w:sz w:val="22"/>
          <w:szCs w:val="22"/>
          <w:lang w:val="en-GB" w:eastAsia="zh-CN"/>
        </w:rPr>
        <w:t>numbers</w:t>
      </w:r>
      <w:r w:rsidR="00D95999" w:rsidRPr="004954B0">
        <w:rPr>
          <w:rFonts w:ascii="Arial" w:hAnsi="Arial" w:cs="Arial"/>
          <w:sz w:val="22"/>
          <w:szCs w:val="22"/>
          <w:lang w:val="en-GB"/>
        </w:rPr>
        <w:t>.</w:t>
      </w:r>
    </w:p>
    <w:p w14:paraId="65F9156C" w14:textId="3F1F1769" w:rsidR="00D95999" w:rsidRPr="004954B0" w:rsidRDefault="007D7434" w:rsidP="00D95999">
      <w:pPr>
        <w:pStyle w:val="Paragraph"/>
        <w:tabs>
          <w:tab w:val="num" w:pos="1440"/>
          <w:tab w:val="num" w:pos="1746"/>
        </w:tabs>
        <w:ind w:left="720" w:hanging="720"/>
        <w:rPr>
          <w:rFonts w:ascii="Arial" w:hAnsi="Arial" w:cs="Arial"/>
          <w:sz w:val="22"/>
          <w:szCs w:val="22"/>
          <w:lang w:val="en-GB"/>
        </w:rPr>
      </w:pPr>
      <w:r w:rsidRPr="004954B0">
        <w:rPr>
          <w:rFonts w:ascii="Arial" w:hAnsi="Arial" w:cs="Arial"/>
          <w:sz w:val="22"/>
          <w:szCs w:val="22"/>
          <w:lang w:val="en-GB"/>
        </w:rPr>
        <w:t>Respiratory support is the</w:t>
      </w:r>
      <w:r w:rsidR="009339ED" w:rsidRPr="004954B0">
        <w:rPr>
          <w:rFonts w:ascii="Arial" w:hAnsi="Arial" w:cs="Arial"/>
          <w:sz w:val="22"/>
          <w:szCs w:val="22"/>
          <w:lang w:val="en-GB"/>
        </w:rPr>
        <w:t xml:space="preserve"> most documented reason for requiring intensive care after developing COVID-19. Among critically ill COVID-19</w:t>
      </w:r>
      <w:r w:rsidR="000B32BB" w:rsidRPr="004954B0">
        <w:rPr>
          <w:rFonts w:ascii="Arial" w:hAnsi="Arial" w:cs="Arial"/>
          <w:sz w:val="22"/>
          <w:szCs w:val="22"/>
          <w:lang w:val="en-GB"/>
        </w:rPr>
        <w:t xml:space="preserve"> patients</w:t>
      </w:r>
      <w:r w:rsidR="009339ED" w:rsidRPr="004954B0">
        <w:rPr>
          <w:rFonts w:ascii="Arial" w:hAnsi="Arial" w:cs="Arial"/>
          <w:sz w:val="22"/>
          <w:szCs w:val="22"/>
          <w:lang w:val="en-GB"/>
        </w:rPr>
        <w:t xml:space="preserve">, approximately two-thirds develop </w:t>
      </w:r>
      <w:r w:rsidR="00DB7BDA" w:rsidRPr="004954B0">
        <w:rPr>
          <w:rFonts w:ascii="Arial" w:hAnsi="Arial" w:cs="Arial"/>
          <w:sz w:val="22"/>
          <w:szCs w:val="22"/>
          <w:lang w:val="en-GB"/>
        </w:rPr>
        <w:t>acute respiratory distress syndrome (</w:t>
      </w:r>
      <w:r w:rsidR="009339ED" w:rsidRPr="004954B0">
        <w:rPr>
          <w:rFonts w:ascii="Arial" w:hAnsi="Arial" w:cs="Arial"/>
          <w:sz w:val="22"/>
          <w:szCs w:val="22"/>
          <w:lang w:val="en-GB"/>
        </w:rPr>
        <w:t xml:space="preserve">ARDS). Evidence-based guidelines for treating ARDS include fluid conservation strategies for patients without shock following initial resuscitation, early empirical antibiotics for suspected bacterial co-infection until a specific diagnosis is made, </w:t>
      </w:r>
      <w:r w:rsidR="007F6F8F" w:rsidRPr="004954B0">
        <w:rPr>
          <w:rFonts w:ascii="Arial" w:hAnsi="Arial" w:cs="Arial"/>
          <w:sz w:val="22"/>
          <w:szCs w:val="22"/>
          <w:lang w:val="en-GB"/>
        </w:rPr>
        <w:t>lung-protective ventilation,</w:t>
      </w:r>
      <w:r w:rsidR="009339ED" w:rsidRPr="004954B0">
        <w:rPr>
          <w:rFonts w:ascii="Arial" w:hAnsi="Arial" w:cs="Arial"/>
          <w:sz w:val="22"/>
          <w:szCs w:val="22"/>
          <w:lang w:val="en-GB"/>
        </w:rPr>
        <w:t xml:space="preserve"> prone positioning</w:t>
      </w:r>
      <w:r w:rsidR="007F6F8F" w:rsidRPr="004954B0">
        <w:rPr>
          <w:rFonts w:ascii="Arial" w:hAnsi="Arial" w:cs="Arial"/>
          <w:sz w:val="22"/>
          <w:szCs w:val="22"/>
          <w:lang w:val="en-GB"/>
        </w:rPr>
        <w:t>,</w:t>
      </w:r>
      <w:r w:rsidR="009339ED" w:rsidRPr="004954B0">
        <w:rPr>
          <w:rFonts w:ascii="Arial" w:hAnsi="Arial" w:cs="Arial"/>
          <w:sz w:val="22"/>
          <w:szCs w:val="22"/>
          <w:lang w:val="en-GB"/>
        </w:rPr>
        <w:t xml:space="preserve"> and </w:t>
      </w:r>
      <w:r w:rsidR="007F6F8F" w:rsidRPr="004954B0">
        <w:rPr>
          <w:rFonts w:ascii="Arial" w:hAnsi="Arial" w:cs="Arial"/>
          <w:sz w:val="22"/>
          <w:szCs w:val="22"/>
          <w:lang w:val="en-GB"/>
        </w:rPr>
        <w:t xml:space="preserve">the </w:t>
      </w:r>
      <w:r w:rsidR="009339ED" w:rsidRPr="004954B0">
        <w:rPr>
          <w:rFonts w:ascii="Arial" w:hAnsi="Arial" w:cs="Arial"/>
          <w:sz w:val="22"/>
          <w:szCs w:val="22"/>
          <w:lang w:val="en-GB"/>
        </w:rPr>
        <w:t xml:space="preserve">option of extracorporeal membrane oxygenation for refractory hypoxemia. These treatments require the use of various equipment and resources, including hospital beds, ventilators, extracorporeal membrane oxygenation, and renal replacement therapy </w:t>
      </w:r>
      <w:r w:rsidR="00D95999" w:rsidRPr="004954B0">
        <w:rPr>
          <w:rFonts w:ascii="Arial" w:hAnsi="Arial" w:cs="Arial"/>
          <w:sz w:val="22"/>
          <w:szCs w:val="22"/>
          <w:lang w:val="en-GB"/>
        </w:rPr>
        <w:t xml:space="preserve">(Murty </w:t>
      </w:r>
      <w:r w:rsidR="0092319A" w:rsidRPr="004954B0">
        <w:rPr>
          <w:rFonts w:ascii="Arial" w:hAnsi="Arial" w:cs="Arial"/>
          <w:sz w:val="22"/>
          <w:szCs w:val="22"/>
          <w:lang w:val="en-GB"/>
        </w:rPr>
        <w:t>et al.,</w:t>
      </w:r>
      <w:r w:rsidR="00D95999" w:rsidRPr="004954B0">
        <w:rPr>
          <w:rFonts w:ascii="Arial" w:hAnsi="Arial" w:cs="Arial"/>
          <w:sz w:val="22"/>
          <w:szCs w:val="22"/>
          <w:lang w:val="en-GB"/>
        </w:rPr>
        <w:t xml:space="preserve"> 2020).</w:t>
      </w:r>
    </w:p>
    <w:p w14:paraId="1FB7AAC0" w14:textId="13D6F8DF" w:rsidR="00D95999" w:rsidRPr="004954B0" w:rsidRDefault="004975F1" w:rsidP="00D95999">
      <w:pPr>
        <w:pStyle w:val="Paragraph"/>
        <w:tabs>
          <w:tab w:val="num" w:pos="1440"/>
          <w:tab w:val="num" w:pos="1746"/>
        </w:tabs>
        <w:ind w:left="720" w:hanging="720"/>
        <w:rPr>
          <w:rFonts w:ascii="Arial" w:hAnsi="Arial" w:cs="Arial"/>
          <w:sz w:val="22"/>
          <w:szCs w:val="22"/>
          <w:lang w:val="en-GB"/>
        </w:rPr>
      </w:pPr>
      <w:r w:rsidRPr="004954B0">
        <w:rPr>
          <w:rFonts w:ascii="Arial" w:hAnsi="Arial" w:cs="Arial"/>
          <w:sz w:val="22"/>
          <w:szCs w:val="22"/>
          <w:lang w:val="en-GB"/>
        </w:rPr>
        <w:t xml:space="preserve">There is a large body of literature on the effectiveness of </w:t>
      </w:r>
      <w:r w:rsidR="00DB7BDA" w:rsidRPr="004954B0">
        <w:rPr>
          <w:rFonts w:ascii="Arial" w:hAnsi="Arial" w:cs="Arial"/>
          <w:sz w:val="22"/>
          <w:szCs w:val="22"/>
          <w:lang w:val="en-GB"/>
        </w:rPr>
        <w:t xml:space="preserve">PPE </w:t>
      </w:r>
      <w:r w:rsidRPr="004954B0">
        <w:rPr>
          <w:rFonts w:ascii="Arial" w:hAnsi="Arial" w:cs="Arial"/>
          <w:sz w:val="22"/>
          <w:szCs w:val="22"/>
          <w:lang w:val="en-GB"/>
        </w:rPr>
        <w:t>in reducing the risk of infection for healt</w:t>
      </w:r>
      <w:r w:rsidR="00DB7BDA" w:rsidRPr="004954B0">
        <w:rPr>
          <w:rFonts w:ascii="Arial" w:hAnsi="Arial" w:cs="Arial"/>
          <w:sz w:val="22"/>
          <w:szCs w:val="22"/>
          <w:lang w:val="en-GB"/>
        </w:rPr>
        <w:t>h</w:t>
      </w:r>
      <w:r w:rsidRPr="004954B0">
        <w:rPr>
          <w:rFonts w:ascii="Arial" w:hAnsi="Arial" w:cs="Arial"/>
          <w:sz w:val="22"/>
          <w:szCs w:val="22"/>
          <w:lang w:val="en-GB"/>
        </w:rPr>
        <w:t xml:space="preserve">care workers (Nishiyama </w:t>
      </w:r>
      <w:r w:rsidR="0092319A" w:rsidRPr="004954B0">
        <w:rPr>
          <w:rFonts w:ascii="Arial" w:hAnsi="Arial" w:cs="Arial"/>
          <w:sz w:val="22"/>
          <w:szCs w:val="22"/>
          <w:lang w:val="en-GB"/>
        </w:rPr>
        <w:t>et al.,</w:t>
      </w:r>
      <w:r w:rsidRPr="004954B0">
        <w:rPr>
          <w:rFonts w:ascii="Arial" w:hAnsi="Arial" w:cs="Arial"/>
          <w:sz w:val="22"/>
          <w:szCs w:val="22"/>
          <w:lang w:val="en-GB"/>
        </w:rPr>
        <w:t xml:space="preserve"> 2008; Seto </w:t>
      </w:r>
      <w:r w:rsidR="0092319A" w:rsidRPr="004954B0">
        <w:rPr>
          <w:rFonts w:ascii="Arial" w:hAnsi="Arial" w:cs="Arial"/>
          <w:sz w:val="22"/>
          <w:szCs w:val="22"/>
          <w:lang w:val="en-GB"/>
        </w:rPr>
        <w:t>et al.,</w:t>
      </w:r>
      <w:r w:rsidRPr="004954B0">
        <w:rPr>
          <w:rFonts w:ascii="Arial" w:hAnsi="Arial" w:cs="Arial"/>
          <w:sz w:val="22"/>
          <w:szCs w:val="22"/>
          <w:lang w:val="en-GB"/>
        </w:rPr>
        <w:t xml:space="preserve"> 2003; Yen </w:t>
      </w:r>
      <w:r w:rsidR="0092319A" w:rsidRPr="004954B0">
        <w:rPr>
          <w:rFonts w:ascii="Arial" w:hAnsi="Arial" w:cs="Arial"/>
          <w:sz w:val="22"/>
          <w:szCs w:val="22"/>
          <w:lang w:val="en-GB"/>
        </w:rPr>
        <w:t>et al.,</w:t>
      </w:r>
      <w:r w:rsidRPr="004954B0">
        <w:rPr>
          <w:rFonts w:ascii="Arial" w:hAnsi="Arial" w:cs="Arial"/>
          <w:sz w:val="22"/>
          <w:szCs w:val="22"/>
          <w:lang w:val="en-GB"/>
        </w:rPr>
        <w:t xml:space="preserve"> 2011). To avoid shortages of essential </w:t>
      </w:r>
      <w:r w:rsidR="00DB7BDA" w:rsidRPr="004954B0">
        <w:rPr>
          <w:rFonts w:ascii="Arial" w:hAnsi="Arial" w:cs="Arial"/>
          <w:sz w:val="22"/>
          <w:szCs w:val="22"/>
          <w:lang w:val="en-GB"/>
        </w:rPr>
        <w:t>PPE</w:t>
      </w:r>
      <w:r w:rsidRPr="004954B0">
        <w:rPr>
          <w:rFonts w:ascii="Arial" w:hAnsi="Arial" w:cs="Arial"/>
          <w:sz w:val="22"/>
          <w:szCs w:val="22"/>
          <w:lang w:val="en-GB"/>
        </w:rPr>
        <w:t xml:space="preserve"> during the response to </w:t>
      </w:r>
      <w:r w:rsidRPr="004954B0">
        <w:rPr>
          <w:rFonts w:ascii="Arial" w:hAnsi="Arial" w:cs="Arial"/>
          <w:sz w:val="22"/>
          <w:szCs w:val="22"/>
          <w:lang w:val="en-GB"/>
        </w:rPr>
        <w:lastRenderedPageBreak/>
        <w:t>COVID</w:t>
      </w:r>
      <w:r w:rsidR="00B71FD8">
        <w:rPr>
          <w:rFonts w:ascii="Arial" w:hAnsi="Arial" w:cs="Arial"/>
          <w:sz w:val="22"/>
          <w:szCs w:val="22"/>
          <w:lang w:val="en-GB"/>
        </w:rPr>
        <w:noBreakHyphen/>
      </w:r>
      <w:r w:rsidRPr="004954B0">
        <w:rPr>
          <w:rFonts w:ascii="Arial" w:hAnsi="Arial" w:cs="Arial"/>
          <w:sz w:val="22"/>
          <w:szCs w:val="22"/>
          <w:lang w:val="en-GB"/>
        </w:rPr>
        <w:t xml:space="preserve">19, </w:t>
      </w:r>
      <w:r w:rsidR="00DB7BDA" w:rsidRPr="004954B0">
        <w:rPr>
          <w:rFonts w:ascii="Arial" w:hAnsi="Arial" w:cs="Arial"/>
          <w:sz w:val="22"/>
          <w:szCs w:val="22"/>
          <w:lang w:val="en-GB"/>
        </w:rPr>
        <w:t xml:space="preserve">LAC </w:t>
      </w:r>
      <w:r w:rsidRPr="004954B0">
        <w:rPr>
          <w:rFonts w:ascii="Arial" w:hAnsi="Arial" w:cs="Arial"/>
          <w:sz w:val="22"/>
          <w:szCs w:val="22"/>
          <w:lang w:val="en-GB"/>
        </w:rPr>
        <w:t xml:space="preserve">governments should </w:t>
      </w:r>
      <w:r w:rsidR="00E05A16">
        <w:rPr>
          <w:rFonts w:ascii="Arial" w:hAnsi="Arial" w:cs="Arial"/>
          <w:sz w:val="22"/>
          <w:szCs w:val="22"/>
          <w:lang w:val="en-GB"/>
        </w:rPr>
        <w:t xml:space="preserve">continue to </w:t>
      </w:r>
      <w:r w:rsidRPr="004954B0">
        <w:rPr>
          <w:rFonts w:ascii="Arial" w:hAnsi="Arial" w:cs="Arial"/>
          <w:sz w:val="22"/>
          <w:szCs w:val="22"/>
          <w:lang w:val="en-GB"/>
        </w:rPr>
        <w:t xml:space="preserve">provide clear guidance on </w:t>
      </w:r>
      <w:r w:rsidR="00DB7BDA" w:rsidRPr="004954B0">
        <w:rPr>
          <w:rFonts w:ascii="Arial" w:hAnsi="Arial" w:cs="Arial"/>
          <w:sz w:val="22"/>
          <w:szCs w:val="22"/>
          <w:lang w:val="en-GB"/>
        </w:rPr>
        <w:t>its use</w:t>
      </w:r>
      <w:r w:rsidRPr="004954B0">
        <w:rPr>
          <w:rFonts w:ascii="Arial" w:hAnsi="Arial" w:cs="Arial"/>
          <w:sz w:val="22"/>
          <w:szCs w:val="22"/>
          <w:lang w:val="en-GB"/>
        </w:rPr>
        <w:t xml:space="preserve"> and ensure adequate supplies </w:t>
      </w:r>
      <w:r w:rsidR="00E05A16">
        <w:rPr>
          <w:rFonts w:ascii="Arial" w:hAnsi="Arial" w:cs="Arial"/>
          <w:sz w:val="22"/>
          <w:szCs w:val="22"/>
          <w:lang w:val="en-GB"/>
        </w:rPr>
        <w:t>throughout the emergency</w:t>
      </w:r>
      <w:r w:rsidR="00DB7BDA" w:rsidRPr="004954B0">
        <w:rPr>
          <w:rFonts w:ascii="Arial" w:hAnsi="Arial" w:cs="Arial"/>
          <w:sz w:val="22"/>
          <w:szCs w:val="22"/>
          <w:lang w:val="en-GB"/>
        </w:rPr>
        <w:t xml:space="preserve">. </w:t>
      </w:r>
      <w:r w:rsidRPr="004954B0">
        <w:rPr>
          <w:rFonts w:ascii="Arial" w:hAnsi="Arial" w:cs="Arial"/>
          <w:sz w:val="22"/>
          <w:szCs w:val="22"/>
          <w:lang w:val="en-GB"/>
        </w:rPr>
        <w:t xml:space="preserve">Governments should also consider producing medical supplies in the region to reduce the risks of </w:t>
      </w:r>
      <w:r w:rsidR="00DB7BDA" w:rsidRPr="004954B0">
        <w:rPr>
          <w:rFonts w:ascii="Arial" w:hAnsi="Arial" w:cs="Arial"/>
          <w:sz w:val="22"/>
          <w:szCs w:val="22"/>
          <w:lang w:val="en-GB"/>
        </w:rPr>
        <w:t>PPE</w:t>
      </w:r>
      <w:r w:rsidRPr="004954B0">
        <w:rPr>
          <w:rFonts w:ascii="Arial" w:hAnsi="Arial" w:cs="Arial"/>
          <w:sz w:val="22"/>
          <w:szCs w:val="22"/>
          <w:lang w:val="en-GB"/>
        </w:rPr>
        <w:t xml:space="preserve"> shortages at critical times </w:t>
      </w:r>
      <w:r w:rsidR="00D95999" w:rsidRPr="004954B0">
        <w:rPr>
          <w:rFonts w:ascii="Arial" w:hAnsi="Arial" w:cs="Arial"/>
          <w:sz w:val="22"/>
          <w:szCs w:val="22"/>
          <w:lang w:val="en-GB"/>
        </w:rPr>
        <w:t>(Hopman</w:t>
      </w:r>
      <w:r w:rsidR="00D7178E" w:rsidRPr="004954B0">
        <w:rPr>
          <w:rFonts w:ascii="Arial" w:hAnsi="Arial" w:cs="Arial"/>
          <w:sz w:val="22"/>
          <w:szCs w:val="22"/>
          <w:lang w:val="en-GB"/>
        </w:rPr>
        <w:t xml:space="preserve">, Allegranzi, and Mehtar, </w:t>
      </w:r>
      <w:r w:rsidR="00D95999" w:rsidRPr="004954B0">
        <w:rPr>
          <w:rFonts w:ascii="Arial" w:hAnsi="Arial" w:cs="Arial"/>
          <w:sz w:val="22"/>
          <w:szCs w:val="22"/>
          <w:lang w:val="en-GB"/>
        </w:rPr>
        <w:t>2020).</w:t>
      </w:r>
    </w:p>
    <w:p w14:paraId="3DF7D42C" w14:textId="2E8E1168" w:rsidR="00D95999" w:rsidRPr="004954B0" w:rsidRDefault="00AE1C79" w:rsidP="00821780">
      <w:pPr>
        <w:pStyle w:val="AutoNumpara"/>
        <w:tabs>
          <w:tab w:val="clear" w:pos="360"/>
        </w:tabs>
        <w:spacing w:line="276" w:lineRule="auto"/>
        <w:ind w:left="0"/>
        <w:rPr>
          <w:rFonts w:ascii="Arial" w:eastAsia="Arial" w:hAnsi="Arial" w:cs="Arial"/>
          <w:noProof w:val="0"/>
          <w:spacing w:val="0"/>
          <w:sz w:val="22"/>
          <w:szCs w:val="22"/>
          <w:u w:val="single"/>
          <w:lang w:val="en-GB"/>
        </w:rPr>
      </w:pPr>
      <w:r w:rsidRPr="004954B0">
        <w:rPr>
          <w:rFonts w:ascii="Arial" w:eastAsia="Arial" w:hAnsi="Arial" w:cs="Arial"/>
          <w:noProof w:val="0"/>
          <w:spacing w:val="0"/>
          <w:sz w:val="22"/>
          <w:szCs w:val="22"/>
          <w:u w:val="single"/>
          <w:lang w:val="en-GB"/>
        </w:rPr>
        <w:t>P</w:t>
      </w:r>
      <w:r w:rsidR="00880353" w:rsidRPr="004954B0">
        <w:rPr>
          <w:rFonts w:ascii="Arial" w:eastAsia="Arial" w:hAnsi="Arial" w:cs="Arial"/>
          <w:noProof w:val="0"/>
          <w:spacing w:val="0"/>
          <w:sz w:val="22"/>
          <w:szCs w:val="22"/>
          <w:u w:val="single"/>
          <w:lang w:val="en-GB"/>
        </w:rPr>
        <w:t>rotection of household income and liquidity for businesses</w:t>
      </w:r>
    </w:p>
    <w:p w14:paraId="47A0C8D6" w14:textId="39163417" w:rsidR="00821780" w:rsidRPr="004954B0" w:rsidRDefault="00541432" w:rsidP="004267F1">
      <w:pPr>
        <w:pStyle w:val="Paragraph"/>
        <w:tabs>
          <w:tab w:val="num" w:pos="1440"/>
          <w:tab w:val="num" w:pos="1746"/>
        </w:tabs>
        <w:ind w:left="720" w:hanging="720"/>
        <w:rPr>
          <w:rFonts w:ascii="Arial" w:hAnsi="Arial" w:cs="Arial"/>
          <w:sz w:val="22"/>
          <w:szCs w:val="22"/>
          <w:lang w:val="en-GB"/>
        </w:rPr>
      </w:pPr>
      <w:r w:rsidRPr="004954B0">
        <w:rPr>
          <w:rFonts w:ascii="Arial" w:hAnsi="Arial" w:cs="Arial"/>
          <w:sz w:val="22"/>
          <w:szCs w:val="22"/>
          <w:lang w:val="en-GB"/>
        </w:rPr>
        <w:t>Given</w:t>
      </w:r>
      <w:r w:rsidR="00E81A8B" w:rsidRPr="004954B0">
        <w:rPr>
          <w:rFonts w:ascii="Arial" w:hAnsi="Arial" w:cs="Arial"/>
          <w:sz w:val="22"/>
          <w:szCs w:val="22"/>
          <w:lang w:val="en-GB"/>
        </w:rPr>
        <w:t xml:space="preserve"> the </w:t>
      </w:r>
      <w:r w:rsidR="00DB7BDA" w:rsidRPr="004954B0">
        <w:rPr>
          <w:rFonts w:ascii="Arial" w:hAnsi="Arial" w:cs="Arial"/>
          <w:sz w:val="22"/>
          <w:szCs w:val="22"/>
          <w:lang w:val="en-GB"/>
        </w:rPr>
        <w:t xml:space="preserve">enormity of the </w:t>
      </w:r>
      <w:r w:rsidR="00E81A8B" w:rsidRPr="004954B0">
        <w:rPr>
          <w:rFonts w:ascii="Arial" w:hAnsi="Arial" w:cs="Arial"/>
          <w:sz w:val="22"/>
          <w:szCs w:val="22"/>
          <w:lang w:val="en-GB"/>
        </w:rPr>
        <w:t xml:space="preserve">COVID-19 outbreak, </w:t>
      </w:r>
      <w:r w:rsidR="00DB7BDA" w:rsidRPr="004954B0">
        <w:rPr>
          <w:rFonts w:ascii="Arial" w:hAnsi="Arial" w:cs="Arial"/>
          <w:sz w:val="22"/>
          <w:szCs w:val="22"/>
          <w:lang w:val="en-GB"/>
        </w:rPr>
        <w:t xml:space="preserve">it is more critical than ever to implement </w:t>
      </w:r>
      <w:r w:rsidR="00E81A8B" w:rsidRPr="004954B0">
        <w:rPr>
          <w:rFonts w:ascii="Arial" w:hAnsi="Arial" w:cs="Arial"/>
          <w:sz w:val="22"/>
          <w:szCs w:val="22"/>
          <w:lang w:val="en-GB"/>
        </w:rPr>
        <w:t>social protection measures</w:t>
      </w:r>
      <w:r w:rsidR="00DB7BDA" w:rsidRPr="004954B0">
        <w:rPr>
          <w:rFonts w:ascii="Arial" w:hAnsi="Arial" w:cs="Arial"/>
          <w:sz w:val="22"/>
          <w:szCs w:val="22"/>
          <w:lang w:val="en-GB"/>
        </w:rPr>
        <w:t xml:space="preserve"> in the LAC region</w:t>
      </w:r>
      <w:r w:rsidR="00E81A8B" w:rsidRPr="004954B0">
        <w:rPr>
          <w:rFonts w:ascii="Arial" w:hAnsi="Arial" w:cs="Arial"/>
          <w:sz w:val="22"/>
          <w:szCs w:val="22"/>
          <w:lang w:val="en-GB"/>
        </w:rPr>
        <w:t xml:space="preserve">. Among these, conditional and unconditional transfers, whether in cash or in kind, are a widely </w:t>
      </w:r>
      <w:r w:rsidR="00845453" w:rsidRPr="004954B0">
        <w:rPr>
          <w:rFonts w:ascii="Arial" w:hAnsi="Arial" w:cs="Arial"/>
          <w:sz w:val="22"/>
          <w:szCs w:val="22"/>
          <w:lang w:val="en-GB"/>
        </w:rPr>
        <w:t>used policy tool</w:t>
      </w:r>
      <w:r w:rsidR="00E81A8B" w:rsidRPr="004954B0">
        <w:rPr>
          <w:rFonts w:ascii="Arial" w:hAnsi="Arial" w:cs="Arial"/>
          <w:sz w:val="22"/>
          <w:szCs w:val="22"/>
          <w:lang w:val="en-GB"/>
        </w:rPr>
        <w:t xml:space="preserve">. There is extensive evidence in the literature on the effect of cash transfers in reducing poverty and protecting the most vulnerable households from falling into </w:t>
      </w:r>
      <w:r w:rsidR="00DB7BDA" w:rsidRPr="004954B0">
        <w:rPr>
          <w:rFonts w:ascii="Arial" w:hAnsi="Arial" w:cs="Arial"/>
          <w:sz w:val="22"/>
          <w:szCs w:val="22"/>
          <w:lang w:val="en-GB"/>
        </w:rPr>
        <w:t>its depths</w:t>
      </w:r>
      <w:r w:rsidR="00E81A8B" w:rsidRPr="004954B0">
        <w:rPr>
          <w:rFonts w:ascii="Arial" w:hAnsi="Arial" w:cs="Arial"/>
          <w:sz w:val="22"/>
          <w:szCs w:val="22"/>
          <w:lang w:val="en-GB"/>
        </w:rPr>
        <w:t xml:space="preserve"> due to negative income shocks. A review of several evaluations of </w:t>
      </w:r>
      <w:r w:rsidR="00C7068A" w:rsidRPr="004954B0">
        <w:rPr>
          <w:rFonts w:ascii="Arial" w:hAnsi="Arial" w:cs="Arial"/>
          <w:sz w:val="22"/>
          <w:szCs w:val="22"/>
          <w:lang w:val="en-GB"/>
        </w:rPr>
        <w:t>C</w:t>
      </w:r>
      <w:r w:rsidR="00E81A8B" w:rsidRPr="004954B0">
        <w:rPr>
          <w:rFonts w:ascii="Arial" w:hAnsi="Arial" w:cs="Arial"/>
          <w:sz w:val="22"/>
          <w:szCs w:val="22"/>
          <w:lang w:val="en-GB"/>
        </w:rPr>
        <w:t xml:space="preserve">onditional </w:t>
      </w:r>
      <w:r w:rsidR="00C7068A" w:rsidRPr="004954B0">
        <w:rPr>
          <w:rFonts w:ascii="Arial" w:hAnsi="Arial" w:cs="Arial"/>
          <w:sz w:val="22"/>
          <w:szCs w:val="22"/>
          <w:lang w:val="en-GB"/>
        </w:rPr>
        <w:t>C</w:t>
      </w:r>
      <w:r w:rsidR="00E81A8B" w:rsidRPr="004954B0">
        <w:rPr>
          <w:rFonts w:ascii="Arial" w:hAnsi="Arial" w:cs="Arial"/>
          <w:sz w:val="22"/>
          <w:szCs w:val="22"/>
          <w:lang w:val="en-GB"/>
        </w:rPr>
        <w:t xml:space="preserve">ash </w:t>
      </w:r>
      <w:r w:rsidR="00C7068A" w:rsidRPr="004954B0">
        <w:rPr>
          <w:rFonts w:ascii="Arial" w:hAnsi="Arial" w:cs="Arial"/>
          <w:sz w:val="22"/>
          <w:szCs w:val="22"/>
          <w:lang w:val="en-GB"/>
        </w:rPr>
        <w:t>T</w:t>
      </w:r>
      <w:r w:rsidR="00E81A8B" w:rsidRPr="004954B0">
        <w:rPr>
          <w:rFonts w:ascii="Arial" w:hAnsi="Arial" w:cs="Arial"/>
          <w:sz w:val="22"/>
          <w:szCs w:val="22"/>
          <w:lang w:val="en-GB"/>
        </w:rPr>
        <w:t xml:space="preserve">ransfer (CCT) </w:t>
      </w:r>
      <w:r w:rsidR="001670AF" w:rsidRPr="004954B0">
        <w:rPr>
          <w:rFonts w:ascii="Arial" w:hAnsi="Arial" w:cs="Arial"/>
          <w:sz w:val="22"/>
          <w:szCs w:val="22"/>
          <w:lang w:val="en-GB"/>
        </w:rPr>
        <w:t>programmes</w:t>
      </w:r>
      <w:r w:rsidR="00E81A8B" w:rsidRPr="004954B0">
        <w:rPr>
          <w:rFonts w:ascii="Arial" w:hAnsi="Arial" w:cs="Arial"/>
          <w:sz w:val="22"/>
          <w:szCs w:val="22"/>
          <w:lang w:val="en-GB"/>
        </w:rPr>
        <w:t xml:space="preserve"> in the region shows generally positive impacts on household consumption, especially when the amount of the transfer is significant. Moreover, since transfers are mostly targeted at poor households, the effects on consumption have translated into impacts on poverty reduction (Fiszbein </w:t>
      </w:r>
      <w:r w:rsidR="0092319A" w:rsidRPr="004954B0">
        <w:rPr>
          <w:rFonts w:ascii="Arial" w:hAnsi="Arial" w:cs="Arial"/>
          <w:sz w:val="22"/>
          <w:szCs w:val="22"/>
          <w:lang w:val="en-GB"/>
        </w:rPr>
        <w:t>and</w:t>
      </w:r>
      <w:r w:rsidR="00E81A8B" w:rsidRPr="004954B0">
        <w:rPr>
          <w:rFonts w:ascii="Arial" w:hAnsi="Arial" w:cs="Arial"/>
          <w:sz w:val="22"/>
          <w:szCs w:val="22"/>
          <w:lang w:val="en-GB"/>
        </w:rPr>
        <w:t xml:space="preserve"> Schady, 2009). </w:t>
      </w:r>
      <w:r w:rsidR="007C1490" w:rsidRPr="004954B0">
        <w:rPr>
          <w:rFonts w:ascii="Arial" w:hAnsi="Arial" w:cs="Arial"/>
          <w:sz w:val="22"/>
          <w:szCs w:val="22"/>
          <w:lang w:val="en-GB"/>
        </w:rPr>
        <w:t>R</w:t>
      </w:r>
      <w:r w:rsidR="0003637C" w:rsidRPr="004954B0">
        <w:rPr>
          <w:rFonts w:ascii="Arial" w:hAnsi="Arial" w:cs="Arial"/>
          <w:sz w:val="22"/>
          <w:szCs w:val="22"/>
          <w:lang w:val="en-GB"/>
        </w:rPr>
        <w:t>ecent</w:t>
      </w:r>
      <w:r w:rsidR="00E81A8B" w:rsidRPr="004954B0">
        <w:rPr>
          <w:rFonts w:ascii="Arial" w:hAnsi="Arial" w:cs="Arial"/>
          <w:sz w:val="22"/>
          <w:szCs w:val="22"/>
          <w:lang w:val="en-GB"/>
        </w:rPr>
        <w:t xml:space="preserve"> evidence from 44 </w:t>
      </w:r>
      <w:r w:rsidR="00F450CB" w:rsidRPr="004954B0">
        <w:rPr>
          <w:rFonts w:ascii="Arial" w:hAnsi="Arial" w:cs="Arial"/>
          <w:sz w:val="22"/>
          <w:szCs w:val="22"/>
          <w:lang w:val="en-GB"/>
        </w:rPr>
        <w:t xml:space="preserve">global </w:t>
      </w:r>
      <w:r w:rsidR="00E81A8B" w:rsidRPr="004954B0">
        <w:rPr>
          <w:rFonts w:ascii="Arial" w:hAnsi="Arial" w:cs="Arial"/>
          <w:sz w:val="22"/>
          <w:szCs w:val="22"/>
          <w:lang w:val="en-GB"/>
        </w:rPr>
        <w:t xml:space="preserve">studies </w:t>
      </w:r>
      <w:r w:rsidR="00F450CB" w:rsidRPr="004954B0">
        <w:rPr>
          <w:rFonts w:ascii="Arial" w:hAnsi="Arial" w:cs="Arial"/>
          <w:sz w:val="22"/>
          <w:szCs w:val="22"/>
          <w:lang w:val="en-GB"/>
        </w:rPr>
        <w:t>on the</w:t>
      </w:r>
      <w:r w:rsidR="00E81A8B" w:rsidRPr="004954B0">
        <w:rPr>
          <w:rFonts w:ascii="Arial" w:hAnsi="Arial" w:cs="Arial"/>
          <w:sz w:val="22"/>
          <w:szCs w:val="22"/>
          <w:lang w:val="en-GB"/>
        </w:rPr>
        <w:t xml:space="preserve"> impact of </w:t>
      </w:r>
      <w:r w:rsidR="00F450CB" w:rsidRPr="004954B0">
        <w:rPr>
          <w:rFonts w:ascii="Arial" w:hAnsi="Arial" w:cs="Arial"/>
          <w:sz w:val="22"/>
          <w:szCs w:val="22"/>
          <w:lang w:val="en-GB"/>
        </w:rPr>
        <w:t>cash transfers</w:t>
      </w:r>
      <w:r w:rsidR="00E81A8B" w:rsidRPr="004954B0">
        <w:rPr>
          <w:rFonts w:ascii="Arial" w:hAnsi="Arial" w:cs="Arial"/>
          <w:sz w:val="22"/>
          <w:szCs w:val="22"/>
          <w:lang w:val="en-GB"/>
        </w:rPr>
        <w:t xml:space="preserve"> </w:t>
      </w:r>
      <w:r w:rsidR="000018A7" w:rsidRPr="004954B0">
        <w:rPr>
          <w:rFonts w:ascii="Arial" w:hAnsi="Arial" w:cs="Arial"/>
          <w:sz w:val="22"/>
          <w:szCs w:val="22"/>
          <w:lang w:val="en-GB" w:eastAsia="zh-CN"/>
        </w:rPr>
        <w:t>finds</w:t>
      </w:r>
      <w:r w:rsidR="00E81A8B" w:rsidRPr="004954B0">
        <w:rPr>
          <w:rFonts w:ascii="Arial" w:hAnsi="Arial" w:cs="Arial"/>
          <w:sz w:val="22"/>
          <w:szCs w:val="22"/>
          <w:lang w:val="en-GB"/>
        </w:rPr>
        <w:t xml:space="preserve"> positive effects on total household expenditure between 2.8 (Colombia) and</w:t>
      </w:r>
      <w:r w:rsidR="00993816" w:rsidRPr="004954B0">
        <w:rPr>
          <w:rFonts w:ascii="Arial" w:hAnsi="Arial" w:cs="Arial"/>
          <w:sz w:val="22"/>
          <w:szCs w:val="22"/>
          <w:lang w:val="en-GB"/>
        </w:rPr>
        <w:t xml:space="preserve"> 33 percentage points (Peru); </w:t>
      </w:r>
      <w:r w:rsidR="00E81A8B" w:rsidRPr="004954B0">
        <w:rPr>
          <w:rFonts w:ascii="Arial" w:hAnsi="Arial" w:cs="Arial"/>
          <w:sz w:val="22"/>
          <w:szCs w:val="22"/>
          <w:lang w:val="en-GB"/>
        </w:rPr>
        <w:t xml:space="preserve">positive effects on food expenditure; and reductions in poverty </w:t>
      </w:r>
      <w:r w:rsidR="002462E4" w:rsidRPr="004954B0">
        <w:rPr>
          <w:rFonts w:ascii="Arial" w:hAnsi="Arial" w:cs="Arial"/>
          <w:sz w:val="22"/>
          <w:szCs w:val="22"/>
          <w:lang w:val="en-GB"/>
        </w:rPr>
        <w:t>incidence</w:t>
      </w:r>
      <w:r w:rsidR="00E81A8B" w:rsidRPr="004954B0">
        <w:rPr>
          <w:rFonts w:ascii="Arial" w:hAnsi="Arial" w:cs="Arial"/>
          <w:sz w:val="22"/>
          <w:szCs w:val="22"/>
          <w:lang w:val="en-GB"/>
        </w:rPr>
        <w:t xml:space="preserve"> </w:t>
      </w:r>
      <w:r w:rsidR="00E81A8B" w:rsidRPr="004954B0">
        <w:rPr>
          <w:rFonts w:ascii="Arial" w:hAnsi="Arial" w:cs="Arial"/>
          <w:sz w:val="22"/>
          <w:szCs w:val="22"/>
          <w:lang w:val="en-GB" w:eastAsia="zh-CN"/>
        </w:rPr>
        <w:t xml:space="preserve">between </w:t>
      </w:r>
      <w:r w:rsidR="00E81A8B" w:rsidRPr="004954B0">
        <w:rPr>
          <w:rFonts w:ascii="Arial" w:hAnsi="Arial" w:cs="Arial"/>
          <w:sz w:val="22"/>
          <w:szCs w:val="22"/>
          <w:lang w:val="en-GB"/>
        </w:rPr>
        <w:t>4</w:t>
      </w:r>
      <w:r w:rsidR="00B71FD8">
        <w:rPr>
          <w:rFonts w:ascii="Arial" w:hAnsi="Arial" w:cs="Arial"/>
          <w:sz w:val="22"/>
          <w:szCs w:val="22"/>
          <w:lang w:val="en-GB"/>
        </w:rPr>
        <w:t> </w:t>
      </w:r>
      <w:r w:rsidR="00E81A8B" w:rsidRPr="004954B0">
        <w:rPr>
          <w:rFonts w:ascii="Arial" w:hAnsi="Arial" w:cs="Arial"/>
          <w:sz w:val="22"/>
          <w:szCs w:val="22"/>
          <w:lang w:val="en-GB"/>
        </w:rPr>
        <w:t xml:space="preserve">(Zambia) </w:t>
      </w:r>
      <w:r w:rsidR="00E81A8B" w:rsidRPr="004954B0">
        <w:rPr>
          <w:rFonts w:ascii="Arial" w:hAnsi="Arial" w:cs="Arial"/>
          <w:sz w:val="22"/>
          <w:szCs w:val="22"/>
          <w:lang w:val="en-GB" w:eastAsia="zh-CN"/>
        </w:rPr>
        <w:t>and</w:t>
      </w:r>
      <w:r w:rsidR="00E81A8B" w:rsidRPr="004954B0">
        <w:rPr>
          <w:rFonts w:ascii="Arial" w:hAnsi="Arial" w:cs="Arial"/>
          <w:sz w:val="22"/>
          <w:szCs w:val="22"/>
          <w:lang w:val="en-GB"/>
        </w:rPr>
        <w:t xml:space="preserve"> nearly 9 percentage points</w:t>
      </w:r>
      <w:r w:rsidR="00821780" w:rsidRPr="004954B0">
        <w:rPr>
          <w:rFonts w:ascii="Arial" w:hAnsi="Arial" w:cs="Arial"/>
          <w:sz w:val="22"/>
          <w:szCs w:val="22"/>
          <w:lang w:val="en-GB"/>
        </w:rPr>
        <w:t xml:space="preserve"> (</w:t>
      </w:r>
      <w:r w:rsidR="0092319A" w:rsidRPr="004954B0">
        <w:rPr>
          <w:rFonts w:ascii="Arial" w:hAnsi="Arial" w:cs="Arial"/>
          <w:sz w:val="22"/>
          <w:szCs w:val="22"/>
          <w:lang w:val="en-GB"/>
        </w:rPr>
        <w:t>Mexico</w:t>
      </w:r>
      <w:r w:rsidR="00821780" w:rsidRPr="004954B0">
        <w:rPr>
          <w:rFonts w:ascii="Arial" w:hAnsi="Arial" w:cs="Arial"/>
          <w:sz w:val="22"/>
          <w:szCs w:val="22"/>
          <w:lang w:val="en-GB"/>
        </w:rPr>
        <w:t xml:space="preserve">) </w:t>
      </w:r>
      <w:r w:rsidR="00821780" w:rsidRPr="004954B0">
        <w:rPr>
          <w:rFonts w:ascii="Arial" w:hAnsi="Arial" w:cs="Arial"/>
          <w:sz w:val="22"/>
          <w:szCs w:val="22"/>
          <w:lang w:val="en-GB"/>
        </w:rPr>
        <w:fldChar w:fldCharType="begin" w:fldLock="1"/>
      </w:r>
      <w:r w:rsidR="00821780" w:rsidRPr="004954B0">
        <w:rPr>
          <w:rFonts w:ascii="Arial" w:hAnsi="Arial" w:cs="Arial"/>
          <w:sz w:val="22"/>
          <w:szCs w:val="22"/>
          <w:lang w:val="en-GB"/>
        </w:rPr>
        <w:instrText>ADDIN CSL_CITATION {"citationItems":[{"id":"ITEM-1","itemData":{"DOI":"DOI: 10.13140/RG.2.2.29336.39687","author":[{"dropping-particle":"","family":"Bastagli","given":"Francesca","non-dropping-particle":"","parse-names":false,"suffix":""},{"dropping-particle":"","family":"Hagen-Zanker","given":"Jessica","non-dropping-particle":"","parse-names":false,"suffix":""},{"dropping-particle":"","family":"Harman","given":"Luke","non-dropping-particle":"","parse-names":false,"suffix":""},{"dropping-particle":"","family":"Barca","given":"Valentina","non-dropping-particle":"","parse-names":false,"suffix":""},{"dropping-particle":"","family":"Sturge","given":"Georgina","non-dropping-particle":"","parse-names":false,"suffix":""},{"dropping-particle":"","family":"Schmidt","given":"Tanja","non-dropping-particle":"","parse-names":false,"suffix":""}],"container-title":"Cash transfers: what does the evidence say?","id":"ITEM-1","issue":"July","issued":{"date-parts":[["2016"]]},"title":"Cash transfers: What does the evidence... (PDF Download Available)","type":"article-journal"},"uris":["http://www.mendeley.com/documents/?uuid=e518c714-d91c-4e5a-9328-8dadb19cc184"]}],"mendeley":{"formattedCitation":"(Bastagli et al., 2016)","plainTextFormattedCitation":"(Bastagli et al., 2016)","previouslyFormattedCitation":"(Bastagli et al., 2016)"},"properties":{"noteIndex":0},"schema":"https://github.com/citation-style-language/schema/raw/master/csl-citation.json"}</w:instrText>
      </w:r>
      <w:r w:rsidR="00821780" w:rsidRPr="004954B0">
        <w:rPr>
          <w:rFonts w:ascii="Arial" w:hAnsi="Arial" w:cs="Arial"/>
          <w:sz w:val="22"/>
          <w:szCs w:val="22"/>
          <w:lang w:val="en-GB"/>
        </w:rPr>
        <w:fldChar w:fldCharType="separate"/>
      </w:r>
      <w:r w:rsidR="00821780" w:rsidRPr="004954B0">
        <w:rPr>
          <w:rFonts w:ascii="Arial" w:hAnsi="Arial" w:cs="Arial"/>
          <w:sz w:val="22"/>
          <w:szCs w:val="22"/>
          <w:lang w:val="en-GB"/>
        </w:rPr>
        <w:t>(Bastagli et al., 2016)</w:t>
      </w:r>
      <w:r w:rsidR="00821780" w:rsidRPr="004954B0">
        <w:rPr>
          <w:rFonts w:ascii="Arial" w:hAnsi="Arial" w:cs="Arial"/>
          <w:sz w:val="22"/>
          <w:szCs w:val="22"/>
          <w:lang w:val="en-GB"/>
        </w:rPr>
        <w:fldChar w:fldCharType="end"/>
      </w:r>
      <w:r w:rsidR="00821780" w:rsidRPr="004954B0">
        <w:rPr>
          <w:rFonts w:ascii="Arial" w:hAnsi="Arial" w:cs="Arial"/>
          <w:sz w:val="22"/>
          <w:szCs w:val="22"/>
          <w:lang w:val="en-GB"/>
        </w:rPr>
        <w:t xml:space="preserve">. </w:t>
      </w:r>
    </w:p>
    <w:p w14:paraId="7E45923B" w14:textId="0EF143A2" w:rsidR="00821780" w:rsidRPr="004954B0" w:rsidRDefault="00A12BD3" w:rsidP="00A12BD3">
      <w:pPr>
        <w:pStyle w:val="Paragraph"/>
        <w:tabs>
          <w:tab w:val="num" w:pos="1440"/>
          <w:tab w:val="num" w:pos="1746"/>
        </w:tabs>
        <w:ind w:left="720" w:hanging="720"/>
        <w:rPr>
          <w:rFonts w:ascii="Arial" w:hAnsi="Arial" w:cs="Arial"/>
          <w:sz w:val="22"/>
          <w:szCs w:val="22"/>
          <w:lang w:val="en-GB"/>
        </w:rPr>
      </w:pPr>
      <w:r w:rsidRPr="004954B0">
        <w:rPr>
          <w:rFonts w:ascii="Arial" w:hAnsi="Arial" w:cs="Arial"/>
          <w:sz w:val="22"/>
          <w:szCs w:val="22"/>
          <w:lang w:val="en-GB"/>
        </w:rPr>
        <w:t xml:space="preserve">In addition to effects on poverty, cash transfers can have an impact on human capital </w:t>
      </w:r>
      <w:r w:rsidR="005C5750" w:rsidRPr="004954B0">
        <w:rPr>
          <w:rFonts w:ascii="Arial" w:hAnsi="Arial" w:cs="Arial"/>
          <w:sz w:val="22"/>
          <w:szCs w:val="22"/>
          <w:lang w:val="en-GB"/>
        </w:rPr>
        <w:t xml:space="preserve">investment indicators </w:t>
      </w:r>
      <w:r w:rsidRPr="004954B0">
        <w:rPr>
          <w:rFonts w:ascii="Arial" w:hAnsi="Arial" w:cs="Arial"/>
          <w:sz w:val="22"/>
          <w:szCs w:val="22"/>
          <w:lang w:val="en-GB"/>
        </w:rPr>
        <w:t>(health</w:t>
      </w:r>
      <w:r w:rsidR="00A35A98" w:rsidRPr="004954B0">
        <w:rPr>
          <w:rFonts w:ascii="Arial" w:hAnsi="Arial" w:cs="Arial"/>
          <w:sz w:val="22"/>
          <w:szCs w:val="22"/>
          <w:lang w:val="en-GB"/>
        </w:rPr>
        <w:t xml:space="preserve"> or</w:t>
      </w:r>
      <w:r w:rsidRPr="004954B0">
        <w:rPr>
          <w:rFonts w:ascii="Arial" w:hAnsi="Arial" w:cs="Arial"/>
          <w:sz w:val="22"/>
          <w:szCs w:val="22"/>
          <w:lang w:val="en-GB"/>
        </w:rPr>
        <w:t xml:space="preserve"> education), either directly through increas</w:t>
      </w:r>
      <w:r w:rsidR="0094256C" w:rsidRPr="004954B0">
        <w:rPr>
          <w:rFonts w:ascii="Arial" w:hAnsi="Arial" w:cs="Arial"/>
          <w:sz w:val="22"/>
          <w:szCs w:val="22"/>
          <w:lang w:val="en-GB"/>
        </w:rPr>
        <w:t>ed</w:t>
      </w:r>
      <w:r w:rsidRPr="004954B0">
        <w:rPr>
          <w:rFonts w:ascii="Arial" w:hAnsi="Arial" w:cs="Arial"/>
          <w:sz w:val="22"/>
          <w:szCs w:val="22"/>
          <w:lang w:val="en-GB"/>
        </w:rPr>
        <w:t xml:space="preserve"> income or indirectly through </w:t>
      </w:r>
      <w:r w:rsidR="000018A7" w:rsidRPr="004954B0">
        <w:rPr>
          <w:rFonts w:ascii="Arial" w:hAnsi="Arial" w:cs="Arial"/>
          <w:sz w:val="22"/>
          <w:szCs w:val="22"/>
          <w:lang w:val="en-GB"/>
        </w:rPr>
        <w:t>behavioural</w:t>
      </w:r>
      <w:r w:rsidRPr="004954B0">
        <w:rPr>
          <w:rFonts w:ascii="Arial" w:hAnsi="Arial" w:cs="Arial"/>
          <w:sz w:val="22"/>
          <w:szCs w:val="22"/>
          <w:lang w:val="en-GB"/>
        </w:rPr>
        <w:t xml:space="preserve"> changes associated with transfer conditions in the case of CCTs. A </w:t>
      </w:r>
      <w:r w:rsidR="00EC3736" w:rsidRPr="004954B0">
        <w:rPr>
          <w:rFonts w:ascii="Arial" w:hAnsi="Arial" w:cs="Arial"/>
          <w:sz w:val="22"/>
          <w:szCs w:val="22"/>
          <w:lang w:val="en-GB"/>
        </w:rPr>
        <w:t>thorough</w:t>
      </w:r>
      <w:r w:rsidRPr="004954B0">
        <w:rPr>
          <w:rFonts w:ascii="Arial" w:hAnsi="Arial" w:cs="Arial"/>
          <w:sz w:val="22"/>
          <w:szCs w:val="22"/>
          <w:lang w:val="en-GB"/>
        </w:rPr>
        <w:t xml:space="preserve"> review of impact evaluations shows that even unconditional cash transfers can improve some health and nutrition indicators</w:t>
      </w:r>
      <w:r w:rsidR="00F450CB" w:rsidRPr="004954B0">
        <w:rPr>
          <w:rFonts w:ascii="Arial" w:hAnsi="Arial" w:cs="Arial"/>
          <w:sz w:val="22"/>
          <w:szCs w:val="22"/>
          <w:lang w:val="en-GB"/>
        </w:rPr>
        <w:t>,</w:t>
      </w:r>
      <w:r w:rsidRPr="004954B0">
        <w:rPr>
          <w:rFonts w:ascii="Arial" w:hAnsi="Arial" w:cs="Arial"/>
          <w:sz w:val="22"/>
          <w:szCs w:val="22"/>
          <w:lang w:val="en-GB"/>
        </w:rPr>
        <w:t xml:space="preserve"> such as the probability of sickness and food security </w:t>
      </w:r>
      <w:r w:rsidR="00821780" w:rsidRPr="004954B0">
        <w:rPr>
          <w:rFonts w:ascii="Arial" w:hAnsi="Arial" w:cs="Arial"/>
          <w:sz w:val="22"/>
          <w:szCs w:val="22"/>
          <w:lang w:val="en-GB"/>
        </w:rPr>
        <w:fldChar w:fldCharType="begin" w:fldLock="1"/>
      </w:r>
      <w:r w:rsidR="00821780" w:rsidRPr="004954B0">
        <w:rPr>
          <w:rFonts w:ascii="Arial" w:hAnsi="Arial" w:cs="Arial"/>
          <w:sz w:val="22"/>
          <w:szCs w:val="22"/>
          <w:lang w:val="en-GB"/>
        </w:rPr>
        <w:instrText>ADDIN CSL_CITATION {"citationItems":[{"id":"ITEM-1","itemData":{"DOI":"10.1002/14651858.CD011135.pub2","ISSN":"1469493X","abstract":"Background: Unconditional cash transfers (UCTs; provided without obligation) for reducing poverty and vulnerabilities (e.g. orphanhood, old age or HIV infection) are a type of social protection intervention that addresses a key social determinant of health (income) in low- and middle-income countries (LMICs). The relative effectiveness of UCTs compared with conditional cash transfers (CCTs; provided so long as the recipient engages in prescribed behaviours such as using a health service or attending school) is unknown. Objectives: To assess the effects of UCTs for improving health services use and health outcomes in vulnerable children and adults in LMICs. Secondary objectives are to assess the effects of UCTs on social determinants of health and healthcare expenditure and to compare to effects of UCTs versus CCTs. Search methods: We searched 17 electronic academic databases, including the Cochrane Public Health Group Specialised Register, the Cochrane Database of Systematic Reviews (the Cochrane Library 2017, Issue 5), MEDLINE and Embase, in May 2017. We also searched six electronic grey literature databases and websites of key organisations, handsearched key journals and included records, and sought expert advice. Selection criteria: We included both parallel group and cluster-randomised controlled trials (RCTs), quasi-RCTs, cohort and controlled before-and-after (CBAs) studies, and interrupted time series studies of UCT interventions in children (0 to 17 years) and adults (18 years or older) in LMICs. Comparison groups received either no UCT or a smaller UCT. Our primary outcomes were any health services use or health outcome. Data collection and analysis: Two reviewers independently screened potentially relevant records for inclusion criteria, extracted data and assessed the risk of bias. We tried to obtain missing data from study authors if feasible. For cluster-RCTs, we generally calculated risk ratios for dichotomous outcomes from crude frequency measures in approximately correct analyses. Meta-analyses applied the inverse variance or Mantel-Haenszel method with random effects. We assessed the quality of evidence using the GRADE approach. Main results: We included 21 studies (16 cluster-RCTs, 4 CBAs and 1 cohort study) involving 1,092,877 participants (36,068 children and 1,056,809 adults) and 31,865 households in Africa, the Americas and South-East Asia in our meta-analyses and narrative synthesis. The 17 types of UCTs we identified, including o…","author":[{"dropping-particle":"","family":"Pega","given":"Frank","non-dropping-particle":"","parse-names":false,"suffix":""},{"dropping-particle":"","family":"Liu","given":"Sze Yan","non-dropping-particle":"","parse-names":false,"suffix":""},{"dropping-particle":"","family":"Walter","given":"Stefan","non-dropping-particle":"","parse-names":false,"suffix":""},{"dropping-particle":"","family":"Pabayo","given":"Roman","non-dropping-particle":"","parse-names":false,"suffix":""},{"dropping-particle":"","family":"Saith","given":"Ruhi","non-dropping-particle":"","parse-names":false,"suffix":""},{"dropping-particle":"","family":"Lhachimi","given":"Stefan K.","non-dropping-particle":"","parse-names":false,"suffix":""}],"container-title":"Cochrane Database of Systematic Reviews","id":"ITEM-1","issue":"11","issued":{"date-parts":[["2017"]]},"title":"Unconditional cash transfers for reducing poverty and vulnerabilities: Effect on use of health services and health outcomes in low- and middle-income countries","type":"article-journal","volume":"2017"},"uris":["http://www.mendeley.com/documents/?uuid=33830c56-fc0a-46f2-9e65-900ed944194b"]}],"mendeley":{"formattedCitation":"(Pega et al., 2017)","plainTextFormattedCitation":"(Pega et al., 2017)","previouslyFormattedCitation":"(Pega et al., 2017)"},"properties":{"noteIndex":0},"schema":"https://github.com/citation-style-language/schema/raw/master/csl-citation.json"}</w:instrText>
      </w:r>
      <w:r w:rsidR="00821780" w:rsidRPr="004954B0">
        <w:rPr>
          <w:rFonts w:ascii="Arial" w:hAnsi="Arial" w:cs="Arial"/>
          <w:sz w:val="22"/>
          <w:szCs w:val="22"/>
          <w:lang w:val="en-GB"/>
        </w:rPr>
        <w:fldChar w:fldCharType="separate"/>
      </w:r>
      <w:r w:rsidR="00821780" w:rsidRPr="004954B0">
        <w:rPr>
          <w:rFonts w:ascii="Arial" w:hAnsi="Arial" w:cs="Arial"/>
          <w:sz w:val="22"/>
          <w:szCs w:val="22"/>
          <w:lang w:val="en-GB"/>
        </w:rPr>
        <w:t>(Pega et al., 2017)</w:t>
      </w:r>
      <w:r w:rsidR="00821780" w:rsidRPr="004954B0">
        <w:rPr>
          <w:rFonts w:ascii="Arial" w:hAnsi="Arial" w:cs="Arial"/>
          <w:sz w:val="22"/>
          <w:szCs w:val="22"/>
          <w:lang w:val="en-GB"/>
        </w:rPr>
        <w:fldChar w:fldCharType="end"/>
      </w:r>
      <w:r w:rsidR="00821780" w:rsidRPr="004954B0">
        <w:rPr>
          <w:rFonts w:ascii="Arial" w:hAnsi="Arial" w:cs="Arial"/>
          <w:sz w:val="22"/>
          <w:szCs w:val="22"/>
          <w:lang w:val="en-GB"/>
        </w:rPr>
        <w:t xml:space="preserve">.     </w:t>
      </w:r>
    </w:p>
    <w:p w14:paraId="4E07CF21" w14:textId="58BC4D48" w:rsidR="00821780" w:rsidRPr="004954B0" w:rsidRDefault="00203956" w:rsidP="004267F1">
      <w:pPr>
        <w:pStyle w:val="Paragraph"/>
        <w:tabs>
          <w:tab w:val="num" w:pos="1440"/>
          <w:tab w:val="num" w:pos="1746"/>
        </w:tabs>
        <w:ind w:left="720" w:hanging="720"/>
        <w:rPr>
          <w:rFonts w:ascii="Arial" w:hAnsi="Arial" w:cs="Arial"/>
          <w:sz w:val="22"/>
          <w:szCs w:val="22"/>
          <w:lang w:val="en-GB"/>
        </w:rPr>
      </w:pPr>
      <w:r w:rsidRPr="004954B0">
        <w:rPr>
          <w:rFonts w:ascii="Arial" w:hAnsi="Arial" w:cs="Arial"/>
          <w:sz w:val="22"/>
          <w:szCs w:val="22"/>
          <w:lang w:val="en-GB"/>
        </w:rPr>
        <w:t xml:space="preserve">These results show the effectiveness of transfers as income protection measures, particularly for households at greater risk (poor households and </w:t>
      </w:r>
      <w:r w:rsidR="00F450CB" w:rsidRPr="004954B0">
        <w:rPr>
          <w:rFonts w:ascii="Arial" w:hAnsi="Arial" w:cs="Arial"/>
          <w:sz w:val="22"/>
          <w:szCs w:val="22"/>
          <w:lang w:val="en-GB"/>
        </w:rPr>
        <w:t>those</w:t>
      </w:r>
      <w:r w:rsidRPr="004954B0">
        <w:rPr>
          <w:rFonts w:ascii="Arial" w:hAnsi="Arial" w:cs="Arial"/>
          <w:sz w:val="22"/>
          <w:szCs w:val="22"/>
          <w:lang w:val="en-GB"/>
        </w:rPr>
        <w:t xml:space="preserve"> with older adults, young </w:t>
      </w:r>
      <w:r w:rsidR="00F450CB" w:rsidRPr="004954B0">
        <w:rPr>
          <w:rFonts w:ascii="Arial" w:hAnsi="Arial" w:cs="Arial"/>
          <w:sz w:val="22"/>
          <w:szCs w:val="22"/>
          <w:lang w:val="en-GB"/>
        </w:rPr>
        <w:t>children, and disabled people</w:t>
      </w:r>
      <w:r w:rsidRPr="004954B0">
        <w:rPr>
          <w:rFonts w:ascii="Arial" w:hAnsi="Arial" w:cs="Arial"/>
          <w:sz w:val="22"/>
          <w:szCs w:val="22"/>
          <w:lang w:val="en-GB"/>
        </w:rPr>
        <w:t>). The results also suggest that these measures can be successful at</w:t>
      </w:r>
      <w:r w:rsidR="00F450CB" w:rsidRPr="004954B0">
        <w:rPr>
          <w:rFonts w:ascii="Arial" w:hAnsi="Arial" w:cs="Arial"/>
          <w:sz w:val="22"/>
          <w:szCs w:val="22"/>
          <w:lang w:val="en-GB"/>
        </w:rPr>
        <w:t xml:space="preserve"> lessening</w:t>
      </w:r>
      <w:r w:rsidRPr="004954B0">
        <w:rPr>
          <w:rFonts w:ascii="Arial" w:hAnsi="Arial" w:cs="Arial"/>
          <w:sz w:val="22"/>
          <w:szCs w:val="22"/>
          <w:lang w:val="en-GB"/>
        </w:rPr>
        <w:t xml:space="preserve"> the impact of the crisis, </w:t>
      </w:r>
      <w:proofErr w:type="gramStart"/>
      <w:r w:rsidRPr="004954B0">
        <w:rPr>
          <w:rFonts w:ascii="Arial" w:hAnsi="Arial" w:cs="Arial"/>
          <w:sz w:val="22"/>
          <w:szCs w:val="22"/>
          <w:lang w:val="en-GB"/>
        </w:rPr>
        <w:t>provided that</w:t>
      </w:r>
      <w:proofErr w:type="gramEnd"/>
      <w:r w:rsidRPr="004954B0">
        <w:rPr>
          <w:rFonts w:ascii="Arial" w:hAnsi="Arial" w:cs="Arial"/>
          <w:sz w:val="22"/>
          <w:szCs w:val="22"/>
          <w:lang w:val="en-GB"/>
        </w:rPr>
        <w:t xml:space="preserve"> they are embedded in a broader social protection policy</w:t>
      </w:r>
      <w:r w:rsidR="00821780" w:rsidRPr="004954B0">
        <w:rPr>
          <w:rFonts w:ascii="Arial" w:hAnsi="Arial" w:cs="Arial"/>
          <w:sz w:val="22"/>
          <w:szCs w:val="22"/>
          <w:lang w:val="en-GB"/>
        </w:rPr>
        <w:t xml:space="preserve">.   </w:t>
      </w:r>
    </w:p>
    <w:p w14:paraId="265A2E43" w14:textId="5DF56184" w:rsidR="00821780" w:rsidRPr="004954B0" w:rsidRDefault="00FB1954" w:rsidP="009E293E">
      <w:pPr>
        <w:pStyle w:val="Paragraph"/>
        <w:tabs>
          <w:tab w:val="num" w:pos="1440"/>
          <w:tab w:val="num" w:pos="1746"/>
        </w:tabs>
        <w:ind w:left="720" w:hanging="720"/>
        <w:rPr>
          <w:rFonts w:ascii="Arial" w:hAnsi="Arial" w:cs="Arial"/>
          <w:sz w:val="22"/>
          <w:szCs w:val="22"/>
          <w:lang w:val="en-GB"/>
        </w:rPr>
      </w:pPr>
      <w:r w:rsidRPr="004954B0">
        <w:rPr>
          <w:rFonts w:ascii="Arial" w:hAnsi="Arial" w:cs="Arial"/>
          <w:sz w:val="22"/>
          <w:szCs w:val="22"/>
          <w:lang w:val="en-GB"/>
        </w:rPr>
        <w:t>Wage subsidies to protect employment are a frequent</w:t>
      </w:r>
      <w:r w:rsidR="00742510" w:rsidRPr="004954B0">
        <w:rPr>
          <w:rFonts w:ascii="Arial" w:hAnsi="Arial" w:cs="Arial"/>
          <w:sz w:val="22"/>
          <w:szCs w:val="22"/>
          <w:lang w:val="en-GB"/>
        </w:rPr>
        <w:t>ly used</w:t>
      </w:r>
      <w:r w:rsidRPr="004954B0">
        <w:rPr>
          <w:rFonts w:ascii="Arial" w:hAnsi="Arial" w:cs="Arial"/>
          <w:sz w:val="22"/>
          <w:szCs w:val="22"/>
          <w:lang w:val="en-GB"/>
        </w:rPr>
        <w:t xml:space="preserve"> social security measure in an e</w:t>
      </w:r>
      <w:r w:rsidR="00470106" w:rsidRPr="004954B0">
        <w:rPr>
          <w:rFonts w:ascii="Arial" w:hAnsi="Arial" w:cs="Arial"/>
          <w:sz w:val="22"/>
          <w:szCs w:val="22"/>
          <w:lang w:val="en-GB"/>
        </w:rPr>
        <w:t xml:space="preserve">conomic crisis. </w:t>
      </w:r>
      <w:r w:rsidR="00F450CB" w:rsidRPr="004954B0">
        <w:rPr>
          <w:rFonts w:ascii="Arial" w:hAnsi="Arial" w:cs="Arial"/>
          <w:sz w:val="22"/>
          <w:szCs w:val="22"/>
          <w:lang w:val="en-GB"/>
        </w:rPr>
        <w:t>As</w:t>
      </w:r>
      <w:r w:rsidR="00470106" w:rsidRPr="004954B0">
        <w:rPr>
          <w:rFonts w:ascii="Arial" w:hAnsi="Arial" w:cs="Arial"/>
          <w:sz w:val="22"/>
          <w:szCs w:val="22"/>
          <w:lang w:val="en-GB"/>
        </w:rPr>
        <w:t xml:space="preserve"> of March</w:t>
      </w:r>
      <w:r w:rsidRPr="004954B0">
        <w:rPr>
          <w:rFonts w:ascii="Arial" w:hAnsi="Arial" w:cs="Arial"/>
          <w:sz w:val="22"/>
          <w:szCs w:val="22"/>
          <w:lang w:val="en-GB"/>
        </w:rPr>
        <w:t xml:space="preserve"> 20, 2020, 11 employment subsidy </w:t>
      </w:r>
      <w:proofErr w:type="gramStart"/>
      <w:r w:rsidRPr="004954B0">
        <w:rPr>
          <w:rFonts w:ascii="Arial" w:hAnsi="Arial" w:cs="Arial"/>
          <w:sz w:val="22"/>
          <w:szCs w:val="22"/>
          <w:lang w:val="en-GB"/>
        </w:rPr>
        <w:t>progra</w:t>
      </w:r>
      <w:r w:rsidR="007E6A1E" w:rsidRPr="004954B0">
        <w:rPr>
          <w:rFonts w:ascii="Arial" w:hAnsi="Arial" w:cs="Arial"/>
          <w:sz w:val="22"/>
          <w:szCs w:val="22"/>
          <w:lang w:val="en-GB"/>
        </w:rPr>
        <w:t>m</w:t>
      </w:r>
      <w:r w:rsidRPr="004954B0">
        <w:rPr>
          <w:rFonts w:ascii="Arial" w:hAnsi="Arial" w:cs="Arial"/>
          <w:sz w:val="22"/>
          <w:szCs w:val="22"/>
          <w:lang w:val="en-GB"/>
        </w:rPr>
        <w:t>m</w:t>
      </w:r>
      <w:r w:rsidR="007E6A1E" w:rsidRPr="004954B0">
        <w:rPr>
          <w:rFonts w:ascii="Arial" w:hAnsi="Arial" w:cs="Arial"/>
          <w:sz w:val="22"/>
          <w:szCs w:val="22"/>
          <w:lang w:val="en-GB"/>
        </w:rPr>
        <w:t>e’</w:t>
      </w:r>
      <w:r w:rsidRPr="004954B0">
        <w:rPr>
          <w:rFonts w:ascii="Arial" w:hAnsi="Arial" w:cs="Arial"/>
          <w:sz w:val="22"/>
          <w:szCs w:val="22"/>
          <w:lang w:val="en-GB"/>
        </w:rPr>
        <w:t>s</w:t>
      </w:r>
      <w:proofErr w:type="gramEnd"/>
      <w:r w:rsidRPr="004954B0">
        <w:rPr>
          <w:rFonts w:ascii="Arial" w:hAnsi="Arial" w:cs="Arial"/>
          <w:sz w:val="22"/>
          <w:szCs w:val="22"/>
          <w:lang w:val="en-GB"/>
        </w:rPr>
        <w:t xml:space="preserve"> had already been implemented in response to the COVID-19 crisis, making th</w:t>
      </w:r>
      <w:r w:rsidR="00ED752F" w:rsidRPr="004954B0">
        <w:rPr>
          <w:rFonts w:ascii="Arial" w:hAnsi="Arial" w:cs="Arial"/>
          <w:sz w:val="22"/>
          <w:szCs w:val="22"/>
          <w:lang w:val="en-GB"/>
        </w:rPr>
        <w:t xml:space="preserve">em the second most widely used tool </w:t>
      </w:r>
      <w:r w:rsidRPr="004954B0">
        <w:rPr>
          <w:rFonts w:ascii="Arial" w:hAnsi="Arial" w:cs="Arial"/>
          <w:sz w:val="22"/>
          <w:szCs w:val="22"/>
          <w:lang w:val="en-GB"/>
        </w:rPr>
        <w:t xml:space="preserve">after cash transfers. Studies of non-crisis interventions find that wage subsidies can </w:t>
      </w:r>
      <w:r w:rsidR="007A0FB2" w:rsidRPr="004954B0">
        <w:rPr>
          <w:rFonts w:ascii="Arial" w:hAnsi="Arial" w:cs="Arial"/>
          <w:sz w:val="22"/>
          <w:szCs w:val="22"/>
          <w:lang w:val="en-GB"/>
        </w:rPr>
        <w:t>encourage</w:t>
      </w:r>
      <w:r w:rsidRPr="004954B0">
        <w:rPr>
          <w:rFonts w:ascii="Arial" w:hAnsi="Arial" w:cs="Arial"/>
          <w:sz w:val="22"/>
          <w:szCs w:val="22"/>
          <w:lang w:val="en-GB"/>
        </w:rPr>
        <w:t xml:space="preserve"> employment</w:t>
      </w:r>
      <w:r w:rsidR="00821780" w:rsidRPr="004954B0">
        <w:rPr>
          <w:rFonts w:ascii="Arial" w:hAnsi="Arial" w:cs="Arial"/>
          <w:sz w:val="22"/>
          <w:szCs w:val="22"/>
          <w:lang w:val="en-GB"/>
        </w:rPr>
        <w:t xml:space="preserve"> </w:t>
      </w:r>
      <w:r w:rsidR="00821780" w:rsidRPr="004954B0">
        <w:rPr>
          <w:rFonts w:ascii="Arial" w:hAnsi="Arial" w:cs="Arial"/>
          <w:sz w:val="22"/>
          <w:szCs w:val="22"/>
          <w:lang w:val="en-GB"/>
        </w:rPr>
        <w:fldChar w:fldCharType="begin" w:fldLock="1"/>
      </w:r>
      <w:r w:rsidR="00821780" w:rsidRPr="004954B0">
        <w:rPr>
          <w:rFonts w:ascii="Arial" w:hAnsi="Arial" w:cs="Arial"/>
          <w:sz w:val="22"/>
          <w:szCs w:val="22"/>
          <w:lang w:val="en-GB"/>
        </w:rPr>
        <w:instrText>ADDIN CSL_CITATION {"citationItems":[{"id":"ITEM-1","itemData":{"DOI":"10.1016/j.labeco.2009.12.002","ISSN":"09275371","abstract":"This paper studies the effects on registered employment and number of registered establishments of two employment subsidy schemes in Turkey. We implement a difference-in-differences methodology to construct appropriate counterfactuals for the covered provinces. Our findings suggest that both subsidy programs did lead to significant net increases in registered jobs in eligible provinces (5%-13% for the first program and 11%-15% for the second). However, the cost of the actual job creation was high because of substantial deadweight losses, particularly for the first program (47% and 78%). Because of better design features, the second subsidy program had lower, though still significant, deadweight losses (27%-46%). Although constrained by data availability, the evidence suggests that the dominant effect of subsidies was to increase social security registration of firms and workers rather than boosting total employment and economic activity. This supports the theory that in countries with weak enforcement institutions, high labor taxes on low-wage workers may lead to substantial incentives for firms and workers to operate informally. © 2009.","author":[{"dropping-particle":"","family":"Betcherman","given":"Gordon","non-dropping-particle":"","parse-names":false,"suffix":""},{"dropping-particle":"","family":"Daysal","given":"N. Meltem","non-dropping-particle":"","parse-names":false,"suffix":""},{"dropping-particle":"","family":"Pagés","given":"Carmen","non-dropping-particle":"","parse-names":false,"suffix":""}],"container-title":"Labour Economics","id":"ITEM-1","issue":"4","issued":{"date-parts":[["2010","8","1"]]},"page":"710-722","publisher":"North-Holland","title":"Do employment subsidies work? Evidence from regionally targeted subsidies in Turkey","type":"article-journal","volume":"17"},"uris":["http://www.mendeley.com/documents/?uuid=a51edf12-ca8a-3547-9d45-b4a6be3e5173"]},{"id":"ITEM-2","itemData":{"DOI":"10.1162/REST_a_00584","ISSN":"15309142","abstract":"This study examines the impact of a randomized experiment in Jordan in which female community college graduates were assigned to receive a wage subsidy voucher. The wage voucher led to a 38 percentage point increase in employment in the short run, but the average effect is much smaller and no longer statistically significant after the voucher period has expired. The extra job experience gained as a result of the wage subsidy does not provide a stepping-stone to new jobs for these recent graduates, which appears to be due to productivity levels not rising above a binding minimum wage.","author":[{"dropping-particle":"","family":"Groh","given":"Matthew","non-dropping-particle":"","parse-names":false,"suffix":""},{"dropping-particle":"","family":"Krishnan","given":"Nandini","non-dropping-particle":"","parse-names":false,"suffix":""},{"dropping-particle":"","family":"McKenzie","given":"David","non-dropping-particle":"","parse-names":false,"suffix":""},{"dropping-particle":"","family":"Vishwanath","given":"Tara","non-dropping-particle":"","parse-names":false,"suffix":""}],"container-title":"Review of Economics and Statistics","id":"ITEM-2","issue":"3","issued":{"date-parts":[["2016","7","1"]]},"page":"488-502","publisher":"MIT Press Journals","title":"Do wage subsidies provide a stepping-stone to employment for recent college graduates? Evidence from a randomized experiment in Jordan","type":"article-journal","volume":"98"},"uris":["http://www.mendeley.com/documents/?uuid=3b443a5f-d71d-3cf8-86a3-b46c1e328c7f"]}],"mendeley":{"formattedCitation":"(Betcherman, Daysal, &amp; Pagés, 2010; Groh, Krishnan, McKenzie, &amp; Vishwanath, 2016)","plainTextFormattedCitation":"(Betcherman, Daysal, &amp; Pagés, 2010; Groh, Krishnan, McKenzie, &amp; Vishwanath, 2016)","previouslyFormattedCitation":"(Betcherman, Daysal, &amp; Pagés, 2010)"},"properties":{"noteIndex":0},"schema":"https://github.com/citation-style-language/schema/raw/master/csl-citation.json"}</w:instrText>
      </w:r>
      <w:r w:rsidR="00821780" w:rsidRPr="004954B0">
        <w:rPr>
          <w:rFonts w:ascii="Arial" w:hAnsi="Arial" w:cs="Arial"/>
          <w:sz w:val="22"/>
          <w:szCs w:val="22"/>
          <w:lang w:val="en-GB"/>
        </w:rPr>
        <w:fldChar w:fldCharType="separate"/>
      </w:r>
      <w:r w:rsidR="00821780" w:rsidRPr="004954B0">
        <w:rPr>
          <w:rFonts w:ascii="Arial" w:hAnsi="Arial" w:cs="Arial"/>
          <w:sz w:val="22"/>
          <w:szCs w:val="22"/>
          <w:lang w:val="en-GB"/>
        </w:rPr>
        <w:t xml:space="preserve">(Betcherman, Daysal, </w:t>
      </w:r>
      <w:r w:rsidR="0092319A" w:rsidRPr="004954B0">
        <w:rPr>
          <w:rFonts w:ascii="Arial" w:hAnsi="Arial" w:cs="Arial"/>
          <w:sz w:val="22"/>
          <w:szCs w:val="22"/>
          <w:lang w:val="en-GB"/>
        </w:rPr>
        <w:t>and</w:t>
      </w:r>
      <w:r w:rsidR="00821780" w:rsidRPr="004954B0">
        <w:rPr>
          <w:rFonts w:ascii="Arial" w:hAnsi="Arial" w:cs="Arial"/>
          <w:sz w:val="22"/>
          <w:szCs w:val="22"/>
          <w:lang w:val="en-GB"/>
        </w:rPr>
        <w:t xml:space="preserve"> Pagés,</w:t>
      </w:r>
      <w:r w:rsidR="00E635F8" w:rsidRPr="004954B0">
        <w:rPr>
          <w:rFonts w:ascii="Arial" w:hAnsi="Arial" w:cs="Arial"/>
          <w:sz w:val="22"/>
          <w:szCs w:val="22"/>
          <w:lang w:val="en-GB"/>
        </w:rPr>
        <w:t xml:space="preserve"> 2010; Groh</w:t>
      </w:r>
      <w:r w:rsidR="0092319A" w:rsidRPr="004954B0">
        <w:rPr>
          <w:rFonts w:ascii="Arial" w:hAnsi="Arial" w:cs="Arial"/>
          <w:sz w:val="22"/>
          <w:szCs w:val="22"/>
          <w:lang w:val="en-GB"/>
        </w:rPr>
        <w:t xml:space="preserve"> et al.</w:t>
      </w:r>
      <w:r w:rsidR="00821780" w:rsidRPr="004954B0">
        <w:rPr>
          <w:rFonts w:ascii="Arial" w:hAnsi="Arial" w:cs="Arial"/>
          <w:sz w:val="22"/>
          <w:szCs w:val="22"/>
          <w:lang w:val="en-GB"/>
        </w:rPr>
        <w:t>, 2016)</w:t>
      </w:r>
      <w:r w:rsidR="00821780" w:rsidRPr="004954B0">
        <w:rPr>
          <w:rFonts w:ascii="Arial" w:hAnsi="Arial" w:cs="Arial"/>
          <w:sz w:val="22"/>
          <w:szCs w:val="22"/>
          <w:lang w:val="en-GB"/>
        </w:rPr>
        <w:fldChar w:fldCharType="end"/>
      </w:r>
      <w:r w:rsidR="00821780" w:rsidRPr="004954B0">
        <w:rPr>
          <w:rFonts w:ascii="Arial" w:hAnsi="Arial" w:cs="Arial"/>
          <w:sz w:val="22"/>
          <w:szCs w:val="22"/>
          <w:lang w:val="en-GB"/>
        </w:rPr>
        <w:t xml:space="preserve">. </w:t>
      </w:r>
      <w:r w:rsidR="00812C1C" w:rsidRPr="004954B0">
        <w:rPr>
          <w:rFonts w:ascii="Arial" w:hAnsi="Arial" w:cs="Arial"/>
          <w:sz w:val="22"/>
          <w:szCs w:val="22"/>
          <w:lang w:val="en-GB"/>
        </w:rPr>
        <w:t xml:space="preserve">Although </w:t>
      </w:r>
      <w:r w:rsidR="009E293E" w:rsidRPr="004954B0">
        <w:rPr>
          <w:rFonts w:ascii="Arial" w:hAnsi="Arial" w:cs="Arial"/>
          <w:sz w:val="22"/>
          <w:szCs w:val="22"/>
          <w:lang w:val="en-GB"/>
        </w:rPr>
        <w:t>e</w:t>
      </w:r>
      <w:r w:rsidR="00812C1C" w:rsidRPr="004954B0">
        <w:rPr>
          <w:rFonts w:ascii="Arial" w:hAnsi="Arial" w:cs="Arial"/>
          <w:sz w:val="22"/>
          <w:szCs w:val="22"/>
          <w:lang w:val="en-GB"/>
        </w:rPr>
        <w:t>vidence on the effectiveness of</w:t>
      </w:r>
      <w:r w:rsidR="009E293E" w:rsidRPr="004954B0">
        <w:rPr>
          <w:rFonts w:ascii="Arial" w:hAnsi="Arial" w:cs="Arial"/>
          <w:sz w:val="22"/>
          <w:szCs w:val="22"/>
          <w:lang w:val="en-GB"/>
        </w:rPr>
        <w:t xml:space="preserve"> subsidies in a crisis is still scarce, some studies </w:t>
      </w:r>
      <w:r w:rsidR="00CD1877" w:rsidRPr="004954B0">
        <w:rPr>
          <w:rFonts w:ascii="Arial" w:hAnsi="Arial" w:cs="Arial"/>
          <w:sz w:val="22"/>
          <w:szCs w:val="22"/>
          <w:lang w:val="en-GB"/>
        </w:rPr>
        <w:t>have</w:t>
      </w:r>
      <w:r w:rsidR="009E293E" w:rsidRPr="004954B0">
        <w:rPr>
          <w:rFonts w:ascii="Arial" w:hAnsi="Arial" w:cs="Arial"/>
          <w:sz w:val="22"/>
          <w:szCs w:val="22"/>
          <w:lang w:val="en-GB"/>
        </w:rPr>
        <w:t xml:space="preserve"> demonstrate</w:t>
      </w:r>
      <w:r w:rsidR="00CD1877" w:rsidRPr="004954B0">
        <w:rPr>
          <w:rFonts w:ascii="Arial" w:hAnsi="Arial" w:cs="Arial"/>
          <w:sz w:val="22"/>
          <w:szCs w:val="22"/>
          <w:lang w:val="en-GB"/>
        </w:rPr>
        <w:t>d</w:t>
      </w:r>
      <w:r w:rsidR="009E293E" w:rsidRPr="004954B0">
        <w:rPr>
          <w:rFonts w:ascii="Arial" w:hAnsi="Arial" w:cs="Arial"/>
          <w:sz w:val="22"/>
          <w:szCs w:val="22"/>
          <w:lang w:val="en-GB"/>
        </w:rPr>
        <w:t xml:space="preserve"> their effectiveness. Among the</w:t>
      </w:r>
      <w:r w:rsidR="0052733B" w:rsidRPr="004954B0">
        <w:rPr>
          <w:rFonts w:ascii="Arial" w:hAnsi="Arial" w:cs="Arial"/>
          <w:sz w:val="22"/>
          <w:szCs w:val="22"/>
          <w:lang w:val="en-GB"/>
        </w:rPr>
        <w:t>se</w:t>
      </w:r>
      <w:r w:rsidR="009E293E" w:rsidRPr="004954B0">
        <w:rPr>
          <w:rFonts w:ascii="Arial" w:hAnsi="Arial" w:cs="Arial"/>
          <w:sz w:val="22"/>
          <w:szCs w:val="22"/>
          <w:lang w:val="en-GB"/>
        </w:rPr>
        <w:t xml:space="preserve">, a recent evaluation in Mexico </w:t>
      </w:r>
      <w:r w:rsidR="0052733B" w:rsidRPr="004954B0">
        <w:rPr>
          <w:rFonts w:ascii="Arial" w:hAnsi="Arial" w:cs="Arial"/>
          <w:sz w:val="22"/>
          <w:szCs w:val="22"/>
          <w:lang w:val="en-GB"/>
        </w:rPr>
        <w:t>found</w:t>
      </w:r>
      <w:r w:rsidR="009E293E" w:rsidRPr="004954B0">
        <w:rPr>
          <w:rFonts w:ascii="Arial" w:hAnsi="Arial" w:cs="Arial"/>
          <w:sz w:val="22"/>
          <w:szCs w:val="22"/>
          <w:lang w:val="en-GB"/>
        </w:rPr>
        <w:t xml:space="preserve"> that granting employment subsidies to companies in certain industries </w:t>
      </w:r>
      <w:r w:rsidR="0052733B" w:rsidRPr="004954B0">
        <w:rPr>
          <w:rFonts w:ascii="Arial" w:hAnsi="Arial" w:cs="Arial"/>
          <w:sz w:val="22"/>
          <w:szCs w:val="22"/>
          <w:lang w:val="en-GB"/>
        </w:rPr>
        <w:t>while requiring them to</w:t>
      </w:r>
      <w:r w:rsidR="009E293E" w:rsidRPr="004954B0">
        <w:rPr>
          <w:rFonts w:ascii="Arial" w:hAnsi="Arial" w:cs="Arial"/>
          <w:sz w:val="22"/>
          <w:szCs w:val="22"/>
          <w:lang w:val="en-GB"/>
        </w:rPr>
        <w:t xml:space="preserve"> keep their workers on the payroll during the 2008 global financial and economic crisis ha</w:t>
      </w:r>
      <w:r w:rsidR="0052733B" w:rsidRPr="004954B0">
        <w:rPr>
          <w:rFonts w:ascii="Arial" w:hAnsi="Arial" w:cs="Arial"/>
          <w:sz w:val="22"/>
          <w:szCs w:val="22"/>
          <w:lang w:val="en-GB"/>
        </w:rPr>
        <w:t>d</w:t>
      </w:r>
      <w:r w:rsidR="009E293E" w:rsidRPr="004954B0">
        <w:rPr>
          <w:rFonts w:ascii="Arial" w:hAnsi="Arial" w:cs="Arial"/>
          <w:sz w:val="22"/>
          <w:szCs w:val="22"/>
          <w:lang w:val="en-GB"/>
        </w:rPr>
        <w:t xml:space="preserve"> a positive but not significant effect on employment, </w:t>
      </w:r>
      <w:r w:rsidR="00F450CB" w:rsidRPr="004954B0">
        <w:rPr>
          <w:rFonts w:ascii="Arial" w:hAnsi="Arial" w:cs="Arial"/>
          <w:sz w:val="22"/>
          <w:szCs w:val="22"/>
          <w:lang w:val="en-GB"/>
        </w:rPr>
        <w:t>in</w:t>
      </w:r>
      <w:r w:rsidR="009E293E" w:rsidRPr="004954B0">
        <w:rPr>
          <w:rFonts w:ascii="Arial" w:hAnsi="Arial" w:cs="Arial"/>
          <w:sz w:val="22"/>
          <w:szCs w:val="22"/>
          <w:lang w:val="en-GB"/>
        </w:rPr>
        <w:t xml:space="preserve"> the order of 5.7</w:t>
      </w:r>
      <w:r w:rsidR="00BA6725">
        <w:rPr>
          <w:rFonts w:ascii="Arial" w:hAnsi="Arial" w:cs="Arial"/>
          <w:sz w:val="22"/>
          <w:szCs w:val="22"/>
          <w:lang w:val="en-GB"/>
        </w:rPr>
        <w:t>%</w:t>
      </w:r>
      <w:r w:rsidR="009E293E" w:rsidRPr="004954B0">
        <w:rPr>
          <w:rFonts w:ascii="Arial" w:hAnsi="Arial" w:cs="Arial"/>
          <w:sz w:val="22"/>
          <w:szCs w:val="22"/>
          <w:lang w:val="en-GB"/>
        </w:rPr>
        <w:t xml:space="preserve"> to 13.2</w:t>
      </w:r>
      <w:r w:rsidR="00BA6725">
        <w:rPr>
          <w:rFonts w:ascii="Arial" w:hAnsi="Arial" w:cs="Arial"/>
          <w:sz w:val="22"/>
          <w:szCs w:val="22"/>
          <w:lang w:val="en-GB"/>
        </w:rPr>
        <w:t>%</w:t>
      </w:r>
      <w:r w:rsidR="009E293E" w:rsidRPr="004954B0">
        <w:rPr>
          <w:rFonts w:ascii="Arial" w:hAnsi="Arial" w:cs="Arial"/>
          <w:sz w:val="22"/>
          <w:szCs w:val="22"/>
          <w:lang w:val="en-GB"/>
        </w:rPr>
        <w:t>, depending on the estimation model. This effect i</w:t>
      </w:r>
      <w:r w:rsidR="009B4F57" w:rsidRPr="004954B0">
        <w:rPr>
          <w:rFonts w:ascii="Arial" w:hAnsi="Arial" w:cs="Arial"/>
          <w:sz w:val="22"/>
          <w:szCs w:val="22"/>
          <w:lang w:val="en-GB"/>
        </w:rPr>
        <w:t>ncreased</w:t>
      </w:r>
      <w:r w:rsidR="009E293E" w:rsidRPr="004954B0">
        <w:rPr>
          <w:rFonts w:ascii="Arial" w:hAnsi="Arial" w:cs="Arial"/>
          <w:sz w:val="22"/>
          <w:szCs w:val="22"/>
          <w:lang w:val="en-GB"/>
        </w:rPr>
        <w:t xml:space="preserve"> to 24</w:t>
      </w:r>
      <w:r w:rsidR="00BA6725">
        <w:rPr>
          <w:rFonts w:ascii="Arial" w:hAnsi="Arial" w:cs="Arial"/>
          <w:sz w:val="22"/>
          <w:szCs w:val="22"/>
          <w:lang w:val="en-GB"/>
        </w:rPr>
        <w:t>%</w:t>
      </w:r>
      <w:r w:rsidR="009E293E" w:rsidRPr="004954B0">
        <w:rPr>
          <w:rFonts w:ascii="Arial" w:hAnsi="Arial" w:cs="Arial"/>
          <w:sz w:val="22"/>
          <w:szCs w:val="22"/>
          <w:lang w:val="en-GB"/>
        </w:rPr>
        <w:t xml:space="preserve"> after the end of the program</w:t>
      </w:r>
      <w:r w:rsidR="00C231C8" w:rsidRPr="004954B0">
        <w:rPr>
          <w:rFonts w:ascii="Arial" w:hAnsi="Arial" w:cs="Arial"/>
          <w:sz w:val="22"/>
          <w:szCs w:val="22"/>
          <w:lang w:val="en-GB"/>
        </w:rPr>
        <w:t>me</w:t>
      </w:r>
      <w:r w:rsidR="009E293E" w:rsidRPr="004954B0">
        <w:rPr>
          <w:rFonts w:ascii="Arial" w:hAnsi="Arial" w:cs="Arial"/>
          <w:sz w:val="22"/>
          <w:szCs w:val="22"/>
          <w:lang w:val="en-GB"/>
        </w:rPr>
        <w:t>. The results also show</w:t>
      </w:r>
      <w:r w:rsidR="00610C7E" w:rsidRPr="004954B0">
        <w:rPr>
          <w:rFonts w:ascii="Arial" w:hAnsi="Arial" w:cs="Arial"/>
          <w:sz w:val="22"/>
          <w:szCs w:val="22"/>
          <w:lang w:val="en-GB"/>
        </w:rPr>
        <w:t>ed</w:t>
      </w:r>
      <w:r w:rsidR="009E293E" w:rsidRPr="004954B0">
        <w:rPr>
          <w:rFonts w:ascii="Arial" w:hAnsi="Arial" w:cs="Arial"/>
          <w:sz w:val="22"/>
          <w:szCs w:val="22"/>
          <w:lang w:val="en-GB"/>
        </w:rPr>
        <w:t xml:space="preserve"> t</w:t>
      </w:r>
      <w:r w:rsidR="00610C7E" w:rsidRPr="004954B0">
        <w:rPr>
          <w:rFonts w:ascii="Arial" w:hAnsi="Arial" w:cs="Arial"/>
          <w:sz w:val="22"/>
          <w:szCs w:val="22"/>
          <w:lang w:val="en-GB"/>
        </w:rPr>
        <w:t xml:space="preserve">hat industries </w:t>
      </w:r>
      <w:r w:rsidR="00610C7E" w:rsidRPr="004954B0">
        <w:rPr>
          <w:rFonts w:ascii="Arial" w:hAnsi="Arial" w:cs="Arial"/>
          <w:sz w:val="22"/>
          <w:szCs w:val="22"/>
          <w:lang w:val="en-GB"/>
        </w:rPr>
        <w:lastRenderedPageBreak/>
        <w:t>eligible for the</w:t>
      </w:r>
      <w:r w:rsidR="009E293E" w:rsidRPr="004954B0">
        <w:rPr>
          <w:rFonts w:ascii="Arial" w:hAnsi="Arial" w:cs="Arial"/>
          <w:sz w:val="22"/>
          <w:szCs w:val="22"/>
          <w:lang w:val="en-GB"/>
        </w:rPr>
        <w:t xml:space="preserve"> program</w:t>
      </w:r>
      <w:r w:rsidR="00C231C8" w:rsidRPr="004954B0">
        <w:rPr>
          <w:rFonts w:ascii="Arial" w:hAnsi="Arial" w:cs="Arial"/>
          <w:sz w:val="22"/>
          <w:szCs w:val="22"/>
          <w:lang w:val="en-GB"/>
        </w:rPr>
        <w:t>me</w:t>
      </w:r>
      <w:r w:rsidR="009E293E" w:rsidRPr="004954B0">
        <w:rPr>
          <w:rFonts w:ascii="Arial" w:hAnsi="Arial" w:cs="Arial"/>
          <w:sz w:val="22"/>
          <w:szCs w:val="22"/>
          <w:lang w:val="en-GB"/>
        </w:rPr>
        <w:t xml:space="preserve"> experienced a faster recovery in employment compared with </w:t>
      </w:r>
      <w:r w:rsidR="00F450CB" w:rsidRPr="004954B0">
        <w:rPr>
          <w:rFonts w:ascii="Arial" w:hAnsi="Arial" w:cs="Arial"/>
          <w:sz w:val="22"/>
          <w:szCs w:val="22"/>
          <w:lang w:val="en-GB"/>
        </w:rPr>
        <w:t>in</w:t>
      </w:r>
      <w:r w:rsidR="009E293E" w:rsidRPr="004954B0">
        <w:rPr>
          <w:rFonts w:ascii="Arial" w:hAnsi="Arial" w:cs="Arial"/>
          <w:sz w:val="22"/>
          <w:szCs w:val="22"/>
          <w:lang w:val="en-GB"/>
        </w:rPr>
        <w:t>eligible</w:t>
      </w:r>
      <w:r w:rsidR="00F450CB" w:rsidRPr="004954B0">
        <w:rPr>
          <w:rFonts w:ascii="Arial" w:hAnsi="Arial" w:cs="Arial"/>
          <w:sz w:val="22"/>
          <w:szCs w:val="22"/>
          <w:lang w:val="en-GB"/>
        </w:rPr>
        <w:t xml:space="preserve"> ones</w:t>
      </w:r>
      <w:r w:rsidR="009E293E" w:rsidRPr="004954B0">
        <w:rPr>
          <w:rFonts w:ascii="Arial" w:hAnsi="Arial" w:cs="Arial"/>
          <w:sz w:val="22"/>
          <w:szCs w:val="22"/>
          <w:lang w:val="en-GB" w:eastAsia="zh-CN"/>
        </w:rPr>
        <w:t xml:space="preserve"> </w:t>
      </w:r>
      <w:r w:rsidR="00821780" w:rsidRPr="004954B0">
        <w:rPr>
          <w:rFonts w:ascii="Arial" w:hAnsi="Arial" w:cs="Arial"/>
          <w:sz w:val="22"/>
          <w:szCs w:val="22"/>
          <w:lang w:val="en-GB"/>
        </w:rPr>
        <w:fldChar w:fldCharType="begin" w:fldLock="1"/>
      </w:r>
      <w:r w:rsidR="00821780" w:rsidRPr="004954B0">
        <w:rPr>
          <w:rFonts w:ascii="Arial" w:hAnsi="Arial" w:cs="Arial"/>
          <w:sz w:val="22"/>
          <w:szCs w:val="22"/>
          <w:lang w:val="en-GB"/>
        </w:rPr>
        <w:instrText>ADDIN CSL_CITATION {"citationItems":[{"id":"ITEM-1","itemData":{"DOI":"10.1080/00220388.2020.1715941","ISSN":"17439140","abstract":"This paper measures the employment effect of a programme in Mexico that granted firms wage subsidies during the recent economic crisis. I use monthly administrative data at the industry level, along with Euclidean distance matching to construct groups of eligible and ineligible durable goods manufacturing industries that display statistically identical preprogramme trends in employment. Difference-in-difference results show a positive but not statistically significant effect of the wage subsidies on employment during the programme’s eight-month duration. The size of the effect increases to 18 per cent after the programme ended and the results indicate that employment after the programme recovered faster in eligible industries than in ineligible industries. Additional analysis suggests that the programme did not incentivise firms to retain workers with job-specific skills as originally intended. Instead, the payment of subsidy funds, which only happened towards the end of the programme, seems to have provided liquidity for hiring back workers.","author":[{"dropping-particle":"","family":"Bruhn","given":"Miriam","non-dropping-particle":"","parse-names":false,"suffix":""}],"container-title":"Journal of Development Studies","id":"ITEM-1","issue":"March","issued":{"date-parts":[["2020"]]},"title":"Can Wage Subsidies Boost Employment in the Wake of an Economic Crisis? Evidence from Mexico","type":"article-journal"},"uris":["http://www.mendeley.com/documents/?uuid=527b1502-8deb-4421-b5d3-aaca5aa49271"]}],"mendeley":{"formattedCitation":"(Bruhn, 2020)","plainTextFormattedCitation":"(Bruhn, 2020)","previouslyFormattedCitation":"(Bruhn, 2020)"},"properties":{"noteIndex":0},"schema":"https://github.com/citation-style-language/schema/raw/master/csl-citation.json"}</w:instrText>
      </w:r>
      <w:r w:rsidR="00821780" w:rsidRPr="004954B0">
        <w:rPr>
          <w:rFonts w:ascii="Arial" w:hAnsi="Arial" w:cs="Arial"/>
          <w:sz w:val="22"/>
          <w:szCs w:val="22"/>
          <w:lang w:val="en-GB"/>
        </w:rPr>
        <w:fldChar w:fldCharType="separate"/>
      </w:r>
      <w:r w:rsidR="00821780" w:rsidRPr="004954B0">
        <w:rPr>
          <w:rFonts w:ascii="Arial" w:hAnsi="Arial" w:cs="Arial"/>
          <w:sz w:val="22"/>
          <w:szCs w:val="22"/>
          <w:lang w:val="en-GB"/>
        </w:rPr>
        <w:t>(Bruhn, 2020)</w:t>
      </w:r>
      <w:r w:rsidR="00821780" w:rsidRPr="004954B0">
        <w:rPr>
          <w:rFonts w:ascii="Arial" w:hAnsi="Arial" w:cs="Arial"/>
          <w:sz w:val="22"/>
          <w:szCs w:val="22"/>
          <w:lang w:val="en-GB"/>
        </w:rPr>
        <w:fldChar w:fldCharType="end"/>
      </w:r>
      <w:r w:rsidR="00821780" w:rsidRPr="004954B0">
        <w:rPr>
          <w:rFonts w:ascii="Arial" w:hAnsi="Arial" w:cs="Arial"/>
          <w:sz w:val="22"/>
          <w:szCs w:val="22"/>
          <w:lang w:val="en-GB"/>
        </w:rPr>
        <w:t xml:space="preserve">. </w:t>
      </w:r>
    </w:p>
    <w:p w14:paraId="735399B3" w14:textId="2DB41D2F" w:rsidR="00821780" w:rsidRPr="004954B0" w:rsidRDefault="00F450CB" w:rsidP="004267F1">
      <w:pPr>
        <w:pStyle w:val="Paragraph"/>
        <w:tabs>
          <w:tab w:val="num" w:pos="1440"/>
          <w:tab w:val="num" w:pos="1746"/>
        </w:tabs>
        <w:ind w:left="720" w:hanging="720"/>
        <w:rPr>
          <w:rFonts w:ascii="Arial" w:hAnsi="Arial" w:cs="Arial"/>
          <w:sz w:val="22"/>
          <w:szCs w:val="22"/>
          <w:lang w:val="en-GB"/>
        </w:rPr>
      </w:pPr>
      <w:r w:rsidRPr="004954B0">
        <w:rPr>
          <w:rFonts w:ascii="Arial" w:hAnsi="Arial" w:cs="Arial"/>
          <w:sz w:val="22"/>
          <w:szCs w:val="22"/>
          <w:lang w:val="en-GB"/>
        </w:rPr>
        <w:t>In general</w:t>
      </w:r>
      <w:r w:rsidR="00B11A16" w:rsidRPr="004954B0">
        <w:rPr>
          <w:rFonts w:ascii="Arial" w:hAnsi="Arial" w:cs="Arial"/>
          <w:sz w:val="22"/>
          <w:szCs w:val="22"/>
          <w:lang w:val="en-GB"/>
        </w:rPr>
        <w:t>, these results suggest that wage subsidies can be a particularly effective measure during an economic crisis, as they can be provided temporarily and still have sustainable effects on employment beyond the</w:t>
      </w:r>
      <w:r w:rsidRPr="004954B0">
        <w:rPr>
          <w:rFonts w:ascii="Arial" w:hAnsi="Arial" w:cs="Arial"/>
          <w:sz w:val="22"/>
          <w:szCs w:val="22"/>
          <w:lang w:val="en-GB"/>
        </w:rPr>
        <w:t xml:space="preserve"> intervention’s</w:t>
      </w:r>
      <w:r w:rsidR="00B11A16" w:rsidRPr="004954B0">
        <w:rPr>
          <w:rFonts w:ascii="Arial" w:hAnsi="Arial" w:cs="Arial"/>
          <w:sz w:val="22"/>
          <w:szCs w:val="22"/>
          <w:lang w:val="en-GB"/>
        </w:rPr>
        <w:t xml:space="preserve"> implementation period</w:t>
      </w:r>
      <w:r w:rsidRPr="004954B0">
        <w:rPr>
          <w:rFonts w:ascii="Arial" w:hAnsi="Arial" w:cs="Arial"/>
          <w:sz w:val="22"/>
          <w:szCs w:val="22"/>
          <w:lang w:val="en-GB"/>
        </w:rPr>
        <w:t>.</w:t>
      </w:r>
    </w:p>
    <w:p w14:paraId="497AFF04" w14:textId="409F44AC" w:rsidR="00821780" w:rsidRPr="004954B0" w:rsidRDefault="00074447" w:rsidP="00821780">
      <w:pPr>
        <w:pStyle w:val="AutoNumpara"/>
        <w:tabs>
          <w:tab w:val="clear" w:pos="360"/>
        </w:tabs>
        <w:spacing w:line="276" w:lineRule="auto"/>
        <w:ind w:left="0"/>
        <w:rPr>
          <w:rFonts w:ascii="Arial" w:eastAsia="Arial" w:hAnsi="Arial" w:cs="Arial"/>
          <w:noProof w:val="0"/>
          <w:spacing w:val="0"/>
          <w:sz w:val="22"/>
          <w:szCs w:val="22"/>
          <w:u w:val="single"/>
          <w:lang w:val="en-GB" w:eastAsia="zh-CN"/>
        </w:rPr>
      </w:pPr>
      <w:r w:rsidRPr="004954B0">
        <w:rPr>
          <w:rFonts w:ascii="Arial" w:eastAsia="Arial" w:hAnsi="Arial" w:cs="Arial"/>
          <w:noProof w:val="0"/>
          <w:spacing w:val="0"/>
          <w:sz w:val="22"/>
          <w:szCs w:val="22"/>
          <w:u w:val="single"/>
          <w:lang w:val="en-GB"/>
        </w:rPr>
        <w:t xml:space="preserve">Continuous supply of essential </w:t>
      </w:r>
      <w:r w:rsidRPr="004954B0">
        <w:rPr>
          <w:rFonts w:ascii="Arial" w:eastAsia="Arial" w:hAnsi="Arial" w:cs="Arial"/>
          <w:noProof w:val="0"/>
          <w:spacing w:val="0"/>
          <w:sz w:val="22"/>
          <w:szCs w:val="22"/>
          <w:u w:val="single"/>
          <w:lang w:val="en-GB" w:eastAsia="zh-CN"/>
        </w:rPr>
        <w:t xml:space="preserve">public </w:t>
      </w:r>
      <w:r w:rsidR="00695C36" w:rsidRPr="004954B0">
        <w:rPr>
          <w:rFonts w:ascii="Arial" w:eastAsia="Arial" w:hAnsi="Arial" w:cs="Arial"/>
          <w:noProof w:val="0"/>
          <w:spacing w:val="0"/>
          <w:sz w:val="22"/>
          <w:szCs w:val="22"/>
          <w:u w:val="single"/>
          <w:lang w:val="en-GB" w:eastAsia="zh-CN"/>
        </w:rPr>
        <w:t xml:space="preserve">sector </w:t>
      </w:r>
      <w:r w:rsidR="007847AD" w:rsidRPr="004954B0">
        <w:rPr>
          <w:rFonts w:ascii="Arial" w:eastAsia="Arial" w:hAnsi="Arial" w:cs="Arial"/>
          <w:noProof w:val="0"/>
          <w:spacing w:val="0"/>
          <w:sz w:val="22"/>
          <w:szCs w:val="22"/>
          <w:u w:val="single"/>
          <w:lang w:val="en-GB"/>
        </w:rPr>
        <w:t xml:space="preserve">goods and services </w:t>
      </w:r>
    </w:p>
    <w:p w14:paraId="6CE5AB7B" w14:textId="4AED9C2C" w:rsidR="00270D2B" w:rsidRPr="004954B0" w:rsidRDefault="004C04C5" w:rsidP="00270D2B">
      <w:pPr>
        <w:pStyle w:val="Paragraph"/>
        <w:tabs>
          <w:tab w:val="num" w:pos="1440"/>
          <w:tab w:val="num" w:pos="1746"/>
        </w:tabs>
        <w:ind w:left="720" w:hanging="720"/>
        <w:rPr>
          <w:rFonts w:ascii="Arial" w:hAnsi="Arial" w:cs="Arial"/>
          <w:sz w:val="22"/>
          <w:szCs w:val="22"/>
          <w:lang w:val="en-GB"/>
        </w:rPr>
      </w:pPr>
      <w:r w:rsidRPr="004954B0">
        <w:rPr>
          <w:rFonts w:ascii="Arial" w:hAnsi="Arial" w:cs="Arial"/>
          <w:sz w:val="22"/>
          <w:szCs w:val="22"/>
          <w:lang w:val="en-GB"/>
        </w:rPr>
        <w:t>The effectiveness of telework and remote work has been studied in</w:t>
      </w:r>
      <w:r w:rsidR="00C351C9" w:rsidRPr="004954B0">
        <w:rPr>
          <w:rFonts w:ascii="Arial" w:hAnsi="Arial" w:cs="Arial"/>
          <w:sz w:val="22"/>
          <w:szCs w:val="22"/>
          <w:lang w:val="en-GB"/>
        </w:rPr>
        <w:t xml:space="preserve"> the literature on</w:t>
      </w:r>
      <w:r w:rsidRPr="004954B0">
        <w:rPr>
          <w:rFonts w:ascii="Arial" w:hAnsi="Arial" w:cs="Arial"/>
          <w:sz w:val="22"/>
          <w:szCs w:val="22"/>
          <w:lang w:val="en-GB"/>
        </w:rPr>
        <w:t xml:space="preserve"> psychology, economics</w:t>
      </w:r>
      <w:r w:rsidR="00306E7F" w:rsidRPr="004954B0">
        <w:rPr>
          <w:rFonts w:ascii="Arial" w:hAnsi="Arial" w:cs="Arial"/>
          <w:sz w:val="22"/>
          <w:szCs w:val="22"/>
          <w:lang w:val="en-GB"/>
        </w:rPr>
        <w:t>,</w:t>
      </w:r>
      <w:r w:rsidRPr="004954B0">
        <w:rPr>
          <w:rFonts w:ascii="Arial" w:hAnsi="Arial" w:cs="Arial"/>
          <w:sz w:val="22"/>
          <w:szCs w:val="22"/>
          <w:lang w:val="en-GB"/>
        </w:rPr>
        <w:t xml:space="preserve"> management</w:t>
      </w:r>
      <w:r w:rsidR="00C351C9" w:rsidRPr="004954B0">
        <w:rPr>
          <w:rFonts w:ascii="Arial" w:hAnsi="Arial" w:cs="Arial"/>
          <w:sz w:val="22"/>
          <w:szCs w:val="22"/>
          <w:lang w:val="en-GB"/>
        </w:rPr>
        <w:t>,</w:t>
      </w:r>
      <w:r w:rsidRPr="004954B0">
        <w:rPr>
          <w:rFonts w:ascii="Arial" w:hAnsi="Arial" w:cs="Arial"/>
          <w:sz w:val="22"/>
          <w:szCs w:val="22"/>
          <w:lang w:val="en-GB"/>
        </w:rPr>
        <w:t xml:space="preserve"> </w:t>
      </w:r>
      <w:r w:rsidR="00D202A4" w:rsidRPr="004954B0">
        <w:rPr>
          <w:rFonts w:ascii="Arial" w:hAnsi="Arial" w:cs="Arial"/>
          <w:sz w:val="22"/>
          <w:szCs w:val="22"/>
          <w:lang w:val="en-GB"/>
        </w:rPr>
        <w:t xml:space="preserve">and other </w:t>
      </w:r>
      <w:r w:rsidR="00C351C9" w:rsidRPr="004954B0">
        <w:rPr>
          <w:rFonts w:ascii="Arial" w:hAnsi="Arial" w:cs="Arial"/>
          <w:sz w:val="22"/>
          <w:szCs w:val="22"/>
          <w:lang w:val="en-GB"/>
        </w:rPr>
        <w:t>areas</w:t>
      </w:r>
      <w:r w:rsidRPr="004954B0">
        <w:rPr>
          <w:rFonts w:ascii="Arial" w:hAnsi="Arial" w:cs="Arial"/>
          <w:sz w:val="22"/>
          <w:szCs w:val="22"/>
          <w:lang w:val="en-GB"/>
        </w:rPr>
        <w:t xml:space="preserve"> since the 1980s (Gajendran and Harrison, 2007). For the COVID-19 pandemic, telework</w:t>
      </w:r>
      <w:r w:rsidR="00821A5B" w:rsidRPr="004954B0">
        <w:rPr>
          <w:rFonts w:ascii="Arial" w:hAnsi="Arial" w:cs="Arial"/>
          <w:sz w:val="22"/>
          <w:szCs w:val="22"/>
          <w:lang w:val="en-GB"/>
        </w:rPr>
        <w:t xml:space="preserve"> is conceived as a means of social distancing</w:t>
      </w:r>
      <w:r w:rsidRPr="004954B0">
        <w:rPr>
          <w:rFonts w:ascii="Arial" w:hAnsi="Arial" w:cs="Arial"/>
          <w:sz w:val="22"/>
          <w:szCs w:val="22"/>
          <w:lang w:val="en-GB"/>
        </w:rPr>
        <w:t xml:space="preserve"> to minimize contact between people and </w:t>
      </w:r>
      <w:r w:rsidR="003C2433" w:rsidRPr="004954B0">
        <w:rPr>
          <w:rFonts w:ascii="Arial" w:hAnsi="Arial" w:cs="Arial"/>
          <w:sz w:val="22"/>
          <w:szCs w:val="22"/>
          <w:lang w:val="en-GB"/>
        </w:rPr>
        <w:t>curb</w:t>
      </w:r>
      <w:r w:rsidRPr="004954B0">
        <w:rPr>
          <w:rFonts w:ascii="Arial" w:hAnsi="Arial" w:cs="Arial"/>
          <w:sz w:val="22"/>
          <w:szCs w:val="22"/>
          <w:lang w:val="en-GB"/>
        </w:rPr>
        <w:t xml:space="preserve"> the spread of the virus, thus allowing continuous priority spending and provision of basic services. The effectiveness of social distancing measures has been evaluated through simulation models and epidemiological studies (mainly observational), and these measures are considered effective for influenza </w:t>
      </w:r>
      <w:r w:rsidR="00270D2B" w:rsidRPr="004954B0">
        <w:rPr>
          <w:rFonts w:ascii="Arial" w:hAnsi="Arial" w:cs="Arial"/>
          <w:sz w:val="22"/>
          <w:szCs w:val="22"/>
          <w:lang w:val="en-GB"/>
        </w:rPr>
        <w:t>(Ahmed et al</w:t>
      </w:r>
      <w:r w:rsidR="00C351C9" w:rsidRPr="004954B0">
        <w:rPr>
          <w:rFonts w:ascii="Arial" w:hAnsi="Arial" w:cs="Arial"/>
          <w:sz w:val="22"/>
          <w:szCs w:val="22"/>
          <w:lang w:val="en-GB"/>
        </w:rPr>
        <w:t>.,</w:t>
      </w:r>
      <w:r w:rsidR="00270D2B" w:rsidRPr="004954B0">
        <w:rPr>
          <w:rFonts w:ascii="Arial" w:hAnsi="Arial" w:cs="Arial"/>
          <w:sz w:val="22"/>
          <w:szCs w:val="22"/>
          <w:lang w:val="en-GB"/>
        </w:rPr>
        <w:t xml:space="preserve"> 2018; Fong et al</w:t>
      </w:r>
      <w:r w:rsidR="00C351C9" w:rsidRPr="004954B0">
        <w:rPr>
          <w:rFonts w:ascii="Arial" w:hAnsi="Arial" w:cs="Arial"/>
          <w:sz w:val="22"/>
          <w:szCs w:val="22"/>
          <w:lang w:val="en-GB"/>
        </w:rPr>
        <w:t>.,</w:t>
      </w:r>
      <w:r w:rsidR="00270D2B" w:rsidRPr="004954B0">
        <w:rPr>
          <w:rFonts w:ascii="Arial" w:hAnsi="Arial" w:cs="Arial"/>
          <w:sz w:val="22"/>
          <w:szCs w:val="22"/>
          <w:lang w:val="en-GB"/>
        </w:rPr>
        <w:t xml:space="preserve"> 2020). </w:t>
      </w:r>
    </w:p>
    <w:p w14:paraId="4D309F59" w14:textId="79099B33" w:rsidR="00D67812" w:rsidRPr="004954B0" w:rsidRDefault="00475D3A" w:rsidP="004523EE">
      <w:pPr>
        <w:pStyle w:val="Paragraph"/>
        <w:tabs>
          <w:tab w:val="num" w:pos="1440"/>
          <w:tab w:val="num" w:pos="1746"/>
        </w:tabs>
        <w:ind w:left="720" w:hanging="720"/>
        <w:rPr>
          <w:rFonts w:ascii="Arial" w:hAnsi="Arial" w:cs="Arial"/>
          <w:sz w:val="22"/>
          <w:szCs w:val="22"/>
          <w:lang w:val="en-GB"/>
        </w:rPr>
      </w:pPr>
      <w:r w:rsidRPr="004954B0">
        <w:rPr>
          <w:rFonts w:ascii="Arial" w:hAnsi="Arial" w:cs="Arial"/>
          <w:sz w:val="22"/>
          <w:szCs w:val="22"/>
          <w:lang w:val="en-GB"/>
        </w:rPr>
        <w:t>In addition to the effectiveness of telework as a public health measure, the literature find</w:t>
      </w:r>
      <w:r w:rsidR="00C351C9" w:rsidRPr="004954B0">
        <w:rPr>
          <w:rFonts w:ascii="Arial" w:hAnsi="Arial" w:cs="Arial"/>
          <w:sz w:val="22"/>
          <w:szCs w:val="22"/>
          <w:lang w:val="en-GB"/>
        </w:rPr>
        <w:t>s</w:t>
      </w:r>
      <w:r w:rsidRPr="004954B0">
        <w:rPr>
          <w:rFonts w:ascii="Arial" w:hAnsi="Arial" w:cs="Arial"/>
          <w:sz w:val="22"/>
          <w:szCs w:val="22"/>
          <w:lang w:val="en-GB"/>
        </w:rPr>
        <w:t xml:space="preserve"> positive effects on job performance outcomes, job satisfaction, autonomy, work</w:t>
      </w:r>
      <w:r w:rsidR="00C351C9" w:rsidRPr="004954B0">
        <w:rPr>
          <w:rFonts w:ascii="Arial" w:hAnsi="Arial" w:cs="Arial"/>
          <w:sz w:val="22"/>
          <w:szCs w:val="22"/>
          <w:lang w:val="en-GB"/>
        </w:rPr>
        <w:t>–</w:t>
      </w:r>
      <w:r w:rsidRPr="004954B0">
        <w:rPr>
          <w:rFonts w:ascii="Arial" w:hAnsi="Arial" w:cs="Arial"/>
          <w:sz w:val="22"/>
          <w:szCs w:val="22"/>
          <w:lang w:val="en-GB"/>
        </w:rPr>
        <w:t>life balance</w:t>
      </w:r>
      <w:r w:rsidR="00820632" w:rsidRPr="004954B0">
        <w:rPr>
          <w:rFonts w:ascii="Arial" w:hAnsi="Arial" w:cs="Arial"/>
          <w:sz w:val="22"/>
          <w:szCs w:val="22"/>
          <w:lang w:val="en-GB"/>
        </w:rPr>
        <w:t>,</w:t>
      </w:r>
      <w:r w:rsidRPr="004954B0">
        <w:rPr>
          <w:rFonts w:ascii="Arial" w:hAnsi="Arial" w:cs="Arial"/>
          <w:sz w:val="22"/>
          <w:szCs w:val="22"/>
          <w:lang w:val="en-GB"/>
        </w:rPr>
        <w:t xml:space="preserve"> and stress (Gajendran and Harrison, 2007). An experiment involving over 13,000 employees in a Chinese company with employees randomly assigned to work from home found an increase of 13 on average in work performance, as well as improvements in perceived </w:t>
      </w:r>
      <w:r w:rsidR="001858DE" w:rsidRPr="004954B0">
        <w:rPr>
          <w:rFonts w:ascii="Arial" w:hAnsi="Arial" w:cs="Arial"/>
          <w:sz w:val="22"/>
          <w:szCs w:val="22"/>
          <w:lang w:val="en-GB"/>
        </w:rPr>
        <w:t xml:space="preserve">job </w:t>
      </w:r>
      <w:r w:rsidRPr="004954B0">
        <w:rPr>
          <w:rFonts w:ascii="Arial" w:hAnsi="Arial" w:cs="Arial"/>
          <w:sz w:val="22"/>
          <w:szCs w:val="22"/>
          <w:lang w:val="en-GB"/>
        </w:rPr>
        <w:t xml:space="preserve">satisfaction (Bloom </w:t>
      </w:r>
      <w:r w:rsidR="0092319A" w:rsidRPr="004954B0">
        <w:rPr>
          <w:rFonts w:ascii="Arial" w:hAnsi="Arial" w:cs="Arial"/>
          <w:sz w:val="22"/>
          <w:szCs w:val="22"/>
          <w:lang w:val="en-GB"/>
        </w:rPr>
        <w:t>et al.,</w:t>
      </w:r>
      <w:r w:rsidRPr="004954B0">
        <w:rPr>
          <w:rFonts w:ascii="Arial" w:hAnsi="Arial" w:cs="Arial"/>
          <w:sz w:val="22"/>
          <w:szCs w:val="22"/>
          <w:lang w:val="en-GB"/>
        </w:rPr>
        <w:t xml:space="preserve"> 2015). The results suggest that giving employees the option </w:t>
      </w:r>
      <w:r w:rsidR="00E4317F" w:rsidRPr="004954B0">
        <w:rPr>
          <w:rFonts w:ascii="Arial" w:hAnsi="Arial" w:cs="Arial"/>
          <w:sz w:val="22"/>
          <w:szCs w:val="22"/>
          <w:lang w:val="en-GB"/>
        </w:rPr>
        <w:t>of telework</w:t>
      </w:r>
      <w:r w:rsidRPr="004954B0">
        <w:rPr>
          <w:rFonts w:ascii="Arial" w:hAnsi="Arial" w:cs="Arial"/>
          <w:sz w:val="22"/>
          <w:szCs w:val="22"/>
          <w:lang w:val="en-GB"/>
        </w:rPr>
        <w:t xml:space="preserve"> could lead to even greater productivity gains. Nevertheless, even when telework is a mandatory public health measure, there can </w:t>
      </w:r>
      <w:r w:rsidR="00E4317F" w:rsidRPr="004954B0">
        <w:rPr>
          <w:rFonts w:ascii="Arial" w:hAnsi="Arial" w:cs="Arial"/>
          <w:sz w:val="22"/>
          <w:szCs w:val="22"/>
          <w:lang w:val="en-GB"/>
        </w:rPr>
        <w:t>be productivity</w:t>
      </w:r>
      <w:r w:rsidRPr="004954B0">
        <w:rPr>
          <w:rFonts w:ascii="Arial" w:hAnsi="Arial" w:cs="Arial"/>
          <w:sz w:val="22"/>
          <w:szCs w:val="22"/>
          <w:lang w:val="en-GB"/>
        </w:rPr>
        <w:t xml:space="preserve"> gains and increased job satisfaction</w:t>
      </w:r>
      <w:r w:rsidR="00270D2B" w:rsidRPr="004954B0">
        <w:rPr>
          <w:rFonts w:ascii="Arial" w:hAnsi="Arial" w:cs="Arial"/>
          <w:sz w:val="22"/>
          <w:szCs w:val="22"/>
          <w:lang w:val="en-GB"/>
        </w:rPr>
        <w:t>.</w:t>
      </w:r>
      <w:r w:rsidR="00D67812" w:rsidRPr="004954B0">
        <w:rPr>
          <w:rFonts w:ascii="Arial" w:hAnsi="Arial" w:cs="Arial"/>
          <w:sz w:val="22"/>
          <w:szCs w:val="22"/>
          <w:lang w:val="en-GB"/>
        </w:rPr>
        <w:t xml:space="preserve"> </w:t>
      </w:r>
    </w:p>
    <w:p w14:paraId="2027C62E" w14:textId="0B62FADA" w:rsidR="00D67812" w:rsidRPr="004954B0" w:rsidRDefault="004F16C4" w:rsidP="00D67812">
      <w:pPr>
        <w:pStyle w:val="Paragraph"/>
        <w:numPr>
          <w:ilvl w:val="0"/>
          <w:numId w:val="0"/>
        </w:numPr>
        <w:tabs>
          <w:tab w:val="num" w:pos="1800"/>
          <w:tab w:val="num" w:pos="2448"/>
        </w:tabs>
        <w:rPr>
          <w:rFonts w:ascii="Arial" w:hAnsi="Arial" w:cs="Arial"/>
          <w:sz w:val="22"/>
          <w:szCs w:val="22"/>
          <w:lang w:val="en-GB"/>
        </w:rPr>
      </w:pPr>
      <w:r w:rsidRPr="004954B0">
        <w:rPr>
          <w:rFonts w:ascii="Arial" w:hAnsi="Arial" w:cs="Arial"/>
          <w:bCs/>
          <w:sz w:val="22"/>
          <w:szCs w:val="22"/>
          <w:u w:val="single"/>
          <w:lang w:val="en-GB" w:eastAsia="zh-CN"/>
        </w:rPr>
        <w:t xml:space="preserve">Economic and fiscal </w:t>
      </w:r>
      <w:r w:rsidR="001F4CB5" w:rsidRPr="004954B0">
        <w:rPr>
          <w:rFonts w:ascii="Arial" w:hAnsi="Arial" w:cs="Arial"/>
          <w:bCs/>
          <w:sz w:val="22"/>
          <w:szCs w:val="22"/>
          <w:u w:val="single"/>
          <w:lang w:val="en-GB" w:eastAsia="zh-CN"/>
        </w:rPr>
        <w:t>strengthening</w:t>
      </w:r>
      <w:r w:rsidRPr="004954B0">
        <w:rPr>
          <w:rFonts w:ascii="Arial" w:hAnsi="Arial" w:cs="Arial"/>
          <w:bCs/>
          <w:sz w:val="22"/>
          <w:szCs w:val="22"/>
          <w:u w:val="single"/>
          <w:lang w:val="en-GB" w:eastAsia="zh-CN"/>
        </w:rPr>
        <w:t xml:space="preserve"> for the post-pandemic period </w:t>
      </w:r>
    </w:p>
    <w:p w14:paraId="63BBE63F" w14:textId="188D15BC" w:rsidR="00C5486C" w:rsidRPr="004954B0" w:rsidRDefault="001A28EB" w:rsidP="004523EE">
      <w:pPr>
        <w:pStyle w:val="Paragraph"/>
        <w:tabs>
          <w:tab w:val="num" w:pos="1440"/>
          <w:tab w:val="num" w:pos="1746"/>
        </w:tabs>
        <w:ind w:left="720" w:hanging="720"/>
        <w:rPr>
          <w:rFonts w:ascii="Arial" w:hAnsi="Arial" w:cs="Arial"/>
          <w:sz w:val="22"/>
          <w:szCs w:val="22"/>
          <w:lang w:val="en-GB"/>
        </w:rPr>
      </w:pPr>
      <w:r w:rsidRPr="004954B0">
        <w:rPr>
          <w:rFonts w:ascii="Arial" w:hAnsi="Arial" w:cs="Arial"/>
          <w:sz w:val="22"/>
          <w:szCs w:val="22"/>
          <w:lang w:val="en-GB"/>
        </w:rPr>
        <w:t>There is an abundance of empirical literature on the various ways in which fiscal policy and management can impact growth</w:t>
      </w:r>
      <w:r w:rsidR="00DB74FD" w:rsidRPr="004954B0">
        <w:rPr>
          <w:rFonts w:ascii="Arial" w:hAnsi="Arial" w:cs="Arial"/>
          <w:sz w:val="22"/>
          <w:szCs w:val="22"/>
          <w:lang w:val="en-GB"/>
        </w:rPr>
        <w:t>,</w:t>
      </w:r>
      <w:r w:rsidR="00EB4247" w:rsidRPr="004954B0">
        <w:rPr>
          <w:rFonts w:ascii="Arial" w:hAnsi="Arial" w:cs="Arial"/>
          <w:sz w:val="22"/>
          <w:szCs w:val="22"/>
          <w:lang w:val="en-GB"/>
        </w:rPr>
        <w:t xml:space="preserve"> many of </w:t>
      </w:r>
      <w:r w:rsidR="00EB4247" w:rsidRPr="004954B0">
        <w:rPr>
          <w:rFonts w:ascii="Arial" w:hAnsi="Arial" w:cs="Arial"/>
          <w:sz w:val="22"/>
          <w:szCs w:val="22"/>
          <w:lang w:val="en-GB" w:eastAsia="zh-CN"/>
        </w:rPr>
        <w:t>which</w:t>
      </w:r>
      <w:r w:rsidR="009F1772" w:rsidRPr="004954B0">
        <w:rPr>
          <w:rFonts w:ascii="Arial" w:hAnsi="Arial" w:cs="Arial"/>
          <w:sz w:val="22"/>
          <w:szCs w:val="22"/>
          <w:lang w:val="en-GB"/>
        </w:rPr>
        <w:t xml:space="preserve"> have been significantly expanded thanks to endogenous growth theories (</w:t>
      </w:r>
      <w:r w:rsidR="00DB74FD" w:rsidRPr="004954B0">
        <w:rPr>
          <w:rFonts w:ascii="Arial" w:hAnsi="Arial" w:cs="Arial"/>
          <w:sz w:val="22"/>
          <w:szCs w:val="22"/>
          <w:lang w:val="en-GB"/>
        </w:rPr>
        <w:t xml:space="preserve">Aghion and Howitt, 1998; Lucas, 1990; </w:t>
      </w:r>
      <w:r w:rsidR="009F1772" w:rsidRPr="004954B0">
        <w:rPr>
          <w:rFonts w:ascii="Arial" w:hAnsi="Arial" w:cs="Arial"/>
          <w:sz w:val="22"/>
          <w:szCs w:val="22"/>
          <w:lang w:val="en-GB"/>
        </w:rPr>
        <w:t>Romer,</w:t>
      </w:r>
      <w:r w:rsidR="00DB74FD" w:rsidRPr="004954B0">
        <w:rPr>
          <w:rFonts w:ascii="Arial" w:hAnsi="Arial" w:cs="Arial"/>
          <w:sz w:val="22"/>
          <w:szCs w:val="22"/>
          <w:lang w:val="en-GB"/>
        </w:rPr>
        <w:t xml:space="preserve"> </w:t>
      </w:r>
      <w:r w:rsidR="009F1772" w:rsidRPr="004954B0">
        <w:rPr>
          <w:rFonts w:ascii="Arial" w:hAnsi="Arial" w:cs="Arial"/>
          <w:sz w:val="22"/>
          <w:szCs w:val="22"/>
          <w:lang w:val="en-GB"/>
        </w:rPr>
        <w:t>1986</w:t>
      </w:r>
      <w:r w:rsidR="00DB74FD" w:rsidRPr="004954B0">
        <w:rPr>
          <w:rFonts w:ascii="Arial" w:hAnsi="Arial" w:cs="Arial"/>
          <w:sz w:val="22"/>
          <w:szCs w:val="22"/>
          <w:lang w:val="en-GB"/>
        </w:rPr>
        <w:t>;</w:t>
      </w:r>
      <w:r w:rsidR="009F1772" w:rsidRPr="004954B0">
        <w:rPr>
          <w:rFonts w:ascii="Arial" w:hAnsi="Arial" w:cs="Arial"/>
          <w:sz w:val="22"/>
          <w:szCs w:val="22"/>
          <w:lang w:val="en-GB"/>
        </w:rPr>
        <w:t xml:space="preserve"> 1990</w:t>
      </w:r>
      <w:r w:rsidR="00DB74FD" w:rsidRPr="004954B0">
        <w:rPr>
          <w:rFonts w:ascii="Arial" w:hAnsi="Arial" w:cs="Arial"/>
          <w:sz w:val="22"/>
          <w:szCs w:val="22"/>
          <w:lang w:val="en-GB"/>
        </w:rPr>
        <w:t xml:space="preserve">; </w:t>
      </w:r>
      <w:r w:rsidR="0077795A" w:rsidRPr="004954B0">
        <w:rPr>
          <w:rFonts w:ascii="Arial" w:hAnsi="Arial" w:cs="Arial"/>
          <w:sz w:val="22"/>
          <w:szCs w:val="22"/>
          <w:lang w:val="en-GB"/>
        </w:rPr>
        <w:t>among others).</w:t>
      </w:r>
      <w:r w:rsidR="00DB74FD" w:rsidRPr="004954B0">
        <w:rPr>
          <w:rStyle w:val="FootnoteReference"/>
          <w:rFonts w:ascii="Arial" w:hAnsi="Arial" w:cs="Arial"/>
          <w:sz w:val="22"/>
          <w:szCs w:val="22"/>
          <w:lang w:val="en-GB"/>
        </w:rPr>
        <w:footnoteReference w:id="4"/>
      </w:r>
      <w:r w:rsidR="0077795A" w:rsidRPr="004954B0">
        <w:rPr>
          <w:rFonts w:ascii="Arial" w:hAnsi="Arial" w:cs="Arial"/>
          <w:sz w:val="22"/>
          <w:szCs w:val="22"/>
          <w:lang w:val="en-GB"/>
        </w:rPr>
        <w:t xml:space="preserve"> U</w:t>
      </w:r>
      <w:r w:rsidR="009F1772" w:rsidRPr="004954B0">
        <w:rPr>
          <w:rFonts w:ascii="Arial" w:hAnsi="Arial" w:cs="Arial"/>
          <w:sz w:val="22"/>
          <w:szCs w:val="22"/>
          <w:lang w:val="en-GB"/>
        </w:rPr>
        <w:t xml:space="preserve">nlike neoclassical growth theories, </w:t>
      </w:r>
      <w:r w:rsidR="0077795A" w:rsidRPr="004954B0">
        <w:rPr>
          <w:rFonts w:ascii="Arial" w:hAnsi="Arial" w:cs="Arial"/>
          <w:sz w:val="22"/>
          <w:szCs w:val="22"/>
          <w:lang w:val="en-GB"/>
        </w:rPr>
        <w:t xml:space="preserve">endogenous growth theories </w:t>
      </w:r>
      <w:r w:rsidR="007F6E51" w:rsidRPr="004954B0">
        <w:rPr>
          <w:rFonts w:ascii="Arial" w:hAnsi="Arial" w:cs="Arial"/>
          <w:sz w:val="22"/>
          <w:szCs w:val="22"/>
          <w:lang w:val="en-GB" w:eastAsia="zh-CN"/>
        </w:rPr>
        <w:t>incorporate</w:t>
      </w:r>
      <w:r w:rsidR="002C1C91" w:rsidRPr="004954B0">
        <w:rPr>
          <w:rFonts w:ascii="Arial" w:hAnsi="Arial" w:cs="Arial"/>
          <w:sz w:val="22"/>
          <w:szCs w:val="22"/>
          <w:lang w:val="en-GB" w:eastAsia="zh-CN"/>
        </w:rPr>
        <w:t xml:space="preserve"> </w:t>
      </w:r>
      <w:r w:rsidR="009F1772" w:rsidRPr="004954B0">
        <w:rPr>
          <w:rFonts w:ascii="Arial" w:hAnsi="Arial" w:cs="Arial"/>
          <w:sz w:val="22"/>
          <w:szCs w:val="22"/>
          <w:lang w:val="en-GB"/>
        </w:rPr>
        <w:t>changes in human capital, research and development spending, technological change, increased savings</w:t>
      </w:r>
      <w:r w:rsidR="00080C5C" w:rsidRPr="004954B0">
        <w:rPr>
          <w:rFonts w:ascii="Arial" w:hAnsi="Arial" w:cs="Arial"/>
          <w:sz w:val="22"/>
          <w:szCs w:val="22"/>
          <w:lang w:val="en-GB"/>
        </w:rPr>
        <w:t>,</w:t>
      </w:r>
      <w:r w:rsidR="009F1772" w:rsidRPr="004954B0">
        <w:rPr>
          <w:rFonts w:ascii="Arial" w:hAnsi="Arial" w:cs="Arial"/>
          <w:sz w:val="22"/>
          <w:szCs w:val="22"/>
          <w:lang w:val="en-GB"/>
        </w:rPr>
        <w:t xml:space="preserve"> and investment as </w:t>
      </w:r>
      <w:r w:rsidR="007F6E51" w:rsidRPr="004954B0">
        <w:rPr>
          <w:rFonts w:ascii="Arial" w:hAnsi="Arial" w:cs="Arial"/>
          <w:sz w:val="22"/>
          <w:szCs w:val="22"/>
          <w:lang w:val="en-GB"/>
        </w:rPr>
        <w:t>growth drivers</w:t>
      </w:r>
      <w:r w:rsidR="00C5486C" w:rsidRPr="004954B0">
        <w:rPr>
          <w:rFonts w:ascii="Arial" w:hAnsi="Arial" w:cs="Arial"/>
          <w:sz w:val="22"/>
          <w:szCs w:val="22"/>
          <w:lang w:val="en-GB"/>
        </w:rPr>
        <w:t>.</w:t>
      </w:r>
    </w:p>
    <w:p w14:paraId="5493E550" w14:textId="29AAED8E" w:rsidR="00331257" w:rsidRPr="004954B0" w:rsidRDefault="008D1473" w:rsidP="00C5486C">
      <w:pPr>
        <w:pStyle w:val="Paragraph"/>
        <w:tabs>
          <w:tab w:val="num" w:pos="1440"/>
          <w:tab w:val="num" w:pos="1746"/>
        </w:tabs>
        <w:ind w:left="720" w:hanging="720"/>
        <w:rPr>
          <w:rFonts w:ascii="Arial" w:hAnsi="Arial" w:cs="Arial"/>
          <w:sz w:val="22"/>
          <w:szCs w:val="22"/>
          <w:lang w:val="en-GB"/>
        </w:rPr>
      </w:pPr>
      <w:r w:rsidRPr="004954B0">
        <w:rPr>
          <w:rFonts w:ascii="Arial" w:hAnsi="Arial" w:cs="Arial"/>
          <w:sz w:val="22"/>
          <w:szCs w:val="22"/>
          <w:lang w:val="en-GB"/>
        </w:rPr>
        <w:t>In the current context, an important role for fiscal policy is to stabilize aggregate domestic demand to redu</w:t>
      </w:r>
      <w:r w:rsidR="00822E7B" w:rsidRPr="004954B0">
        <w:rPr>
          <w:rFonts w:ascii="Arial" w:hAnsi="Arial" w:cs="Arial"/>
          <w:sz w:val="22"/>
          <w:szCs w:val="22"/>
          <w:lang w:val="en-GB"/>
        </w:rPr>
        <w:t>ce macroeconomic volatility and consequently</w:t>
      </w:r>
      <w:r w:rsidRPr="004954B0">
        <w:rPr>
          <w:rFonts w:ascii="Arial" w:hAnsi="Arial" w:cs="Arial"/>
          <w:sz w:val="22"/>
          <w:szCs w:val="22"/>
          <w:lang w:val="en-GB"/>
        </w:rPr>
        <w:t xml:space="preserve"> foster growth in the medium term (Fatas and Mihov, 2011). For example, increases in the stabilization capacity of fiscal policy are associated with reductions of up to 20</w:t>
      </w:r>
      <w:r w:rsidR="00BA6725">
        <w:rPr>
          <w:rFonts w:ascii="Arial" w:hAnsi="Arial" w:cs="Arial"/>
          <w:sz w:val="22"/>
          <w:szCs w:val="22"/>
          <w:lang w:val="en-GB"/>
        </w:rPr>
        <w:t>%</w:t>
      </w:r>
      <w:r w:rsidRPr="004954B0">
        <w:rPr>
          <w:rFonts w:ascii="Arial" w:hAnsi="Arial" w:cs="Arial"/>
          <w:sz w:val="22"/>
          <w:szCs w:val="22"/>
          <w:lang w:val="en-GB"/>
        </w:rPr>
        <w:t xml:space="preserve"> in output volatility and increases of 0.3 percentage points in annual growth rate </w:t>
      </w:r>
      <w:r w:rsidRPr="00F55978">
        <w:rPr>
          <w:rFonts w:ascii="Arial" w:hAnsi="Arial" w:cs="Arial"/>
          <w:sz w:val="22"/>
          <w:szCs w:val="22"/>
          <w:lang w:val="en-GB"/>
        </w:rPr>
        <w:t>(IMF, 2015). International</w:t>
      </w:r>
      <w:r w:rsidRPr="004954B0">
        <w:rPr>
          <w:rFonts w:ascii="Arial" w:hAnsi="Arial" w:cs="Arial"/>
          <w:sz w:val="22"/>
          <w:szCs w:val="22"/>
          <w:lang w:val="en-GB"/>
        </w:rPr>
        <w:t xml:space="preserve"> evidence </w:t>
      </w:r>
      <w:r w:rsidR="00E21180" w:rsidRPr="004954B0">
        <w:rPr>
          <w:rFonts w:ascii="Arial" w:hAnsi="Arial" w:cs="Arial"/>
          <w:sz w:val="22"/>
          <w:szCs w:val="22"/>
          <w:lang w:val="en-GB"/>
        </w:rPr>
        <w:t>suggests</w:t>
      </w:r>
      <w:r w:rsidRPr="004954B0">
        <w:rPr>
          <w:rFonts w:ascii="Arial" w:hAnsi="Arial" w:cs="Arial"/>
          <w:sz w:val="22"/>
          <w:szCs w:val="22"/>
          <w:lang w:val="en-GB"/>
        </w:rPr>
        <w:t xml:space="preserve"> that automatic stabilizers are the main </w:t>
      </w:r>
      <w:r w:rsidR="00E21180" w:rsidRPr="004954B0">
        <w:rPr>
          <w:rFonts w:ascii="Arial" w:hAnsi="Arial" w:cs="Arial"/>
          <w:sz w:val="22"/>
          <w:szCs w:val="22"/>
          <w:lang w:val="en-GB"/>
        </w:rPr>
        <w:t>tools</w:t>
      </w:r>
      <w:r w:rsidRPr="004954B0">
        <w:rPr>
          <w:rFonts w:ascii="Arial" w:hAnsi="Arial" w:cs="Arial"/>
          <w:sz w:val="22"/>
          <w:szCs w:val="22"/>
          <w:lang w:val="en-GB"/>
        </w:rPr>
        <w:t xml:space="preserve"> for ensuring the stabilizing effect of fiscal </w:t>
      </w:r>
      <w:r w:rsidR="00E21180" w:rsidRPr="004954B0">
        <w:rPr>
          <w:rFonts w:ascii="Arial" w:hAnsi="Arial" w:cs="Arial"/>
          <w:sz w:val="22"/>
          <w:szCs w:val="22"/>
          <w:lang w:val="en-GB"/>
        </w:rPr>
        <w:t xml:space="preserve">policy </w:t>
      </w:r>
      <w:r w:rsidRPr="004954B0">
        <w:rPr>
          <w:rFonts w:ascii="Arial" w:hAnsi="Arial" w:cs="Arial"/>
          <w:sz w:val="22"/>
          <w:szCs w:val="22"/>
          <w:lang w:val="en-GB"/>
        </w:rPr>
        <w:t xml:space="preserve">(Debrun and Kapoor, 2010; Baungsard and Symansky, 2009). Unlike discretionary economic policy </w:t>
      </w:r>
      <w:r w:rsidRPr="004954B0">
        <w:rPr>
          <w:rFonts w:ascii="Arial" w:hAnsi="Arial" w:cs="Arial"/>
          <w:sz w:val="22"/>
          <w:szCs w:val="22"/>
          <w:lang w:val="en-GB"/>
        </w:rPr>
        <w:lastRenderedPageBreak/>
        <w:t xml:space="preserve">interventions, automatic stabilizers do not suffer from implementation lags and can be reversed readily before the economic cycle changes, ensuring a timely and symmetric fiscal policy response to shocks </w:t>
      </w:r>
      <w:r w:rsidR="00C5486C" w:rsidRPr="004954B0">
        <w:rPr>
          <w:rFonts w:ascii="Arial" w:eastAsiaTheme="minorHAnsi" w:hAnsi="Arial" w:cs="Arial"/>
          <w:sz w:val="22"/>
          <w:szCs w:val="22"/>
          <w:lang w:val="en-GB"/>
        </w:rPr>
        <w:t xml:space="preserve">(Blanchard et al., 2010). </w:t>
      </w:r>
    </w:p>
    <w:p w14:paraId="74D31E4A" w14:textId="5906C5B5" w:rsidR="00C5486C" w:rsidRPr="004954B0" w:rsidRDefault="008C090E" w:rsidP="00C5486C">
      <w:pPr>
        <w:pStyle w:val="Paragraph"/>
        <w:tabs>
          <w:tab w:val="num" w:pos="1440"/>
          <w:tab w:val="num" w:pos="1746"/>
        </w:tabs>
        <w:ind w:left="720" w:hanging="720"/>
        <w:rPr>
          <w:rFonts w:ascii="Arial" w:hAnsi="Arial" w:cs="Arial"/>
          <w:sz w:val="22"/>
          <w:szCs w:val="22"/>
          <w:lang w:val="en-GB"/>
        </w:rPr>
      </w:pPr>
      <w:r w:rsidRPr="004954B0">
        <w:rPr>
          <w:rFonts w:ascii="Arial" w:eastAsiaTheme="minorHAnsi" w:hAnsi="Arial" w:cs="Arial"/>
          <w:sz w:val="22"/>
          <w:szCs w:val="22"/>
          <w:lang w:val="en-GB"/>
        </w:rPr>
        <w:t xml:space="preserve">While discretionary fiscal policy may be necessary under certain conditions, its misuse can undermine the effect of automatic stabilizers and contribute to sustainability problems (IMF, 2015). For example, asymmetric discretionary policy often </w:t>
      </w:r>
      <w:r w:rsidR="00FC33AB" w:rsidRPr="004954B0">
        <w:rPr>
          <w:rFonts w:ascii="Arial" w:eastAsiaTheme="minorHAnsi" w:hAnsi="Arial" w:cs="Arial"/>
          <w:sz w:val="22"/>
          <w:szCs w:val="22"/>
          <w:lang w:val="en-GB"/>
        </w:rPr>
        <w:t>leads to accumulation of</w:t>
      </w:r>
      <w:r w:rsidRPr="004954B0">
        <w:rPr>
          <w:rFonts w:ascii="Arial" w:eastAsiaTheme="minorHAnsi" w:hAnsi="Arial" w:cs="Arial"/>
          <w:sz w:val="22"/>
          <w:szCs w:val="22"/>
          <w:lang w:val="en-GB"/>
        </w:rPr>
        <w:t xml:space="preserve"> </w:t>
      </w:r>
      <w:r w:rsidR="00FC33AB" w:rsidRPr="004954B0">
        <w:rPr>
          <w:rFonts w:ascii="Arial" w:eastAsiaTheme="minorHAnsi" w:hAnsi="Arial" w:cs="Arial"/>
          <w:sz w:val="22"/>
          <w:szCs w:val="22"/>
          <w:lang w:val="en-GB"/>
        </w:rPr>
        <w:t>rising deficits</w:t>
      </w:r>
      <w:r w:rsidRPr="004954B0">
        <w:rPr>
          <w:rFonts w:ascii="Arial" w:eastAsiaTheme="minorHAnsi" w:hAnsi="Arial" w:cs="Arial"/>
          <w:sz w:val="22"/>
          <w:szCs w:val="22"/>
          <w:lang w:val="en-GB"/>
        </w:rPr>
        <w:t xml:space="preserve"> during recessions</w:t>
      </w:r>
      <w:r w:rsidR="003970C7" w:rsidRPr="004954B0">
        <w:rPr>
          <w:rFonts w:ascii="Arial" w:eastAsiaTheme="minorHAnsi" w:hAnsi="Arial" w:cs="Arial"/>
          <w:sz w:val="22"/>
          <w:szCs w:val="22"/>
          <w:lang w:val="en-GB"/>
        </w:rPr>
        <w:t>,</w:t>
      </w:r>
      <w:r w:rsidRPr="004954B0">
        <w:rPr>
          <w:rFonts w:ascii="Arial" w:eastAsiaTheme="minorHAnsi" w:hAnsi="Arial" w:cs="Arial"/>
          <w:sz w:val="22"/>
          <w:szCs w:val="22"/>
          <w:lang w:val="en-GB"/>
        </w:rPr>
        <w:t xml:space="preserve"> </w:t>
      </w:r>
      <w:r w:rsidR="003970C7" w:rsidRPr="004954B0">
        <w:rPr>
          <w:rFonts w:ascii="Arial" w:eastAsiaTheme="minorHAnsi" w:hAnsi="Arial" w:cs="Arial"/>
          <w:sz w:val="22"/>
          <w:szCs w:val="22"/>
          <w:lang w:val="en-GB"/>
        </w:rPr>
        <w:t>which</w:t>
      </w:r>
      <w:r w:rsidRPr="004954B0">
        <w:rPr>
          <w:rFonts w:ascii="Arial" w:eastAsiaTheme="minorHAnsi" w:hAnsi="Arial" w:cs="Arial"/>
          <w:sz w:val="22"/>
          <w:szCs w:val="22"/>
          <w:lang w:val="en-GB"/>
        </w:rPr>
        <w:t xml:space="preserve"> are not reversed during periods of growth, limiting the recovery of fiscal </w:t>
      </w:r>
      <w:proofErr w:type="gramStart"/>
      <w:r w:rsidRPr="004954B0">
        <w:rPr>
          <w:rFonts w:ascii="Arial" w:eastAsiaTheme="minorHAnsi" w:hAnsi="Arial" w:cs="Arial"/>
          <w:sz w:val="22"/>
          <w:szCs w:val="22"/>
          <w:lang w:val="en-GB"/>
        </w:rPr>
        <w:t>space</w:t>
      </w:r>
      <w:proofErr w:type="gramEnd"/>
      <w:r w:rsidRPr="004954B0">
        <w:rPr>
          <w:rFonts w:ascii="Arial" w:eastAsiaTheme="minorHAnsi" w:hAnsi="Arial" w:cs="Arial"/>
          <w:sz w:val="22"/>
          <w:szCs w:val="22"/>
          <w:lang w:val="en-GB"/>
        </w:rPr>
        <w:t xml:space="preserve"> and resulting in debt accumulation over time. Beyond the problem of sustainability, there is ample evidence documenting the negative effects </w:t>
      </w:r>
      <w:r w:rsidR="00E47327" w:rsidRPr="004954B0">
        <w:rPr>
          <w:rFonts w:ascii="Arial" w:eastAsiaTheme="minorHAnsi" w:hAnsi="Arial" w:cs="Arial"/>
          <w:sz w:val="22"/>
          <w:szCs w:val="22"/>
          <w:lang w:val="en-GB"/>
        </w:rPr>
        <w:t>of</w:t>
      </w:r>
      <w:r w:rsidRPr="004954B0">
        <w:rPr>
          <w:rFonts w:ascii="Arial" w:eastAsiaTheme="minorHAnsi" w:hAnsi="Arial" w:cs="Arial"/>
          <w:sz w:val="22"/>
          <w:szCs w:val="22"/>
          <w:lang w:val="en-GB"/>
        </w:rPr>
        <w:t xml:space="preserve"> abrupt c</w:t>
      </w:r>
      <w:r w:rsidR="00E47327" w:rsidRPr="004954B0">
        <w:rPr>
          <w:rFonts w:ascii="Arial" w:eastAsiaTheme="minorHAnsi" w:hAnsi="Arial" w:cs="Arial"/>
          <w:sz w:val="22"/>
          <w:szCs w:val="22"/>
          <w:lang w:val="en-GB"/>
        </w:rPr>
        <w:t>hanges in discretionary and pro</w:t>
      </w:r>
      <w:r w:rsidRPr="004954B0">
        <w:rPr>
          <w:rFonts w:ascii="Arial" w:eastAsiaTheme="minorHAnsi" w:hAnsi="Arial" w:cs="Arial"/>
          <w:sz w:val="22"/>
          <w:szCs w:val="22"/>
          <w:lang w:val="en-GB"/>
        </w:rPr>
        <w:t xml:space="preserve">cyclical fiscal policy on various outcomes, such as growth rates (Fatas and Mihov, 2013; Woo, 2011), macroeconomic stability (Fatas and Mihov, 2003; Ramey and Ramey, 1995), and efforts to protect vulnerable households during recessions (Hicks </w:t>
      </w:r>
      <w:r w:rsidRPr="004954B0">
        <w:rPr>
          <w:rFonts w:ascii="Arial" w:eastAsiaTheme="minorHAnsi" w:hAnsi="Arial" w:cs="Arial"/>
          <w:sz w:val="22"/>
          <w:szCs w:val="22"/>
          <w:lang w:val="en-GB" w:eastAsia="zh-CN"/>
        </w:rPr>
        <w:t>and</w:t>
      </w:r>
      <w:r w:rsidR="00C5486C" w:rsidRPr="004954B0">
        <w:rPr>
          <w:rFonts w:ascii="Arial" w:eastAsiaTheme="minorHAnsi" w:hAnsi="Arial" w:cs="Arial"/>
          <w:sz w:val="22"/>
          <w:szCs w:val="22"/>
          <w:lang w:val="en-GB"/>
        </w:rPr>
        <w:t xml:space="preserve"> Woodon, 2001; Lustig, 2000</w:t>
      </w:r>
      <w:r w:rsidR="00DB74FD" w:rsidRPr="004954B0">
        <w:rPr>
          <w:rFonts w:ascii="Arial" w:eastAsiaTheme="minorHAnsi" w:hAnsi="Arial" w:cs="Arial"/>
          <w:sz w:val="22"/>
          <w:szCs w:val="22"/>
          <w:lang w:val="en-GB"/>
        </w:rPr>
        <w:t>; Ravallion, 2002</w:t>
      </w:r>
      <w:r w:rsidR="00C5486C" w:rsidRPr="004954B0">
        <w:rPr>
          <w:rFonts w:ascii="Arial" w:eastAsiaTheme="minorHAnsi" w:hAnsi="Arial" w:cs="Arial"/>
          <w:sz w:val="22"/>
          <w:szCs w:val="22"/>
          <w:lang w:val="en-GB"/>
        </w:rPr>
        <w:t>).</w:t>
      </w:r>
    </w:p>
    <w:p w14:paraId="366F2DD2" w14:textId="7787874A" w:rsidR="00926F75" w:rsidRPr="004954B0" w:rsidRDefault="00FF49D1" w:rsidP="00926F75">
      <w:pPr>
        <w:pStyle w:val="Paragraph"/>
        <w:tabs>
          <w:tab w:val="clear" w:pos="2448"/>
          <w:tab w:val="num" w:pos="720"/>
        </w:tabs>
        <w:ind w:left="720" w:hanging="720"/>
        <w:rPr>
          <w:rFonts w:ascii="Arial" w:hAnsi="Arial" w:cs="Arial"/>
          <w:b/>
          <w:spacing w:val="-4"/>
          <w:sz w:val="22"/>
          <w:szCs w:val="22"/>
          <w:lang w:val="en-GB"/>
        </w:rPr>
      </w:pPr>
      <w:r w:rsidRPr="004954B0">
        <w:rPr>
          <w:rFonts w:ascii="Arial" w:hAnsi="Arial" w:cs="Arial"/>
          <w:bCs/>
          <w:spacing w:val="-4"/>
          <w:sz w:val="22"/>
          <w:szCs w:val="22"/>
          <w:lang w:val="en-GB"/>
        </w:rPr>
        <w:t xml:space="preserve">Given the severe impact of the COVID-19 health crisis on economic activity and public finances, the post-pandemic period will require policies to support </w:t>
      </w:r>
      <w:r w:rsidR="008A68CB" w:rsidRPr="004954B0">
        <w:rPr>
          <w:rFonts w:ascii="Arial" w:hAnsi="Arial" w:cs="Arial"/>
          <w:bCs/>
          <w:spacing w:val="-4"/>
          <w:sz w:val="22"/>
          <w:szCs w:val="22"/>
          <w:lang w:val="en-GB"/>
        </w:rPr>
        <w:t>economic recovery and</w:t>
      </w:r>
      <w:r w:rsidRPr="004954B0">
        <w:rPr>
          <w:rFonts w:ascii="Arial" w:hAnsi="Arial" w:cs="Arial"/>
          <w:bCs/>
          <w:spacing w:val="-4"/>
          <w:sz w:val="22"/>
          <w:szCs w:val="22"/>
          <w:lang w:val="en-GB"/>
        </w:rPr>
        <w:t xml:space="preserve"> stabilize </w:t>
      </w:r>
      <w:r w:rsidR="008A68CB" w:rsidRPr="004954B0">
        <w:rPr>
          <w:rFonts w:ascii="Arial" w:hAnsi="Arial" w:cs="Arial"/>
          <w:bCs/>
          <w:spacing w:val="-4"/>
          <w:sz w:val="22"/>
          <w:szCs w:val="22"/>
          <w:lang w:val="en-GB"/>
        </w:rPr>
        <w:t xml:space="preserve">the </w:t>
      </w:r>
      <w:r w:rsidRPr="004954B0">
        <w:rPr>
          <w:rFonts w:ascii="Arial" w:hAnsi="Arial" w:cs="Arial"/>
          <w:bCs/>
          <w:spacing w:val="-4"/>
          <w:sz w:val="22"/>
          <w:szCs w:val="22"/>
          <w:lang w:val="en-GB"/>
        </w:rPr>
        <w:t xml:space="preserve">fiscal position. To encourage a return to equitable growth, it will be necessary to design and implement comprehensive plans that serve as an economic stimulus and support the most vulnerable households and businesses during the recovery period. These plans will have to </w:t>
      </w:r>
      <w:proofErr w:type="gramStart"/>
      <w:r w:rsidRPr="004954B0">
        <w:rPr>
          <w:rFonts w:ascii="Arial" w:hAnsi="Arial" w:cs="Arial"/>
          <w:bCs/>
          <w:spacing w:val="-4"/>
          <w:sz w:val="22"/>
          <w:szCs w:val="22"/>
          <w:lang w:val="en-GB"/>
        </w:rPr>
        <w:t>take into account</w:t>
      </w:r>
      <w:proofErr w:type="gramEnd"/>
      <w:r w:rsidRPr="004954B0">
        <w:rPr>
          <w:rFonts w:ascii="Arial" w:hAnsi="Arial" w:cs="Arial"/>
          <w:bCs/>
          <w:spacing w:val="-4"/>
          <w:sz w:val="22"/>
          <w:szCs w:val="22"/>
          <w:lang w:val="en-GB"/>
        </w:rPr>
        <w:t xml:space="preserve"> budgetary constraints to avoid </w:t>
      </w:r>
      <w:r w:rsidR="00C75D2A" w:rsidRPr="004954B0">
        <w:rPr>
          <w:rFonts w:ascii="Arial" w:hAnsi="Arial" w:cs="Arial"/>
          <w:bCs/>
          <w:spacing w:val="-4"/>
          <w:sz w:val="22"/>
          <w:szCs w:val="22"/>
          <w:lang w:val="en-GB"/>
        </w:rPr>
        <w:t>undermining</w:t>
      </w:r>
      <w:r w:rsidRPr="004954B0">
        <w:rPr>
          <w:rFonts w:ascii="Arial" w:hAnsi="Arial" w:cs="Arial"/>
          <w:bCs/>
          <w:spacing w:val="-4"/>
          <w:sz w:val="22"/>
          <w:szCs w:val="22"/>
          <w:lang w:val="en-GB"/>
        </w:rPr>
        <w:t xml:space="preserve"> fiscal sustainability. In many cases, </w:t>
      </w:r>
      <w:r w:rsidR="00DB74FD" w:rsidRPr="004954B0">
        <w:rPr>
          <w:rFonts w:ascii="Arial" w:hAnsi="Arial" w:cs="Arial"/>
          <w:bCs/>
          <w:spacing w:val="-4"/>
          <w:sz w:val="22"/>
          <w:szCs w:val="22"/>
          <w:lang w:val="en-GB"/>
        </w:rPr>
        <w:t>they</w:t>
      </w:r>
      <w:r w:rsidRPr="004954B0">
        <w:rPr>
          <w:rFonts w:ascii="Arial" w:hAnsi="Arial" w:cs="Arial"/>
          <w:bCs/>
          <w:spacing w:val="-4"/>
          <w:sz w:val="22"/>
          <w:szCs w:val="22"/>
          <w:lang w:val="en-GB"/>
        </w:rPr>
        <w:t xml:space="preserve"> </w:t>
      </w:r>
      <w:r w:rsidR="00DB74FD" w:rsidRPr="004954B0">
        <w:rPr>
          <w:rFonts w:ascii="Arial" w:hAnsi="Arial" w:cs="Arial"/>
          <w:bCs/>
          <w:spacing w:val="-4"/>
          <w:sz w:val="22"/>
          <w:szCs w:val="22"/>
          <w:lang w:val="en-GB"/>
        </w:rPr>
        <w:t>will require</w:t>
      </w:r>
      <w:r w:rsidRPr="004954B0">
        <w:rPr>
          <w:rFonts w:ascii="Arial" w:hAnsi="Arial" w:cs="Arial"/>
          <w:bCs/>
          <w:spacing w:val="-4"/>
          <w:sz w:val="22"/>
          <w:szCs w:val="22"/>
          <w:lang w:val="en-GB"/>
        </w:rPr>
        <w:t xml:space="preserve"> structural reforms to </w:t>
      </w:r>
      <w:r w:rsidR="00DB74FD" w:rsidRPr="004954B0">
        <w:rPr>
          <w:rFonts w:ascii="Arial" w:hAnsi="Arial" w:cs="Arial"/>
          <w:bCs/>
          <w:spacing w:val="-4"/>
          <w:sz w:val="22"/>
          <w:szCs w:val="22"/>
          <w:lang w:val="en-GB"/>
        </w:rPr>
        <w:t>stimulate</w:t>
      </w:r>
      <w:r w:rsidRPr="004954B0">
        <w:rPr>
          <w:rFonts w:ascii="Arial" w:hAnsi="Arial" w:cs="Arial"/>
          <w:bCs/>
          <w:spacing w:val="-4"/>
          <w:sz w:val="22"/>
          <w:szCs w:val="22"/>
          <w:lang w:val="en-GB"/>
        </w:rPr>
        <w:t xml:space="preserve"> the economy</w:t>
      </w:r>
      <w:r w:rsidR="00DB74FD" w:rsidRPr="004954B0">
        <w:rPr>
          <w:rFonts w:ascii="Arial" w:hAnsi="Arial" w:cs="Arial"/>
          <w:bCs/>
          <w:spacing w:val="-4"/>
          <w:sz w:val="22"/>
          <w:szCs w:val="22"/>
          <w:lang w:val="en-GB"/>
        </w:rPr>
        <w:t xml:space="preserve"> from its foundation</w:t>
      </w:r>
      <w:r w:rsidR="00DF5A46" w:rsidRPr="004954B0">
        <w:rPr>
          <w:rFonts w:ascii="Arial" w:hAnsi="Arial" w:cs="Arial"/>
          <w:bCs/>
          <w:spacing w:val="-4"/>
          <w:sz w:val="22"/>
          <w:szCs w:val="22"/>
          <w:lang w:val="en-GB"/>
        </w:rPr>
        <w:t xml:space="preserve"> and help improve the countries’</w:t>
      </w:r>
      <w:r w:rsidRPr="004954B0">
        <w:rPr>
          <w:rFonts w:ascii="Arial" w:hAnsi="Arial" w:cs="Arial"/>
          <w:bCs/>
          <w:spacing w:val="-4"/>
          <w:sz w:val="22"/>
          <w:szCs w:val="22"/>
          <w:lang w:val="en-GB"/>
        </w:rPr>
        <w:t xml:space="preserve"> medium-term fiscal position</w:t>
      </w:r>
      <w:r w:rsidR="00926F75" w:rsidRPr="004954B0">
        <w:rPr>
          <w:rFonts w:ascii="Arial" w:hAnsi="Arial" w:cs="Arial"/>
          <w:spacing w:val="-4"/>
          <w:sz w:val="22"/>
          <w:szCs w:val="22"/>
          <w:lang w:val="en-GB"/>
        </w:rPr>
        <w:t xml:space="preserve">. </w:t>
      </w:r>
    </w:p>
    <w:p w14:paraId="6CC90D25" w14:textId="3F1F1C69" w:rsidR="007C1307" w:rsidRPr="004954B0" w:rsidRDefault="0064566B" w:rsidP="0064566B">
      <w:pPr>
        <w:pStyle w:val="FirstHeading"/>
        <w:spacing w:before="360"/>
        <w:ind w:left="720"/>
        <w:rPr>
          <w:rFonts w:ascii="Arial" w:hAnsi="Arial" w:cs="Arial"/>
          <w:sz w:val="22"/>
          <w:szCs w:val="22"/>
          <w:lang w:val="en-GB"/>
        </w:rPr>
      </w:pPr>
      <w:bookmarkStart w:id="12" w:name="_Toc38495919"/>
      <w:r w:rsidRPr="004954B0">
        <w:rPr>
          <w:rFonts w:ascii="Arial" w:hAnsi="Arial" w:cs="Arial"/>
          <w:sz w:val="22"/>
          <w:szCs w:val="22"/>
          <w:lang w:val="en-GB"/>
        </w:rPr>
        <w:t>D</w:t>
      </w:r>
      <w:r w:rsidR="007C1307" w:rsidRPr="004954B0">
        <w:rPr>
          <w:rFonts w:ascii="Arial" w:hAnsi="Arial" w:cs="Arial"/>
          <w:sz w:val="22"/>
          <w:szCs w:val="22"/>
          <w:lang w:val="en-GB"/>
        </w:rPr>
        <w:t>.</w:t>
      </w:r>
      <w:r w:rsidR="007C1307" w:rsidRPr="004954B0">
        <w:rPr>
          <w:rFonts w:ascii="Arial" w:hAnsi="Arial" w:cs="Arial"/>
          <w:sz w:val="22"/>
          <w:szCs w:val="22"/>
          <w:lang w:val="en-GB"/>
        </w:rPr>
        <w:tab/>
      </w:r>
      <w:r w:rsidR="005D042C" w:rsidRPr="004954B0">
        <w:rPr>
          <w:rFonts w:ascii="Arial" w:hAnsi="Arial" w:cs="Arial"/>
          <w:sz w:val="22"/>
          <w:szCs w:val="22"/>
          <w:lang w:val="en-GB" w:eastAsia="zh-CN"/>
        </w:rPr>
        <w:t xml:space="preserve">Evaluation </w:t>
      </w:r>
      <w:r w:rsidR="007677F7" w:rsidRPr="004954B0">
        <w:rPr>
          <w:rFonts w:ascii="Arial" w:hAnsi="Arial" w:cs="Arial"/>
          <w:sz w:val="22"/>
          <w:szCs w:val="22"/>
          <w:lang w:val="en-GB" w:eastAsia="zh-CN"/>
        </w:rPr>
        <w:t>M</w:t>
      </w:r>
      <w:r w:rsidR="00A57908" w:rsidRPr="004954B0">
        <w:rPr>
          <w:rFonts w:ascii="Arial" w:hAnsi="Arial" w:cs="Arial"/>
          <w:sz w:val="22"/>
          <w:szCs w:val="22"/>
          <w:lang w:val="en-GB" w:eastAsia="zh-CN"/>
        </w:rPr>
        <w:t>ethodology</w:t>
      </w:r>
      <w:bookmarkEnd w:id="12"/>
    </w:p>
    <w:p w14:paraId="223FA10E" w14:textId="65B8010F" w:rsidR="007A0AF0" w:rsidRPr="004954B0" w:rsidRDefault="000B0E85" w:rsidP="007A0AF0">
      <w:pPr>
        <w:pStyle w:val="Paragraph"/>
        <w:numPr>
          <w:ilvl w:val="0"/>
          <w:numId w:val="0"/>
        </w:numPr>
        <w:rPr>
          <w:rFonts w:ascii="Arial" w:eastAsia="Arial" w:hAnsi="Arial" w:cs="Arial"/>
          <w:b/>
          <w:bCs/>
          <w:sz w:val="22"/>
          <w:szCs w:val="22"/>
          <w:lang w:val="en-GB"/>
        </w:rPr>
      </w:pPr>
      <w:r w:rsidRPr="004954B0">
        <w:rPr>
          <w:rFonts w:ascii="Arial" w:eastAsia="Arial" w:hAnsi="Arial" w:cs="Arial"/>
          <w:b/>
          <w:bCs/>
          <w:sz w:val="22"/>
          <w:szCs w:val="22"/>
          <w:lang w:val="en-GB" w:eastAsia="zh-CN"/>
        </w:rPr>
        <w:t>Ex-ante</w:t>
      </w:r>
      <w:r w:rsidR="00A57908" w:rsidRPr="004954B0">
        <w:rPr>
          <w:rFonts w:ascii="Arial" w:eastAsia="Arial" w:hAnsi="Arial" w:cs="Arial"/>
          <w:b/>
          <w:bCs/>
          <w:sz w:val="22"/>
          <w:szCs w:val="22"/>
          <w:lang w:val="en-GB" w:eastAsia="zh-CN"/>
        </w:rPr>
        <w:t xml:space="preserve"> and </w:t>
      </w:r>
      <w:r w:rsidR="007677F7" w:rsidRPr="004954B0">
        <w:rPr>
          <w:rFonts w:ascii="Arial" w:eastAsia="Arial" w:hAnsi="Arial" w:cs="Arial"/>
          <w:b/>
          <w:bCs/>
          <w:sz w:val="22"/>
          <w:szCs w:val="22"/>
          <w:lang w:val="en-GB" w:eastAsia="zh-CN"/>
        </w:rPr>
        <w:t>E</w:t>
      </w:r>
      <w:r w:rsidRPr="004954B0">
        <w:rPr>
          <w:rFonts w:ascii="Arial" w:eastAsia="Arial" w:hAnsi="Arial" w:cs="Arial"/>
          <w:b/>
          <w:bCs/>
          <w:sz w:val="22"/>
          <w:szCs w:val="22"/>
          <w:lang w:val="en-GB" w:eastAsia="zh-CN"/>
        </w:rPr>
        <w:t>x-post</w:t>
      </w:r>
      <w:r w:rsidR="00A57908" w:rsidRPr="004954B0">
        <w:rPr>
          <w:rFonts w:ascii="Arial" w:eastAsia="Arial" w:hAnsi="Arial" w:cs="Arial"/>
          <w:b/>
          <w:bCs/>
          <w:sz w:val="22"/>
          <w:szCs w:val="22"/>
          <w:lang w:val="en-GB" w:eastAsia="zh-CN"/>
        </w:rPr>
        <w:t xml:space="preserve"> </w:t>
      </w:r>
      <w:r w:rsidR="007677F7" w:rsidRPr="004954B0">
        <w:rPr>
          <w:rFonts w:ascii="Arial" w:eastAsia="Arial" w:hAnsi="Arial" w:cs="Arial"/>
          <w:b/>
          <w:bCs/>
          <w:sz w:val="22"/>
          <w:szCs w:val="22"/>
          <w:lang w:val="en-GB" w:eastAsia="zh-CN"/>
        </w:rPr>
        <w:t>E</w:t>
      </w:r>
      <w:r w:rsidR="005D042C" w:rsidRPr="004954B0">
        <w:rPr>
          <w:rFonts w:ascii="Arial" w:eastAsia="Arial" w:hAnsi="Arial" w:cs="Arial"/>
          <w:b/>
          <w:bCs/>
          <w:sz w:val="22"/>
          <w:szCs w:val="22"/>
          <w:lang w:val="en-GB" w:eastAsia="zh-CN"/>
        </w:rPr>
        <w:t>valuation</w:t>
      </w:r>
      <w:r w:rsidRPr="004954B0">
        <w:rPr>
          <w:rFonts w:ascii="Arial" w:eastAsia="Arial" w:hAnsi="Arial" w:cs="Arial"/>
          <w:b/>
          <w:bCs/>
          <w:sz w:val="22"/>
          <w:szCs w:val="22"/>
          <w:lang w:val="en-GB" w:eastAsia="zh-CN"/>
        </w:rPr>
        <w:t>s</w:t>
      </w:r>
      <w:r w:rsidR="009A4E06" w:rsidRPr="004954B0">
        <w:rPr>
          <w:rFonts w:ascii="Arial" w:eastAsia="Arial" w:hAnsi="Arial" w:cs="Arial"/>
          <w:b/>
          <w:bCs/>
          <w:sz w:val="22"/>
          <w:szCs w:val="22"/>
          <w:lang w:val="en-GB"/>
        </w:rPr>
        <w:t xml:space="preserve"> </w:t>
      </w:r>
      <w:r w:rsidR="009A4E06" w:rsidRPr="004954B0">
        <w:rPr>
          <w:rFonts w:ascii="Arial" w:eastAsia="Arial" w:hAnsi="Arial" w:cs="Arial"/>
          <w:b/>
          <w:bCs/>
          <w:i/>
          <w:iCs/>
          <w:sz w:val="22"/>
          <w:szCs w:val="22"/>
          <w:lang w:val="en-GB"/>
        </w:rPr>
        <w:t>(</w:t>
      </w:r>
      <w:r w:rsidR="00973C92" w:rsidRPr="004954B0">
        <w:rPr>
          <w:rFonts w:ascii="Arial" w:eastAsia="Arial" w:hAnsi="Arial" w:cs="Arial"/>
          <w:b/>
          <w:bCs/>
          <w:i/>
          <w:iCs/>
          <w:sz w:val="22"/>
          <w:szCs w:val="22"/>
          <w:lang w:val="en-GB" w:eastAsia="zh-CN"/>
        </w:rPr>
        <w:t>without attribution</w:t>
      </w:r>
      <w:r w:rsidR="009A4E06" w:rsidRPr="004954B0">
        <w:rPr>
          <w:rFonts w:ascii="Arial" w:eastAsia="Arial" w:hAnsi="Arial" w:cs="Arial"/>
          <w:b/>
          <w:bCs/>
          <w:i/>
          <w:iCs/>
          <w:sz w:val="22"/>
          <w:szCs w:val="22"/>
          <w:lang w:val="en-GB"/>
        </w:rPr>
        <w:t>)</w:t>
      </w:r>
    </w:p>
    <w:p w14:paraId="460C821D" w14:textId="67C19A4E" w:rsidR="004267F1" w:rsidRPr="004954B0" w:rsidRDefault="001D6060" w:rsidP="001D6060">
      <w:pPr>
        <w:pStyle w:val="Paragraph"/>
        <w:tabs>
          <w:tab w:val="num" w:pos="1440"/>
          <w:tab w:val="num" w:pos="1746"/>
        </w:tabs>
        <w:ind w:left="720" w:hanging="720"/>
        <w:rPr>
          <w:rFonts w:ascii="Arial" w:hAnsi="Arial" w:cs="Arial"/>
          <w:sz w:val="22"/>
          <w:szCs w:val="22"/>
          <w:lang w:val="en-GB"/>
        </w:rPr>
      </w:pPr>
      <w:r w:rsidRPr="004954B0">
        <w:rPr>
          <w:rFonts w:ascii="Arial" w:hAnsi="Arial" w:cs="Arial"/>
          <w:sz w:val="22"/>
          <w:szCs w:val="22"/>
          <w:lang w:val="en-GB"/>
        </w:rPr>
        <w:t>For</w:t>
      </w:r>
      <w:r w:rsidR="008A6946" w:rsidRPr="004954B0">
        <w:rPr>
          <w:rFonts w:ascii="Arial" w:hAnsi="Arial" w:cs="Arial"/>
          <w:sz w:val="22"/>
          <w:szCs w:val="22"/>
          <w:lang w:val="en-GB"/>
        </w:rPr>
        <w:t xml:space="preserve"> the outcome indicators in the </w:t>
      </w:r>
      <w:r w:rsidR="007677F7" w:rsidRPr="004954B0">
        <w:rPr>
          <w:rFonts w:ascii="Arial" w:hAnsi="Arial" w:cs="Arial"/>
          <w:sz w:val="22"/>
          <w:szCs w:val="22"/>
          <w:lang w:val="en-GB"/>
        </w:rPr>
        <w:t>RM,</w:t>
      </w:r>
      <w:r w:rsidR="008A6946" w:rsidRPr="004954B0">
        <w:rPr>
          <w:rFonts w:ascii="Arial" w:hAnsi="Arial" w:cs="Arial"/>
          <w:sz w:val="22"/>
          <w:szCs w:val="22"/>
          <w:lang w:val="en-GB"/>
        </w:rPr>
        <w:t xml:space="preserve"> a post-performance </w:t>
      </w:r>
      <w:r w:rsidRPr="004954B0">
        <w:rPr>
          <w:rFonts w:ascii="Arial" w:hAnsi="Arial" w:cs="Arial"/>
          <w:sz w:val="22"/>
          <w:szCs w:val="22"/>
          <w:lang w:val="en-GB"/>
        </w:rPr>
        <w:t xml:space="preserve">evaluation will be conducted using a </w:t>
      </w:r>
      <w:r w:rsidR="008A6946" w:rsidRPr="004954B0">
        <w:rPr>
          <w:rFonts w:ascii="Arial" w:hAnsi="Arial" w:cs="Arial"/>
          <w:sz w:val="22"/>
          <w:szCs w:val="22"/>
          <w:lang w:val="en-GB"/>
        </w:rPr>
        <w:t>hybrid</w:t>
      </w:r>
      <w:r w:rsidRPr="004954B0">
        <w:rPr>
          <w:rFonts w:ascii="Arial" w:hAnsi="Arial" w:cs="Arial"/>
          <w:sz w:val="22"/>
          <w:szCs w:val="22"/>
          <w:lang w:val="en-GB"/>
        </w:rPr>
        <w:t xml:space="preserve"> methodology based on</w:t>
      </w:r>
      <w:r w:rsidR="00DB74FD" w:rsidRPr="004954B0">
        <w:rPr>
          <w:rFonts w:ascii="Arial" w:hAnsi="Arial" w:cs="Arial"/>
          <w:sz w:val="22"/>
          <w:szCs w:val="22"/>
          <w:lang w:val="en-GB"/>
        </w:rPr>
        <w:t xml:space="preserve"> a</w:t>
      </w:r>
      <w:r w:rsidRPr="004954B0">
        <w:rPr>
          <w:rFonts w:ascii="Arial" w:hAnsi="Arial" w:cs="Arial"/>
          <w:sz w:val="22"/>
          <w:szCs w:val="22"/>
          <w:lang w:val="en-GB"/>
        </w:rPr>
        <w:t xml:space="preserve">: </w:t>
      </w:r>
      <w:r w:rsidR="00DB74FD" w:rsidRPr="004954B0">
        <w:rPr>
          <w:rFonts w:ascii="Arial" w:hAnsi="Arial" w:cs="Arial"/>
          <w:sz w:val="22"/>
          <w:szCs w:val="22"/>
          <w:lang w:val="en-GB"/>
        </w:rPr>
        <w:t>(i</w:t>
      </w:r>
      <w:r w:rsidRPr="004954B0">
        <w:rPr>
          <w:rFonts w:ascii="Arial" w:hAnsi="Arial" w:cs="Arial"/>
          <w:sz w:val="22"/>
          <w:szCs w:val="22"/>
          <w:lang w:val="en-GB"/>
        </w:rPr>
        <w:t>)</w:t>
      </w:r>
      <w:r w:rsidR="00DB74FD" w:rsidRPr="004954B0">
        <w:rPr>
          <w:rFonts w:ascii="Arial" w:hAnsi="Arial" w:cs="Arial"/>
          <w:sz w:val="22"/>
          <w:szCs w:val="22"/>
          <w:lang w:val="en-GB"/>
        </w:rPr>
        <w:t xml:space="preserve"> </w:t>
      </w:r>
      <w:r w:rsidRPr="004954B0">
        <w:rPr>
          <w:rFonts w:ascii="Arial" w:hAnsi="Arial" w:cs="Arial"/>
          <w:sz w:val="22"/>
          <w:szCs w:val="22"/>
          <w:lang w:val="en-GB"/>
        </w:rPr>
        <w:t xml:space="preserve">before-and-after assessment of the outcome indicators; </w:t>
      </w:r>
      <w:r w:rsidR="00DB74FD" w:rsidRPr="004954B0">
        <w:rPr>
          <w:rFonts w:ascii="Arial" w:hAnsi="Arial" w:cs="Arial"/>
          <w:sz w:val="22"/>
          <w:szCs w:val="22"/>
          <w:lang w:val="en-GB"/>
        </w:rPr>
        <w:t>(ii</w:t>
      </w:r>
      <w:r w:rsidRPr="004954B0">
        <w:rPr>
          <w:rFonts w:ascii="Arial" w:hAnsi="Arial" w:cs="Arial"/>
          <w:sz w:val="22"/>
          <w:szCs w:val="22"/>
          <w:lang w:val="en-GB"/>
        </w:rPr>
        <w:t xml:space="preserve">) critical review of </w:t>
      </w:r>
      <w:r w:rsidR="008A6946" w:rsidRPr="004954B0">
        <w:rPr>
          <w:rFonts w:ascii="Arial" w:hAnsi="Arial" w:cs="Arial"/>
          <w:sz w:val="22"/>
          <w:szCs w:val="22"/>
          <w:lang w:val="en-GB"/>
        </w:rPr>
        <w:t>the vertical</w:t>
      </w:r>
      <w:r w:rsidRPr="004954B0">
        <w:rPr>
          <w:rFonts w:ascii="Arial" w:hAnsi="Arial" w:cs="Arial"/>
          <w:sz w:val="22"/>
          <w:szCs w:val="22"/>
          <w:lang w:val="en-GB"/>
        </w:rPr>
        <w:t xml:space="preserve"> logic and theory of change of the project in terms of preparation, implementation</w:t>
      </w:r>
      <w:r w:rsidR="008A6946" w:rsidRPr="004954B0">
        <w:rPr>
          <w:rFonts w:ascii="Arial" w:hAnsi="Arial" w:cs="Arial"/>
          <w:sz w:val="22"/>
          <w:szCs w:val="22"/>
          <w:lang w:val="en-GB"/>
        </w:rPr>
        <w:t>,</w:t>
      </w:r>
      <w:r w:rsidRPr="004954B0">
        <w:rPr>
          <w:rFonts w:ascii="Arial" w:hAnsi="Arial" w:cs="Arial"/>
          <w:sz w:val="22"/>
          <w:szCs w:val="22"/>
          <w:lang w:val="en-GB"/>
        </w:rPr>
        <w:t xml:space="preserve"> and closure; </w:t>
      </w:r>
      <w:r w:rsidR="00DB74FD" w:rsidRPr="004954B0">
        <w:rPr>
          <w:rFonts w:ascii="Arial" w:hAnsi="Arial" w:cs="Arial"/>
          <w:sz w:val="22"/>
          <w:szCs w:val="22"/>
          <w:lang w:val="en-GB"/>
        </w:rPr>
        <w:t>(ii</w:t>
      </w:r>
      <w:r w:rsidR="00E95AAD" w:rsidRPr="004954B0">
        <w:rPr>
          <w:rFonts w:ascii="Arial" w:hAnsi="Arial" w:cs="Arial"/>
          <w:sz w:val="22"/>
          <w:szCs w:val="22"/>
          <w:lang w:val="en-GB"/>
        </w:rPr>
        <w:t>i</w:t>
      </w:r>
      <w:r w:rsidRPr="004954B0">
        <w:rPr>
          <w:rFonts w:ascii="Arial" w:hAnsi="Arial" w:cs="Arial"/>
          <w:sz w:val="22"/>
          <w:szCs w:val="22"/>
          <w:lang w:val="en-GB"/>
        </w:rPr>
        <w:t xml:space="preserve">) analysis of the attainment of results based on available evidence on similar interventions in the literature; and </w:t>
      </w:r>
      <w:r w:rsidR="00E95AAD" w:rsidRPr="004954B0">
        <w:rPr>
          <w:rFonts w:ascii="Arial" w:hAnsi="Arial" w:cs="Arial"/>
          <w:sz w:val="22"/>
          <w:szCs w:val="22"/>
          <w:lang w:val="en-GB"/>
        </w:rPr>
        <w:t>(iv</w:t>
      </w:r>
      <w:r w:rsidRPr="004954B0">
        <w:rPr>
          <w:rFonts w:ascii="Arial" w:hAnsi="Arial" w:cs="Arial"/>
          <w:sz w:val="22"/>
          <w:szCs w:val="22"/>
          <w:lang w:val="en-GB"/>
        </w:rPr>
        <w:t xml:space="preserve">) qualitative analysis of the contribution of the </w:t>
      </w:r>
      <w:r w:rsidR="009D407C" w:rsidRPr="004954B0">
        <w:rPr>
          <w:rFonts w:ascii="Arial" w:hAnsi="Arial" w:cs="Arial"/>
          <w:sz w:val="22"/>
          <w:szCs w:val="22"/>
          <w:lang w:val="en-GB"/>
        </w:rPr>
        <w:t>policy reform</w:t>
      </w:r>
      <w:r w:rsidRPr="004954B0">
        <w:rPr>
          <w:rFonts w:ascii="Arial" w:hAnsi="Arial" w:cs="Arial"/>
          <w:sz w:val="22"/>
          <w:szCs w:val="22"/>
          <w:lang w:val="en-GB"/>
        </w:rPr>
        <w:t xml:space="preserve"> toward the attainment of the result. In the absence of quantitative evidence, </w:t>
      </w:r>
      <w:r w:rsidR="00E95AAD" w:rsidRPr="004954B0">
        <w:rPr>
          <w:rFonts w:ascii="Arial" w:hAnsi="Arial" w:cs="Arial"/>
          <w:sz w:val="22"/>
          <w:szCs w:val="22"/>
          <w:lang w:val="en-GB"/>
        </w:rPr>
        <w:t>the IDB will seek</w:t>
      </w:r>
      <w:r w:rsidRPr="004954B0">
        <w:rPr>
          <w:rFonts w:ascii="Arial" w:hAnsi="Arial" w:cs="Arial"/>
          <w:sz w:val="22"/>
          <w:szCs w:val="22"/>
          <w:lang w:val="en-GB"/>
        </w:rPr>
        <w:t xml:space="preserve"> to establish the plausible contribution of the </w:t>
      </w:r>
      <w:r w:rsidR="009D407C" w:rsidRPr="004954B0">
        <w:rPr>
          <w:rFonts w:ascii="Arial" w:hAnsi="Arial" w:cs="Arial"/>
          <w:sz w:val="22"/>
          <w:szCs w:val="22"/>
          <w:lang w:val="en-GB"/>
        </w:rPr>
        <w:t>policy reform</w:t>
      </w:r>
      <w:r w:rsidRPr="004954B0">
        <w:rPr>
          <w:rFonts w:ascii="Arial" w:hAnsi="Arial" w:cs="Arial"/>
          <w:sz w:val="22"/>
          <w:szCs w:val="22"/>
          <w:lang w:val="en-GB"/>
        </w:rPr>
        <w:t xml:space="preserve"> to each outcome indicator</w:t>
      </w:r>
      <w:r w:rsidR="00651A97" w:rsidRPr="004954B0">
        <w:rPr>
          <w:rFonts w:ascii="Arial" w:hAnsi="Arial" w:cs="Arial"/>
          <w:sz w:val="22"/>
          <w:szCs w:val="22"/>
          <w:lang w:val="en-GB"/>
        </w:rPr>
        <w:t>.</w:t>
      </w:r>
    </w:p>
    <w:p w14:paraId="1D874D08" w14:textId="1D9BAA9D" w:rsidR="00352068" w:rsidRPr="004954B0" w:rsidRDefault="00035F19" w:rsidP="00352068">
      <w:pPr>
        <w:pStyle w:val="Paragraph"/>
        <w:tabs>
          <w:tab w:val="clear" w:pos="2448"/>
          <w:tab w:val="num" w:pos="1440"/>
          <w:tab w:val="num" w:pos="1746"/>
        </w:tabs>
        <w:ind w:left="720" w:hanging="720"/>
        <w:rPr>
          <w:rFonts w:ascii="Arial" w:hAnsi="Arial" w:cs="Arial"/>
          <w:sz w:val="22"/>
          <w:szCs w:val="22"/>
          <w:lang w:val="en-GB"/>
        </w:rPr>
      </w:pPr>
      <w:r w:rsidRPr="004954B0">
        <w:rPr>
          <w:rFonts w:ascii="Arial" w:hAnsi="Arial" w:cs="Arial"/>
          <w:b/>
          <w:bCs/>
          <w:sz w:val="22"/>
          <w:szCs w:val="22"/>
          <w:lang w:val="en-GB"/>
        </w:rPr>
        <w:t>Met</w:t>
      </w:r>
      <w:r w:rsidRPr="004954B0">
        <w:rPr>
          <w:rFonts w:ascii="Arial" w:hAnsi="Arial" w:cs="Arial"/>
          <w:b/>
          <w:bCs/>
          <w:sz w:val="22"/>
          <w:szCs w:val="22"/>
          <w:lang w:val="en-GB" w:eastAsia="zh-CN"/>
        </w:rPr>
        <w:t>hodology</w:t>
      </w:r>
      <w:r w:rsidR="00352068" w:rsidRPr="004954B0">
        <w:rPr>
          <w:rFonts w:ascii="Arial" w:hAnsi="Arial" w:cs="Arial"/>
          <w:sz w:val="22"/>
          <w:szCs w:val="22"/>
          <w:lang w:val="en-GB"/>
        </w:rPr>
        <w:t xml:space="preserve">. </w:t>
      </w:r>
      <w:r w:rsidR="000F6F4F" w:rsidRPr="004954B0">
        <w:rPr>
          <w:rFonts w:ascii="Arial" w:hAnsi="Arial" w:cs="Arial"/>
          <w:sz w:val="22"/>
          <w:szCs w:val="22"/>
          <w:lang w:val="en-GB"/>
        </w:rPr>
        <w:t xml:space="preserve">The before-and-after assessment is a design used to measure the effect of an intervention </w:t>
      </w:r>
      <w:r w:rsidR="00F23239" w:rsidRPr="004954B0">
        <w:rPr>
          <w:rFonts w:ascii="Arial" w:hAnsi="Arial" w:cs="Arial"/>
          <w:sz w:val="22"/>
          <w:szCs w:val="22"/>
          <w:lang w:val="en-GB"/>
        </w:rPr>
        <w:t>by</w:t>
      </w:r>
      <w:r w:rsidR="000F6F4F" w:rsidRPr="004954B0">
        <w:rPr>
          <w:rFonts w:ascii="Arial" w:hAnsi="Arial" w:cs="Arial"/>
          <w:sz w:val="22"/>
          <w:szCs w:val="22"/>
          <w:lang w:val="en-GB"/>
        </w:rPr>
        <w:t xml:space="preserve"> comparing the outcomes before and after </w:t>
      </w:r>
      <w:r w:rsidR="00F23239" w:rsidRPr="004954B0">
        <w:rPr>
          <w:rFonts w:ascii="Arial" w:hAnsi="Arial" w:cs="Arial"/>
          <w:sz w:val="22"/>
          <w:szCs w:val="22"/>
          <w:lang w:val="en-GB"/>
        </w:rPr>
        <w:t xml:space="preserve">the </w:t>
      </w:r>
      <w:r w:rsidR="000F6F4F" w:rsidRPr="004954B0">
        <w:rPr>
          <w:rFonts w:ascii="Arial" w:hAnsi="Arial" w:cs="Arial"/>
          <w:sz w:val="22"/>
          <w:szCs w:val="22"/>
          <w:lang w:val="en-GB"/>
        </w:rPr>
        <w:t xml:space="preserve">implementation. This methodology is relatively simple to implement; however, it is an inherently weak evaluation design </w:t>
      </w:r>
      <w:r w:rsidR="00F23239" w:rsidRPr="004954B0">
        <w:rPr>
          <w:rFonts w:ascii="Arial" w:hAnsi="Arial" w:cs="Arial"/>
          <w:sz w:val="22"/>
          <w:szCs w:val="22"/>
          <w:lang w:val="en-GB"/>
        </w:rPr>
        <w:t>as</w:t>
      </w:r>
      <w:r w:rsidR="000F6F4F" w:rsidRPr="004954B0">
        <w:rPr>
          <w:rFonts w:ascii="Arial" w:hAnsi="Arial" w:cs="Arial"/>
          <w:sz w:val="22"/>
          <w:szCs w:val="22"/>
          <w:lang w:val="en-GB"/>
        </w:rPr>
        <w:t xml:space="preserve"> there may be secular trends or sudden shocks in trends that make it difficult to attribute </w:t>
      </w:r>
      <w:r w:rsidR="000F6F4F" w:rsidRPr="004954B0">
        <w:rPr>
          <w:rFonts w:ascii="Arial" w:hAnsi="Arial" w:cs="Arial"/>
          <w:sz w:val="22"/>
          <w:szCs w:val="22"/>
          <w:lang w:val="en-GB" w:eastAsia="zh-CN"/>
        </w:rPr>
        <w:t xml:space="preserve">the changes </w:t>
      </w:r>
      <w:r w:rsidR="00F23239" w:rsidRPr="004954B0">
        <w:rPr>
          <w:rFonts w:ascii="Arial" w:hAnsi="Arial" w:cs="Arial"/>
          <w:sz w:val="22"/>
          <w:szCs w:val="22"/>
          <w:lang w:val="en-GB" w:eastAsia="zh-CN"/>
        </w:rPr>
        <w:t xml:space="preserve">observed </w:t>
      </w:r>
      <w:r w:rsidR="00F23239" w:rsidRPr="004954B0">
        <w:rPr>
          <w:rFonts w:ascii="Arial" w:hAnsi="Arial" w:cs="Arial"/>
          <w:sz w:val="22"/>
          <w:szCs w:val="22"/>
          <w:lang w:val="en-GB"/>
        </w:rPr>
        <w:t>to</w:t>
      </w:r>
      <w:r w:rsidR="000F6F4F" w:rsidRPr="004954B0">
        <w:rPr>
          <w:rFonts w:ascii="Arial" w:hAnsi="Arial" w:cs="Arial"/>
          <w:sz w:val="22"/>
          <w:szCs w:val="22"/>
          <w:lang w:val="en-GB"/>
        </w:rPr>
        <w:t xml:space="preserve"> </w:t>
      </w:r>
      <w:r w:rsidR="00CD3017" w:rsidRPr="004954B0">
        <w:rPr>
          <w:rFonts w:ascii="Arial" w:hAnsi="Arial" w:cs="Arial"/>
          <w:sz w:val="22"/>
          <w:szCs w:val="22"/>
          <w:lang w:val="en-GB"/>
        </w:rPr>
        <w:t>the effects of the program</w:t>
      </w:r>
      <w:r w:rsidR="00C805C7" w:rsidRPr="004954B0">
        <w:rPr>
          <w:rFonts w:ascii="Arial" w:hAnsi="Arial" w:cs="Arial"/>
          <w:sz w:val="22"/>
          <w:szCs w:val="22"/>
          <w:lang w:val="en-GB"/>
        </w:rPr>
        <w:t>me</w:t>
      </w:r>
      <w:r w:rsidR="00352068" w:rsidRPr="004954B0">
        <w:rPr>
          <w:rFonts w:ascii="Arial" w:hAnsi="Arial" w:cs="Arial"/>
          <w:sz w:val="22"/>
          <w:szCs w:val="22"/>
          <w:lang w:val="en-GB"/>
        </w:rPr>
        <w:t xml:space="preserve">.     </w:t>
      </w:r>
    </w:p>
    <w:p w14:paraId="524ED305" w14:textId="5E968619" w:rsidR="002B4219" w:rsidRPr="004954B0" w:rsidRDefault="000F6F4F" w:rsidP="00242C19">
      <w:pPr>
        <w:pStyle w:val="Paragraph"/>
        <w:tabs>
          <w:tab w:val="num" w:pos="1440"/>
          <w:tab w:val="num" w:pos="1746"/>
        </w:tabs>
        <w:ind w:left="720" w:hanging="720"/>
        <w:rPr>
          <w:rFonts w:ascii="Arial" w:hAnsi="Arial" w:cs="Arial"/>
          <w:sz w:val="22"/>
          <w:szCs w:val="22"/>
          <w:lang w:val="en-GB"/>
        </w:rPr>
      </w:pPr>
      <w:r w:rsidRPr="004954B0">
        <w:rPr>
          <w:rFonts w:ascii="Arial" w:hAnsi="Arial" w:cs="Arial"/>
          <w:b/>
          <w:bCs/>
          <w:sz w:val="22"/>
          <w:szCs w:val="22"/>
          <w:lang w:val="en-GB" w:eastAsia="zh-CN"/>
        </w:rPr>
        <w:t>Data source</w:t>
      </w:r>
      <w:r w:rsidR="00651A97" w:rsidRPr="004954B0">
        <w:rPr>
          <w:rFonts w:ascii="Arial" w:hAnsi="Arial" w:cs="Arial"/>
          <w:sz w:val="22"/>
          <w:szCs w:val="22"/>
          <w:lang w:val="en-GB"/>
        </w:rPr>
        <w:t xml:space="preserve">. </w:t>
      </w:r>
      <w:r w:rsidR="00AE36C4" w:rsidRPr="004954B0">
        <w:rPr>
          <w:rFonts w:ascii="Arial" w:hAnsi="Arial" w:cs="Arial"/>
          <w:sz w:val="22"/>
          <w:szCs w:val="22"/>
          <w:lang w:val="en-GB"/>
        </w:rPr>
        <w:t>The data for the before-and-after assessment will mainly co</w:t>
      </w:r>
      <w:r w:rsidR="00A3796C" w:rsidRPr="004954B0">
        <w:rPr>
          <w:rFonts w:ascii="Arial" w:hAnsi="Arial" w:cs="Arial"/>
          <w:sz w:val="22"/>
          <w:szCs w:val="22"/>
          <w:lang w:val="en-GB"/>
        </w:rPr>
        <w:t xml:space="preserve">me from information </w:t>
      </w:r>
      <w:r w:rsidR="009B13C4" w:rsidRPr="004954B0">
        <w:rPr>
          <w:rFonts w:ascii="Arial" w:hAnsi="Arial" w:cs="Arial"/>
          <w:sz w:val="22"/>
          <w:szCs w:val="22"/>
          <w:lang w:val="en-GB"/>
        </w:rPr>
        <w:t xml:space="preserve">on changes in the indicators </w:t>
      </w:r>
      <w:r w:rsidR="00A3796C" w:rsidRPr="004954B0">
        <w:rPr>
          <w:rFonts w:ascii="Arial" w:hAnsi="Arial" w:cs="Arial"/>
          <w:sz w:val="22"/>
          <w:szCs w:val="22"/>
          <w:lang w:val="en-GB"/>
        </w:rPr>
        <w:t xml:space="preserve">in the </w:t>
      </w:r>
      <w:r w:rsidR="00E95AAD" w:rsidRPr="004954B0">
        <w:rPr>
          <w:rFonts w:ascii="Arial" w:hAnsi="Arial" w:cs="Arial"/>
          <w:sz w:val="22"/>
          <w:szCs w:val="22"/>
          <w:lang w:val="en-GB"/>
        </w:rPr>
        <w:t>RM</w:t>
      </w:r>
      <w:r w:rsidR="00AE36C4" w:rsidRPr="004954B0">
        <w:rPr>
          <w:rFonts w:ascii="Arial" w:hAnsi="Arial" w:cs="Arial"/>
          <w:sz w:val="22"/>
          <w:szCs w:val="22"/>
          <w:lang w:val="en-GB"/>
        </w:rPr>
        <w:t xml:space="preserve">. These data will be obtained </w:t>
      </w:r>
      <w:r w:rsidR="00AE36C4" w:rsidRPr="004954B0">
        <w:rPr>
          <w:rFonts w:ascii="Arial" w:hAnsi="Arial" w:cs="Arial"/>
          <w:sz w:val="22"/>
          <w:szCs w:val="22"/>
          <w:lang w:val="en-GB"/>
        </w:rPr>
        <w:lastRenderedPageBreak/>
        <w:t>from existing administrative records, program</w:t>
      </w:r>
      <w:r w:rsidR="00C805C7" w:rsidRPr="004954B0">
        <w:rPr>
          <w:rFonts w:ascii="Arial" w:hAnsi="Arial" w:cs="Arial"/>
          <w:sz w:val="22"/>
          <w:szCs w:val="22"/>
          <w:lang w:val="en-GB"/>
        </w:rPr>
        <w:t>me</w:t>
      </w:r>
      <w:r w:rsidR="00AE36C4" w:rsidRPr="004954B0">
        <w:rPr>
          <w:rFonts w:ascii="Arial" w:hAnsi="Arial" w:cs="Arial"/>
          <w:sz w:val="22"/>
          <w:szCs w:val="22"/>
          <w:lang w:val="en-GB"/>
        </w:rPr>
        <w:t xml:space="preserve"> monitoring reports</w:t>
      </w:r>
      <w:r w:rsidR="007C0526" w:rsidRPr="004954B0">
        <w:rPr>
          <w:rFonts w:ascii="Arial" w:hAnsi="Arial" w:cs="Arial"/>
          <w:sz w:val="22"/>
          <w:szCs w:val="22"/>
          <w:lang w:val="en-GB"/>
        </w:rPr>
        <w:t>,</w:t>
      </w:r>
      <w:r w:rsidR="00AE36C4" w:rsidRPr="004954B0">
        <w:rPr>
          <w:rFonts w:ascii="Arial" w:hAnsi="Arial" w:cs="Arial"/>
          <w:sz w:val="22"/>
          <w:szCs w:val="22"/>
          <w:lang w:val="en-GB"/>
        </w:rPr>
        <w:t xml:space="preserve"> or other documents. For the qualitative analysis, information will be gathered through in-depth interviews, semi-structured interviews, </w:t>
      </w:r>
      <w:r w:rsidR="00E95AAD" w:rsidRPr="004954B0">
        <w:rPr>
          <w:rFonts w:ascii="Arial" w:hAnsi="Arial" w:cs="Arial"/>
          <w:sz w:val="22"/>
          <w:szCs w:val="22"/>
          <w:lang w:val="en-GB"/>
        </w:rPr>
        <w:t xml:space="preserve">and </w:t>
      </w:r>
      <w:r w:rsidR="00AE36C4" w:rsidRPr="004954B0">
        <w:rPr>
          <w:rFonts w:ascii="Arial" w:hAnsi="Arial" w:cs="Arial"/>
          <w:sz w:val="22"/>
          <w:szCs w:val="22"/>
          <w:lang w:val="en-GB"/>
        </w:rPr>
        <w:t>focus groups</w:t>
      </w:r>
      <w:r w:rsidR="00F47946" w:rsidRPr="004954B0">
        <w:rPr>
          <w:rFonts w:ascii="Arial" w:hAnsi="Arial" w:cs="Arial"/>
          <w:sz w:val="22"/>
          <w:szCs w:val="22"/>
          <w:lang w:val="en-GB"/>
        </w:rPr>
        <w:t>,</w:t>
      </w:r>
      <w:r w:rsidR="00AE36C4" w:rsidRPr="004954B0">
        <w:rPr>
          <w:rFonts w:ascii="Arial" w:hAnsi="Arial" w:cs="Arial"/>
          <w:sz w:val="22"/>
          <w:szCs w:val="22"/>
          <w:lang w:val="en-GB"/>
        </w:rPr>
        <w:t xml:space="preserve"> </w:t>
      </w:r>
      <w:r w:rsidR="00E95AAD" w:rsidRPr="004954B0">
        <w:rPr>
          <w:rFonts w:ascii="Arial" w:hAnsi="Arial" w:cs="Arial"/>
          <w:sz w:val="22"/>
          <w:szCs w:val="22"/>
          <w:lang w:val="en-GB"/>
        </w:rPr>
        <w:t>among</w:t>
      </w:r>
      <w:r w:rsidR="00AE36C4" w:rsidRPr="004954B0">
        <w:rPr>
          <w:rFonts w:ascii="Arial" w:hAnsi="Arial" w:cs="Arial"/>
          <w:sz w:val="22"/>
          <w:szCs w:val="22"/>
          <w:lang w:val="en-GB"/>
        </w:rPr>
        <w:t xml:space="preserve"> others. </w:t>
      </w:r>
      <w:r w:rsidR="00E95AAD" w:rsidRPr="004954B0">
        <w:rPr>
          <w:rFonts w:ascii="Arial" w:hAnsi="Arial" w:cs="Arial"/>
          <w:sz w:val="22"/>
          <w:szCs w:val="22"/>
          <w:lang w:val="en-GB"/>
        </w:rPr>
        <w:t>Government entities responsible for</w:t>
      </w:r>
      <w:r w:rsidR="00AE36C4" w:rsidRPr="004954B0">
        <w:rPr>
          <w:rFonts w:ascii="Arial" w:hAnsi="Arial" w:cs="Arial"/>
          <w:sz w:val="22"/>
          <w:szCs w:val="22"/>
          <w:lang w:val="en-GB"/>
        </w:rPr>
        <w:t xml:space="preserve"> </w:t>
      </w:r>
      <w:r w:rsidR="00E95AAD" w:rsidRPr="004954B0">
        <w:rPr>
          <w:rFonts w:ascii="Arial" w:hAnsi="Arial" w:cs="Arial"/>
          <w:sz w:val="22"/>
          <w:szCs w:val="22"/>
          <w:lang w:val="en-GB"/>
        </w:rPr>
        <w:t xml:space="preserve">implementing the respective policy reforms will carry out the </w:t>
      </w:r>
      <w:r w:rsidR="00AE36C4" w:rsidRPr="004954B0">
        <w:rPr>
          <w:rFonts w:ascii="Arial" w:hAnsi="Arial" w:cs="Arial"/>
          <w:sz w:val="22"/>
          <w:szCs w:val="22"/>
          <w:lang w:val="en-GB"/>
        </w:rPr>
        <w:t>qualitative analysis</w:t>
      </w:r>
      <w:r w:rsidR="00E95AAD" w:rsidRPr="004954B0">
        <w:rPr>
          <w:rFonts w:ascii="Arial" w:hAnsi="Arial" w:cs="Arial"/>
          <w:sz w:val="22"/>
          <w:szCs w:val="22"/>
          <w:lang w:val="en-GB"/>
        </w:rPr>
        <w:t>.</w:t>
      </w:r>
      <w:r w:rsidR="00AE36C4" w:rsidRPr="004954B0">
        <w:rPr>
          <w:rFonts w:ascii="Arial" w:hAnsi="Arial" w:cs="Arial"/>
          <w:sz w:val="22"/>
          <w:szCs w:val="22"/>
          <w:lang w:val="en-GB"/>
        </w:rPr>
        <w:t xml:space="preserve"> </w:t>
      </w:r>
    </w:p>
    <w:p w14:paraId="6625D245" w14:textId="1916038C" w:rsidR="00212E44" w:rsidRPr="004954B0" w:rsidRDefault="00212E44" w:rsidP="00212E44">
      <w:pPr>
        <w:pStyle w:val="FirstHeading"/>
        <w:ind w:left="720"/>
        <w:rPr>
          <w:rFonts w:ascii="Arial" w:hAnsi="Arial" w:cs="Arial"/>
          <w:sz w:val="22"/>
          <w:szCs w:val="22"/>
          <w:lang w:val="en-GB"/>
        </w:rPr>
      </w:pPr>
      <w:bookmarkStart w:id="13" w:name="_Toc38495920"/>
      <w:r w:rsidRPr="004954B0">
        <w:rPr>
          <w:rFonts w:ascii="Arial" w:hAnsi="Arial" w:cs="Arial"/>
          <w:sz w:val="22"/>
          <w:szCs w:val="22"/>
          <w:lang w:val="en-GB"/>
        </w:rPr>
        <w:t>E.</w:t>
      </w:r>
      <w:r w:rsidRPr="004954B0">
        <w:rPr>
          <w:rFonts w:ascii="Arial" w:hAnsi="Arial" w:cs="Arial"/>
          <w:sz w:val="22"/>
          <w:szCs w:val="22"/>
          <w:lang w:val="en-GB"/>
        </w:rPr>
        <w:tab/>
      </w:r>
      <w:r w:rsidR="00710593" w:rsidRPr="004954B0">
        <w:rPr>
          <w:rFonts w:ascii="Arial" w:hAnsi="Arial" w:cs="Arial"/>
          <w:sz w:val="22"/>
          <w:szCs w:val="22"/>
          <w:lang w:val="en-GB" w:eastAsia="zh-CN"/>
        </w:rPr>
        <w:t>Reporting</w:t>
      </w:r>
      <w:bookmarkEnd w:id="13"/>
    </w:p>
    <w:p w14:paraId="32C3303F" w14:textId="48CFFBC8" w:rsidR="008B28BE" w:rsidRPr="004954B0" w:rsidRDefault="00286F62" w:rsidP="008B28BE">
      <w:pPr>
        <w:pStyle w:val="Paragraph"/>
        <w:tabs>
          <w:tab w:val="num" w:pos="1440"/>
          <w:tab w:val="num" w:pos="1746"/>
        </w:tabs>
        <w:ind w:left="720" w:hanging="720"/>
        <w:rPr>
          <w:rFonts w:ascii="Arial" w:hAnsi="Arial" w:cs="Arial"/>
          <w:sz w:val="22"/>
          <w:szCs w:val="22"/>
          <w:lang w:val="en-GB"/>
        </w:rPr>
      </w:pPr>
      <w:r w:rsidRPr="004954B0">
        <w:rPr>
          <w:rFonts w:ascii="Arial" w:hAnsi="Arial" w:cs="Arial"/>
          <w:b/>
          <w:bCs/>
          <w:sz w:val="22"/>
          <w:szCs w:val="22"/>
          <w:lang w:val="en-GB" w:eastAsia="zh-CN"/>
        </w:rPr>
        <w:t>Evaluation reports</w:t>
      </w:r>
      <w:r w:rsidR="008B28BE" w:rsidRPr="004954B0">
        <w:rPr>
          <w:rFonts w:ascii="Arial" w:hAnsi="Arial" w:cs="Arial"/>
          <w:sz w:val="22"/>
          <w:szCs w:val="22"/>
          <w:lang w:val="en-GB"/>
        </w:rPr>
        <w:t xml:space="preserve">. </w:t>
      </w:r>
      <w:r w:rsidR="00145B4B" w:rsidRPr="004954B0">
        <w:rPr>
          <w:rFonts w:ascii="Arial" w:hAnsi="Arial" w:cs="Arial"/>
          <w:sz w:val="22"/>
          <w:szCs w:val="22"/>
          <w:lang w:val="en-GB"/>
        </w:rPr>
        <w:t xml:space="preserve">The results of the evaluations will be presented in </w:t>
      </w:r>
      <w:r w:rsidR="003F7F1B" w:rsidRPr="004954B0">
        <w:rPr>
          <w:rFonts w:ascii="Arial" w:hAnsi="Arial" w:cs="Arial"/>
          <w:sz w:val="22"/>
          <w:szCs w:val="22"/>
          <w:lang w:val="en-GB"/>
        </w:rPr>
        <w:t xml:space="preserve">the </w:t>
      </w:r>
      <w:r w:rsidR="004822C7" w:rsidRPr="004954B0">
        <w:rPr>
          <w:rFonts w:ascii="Arial" w:hAnsi="Arial" w:cs="Arial"/>
          <w:sz w:val="22"/>
          <w:szCs w:val="22"/>
          <w:lang w:val="en-GB"/>
        </w:rPr>
        <w:t xml:space="preserve">results reports, which </w:t>
      </w:r>
      <w:r w:rsidR="00145B4B" w:rsidRPr="004954B0">
        <w:rPr>
          <w:rFonts w:ascii="Arial" w:hAnsi="Arial" w:cs="Arial"/>
          <w:sz w:val="22"/>
          <w:szCs w:val="22"/>
          <w:lang w:val="en-GB"/>
        </w:rPr>
        <w:t>will be prepared after the program</w:t>
      </w:r>
      <w:r w:rsidR="00C805C7" w:rsidRPr="004954B0">
        <w:rPr>
          <w:rFonts w:ascii="Arial" w:hAnsi="Arial" w:cs="Arial"/>
          <w:sz w:val="22"/>
          <w:szCs w:val="22"/>
          <w:lang w:val="en-GB"/>
        </w:rPr>
        <w:t>me</w:t>
      </w:r>
      <w:r w:rsidR="00145B4B" w:rsidRPr="004954B0">
        <w:rPr>
          <w:rFonts w:ascii="Arial" w:hAnsi="Arial" w:cs="Arial"/>
          <w:sz w:val="22"/>
          <w:szCs w:val="22"/>
          <w:lang w:val="en-GB"/>
        </w:rPr>
        <w:t xml:space="preserve"> is closed and presented as an integral part of the </w:t>
      </w:r>
      <w:r w:rsidR="007677F7" w:rsidRPr="004954B0">
        <w:rPr>
          <w:rFonts w:ascii="Arial" w:hAnsi="Arial" w:cs="Arial"/>
          <w:sz w:val="22"/>
          <w:szCs w:val="22"/>
          <w:lang w:val="en-GB"/>
        </w:rPr>
        <w:t>PCR.</w:t>
      </w:r>
      <w:r w:rsidR="008B28BE" w:rsidRPr="004954B0">
        <w:rPr>
          <w:rFonts w:ascii="Arial" w:hAnsi="Arial" w:cs="Arial"/>
          <w:sz w:val="22"/>
          <w:szCs w:val="22"/>
          <w:lang w:val="en-GB"/>
        </w:rPr>
        <w:t xml:space="preserve"> </w:t>
      </w:r>
    </w:p>
    <w:p w14:paraId="7D768B5C" w14:textId="27DDE12A" w:rsidR="008B28BE" w:rsidRPr="004954B0" w:rsidRDefault="00286F62" w:rsidP="000B35E0">
      <w:pPr>
        <w:pStyle w:val="Paragraph"/>
        <w:tabs>
          <w:tab w:val="num" w:pos="1440"/>
          <w:tab w:val="num" w:pos="1746"/>
        </w:tabs>
        <w:ind w:left="720" w:hanging="720"/>
        <w:rPr>
          <w:rFonts w:ascii="Arial" w:hAnsi="Arial" w:cs="Arial"/>
          <w:sz w:val="22"/>
          <w:szCs w:val="22"/>
          <w:lang w:val="en-GB"/>
        </w:rPr>
      </w:pPr>
      <w:r w:rsidRPr="004954B0">
        <w:rPr>
          <w:rFonts w:ascii="Arial" w:hAnsi="Arial" w:cs="Arial"/>
          <w:b/>
          <w:bCs/>
          <w:sz w:val="22"/>
          <w:szCs w:val="22"/>
          <w:lang w:val="en-GB" w:eastAsia="zh-CN"/>
        </w:rPr>
        <w:t>Project Completion Report</w:t>
      </w:r>
      <w:r w:rsidR="008B28BE" w:rsidRPr="004954B0">
        <w:rPr>
          <w:rFonts w:ascii="Arial" w:hAnsi="Arial" w:cs="Arial"/>
          <w:sz w:val="22"/>
          <w:szCs w:val="22"/>
          <w:lang w:val="en-GB"/>
        </w:rPr>
        <w:t xml:space="preserve">. </w:t>
      </w:r>
      <w:r w:rsidR="00104752" w:rsidRPr="004954B0">
        <w:rPr>
          <w:rFonts w:ascii="Arial" w:hAnsi="Arial" w:cs="Arial"/>
          <w:sz w:val="22"/>
          <w:szCs w:val="22"/>
          <w:lang w:val="en-GB"/>
        </w:rPr>
        <w:t xml:space="preserve">Once the </w:t>
      </w:r>
      <w:r w:rsidR="00863B11" w:rsidRPr="004954B0">
        <w:rPr>
          <w:rFonts w:ascii="Arial" w:hAnsi="Arial" w:cs="Arial"/>
          <w:sz w:val="22"/>
          <w:szCs w:val="22"/>
          <w:lang w:val="en-GB"/>
        </w:rPr>
        <w:t>operation</w:t>
      </w:r>
      <w:r w:rsidR="00104752" w:rsidRPr="004954B0">
        <w:rPr>
          <w:rFonts w:ascii="Arial" w:hAnsi="Arial" w:cs="Arial"/>
          <w:sz w:val="22"/>
          <w:szCs w:val="22"/>
          <w:lang w:val="en-GB"/>
        </w:rPr>
        <w:t xml:space="preserve"> </w:t>
      </w:r>
      <w:r w:rsidR="00BB29FD" w:rsidRPr="004954B0">
        <w:rPr>
          <w:rFonts w:ascii="Arial" w:hAnsi="Arial" w:cs="Arial"/>
          <w:sz w:val="22"/>
          <w:szCs w:val="22"/>
          <w:lang w:val="en-GB"/>
        </w:rPr>
        <w:t>is complete</w:t>
      </w:r>
      <w:r w:rsidR="00104752" w:rsidRPr="004954B0">
        <w:rPr>
          <w:rFonts w:ascii="Arial" w:hAnsi="Arial" w:cs="Arial"/>
          <w:sz w:val="22"/>
          <w:szCs w:val="22"/>
          <w:lang w:val="en-GB"/>
        </w:rPr>
        <w:t xml:space="preserve">, the IDB project team will prepare a </w:t>
      </w:r>
      <w:r w:rsidR="00D7178E" w:rsidRPr="004954B0">
        <w:rPr>
          <w:rFonts w:ascii="Arial" w:hAnsi="Arial" w:cs="Arial"/>
          <w:sz w:val="22"/>
          <w:szCs w:val="22"/>
          <w:lang w:val="en-GB"/>
        </w:rPr>
        <w:t>PCR</w:t>
      </w:r>
      <w:r w:rsidR="00104752" w:rsidRPr="004954B0">
        <w:rPr>
          <w:rFonts w:ascii="Arial" w:hAnsi="Arial" w:cs="Arial"/>
          <w:sz w:val="22"/>
          <w:szCs w:val="22"/>
          <w:lang w:val="en-GB"/>
        </w:rPr>
        <w:t xml:space="preserve"> within the established timeframe. </w:t>
      </w:r>
      <w:r w:rsidR="00D7178E" w:rsidRPr="004954B0">
        <w:rPr>
          <w:rFonts w:ascii="Arial" w:hAnsi="Arial" w:cs="Arial"/>
          <w:sz w:val="22"/>
          <w:szCs w:val="22"/>
          <w:lang w:val="en-GB"/>
        </w:rPr>
        <w:t>It</w:t>
      </w:r>
      <w:r w:rsidR="00104752" w:rsidRPr="004954B0">
        <w:rPr>
          <w:rFonts w:ascii="Arial" w:hAnsi="Arial" w:cs="Arial"/>
          <w:sz w:val="22"/>
          <w:szCs w:val="22"/>
          <w:lang w:val="en-GB"/>
        </w:rPr>
        <w:t xml:space="preserve"> include</w:t>
      </w:r>
      <w:r w:rsidR="00313DB6" w:rsidRPr="004954B0">
        <w:rPr>
          <w:rFonts w:ascii="Arial" w:hAnsi="Arial" w:cs="Arial"/>
          <w:sz w:val="22"/>
          <w:szCs w:val="22"/>
          <w:lang w:val="en-GB"/>
        </w:rPr>
        <w:t>s</w:t>
      </w:r>
      <w:r w:rsidR="00104752" w:rsidRPr="004954B0">
        <w:rPr>
          <w:rFonts w:ascii="Arial" w:hAnsi="Arial" w:cs="Arial"/>
          <w:sz w:val="22"/>
          <w:szCs w:val="22"/>
          <w:lang w:val="en-GB"/>
        </w:rPr>
        <w:t xml:space="preserve"> a comprehensive evaluation of program</w:t>
      </w:r>
      <w:r w:rsidR="00C805C7" w:rsidRPr="004954B0">
        <w:rPr>
          <w:rFonts w:ascii="Arial" w:hAnsi="Arial" w:cs="Arial"/>
          <w:sz w:val="22"/>
          <w:szCs w:val="22"/>
          <w:lang w:val="en-GB"/>
        </w:rPr>
        <w:t>me</w:t>
      </w:r>
      <w:r w:rsidR="00104752" w:rsidRPr="004954B0">
        <w:rPr>
          <w:rFonts w:ascii="Arial" w:hAnsi="Arial" w:cs="Arial"/>
          <w:sz w:val="22"/>
          <w:szCs w:val="22"/>
          <w:lang w:val="en-GB"/>
        </w:rPr>
        <w:t xml:space="preserve"> performance based on the core criteria (relevance, effectiveness, efficiency, and sustainability), the two non-core criteria (borrower </w:t>
      </w:r>
      <w:r w:rsidR="007B3A6C" w:rsidRPr="004954B0">
        <w:rPr>
          <w:rFonts w:ascii="Arial" w:hAnsi="Arial" w:cs="Arial"/>
          <w:sz w:val="22"/>
          <w:szCs w:val="22"/>
          <w:lang w:val="en-GB"/>
        </w:rPr>
        <w:t xml:space="preserve">performance and </w:t>
      </w:r>
      <w:r w:rsidR="00104752" w:rsidRPr="004954B0">
        <w:rPr>
          <w:rFonts w:ascii="Arial" w:hAnsi="Arial" w:cs="Arial"/>
          <w:sz w:val="22"/>
          <w:szCs w:val="22"/>
          <w:lang w:val="en-GB"/>
        </w:rPr>
        <w:t xml:space="preserve">Bank performance), </w:t>
      </w:r>
      <w:r w:rsidR="00D7178E" w:rsidRPr="004954B0">
        <w:rPr>
          <w:rFonts w:ascii="Arial" w:hAnsi="Arial" w:cs="Arial"/>
          <w:sz w:val="22"/>
          <w:szCs w:val="22"/>
          <w:lang w:val="en-GB"/>
        </w:rPr>
        <w:t>and</w:t>
      </w:r>
      <w:r w:rsidR="00104752" w:rsidRPr="004954B0">
        <w:rPr>
          <w:rFonts w:ascii="Arial" w:hAnsi="Arial" w:cs="Arial"/>
          <w:sz w:val="22"/>
          <w:szCs w:val="22"/>
          <w:lang w:val="en-GB"/>
        </w:rPr>
        <w:t xml:space="preserve"> findings and recommendations</w:t>
      </w:r>
      <w:r w:rsidR="00C14420" w:rsidRPr="004954B0">
        <w:rPr>
          <w:rFonts w:ascii="Arial" w:hAnsi="Arial" w:cs="Arial"/>
          <w:sz w:val="22"/>
          <w:lang w:val="en-GB"/>
        </w:rPr>
        <w:t>.</w:t>
      </w:r>
    </w:p>
    <w:p w14:paraId="0013DCFE" w14:textId="5F45E515" w:rsidR="00FE7761" w:rsidRPr="004954B0" w:rsidRDefault="00212E44" w:rsidP="001A2E42">
      <w:pPr>
        <w:pStyle w:val="FirstHeading"/>
        <w:ind w:left="720"/>
        <w:rPr>
          <w:rFonts w:ascii="Arial" w:hAnsi="Arial" w:cs="Arial"/>
          <w:sz w:val="22"/>
          <w:szCs w:val="22"/>
          <w:lang w:val="en-GB"/>
        </w:rPr>
      </w:pPr>
      <w:bookmarkStart w:id="14" w:name="_Toc38495921"/>
      <w:r w:rsidRPr="004954B0">
        <w:rPr>
          <w:rFonts w:ascii="Arial" w:hAnsi="Arial" w:cs="Arial"/>
          <w:sz w:val="22"/>
          <w:szCs w:val="22"/>
          <w:lang w:val="en-GB"/>
        </w:rPr>
        <w:t>F</w:t>
      </w:r>
      <w:r w:rsidR="00FE7761" w:rsidRPr="004954B0">
        <w:rPr>
          <w:rFonts w:ascii="Arial" w:hAnsi="Arial" w:cs="Arial"/>
          <w:sz w:val="22"/>
          <w:szCs w:val="22"/>
          <w:lang w:val="en-GB"/>
        </w:rPr>
        <w:t>.</w:t>
      </w:r>
      <w:r w:rsidR="00FE7761" w:rsidRPr="004954B0">
        <w:rPr>
          <w:rFonts w:ascii="Arial" w:hAnsi="Arial" w:cs="Arial"/>
          <w:sz w:val="22"/>
          <w:szCs w:val="22"/>
          <w:lang w:val="en-GB"/>
        </w:rPr>
        <w:tab/>
        <w:t>Coordina</w:t>
      </w:r>
      <w:r w:rsidR="00730295" w:rsidRPr="004954B0">
        <w:rPr>
          <w:rFonts w:ascii="Arial" w:hAnsi="Arial" w:cs="Arial"/>
          <w:sz w:val="22"/>
          <w:szCs w:val="22"/>
          <w:lang w:val="en-GB" w:eastAsia="zh-CN"/>
        </w:rPr>
        <w:t>tion</w:t>
      </w:r>
      <w:r w:rsidR="00FE7761" w:rsidRPr="004954B0">
        <w:rPr>
          <w:rFonts w:ascii="Arial" w:hAnsi="Arial" w:cs="Arial"/>
          <w:sz w:val="22"/>
          <w:szCs w:val="22"/>
          <w:lang w:val="en-GB"/>
        </w:rPr>
        <w:t xml:space="preserve">, </w:t>
      </w:r>
      <w:r w:rsidR="007677F7" w:rsidRPr="004954B0">
        <w:rPr>
          <w:rFonts w:ascii="Arial" w:hAnsi="Arial" w:cs="Arial"/>
          <w:sz w:val="22"/>
          <w:szCs w:val="22"/>
          <w:lang w:val="en-GB" w:eastAsia="zh-CN"/>
        </w:rPr>
        <w:t>W</w:t>
      </w:r>
      <w:r w:rsidR="00E322DE" w:rsidRPr="004954B0">
        <w:rPr>
          <w:rFonts w:ascii="Arial" w:hAnsi="Arial" w:cs="Arial"/>
          <w:sz w:val="22"/>
          <w:szCs w:val="22"/>
          <w:lang w:val="en-GB" w:eastAsia="zh-CN"/>
        </w:rPr>
        <w:t xml:space="preserve">orking </w:t>
      </w:r>
      <w:r w:rsidR="007677F7" w:rsidRPr="004954B0">
        <w:rPr>
          <w:rFonts w:ascii="Arial" w:hAnsi="Arial" w:cs="Arial"/>
          <w:sz w:val="22"/>
          <w:szCs w:val="22"/>
          <w:lang w:val="en-GB" w:eastAsia="zh-CN"/>
        </w:rPr>
        <w:t>P</w:t>
      </w:r>
      <w:r w:rsidR="00E322DE" w:rsidRPr="004954B0">
        <w:rPr>
          <w:rFonts w:ascii="Arial" w:hAnsi="Arial" w:cs="Arial"/>
          <w:sz w:val="22"/>
          <w:szCs w:val="22"/>
          <w:lang w:val="en-GB" w:eastAsia="zh-CN"/>
        </w:rPr>
        <w:t xml:space="preserve">lan, and </w:t>
      </w:r>
      <w:r w:rsidR="007677F7" w:rsidRPr="004954B0">
        <w:rPr>
          <w:rFonts w:ascii="Arial" w:hAnsi="Arial" w:cs="Arial"/>
          <w:sz w:val="22"/>
          <w:szCs w:val="22"/>
          <w:lang w:val="en-GB" w:eastAsia="zh-CN"/>
        </w:rPr>
        <w:t>B</w:t>
      </w:r>
      <w:r w:rsidR="00E322DE" w:rsidRPr="004954B0">
        <w:rPr>
          <w:rFonts w:ascii="Arial" w:hAnsi="Arial" w:cs="Arial"/>
          <w:sz w:val="22"/>
          <w:szCs w:val="22"/>
          <w:lang w:val="en-GB" w:eastAsia="zh-CN"/>
        </w:rPr>
        <w:t xml:space="preserve">udget </w:t>
      </w:r>
      <w:bookmarkEnd w:id="14"/>
    </w:p>
    <w:p w14:paraId="1511B991" w14:textId="1223278E" w:rsidR="00FE7761" w:rsidRPr="004954B0" w:rsidRDefault="00AA6BBF" w:rsidP="003173DB">
      <w:pPr>
        <w:pStyle w:val="Paragraph"/>
        <w:tabs>
          <w:tab w:val="clear" w:pos="2448"/>
          <w:tab w:val="num" w:pos="720"/>
        </w:tabs>
        <w:ind w:left="720" w:hanging="720"/>
        <w:rPr>
          <w:rFonts w:ascii="Arial" w:hAnsi="Arial" w:cs="Arial"/>
          <w:sz w:val="22"/>
          <w:szCs w:val="22"/>
          <w:lang w:val="en-GB"/>
        </w:rPr>
      </w:pPr>
      <w:r w:rsidRPr="004954B0">
        <w:rPr>
          <w:rFonts w:ascii="Arial" w:hAnsi="Arial" w:cs="Arial"/>
          <w:b/>
          <w:sz w:val="22"/>
          <w:szCs w:val="22"/>
          <w:lang w:val="en-GB"/>
        </w:rPr>
        <w:t>Coordina</w:t>
      </w:r>
      <w:r w:rsidRPr="004954B0">
        <w:rPr>
          <w:rFonts w:ascii="Arial" w:hAnsi="Arial" w:cs="Arial"/>
          <w:b/>
          <w:sz w:val="22"/>
          <w:szCs w:val="22"/>
          <w:lang w:val="en-GB" w:eastAsia="zh-CN"/>
        </w:rPr>
        <w:t>tion</w:t>
      </w:r>
      <w:r w:rsidR="003173DB" w:rsidRPr="004954B0">
        <w:rPr>
          <w:rFonts w:ascii="Arial" w:hAnsi="Arial" w:cs="Arial"/>
          <w:b/>
          <w:sz w:val="22"/>
          <w:szCs w:val="22"/>
          <w:lang w:val="en-GB"/>
        </w:rPr>
        <w:t xml:space="preserve"> </w:t>
      </w:r>
      <w:r w:rsidR="006B4049" w:rsidRPr="004954B0">
        <w:rPr>
          <w:rFonts w:ascii="Arial" w:hAnsi="Arial" w:cs="Arial"/>
          <w:b/>
          <w:sz w:val="22"/>
          <w:szCs w:val="22"/>
          <w:lang w:val="en-GB" w:eastAsia="zh-CN"/>
        </w:rPr>
        <w:t xml:space="preserve">and </w:t>
      </w:r>
      <w:r w:rsidR="008B3BA4" w:rsidRPr="004954B0">
        <w:rPr>
          <w:rFonts w:ascii="Arial" w:hAnsi="Arial" w:cs="Arial"/>
          <w:b/>
          <w:sz w:val="22"/>
          <w:szCs w:val="22"/>
          <w:lang w:val="en-GB" w:eastAsia="zh-CN"/>
        </w:rPr>
        <w:t>point persons</w:t>
      </w:r>
      <w:r w:rsidR="00FE7761" w:rsidRPr="004954B0">
        <w:rPr>
          <w:rFonts w:ascii="Arial" w:hAnsi="Arial" w:cs="Arial"/>
          <w:sz w:val="22"/>
          <w:szCs w:val="22"/>
          <w:lang w:val="en-GB"/>
        </w:rPr>
        <w:t xml:space="preserve">. </w:t>
      </w:r>
      <w:r w:rsidR="006B5885" w:rsidRPr="004954B0">
        <w:rPr>
          <w:rFonts w:ascii="Arial" w:hAnsi="Arial" w:cs="Arial"/>
          <w:sz w:val="22"/>
          <w:szCs w:val="22"/>
          <w:lang w:val="en-GB"/>
        </w:rPr>
        <w:t xml:space="preserve">The </w:t>
      </w:r>
      <w:r w:rsidR="007677F7" w:rsidRPr="004954B0">
        <w:rPr>
          <w:rFonts w:ascii="Arial" w:hAnsi="Arial" w:cs="Arial"/>
          <w:sz w:val="22"/>
          <w:szCs w:val="22"/>
          <w:lang w:val="en-GB"/>
        </w:rPr>
        <w:t xml:space="preserve">IDB will implement the </w:t>
      </w:r>
      <w:r w:rsidR="006B5885" w:rsidRPr="004954B0">
        <w:rPr>
          <w:rFonts w:ascii="Arial" w:hAnsi="Arial" w:cs="Arial"/>
          <w:sz w:val="22"/>
          <w:szCs w:val="22"/>
          <w:lang w:val="en-GB"/>
        </w:rPr>
        <w:t xml:space="preserve">evaluation plan </w:t>
      </w:r>
      <w:r w:rsidR="007677F7" w:rsidRPr="004954B0">
        <w:rPr>
          <w:rFonts w:ascii="Arial" w:hAnsi="Arial" w:cs="Arial"/>
          <w:sz w:val="22"/>
          <w:szCs w:val="22"/>
          <w:lang w:val="en-GB"/>
        </w:rPr>
        <w:t xml:space="preserve">in </w:t>
      </w:r>
      <w:r w:rsidR="006B5885" w:rsidRPr="004954B0">
        <w:rPr>
          <w:rFonts w:ascii="Arial" w:hAnsi="Arial" w:cs="Arial"/>
          <w:sz w:val="22"/>
          <w:szCs w:val="22"/>
          <w:lang w:val="en-GB"/>
        </w:rPr>
        <w:t xml:space="preserve">close coordination with the </w:t>
      </w:r>
      <w:r w:rsidR="007677F7" w:rsidRPr="004954B0">
        <w:rPr>
          <w:rFonts w:ascii="Arial" w:hAnsi="Arial" w:cs="Arial"/>
          <w:sz w:val="22"/>
          <w:szCs w:val="22"/>
          <w:lang w:val="en-GB"/>
        </w:rPr>
        <w:t>EA</w:t>
      </w:r>
      <w:r w:rsidR="006B5885" w:rsidRPr="004954B0">
        <w:rPr>
          <w:rFonts w:ascii="Arial" w:hAnsi="Arial" w:cs="Arial"/>
          <w:sz w:val="22"/>
          <w:szCs w:val="22"/>
          <w:lang w:val="en-GB"/>
        </w:rPr>
        <w:t xml:space="preserve">. The </w:t>
      </w:r>
      <w:r w:rsidR="007677F7" w:rsidRPr="004954B0">
        <w:rPr>
          <w:rFonts w:ascii="Arial" w:hAnsi="Arial" w:cs="Arial"/>
          <w:sz w:val="22"/>
          <w:szCs w:val="22"/>
          <w:lang w:val="en-GB"/>
        </w:rPr>
        <w:t>EA</w:t>
      </w:r>
      <w:r w:rsidR="006B5885" w:rsidRPr="004954B0">
        <w:rPr>
          <w:rFonts w:ascii="Arial" w:hAnsi="Arial" w:cs="Arial"/>
          <w:sz w:val="22"/>
          <w:szCs w:val="22"/>
          <w:lang w:val="en-GB"/>
        </w:rPr>
        <w:t xml:space="preserve"> will be responsible for providing all information required for the implementation of the plan in a timely and </w:t>
      </w:r>
      <w:r w:rsidR="00D7178E" w:rsidRPr="004954B0">
        <w:rPr>
          <w:rFonts w:ascii="Arial" w:hAnsi="Arial" w:cs="Arial"/>
          <w:sz w:val="22"/>
          <w:szCs w:val="22"/>
          <w:lang w:val="en-GB"/>
        </w:rPr>
        <w:t>efficient</w:t>
      </w:r>
      <w:r w:rsidR="006B5885" w:rsidRPr="004954B0">
        <w:rPr>
          <w:rFonts w:ascii="Arial" w:hAnsi="Arial" w:cs="Arial"/>
          <w:sz w:val="22"/>
          <w:szCs w:val="22"/>
          <w:lang w:val="en-GB"/>
        </w:rPr>
        <w:t xml:space="preserve"> manner. </w:t>
      </w:r>
      <w:r w:rsidR="00D7178E" w:rsidRPr="004954B0">
        <w:rPr>
          <w:rFonts w:ascii="Arial" w:hAnsi="Arial" w:cs="Arial"/>
          <w:sz w:val="22"/>
          <w:szCs w:val="22"/>
          <w:lang w:val="en-GB"/>
        </w:rPr>
        <w:t>Table 5 details th</w:t>
      </w:r>
      <w:r w:rsidR="006B5885" w:rsidRPr="004954B0">
        <w:rPr>
          <w:rFonts w:ascii="Arial" w:hAnsi="Arial" w:cs="Arial"/>
          <w:sz w:val="22"/>
          <w:szCs w:val="22"/>
          <w:lang w:val="en-GB"/>
        </w:rPr>
        <w:t>e timelines and budget for each of the evaluation activities and their source of funding</w:t>
      </w:r>
      <w:r w:rsidR="00D7178E" w:rsidRPr="004954B0">
        <w:rPr>
          <w:rFonts w:ascii="Arial" w:hAnsi="Arial" w:cs="Arial"/>
          <w:sz w:val="22"/>
          <w:szCs w:val="22"/>
          <w:lang w:val="en-GB"/>
        </w:rPr>
        <w:t>.</w:t>
      </w:r>
    </w:p>
    <w:p w14:paraId="72BA2F02" w14:textId="69B1332C" w:rsidR="00D50752" w:rsidRPr="004954B0" w:rsidRDefault="00D50752" w:rsidP="006210E2">
      <w:pPr>
        <w:keepNext/>
        <w:spacing w:after="120"/>
        <w:rPr>
          <w:rFonts w:ascii="Arial" w:hAnsi="Arial" w:cs="Arial"/>
          <w:b/>
          <w:sz w:val="20"/>
          <w:lang w:val="en-GB"/>
        </w:rPr>
      </w:pPr>
    </w:p>
    <w:p w14:paraId="4E050EDA" w14:textId="77777777" w:rsidR="00D7178E" w:rsidRPr="004954B0" w:rsidRDefault="00D7178E" w:rsidP="004130A1">
      <w:pPr>
        <w:keepNext/>
        <w:spacing w:after="120"/>
        <w:jc w:val="center"/>
        <w:rPr>
          <w:rFonts w:ascii="Arial" w:hAnsi="Arial" w:cs="Arial"/>
          <w:b/>
          <w:sz w:val="20"/>
          <w:lang w:val="en-GB"/>
        </w:rPr>
      </w:pPr>
    </w:p>
    <w:p w14:paraId="6408B97B" w14:textId="6835200B" w:rsidR="00FE7761" w:rsidRPr="004954B0" w:rsidRDefault="00AC37A3" w:rsidP="00CC5663">
      <w:pPr>
        <w:keepNext/>
        <w:spacing w:after="120"/>
        <w:jc w:val="center"/>
        <w:rPr>
          <w:rFonts w:ascii="Arial" w:hAnsi="Arial" w:cs="Arial"/>
          <w:b/>
          <w:sz w:val="22"/>
          <w:szCs w:val="22"/>
          <w:lang w:val="en-GB"/>
        </w:rPr>
      </w:pPr>
      <w:r w:rsidRPr="004954B0">
        <w:rPr>
          <w:rFonts w:ascii="Arial" w:hAnsi="Arial" w:cs="Arial"/>
          <w:b/>
          <w:sz w:val="22"/>
          <w:szCs w:val="22"/>
          <w:lang w:val="en-GB" w:eastAsia="zh-CN"/>
        </w:rPr>
        <w:t>Table</w:t>
      </w:r>
      <w:r w:rsidR="00FE7761" w:rsidRPr="004954B0">
        <w:rPr>
          <w:rFonts w:ascii="Arial" w:hAnsi="Arial" w:cs="Arial"/>
          <w:b/>
          <w:sz w:val="22"/>
          <w:szCs w:val="22"/>
          <w:lang w:val="en-GB"/>
        </w:rPr>
        <w:t xml:space="preserve"> </w:t>
      </w:r>
      <w:r w:rsidR="00B70FE0" w:rsidRPr="004954B0">
        <w:rPr>
          <w:rFonts w:ascii="Arial" w:hAnsi="Arial" w:cs="Arial"/>
          <w:b/>
          <w:sz w:val="22"/>
          <w:szCs w:val="22"/>
          <w:lang w:val="en-GB"/>
        </w:rPr>
        <w:t>5</w:t>
      </w:r>
      <w:r w:rsidR="00CC5663" w:rsidRPr="004954B0">
        <w:rPr>
          <w:rFonts w:ascii="Arial" w:hAnsi="Arial" w:cs="Arial"/>
          <w:b/>
          <w:sz w:val="22"/>
          <w:szCs w:val="22"/>
          <w:lang w:val="en-GB"/>
        </w:rPr>
        <w:t xml:space="preserve">. </w:t>
      </w:r>
      <w:r w:rsidR="00DC732A" w:rsidRPr="004954B0">
        <w:rPr>
          <w:rFonts w:ascii="Arial" w:hAnsi="Arial" w:cs="Arial"/>
          <w:b/>
          <w:bCs/>
          <w:color w:val="000000"/>
          <w:sz w:val="22"/>
          <w:szCs w:val="22"/>
          <w:lang w:val="en-GB" w:eastAsia="zh-CN"/>
        </w:rPr>
        <w:t>Main Evaluation A</w:t>
      </w:r>
      <w:r w:rsidRPr="004954B0">
        <w:rPr>
          <w:rFonts w:ascii="Arial" w:hAnsi="Arial" w:cs="Arial"/>
          <w:b/>
          <w:bCs/>
          <w:color w:val="000000"/>
          <w:sz w:val="22"/>
          <w:szCs w:val="22"/>
          <w:lang w:val="en-GB" w:eastAsia="zh-CN"/>
        </w:rPr>
        <w:t>ctivities</w:t>
      </w:r>
    </w:p>
    <w:tbl>
      <w:tblPr>
        <w:tblW w:w="8550" w:type="dxa"/>
        <w:tblInd w:w="170" w:type="dxa"/>
        <w:tblLayout w:type="fixed"/>
        <w:tblLook w:val="04A0" w:firstRow="1" w:lastRow="0" w:firstColumn="1" w:lastColumn="0" w:noHBand="0" w:noVBand="1"/>
      </w:tblPr>
      <w:tblGrid>
        <w:gridCol w:w="2879"/>
        <w:gridCol w:w="811"/>
        <w:gridCol w:w="720"/>
        <w:gridCol w:w="1530"/>
        <w:gridCol w:w="1260"/>
        <w:gridCol w:w="1350"/>
      </w:tblGrid>
      <w:tr w:rsidR="009D3F3B" w:rsidRPr="004954B0" w14:paraId="1CA92A05" w14:textId="77777777" w:rsidTr="007677F7">
        <w:trPr>
          <w:trHeight w:val="772"/>
          <w:tblHeader/>
        </w:trPr>
        <w:tc>
          <w:tcPr>
            <w:tcW w:w="2879" w:type="dxa"/>
            <w:tcBorders>
              <w:top w:val="single" w:sz="8" w:space="0" w:color="000000"/>
              <w:left w:val="single" w:sz="8" w:space="0" w:color="000000"/>
              <w:bottom w:val="single" w:sz="8" w:space="0" w:color="000000"/>
              <w:right w:val="single" w:sz="8" w:space="0" w:color="000000"/>
            </w:tcBorders>
            <w:shd w:val="clear" w:color="000000" w:fill="8DB3E2"/>
            <w:vAlign w:val="center"/>
            <w:hideMark/>
          </w:tcPr>
          <w:p w14:paraId="1E2C9554" w14:textId="621C7295" w:rsidR="009D3F3B" w:rsidRPr="004954B0" w:rsidRDefault="00D05304" w:rsidP="00633121">
            <w:pPr>
              <w:jc w:val="center"/>
              <w:rPr>
                <w:rFonts w:ascii="Arial" w:hAnsi="Arial" w:cs="Arial"/>
                <w:b/>
                <w:bCs/>
                <w:color w:val="000000"/>
                <w:sz w:val="20"/>
                <w:lang w:val="en-GB"/>
              </w:rPr>
            </w:pPr>
            <w:r w:rsidRPr="004954B0">
              <w:rPr>
                <w:rFonts w:ascii="Arial" w:hAnsi="Arial" w:cs="Arial"/>
                <w:b/>
                <w:bCs/>
                <w:color w:val="000000"/>
                <w:sz w:val="20"/>
                <w:lang w:val="en-GB"/>
              </w:rPr>
              <w:t>Activities and products</w:t>
            </w:r>
          </w:p>
        </w:tc>
        <w:tc>
          <w:tcPr>
            <w:tcW w:w="811" w:type="dxa"/>
            <w:tcBorders>
              <w:top w:val="single" w:sz="8" w:space="0" w:color="000000"/>
              <w:left w:val="single" w:sz="8" w:space="0" w:color="000000"/>
              <w:bottom w:val="single" w:sz="8" w:space="0" w:color="000000"/>
              <w:right w:val="single" w:sz="8" w:space="0" w:color="000000"/>
            </w:tcBorders>
            <w:shd w:val="clear" w:color="000000" w:fill="8DB3E2"/>
            <w:vAlign w:val="center"/>
          </w:tcPr>
          <w:p w14:paraId="2F696A65" w14:textId="5259F65F" w:rsidR="009D3F3B" w:rsidRPr="004954B0" w:rsidRDefault="00D05304" w:rsidP="00633121">
            <w:pPr>
              <w:jc w:val="center"/>
              <w:rPr>
                <w:rFonts w:ascii="Arial" w:hAnsi="Arial" w:cs="Arial"/>
                <w:b/>
                <w:bCs/>
                <w:color w:val="000000"/>
                <w:sz w:val="20"/>
                <w:lang w:val="en-GB"/>
              </w:rPr>
            </w:pPr>
            <w:r w:rsidRPr="004954B0">
              <w:rPr>
                <w:rFonts w:ascii="Arial" w:hAnsi="Arial" w:cs="Arial"/>
                <w:b/>
                <w:bCs/>
                <w:color w:val="000000"/>
                <w:sz w:val="20"/>
                <w:lang w:val="en-GB"/>
              </w:rPr>
              <w:t>Year 1</w:t>
            </w:r>
          </w:p>
        </w:tc>
        <w:tc>
          <w:tcPr>
            <w:tcW w:w="720" w:type="dxa"/>
            <w:tcBorders>
              <w:top w:val="single" w:sz="8" w:space="0" w:color="000000"/>
              <w:left w:val="single" w:sz="8" w:space="0" w:color="000000"/>
              <w:bottom w:val="single" w:sz="8" w:space="0" w:color="000000"/>
              <w:right w:val="single" w:sz="8" w:space="0" w:color="000000"/>
            </w:tcBorders>
            <w:shd w:val="clear" w:color="000000" w:fill="8DB3E2"/>
            <w:vAlign w:val="center"/>
          </w:tcPr>
          <w:p w14:paraId="7A2364FA" w14:textId="1D47AD68" w:rsidR="009D3F3B" w:rsidRPr="004954B0" w:rsidRDefault="00D05304" w:rsidP="00633121">
            <w:pPr>
              <w:jc w:val="center"/>
              <w:rPr>
                <w:rFonts w:ascii="Arial" w:hAnsi="Arial" w:cs="Arial"/>
                <w:b/>
                <w:bCs/>
                <w:color w:val="000000"/>
                <w:sz w:val="20"/>
                <w:lang w:val="en-GB"/>
              </w:rPr>
            </w:pPr>
            <w:r w:rsidRPr="004954B0">
              <w:rPr>
                <w:rFonts w:ascii="Arial" w:hAnsi="Arial" w:cs="Arial"/>
                <w:b/>
                <w:bCs/>
                <w:color w:val="000000"/>
                <w:sz w:val="20"/>
                <w:lang w:val="en-GB"/>
              </w:rPr>
              <w:t>Year 2</w:t>
            </w:r>
          </w:p>
        </w:tc>
        <w:tc>
          <w:tcPr>
            <w:tcW w:w="1530" w:type="dxa"/>
            <w:tcBorders>
              <w:top w:val="single" w:sz="8" w:space="0" w:color="000000"/>
              <w:left w:val="single" w:sz="8" w:space="0" w:color="000000"/>
              <w:bottom w:val="single" w:sz="8" w:space="0" w:color="000000"/>
              <w:right w:val="single" w:sz="8" w:space="0" w:color="000000"/>
            </w:tcBorders>
            <w:shd w:val="clear" w:color="000000" w:fill="8DB3E2"/>
            <w:vAlign w:val="center"/>
            <w:hideMark/>
          </w:tcPr>
          <w:p w14:paraId="3AE5C52E" w14:textId="377A1E09" w:rsidR="009D3F3B" w:rsidRPr="004954B0" w:rsidRDefault="009D3F3B" w:rsidP="00633121">
            <w:pPr>
              <w:jc w:val="center"/>
              <w:rPr>
                <w:rFonts w:ascii="Arial" w:hAnsi="Arial" w:cs="Arial"/>
                <w:b/>
                <w:bCs/>
                <w:color w:val="000000"/>
                <w:sz w:val="20"/>
                <w:lang w:val="en-GB"/>
              </w:rPr>
            </w:pPr>
            <w:r w:rsidRPr="004954B0">
              <w:rPr>
                <w:rFonts w:ascii="Arial" w:hAnsi="Arial" w:cs="Arial"/>
                <w:b/>
                <w:bCs/>
                <w:color w:val="000000"/>
                <w:sz w:val="20"/>
                <w:lang w:val="en-GB"/>
              </w:rPr>
              <w:t>R</w:t>
            </w:r>
            <w:r w:rsidR="00D05304" w:rsidRPr="004954B0">
              <w:rPr>
                <w:rFonts w:ascii="Arial" w:hAnsi="Arial" w:cs="Arial"/>
                <w:b/>
                <w:bCs/>
                <w:color w:val="000000"/>
                <w:sz w:val="20"/>
                <w:lang w:val="en-GB"/>
              </w:rPr>
              <w:t>esponsible party</w:t>
            </w:r>
          </w:p>
        </w:tc>
        <w:tc>
          <w:tcPr>
            <w:tcW w:w="1260" w:type="dxa"/>
            <w:tcBorders>
              <w:top w:val="single" w:sz="8" w:space="0" w:color="000000"/>
              <w:left w:val="nil"/>
              <w:bottom w:val="single" w:sz="8" w:space="0" w:color="000000"/>
              <w:right w:val="single" w:sz="8" w:space="0" w:color="000000"/>
            </w:tcBorders>
            <w:shd w:val="clear" w:color="000000" w:fill="8DB3E2"/>
            <w:vAlign w:val="center"/>
            <w:hideMark/>
          </w:tcPr>
          <w:p w14:paraId="1BCA4104" w14:textId="10CE27E8" w:rsidR="007677F7" w:rsidRPr="004954B0" w:rsidRDefault="007677F7" w:rsidP="007677F7">
            <w:pPr>
              <w:jc w:val="center"/>
              <w:rPr>
                <w:rFonts w:ascii="Arial" w:hAnsi="Arial" w:cs="Arial"/>
                <w:b/>
                <w:bCs/>
                <w:color w:val="000000"/>
                <w:sz w:val="20"/>
                <w:lang w:val="en-GB"/>
              </w:rPr>
            </w:pPr>
            <w:r w:rsidRPr="004954B0">
              <w:rPr>
                <w:rFonts w:ascii="Arial" w:hAnsi="Arial" w:cs="Arial"/>
                <w:b/>
                <w:bCs/>
                <w:color w:val="000000"/>
                <w:sz w:val="20"/>
                <w:lang w:val="en-GB"/>
              </w:rPr>
              <w:t>Budget</w:t>
            </w:r>
          </w:p>
          <w:p w14:paraId="392CFEFC" w14:textId="3352A22F" w:rsidR="009D3F3B" w:rsidRPr="004954B0" w:rsidRDefault="009D3F3B" w:rsidP="00633121">
            <w:pPr>
              <w:jc w:val="center"/>
              <w:rPr>
                <w:rFonts w:ascii="Arial" w:hAnsi="Arial" w:cs="Arial"/>
                <w:b/>
                <w:bCs/>
                <w:color w:val="000000"/>
                <w:sz w:val="20"/>
                <w:lang w:val="en-GB"/>
              </w:rPr>
            </w:pPr>
          </w:p>
        </w:tc>
        <w:tc>
          <w:tcPr>
            <w:tcW w:w="1350" w:type="dxa"/>
            <w:tcBorders>
              <w:top w:val="single" w:sz="8" w:space="0" w:color="000000"/>
              <w:left w:val="single" w:sz="8" w:space="0" w:color="000000"/>
              <w:bottom w:val="single" w:sz="8" w:space="0" w:color="000000"/>
              <w:right w:val="single" w:sz="8" w:space="0" w:color="000000"/>
            </w:tcBorders>
            <w:shd w:val="clear" w:color="000000" w:fill="8DB3E2"/>
            <w:vAlign w:val="center"/>
            <w:hideMark/>
          </w:tcPr>
          <w:p w14:paraId="0E3EDCCC" w14:textId="4B52BCF9" w:rsidR="009D3F3B" w:rsidRPr="004954B0" w:rsidRDefault="00D05304" w:rsidP="00633121">
            <w:pPr>
              <w:jc w:val="center"/>
              <w:rPr>
                <w:rFonts w:ascii="Arial" w:hAnsi="Arial" w:cs="Arial"/>
                <w:b/>
                <w:bCs/>
                <w:color w:val="000000"/>
                <w:sz w:val="20"/>
                <w:lang w:val="en-GB"/>
              </w:rPr>
            </w:pPr>
            <w:r w:rsidRPr="004954B0">
              <w:rPr>
                <w:rFonts w:ascii="Arial" w:hAnsi="Arial" w:cs="Arial"/>
                <w:b/>
                <w:bCs/>
                <w:color w:val="000000"/>
                <w:sz w:val="20"/>
                <w:lang w:val="en-GB"/>
              </w:rPr>
              <w:t>Financing</w:t>
            </w:r>
          </w:p>
        </w:tc>
      </w:tr>
      <w:tr w:rsidR="009D3F3B" w:rsidRPr="004954B0" w14:paraId="00C8DA2F" w14:textId="77777777" w:rsidTr="007677F7">
        <w:trPr>
          <w:trHeight w:val="525"/>
        </w:trPr>
        <w:tc>
          <w:tcPr>
            <w:tcW w:w="2879"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B6A72B1" w14:textId="1B1088EF" w:rsidR="009D3F3B" w:rsidRPr="004954B0" w:rsidRDefault="007677F7" w:rsidP="00A5252C">
            <w:pPr>
              <w:rPr>
                <w:rFonts w:ascii="Arial" w:hAnsi="Arial" w:cs="Arial"/>
                <w:color w:val="000000"/>
                <w:sz w:val="18"/>
                <w:szCs w:val="18"/>
                <w:lang w:val="en-GB"/>
              </w:rPr>
            </w:pPr>
            <w:r w:rsidRPr="004954B0">
              <w:rPr>
                <w:rFonts w:ascii="Arial" w:hAnsi="Arial" w:cs="Arial"/>
                <w:color w:val="000000"/>
                <w:sz w:val="18"/>
                <w:szCs w:val="18"/>
                <w:lang w:val="en-GB"/>
              </w:rPr>
              <w:t>Ex-ante and ex-post evaluations</w:t>
            </w:r>
          </w:p>
        </w:tc>
        <w:tc>
          <w:tcPr>
            <w:tcW w:w="811" w:type="dxa"/>
            <w:tcBorders>
              <w:top w:val="single" w:sz="8" w:space="0" w:color="000000"/>
              <w:left w:val="single" w:sz="8" w:space="0" w:color="000000"/>
              <w:bottom w:val="single" w:sz="8" w:space="0" w:color="000000"/>
              <w:right w:val="single" w:sz="8" w:space="0" w:color="000000"/>
            </w:tcBorders>
          </w:tcPr>
          <w:p w14:paraId="2DBEBF0D" w14:textId="77777777" w:rsidR="009D3F3B" w:rsidRPr="004954B0" w:rsidRDefault="009D3F3B" w:rsidP="00633121">
            <w:pPr>
              <w:jc w:val="center"/>
              <w:rPr>
                <w:rFonts w:ascii="Arial" w:hAnsi="Arial" w:cs="Arial"/>
                <w:color w:val="000000"/>
                <w:sz w:val="20"/>
                <w:lang w:val="en-GB"/>
              </w:rPr>
            </w:pPr>
          </w:p>
        </w:tc>
        <w:tc>
          <w:tcPr>
            <w:tcW w:w="720" w:type="dxa"/>
            <w:tcBorders>
              <w:top w:val="single" w:sz="8" w:space="0" w:color="000000"/>
              <w:left w:val="single" w:sz="8" w:space="0" w:color="000000"/>
              <w:bottom w:val="single" w:sz="8" w:space="0" w:color="000000"/>
              <w:right w:val="single" w:sz="8" w:space="0" w:color="000000"/>
            </w:tcBorders>
            <w:vAlign w:val="center"/>
          </w:tcPr>
          <w:p w14:paraId="09B42BE5" w14:textId="79FA6BDA" w:rsidR="009D3F3B" w:rsidRPr="004954B0" w:rsidRDefault="004130A1" w:rsidP="006210E2">
            <w:pPr>
              <w:jc w:val="center"/>
              <w:rPr>
                <w:rFonts w:ascii="Arial" w:hAnsi="Arial" w:cs="Arial"/>
                <w:color w:val="000000"/>
                <w:sz w:val="20"/>
                <w:lang w:val="en-GB"/>
              </w:rPr>
            </w:pPr>
            <w:r w:rsidRPr="004954B0">
              <w:rPr>
                <w:rFonts w:ascii="Arial" w:hAnsi="Arial" w:cs="Arial"/>
                <w:color w:val="000000"/>
                <w:sz w:val="20"/>
                <w:lang w:val="en-GB"/>
              </w:rPr>
              <w:t>X</w:t>
            </w:r>
          </w:p>
        </w:tc>
        <w:tc>
          <w:tcPr>
            <w:tcW w:w="153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0049F52" w14:textId="5323D661" w:rsidR="009D3F3B" w:rsidRPr="004954B0" w:rsidRDefault="007677F7" w:rsidP="00633121">
            <w:pPr>
              <w:jc w:val="center"/>
              <w:rPr>
                <w:rFonts w:ascii="Arial" w:hAnsi="Arial" w:cs="Arial"/>
                <w:color w:val="000000"/>
                <w:sz w:val="20"/>
                <w:lang w:val="en-GB"/>
              </w:rPr>
            </w:pPr>
            <w:r w:rsidRPr="004954B0">
              <w:rPr>
                <w:rFonts w:ascii="Arial" w:hAnsi="Arial" w:cs="Arial"/>
                <w:color w:val="000000"/>
                <w:sz w:val="20"/>
                <w:lang w:val="en-GB"/>
              </w:rPr>
              <w:t>IDB</w:t>
            </w:r>
            <w:r w:rsidR="004130A1" w:rsidRPr="004954B0">
              <w:rPr>
                <w:rFonts w:ascii="Arial" w:hAnsi="Arial" w:cs="Arial"/>
                <w:color w:val="000000"/>
                <w:sz w:val="20"/>
                <w:lang w:val="en-GB"/>
              </w:rPr>
              <w:t>/OE</w:t>
            </w:r>
          </w:p>
        </w:tc>
        <w:tc>
          <w:tcPr>
            <w:tcW w:w="1260" w:type="dxa"/>
            <w:tcBorders>
              <w:top w:val="single" w:sz="8" w:space="0" w:color="000000"/>
              <w:left w:val="nil"/>
              <w:bottom w:val="single" w:sz="8" w:space="0" w:color="000000"/>
              <w:right w:val="single" w:sz="8" w:space="0" w:color="000000"/>
            </w:tcBorders>
            <w:shd w:val="clear" w:color="auto" w:fill="auto"/>
            <w:vAlign w:val="center"/>
            <w:hideMark/>
          </w:tcPr>
          <w:p w14:paraId="2C60F04C" w14:textId="207BD21C" w:rsidR="009D3F3B" w:rsidRPr="004954B0" w:rsidRDefault="004130A1" w:rsidP="00633121">
            <w:pPr>
              <w:ind w:left="-291" w:right="73"/>
              <w:jc w:val="right"/>
              <w:rPr>
                <w:rFonts w:ascii="Arial" w:hAnsi="Arial" w:cs="Arial"/>
                <w:color w:val="000000"/>
                <w:sz w:val="20"/>
                <w:lang w:val="en-GB"/>
              </w:rPr>
            </w:pPr>
            <w:r w:rsidRPr="004954B0">
              <w:rPr>
                <w:rFonts w:ascii="Arial" w:hAnsi="Arial" w:cs="Arial"/>
                <w:color w:val="000000"/>
                <w:sz w:val="20"/>
                <w:lang w:val="en-GB"/>
              </w:rPr>
              <w:t>0</w:t>
            </w:r>
          </w:p>
        </w:tc>
        <w:tc>
          <w:tcPr>
            <w:tcW w:w="1350" w:type="dxa"/>
            <w:tcBorders>
              <w:top w:val="single" w:sz="8" w:space="0" w:color="000000"/>
              <w:left w:val="nil"/>
              <w:bottom w:val="single" w:sz="8" w:space="0" w:color="000000"/>
              <w:right w:val="single" w:sz="8" w:space="0" w:color="000000"/>
            </w:tcBorders>
            <w:shd w:val="clear" w:color="auto" w:fill="auto"/>
            <w:vAlign w:val="center"/>
            <w:hideMark/>
          </w:tcPr>
          <w:p w14:paraId="1DEF4F7B" w14:textId="7B4CC852" w:rsidR="009D3F3B" w:rsidRPr="004954B0" w:rsidRDefault="00C15228" w:rsidP="00633121">
            <w:pPr>
              <w:jc w:val="center"/>
              <w:rPr>
                <w:rFonts w:ascii="Arial" w:hAnsi="Arial" w:cs="Arial"/>
                <w:color w:val="000000"/>
                <w:sz w:val="20"/>
                <w:lang w:val="en-GB"/>
              </w:rPr>
            </w:pPr>
            <w:r w:rsidRPr="004954B0">
              <w:rPr>
                <w:rFonts w:ascii="Arial" w:hAnsi="Arial" w:cs="Arial"/>
                <w:color w:val="000000"/>
                <w:sz w:val="20"/>
                <w:lang w:val="en-GB"/>
              </w:rPr>
              <w:t>IDB</w:t>
            </w:r>
          </w:p>
        </w:tc>
      </w:tr>
      <w:tr w:rsidR="00C15228" w:rsidRPr="004954B0" w14:paraId="7ED0D118" w14:textId="77777777" w:rsidTr="007677F7">
        <w:trPr>
          <w:trHeight w:val="525"/>
        </w:trPr>
        <w:tc>
          <w:tcPr>
            <w:tcW w:w="28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B774472" w14:textId="110163A6" w:rsidR="00C15228" w:rsidRPr="004954B0" w:rsidRDefault="00C15228" w:rsidP="00C15228">
            <w:pPr>
              <w:rPr>
                <w:rFonts w:ascii="Arial" w:hAnsi="Arial" w:cs="Arial"/>
                <w:color w:val="000000"/>
                <w:sz w:val="18"/>
                <w:szCs w:val="18"/>
                <w:lang w:val="en-GB"/>
              </w:rPr>
            </w:pPr>
            <w:r w:rsidRPr="004954B0">
              <w:rPr>
                <w:rFonts w:ascii="Arial" w:hAnsi="Arial" w:cs="Arial"/>
                <w:color w:val="000000"/>
                <w:sz w:val="18"/>
                <w:szCs w:val="18"/>
                <w:lang w:val="en-GB"/>
              </w:rPr>
              <w:t>Qualitative assessment</w:t>
            </w:r>
          </w:p>
        </w:tc>
        <w:tc>
          <w:tcPr>
            <w:tcW w:w="811" w:type="dxa"/>
            <w:tcBorders>
              <w:top w:val="single" w:sz="8" w:space="0" w:color="000000"/>
              <w:left w:val="single" w:sz="8" w:space="0" w:color="000000"/>
              <w:bottom w:val="single" w:sz="8" w:space="0" w:color="000000"/>
              <w:right w:val="single" w:sz="8" w:space="0" w:color="000000"/>
            </w:tcBorders>
          </w:tcPr>
          <w:p w14:paraId="6989A81F" w14:textId="77777777" w:rsidR="00C15228" w:rsidRPr="004954B0" w:rsidRDefault="00C15228" w:rsidP="00C15228">
            <w:pPr>
              <w:jc w:val="center"/>
              <w:rPr>
                <w:rFonts w:ascii="Arial" w:hAnsi="Arial" w:cs="Arial"/>
                <w:color w:val="000000"/>
                <w:sz w:val="20"/>
                <w:lang w:val="en-GB"/>
              </w:rPr>
            </w:pPr>
          </w:p>
        </w:tc>
        <w:tc>
          <w:tcPr>
            <w:tcW w:w="720" w:type="dxa"/>
            <w:tcBorders>
              <w:top w:val="single" w:sz="8" w:space="0" w:color="000000"/>
              <w:left w:val="single" w:sz="8" w:space="0" w:color="000000"/>
              <w:bottom w:val="single" w:sz="8" w:space="0" w:color="000000"/>
              <w:right w:val="single" w:sz="8" w:space="0" w:color="000000"/>
            </w:tcBorders>
            <w:vAlign w:val="center"/>
          </w:tcPr>
          <w:p w14:paraId="61039DE1" w14:textId="7D589DA9" w:rsidR="00C15228" w:rsidRPr="004954B0" w:rsidRDefault="00C15228" w:rsidP="00C15228">
            <w:pPr>
              <w:jc w:val="center"/>
              <w:rPr>
                <w:rFonts w:ascii="Arial" w:hAnsi="Arial" w:cs="Arial"/>
                <w:color w:val="000000"/>
                <w:sz w:val="20"/>
                <w:lang w:val="en-GB"/>
              </w:rPr>
            </w:pPr>
            <w:r w:rsidRPr="004954B0">
              <w:rPr>
                <w:rFonts w:ascii="Arial" w:hAnsi="Arial" w:cs="Arial"/>
                <w:color w:val="000000"/>
                <w:sz w:val="20"/>
                <w:lang w:val="en-GB"/>
              </w:rPr>
              <w:t>X</w:t>
            </w:r>
          </w:p>
        </w:tc>
        <w:tc>
          <w:tcPr>
            <w:tcW w:w="1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2CC9ACD" w14:textId="4BA54BBD" w:rsidR="00C15228" w:rsidRPr="004954B0" w:rsidRDefault="00C15228" w:rsidP="00C15228">
            <w:pPr>
              <w:jc w:val="center"/>
              <w:rPr>
                <w:rFonts w:ascii="Arial" w:hAnsi="Arial" w:cs="Arial"/>
                <w:color w:val="000000"/>
                <w:sz w:val="20"/>
                <w:lang w:val="en-GB"/>
              </w:rPr>
            </w:pPr>
            <w:r w:rsidRPr="004954B0">
              <w:rPr>
                <w:rFonts w:ascii="Arial" w:hAnsi="Arial" w:cs="Arial"/>
                <w:color w:val="000000"/>
                <w:sz w:val="20"/>
                <w:lang w:val="en-GB"/>
              </w:rPr>
              <w:t>IDB/OE</w:t>
            </w:r>
          </w:p>
        </w:tc>
        <w:tc>
          <w:tcPr>
            <w:tcW w:w="1260" w:type="dxa"/>
            <w:tcBorders>
              <w:top w:val="single" w:sz="8" w:space="0" w:color="000000"/>
              <w:left w:val="nil"/>
              <w:bottom w:val="single" w:sz="8" w:space="0" w:color="000000"/>
              <w:right w:val="single" w:sz="8" w:space="0" w:color="000000"/>
            </w:tcBorders>
            <w:shd w:val="clear" w:color="auto" w:fill="auto"/>
            <w:vAlign w:val="center"/>
          </w:tcPr>
          <w:p w14:paraId="5E5B910C" w14:textId="1F576881" w:rsidR="00C15228" w:rsidRPr="004954B0" w:rsidRDefault="00C15228" w:rsidP="00C15228">
            <w:pPr>
              <w:ind w:left="-291" w:right="73"/>
              <w:jc w:val="right"/>
              <w:rPr>
                <w:rFonts w:ascii="Arial" w:hAnsi="Arial" w:cs="Arial"/>
                <w:color w:val="000000"/>
                <w:sz w:val="20"/>
                <w:lang w:val="en-GB"/>
              </w:rPr>
            </w:pPr>
            <w:r w:rsidRPr="004954B0">
              <w:rPr>
                <w:rFonts w:ascii="Arial" w:hAnsi="Arial" w:cs="Arial"/>
                <w:color w:val="000000"/>
                <w:sz w:val="20"/>
                <w:lang w:val="en-GB"/>
              </w:rPr>
              <w:t>US$10,000</w:t>
            </w:r>
          </w:p>
        </w:tc>
        <w:tc>
          <w:tcPr>
            <w:tcW w:w="1350" w:type="dxa"/>
            <w:tcBorders>
              <w:top w:val="single" w:sz="8" w:space="0" w:color="000000"/>
              <w:left w:val="nil"/>
              <w:bottom w:val="single" w:sz="8" w:space="0" w:color="000000"/>
              <w:right w:val="single" w:sz="8" w:space="0" w:color="000000"/>
            </w:tcBorders>
            <w:shd w:val="clear" w:color="auto" w:fill="auto"/>
            <w:vAlign w:val="center"/>
          </w:tcPr>
          <w:p w14:paraId="79D86CBF" w14:textId="77777777" w:rsidR="00C15228" w:rsidRPr="004954B0" w:rsidRDefault="00C15228" w:rsidP="00C15228">
            <w:pPr>
              <w:jc w:val="center"/>
              <w:rPr>
                <w:rFonts w:ascii="Arial" w:hAnsi="Arial" w:cs="Arial"/>
                <w:color w:val="000000"/>
                <w:sz w:val="20"/>
                <w:lang w:val="en-GB"/>
              </w:rPr>
            </w:pPr>
          </w:p>
        </w:tc>
      </w:tr>
      <w:tr w:rsidR="007C3F83" w:rsidRPr="004954B0" w14:paraId="512ECCBB" w14:textId="77777777" w:rsidTr="007677F7">
        <w:trPr>
          <w:trHeight w:val="525"/>
        </w:trPr>
        <w:tc>
          <w:tcPr>
            <w:tcW w:w="28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CCDC749" w14:textId="5EA3FECD" w:rsidR="007C3F83" w:rsidRPr="004954B0" w:rsidRDefault="007C3F83">
            <w:pPr>
              <w:rPr>
                <w:rFonts w:ascii="Arial" w:hAnsi="Arial" w:cs="Arial"/>
                <w:color w:val="000000"/>
                <w:sz w:val="20"/>
                <w:lang w:val="en-GB"/>
              </w:rPr>
            </w:pPr>
            <w:r w:rsidRPr="004954B0">
              <w:rPr>
                <w:rFonts w:ascii="Arial" w:hAnsi="Arial" w:cs="Arial"/>
                <w:color w:val="000000"/>
                <w:sz w:val="18"/>
                <w:szCs w:val="18"/>
                <w:lang w:val="en-GB"/>
              </w:rPr>
              <w:t>Project completion report</w:t>
            </w:r>
          </w:p>
        </w:tc>
        <w:tc>
          <w:tcPr>
            <w:tcW w:w="811" w:type="dxa"/>
            <w:tcBorders>
              <w:top w:val="single" w:sz="8" w:space="0" w:color="000000"/>
              <w:left w:val="single" w:sz="8" w:space="0" w:color="000000"/>
              <w:bottom w:val="single" w:sz="8" w:space="0" w:color="000000"/>
              <w:right w:val="single" w:sz="8" w:space="0" w:color="000000"/>
            </w:tcBorders>
          </w:tcPr>
          <w:p w14:paraId="6D631847" w14:textId="77777777" w:rsidR="007C3F83" w:rsidRPr="004954B0" w:rsidRDefault="007C3F83" w:rsidP="007C3F83">
            <w:pPr>
              <w:jc w:val="center"/>
              <w:rPr>
                <w:rFonts w:ascii="Arial" w:hAnsi="Arial" w:cs="Arial"/>
                <w:color w:val="000000"/>
                <w:sz w:val="20"/>
                <w:lang w:val="en-GB"/>
              </w:rPr>
            </w:pPr>
          </w:p>
        </w:tc>
        <w:tc>
          <w:tcPr>
            <w:tcW w:w="720" w:type="dxa"/>
            <w:tcBorders>
              <w:top w:val="single" w:sz="8" w:space="0" w:color="000000"/>
              <w:left w:val="single" w:sz="8" w:space="0" w:color="000000"/>
              <w:bottom w:val="single" w:sz="8" w:space="0" w:color="000000"/>
              <w:right w:val="single" w:sz="8" w:space="0" w:color="000000"/>
            </w:tcBorders>
            <w:vAlign w:val="center"/>
          </w:tcPr>
          <w:p w14:paraId="0DA7570E" w14:textId="0E1CA531" w:rsidR="007C3F83" w:rsidRPr="004954B0" w:rsidRDefault="007C3F83" w:rsidP="006210E2">
            <w:pPr>
              <w:jc w:val="center"/>
              <w:rPr>
                <w:rFonts w:ascii="Arial" w:hAnsi="Arial" w:cs="Arial"/>
                <w:color w:val="000000"/>
                <w:sz w:val="20"/>
                <w:lang w:val="en-GB"/>
              </w:rPr>
            </w:pPr>
            <w:r w:rsidRPr="004954B0">
              <w:rPr>
                <w:rFonts w:ascii="Arial" w:hAnsi="Arial" w:cs="Arial"/>
                <w:color w:val="000000"/>
                <w:sz w:val="20"/>
                <w:lang w:val="en-GB"/>
              </w:rPr>
              <w:t>X</w:t>
            </w:r>
          </w:p>
        </w:tc>
        <w:tc>
          <w:tcPr>
            <w:tcW w:w="1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7C35FEB" w14:textId="65A51C17" w:rsidR="007C3F83" w:rsidRPr="004954B0" w:rsidRDefault="007C3F83" w:rsidP="007C3F83">
            <w:pPr>
              <w:jc w:val="center"/>
              <w:rPr>
                <w:rFonts w:ascii="Arial" w:hAnsi="Arial" w:cs="Arial"/>
                <w:color w:val="000000"/>
                <w:sz w:val="20"/>
                <w:lang w:val="en-GB"/>
              </w:rPr>
            </w:pPr>
            <w:r w:rsidRPr="004954B0">
              <w:rPr>
                <w:rFonts w:ascii="Arial" w:hAnsi="Arial" w:cs="Arial"/>
                <w:color w:val="000000"/>
                <w:sz w:val="20"/>
                <w:lang w:val="en-GB"/>
              </w:rPr>
              <w:t>IDB</w:t>
            </w:r>
          </w:p>
        </w:tc>
        <w:tc>
          <w:tcPr>
            <w:tcW w:w="1260" w:type="dxa"/>
            <w:tcBorders>
              <w:top w:val="single" w:sz="8" w:space="0" w:color="000000"/>
              <w:left w:val="nil"/>
              <w:bottom w:val="single" w:sz="8" w:space="0" w:color="000000"/>
              <w:right w:val="single" w:sz="8" w:space="0" w:color="000000"/>
            </w:tcBorders>
            <w:shd w:val="clear" w:color="auto" w:fill="auto"/>
            <w:vAlign w:val="center"/>
          </w:tcPr>
          <w:p w14:paraId="4D439E2D" w14:textId="54A5D899" w:rsidR="007C3F83" w:rsidRPr="004954B0" w:rsidRDefault="007C3F83" w:rsidP="00D85D15">
            <w:pPr>
              <w:jc w:val="center"/>
              <w:rPr>
                <w:rFonts w:ascii="Arial" w:hAnsi="Arial" w:cs="Arial"/>
                <w:color w:val="000000"/>
                <w:sz w:val="20"/>
                <w:lang w:val="en-GB"/>
              </w:rPr>
            </w:pPr>
            <w:r w:rsidRPr="004954B0">
              <w:rPr>
                <w:rFonts w:ascii="Arial" w:hAnsi="Arial" w:cs="Arial"/>
                <w:color w:val="000000"/>
                <w:sz w:val="20"/>
                <w:lang w:val="en-GB"/>
              </w:rPr>
              <w:t>US$5,000</w:t>
            </w:r>
          </w:p>
        </w:tc>
        <w:tc>
          <w:tcPr>
            <w:tcW w:w="1350" w:type="dxa"/>
            <w:tcBorders>
              <w:top w:val="single" w:sz="8" w:space="0" w:color="000000"/>
              <w:left w:val="nil"/>
              <w:bottom w:val="single" w:sz="8" w:space="0" w:color="000000"/>
              <w:right w:val="single" w:sz="8" w:space="0" w:color="000000"/>
            </w:tcBorders>
            <w:shd w:val="clear" w:color="auto" w:fill="auto"/>
            <w:vAlign w:val="center"/>
          </w:tcPr>
          <w:p w14:paraId="3617FC17" w14:textId="45D0EE25" w:rsidR="007C3F83" w:rsidRPr="004954B0" w:rsidRDefault="007C3F83" w:rsidP="007C3F83">
            <w:pPr>
              <w:jc w:val="center"/>
              <w:rPr>
                <w:rFonts w:ascii="Arial" w:hAnsi="Arial" w:cs="Arial"/>
                <w:color w:val="000000"/>
                <w:sz w:val="20"/>
                <w:lang w:val="en-GB"/>
              </w:rPr>
            </w:pPr>
          </w:p>
        </w:tc>
      </w:tr>
      <w:tr w:rsidR="009D3F3B" w:rsidRPr="004954B0" w14:paraId="3A7BA1D3" w14:textId="77777777" w:rsidTr="007677F7">
        <w:trPr>
          <w:trHeight w:val="525"/>
        </w:trPr>
        <w:tc>
          <w:tcPr>
            <w:tcW w:w="28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F3BD8F4" w14:textId="0EA63D9D" w:rsidR="009D3F3B" w:rsidRPr="004954B0" w:rsidRDefault="009D3F3B" w:rsidP="009D3F3B">
            <w:pPr>
              <w:jc w:val="both"/>
              <w:rPr>
                <w:rFonts w:ascii="Arial" w:hAnsi="Arial" w:cs="Arial"/>
                <w:b/>
                <w:color w:val="000000"/>
                <w:sz w:val="20"/>
                <w:lang w:val="en-GB"/>
              </w:rPr>
            </w:pPr>
            <w:r w:rsidRPr="004954B0">
              <w:rPr>
                <w:rFonts w:ascii="Arial" w:hAnsi="Arial" w:cs="Arial"/>
                <w:b/>
                <w:color w:val="000000"/>
                <w:sz w:val="20"/>
                <w:lang w:val="en-GB"/>
              </w:rPr>
              <w:t>Total</w:t>
            </w:r>
          </w:p>
        </w:tc>
        <w:tc>
          <w:tcPr>
            <w:tcW w:w="811" w:type="dxa"/>
            <w:tcBorders>
              <w:top w:val="single" w:sz="8" w:space="0" w:color="000000"/>
              <w:left w:val="single" w:sz="8" w:space="0" w:color="000000"/>
              <w:bottom w:val="single" w:sz="8" w:space="0" w:color="000000"/>
              <w:right w:val="single" w:sz="8" w:space="0" w:color="000000"/>
            </w:tcBorders>
          </w:tcPr>
          <w:p w14:paraId="15FF045A" w14:textId="77777777" w:rsidR="009D3F3B" w:rsidRPr="004954B0" w:rsidRDefault="009D3F3B" w:rsidP="00633121">
            <w:pPr>
              <w:rPr>
                <w:rFonts w:ascii="Arial" w:hAnsi="Arial" w:cs="Arial"/>
                <w:b/>
                <w:color w:val="000000"/>
                <w:sz w:val="20"/>
                <w:lang w:val="en-GB"/>
              </w:rPr>
            </w:pPr>
          </w:p>
        </w:tc>
        <w:tc>
          <w:tcPr>
            <w:tcW w:w="720" w:type="dxa"/>
            <w:tcBorders>
              <w:top w:val="single" w:sz="8" w:space="0" w:color="000000"/>
              <w:left w:val="single" w:sz="8" w:space="0" w:color="000000"/>
              <w:bottom w:val="single" w:sz="8" w:space="0" w:color="000000"/>
              <w:right w:val="single" w:sz="8" w:space="0" w:color="000000"/>
            </w:tcBorders>
            <w:vAlign w:val="center"/>
          </w:tcPr>
          <w:p w14:paraId="7356AB5D" w14:textId="77777777" w:rsidR="009D3F3B" w:rsidRPr="004954B0" w:rsidRDefault="009D3F3B" w:rsidP="00633121">
            <w:pPr>
              <w:rPr>
                <w:rFonts w:ascii="Arial" w:hAnsi="Arial" w:cs="Arial"/>
                <w:b/>
                <w:color w:val="000000"/>
                <w:sz w:val="20"/>
                <w:lang w:val="en-GB"/>
              </w:rPr>
            </w:pPr>
          </w:p>
        </w:tc>
        <w:tc>
          <w:tcPr>
            <w:tcW w:w="1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EF8F13D" w14:textId="77777777" w:rsidR="009D3F3B" w:rsidRPr="004954B0" w:rsidRDefault="009D3F3B" w:rsidP="00633121">
            <w:pPr>
              <w:jc w:val="center"/>
              <w:rPr>
                <w:rFonts w:ascii="Arial" w:hAnsi="Arial" w:cs="Arial"/>
                <w:b/>
                <w:color w:val="000000"/>
                <w:sz w:val="20"/>
                <w:lang w:val="en-GB"/>
              </w:rPr>
            </w:pPr>
          </w:p>
        </w:tc>
        <w:tc>
          <w:tcPr>
            <w:tcW w:w="126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F4BA514" w14:textId="68AF627B" w:rsidR="009D3F3B" w:rsidRPr="004954B0" w:rsidRDefault="007677F7" w:rsidP="00D85D15">
            <w:pPr>
              <w:jc w:val="center"/>
              <w:rPr>
                <w:rFonts w:ascii="Arial" w:hAnsi="Arial" w:cs="Arial"/>
                <w:b/>
                <w:color w:val="000000"/>
                <w:sz w:val="20"/>
                <w:lang w:val="en-GB"/>
              </w:rPr>
            </w:pPr>
            <w:r w:rsidRPr="004954B0">
              <w:rPr>
                <w:rFonts w:ascii="Arial" w:hAnsi="Arial" w:cs="Arial"/>
                <w:b/>
                <w:color w:val="000000"/>
                <w:sz w:val="20"/>
                <w:lang w:val="en-GB"/>
              </w:rPr>
              <w:t>US$</w:t>
            </w:r>
            <w:r w:rsidR="00B249C6" w:rsidRPr="004954B0">
              <w:rPr>
                <w:rFonts w:ascii="Arial" w:hAnsi="Arial" w:cs="Arial"/>
                <w:b/>
                <w:color w:val="000000"/>
                <w:sz w:val="20"/>
                <w:lang w:val="en-GB"/>
              </w:rPr>
              <w:t>1</w:t>
            </w:r>
            <w:r w:rsidR="00313DB6" w:rsidRPr="004954B0">
              <w:rPr>
                <w:rFonts w:ascii="Arial" w:hAnsi="Arial" w:cs="Arial"/>
                <w:b/>
                <w:color w:val="000000"/>
                <w:sz w:val="20"/>
                <w:lang w:val="en-GB"/>
              </w:rPr>
              <w:t>5</w:t>
            </w:r>
            <w:r w:rsidRPr="004954B0">
              <w:rPr>
                <w:rFonts w:ascii="Arial" w:hAnsi="Arial" w:cs="Arial"/>
                <w:b/>
                <w:color w:val="000000"/>
                <w:sz w:val="20"/>
                <w:lang w:val="en-GB"/>
              </w:rPr>
              <w:t>,</w:t>
            </w:r>
            <w:r w:rsidR="009D3F3B" w:rsidRPr="004954B0">
              <w:rPr>
                <w:rFonts w:ascii="Arial" w:hAnsi="Arial" w:cs="Arial"/>
                <w:b/>
                <w:color w:val="000000"/>
                <w:sz w:val="20"/>
                <w:lang w:val="en-GB"/>
              </w:rPr>
              <w:t>000</w:t>
            </w:r>
          </w:p>
        </w:tc>
        <w:tc>
          <w:tcPr>
            <w:tcW w:w="13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408A3AA" w14:textId="47240F48" w:rsidR="009D3F3B" w:rsidRPr="004954B0" w:rsidRDefault="007677F7" w:rsidP="00633121">
            <w:pPr>
              <w:jc w:val="center"/>
              <w:rPr>
                <w:rFonts w:ascii="Arial" w:hAnsi="Arial" w:cs="Arial"/>
                <w:color w:val="000000"/>
                <w:sz w:val="20"/>
                <w:lang w:val="en-GB"/>
              </w:rPr>
            </w:pPr>
            <w:r w:rsidRPr="004954B0">
              <w:rPr>
                <w:rFonts w:ascii="Arial" w:hAnsi="Arial" w:cs="Arial"/>
                <w:color w:val="000000"/>
                <w:sz w:val="20"/>
                <w:lang w:val="en-GB"/>
              </w:rPr>
              <w:t>IDB</w:t>
            </w:r>
          </w:p>
        </w:tc>
      </w:tr>
    </w:tbl>
    <w:p w14:paraId="689EABF1" w14:textId="77777777" w:rsidR="00D50752" w:rsidRPr="004954B0" w:rsidRDefault="00D50752">
      <w:pPr>
        <w:spacing w:after="200" w:line="276" w:lineRule="auto"/>
        <w:rPr>
          <w:rFonts w:ascii="Arial" w:hAnsi="Arial" w:cs="Arial"/>
          <w:b/>
          <w:sz w:val="22"/>
          <w:szCs w:val="22"/>
          <w:lang w:val="en-GB"/>
        </w:rPr>
      </w:pPr>
    </w:p>
    <w:p w14:paraId="2298BB81" w14:textId="77777777" w:rsidR="00D50752" w:rsidRPr="004954B0" w:rsidRDefault="00D50752">
      <w:pPr>
        <w:spacing w:after="200" w:line="276" w:lineRule="auto"/>
        <w:rPr>
          <w:rFonts w:ascii="Arial" w:hAnsi="Arial" w:cs="Arial"/>
          <w:b/>
          <w:sz w:val="22"/>
          <w:szCs w:val="22"/>
          <w:lang w:val="en-GB"/>
        </w:rPr>
      </w:pPr>
    </w:p>
    <w:p w14:paraId="6DF574C2" w14:textId="77777777" w:rsidR="00D05304" w:rsidRPr="004954B0" w:rsidRDefault="00D05304">
      <w:pPr>
        <w:spacing w:after="200" w:line="276" w:lineRule="auto"/>
        <w:rPr>
          <w:rFonts w:ascii="Arial" w:hAnsi="Arial" w:cs="Arial"/>
          <w:b/>
          <w:sz w:val="22"/>
          <w:szCs w:val="22"/>
          <w:lang w:val="en-GB"/>
        </w:rPr>
      </w:pPr>
      <w:r w:rsidRPr="004954B0">
        <w:rPr>
          <w:rFonts w:ascii="Arial" w:hAnsi="Arial" w:cs="Arial"/>
          <w:b/>
          <w:sz w:val="22"/>
          <w:szCs w:val="22"/>
          <w:lang w:val="en-GB"/>
        </w:rPr>
        <w:br w:type="page"/>
      </w:r>
    </w:p>
    <w:p w14:paraId="7AE9366A" w14:textId="41B51B96" w:rsidR="00582D9F" w:rsidRPr="004954B0" w:rsidRDefault="00981ADC">
      <w:pPr>
        <w:spacing w:after="200" w:line="276" w:lineRule="auto"/>
        <w:rPr>
          <w:rFonts w:ascii="Arial" w:hAnsi="Arial" w:cs="Arial"/>
          <w:b/>
          <w:szCs w:val="24"/>
          <w:lang w:val="en-GB" w:eastAsia="zh-CN"/>
        </w:rPr>
      </w:pPr>
      <w:r w:rsidRPr="004954B0">
        <w:rPr>
          <w:rFonts w:ascii="Arial" w:hAnsi="Arial" w:cs="Arial"/>
          <w:b/>
          <w:szCs w:val="24"/>
          <w:lang w:val="en-GB"/>
        </w:rPr>
        <w:lastRenderedPageBreak/>
        <w:t>References</w:t>
      </w:r>
    </w:p>
    <w:p w14:paraId="6B6ECD5B" w14:textId="420DB5DC" w:rsidR="00556AC1" w:rsidRPr="004954B0" w:rsidRDefault="00556AC1">
      <w:pPr>
        <w:spacing w:after="200" w:line="276" w:lineRule="auto"/>
        <w:rPr>
          <w:rFonts w:ascii="Arial" w:hAnsi="Arial" w:cs="Arial"/>
          <w:b/>
          <w:sz w:val="21"/>
          <w:szCs w:val="21"/>
          <w:lang w:val="en-GB"/>
        </w:rPr>
      </w:pPr>
      <w:r w:rsidRPr="004954B0">
        <w:rPr>
          <w:rFonts w:ascii="Arial" w:hAnsi="Arial" w:cs="Arial"/>
          <w:sz w:val="21"/>
          <w:szCs w:val="21"/>
          <w:lang w:val="en-GB"/>
        </w:rPr>
        <w:t>Aghion, P</w:t>
      </w:r>
      <w:r w:rsidR="00CC5663" w:rsidRPr="004954B0">
        <w:rPr>
          <w:rFonts w:ascii="Arial" w:hAnsi="Arial" w:cs="Arial"/>
          <w:sz w:val="21"/>
          <w:szCs w:val="21"/>
          <w:lang w:val="en-GB"/>
        </w:rPr>
        <w:t>. and</w:t>
      </w:r>
      <w:r w:rsidRPr="004954B0">
        <w:rPr>
          <w:rFonts w:ascii="Arial" w:hAnsi="Arial" w:cs="Arial"/>
          <w:sz w:val="21"/>
          <w:szCs w:val="21"/>
          <w:lang w:val="en-GB"/>
        </w:rPr>
        <w:t xml:space="preserve"> P. Howitt. 1998. </w:t>
      </w:r>
      <w:r w:rsidRPr="004954B0">
        <w:rPr>
          <w:rFonts w:ascii="Arial" w:hAnsi="Arial" w:cs="Arial"/>
          <w:i/>
          <w:iCs/>
          <w:sz w:val="21"/>
          <w:szCs w:val="21"/>
          <w:lang w:val="en-GB"/>
        </w:rPr>
        <w:t>Endogenous Growth Theory</w:t>
      </w:r>
      <w:r w:rsidRPr="004954B0">
        <w:rPr>
          <w:rFonts w:ascii="Arial" w:hAnsi="Arial" w:cs="Arial"/>
          <w:sz w:val="21"/>
          <w:szCs w:val="21"/>
          <w:lang w:val="en-GB"/>
        </w:rPr>
        <w:t>. Cambridge, MA: MIT Press.</w:t>
      </w:r>
    </w:p>
    <w:p w14:paraId="40DFC32E" w14:textId="5E3F4E22" w:rsidR="00BA5F01" w:rsidRPr="004954B0" w:rsidRDefault="00BA5F01" w:rsidP="00123068">
      <w:pPr>
        <w:pStyle w:val="NormalWeb"/>
        <w:ind w:left="480" w:hanging="480"/>
        <w:jc w:val="both"/>
        <w:rPr>
          <w:rFonts w:ascii="Arial" w:hAnsi="Arial" w:cs="Arial"/>
          <w:sz w:val="21"/>
          <w:szCs w:val="21"/>
          <w:lang w:val="en-GB"/>
        </w:rPr>
      </w:pPr>
      <w:r w:rsidRPr="004954B0">
        <w:rPr>
          <w:rFonts w:ascii="Arial" w:hAnsi="Arial" w:cs="Arial"/>
          <w:sz w:val="21"/>
          <w:szCs w:val="21"/>
          <w:lang w:val="en-GB"/>
        </w:rPr>
        <w:t>Ahmed, F.</w:t>
      </w:r>
      <w:r w:rsidR="00CC5663" w:rsidRPr="004954B0">
        <w:rPr>
          <w:rFonts w:ascii="Arial" w:hAnsi="Arial" w:cs="Arial"/>
          <w:sz w:val="21"/>
          <w:szCs w:val="21"/>
          <w:lang w:val="en-GB"/>
        </w:rPr>
        <w:t xml:space="preserve">, N. </w:t>
      </w:r>
      <w:r w:rsidRPr="004954B0">
        <w:rPr>
          <w:rFonts w:ascii="Arial" w:hAnsi="Arial" w:cs="Arial"/>
          <w:sz w:val="21"/>
          <w:szCs w:val="21"/>
          <w:lang w:val="en-GB"/>
        </w:rPr>
        <w:t xml:space="preserve">Zviedrite, </w:t>
      </w:r>
      <w:r w:rsidR="00CC5663" w:rsidRPr="004954B0">
        <w:rPr>
          <w:rFonts w:ascii="Arial" w:hAnsi="Arial" w:cs="Arial"/>
          <w:sz w:val="21"/>
          <w:szCs w:val="21"/>
          <w:lang w:val="en-GB"/>
        </w:rPr>
        <w:t>and A.</w:t>
      </w:r>
      <w:r w:rsidRPr="004954B0">
        <w:rPr>
          <w:rFonts w:ascii="Arial" w:hAnsi="Arial" w:cs="Arial"/>
          <w:sz w:val="21"/>
          <w:szCs w:val="21"/>
          <w:lang w:val="en-GB"/>
        </w:rPr>
        <w:t xml:space="preserve"> Uzicanin. 2018. Effectiveness of workplace social distancing measures in reducing influenza transmission: A systematic review. BMC Public Health. 18. 518. 10.1186/s12889-018-5446-1.</w:t>
      </w:r>
    </w:p>
    <w:p w14:paraId="5400E1B5" w14:textId="31CEBA91" w:rsidR="00BA5F01" w:rsidRPr="004954B0" w:rsidRDefault="00BA5F01" w:rsidP="00123068">
      <w:pPr>
        <w:pStyle w:val="NormalWeb"/>
        <w:ind w:left="480" w:hanging="480"/>
        <w:jc w:val="both"/>
        <w:rPr>
          <w:rFonts w:ascii="Arial" w:hAnsi="Arial" w:cs="Arial"/>
          <w:sz w:val="21"/>
          <w:szCs w:val="21"/>
          <w:lang w:val="en-GB"/>
        </w:rPr>
      </w:pPr>
      <w:r w:rsidRPr="004954B0">
        <w:rPr>
          <w:rFonts w:ascii="Arial" w:hAnsi="Arial" w:cs="Arial"/>
          <w:sz w:val="21"/>
          <w:szCs w:val="21"/>
          <w:lang w:val="en-GB"/>
        </w:rPr>
        <w:t xml:space="preserve">Bailey, </w:t>
      </w:r>
      <w:proofErr w:type="gramStart"/>
      <w:r w:rsidRPr="004954B0">
        <w:rPr>
          <w:rFonts w:ascii="Arial" w:hAnsi="Arial" w:cs="Arial"/>
          <w:sz w:val="21"/>
          <w:szCs w:val="21"/>
          <w:lang w:val="en-GB"/>
        </w:rPr>
        <w:t>D.</w:t>
      </w:r>
      <w:proofErr w:type="gramEnd"/>
      <w:r w:rsidRPr="004954B0">
        <w:rPr>
          <w:rFonts w:ascii="Arial" w:hAnsi="Arial" w:cs="Arial"/>
          <w:sz w:val="21"/>
          <w:szCs w:val="21"/>
          <w:lang w:val="en-GB"/>
        </w:rPr>
        <w:t xml:space="preserve"> and </w:t>
      </w:r>
      <w:r w:rsidR="00CC5663" w:rsidRPr="004954B0">
        <w:rPr>
          <w:rFonts w:ascii="Arial" w:hAnsi="Arial" w:cs="Arial"/>
          <w:sz w:val="21"/>
          <w:szCs w:val="21"/>
          <w:lang w:val="en-GB"/>
        </w:rPr>
        <w:t xml:space="preserve">N. </w:t>
      </w:r>
      <w:r w:rsidRPr="004954B0">
        <w:rPr>
          <w:rFonts w:ascii="Arial" w:hAnsi="Arial" w:cs="Arial"/>
          <w:sz w:val="21"/>
          <w:szCs w:val="21"/>
          <w:lang w:val="en-GB"/>
        </w:rPr>
        <w:t>Kurland</w:t>
      </w:r>
      <w:r w:rsidR="00CC5663" w:rsidRPr="004954B0">
        <w:rPr>
          <w:rFonts w:ascii="Arial" w:hAnsi="Arial" w:cs="Arial"/>
          <w:sz w:val="21"/>
          <w:szCs w:val="21"/>
          <w:lang w:val="en-GB"/>
        </w:rPr>
        <w:t>.</w:t>
      </w:r>
      <w:r w:rsidRPr="004954B0">
        <w:rPr>
          <w:rFonts w:ascii="Arial" w:hAnsi="Arial" w:cs="Arial"/>
          <w:sz w:val="21"/>
          <w:szCs w:val="21"/>
          <w:lang w:val="en-GB"/>
        </w:rPr>
        <w:t xml:space="preserve"> 2002. A review of the telework research: findings, new </w:t>
      </w:r>
      <w:proofErr w:type="gramStart"/>
      <w:r w:rsidRPr="004954B0">
        <w:rPr>
          <w:rFonts w:ascii="Arial" w:hAnsi="Arial" w:cs="Arial"/>
          <w:sz w:val="21"/>
          <w:szCs w:val="21"/>
          <w:lang w:val="en-GB"/>
        </w:rPr>
        <w:t>directions</w:t>
      </w:r>
      <w:proofErr w:type="gramEnd"/>
      <w:r w:rsidRPr="004954B0">
        <w:rPr>
          <w:rFonts w:ascii="Arial" w:hAnsi="Arial" w:cs="Arial"/>
          <w:sz w:val="21"/>
          <w:szCs w:val="21"/>
          <w:lang w:val="en-GB"/>
        </w:rPr>
        <w:t xml:space="preserve"> and lessons for the study of modern work. </w:t>
      </w:r>
      <w:r w:rsidRPr="004954B0">
        <w:rPr>
          <w:rFonts w:ascii="Arial" w:hAnsi="Arial" w:cs="Arial"/>
          <w:i/>
          <w:iCs/>
          <w:sz w:val="21"/>
          <w:szCs w:val="21"/>
          <w:lang w:val="en-GB"/>
        </w:rPr>
        <w:t>Journal of Organizational Behavior</w:t>
      </w:r>
      <w:r w:rsidR="00CC5663" w:rsidRPr="004954B0">
        <w:rPr>
          <w:rFonts w:ascii="Arial" w:hAnsi="Arial" w:cs="Arial"/>
          <w:i/>
          <w:iCs/>
          <w:sz w:val="21"/>
          <w:szCs w:val="21"/>
          <w:lang w:val="en-GB"/>
        </w:rPr>
        <w:t>,</w:t>
      </w:r>
      <w:r w:rsidRPr="004954B0">
        <w:rPr>
          <w:rFonts w:ascii="Arial" w:hAnsi="Arial" w:cs="Arial"/>
          <w:sz w:val="21"/>
          <w:szCs w:val="21"/>
          <w:lang w:val="en-GB"/>
        </w:rPr>
        <w:t xml:space="preserve"> 23:</w:t>
      </w:r>
      <w:r w:rsidR="00CC5663" w:rsidRPr="004954B0">
        <w:rPr>
          <w:rFonts w:ascii="Arial" w:hAnsi="Arial" w:cs="Arial"/>
          <w:sz w:val="21"/>
          <w:szCs w:val="21"/>
          <w:lang w:val="en-GB"/>
        </w:rPr>
        <w:t xml:space="preserve"> </w:t>
      </w:r>
      <w:r w:rsidRPr="004954B0">
        <w:rPr>
          <w:rFonts w:ascii="Arial" w:hAnsi="Arial" w:cs="Arial"/>
          <w:sz w:val="21"/>
          <w:szCs w:val="21"/>
          <w:lang w:val="en-GB"/>
        </w:rPr>
        <w:t>283</w:t>
      </w:r>
      <w:r w:rsidR="00CC5663" w:rsidRPr="004954B0">
        <w:rPr>
          <w:rFonts w:ascii="Arial" w:hAnsi="Arial" w:cs="Arial"/>
          <w:sz w:val="21"/>
          <w:szCs w:val="21"/>
          <w:lang w:val="en-GB"/>
        </w:rPr>
        <w:t>–</w:t>
      </w:r>
      <w:r w:rsidRPr="004954B0">
        <w:rPr>
          <w:rFonts w:ascii="Arial" w:hAnsi="Arial" w:cs="Arial"/>
          <w:sz w:val="21"/>
          <w:szCs w:val="21"/>
          <w:lang w:val="en-GB"/>
        </w:rPr>
        <w:t>400.</w:t>
      </w:r>
    </w:p>
    <w:p w14:paraId="42A90AFE" w14:textId="77777777" w:rsidR="0092319A" w:rsidRPr="004954B0" w:rsidRDefault="0092319A" w:rsidP="0092319A">
      <w:pPr>
        <w:pStyle w:val="NormalWeb"/>
        <w:ind w:left="480" w:hanging="480"/>
        <w:jc w:val="both"/>
        <w:rPr>
          <w:rFonts w:ascii="Arial" w:hAnsi="Arial" w:cs="Arial"/>
          <w:sz w:val="21"/>
          <w:szCs w:val="21"/>
          <w:lang w:val="en-GB"/>
        </w:rPr>
      </w:pPr>
      <w:r w:rsidRPr="004954B0">
        <w:rPr>
          <w:rFonts w:ascii="Arial" w:hAnsi="Arial" w:cs="Arial"/>
          <w:sz w:val="21"/>
          <w:szCs w:val="21"/>
          <w:lang w:val="en-GB"/>
        </w:rPr>
        <w:t>Bastagli, F., J. Hagen-Zanker, L. Harman, V. Barca, G. Sturge, and T. Schmidt. 2016. Cash transfers: What does the evidence say? A rigorous review of programme impact and of the role of design and implementation features. https://doi.org/DOI: 10.13140/RG.2.2.29336.39687.</w:t>
      </w:r>
    </w:p>
    <w:p w14:paraId="7FF9C867" w14:textId="77777777" w:rsidR="0092319A" w:rsidRPr="004954B0" w:rsidRDefault="0092319A" w:rsidP="0092319A">
      <w:pPr>
        <w:pStyle w:val="NormalWeb"/>
        <w:ind w:left="480" w:hanging="480"/>
        <w:jc w:val="both"/>
        <w:rPr>
          <w:rFonts w:ascii="Arial" w:hAnsi="Arial" w:cs="Arial"/>
          <w:sz w:val="21"/>
          <w:szCs w:val="21"/>
          <w:lang w:val="en-GB"/>
        </w:rPr>
      </w:pPr>
      <w:r w:rsidRPr="004954B0">
        <w:rPr>
          <w:rFonts w:ascii="Arial" w:hAnsi="Arial" w:cs="Arial"/>
          <w:sz w:val="21"/>
          <w:szCs w:val="21"/>
          <w:lang w:val="en-GB"/>
        </w:rPr>
        <w:t xml:space="preserve">Betcherman, G., N.M. Daysal, and C. Pagés. 2010. Do employment subsidies work? Evidence from regionally targeted subsidies in Turkey. </w:t>
      </w:r>
      <w:r w:rsidRPr="004954B0">
        <w:rPr>
          <w:rFonts w:ascii="Arial" w:hAnsi="Arial" w:cs="Arial"/>
          <w:i/>
          <w:iCs/>
          <w:sz w:val="21"/>
          <w:szCs w:val="21"/>
          <w:lang w:val="en-GB"/>
        </w:rPr>
        <w:t>Labour Economics</w:t>
      </w:r>
      <w:r w:rsidRPr="004954B0">
        <w:rPr>
          <w:rFonts w:ascii="Arial" w:hAnsi="Arial" w:cs="Arial"/>
          <w:sz w:val="21"/>
          <w:szCs w:val="21"/>
          <w:lang w:val="en-GB"/>
        </w:rPr>
        <w:t xml:space="preserve">, </w:t>
      </w:r>
      <w:r w:rsidRPr="004954B0">
        <w:rPr>
          <w:rFonts w:ascii="Arial" w:hAnsi="Arial" w:cs="Arial"/>
          <w:i/>
          <w:iCs/>
          <w:sz w:val="21"/>
          <w:szCs w:val="21"/>
          <w:lang w:val="en-GB"/>
        </w:rPr>
        <w:t>17</w:t>
      </w:r>
      <w:r w:rsidRPr="004954B0">
        <w:rPr>
          <w:rFonts w:ascii="Arial" w:hAnsi="Arial" w:cs="Arial"/>
          <w:sz w:val="21"/>
          <w:szCs w:val="21"/>
          <w:lang w:val="en-GB"/>
        </w:rPr>
        <w:t>(4): 710–22. https://doi.org/10.1016/j.labeco.2009.12.002.</w:t>
      </w:r>
    </w:p>
    <w:p w14:paraId="7E77853E" w14:textId="4643537F" w:rsidR="00582D9F" w:rsidRPr="004954B0" w:rsidRDefault="00582D9F" w:rsidP="00123068">
      <w:pPr>
        <w:pStyle w:val="NormalWeb"/>
        <w:ind w:left="480" w:hanging="480"/>
        <w:jc w:val="both"/>
        <w:rPr>
          <w:rFonts w:ascii="Arial" w:hAnsi="Arial" w:cs="Arial"/>
          <w:sz w:val="21"/>
          <w:szCs w:val="21"/>
          <w:lang w:val="en-GB"/>
        </w:rPr>
      </w:pPr>
      <w:r w:rsidRPr="004954B0">
        <w:rPr>
          <w:rFonts w:ascii="Arial" w:hAnsi="Arial" w:cs="Arial"/>
          <w:sz w:val="21"/>
          <w:szCs w:val="21"/>
          <w:lang w:val="en-GB"/>
        </w:rPr>
        <w:t>Biglan A</w:t>
      </w:r>
      <w:r w:rsidR="00CC5663" w:rsidRPr="004954B0">
        <w:rPr>
          <w:rFonts w:ascii="Arial" w:hAnsi="Arial" w:cs="Arial"/>
          <w:sz w:val="21"/>
          <w:szCs w:val="21"/>
          <w:lang w:val="en-GB"/>
        </w:rPr>
        <w:t xml:space="preserve">., D. </w:t>
      </w:r>
      <w:r w:rsidRPr="004954B0">
        <w:rPr>
          <w:rFonts w:ascii="Arial" w:hAnsi="Arial" w:cs="Arial"/>
          <w:sz w:val="21"/>
          <w:szCs w:val="21"/>
          <w:lang w:val="en-GB"/>
        </w:rPr>
        <w:t xml:space="preserve">Ary, </w:t>
      </w:r>
      <w:r w:rsidR="00CC5663" w:rsidRPr="004954B0">
        <w:rPr>
          <w:rFonts w:ascii="Arial" w:hAnsi="Arial" w:cs="Arial"/>
          <w:sz w:val="21"/>
          <w:szCs w:val="21"/>
          <w:lang w:val="en-GB"/>
        </w:rPr>
        <w:t xml:space="preserve">and AC </w:t>
      </w:r>
      <w:r w:rsidRPr="004954B0">
        <w:rPr>
          <w:rFonts w:ascii="Arial" w:hAnsi="Arial" w:cs="Arial"/>
          <w:sz w:val="21"/>
          <w:szCs w:val="21"/>
          <w:lang w:val="en-GB"/>
        </w:rPr>
        <w:t xml:space="preserve">Wagenaar. 2000. The value of interrupted time series experiments for community intervention research. </w:t>
      </w:r>
      <w:r w:rsidRPr="004954B0">
        <w:rPr>
          <w:rFonts w:ascii="Arial" w:hAnsi="Arial" w:cs="Arial"/>
          <w:i/>
          <w:iCs/>
          <w:sz w:val="21"/>
          <w:szCs w:val="21"/>
          <w:lang w:val="en-GB"/>
        </w:rPr>
        <w:t>Prev Sci</w:t>
      </w:r>
      <w:r w:rsidRPr="004954B0">
        <w:rPr>
          <w:rFonts w:ascii="Arial" w:hAnsi="Arial" w:cs="Arial"/>
          <w:sz w:val="21"/>
          <w:szCs w:val="21"/>
          <w:lang w:val="en-GB"/>
        </w:rPr>
        <w:t xml:space="preserve"> 1:</w:t>
      </w:r>
      <w:r w:rsidR="00CC5663" w:rsidRPr="004954B0">
        <w:rPr>
          <w:rFonts w:ascii="Arial" w:hAnsi="Arial" w:cs="Arial"/>
          <w:sz w:val="21"/>
          <w:szCs w:val="21"/>
          <w:lang w:val="en-GB"/>
        </w:rPr>
        <w:t xml:space="preserve"> </w:t>
      </w:r>
      <w:r w:rsidRPr="004954B0">
        <w:rPr>
          <w:rFonts w:ascii="Arial" w:hAnsi="Arial" w:cs="Arial"/>
          <w:sz w:val="21"/>
          <w:szCs w:val="21"/>
          <w:lang w:val="en-GB"/>
        </w:rPr>
        <w:t>31</w:t>
      </w:r>
      <w:r w:rsidR="00CC5663" w:rsidRPr="004954B0">
        <w:rPr>
          <w:rFonts w:ascii="Arial" w:hAnsi="Arial" w:cs="Arial"/>
          <w:sz w:val="21"/>
          <w:szCs w:val="21"/>
          <w:lang w:val="en-GB"/>
        </w:rPr>
        <w:t>–</w:t>
      </w:r>
      <w:r w:rsidRPr="004954B0">
        <w:rPr>
          <w:rFonts w:ascii="Arial" w:hAnsi="Arial" w:cs="Arial"/>
          <w:sz w:val="21"/>
          <w:szCs w:val="21"/>
          <w:lang w:val="en-GB"/>
        </w:rPr>
        <w:t>49.</w:t>
      </w:r>
    </w:p>
    <w:p w14:paraId="1F850595" w14:textId="7C75EDF7" w:rsidR="00BD1401" w:rsidRPr="004954B0" w:rsidRDefault="00BD1401" w:rsidP="00123068">
      <w:pPr>
        <w:pStyle w:val="NormalWeb"/>
        <w:ind w:left="480" w:hanging="480"/>
        <w:jc w:val="both"/>
        <w:rPr>
          <w:rFonts w:ascii="Arial" w:hAnsi="Arial" w:cs="Arial"/>
          <w:sz w:val="21"/>
          <w:szCs w:val="21"/>
          <w:lang w:val="en-GB"/>
        </w:rPr>
      </w:pPr>
      <w:r w:rsidRPr="004954B0">
        <w:rPr>
          <w:rFonts w:ascii="Arial" w:hAnsi="Arial" w:cs="Arial"/>
          <w:sz w:val="21"/>
          <w:szCs w:val="21"/>
          <w:lang w:val="en-GB"/>
        </w:rPr>
        <w:t>Bloom, N.</w:t>
      </w:r>
      <w:proofErr w:type="gramStart"/>
      <w:r w:rsidRPr="004954B0">
        <w:rPr>
          <w:rFonts w:ascii="Arial" w:hAnsi="Arial" w:cs="Arial"/>
          <w:sz w:val="21"/>
          <w:szCs w:val="21"/>
          <w:lang w:val="en-GB"/>
        </w:rPr>
        <w:t xml:space="preserve">,  </w:t>
      </w:r>
      <w:r w:rsidR="00CC5663" w:rsidRPr="004954B0">
        <w:rPr>
          <w:rFonts w:ascii="Arial" w:hAnsi="Arial" w:cs="Arial"/>
          <w:sz w:val="21"/>
          <w:szCs w:val="21"/>
          <w:lang w:val="en-GB"/>
        </w:rPr>
        <w:t>J.</w:t>
      </w:r>
      <w:proofErr w:type="gramEnd"/>
      <w:r w:rsidR="00CC5663" w:rsidRPr="004954B0">
        <w:rPr>
          <w:rFonts w:ascii="Arial" w:hAnsi="Arial" w:cs="Arial"/>
          <w:sz w:val="21"/>
          <w:szCs w:val="21"/>
          <w:lang w:val="en-GB"/>
        </w:rPr>
        <w:t xml:space="preserve"> </w:t>
      </w:r>
      <w:r w:rsidRPr="004954B0">
        <w:rPr>
          <w:rFonts w:ascii="Arial" w:hAnsi="Arial" w:cs="Arial"/>
          <w:sz w:val="21"/>
          <w:szCs w:val="21"/>
          <w:lang w:val="en-GB"/>
        </w:rPr>
        <w:t>Liang</w:t>
      </w:r>
      <w:r w:rsidR="00CC5663" w:rsidRPr="004954B0">
        <w:rPr>
          <w:rFonts w:ascii="Arial" w:hAnsi="Arial" w:cs="Arial"/>
          <w:sz w:val="21"/>
          <w:szCs w:val="21"/>
          <w:lang w:val="en-GB"/>
        </w:rPr>
        <w:t>, J.</w:t>
      </w:r>
      <w:r w:rsidRPr="004954B0">
        <w:rPr>
          <w:rFonts w:ascii="Arial" w:hAnsi="Arial" w:cs="Arial"/>
          <w:sz w:val="21"/>
          <w:szCs w:val="21"/>
          <w:lang w:val="en-GB"/>
        </w:rPr>
        <w:t xml:space="preserve"> Roberts</w:t>
      </w:r>
      <w:r w:rsidR="00CC5663" w:rsidRPr="004954B0">
        <w:rPr>
          <w:rFonts w:ascii="Arial" w:hAnsi="Arial" w:cs="Arial"/>
          <w:sz w:val="21"/>
          <w:szCs w:val="21"/>
          <w:lang w:val="en-GB"/>
        </w:rPr>
        <w:t>, and</w:t>
      </w:r>
      <w:r w:rsidRPr="004954B0">
        <w:rPr>
          <w:rFonts w:ascii="Arial" w:hAnsi="Arial" w:cs="Arial"/>
          <w:sz w:val="21"/>
          <w:szCs w:val="21"/>
          <w:lang w:val="en-GB"/>
        </w:rPr>
        <w:t xml:space="preserve">  </w:t>
      </w:r>
      <w:r w:rsidR="00CC5663" w:rsidRPr="004954B0">
        <w:rPr>
          <w:rFonts w:ascii="Arial" w:hAnsi="Arial" w:cs="Arial"/>
          <w:sz w:val="21"/>
          <w:szCs w:val="21"/>
          <w:lang w:val="en-GB"/>
        </w:rPr>
        <w:t xml:space="preserve">Z.J. </w:t>
      </w:r>
      <w:r w:rsidRPr="004954B0">
        <w:rPr>
          <w:rFonts w:ascii="Arial" w:hAnsi="Arial" w:cs="Arial"/>
          <w:sz w:val="21"/>
          <w:szCs w:val="21"/>
          <w:lang w:val="en-GB"/>
        </w:rPr>
        <w:t>Ying</w:t>
      </w:r>
      <w:r w:rsidR="00CC5663" w:rsidRPr="004954B0">
        <w:rPr>
          <w:rFonts w:ascii="Arial" w:hAnsi="Arial" w:cs="Arial"/>
          <w:sz w:val="21"/>
          <w:szCs w:val="21"/>
          <w:lang w:val="en-GB"/>
        </w:rPr>
        <w:t>.</w:t>
      </w:r>
      <w:r w:rsidRPr="004954B0">
        <w:rPr>
          <w:rFonts w:ascii="Arial" w:hAnsi="Arial" w:cs="Arial"/>
          <w:sz w:val="21"/>
          <w:szCs w:val="21"/>
          <w:lang w:val="en-GB"/>
        </w:rPr>
        <w:t xml:space="preserve"> 2015. </w:t>
      </w:r>
      <w:hyperlink r:id="rId17" w:history="1">
        <w:r w:rsidRPr="004954B0">
          <w:rPr>
            <w:rFonts w:ascii="Arial" w:hAnsi="Arial" w:cs="Arial"/>
            <w:sz w:val="21"/>
            <w:szCs w:val="21"/>
            <w:lang w:val="en-GB"/>
          </w:rPr>
          <w:t>Does Working from Home Work? Evidence from a Chinese Experiment</w:t>
        </w:r>
        <w:r w:rsidR="00CC5663" w:rsidRPr="004954B0">
          <w:rPr>
            <w:rFonts w:ascii="Arial" w:hAnsi="Arial" w:cs="Arial"/>
            <w:sz w:val="21"/>
            <w:szCs w:val="21"/>
            <w:lang w:val="en-GB"/>
          </w:rPr>
          <w:t>.</w:t>
        </w:r>
      </w:hyperlink>
      <w:r w:rsidRPr="004954B0">
        <w:rPr>
          <w:rFonts w:ascii="Arial" w:hAnsi="Arial" w:cs="Arial"/>
          <w:sz w:val="21"/>
          <w:szCs w:val="21"/>
          <w:lang w:val="en-GB"/>
        </w:rPr>
        <w:t xml:space="preserve"> </w:t>
      </w:r>
      <w:r w:rsidRPr="004954B0">
        <w:rPr>
          <w:rFonts w:ascii="Arial" w:hAnsi="Arial" w:cs="Arial"/>
          <w:i/>
          <w:iCs/>
          <w:sz w:val="21"/>
          <w:szCs w:val="21"/>
          <w:lang w:val="en-GB"/>
        </w:rPr>
        <w:t>The Quarterly Journal of Economics</w:t>
      </w:r>
      <w:r w:rsidRPr="004954B0">
        <w:rPr>
          <w:rFonts w:ascii="Arial" w:hAnsi="Arial" w:cs="Arial"/>
          <w:sz w:val="21"/>
          <w:szCs w:val="21"/>
          <w:lang w:val="en-GB"/>
        </w:rPr>
        <w:t xml:space="preserve">, </w:t>
      </w:r>
      <w:r w:rsidR="00CC5663" w:rsidRPr="004954B0">
        <w:rPr>
          <w:rFonts w:ascii="Arial" w:hAnsi="Arial" w:cs="Arial"/>
          <w:sz w:val="21"/>
          <w:szCs w:val="21"/>
          <w:lang w:val="en-GB"/>
        </w:rPr>
        <w:t>1</w:t>
      </w:r>
      <w:r w:rsidRPr="004954B0">
        <w:rPr>
          <w:rFonts w:ascii="Arial" w:hAnsi="Arial" w:cs="Arial"/>
          <w:sz w:val="21"/>
          <w:szCs w:val="21"/>
          <w:lang w:val="en-GB"/>
        </w:rPr>
        <w:t>30(1)</w:t>
      </w:r>
      <w:r w:rsidR="00CC5663" w:rsidRPr="004954B0">
        <w:rPr>
          <w:rFonts w:ascii="Arial" w:hAnsi="Arial" w:cs="Arial"/>
          <w:sz w:val="21"/>
          <w:szCs w:val="21"/>
          <w:lang w:val="en-GB"/>
        </w:rPr>
        <w:t>:</w:t>
      </w:r>
      <w:r w:rsidRPr="004954B0">
        <w:rPr>
          <w:rFonts w:ascii="Arial" w:hAnsi="Arial" w:cs="Arial"/>
          <w:sz w:val="21"/>
          <w:szCs w:val="21"/>
          <w:lang w:val="en-GB"/>
        </w:rPr>
        <w:t xml:space="preserve"> 165</w:t>
      </w:r>
      <w:r w:rsidR="00CC5663" w:rsidRPr="004954B0">
        <w:rPr>
          <w:rFonts w:ascii="Arial" w:hAnsi="Arial" w:cs="Arial"/>
          <w:sz w:val="21"/>
          <w:szCs w:val="21"/>
          <w:lang w:val="en-GB"/>
        </w:rPr>
        <w:t>–</w:t>
      </w:r>
      <w:r w:rsidRPr="004954B0">
        <w:rPr>
          <w:rFonts w:ascii="Arial" w:hAnsi="Arial" w:cs="Arial"/>
          <w:sz w:val="21"/>
          <w:szCs w:val="21"/>
          <w:lang w:val="en-GB"/>
        </w:rPr>
        <w:t>218.</w:t>
      </w:r>
    </w:p>
    <w:p w14:paraId="768D3D01" w14:textId="7AD8F213" w:rsidR="00DE33B1" w:rsidRPr="004954B0" w:rsidRDefault="00DE33B1" w:rsidP="00123068">
      <w:pPr>
        <w:pStyle w:val="NormalWeb"/>
        <w:ind w:left="480" w:hanging="480"/>
        <w:jc w:val="both"/>
        <w:rPr>
          <w:rFonts w:ascii="Arial" w:hAnsi="Arial" w:cs="Arial"/>
          <w:sz w:val="21"/>
          <w:szCs w:val="21"/>
          <w:lang w:val="en-GB"/>
        </w:rPr>
      </w:pPr>
      <w:r w:rsidRPr="004954B0">
        <w:rPr>
          <w:rFonts w:ascii="Arial" w:hAnsi="Arial" w:cs="Arial"/>
          <w:sz w:val="21"/>
          <w:szCs w:val="21"/>
          <w:lang w:val="en-GB"/>
        </w:rPr>
        <w:t xml:space="preserve">Bruhn, M. 2020. Can Wage Subsidies Boost Employment in the Wake of an Economic Crisis? Evidence from Mexico. </w:t>
      </w:r>
      <w:r w:rsidRPr="004954B0">
        <w:rPr>
          <w:rFonts w:ascii="Arial" w:hAnsi="Arial" w:cs="Arial"/>
          <w:i/>
          <w:iCs/>
          <w:sz w:val="21"/>
          <w:szCs w:val="21"/>
          <w:lang w:val="en-GB"/>
        </w:rPr>
        <w:t>Journal of Development Studies</w:t>
      </w:r>
      <w:r w:rsidRPr="004954B0">
        <w:rPr>
          <w:rFonts w:ascii="Arial" w:hAnsi="Arial" w:cs="Arial"/>
          <w:sz w:val="21"/>
          <w:szCs w:val="21"/>
          <w:lang w:val="en-GB"/>
        </w:rPr>
        <w:t xml:space="preserve"> (March). </w:t>
      </w:r>
      <w:hyperlink r:id="rId18" w:history="1">
        <w:r w:rsidR="00556AC1" w:rsidRPr="004954B0">
          <w:rPr>
            <w:rStyle w:val="Hyperlink"/>
            <w:rFonts w:ascii="Arial" w:hAnsi="Arial" w:cs="Arial"/>
            <w:sz w:val="21"/>
            <w:szCs w:val="21"/>
            <w:lang w:val="en-GB"/>
          </w:rPr>
          <w:t>https://doi.org/10.1080/00220388.2020.1715941</w:t>
        </w:r>
      </w:hyperlink>
      <w:r w:rsidR="00CC5663" w:rsidRPr="004954B0">
        <w:rPr>
          <w:rStyle w:val="Hyperlink"/>
          <w:rFonts w:ascii="Arial" w:hAnsi="Arial" w:cs="Arial"/>
          <w:sz w:val="21"/>
          <w:szCs w:val="21"/>
          <w:lang w:val="en-GB"/>
        </w:rPr>
        <w:t>.</w:t>
      </w:r>
    </w:p>
    <w:p w14:paraId="64C450C8" w14:textId="365D02DC" w:rsidR="00556AC1" w:rsidRPr="004954B0" w:rsidRDefault="00556AC1" w:rsidP="00123068">
      <w:pPr>
        <w:pStyle w:val="NormalWeb"/>
        <w:ind w:left="480" w:hanging="480"/>
        <w:jc w:val="both"/>
        <w:rPr>
          <w:rFonts w:ascii="Arial" w:hAnsi="Arial" w:cs="Arial"/>
          <w:sz w:val="21"/>
          <w:szCs w:val="21"/>
          <w:lang w:val="en-GB"/>
        </w:rPr>
      </w:pPr>
      <w:r w:rsidRPr="004954B0">
        <w:rPr>
          <w:rFonts w:ascii="Arial" w:hAnsi="Arial" w:cs="Arial"/>
          <w:sz w:val="21"/>
          <w:szCs w:val="21"/>
          <w:lang w:val="en-GB"/>
        </w:rPr>
        <w:t xml:space="preserve">Fatas, A., </w:t>
      </w:r>
      <w:r w:rsidR="00CC5663" w:rsidRPr="004954B0">
        <w:rPr>
          <w:rFonts w:ascii="Arial" w:hAnsi="Arial" w:cs="Arial"/>
          <w:sz w:val="21"/>
          <w:szCs w:val="21"/>
          <w:lang w:val="en-GB"/>
        </w:rPr>
        <w:t>and</w:t>
      </w:r>
      <w:r w:rsidRPr="004954B0">
        <w:rPr>
          <w:rFonts w:ascii="Arial" w:hAnsi="Arial" w:cs="Arial"/>
          <w:sz w:val="21"/>
          <w:szCs w:val="21"/>
          <w:lang w:val="en-GB"/>
        </w:rPr>
        <w:t xml:space="preserve"> I. Mihov. 2001. Government Size and Automatic Stabilizers: International and Intranational Evidence. </w:t>
      </w:r>
      <w:r w:rsidRPr="004954B0">
        <w:rPr>
          <w:rFonts w:ascii="Arial" w:hAnsi="Arial" w:cs="Arial"/>
          <w:i/>
          <w:iCs/>
          <w:sz w:val="21"/>
          <w:szCs w:val="21"/>
          <w:lang w:val="en-GB"/>
        </w:rPr>
        <w:t>Journal of International Economics</w:t>
      </w:r>
      <w:r w:rsidRPr="004954B0">
        <w:rPr>
          <w:rFonts w:ascii="Arial" w:hAnsi="Arial" w:cs="Arial"/>
          <w:sz w:val="21"/>
          <w:szCs w:val="21"/>
          <w:lang w:val="en-GB"/>
        </w:rPr>
        <w:t>, 55</w:t>
      </w:r>
      <w:r w:rsidR="00CC5663" w:rsidRPr="004954B0">
        <w:rPr>
          <w:rFonts w:ascii="Arial" w:hAnsi="Arial" w:cs="Arial"/>
          <w:sz w:val="21"/>
          <w:szCs w:val="21"/>
          <w:lang w:val="en-GB"/>
        </w:rPr>
        <w:t>(</w:t>
      </w:r>
      <w:r w:rsidRPr="004954B0">
        <w:rPr>
          <w:rFonts w:ascii="Arial" w:hAnsi="Arial" w:cs="Arial"/>
          <w:sz w:val="21"/>
          <w:szCs w:val="21"/>
          <w:lang w:val="en-GB"/>
        </w:rPr>
        <w:t>1</w:t>
      </w:r>
      <w:r w:rsidR="00CC5663" w:rsidRPr="004954B0">
        <w:rPr>
          <w:rFonts w:ascii="Arial" w:hAnsi="Arial" w:cs="Arial"/>
          <w:sz w:val="21"/>
          <w:szCs w:val="21"/>
          <w:lang w:val="en-GB"/>
        </w:rPr>
        <w:t>):</w:t>
      </w:r>
      <w:r w:rsidRPr="004954B0">
        <w:rPr>
          <w:rFonts w:ascii="Arial" w:hAnsi="Arial" w:cs="Arial"/>
          <w:sz w:val="21"/>
          <w:szCs w:val="21"/>
          <w:lang w:val="en-GB"/>
        </w:rPr>
        <w:t xml:space="preserve"> 3–28.</w:t>
      </w:r>
    </w:p>
    <w:p w14:paraId="236A4FDE" w14:textId="75F43251" w:rsidR="00DE33B1" w:rsidRPr="004954B0" w:rsidRDefault="00DE33B1" w:rsidP="00123068">
      <w:pPr>
        <w:pStyle w:val="NormalWeb"/>
        <w:ind w:left="480" w:hanging="480"/>
        <w:jc w:val="both"/>
        <w:rPr>
          <w:rFonts w:ascii="Arial" w:hAnsi="Arial" w:cs="Arial"/>
          <w:sz w:val="21"/>
          <w:szCs w:val="21"/>
          <w:lang w:val="en-GB"/>
        </w:rPr>
      </w:pPr>
      <w:r w:rsidRPr="004954B0">
        <w:rPr>
          <w:rFonts w:ascii="Arial" w:hAnsi="Arial" w:cs="Arial"/>
          <w:sz w:val="21"/>
          <w:szCs w:val="21"/>
          <w:lang w:val="en-GB"/>
        </w:rPr>
        <w:t>Fiszbein, A.</w:t>
      </w:r>
      <w:r w:rsidR="00CC5663" w:rsidRPr="004954B0">
        <w:rPr>
          <w:rFonts w:ascii="Arial" w:hAnsi="Arial" w:cs="Arial"/>
          <w:sz w:val="21"/>
          <w:szCs w:val="21"/>
          <w:lang w:val="en-GB"/>
        </w:rPr>
        <w:t xml:space="preserve"> and N. </w:t>
      </w:r>
      <w:r w:rsidRPr="004954B0">
        <w:rPr>
          <w:rFonts w:ascii="Arial" w:hAnsi="Arial" w:cs="Arial"/>
          <w:sz w:val="21"/>
          <w:szCs w:val="21"/>
          <w:lang w:val="en-GB"/>
        </w:rPr>
        <w:t>Schady</w:t>
      </w:r>
      <w:r w:rsidR="00CC5663" w:rsidRPr="004954B0">
        <w:rPr>
          <w:rFonts w:ascii="Arial" w:hAnsi="Arial" w:cs="Arial"/>
          <w:sz w:val="21"/>
          <w:szCs w:val="21"/>
          <w:lang w:val="en-GB"/>
        </w:rPr>
        <w:t xml:space="preserve">. </w:t>
      </w:r>
      <w:r w:rsidRPr="004954B0">
        <w:rPr>
          <w:rFonts w:ascii="Arial" w:hAnsi="Arial" w:cs="Arial"/>
          <w:sz w:val="21"/>
          <w:szCs w:val="21"/>
          <w:lang w:val="en-GB"/>
        </w:rPr>
        <w:t xml:space="preserve">2009. Conditional Cash Transfers: Reducing Present and Future Poverty. </w:t>
      </w:r>
      <w:r w:rsidR="00CC5663" w:rsidRPr="004954B0">
        <w:rPr>
          <w:rFonts w:ascii="Arial" w:hAnsi="Arial" w:cs="Arial"/>
          <w:sz w:val="21"/>
          <w:szCs w:val="21"/>
          <w:lang w:val="en-GB"/>
        </w:rPr>
        <w:t xml:space="preserve">A World Bank Policy Research Report. </w:t>
      </w:r>
      <w:r w:rsidRPr="004954B0">
        <w:rPr>
          <w:rFonts w:ascii="Arial" w:hAnsi="Arial" w:cs="Arial"/>
          <w:sz w:val="21"/>
          <w:szCs w:val="21"/>
          <w:lang w:val="en-GB"/>
        </w:rPr>
        <w:t>Washington, DC</w:t>
      </w:r>
      <w:r w:rsidR="00CC5663" w:rsidRPr="004954B0">
        <w:rPr>
          <w:rFonts w:ascii="Arial" w:hAnsi="Arial" w:cs="Arial"/>
          <w:sz w:val="21"/>
          <w:szCs w:val="21"/>
          <w:lang w:val="en-GB"/>
        </w:rPr>
        <w:t>: World Bank.</w:t>
      </w:r>
    </w:p>
    <w:p w14:paraId="2EA28382" w14:textId="445637E6" w:rsidR="00BD1401" w:rsidRPr="004954B0" w:rsidRDefault="00BD1401" w:rsidP="00123068">
      <w:pPr>
        <w:pStyle w:val="NormalWeb"/>
        <w:ind w:left="480" w:hanging="480"/>
        <w:jc w:val="both"/>
        <w:rPr>
          <w:rFonts w:ascii="Arial" w:hAnsi="Arial" w:cs="Arial"/>
          <w:sz w:val="21"/>
          <w:szCs w:val="21"/>
          <w:lang w:val="en-GB"/>
        </w:rPr>
      </w:pPr>
      <w:r w:rsidRPr="004954B0">
        <w:rPr>
          <w:rFonts w:ascii="Arial" w:hAnsi="Arial" w:cs="Arial"/>
          <w:sz w:val="21"/>
          <w:szCs w:val="21"/>
          <w:lang w:val="en-GB"/>
        </w:rPr>
        <w:t xml:space="preserve">Fong MW, </w:t>
      </w:r>
      <w:r w:rsidR="007677F7" w:rsidRPr="004954B0">
        <w:rPr>
          <w:rFonts w:ascii="Arial" w:hAnsi="Arial" w:cs="Arial"/>
          <w:sz w:val="21"/>
          <w:szCs w:val="21"/>
          <w:lang w:val="en-GB"/>
        </w:rPr>
        <w:t xml:space="preserve">H. </w:t>
      </w:r>
      <w:r w:rsidRPr="004954B0">
        <w:rPr>
          <w:rFonts w:ascii="Arial" w:hAnsi="Arial" w:cs="Arial"/>
          <w:sz w:val="21"/>
          <w:szCs w:val="21"/>
          <w:lang w:val="en-GB"/>
        </w:rPr>
        <w:t>Gao</w:t>
      </w:r>
      <w:r w:rsidR="007677F7" w:rsidRPr="004954B0">
        <w:rPr>
          <w:rFonts w:ascii="Arial" w:hAnsi="Arial" w:cs="Arial"/>
          <w:sz w:val="21"/>
          <w:szCs w:val="21"/>
          <w:lang w:val="en-GB"/>
        </w:rPr>
        <w:t>,</w:t>
      </w:r>
      <w:r w:rsidRPr="004954B0">
        <w:rPr>
          <w:rFonts w:ascii="Arial" w:hAnsi="Arial" w:cs="Arial"/>
          <w:sz w:val="21"/>
          <w:szCs w:val="21"/>
          <w:lang w:val="en-GB"/>
        </w:rPr>
        <w:t xml:space="preserve"> </w:t>
      </w:r>
      <w:r w:rsidR="007677F7" w:rsidRPr="004954B0">
        <w:rPr>
          <w:rFonts w:ascii="Arial" w:hAnsi="Arial" w:cs="Arial"/>
          <w:sz w:val="21"/>
          <w:szCs w:val="21"/>
          <w:lang w:val="en-GB"/>
        </w:rPr>
        <w:t xml:space="preserve">JY </w:t>
      </w:r>
      <w:proofErr w:type="gramStart"/>
      <w:r w:rsidRPr="004954B0">
        <w:rPr>
          <w:rFonts w:ascii="Arial" w:hAnsi="Arial" w:cs="Arial"/>
          <w:sz w:val="21"/>
          <w:szCs w:val="21"/>
          <w:lang w:val="en-GB"/>
        </w:rPr>
        <w:t xml:space="preserve">Wong </w:t>
      </w:r>
      <w:r w:rsidR="007677F7" w:rsidRPr="004954B0">
        <w:rPr>
          <w:rFonts w:ascii="Arial" w:hAnsi="Arial" w:cs="Arial"/>
          <w:sz w:val="21"/>
          <w:szCs w:val="21"/>
          <w:lang w:val="en-GB"/>
        </w:rPr>
        <w:t>,</w:t>
      </w:r>
      <w:proofErr w:type="gramEnd"/>
      <w:r w:rsidR="007677F7" w:rsidRPr="004954B0">
        <w:rPr>
          <w:rFonts w:ascii="Arial" w:hAnsi="Arial" w:cs="Arial"/>
          <w:sz w:val="21"/>
          <w:szCs w:val="21"/>
          <w:lang w:val="en-GB"/>
        </w:rPr>
        <w:t xml:space="preserve"> J. </w:t>
      </w:r>
      <w:r w:rsidRPr="004954B0">
        <w:rPr>
          <w:rFonts w:ascii="Arial" w:hAnsi="Arial" w:cs="Arial"/>
          <w:sz w:val="21"/>
          <w:szCs w:val="21"/>
          <w:lang w:val="en-GB"/>
        </w:rPr>
        <w:t xml:space="preserve">Xiao, </w:t>
      </w:r>
      <w:r w:rsidR="007677F7" w:rsidRPr="004954B0">
        <w:rPr>
          <w:rFonts w:ascii="Arial" w:hAnsi="Arial" w:cs="Arial"/>
          <w:sz w:val="21"/>
          <w:szCs w:val="21"/>
          <w:lang w:val="en-GB"/>
        </w:rPr>
        <w:t xml:space="preserve">EYC </w:t>
      </w:r>
      <w:r w:rsidRPr="004954B0">
        <w:rPr>
          <w:rFonts w:ascii="Arial" w:hAnsi="Arial" w:cs="Arial"/>
          <w:sz w:val="21"/>
          <w:szCs w:val="21"/>
          <w:lang w:val="en-GB"/>
        </w:rPr>
        <w:t>Shiu</w:t>
      </w:r>
      <w:r w:rsidR="007677F7" w:rsidRPr="004954B0">
        <w:rPr>
          <w:rFonts w:ascii="Arial" w:hAnsi="Arial" w:cs="Arial"/>
          <w:sz w:val="21"/>
          <w:szCs w:val="21"/>
          <w:lang w:val="en-GB"/>
        </w:rPr>
        <w:t xml:space="preserve">, S. </w:t>
      </w:r>
      <w:r w:rsidRPr="004954B0">
        <w:rPr>
          <w:rFonts w:ascii="Arial" w:hAnsi="Arial" w:cs="Arial"/>
          <w:sz w:val="21"/>
          <w:szCs w:val="21"/>
          <w:lang w:val="en-GB"/>
        </w:rPr>
        <w:t>Ryu</w:t>
      </w:r>
      <w:r w:rsidR="007677F7" w:rsidRPr="004954B0">
        <w:rPr>
          <w:rFonts w:ascii="Arial" w:hAnsi="Arial" w:cs="Arial"/>
          <w:sz w:val="21"/>
          <w:szCs w:val="21"/>
          <w:lang w:val="en-GB"/>
        </w:rPr>
        <w:t>,</w:t>
      </w:r>
      <w:r w:rsidRPr="004954B0">
        <w:rPr>
          <w:rFonts w:ascii="Arial" w:hAnsi="Arial" w:cs="Arial"/>
          <w:sz w:val="21"/>
          <w:szCs w:val="21"/>
          <w:lang w:val="en-GB"/>
        </w:rPr>
        <w:t xml:space="preserve"> et al. 2020. Nonpharmaceutical measures for pandemic influenza in nonhealthcare settings—social distancing measures. </w:t>
      </w:r>
      <w:r w:rsidRPr="004954B0">
        <w:rPr>
          <w:rFonts w:ascii="Arial" w:hAnsi="Arial" w:cs="Arial"/>
          <w:i/>
          <w:iCs/>
          <w:sz w:val="21"/>
          <w:szCs w:val="21"/>
          <w:lang w:val="en-GB"/>
        </w:rPr>
        <w:t>Emerg Infect Dis.</w:t>
      </w:r>
      <w:r w:rsidRPr="004954B0">
        <w:rPr>
          <w:rFonts w:ascii="Arial" w:hAnsi="Arial" w:cs="Arial"/>
          <w:sz w:val="21"/>
          <w:szCs w:val="21"/>
          <w:lang w:val="en-GB"/>
        </w:rPr>
        <w:t xml:space="preserve"> </w:t>
      </w:r>
      <w:r w:rsidR="007677F7" w:rsidRPr="004954B0">
        <w:rPr>
          <w:rFonts w:ascii="Arial" w:hAnsi="Arial" w:cs="Arial"/>
          <w:sz w:val="21"/>
          <w:szCs w:val="21"/>
          <w:lang w:val="en-GB"/>
        </w:rPr>
        <w:t>(</w:t>
      </w:r>
      <w:r w:rsidRPr="004954B0">
        <w:rPr>
          <w:rFonts w:ascii="Arial" w:hAnsi="Arial" w:cs="Arial"/>
          <w:sz w:val="21"/>
          <w:szCs w:val="21"/>
          <w:lang w:val="en-GB"/>
        </w:rPr>
        <w:t>May</w:t>
      </w:r>
      <w:r w:rsidR="007677F7" w:rsidRPr="004954B0">
        <w:rPr>
          <w:rFonts w:ascii="Arial" w:hAnsi="Arial" w:cs="Arial"/>
          <w:sz w:val="21"/>
          <w:szCs w:val="21"/>
          <w:lang w:val="en-GB"/>
        </w:rPr>
        <w:t>)</w:t>
      </w:r>
      <w:r w:rsidRPr="004954B0">
        <w:rPr>
          <w:rFonts w:ascii="Arial" w:hAnsi="Arial" w:cs="Arial"/>
          <w:sz w:val="21"/>
          <w:szCs w:val="21"/>
          <w:lang w:val="en-GB"/>
        </w:rPr>
        <w:t>. </w:t>
      </w:r>
      <w:hyperlink r:id="rId19" w:history="1">
        <w:r w:rsidRPr="004954B0">
          <w:rPr>
            <w:rFonts w:ascii="Arial" w:hAnsi="Arial" w:cs="Arial"/>
            <w:sz w:val="21"/>
            <w:szCs w:val="21"/>
            <w:lang w:val="en-GB"/>
          </w:rPr>
          <w:t>https://doi.org/10.3201/eid2605.190995</w:t>
        </w:r>
      </w:hyperlink>
      <w:r w:rsidR="007677F7" w:rsidRPr="004954B0">
        <w:rPr>
          <w:rFonts w:ascii="Arial" w:hAnsi="Arial" w:cs="Arial"/>
          <w:sz w:val="21"/>
          <w:szCs w:val="21"/>
          <w:lang w:val="en-GB"/>
        </w:rPr>
        <w:t>.</w:t>
      </w:r>
    </w:p>
    <w:p w14:paraId="6CE7422A" w14:textId="3884472B" w:rsidR="00BD1401" w:rsidRPr="004954B0" w:rsidRDefault="00BD1401" w:rsidP="00D50752">
      <w:pPr>
        <w:pStyle w:val="NormalWeb"/>
        <w:ind w:left="480" w:hanging="480"/>
        <w:jc w:val="both"/>
        <w:rPr>
          <w:rFonts w:ascii="Arial" w:hAnsi="Arial" w:cs="Arial"/>
          <w:sz w:val="21"/>
          <w:szCs w:val="21"/>
          <w:lang w:val="en-GB"/>
        </w:rPr>
      </w:pPr>
      <w:r w:rsidRPr="004954B0">
        <w:rPr>
          <w:rFonts w:ascii="Arial" w:hAnsi="Arial" w:cs="Arial"/>
          <w:sz w:val="21"/>
          <w:szCs w:val="21"/>
          <w:lang w:val="en-GB"/>
        </w:rPr>
        <w:t xml:space="preserve">Gajendran, R. and </w:t>
      </w:r>
      <w:r w:rsidR="007677F7" w:rsidRPr="004954B0">
        <w:rPr>
          <w:rFonts w:ascii="Arial" w:hAnsi="Arial" w:cs="Arial"/>
          <w:sz w:val="21"/>
          <w:szCs w:val="21"/>
          <w:lang w:val="en-GB"/>
        </w:rPr>
        <w:t xml:space="preserve">D. </w:t>
      </w:r>
      <w:r w:rsidRPr="004954B0">
        <w:rPr>
          <w:rFonts w:ascii="Arial" w:hAnsi="Arial" w:cs="Arial"/>
          <w:sz w:val="21"/>
          <w:szCs w:val="21"/>
          <w:lang w:val="en-GB"/>
        </w:rPr>
        <w:t>Harrison. 2007. The Good, the Bad, and the Unknown About Telecommuting: Meta-Analysis of Psychological Mediators and Individual Consequences</w:t>
      </w:r>
      <w:r w:rsidR="007677F7" w:rsidRPr="004954B0">
        <w:rPr>
          <w:rFonts w:ascii="Arial" w:hAnsi="Arial" w:cs="Arial"/>
          <w:sz w:val="21"/>
          <w:szCs w:val="21"/>
          <w:lang w:val="en-GB"/>
        </w:rPr>
        <w:t>.</w:t>
      </w:r>
      <w:r w:rsidRPr="004954B0">
        <w:rPr>
          <w:rFonts w:ascii="Arial" w:hAnsi="Arial" w:cs="Arial"/>
          <w:sz w:val="21"/>
          <w:szCs w:val="21"/>
          <w:lang w:val="en-GB"/>
        </w:rPr>
        <w:t xml:space="preserve"> </w:t>
      </w:r>
      <w:r w:rsidRPr="004954B0">
        <w:rPr>
          <w:rFonts w:ascii="Arial" w:hAnsi="Arial" w:cs="Arial"/>
          <w:i/>
          <w:iCs/>
          <w:sz w:val="21"/>
          <w:szCs w:val="21"/>
          <w:lang w:val="en-GB"/>
        </w:rPr>
        <w:t>Journal of Applied Psychology</w:t>
      </w:r>
      <w:r w:rsidR="007677F7" w:rsidRPr="004954B0">
        <w:rPr>
          <w:rFonts w:ascii="Arial" w:hAnsi="Arial" w:cs="Arial"/>
          <w:sz w:val="21"/>
          <w:szCs w:val="21"/>
          <w:lang w:val="en-GB"/>
        </w:rPr>
        <w:t xml:space="preserve">, </w:t>
      </w:r>
      <w:r w:rsidRPr="004954B0">
        <w:rPr>
          <w:rFonts w:ascii="Arial" w:hAnsi="Arial" w:cs="Arial"/>
          <w:sz w:val="21"/>
          <w:szCs w:val="21"/>
          <w:lang w:val="en-GB"/>
        </w:rPr>
        <w:t>92</w:t>
      </w:r>
      <w:r w:rsidR="007677F7" w:rsidRPr="004954B0">
        <w:rPr>
          <w:rFonts w:ascii="Arial" w:hAnsi="Arial" w:cs="Arial"/>
          <w:sz w:val="21"/>
          <w:szCs w:val="21"/>
          <w:lang w:val="en-GB"/>
        </w:rPr>
        <w:t xml:space="preserve">(6): </w:t>
      </w:r>
      <w:r w:rsidRPr="004954B0">
        <w:rPr>
          <w:rFonts w:ascii="Arial" w:hAnsi="Arial" w:cs="Arial"/>
          <w:sz w:val="21"/>
          <w:szCs w:val="21"/>
          <w:lang w:val="en-GB"/>
        </w:rPr>
        <w:t>1524</w:t>
      </w:r>
      <w:r w:rsidR="007677F7" w:rsidRPr="004954B0">
        <w:rPr>
          <w:rFonts w:ascii="Arial" w:hAnsi="Arial" w:cs="Arial"/>
          <w:sz w:val="21"/>
          <w:szCs w:val="21"/>
          <w:lang w:val="en-GB"/>
        </w:rPr>
        <w:t>–</w:t>
      </w:r>
      <w:r w:rsidRPr="004954B0">
        <w:rPr>
          <w:rFonts w:ascii="Arial" w:hAnsi="Arial" w:cs="Arial"/>
          <w:sz w:val="21"/>
          <w:szCs w:val="21"/>
          <w:lang w:val="en-GB"/>
        </w:rPr>
        <w:t>41.</w:t>
      </w:r>
    </w:p>
    <w:p w14:paraId="4086BEE8" w14:textId="5951CB0C" w:rsidR="00DE33B1" w:rsidRPr="004954B0" w:rsidRDefault="00DE33B1" w:rsidP="00123068">
      <w:pPr>
        <w:pStyle w:val="NormalWeb"/>
        <w:ind w:left="480" w:hanging="480"/>
        <w:jc w:val="both"/>
        <w:rPr>
          <w:rFonts w:ascii="Arial" w:hAnsi="Arial" w:cs="Arial"/>
          <w:sz w:val="21"/>
          <w:szCs w:val="21"/>
          <w:lang w:val="en-GB"/>
        </w:rPr>
      </w:pPr>
      <w:r w:rsidRPr="004954B0">
        <w:rPr>
          <w:rFonts w:ascii="Arial" w:hAnsi="Arial" w:cs="Arial"/>
          <w:sz w:val="21"/>
          <w:szCs w:val="21"/>
          <w:lang w:val="en-GB"/>
        </w:rPr>
        <w:t xml:space="preserve">Groh, M., </w:t>
      </w:r>
      <w:r w:rsidR="00D7178E" w:rsidRPr="004954B0">
        <w:rPr>
          <w:rFonts w:ascii="Arial" w:hAnsi="Arial" w:cs="Arial"/>
          <w:sz w:val="21"/>
          <w:szCs w:val="21"/>
          <w:lang w:val="en-GB"/>
        </w:rPr>
        <w:t xml:space="preserve">N. </w:t>
      </w:r>
      <w:r w:rsidRPr="004954B0">
        <w:rPr>
          <w:rFonts w:ascii="Arial" w:hAnsi="Arial" w:cs="Arial"/>
          <w:sz w:val="21"/>
          <w:szCs w:val="21"/>
          <w:lang w:val="en-GB"/>
        </w:rPr>
        <w:t xml:space="preserve">Krishnan, </w:t>
      </w:r>
      <w:r w:rsidR="00D7178E" w:rsidRPr="004954B0">
        <w:rPr>
          <w:rFonts w:ascii="Arial" w:hAnsi="Arial" w:cs="Arial"/>
          <w:sz w:val="21"/>
          <w:szCs w:val="21"/>
          <w:lang w:val="en-GB"/>
        </w:rPr>
        <w:t xml:space="preserve">D. </w:t>
      </w:r>
      <w:r w:rsidRPr="004954B0">
        <w:rPr>
          <w:rFonts w:ascii="Arial" w:hAnsi="Arial" w:cs="Arial"/>
          <w:sz w:val="21"/>
          <w:szCs w:val="21"/>
          <w:lang w:val="en-GB"/>
        </w:rPr>
        <w:t xml:space="preserve">McKenzie, </w:t>
      </w:r>
      <w:r w:rsidR="00D7178E" w:rsidRPr="004954B0">
        <w:rPr>
          <w:rFonts w:ascii="Arial" w:hAnsi="Arial" w:cs="Arial"/>
          <w:sz w:val="21"/>
          <w:szCs w:val="21"/>
          <w:lang w:val="en-GB"/>
        </w:rPr>
        <w:t>and T.</w:t>
      </w:r>
      <w:r w:rsidRPr="004954B0">
        <w:rPr>
          <w:rFonts w:ascii="Arial" w:hAnsi="Arial" w:cs="Arial"/>
          <w:sz w:val="21"/>
          <w:szCs w:val="21"/>
          <w:lang w:val="en-GB"/>
        </w:rPr>
        <w:t xml:space="preserve"> Vishwanath</w:t>
      </w:r>
      <w:r w:rsidR="00D7178E" w:rsidRPr="004954B0">
        <w:rPr>
          <w:rFonts w:ascii="Arial" w:hAnsi="Arial" w:cs="Arial"/>
          <w:sz w:val="21"/>
          <w:szCs w:val="21"/>
          <w:lang w:val="en-GB"/>
        </w:rPr>
        <w:t xml:space="preserve">. </w:t>
      </w:r>
      <w:r w:rsidRPr="004954B0">
        <w:rPr>
          <w:rFonts w:ascii="Arial" w:hAnsi="Arial" w:cs="Arial"/>
          <w:sz w:val="21"/>
          <w:szCs w:val="21"/>
          <w:lang w:val="en-GB"/>
        </w:rPr>
        <w:t xml:space="preserve">2016. Do wage subsidies provide a stepping-stone to employment for recent college graduates? Evidence from a randomized experiment in Jordan. </w:t>
      </w:r>
      <w:r w:rsidRPr="004954B0">
        <w:rPr>
          <w:rFonts w:ascii="Arial" w:hAnsi="Arial" w:cs="Arial"/>
          <w:i/>
          <w:iCs/>
          <w:sz w:val="21"/>
          <w:szCs w:val="21"/>
          <w:lang w:val="en-GB"/>
        </w:rPr>
        <w:t>Review of Economics and Statistics</w:t>
      </w:r>
      <w:r w:rsidRPr="004954B0">
        <w:rPr>
          <w:rFonts w:ascii="Arial" w:hAnsi="Arial" w:cs="Arial"/>
          <w:sz w:val="21"/>
          <w:szCs w:val="21"/>
          <w:lang w:val="en-GB"/>
        </w:rPr>
        <w:t>, 98(3)</w:t>
      </w:r>
      <w:r w:rsidR="00D7178E" w:rsidRPr="004954B0">
        <w:rPr>
          <w:rFonts w:ascii="Arial" w:hAnsi="Arial" w:cs="Arial"/>
          <w:sz w:val="21"/>
          <w:szCs w:val="21"/>
          <w:lang w:val="en-GB"/>
        </w:rPr>
        <w:t>:</w:t>
      </w:r>
      <w:r w:rsidRPr="004954B0">
        <w:rPr>
          <w:rFonts w:ascii="Arial" w:hAnsi="Arial" w:cs="Arial"/>
          <w:sz w:val="21"/>
          <w:szCs w:val="21"/>
          <w:lang w:val="en-GB"/>
        </w:rPr>
        <w:t xml:space="preserve"> 488–502. https://doi.org/10.1162/REST_a_00584</w:t>
      </w:r>
      <w:r w:rsidR="00D7178E" w:rsidRPr="004954B0">
        <w:rPr>
          <w:rFonts w:ascii="Arial" w:hAnsi="Arial" w:cs="Arial"/>
          <w:sz w:val="21"/>
          <w:szCs w:val="21"/>
          <w:lang w:val="en-GB"/>
        </w:rPr>
        <w:t>.</w:t>
      </w:r>
    </w:p>
    <w:p w14:paraId="5B2AD4EF" w14:textId="6ED19A17" w:rsidR="00251306" w:rsidRPr="004954B0" w:rsidRDefault="00251306" w:rsidP="00123068">
      <w:pPr>
        <w:pStyle w:val="NormalWeb"/>
        <w:ind w:left="480" w:hanging="480"/>
        <w:jc w:val="both"/>
        <w:rPr>
          <w:rFonts w:ascii="Arial" w:hAnsi="Arial" w:cs="Arial"/>
          <w:sz w:val="21"/>
          <w:szCs w:val="21"/>
          <w:lang w:val="en-GB"/>
        </w:rPr>
      </w:pPr>
      <w:r w:rsidRPr="004954B0">
        <w:rPr>
          <w:rFonts w:ascii="Arial" w:hAnsi="Arial" w:cs="Arial"/>
          <w:sz w:val="21"/>
          <w:szCs w:val="21"/>
          <w:lang w:val="en-GB"/>
        </w:rPr>
        <w:t>Hopman J</w:t>
      </w:r>
      <w:r w:rsidR="00D7178E" w:rsidRPr="004954B0">
        <w:rPr>
          <w:rFonts w:ascii="Arial" w:hAnsi="Arial" w:cs="Arial"/>
          <w:sz w:val="21"/>
          <w:szCs w:val="21"/>
          <w:lang w:val="en-GB"/>
        </w:rPr>
        <w:t xml:space="preserve">., B. </w:t>
      </w:r>
      <w:r w:rsidRPr="004954B0">
        <w:rPr>
          <w:rFonts w:ascii="Arial" w:hAnsi="Arial" w:cs="Arial"/>
          <w:sz w:val="21"/>
          <w:szCs w:val="21"/>
          <w:lang w:val="en-GB"/>
        </w:rPr>
        <w:t>Allegranzi,</w:t>
      </w:r>
      <w:r w:rsidR="00D7178E" w:rsidRPr="004954B0">
        <w:rPr>
          <w:rFonts w:ascii="Arial" w:hAnsi="Arial" w:cs="Arial"/>
          <w:sz w:val="21"/>
          <w:szCs w:val="21"/>
          <w:lang w:val="en-GB"/>
        </w:rPr>
        <w:t xml:space="preserve"> and S. </w:t>
      </w:r>
      <w:r w:rsidRPr="004954B0">
        <w:rPr>
          <w:rFonts w:ascii="Arial" w:hAnsi="Arial" w:cs="Arial"/>
          <w:sz w:val="21"/>
          <w:szCs w:val="21"/>
          <w:lang w:val="en-GB"/>
        </w:rPr>
        <w:t xml:space="preserve">Mehtar. </w:t>
      </w:r>
      <w:r w:rsidR="0031081C" w:rsidRPr="004954B0">
        <w:rPr>
          <w:rFonts w:ascii="Arial" w:hAnsi="Arial" w:cs="Arial"/>
          <w:sz w:val="21"/>
          <w:szCs w:val="21"/>
          <w:lang w:val="en-GB"/>
        </w:rPr>
        <w:t xml:space="preserve">2020. </w:t>
      </w:r>
      <w:r w:rsidRPr="004954B0">
        <w:rPr>
          <w:rFonts w:ascii="Arial" w:hAnsi="Arial" w:cs="Arial"/>
          <w:sz w:val="21"/>
          <w:szCs w:val="21"/>
          <w:lang w:val="en-GB"/>
        </w:rPr>
        <w:t>Managing COVID-19 in Low- and Middle-Income Countries. JAMA. doi:10.1001/jama.2020.4169</w:t>
      </w:r>
      <w:r w:rsidR="0031081C" w:rsidRPr="004954B0">
        <w:rPr>
          <w:rFonts w:ascii="Arial" w:hAnsi="Arial" w:cs="Arial"/>
          <w:sz w:val="21"/>
          <w:szCs w:val="21"/>
          <w:lang w:val="en-GB"/>
        </w:rPr>
        <w:t>.</w:t>
      </w:r>
    </w:p>
    <w:p w14:paraId="3E7FA18C" w14:textId="682CC3FD" w:rsidR="00CC5663" w:rsidRPr="004954B0" w:rsidRDefault="00CC5663" w:rsidP="00CC5663">
      <w:pPr>
        <w:pStyle w:val="NormalWeb"/>
        <w:ind w:left="480" w:hanging="480"/>
        <w:jc w:val="both"/>
        <w:rPr>
          <w:rFonts w:ascii="Arial" w:hAnsi="Arial" w:cs="Arial"/>
          <w:sz w:val="21"/>
          <w:szCs w:val="21"/>
          <w:lang w:val="en-GB"/>
        </w:rPr>
      </w:pPr>
      <w:r w:rsidRPr="004954B0">
        <w:rPr>
          <w:rFonts w:ascii="Arial" w:hAnsi="Arial" w:cs="Arial"/>
          <w:sz w:val="21"/>
          <w:szCs w:val="21"/>
          <w:lang w:val="en-GB"/>
        </w:rPr>
        <w:lastRenderedPageBreak/>
        <w:t>IMF (International Monetary Fund). 2015. Fiscal Monitor: Now is the Time: Fiscal Policies for Sustainable Growth. Washington, DC: IMF.</w:t>
      </w:r>
    </w:p>
    <w:p w14:paraId="75D8AF0C" w14:textId="32FC6A9D" w:rsidR="0092319A" w:rsidRPr="004954B0" w:rsidRDefault="0092319A" w:rsidP="0092319A">
      <w:pPr>
        <w:pStyle w:val="NormalWeb"/>
        <w:ind w:left="480" w:hanging="480"/>
        <w:jc w:val="both"/>
        <w:rPr>
          <w:rFonts w:ascii="Arial" w:hAnsi="Arial" w:cs="Arial"/>
          <w:sz w:val="21"/>
          <w:szCs w:val="21"/>
          <w:lang w:val="en-GB"/>
        </w:rPr>
      </w:pPr>
      <w:r w:rsidRPr="004954B0">
        <w:rPr>
          <w:rFonts w:ascii="Arial" w:hAnsi="Arial" w:cs="Arial"/>
          <w:sz w:val="21"/>
          <w:szCs w:val="21"/>
          <w:lang w:val="en-GB"/>
        </w:rPr>
        <w:t xml:space="preserve">López, J., S. Cummins, and A. Gasparrini. 2017. Interrupted time series regression for the evaluation of public health interventions: a tutorial. </w:t>
      </w:r>
      <w:r w:rsidRPr="004954B0">
        <w:rPr>
          <w:rFonts w:ascii="Arial" w:hAnsi="Arial" w:cs="Arial"/>
          <w:i/>
          <w:iCs/>
          <w:sz w:val="21"/>
          <w:szCs w:val="21"/>
          <w:lang w:val="en-GB"/>
        </w:rPr>
        <w:t>International Journal of Epidemiology</w:t>
      </w:r>
      <w:r w:rsidRPr="004954B0">
        <w:rPr>
          <w:rFonts w:ascii="Arial" w:hAnsi="Arial" w:cs="Arial"/>
          <w:sz w:val="21"/>
          <w:szCs w:val="21"/>
          <w:lang w:val="en-GB"/>
        </w:rPr>
        <w:t>, 348–55.</w:t>
      </w:r>
    </w:p>
    <w:p w14:paraId="63352968" w14:textId="3F00E27F" w:rsidR="00556AC1" w:rsidRPr="004954B0" w:rsidRDefault="00556AC1" w:rsidP="00123068">
      <w:pPr>
        <w:pStyle w:val="NormalWeb"/>
        <w:ind w:left="480" w:hanging="480"/>
        <w:jc w:val="both"/>
        <w:rPr>
          <w:rFonts w:ascii="Arial" w:hAnsi="Arial" w:cs="Arial"/>
          <w:sz w:val="21"/>
          <w:szCs w:val="21"/>
          <w:lang w:val="en-GB"/>
        </w:rPr>
      </w:pPr>
      <w:r w:rsidRPr="004954B0">
        <w:rPr>
          <w:rFonts w:ascii="Arial" w:hAnsi="Arial" w:cs="Arial"/>
          <w:sz w:val="21"/>
          <w:szCs w:val="21"/>
          <w:lang w:val="en-GB"/>
        </w:rPr>
        <w:t xml:space="preserve">Lucas, R. 1988. </w:t>
      </w:r>
      <w:r w:rsidRPr="004954B0">
        <w:rPr>
          <w:rFonts w:ascii="Arial" w:hAnsi="Arial" w:cs="Arial"/>
          <w:i/>
          <w:iCs/>
          <w:sz w:val="21"/>
          <w:szCs w:val="21"/>
          <w:lang w:val="en-GB"/>
        </w:rPr>
        <w:t>On the Mechanics of Economic Development</w:t>
      </w:r>
      <w:r w:rsidRPr="004954B0">
        <w:rPr>
          <w:rFonts w:ascii="Arial" w:hAnsi="Arial" w:cs="Arial"/>
          <w:sz w:val="21"/>
          <w:szCs w:val="21"/>
          <w:lang w:val="en-GB"/>
        </w:rPr>
        <w:t xml:space="preserve">. </w:t>
      </w:r>
      <w:r w:rsidRPr="004954B0">
        <w:rPr>
          <w:rFonts w:ascii="Arial" w:hAnsi="Arial" w:cs="Arial"/>
          <w:i/>
          <w:iCs/>
          <w:sz w:val="21"/>
          <w:szCs w:val="21"/>
          <w:lang w:val="en-GB"/>
        </w:rPr>
        <w:t>Journal of Monetary Economics</w:t>
      </w:r>
      <w:r w:rsidRPr="004954B0">
        <w:rPr>
          <w:rFonts w:ascii="Arial" w:hAnsi="Arial" w:cs="Arial"/>
          <w:sz w:val="21"/>
          <w:szCs w:val="21"/>
          <w:lang w:val="en-GB"/>
        </w:rPr>
        <w:t xml:space="preserve">, </w:t>
      </w:r>
      <w:r w:rsidR="0031081C" w:rsidRPr="004954B0">
        <w:rPr>
          <w:rFonts w:ascii="Arial" w:hAnsi="Arial" w:cs="Arial"/>
          <w:sz w:val="21"/>
          <w:szCs w:val="21"/>
          <w:lang w:val="en-GB"/>
        </w:rPr>
        <w:t>22:</w:t>
      </w:r>
      <w:r w:rsidRPr="004954B0">
        <w:rPr>
          <w:rFonts w:ascii="Arial" w:hAnsi="Arial" w:cs="Arial"/>
          <w:sz w:val="21"/>
          <w:szCs w:val="21"/>
          <w:lang w:val="en-GB"/>
        </w:rPr>
        <w:t xml:space="preserve"> 3</w:t>
      </w:r>
      <w:r w:rsidR="0031081C" w:rsidRPr="004954B0">
        <w:rPr>
          <w:rFonts w:ascii="Arial" w:hAnsi="Arial" w:cs="Arial"/>
          <w:sz w:val="21"/>
          <w:szCs w:val="21"/>
          <w:lang w:val="en-GB"/>
        </w:rPr>
        <w:t>–</w:t>
      </w:r>
      <w:r w:rsidRPr="004954B0">
        <w:rPr>
          <w:rFonts w:ascii="Arial" w:hAnsi="Arial" w:cs="Arial"/>
          <w:sz w:val="21"/>
          <w:szCs w:val="21"/>
          <w:lang w:val="en-GB"/>
        </w:rPr>
        <w:t>42.</w:t>
      </w:r>
    </w:p>
    <w:p w14:paraId="1537C0A6" w14:textId="2D979C70" w:rsidR="00251306" w:rsidRPr="004954B0" w:rsidRDefault="00251306" w:rsidP="00123068">
      <w:pPr>
        <w:pStyle w:val="NormalWeb"/>
        <w:ind w:left="480" w:hanging="480"/>
        <w:jc w:val="both"/>
        <w:rPr>
          <w:rFonts w:ascii="Arial" w:hAnsi="Arial" w:cs="Arial"/>
          <w:sz w:val="21"/>
          <w:szCs w:val="21"/>
          <w:lang w:val="en-GB"/>
        </w:rPr>
      </w:pPr>
      <w:r w:rsidRPr="004954B0">
        <w:rPr>
          <w:rFonts w:ascii="Arial" w:hAnsi="Arial" w:cs="Arial"/>
          <w:sz w:val="21"/>
          <w:szCs w:val="21"/>
          <w:lang w:val="en-GB"/>
        </w:rPr>
        <w:t>Madhav N</w:t>
      </w:r>
      <w:r w:rsidR="0031081C" w:rsidRPr="004954B0">
        <w:rPr>
          <w:rFonts w:ascii="Arial" w:hAnsi="Arial" w:cs="Arial"/>
          <w:sz w:val="21"/>
          <w:szCs w:val="21"/>
          <w:lang w:val="en-GB"/>
        </w:rPr>
        <w:t>.</w:t>
      </w:r>
      <w:r w:rsidRPr="004954B0">
        <w:rPr>
          <w:rFonts w:ascii="Arial" w:hAnsi="Arial" w:cs="Arial"/>
          <w:sz w:val="21"/>
          <w:szCs w:val="21"/>
          <w:lang w:val="en-GB"/>
        </w:rPr>
        <w:t xml:space="preserve">, </w:t>
      </w:r>
      <w:r w:rsidR="0031081C" w:rsidRPr="004954B0">
        <w:rPr>
          <w:rFonts w:ascii="Arial" w:hAnsi="Arial" w:cs="Arial"/>
          <w:sz w:val="21"/>
          <w:szCs w:val="21"/>
          <w:lang w:val="en-GB"/>
        </w:rPr>
        <w:t xml:space="preserve">B. </w:t>
      </w:r>
      <w:r w:rsidRPr="004954B0">
        <w:rPr>
          <w:rFonts w:ascii="Arial" w:hAnsi="Arial" w:cs="Arial"/>
          <w:sz w:val="21"/>
          <w:szCs w:val="21"/>
          <w:lang w:val="en-GB"/>
        </w:rPr>
        <w:t xml:space="preserve">Oppenheim, </w:t>
      </w:r>
      <w:r w:rsidR="0031081C" w:rsidRPr="004954B0">
        <w:rPr>
          <w:rFonts w:ascii="Arial" w:hAnsi="Arial" w:cs="Arial"/>
          <w:sz w:val="21"/>
          <w:szCs w:val="21"/>
          <w:lang w:val="en-GB"/>
        </w:rPr>
        <w:t xml:space="preserve">M. </w:t>
      </w:r>
      <w:r w:rsidRPr="004954B0">
        <w:rPr>
          <w:rFonts w:ascii="Arial" w:hAnsi="Arial" w:cs="Arial"/>
          <w:sz w:val="21"/>
          <w:szCs w:val="21"/>
          <w:lang w:val="en-GB"/>
        </w:rPr>
        <w:t xml:space="preserve">Galliva, </w:t>
      </w:r>
      <w:r w:rsidR="0031081C" w:rsidRPr="004954B0">
        <w:rPr>
          <w:rFonts w:ascii="Arial" w:hAnsi="Arial" w:cs="Arial"/>
          <w:sz w:val="21"/>
          <w:szCs w:val="21"/>
          <w:lang w:val="en-GB"/>
        </w:rPr>
        <w:t>P. Mulembakani, E. Rubin, and N. Wolfe. 2017.</w:t>
      </w:r>
      <w:r w:rsidRPr="004954B0">
        <w:rPr>
          <w:rFonts w:ascii="Arial" w:hAnsi="Arial" w:cs="Arial"/>
          <w:sz w:val="21"/>
          <w:szCs w:val="21"/>
          <w:lang w:val="en-GB"/>
        </w:rPr>
        <w:t xml:space="preserve"> Pandemics: Risks, Impacts, and Mitigation. In: </w:t>
      </w:r>
      <w:r w:rsidR="0031081C" w:rsidRPr="004954B0">
        <w:rPr>
          <w:rFonts w:ascii="Arial" w:hAnsi="Arial" w:cs="Arial"/>
          <w:sz w:val="21"/>
          <w:szCs w:val="21"/>
          <w:lang w:val="en-GB"/>
        </w:rPr>
        <w:t xml:space="preserve">DT. </w:t>
      </w:r>
      <w:r w:rsidRPr="004954B0">
        <w:rPr>
          <w:rFonts w:ascii="Arial" w:hAnsi="Arial" w:cs="Arial"/>
          <w:sz w:val="21"/>
          <w:szCs w:val="21"/>
          <w:lang w:val="en-GB"/>
        </w:rPr>
        <w:t>Jamison</w:t>
      </w:r>
      <w:r w:rsidR="0031081C" w:rsidRPr="004954B0">
        <w:rPr>
          <w:rFonts w:ascii="Arial" w:hAnsi="Arial" w:cs="Arial"/>
          <w:sz w:val="21"/>
          <w:szCs w:val="21"/>
          <w:lang w:val="en-GB"/>
        </w:rPr>
        <w:t xml:space="preserve">, H. </w:t>
      </w:r>
      <w:r w:rsidRPr="004954B0">
        <w:rPr>
          <w:rFonts w:ascii="Arial" w:hAnsi="Arial" w:cs="Arial"/>
          <w:sz w:val="21"/>
          <w:szCs w:val="21"/>
          <w:lang w:val="en-GB"/>
        </w:rPr>
        <w:t>Gelband</w:t>
      </w:r>
      <w:r w:rsidR="0031081C" w:rsidRPr="004954B0">
        <w:rPr>
          <w:rFonts w:ascii="Arial" w:hAnsi="Arial" w:cs="Arial"/>
          <w:sz w:val="21"/>
          <w:szCs w:val="21"/>
          <w:lang w:val="en-GB"/>
        </w:rPr>
        <w:t xml:space="preserve">, S. </w:t>
      </w:r>
      <w:r w:rsidRPr="004954B0">
        <w:rPr>
          <w:rFonts w:ascii="Arial" w:hAnsi="Arial" w:cs="Arial"/>
          <w:sz w:val="21"/>
          <w:szCs w:val="21"/>
          <w:lang w:val="en-GB"/>
        </w:rPr>
        <w:t>Horton, et al., editors</w:t>
      </w:r>
      <w:r w:rsidR="0031081C" w:rsidRPr="004954B0">
        <w:rPr>
          <w:rFonts w:ascii="Arial" w:hAnsi="Arial" w:cs="Arial"/>
          <w:sz w:val="21"/>
          <w:szCs w:val="21"/>
          <w:lang w:val="en-GB"/>
        </w:rPr>
        <w:t>,</w:t>
      </w:r>
      <w:r w:rsidRPr="004954B0">
        <w:rPr>
          <w:rFonts w:ascii="Arial" w:hAnsi="Arial" w:cs="Arial"/>
          <w:sz w:val="21"/>
          <w:szCs w:val="21"/>
          <w:lang w:val="en-GB"/>
        </w:rPr>
        <w:t xml:space="preserve"> Disease Control Priorities: Improving Health and Reducing Poverty. 3rd edition. Washington</w:t>
      </w:r>
      <w:r w:rsidR="0031081C" w:rsidRPr="004954B0">
        <w:rPr>
          <w:rFonts w:ascii="Arial" w:hAnsi="Arial" w:cs="Arial"/>
          <w:sz w:val="21"/>
          <w:szCs w:val="21"/>
          <w:lang w:val="en-GB"/>
        </w:rPr>
        <w:t xml:space="preserve">, </w:t>
      </w:r>
      <w:r w:rsidRPr="004954B0">
        <w:rPr>
          <w:rFonts w:ascii="Arial" w:hAnsi="Arial" w:cs="Arial"/>
          <w:sz w:val="21"/>
          <w:szCs w:val="21"/>
          <w:lang w:val="en-GB"/>
        </w:rPr>
        <w:t>DC: The International Bank for Reconstruction and Development</w:t>
      </w:r>
      <w:r w:rsidR="0031081C" w:rsidRPr="004954B0">
        <w:rPr>
          <w:rFonts w:ascii="Arial" w:hAnsi="Arial" w:cs="Arial"/>
          <w:sz w:val="21"/>
          <w:szCs w:val="21"/>
          <w:lang w:val="en-GB"/>
        </w:rPr>
        <w:t xml:space="preserve"> and</w:t>
      </w:r>
      <w:r w:rsidRPr="004954B0">
        <w:rPr>
          <w:rFonts w:ascii="Arial" w:hAnsi="Arial" w:cs="Arial"/>
          <w:sz w:val="21"/>
          <w:szCs w:val="21"/>
          <w:lang w:val="en-GB"/>
        </w:rPr>
        <w:t xml:space="preserve"> World Ban</w:t>
      </w:r>
      <w:r w:rsidR="0031081C" w:rsidRPr="004954B0">
        <w:rPr>
          <w:rFonts w:ascii="Arial" w:hAnsi="Arial" w:cs="Arial"/>
          <w:sz w:val="21"/>
          <w:szCs w:val="21"/>
          <w:lang w:val="en-GB"/>
        </w:rPr>
        <w:t xml:space="preserve">k. </w:t>
      </w:r>
      <w:r w:rsidRPr="004954B0">
        <w:rPr>
          <w:rFonts w:ascii="Arial" w:hAnsi="Arial" w:cs="Arial"/>
          <w:sz w:val="21"/>
          <w:szCs w:val="21"/>
          <w:lang w:val="en-GB"/>
        </w:rPr>
        <w:t>doi:10.1596/978-1-4648-0527-1/pt5.ch17</w:t>
      </w:r>
      <w:r w:rsidR="0031081C" w:rsidRPr="004954B0">
        <w:rPr>
          <w:rFonts w:ascii="Arial" w:hAnsi="Arial" w:cs="Arial"/>
          <w:sz w:val="21"/>
          <w:szCs w:val="21"/>
          <w:lang w:val="en-GB"/>
        </w:rPr>
        <w:t>.</w:t>
      </w:r>
    </w:p>
    <w:p w14:paraId="16E66265" w14:textId="2F4FD829" w:rsidR="00251306" w:rsidRPr="004B4126" w:rsidRDefault="00251306" w:rsidP="00FC009A">
      <w:pPr>
        <w:pStyle w:val="NormalWeb"/>
        <w:ind w:left="480" w:hanging="480"/>
        <w:jc w:val="both"/>
        <w:rPr>
          <w:rFonts w:ascii="Arial" w:hAnsi="Arial" w:cs="Arial"/>
          <w:sz w:val="21"/>
          <w:szCs w:val="21"/>
          <w:lang w:val="es-GT"/>
        </w:rPr>
      </w:pPr>
      <w:r w:rsidRPr="004954B0">
        <w:rPr>
          <w:rFonts w:ascii="Arial" w:hAnsi="Arial" w:cs="Arial"/>
          <w:sz w:val="21"/>
          <w:szCs w:val="21"/>
          <w:lang w:val="en-GB"/>
        </w:rPr>
        <w:t>Murthy</w:t>
      </w:r>
      <w:r w:rsidR="00FC009A" w:rsidRPr="004954B0">
        <w:rPr>
          <w:rFonts w:ascii="Arial" w:hAnsi="Arial" w:cs="Arial"/>
          <w:sz w:val="21"/>
          <w:szCs w:val="21"/>
          <w:lang w:val="en-GB"/>
        </w:rPr>
        <w:t xml:space="preserve">, </w:t>
      </w:r>
      <w:r w:rsidRPr="004954B0">
        <w:rPr>
          <w:rFonts w:ascii="Arial" w:hAnsi="Arial" w:cs="Arial"/>
          <w:sz w:val="21"/>
          <w:szCs w:val="21"/>
          <w:lang w:val="en-GB"/>
        </w:rPr>
        <w:t>S</w:t>
      </w:r>
      <w:r w:rsidR="0031081C" w:rsidRPr="004954B0">
        <w:rPr>
          <w:rFonts w:ascii="Arial" w:hAnsi="Arial" w:cs="Arial"/>
          <w:sz w:val="21"/>
          <w:szCs w:val="21"/>
          <w:lang w:val="en-GB"/>
        </w:rPr>
        <w:t>.</w:t>
      </w:r>
      <w:r w:rsidRPr="004954B0">
        <w:rPr>
          <w:rFonts w:ascii="Arial" w:hAnsi="Arial" w:cs="Arial"/>
          <w:sz w:val="21"/>
          <w:szCs w:val="21"/>
          <w:lang w:val="en-GB"/>
        </w:rPr>
        <w:t xml:space="preserve">, </w:t>
      </w:r>
      <w:r w:rsidR="0031081C" w:rsidRPr="004954B0">
        <w:rPr>
          <w:rFonts w:ascii="Arial" w:hAnsi="Arial" w:cs="Arial"/>
          <w:sz w:val="21"/>
          <w:szCs w:val="21"/>
          <w:lang w:val="en-GB"/>
        </w:rPr>
        <w:t xml:space="preserve">CD. </w:t>
      </w:r>
      <w:r w:rsidRPr="004954B0">
        <w:rPr>
          <w:rFonts w:ascii="Arial" w:hAnsi="Arial" w:cs="Arial"/>
          <w:sz w:val="21"/>
          <w:szCs w:val="21"/>
          <w:lang w:val="en-GB"/>
        </w:rPr>
        <w:t>Gomersall</w:t>
      </w:r>
      <w:r w:rsidR="0031081C" w:rsidRPr="004954B0">
        <w:rPr>
          <w:rFonts w:ascii="Arial" w:hAnsi="Arial" w:cs="Arial"/>
          <w:sz w:val="21"/>
          <w:szCs w:val="21"/>
          <w:lang w:val="en-GB"/>
        </w:rPr>
        <w:t xml:space="preserve">, and RA. </w:t>
      </w:r>
      <w:r w:rsidRPr="004954B0">
        <w:rPr>
          <w:rFonts w:ascii="Arial" w:hAnsi="Arial" w:cs="Arial"/>
          <w:sz w:val="21"/>
          <w:szCs w:val="21"/>
          <w:lang w:val="en-GB"/>
        </w:rPr>
        <w:t>Fowler.</w:t>
      </w:r>
      <w:r w:rsidR="0031081C" w:rsidRPr="004954B0">
        <w:rPr>
          <w:rFonts w:ascii="Arial" w:hAnsi="Arial" w:cs="Arial"/>
          <w:sz w:val="21"/>
          <w:szCs w:val="21"/>
          <w:lang w:val="en-GB"/>
        </w:rPr>
        <w:t xml:space="preserve"> 2020.</w:t>
      </w:r>
      <w:r w:rsidRPr="004954B0">
        <w:rPr>
          <w:rFonts w:ascii="Arial" w:hAnsi="Arial" w:cs="Arial"/>
          <w:sz w:val="21"/>
          <w:szCs w:val="21"/>
          <w:lang w:val="en-GB"/>
        </w:rPr>
        <w:t xml:space="preserve"> Care for Critically Ill Patients With COVID-19. </w:t>
      </w:r>
      <w:r w:rsidRPr="004B4126">
        <w:rPr>
          <w:rFonts w:ascii="Arial" w:hAnsi="Arial" w:cs="Arial"/>
          <w:i/>
          <w:iCs/>
          <w:sz w:val="21"/>
          <w:szCs w:val="21"/>
          <w:lang w:val="es-GT"/>
        </w:rPr>
        <w:t>JAMA.</w:t>
      </w:r>
      <w:r w:rsidRPr="004B4126">
        <w:rPr>
          <w:rFonts w:ascii="Arial" w:hAnsi="Arial" w:cs="Arial"/>
          <w:sz w:val="21"/>
          <w:szCs w:val="21"/>
          <w:lang w:val="es-GT"/>
        </w:rPr>
        <w:t>  doi:10.1001/jama.2020.3633</w:t>
      </w:r>
    </w:p>
    <w:p w14:paraId="1F59781D" w14:textId="5648AB43" w:rsidR="00251306" w:rsidRPr="004954B0" w:rsidRDefault="00251306" w:rsidP="00123068">
      <w:pPr>
        <w:pStyle w:val="NormalWeb"/>
        <w:ind w:left="480" w:hanging="480"/>
        <w:jc w:val="both"/>
        <w:rPr>
          <w:rFonts w:ascii="Arial" w:hAnsi="Arial" w:cs="Arial"/>
          <w:sz w:val="21"/>
          <w:szCs w:val="21"/>
          <w:lang w:val="en-GB"/>
        </w:rPr>
      </w:pPr>
      <w:r w:rsidRPr="004B4126">
        <w:rPr>
          <w:rFonts w:ascii="Arial" w:hAnsi="Arial" w:cs="Arial"/>
          <w:sz w:val="21"/>
          <w:szCs w:val="21"/>
          <w:lang w:val="es-GT"/>
        </w:rPr>
        <w:t>Nishiyama A</w:t>
      </w:r>
      <w:r w:rsidR="0031081C" w:rsidRPr="004B4126">
        <w:rPr>
          <w:rFonts w:ascii="Arial" w:hAnsi="Arial" w:cs="Arial"/>
          <w:sz w:val="21"/>
          <w:szCs w:val="21"/>
          <w:lang w:val="es-GT"/>
        </w:rPr>
        <w:t xml:space="preserve">., N. </w:t>
      </w:r>
      <w:r w:rsidRPr="004B4126">
        <w:rPr>
          <w:rFonts w:ascii="Arial" w:hAnsi="Arial" w:cs="Arial"/>
          <w:sz w:val="21"/>
          <w:szCs w:val="21"/>
          <w:lang w:val="es-GT"/>
        </w:rPr>
        <w:t xml:space="preserve">Wakasugi, </w:t>
      </w:r>
      <w:r w:rsidR="0031081C" w:rsidRPr="004B4126">
        <w:rPr>
          <w:rFonts w:ascii="Arial" w:hAnsi="Arial" w:cs="Arial"/>
          <w:sz w:val="21"/>
          <w:szCs w:val="21"/>
          <w:lang w:val="es-GT"/>
        </w:rPr>
        <w:t xml:space="preserve">T. </w:t>
      </w:r>
      <w:r w:rsidRPr="004B4126">
        <w:rPr>
          <w:rFonts w:ascii="Arial" w:hAnsi="Arial" w:cs="Arial"/>
          <w:sz w:val="21"/>
          <w:szCs w:val="21"/>
          <w:lang w:val="es-GT"/>
        </w:rPr>
        <w:t xml:space="preserve">Kirikae, </w:t>
      </w:r>
      <w:r w:rsidR="0031081C" w:rsidRPr="004B4126">
        <w:rPr>
          <w:rFonts w:ascii="Arial" w:hAnsi="Arial" w:cs="Arial"/>
          <w:sz w:val="21"/>
          <w:szCs w:val="21"/>
          <w:lang w:val="es-GT"/>
        </w:rPr>
        <w:t xml:space="preserve">T. </w:t>
      </w:r>
      <w:r w:rsidRPr="004B4126">
        <w:rPr>
          <w:rFonts w:ascii="Arial" w:hAnsi="Arial" w:cs="Arial"/>
          <w:sz w:val="21"/>
          <w:szCs w:val="21"/>
          <w:lang w:val="es-GT"/>
        </w:rPr>
        <w:t xml:space="preserve">Quy, </w:t>
      </w:r>
      <w:r w:rsidR="0031081C" w:rsidRPr="004B4126">
        <w:rPr>
          <w:rFonts w:ascii="Arial" w:hAnsi="Arial" w:cs="Arial"/>
          <w:sz w:val="21"/>
          <w:szCs w:val="21"/>
          <w:lang w:val="es-GT"/>
        </w:rPr>
        <w:t xml:space="preserve">LD </w:t>
      </w:r>
      <w:r w:rsidRPr="004B4126">
        <w:rPr>
          <w:rFonts w:ascii="Arial" w:hAnsi="Arial" w:cs="Arial"/>
          <w:sz w:val="21"/>
          <w:szCs w:val="21"/>
          <w:lang w:val="es-GT"/>
        </w:rPr>
        <w:t xml:space="preserve">Ha, </w:t>
      </w:r>
      <w:r w:rsidR="0031081C" w:rsidRPr="004B4126">
        <w:rPr>
          <w:rFonts w:ascii="Arial" w:hAnsi="Arial" w:cs="Arial"/>
          <w:sz w:val="21"/>
          <w:szCs w:val="21"/>
          <w:lang w:val="es-GT"/>
        </w:rPr>
        <w:t xml:space="preserve">VV </w:t>
      </w:r>
      <w:r w:rsidRPr="004B4126">
        <w:rPr>
          <w:rFonts w:ascii="Arial" w:hAnsi="Arial" w:cs="Arial"/>
          <w:sz w:val="21"/>
          <w:szCs w:val="21"/>
          <w:lang w:val="es-GT"/>
        </w:rPr>
        <w:t xml:space="preserve">Ban, et al. </w:t>
      </w:r>
      <w:r w:rsidR="0031081C" w:rsidRPr="004B4126">
        <w:rPr>
          <w:rFonts w:ascii="Arial" w:hAnsi="Arial" w:cs="Arial"/>
          <w:sz w:val="21"/>
          <w:szCs w:val="21"/>
          <w:lang w:val="es-GT"/>
        </w:rPr>
        <w:t xml:space="preserve">2018. </w:t>
      </w:r>
      <w:r w:rsidRPr="004954B0">
        <w:rPr>
          <w:rFonts w:ascii="Arial" w:hAnsi="Arial" w:cs="Arial"/>
          <w:sz w:val="21"/>
          <w:szCs w:val="21"/>
          <w:lang w:val="en-GB"/>
        </w:rPr>
        <w:t xml:space="preserve">Risk factors for SARS infection within hospitals in Hanoi, Vietnam. </w:t>
      </w:r>
      <w:r w:rsidRPr="004954B0">
        <w:rPr>
          <w:rFonts w:ascii="Arial" w:hAnsi="Arial" w:cs="Arial"/>
          <w:i/>
          <w:iCs/>
          <w:sz w:val="21"/>
          <w:szCs w:val="21"/>
          <w:lang w:val="en-GB"/>
        </w:rPr>
        <w:t>Jpn J Infect Dis</w:t>
      </w:r>
      <w:r w:rsidR="0031081C" w:rsidRPr="004954B0">
        <w:rPr>
          <w:rFonts w:ascii="Arial" w:hAnsi="Arial" w:cs="Arial"/>
          <w:sz w:val="21"/>
          <w:szCs w:val="21"/>
          <w:lang w:val="en-GB"/>
        </w:rPr>
        <w:t>.,</w:t>
      </w:r>
      <w:r w:rsidRPr="004954B0">
        <w:rPr>
          <w:rFonts w:ascii="Arial" w:hAnsi="Arial" w:cs="Arial"/>
          <w:sz w:val="21"/>
          <w:szCs w:val="21"/>
          <w:lang w:val="en-GB"/>
        </w:rPr>
        <w:t xml:space="preserve"> 61(5): 388–90.  </w:t>
      </w:r>
    </w:p>
    <w:p w14:paraId="279E7625" w14:textId="147F0A4E" w:rsidR="00D50752" w:rsidRPr="004954B0" w:rsidRDefault="00D50752" w:rsidP="00D50752">
      <w:pPr>
        <w:pStyle w:val="NormalWeb"/>
        <w:ind w:left="480" w:hanging="480"/>
        <w:jc w:val="both"/>
        <w:rPr>
          <w:rFonts w:ascii="Arial" w:hAnsi="Arial" w:cs="Arial"/>
          <w:sz w:val="21"/>
          <w:szCs w:val="21"/>
          <w:lang w:val="en-GB"/>
        </w:rPr>
      </w:pPr>
      <w:r w:rsidRPr="004954B0">
        <w:rPr>
          <w:rFonts w:ascii="Arial" w:hAnsi="Arial" w:cs="Arial"/>
          <w:sz w:val="21"/>
          <w:szCs w:val="21"/>
          <w:lang w:val="en-GB"/>
        </w:rPr>
        <w:t xml:space="preserve">Pega, F., </w:t>
      </w:r>
      <w:r w:rsidR="00FB0440" w:rsidRPr="004954B0">
        <w:rPr>
          <w:rFonts w:ascii="Arial" w:hAnsi="Arial" w:cs="Arial"/>
          <w:sz w:val="21"/>
          <w:szCs w:val="21"/>
          <w:lang w:val="en-GB"/>
        </w:rPr>
        <w:t xml:space="preserve">S. Y. </w:t>
      </w:r>
      <w:r w:rsidRPr="004954B0">
        <w:rPr>
          <w:rFonts w:ascii="Arial" w:hAnsi="Arial" w:cs="Arial"/>
          <w:sz w:val="21"/>
          <w:szCs w:val="21"/>
          <w:lang w:val="en-GB"/>
        </w:rPr>
        <w:t xml:space="preserve">Liu, S. Walter, </w:t>
      </w:r>
      <w:r w:rsidR="00FB0440" w:rsidRPr="004954B0">
        <w:rPr>
          <w:rFonts w:ascii="Arial" w:hAnsi="Arial" w:cs="Arial"/>
          <w:sz w:val="21"/>
          <w:szCs w:val="21"/>
          <w:lang w:val="en-GB"/>
        </w:rPr>
        <w:t xml:space="preserve">R. </w:t>
      </w:r>
      <w:r w:rsidRPr="004954B0">
        <w:rPr>
          <w:rFonts w:ascii="Arial" w:hAnsi="Arial" w:cs="Arial"/>
          <w:sz w:val="21"/>
          <w:szCs w:val="21"/>
          <w:lang w:val="en-GB"/>
        </w:rPr>
        <w:t xml:space="preserve">Pabayo, </w:t>
      </w:r>
      <w:r w:rsidR="00FB0440" w:rsidRPr="004954B0">
        <w:rPr>
          <w:rFonts w:ascii="Arial" w:hAnsi="Arial" w:cs="Arial"/>
          <w:sz w:val="21"/>
          <w:szCs w:val="21"/>
          <w:lang w:val="en-GB"/>
        </w:rPr>
        <w:t xml:space="preserve">R. </w:t>
      </w:r>
      <w:r w:rsidRPr="004954B0">
        <w:rPr>
          <w:rFonts w:ascii="Arial" w:hAnsi="Arial" w:cs="Arial"/>
          <w:sz w:val="21"/>
          <w:szCs w:val="21"/>
          <w:lang w:val="en-GB"/>
        </w:rPr>
        <w:t xml:space="preserve">Saith, </w:t>
      </w:r>
      <w:r w:rsidR="00FB0440" w:rsidRPr="004954B0">
        <w:rPr>
          <w:rFonts w:ascii="Arial" w:hAnsi="Arial" w:cs="Arial"/>
          <w:sz w:val="21"/>
          <w:szCs w:val="21"/>
          <w:lang w:val="en-GB"/>
        </w:rPr>
        <w:t xml:space="preserve">and S. K. </w:t>
      </w:r>
      <w:r w:rsidRPr="004954B0">
        <w:rPr>
          <w:rFonts w:ascii="Arial" w:hAnsi="Arial" w:cs="Arial"/>
          <w:sz w:val="21"/>
          <w:szCs w:val="21"/>
          <w:lang w:val="en-GB"/>
        </w:rPr>
        <w:t>Lhachimi</w:t>
      </w:r>
      <w:r w:rsidR="00FB0440" w:rsidRPr="004954B0">
        <w:rPr>
          <w:rFonts w:ascii="Arial" w:hAnsi="Arial" w:cs="Arial"/>
          <w:sz w:val="21"/>
          <w:szCs w:val="21"/>
          <w:lang w:val="en-GB"/>
        </w:rPr>
        <w:t xml:space="preserve">. </w:t>
      </w:r>
      <w:r w:rsidRPr="004954B0">
        <w:rPr>
          <w:rFonts w:ascii="Arial" w:hAnsi="Arial" w:cs="Arial"/>
          <w:sz w:val="21"/>
          <w:szCs w:val="21"/>
          <w:lang w:val="en-GB"/>
        </w:rPr>
        <w:t xml:space="preserve">2017. Unconditional cash transfers for reducing poverty and vulnerabilities: </w:t>
      </w:r>
      <w:r w:rsidR="00FB0440" w:rsidRPr="004954B0">
        <w:rPr>
          <w:rFonts w:ascii="Arial" w:hAnsi="Arial" w:cs="Arial"/>
          <w:sz w:val="21"/>
          <w:szCs w:val="21"/>
          <w:lang w:val="en-GB"/>
        </w:rPr>
        <w:t>e</w:t>
      </w:r>
      <w:r w:rsidRPr="004954B0">
        <w:rPr>
          <w:rFonts w:ascii="Arial" w:hAnsi="Arial" w:cs="Arial"/>
          <w:sz w:val="21"/>
          <w:szCs w:val="21"/>
          <w:lang w:val="en-GB"/>
        </w:rPr>
        <w:t xml:space="preserve">ffect on use of health services and health outcomes in low- and middle-income countries. </w:t>
      </w:r>
      <w:r w:rsidRPr="004954B0">
        <w:rPr>
          <w:rFonts w:ascii="Arial" w:hAnsi="Arial" w:cs="Arial"/>
          <w:i/>
          <w:iCs/>
          <w:sz w:val="21"/>
          <w:szCs w:val="21"/>
          <w:lang w:val="en-GB"/>
        </w:rPr>
        <w:t>Cochrane Database of Systematic Reviews</w:t>
      </w:r>
      <w:r w:rsidRPr="004954B0">
        <w:rPr>
          <w:rFonts w:ascii="Arial" w:hAnsi="Arial" w:cs="Arial"/>
          <w:sz w:val="21"/>
          <w:szCs w:val="21"/>
          <w:lang w:val="en-GB"/>
        </w:rPr>
        <w:t xml:space="preserve">, </w:t>
      </w:r>
      <w:r w:rsidRPr="004954B0">
        <w:rPr>
          <w:rFonts w:ascii="Arial" w:hAnsi="Arial" w:cs="Arial"/>
          <w:i/>
          <w:iCs/>
          <w:sz w:val="21"/>
          <w:szCs w:val="21"/>
          <w:lang w:val="en-GB"/>
        </w:rPr>
        <w:t>2017</w:t>
      </w:r>
      <w:r w:rsidRPr="004954B0">
        <w:rPr>
          <w:rFonts w:ascii="Arial" w:hAnsi="Arial" w:cs="Arial"/>
          <w:sz w:val="21"/>
          <w:szCs w:val="21"/>
          <w:lang w:val="en-GB"/>
        </w:rPr>
        <w:t xml:space="preserve">(11). </w:t>
      </w:r>
      <w:hyperlink r:id="rId20" w:history="1">
        <w:r w:rsidRPr="004954B0">
          <w:rPr>
            <w:rStyle w:val="Hyperlink"/>
            <w:rFonts w:ascii="Arial" w:hAnsi="Arial" w:cs="Arial"/>
            <w:sz w:val="21"/>
            <w:szCs w:val="21"/>
            <w:lang w:val="en-GB"/>
          </w:rPr>
          <w:t>https://doi.org/10.1002/14651858.CD011135.pub2</w:t>
        </w:r>
      </w:hyperlink>
      <w:r w:rsidR="00FB0440" w:rsidRPr="004954B0">
        <w:rPr>
          <w:rStyle w:val="Hyperlink"/>
          <w:rFonts w:ascii="Arial" w:hAnsi="Arial" w:cs="Arial"/>
          <w:sz w:val="21"/>
          <w:szCs w:val="21"/>
          <w:lang w:val="en-GB"/>
        </w:rPr>
        <w:t>.</w:t>
      </w:r>
    </w:p>
    <w:p w14:paraId="5AACCD6A" w14:textId="77777777" w:rsidR="00D50752" w:rsidRPr="004954B0" w:rsidRDefault="00556AC1" w:rsidP="00D50752">
      <w:pPr>
        <w:pStyle w:val="NormalWeb"/>
        <w:ind w:left="480" w:hanging="480"/>
        <w:jc w:val="both"/>
        <w:rPr>
          <w:rFonts w:ascii="Arial" w:eastAsiaTheme="minorHAnsi" w:hAnsi="Arial" w:cs="Arial"/>
          <w:color w:val="000000"/>
          <w:sz w:val="21"/>
          <w:szCs w:val="21"/>
          <w:lang w:val="en-GB"/>
        </w:rPr>
      </w:pPr>
      <w:r w:rsidRPr="004954B0">
        <w:rPr>
          <w:rFonts w:ascii="Arial" w:eastAsiaTheme="minorHAnsi" w:hAnsi="Arial" w:cs="Arial"/>
          <w:color w:val="000000"/>
          <w:sz w:val="21"/>
          <w:szCs w:val="21"/>
          <w:lang w:val="en-GB"/>
        </w:rPr>
        <w:t xml:space="preserve">Roemer, J. 1998. Equality of Opportunity. Cambridge, MA: Harvard University Press. </w:t>
      </w:r>
    </w:p>
    <w:p w14:paraId="4E145D11" w14:textId="31F351A2" w:rsidR="00556AC1" w:rsidRPr="004954B0" w:rsidRDefault="00556AC1" w:rsidP="00D50752">
      <w:pPr>
        <w:pStyle w:val="NormalWeb"/>
        <w:ind w:left="480" w:hanging="480"/>
        <w:jc w:val="both"/>
        <w:rPr>
          <w:rFonts w:ascii="Arial" w:hAnsi="Arial" w:cs="Arial"/>
          <w:sz w:val="21"/>
          <w:szCs w:val="21"/>
          <w:lang w:val="en-GB"/>
        </w:rPr>
      </w:pPr>
      <w:r w:rsidRPr="004954B0">
        <w:rPr>
          <w:rFonts w:ascii="Arial" w:eastAsiaTheme="minorHAnsi" w:hAnsi="Arial" w:cs="Arial"/>
          <w:color w:val="000000"/>
          <w:sz w:val="21"/>
          <w:szCs w:val="21"/>
          <w:lang w:val="en-GB"/>
        </w:rPr>
        <w:t xml:space="preserve">Romer, P. 1986. Increasing Returns and Long-Run Growth. </w:t>
      </w:r>
      <w:r w:rsidRPr="004954B0">
        <w:rPr>
          <w:rFonts w:ascii="Arial" w:eastAsiaTheme="minorHAnsi" w:hAnsi="Arial" w:cs="Arial"/>
          <w:i/>
          <w:iCs/>
          <w:color w:val="000000"/>
          <w:sz w:val="21"/>
          <w:szCs w:val="21"/>
          <w:lang w:val="en-GB"/>
        </w:rPr>
        <w:t>The Journal of Political Economy</w:t>
      </w:r>
      <w:r w:rsidRPr="004954B0">
        <w:rPr>
          <w:rFonts w:ascii="Arial" w:eastAsiaTheme="minorHAnsi" w:hAnsi="Arial" w:cs="Arial"/>
          <w:color w:val="000000"/>
          <w:sz w:val="21"/>
          <w:szCs w:val="21"/>
          <w:lang w:val="en-GB"/>
        </w:rPr>
        <w:t xml:space="preserve">, </w:t>
      </w:r>
      <w:r w:rsidR="00FB0440" w:rsidRPr="004954B0">
        <w:rPr>
          <w:rFonts w:ascii="Arial" w:eastAsiaTheme="minorHAnsi" w:hAnsi="Arial" w:cs="Arial"/>
          <w:color w:val="000000"/>
          <w:sz w:val="21"/>
          <w:szCs w:val="21"/>
          <w:lang w:val="en-GB"/>
        </w:rPr>
        <w:t xml:space="preserve">94(5): </w:t>
      </w:r>
      <w:r w:rsidRPr="004954B0">
        <w:rPr>
          <w:rFonts w:ascii="Arial" w:eastAsiaTheme="minorHAnsi" w:hAnsi="Arial" w:cs="Arial"/>
          <w:color w:val="000000"/>
          <w:sz w:val="21"/>
          <w:szCs w:val="21"/>
          <w:lang w:val="en-GB"/>
        </w:rPr>
        <w:t>1002</w:t>
      </w:r>
      <w:r w:rsidR="00FB0440" w:rsidRPr="004954B0">
        <w:rPr>
          <w:rFonts w:ascii="Arial" w:eastAsiaTheme="minorHAnsi" w:hAnsi="Arial" w:cs="Arial"/>
          <w:color w:val="000000"/>
          <w:sz w:val="21"/>
          <w:szCs w:val="21"/>
          <w:lang w:val="en-GB"/>
        </w:rPr>
        <w:t>–</w:t>
      </w:r>
      <w:r w:rsidRPr="004954B0">
        <w:rPr>
          <w:rFonts w:ascii="Arial" w:eastAsiaTheme="minorHAnsi" w:hAnsi="Arial" w:cs="Arial"/>
          <w:color w:val="000000"/>
          <w:sz w:val="21"/>
          <w:szCs w:val="21"/>
          <w:lang w:val="en-GB"/>
        </w:rPr>
        <w:t xml:space="preserve">37. </w:t>
      </w:r>
    </w:p>
    <w:p w14:paraId="4661A596" w14:textId="2FB47CEC" w:rsidR="00251306" w:rsidRPr="004954B0" w:rsidRDefault="00556AC1" w:rsidP="00123068">
      <w:pPr>
        <w:pStyle w:val="NormalWeb"/>
        <w:ind w:left="480" w:hanging="480"/>
        <w:jc w:val="both"/>
        <w:rPr>
          <w:rFonts w:ascii="Arial" w:hAnsi="Arial" w:cs="Arial"/>
          <w:sz w:val="21"/>
          <w:szCs w:val="21"/>
          <w:lang w:val="en-GB"/>
        </w:rPr>
      </w:pPr>
      <w:r w:rsidRPr="004954B0">
        <w:rPr>
          <w:rFonts w:ascii="Arial" w:hAnsi="Arial" w:cs="Arial"/>
          <w:sz w:val="21"/>
          <w:szCs w:val="21"/>
          <w:lang w:val="en-GB"/>
        </w:rPr>
        <w:t>S</w:t>
      </w:r>
      <w:r w:rsidR="00251306" w:rsidRPr="004954B0">
        <w:rPr>
          <w:rFonts w:ascii="Arial" w:hAnsi="Arial" w:cs="Arial"/>
          <w:sz w:val="21"/>
          <w:szCs w:val="21"/>
          <w:lang w:val="en-GB"/>
        </w:rPr>
        <w:t>eto WH</w:t>
      </w:r>
      <w:r w:rsidR="00FB0440" w:rsidRPr="004954B0">
        <w:rPr>
          <w:rFonts w:ascii="Arial" w:hAnsi="Arial" w:cs="Arial"/>
          <w:sz w:val="21"/>
          <w:szCs w:val="21"/>
          <w:lang w:val="en-GB"/>
        </w:rPr>
        <w:t>.</w:t>
      </w:r>
      <w:r w:rsidR="00251306" w:rsidRPr="004954B0">
        <w:rPr>
          <w:rFonts w:ascii="Arial" w:hAnsi="Arial" w:cs="Arial"/>
          <w:sz w:val="21"/>
          <w:szCs w:val="21"/>
          <w:lang w:val="en-GB"/>
        </w:rPr>
        <w:t xml:space="preserve">, </w:t>
      </w:r>
      <w:r w:rsidR="00FB0440" w:rsidRPr="004954B0">
        <w:rPr>
          <w:rFonts w:ascii="Arial" w:hAnsi="Arial" w:cs="Arial"/>
          <w:sz w:val="21"/>
          <w:szCs w:val="21"/>
          <w:lang w:val="en-GB"/>
        </w:rPr>
        <w:t xml:space="preserve">D. </w:t>
      </w:r>
      <w:r w:rsidR="00251306" w:rsidRPr="004954B0">
        <w:rPr>
          <w:rFonts w:ascii="Arial" w:hAnsi="Arial" w:cs="Arial"/>
          <w:sz w:val="21"/>
          <w:szCs w:val="21"/>
          <w:lang w:val="en-GB"/>
        </w:rPr>
        <w:t xml:space="preserve">Tsang, </w:t>
      </w:r>
      <w:r w:rsidR="00FB0440" w:rsidRPr="004954B0">
        <w:rPr>
          <w:rFonts w:ascii="Arial" w:hAnsi="Arial" w:cs="Arial"/>
          <w:sz w:val="21"/>
          <w:szCs w:val="21"/>
          <w:lang w:val="en-GB"/>
        </w:rPr>
        <w:t xml:space="preserve">RWH </w:t>
      </w:r>
      <w:r w:rsidR="00251306" w:rsidRPr="004954B0">
        <w:rPr>
          <w:rFonts w:ascii="Arial" w:hAnsi="Arial" w:cs="Arial"/>
          <w:sz w:val="21"/>
          <w:szCs w:val="21"/>
          <w:lang w:val="en-GB"/>
        </w:rPr>
        <w:t xml:space="preserve">Yung, </w:t>
      </w:r>
      <w:r w:rsidR="00FB0440" w:rsidRPr="004954B0">
        <w:rPr>
          <w:rFonts w:ascii="Arial" w:hAnsi="Arial" w:cs="Arial"/>
          <w:sz w:val="21"/>
          <w:szCs w:val="21"/>
          <w:lang w:val="en-GB"/>
        </w:rPr>
        <w:t xml:space="preserve">YW </w:t>
      </w:r>
      <w:r w:rsidR="00251306" w:rsidRPr="004954B0">
        <w:rPr>
          <w:rFonts w:ascii="Arial" w:hAnsi="Arial" w:cs="Arial"/>
          <w:sz w:val="21"/>
          <w:szCs w:val="21"/>
          <w:lang w:val="en-GB"/>
        </w:rPr>
        <w:t>Ching</w:t>
      </w:r>
      <w:r w:rsidR="00FB0440" w:rsidRPr="004954B0">
        <w:rPr>
          <w:rFonts w:ascii="Arial" w:hAnsi="Arial" w:cs="Arial"/>
          <w:sz w:val="21"/>
          <w:szCs w:val="21"/>
          <w:lang w:val="en-GB"/>
        </w:rPr>
        <w:t>, TK</w:t>
      </w:r>
      <w:r w:rsidR="00251306" w:rsidRPr="004954B0">
        <w:rPr>
          <w:rFonts w:ascii="Arial" w:hAnsi="Arial" w:cs="Arial"/>
          <w:sz w:val="21"/>
          <w:szCs w:val="21"/>
          <w:lang w:val="en-GB"/>
        </w:rPr>
        <w:t xml:space="preserve"> Ng, </w:t>
      </w:r>
      <w:r w:rsidR="00FB0440" w:rsidRPr="004954B0">
        <w:rPr>
          <w:rFonts w:ascii="Arial" w:hAnsi="Arial" w:cs="Arial"/>
          <w:sz w:val="21"/>
          <w:szCs w:val="21"/>
          <w:lang w:val="en-GB"/>
        </w:rPr>
        <w:t xml:space="preserve">M. </w:t>
      </w:r>
      <w:r w:rsidR="00251306" w:rsidRPr="004954B0">
        <w:rPr>
          <w:rFonts w:ascii="Arial" w:hAnsi="Arial" w:cs="Arial"/>
          <w:sz w:val="21"/>
          <w:szCs w:val="21"/>
          <w:lang w:val="en-GB"/>
        </w:rPr>
        <w:t>Ho</w:t>
      </w:r>
      <w:r w:rsidR="00FB0440" w:rsidRPr="004954B0">
        <w:rPr>
          <w:rFonts w:ascii="Arial" w:hAnsi="Arial" w:cs="Arial"/>
          <w:sz w:val="21"/>
          <w:szCs w:val="21"/>
          <w:lang w:val="en-GB"/>
        </w:rPr>
        <w:t>,</w:t>
      </w:r>
      <w:r w:rsidR="00251306" w:rsidRPr="004954B0">
        <w:rPr>
          <w:rFonts w:ascii="Arial" w:hAnsi="Arial" w:cs="Arial"/>
          <w:sz w:val="21"/>
          <w:szCs w:val="21"/>
          <w:lang w:val="en-GB"/>
        </w:rPr>
        <w:t xml:space="preserve"> et al. </w:t>
      </w:r>
      <w:r w:rsidR="00FB0440" w:rsidRPr="004954B0">
        <w:rPr>
          <w:rFonts w:ascii="Arial" w:hAnsi="Arial" w:cs="Arial"/>
          <w:sz w:val="21"/>
          <w:szCs w:val="21"/>
          <w:lang w:val="en-GB"/>
        </w:rPr>
        <w:t xml:space="preserve">2003. </w:t>
      </w:r>
      <w:r w:rsidR="00251306" w:rsidRPr="004954B0">
        <w:rPr>
          <w:rFonts w:ascii="Arial" w:hAnsi="Arial" w:cs="Arial"/>
          <w:sz w:val="21"/>
          <w:szCs w:val="21"/>
          <w:lang w:val="en-GB"/>
        </w:rPr>
        <w:t xml:space="preserve">Effectiveness of precautions against droplets and contact in prevention of nosocomial transmission of severe acute respiratory syndrome (SARS). </w:t>
      </w:r>
      <w:r w:rsidR="00251306" w:rsidRPr="004954B0">
        <w:rPr>
          <w:rFonts w:ascii="Arial" w:hAnsi="Arial" w:cs="Arial"/>
          <w:i/>
          <w:iCs/>
          <w:sz w:val="21"/>
          <w:szCs w:val="21"/>
          <w:lang w:val="en-GB"/>
        </w:rPr>
        <w:t>Lancet</w:t>
      </w:r>
      <w:r w:rsidR="00FB0440" w:rsidRPr="004954B0">
        <w:rPr>
          <w:rFonts w:ascii="Arial" w:hAnsi="Arial" w:cs="Arial"/>
          <w:i/>
          <w:iCs/>
          <w:sz w:val="21"/>
          <w:szCs w:val="21"/>
          <w:lang w:val="en-GB"/>
        </w:rPr>
        <w:t>,</w:t>
      </w:r>
      <w:r w:rsidR="00FB0440" w:rsidRPr="004954B0">
        <w:rPr>
          <w:rFonts w:ascii="Arial" w:hAnsi="Arial" w:cs="Arial"/>
          <w:sz w:val="21"/>
          <w:szCs w:val="21"/>
          <w:lang w:val="en-GB"/>
        </w:rPr>
        <w:t xml:space="preserve"> </w:t>
      </w:r>
      <w:r w:rsidR="00251306" w:rsidRPr="004954B0">
        <w:rPr>
          <w:rFonts w:ascii="Arial" w:hAnsi="Arial" w:cs="Arial"/>
          <w:sz w:val="21"/>
          <w:szCs w:val="21"/>
          <w:lang w:val="en-GB"/>
        </w:rPr>
        <w:t>361(9368):</w:t>
      </w:r>
      <w:r w:rsidR="00FB0440" w:rsidRPr="004954B0">
        <w:rPr>
          <w:rFonts w:ascii="Arial" w:hAnsi="Arial" w:cs="Arial"/>
          <w:sz w:val="21"/>
          <w:szCs w:val="21"/>
          <w:lang w:val="en-GB"/>
        </w:rPr>
        <w:t xml:space="preserve"> </w:t>
      </w:r>
      <w:r w:rsidR="00251306" w:rsidRPr="004954B0">
        <w:rPr>
          <w:rFonts w:ascii="Arial" w:hAnsi="Arial" w:cs="Arial"/>
          <w:sz w:val="21"/>
          <w:szCs w:val="21"/>
          <w:lang w:val="en-GB"/>
        </w:rPr>
        <w:t>1519</w:t>
      </w:r>
      <w:r w:rsidR="00FB0440" w:rsidRPr="004954B0">
        <w:rPr>
          <w:rFonts w:ascii="Arial" w:hAnsi="Arial" w:cs="Arial"/>
          <w:sz w:val="21"/>
          <w:szCs w:val="21"/>
          <w:lang w:val="en-GB"/>
        </w:rPr>
        <w:t>–</w:t>
      </w:r>
      <w:r w:rsidR="00251306" w:rsidRPr="004954B0">
        <w:rPr>
          <w:rFonts w:ascii="Arial" w:hAnsi="Arial" w:cs="Arial"/>
          <w:sz w:val="21"/>
          <w:szCs w:val="21"/>
          <w:lang w:val="en-GB"/>
        </w:rPr>
        <w:t>20. doi: 10.1016/S0140-6736(03)13168-6</w:t>
      </w:r>
      <w:r w:rsidR="00FB0440" w:rsidRPr="004954B0">
        <w:rPr>
          <w:rFonts w:ascii="Arial" w:hAnsi="Arial" w:cs="Arial"/>
          <w:sz w:val="21"/>
          <w:szCs w:val="21"/>
          <w:lang w:val="en-GB"/>
        </w:rPr>
        <w:t>.</w:t>
      </w:r>
    </w:p>
    <w:p w14:paraId="697E9E5C" w14:textId="1B730514" w:rsidR="0092319A" w:rsidRPr="004954B0" w:rsidRDefault="0092319A" w:rsidP="0092319A">
      <w:pPr>
        <w:pStyle w:val="NormalWeb"/>
        <w:ind w:left="480" w:hanging="480"/>
        <w:jc w:val="both"/>
        <w:rPr>
          <w:rFonts w:ascii="Arial" w:hAnsi="Arial" w:cs="Arial"/>
          <w:sz w:val="21"/>
          <w:szCs w:val="21"/>
          <w:lang w:val="en-GB"/>
        </w:rPr>
      </w:pPr>
      <w:r w:rsidRPr="004954B0">
        <w:rPr>
          <w:rFonts w:ascii="Arial" w:hAnsi="Arial" w:cs="Arial"/>
          <w:sz w:val="21"/>
          <w:szCs w:val="21"/>
          <w:lang w:val="en-GB"/>
        </w:rPr>
        <w:t xml:space="preserve">Soumerai, SB. 2015. How do you know which health care effectiveness research you can trust? A guide to study design for the perplexed. </w:t>
      </w:r>
      <w:r w:rsidRPr="004954B0">
        <w:rPr>
          <w:rFonts w:ascii="Arial" w:hAnsi="Arial" w:cs="Arial"/>
          <w:i/>
          <w:iCs/>
          <w:sz w:val="21"/>
          <w:szCs w:val="21"/>
          <w:lang w:val="en-GB"/>
        </w:rPr>
        <w:t>Prev Chronic Dis</w:t>
      </w:r>
      <w:r w:rsidRPr="004954B0">
        <w:rPr>
          <w:rFonts w:ascii="Arial" w:hAnsi="Arial" w:cs="Arial"/>
          <w:sz w:val="21"/>
          <w:szCs w:val="21"/>
          <w:lang w:val="en-GB"/>
        </w:rPr>
        <w:t xml:space="preserve">, </w:t>
      </w:r>
      <w:proofErr w:type="gramStart"/>
      <w:r w:rsidRPr="004954B0">
        <w:rPr>
          <w:rFonts w:ascii="Arial" w:hAnsi="Arial" w:cs="Arial"/>
          <w:sz w:val="21"/>
          <w:szCs w:val="21"/>
          <w:lang w:val="en-GB"/>
        </w:rPr>
        <w:t>12:E</w:t>
      </w:r>
      <w:proofErr w:type="gramEnd"/>
      <w:r w:rsidRPr="004954B0">
        <w:rPr>
          <w:rFonts w:ascii="Arial" w:hAnsi="Arial" w:cs="Arial"/>
          <w:sz w:val="21"/>
          <w:szCs w:val="21"/>
          <w:lang w:val="en-GB"/>
        </w:rPr>
        <w:t>101.</w:t>
      </w:r>
    </w:p>
    <w:p w14:paraId="5BCEA90C" w14:textId="5AAAF9DB" w:rsidR="0092319A" w:rsidRPr="004954B0" w:rsidRDefault="0092319A" w:rsidP="0092319A">
      <w:pPr>
        <w:pStyle w:val="NormalWeb"/>
        <w:ind w:left="480" w:hanging="480"/>
        <w:jc w:val="both"/>
        <w:rPr>
          <w:rFonts w:ascii="Arial" w:hAnsi="Arial" w:cs="Arial"/>
          <w:sz w:val="21"/>
          <w:szCs w:val="21"/>
          <w:lang w:val="en-GB"/>
        </w:rPr>
      </w:pPr>
      <w:r w:rsidRPr="004954B0">
        <w:rPr>
          <w:rFonts w:ascii="Arial" w:hAnsi="Arial" w:cs="Arial"/>
          <w:sz w:val="21"/>
          <w:szCs w:val="21"/>
          <w:lang w:val="en-GB"/>
        </w:rPr>
        <w:t xml:space="preserve">Wagner, AK., SB Soumerai, F. Zhang, and D. Ross-Degnan.  2002. Segmented regression analysis of interrupted time series studies in medication use research. </w:t>
      </w:r>
      <w:r w:rsidRPr="004954B0">
        <w:rPr>
          <w:rFonts w:ascii="Arial" w:hAnsi="Arial" w:cs="Arial"/>
          <w:i/>
          <w:iCs/>
          <w:sz w:val="21"/>
          <w:szCs w:val="21"/>
          <w:lang w:val="en-GB"/>
        </w:rPr>
        <w:t>J Clin Pharm Ther</w:t>
      </w:r>
      <w:r w:rsidRPr="004954B0">
        <w:rPr>
          <w:rFonts w:ascii="Arial" w:hAnsi="Arial" w:cs="Arial"/>
          <w:sz w:val="21"/>
          <w:szCs w:val="21"/>
          <w:lang w:val="en-GB"/>
        </w:rPr>
        <w:t xml:space="preserve"> 27: 299–309.</w:t>
      </w:r>
    </w:p>
    <w:p w14:paraId="2B1A360C" w14:textId="16C6E8AB" w:rsidR="00251306" w:rsidRPr="004954B0" w:rsidRDefault="00251306" w:rsidP="00123068">
      <w:pPr>
        <w:pStyle w:val="NormalWeb"/>
        <w:ind w:left="480" w:hanging="480"/>
        <w:jc w:val="both"/>
        <w:rPr>
          <w:rFonts w:ascii="Arial" w:hAnsi="Arial" w:cs="Arial"/>
          <w:sz w:val="21"/>
          <w:szCs w:val="21"/>
          <w:lang w:val="en-GB"/>
        </w:rPr>
      </w:pPr>
      <w:r w:rsidRPr="004954B0">
        <w:rPr>
          <w:rFonts w:ascii="Arial" w:hAnsi="Arial" w:cs="Arial"/>
          <w:sz w:val="21"/>
          <w:szCs w:val="21"/>
          <w:lang w:val="en-GB"/>
        </w:rPr>
        <w:t xml:space="preserve">Xie, J., </w:t>
      </w:r>
      <w:r w:rsidR="00FB0440" w:rsidRPr="004954B0">
        <w:rPr>
          <w:rFonts w:ascii="Arial" w:hAnsi="Arial" w:cs="Arial"/>
          <w:sz w:val="21"/>
          <w:szCs w:val="21"/>
          <w:lang w:val="en-GB"/>
        </w:rPr>
        <w:t xml:space="preserve">Z. </w:t>
      </w:r>
      <w:r w:rsidRPr="004954B0">
        <w:rPr>
          <w:rFonts w:ascii="Arial" w:hAnsi="Arial" w:cs="Arial"/>
          <w:sz w:val="21"/>
          <w:szCs w:val="21"/>
          <w:lang w:val="en-GB"/>
        </w:rPr>
        <w:t xml:space="preserve">Tong, </w:t>
      </w:r>
      <w:r w:rsidR="00FB0440" w:rsidRPr="004954B0">
        <w:rPr>
          <w:rFonts w:ascii="Arial" w:hAnsi="Arial" w:cs="Arial"/>
          <w:sz w:val="21"/>
          <w:szCs w:val="21"/>
          <w:lang w:val="en-GB"/>
        </w:rPr>
        <w:t>X.</w:t>
      </w:r>
      <w:r w:rsidRPr="004954B0">
        <w:rPr>
          <w:rFonts w:ascii="Arial" w:hAnsi="Arial" w:cs="Arial"/>
          <w:sz w:val="21"/>
          <w:szCs w:val="21"/>
          <w:lang w:val="en-GB"/>
        </w:rPr>
        <w:t xml:space="preserve"> Guan</w:t>
      </w:r>
      <w:r w:rsidR="00FB0440" w:rsidRPr="004954B0">
        <w:rPr>
          <w:rFonts w:ascii="Arial" w:hAnsi="Arial" w:cs="Arial"/>
          <w:sz w:val="21"/>
          <w:szCs w:val="21"/>
          <w:lang w:val="en-GB"/>
        </w:rPr>
        <w:t>,</w:t>
      </w:r>
      <w:r w:rsidRPr="004954B0">
        <w:rPr>
          <w:rFonts w:ascii="Arial" w:hAnsi="Arial" w:cs="Arial"/>
          <w:sz w:val="21"/>
          <w:szCs w:val="21"/>
          <w:lang w:val="en-GB"/>
        </w:rPr>
        <w:t> et al. </w:t>
      </w:r>
      <w:r w:rsidR="00FB0440" w:rsidRPr="004954B0">
        <w:rPr>
          <w:rFonts w:ascii="Arial" w:hAnsi="Arial" w:cs="Arial"/>
          <w:sz w:val="21"/>
          <w:szCs w:val="21"/>
          <w:lang w:val="en-GB"/>
        </w:rPr>
        <w:t xml:space="preserve">2020. </w:t>
      </w:r>
      <w:r w:rsidRPr="004954B0">
        <w:rPr>
          <w:rFonts w:ascii="Arial" w:hAnsi="Arial" w:cs="Arial"/>
          <w:sz w:val="21"/>
          <w:szCs w:val="21"/>
          <w:lang w:val="en-GB"/>
        </w:rPr>
        <w:t>Critical care crisis and some recommendations during the COVID-19 epidemic in China. </w:t>
      </w:r>
      <w:r w:rsidRPr="004954B0">
        <w:rPr>
          <w:rFonts w:ascii="Arial" w:hAnsi="Arial" w:cs="Arial"/>
          <w:i/>
          <w:iCs/>
          <w:sz w:val="21"/>
          <w:szCs w:val="21"/>
          <w:lang w:val="en-GB"/>
        </w:rPr>
        <w:t>Intensive Care Med</w:t>
      </w:r>
      <w:r w:rsidR="00FB0440" w:rsidRPr="004954B0">
        <w:rPr>
          <w:rFonts w:ascii="Arial" w:hAnsi="Arial" w:cs="Arial"/>
          <w:i/>
          <w:iCs/>
          <w:sz w:val="21"/>
          <w:szCs w:val="21"/>
          <w:lang w:val="en-GB"/>
        </w:rPr>
        <w:t>icine</w:t>
      </w:r>
      <w:r w:rsidR="00FB0440" w:rsidRPr="004954B0">
        <w:rPr>
          <w:rFonts w:ascii="Arial" w:hAnsi="Arial" w:cs="Arial"/>
          <w:sz w:val="21"/>
          <w:szCs w:val="21"/>
          <w:lang w:val="en-GB"/>
        </w:rPr>
        <w:t xml:space="preserve">. </w:t>
      </w:r>
      <w:hyperlink r:id="rId21" w:history="1">
        <w:r w:rsidRPr="004954B0">
          <w:rPr>
            <w:rFonts w:ascii="Arial" w:hAnsi="Arial" w:cs="Arial"/>
            <w:sz w:val="21"/>
            <w:szCs w:val="21"/>
            <w:lang w:val="en-GB"/>
          </w:rPr>
          <w:t>doi: 10.1007/s00134-020-05979-7</w:t>
        </w:r>
      </w:hyperlink>
      <w:r w:rsidR="00FB0440" w:rsidRPr="004954B0">
        <w:rPr>
          <w:rFonts w:ascii="Arial" w:hAnsi="Arial" w:cs="Arial"/>
          <w:sz w:val="21"/>
          <w:szCs w:val="21"/>
          <w:lang w:val="en-GB"/>
        </w:rPr>
        <w:t>.</w:t>
      </w:r>
    </w:p>
    <w:p w14:paraId="0C569A29" w14:textId="2AF6F080" w:rsidR="00DE33B1" w:rsidRPr="004954B0" w:rsidRDefault="00251306" w:rsidP="00D50752">
      <w:pPr>
        <w:pStyle w:val="NormalWeb"/>
        <w:ind w:left="480" w:hanging="480"/>
        <w:jc w:val="both"/>
        <w:rPr>
          <w:rFonts w:ascii="Arial" w:hAnsi="Arial" w:cs="Arial"/>
          <w:sz w:val="21"/>
          <w:szCs w:val="21"/>
          <w:lang w:val="en-GB"/>
        </w:rPr>
      </w:pPr>
      <w:r w:rsidRPr="004954B0">
        <w:rPr>
          <w:rFonts w:ascii="Arial" w:hAnsi="Arial" w:cs="Arial"/>
          <w:sz w:val="21"/>
          <w:szCs w:val="21"/>
          <w:lang w:val="en-GB"/>
        </w:rPr>
        <w:t xml:space="preserve">Yen MY, </w:t>
      </w:r>
      <w:r w:rsidR="00FB0440" w:rsidRPr="004954B0">
        <w:rPr>
          <w:rFonts w:ascii="Arial" w:hAnsi="Arial" w:cs="Arial"/>
          <w:sz w:val="21"/>
          <w:szCs w:val="21"/>
          <w:lang w:val="en-GB"/>
        </w:rPr>
        <w:t xml:space="preserve">YE </w:t>
      </w:r>
      <w:r w:rsidRPr="004954B0">
        <w:rPr>
          <w:rFonts w:ascii="Arial" w:hAnsi="Arial" w:cs="Arial"/>
          <w:sz w:val="21"/>
          <w:szCs w:val="21"/>
          <w:lang w:val="en-GB"/>
        </w:rPr>
        <w:t xml:space="preserve">Lin, </w:t>
      </w:r>
      <w:r w:rsidR="00FB0440" w:rsidRPr="004954B0">
        <w:rPr>
          <w:rFonts w:ascii="Arial" w:hAnsi="Arial" w:cs="Arial"/>
          <w:sz w:val="21"/>
          <w:szCs w:val="21"/>
          <w:lang w:val="en-GB"/>
        </w:rPr>
        <w:t xml:space="preserve">CH </w:t>
      </w:r>
      <w:r w:rsidRPr="004954B0">
        <w:rPr>
          <w:rFonts w:ascii="Arial" w:hAnsi="Arial" w:cs="Arial"/>
          <w:sz w:val="21"/>
          <w:szCs w:val="21"/>
          <w:lang w:val="en-GB"/>
        </w:rPr>
        <w:t xml:space="preserve">Lee, </w:t>
      </w:r>
      <w:r w:rsidR="00FB0440" w:rsidRPr="004954B0">
        <w:rPr>
          <w:rFonts w:ascii="Arial" w:hAnsi="Arial" w:cs="Arial"/>
          <w:sz w:val="21"/>
          <w:szCs w:val="21"/>
          <w:lang w:val="en-GB"/>
        </w:rPr>
        <w:t xml:space="preserve">MS </w:t>
      </w:r>
      <w:r w:rsidRPr="004954B0">
        <w:rPr>
          <w:rFonts w:ascii="Arial" w:hAnsi="Arial" w:cs="Arial"/>
          <w:sz w:val="21"/>
          <w:szCs w:val="21"/>
          <w:lang w:val="en-GB"/>
        </w:rPr>
        <w:t xml:space="preserve">Ho, </w:t>
      </w:r>
      <w:r w:rsidR="00FB0440" w:rsidRPr="004954B0">
        <w:rPr>
          <w:rFonts w:ascii="Arial" w:hAnsi="Arial" w:cs="Arial"/>
          <w:sz w:val="21"/>
          <w:szCs w:val="21"/>
          <w:lang w:val="en-GB"/>
        </w:rPr>
        <w:t xml:space="preserve">FY </w:t>
      </w:r>
      <w:r w:rsidRPr="004954B0">
        <w:rPr>
          <w:rFonts w:ascii="Arial" w:hAnsi="Arial" w:cs="Arial"/>
          <w:sz w:val="21"/>
          <w:szCs w:val="21"/>
          <w:lang w:val="en-GB"/>
        </w:rPr>
        <w:t xml:space="preserve">Huang, </w:t>
      </w:r>
      <w:r w:rsidR="00FB0440" w:rsidRPr="004954B0">
        <w:rPr>
          <w:rFonts w:ascii="Arial" w:hAnsi="Arial" w:cs="Arial"/>
          <w:sz w:val="21"/>
          <w:szCs w:val="21"/>
          <w:lang w:val="en-GB"/>
        </w:rPr>
        <w:t xml:space="preserve">SC </w:t>
      </w:r>
      <w:r w:rsidRPr="004954B0">
        <w:rPr>
          <w:rFonts w:ascii="Arial" w:hAnsi="Arial" w:cs="Arial"/>
          <w:sz w:val="21"/>
          <w:szCs w:val="21"/>
          <w:lang w:val="en-GB"/>
        </w:rPr>
        <w:t>Chang,</w:t>
      </w:r>
      <w:r w:rsidR="00FB0440" w:rsidRPr="004954B0">
        <w:rPr>
          <w:rFonts w:ascii="Arial" w:hAnsi="Arial" w:cs="Arial"/>
          <w:sz w:val="21"/>
          <w:szCs w:val="21"/>
          <w:lang w:val="en-GB"/>
        </w:rPr>
        <w:t xml:space="preserve"> and YC</w:t>
      </w:r>
      <w:r w:rsidRPr="004954B0">
        <w:rPr>
          <w:rFonts w:ascii="Arial" w:hAnsi="Arial" w:cs="Arial"/>
          <w:sz w:val="21"/>
          <w:szCs w:val="21"/>
          <w:lang w:val="en-GB"/>
        </w:rPr>
        <w:t xml:space="preserve"> Liu.</w:t>
      </w:r>
      <w:r w:rsidR="00FB0440" w:rsidRPr="004954B0">
        <w:rPr>
          <w:rFonts w:ascii="Arial" w:hAnsi="Arial" w:cs="Arial"/>
          <w:sz w:val="21"/>
          <w:szCs w:val="21"/>
          <w:lang w:val="en-GB"/>
        </w:rPr>
        <w:t xml:space="preserve"> 2011.</w:t>
      </w:r>
      <w:r w:rsidRPr="004954B0">
        <w:rPr>
          <w:rFonts w:ascii="Arial" w:hAnsi="Arial" w:cs="Arial"/>
          <w:sz w:val="21"/>
          <w:szCs w:val="21"/>
          <w:lang w:val="en-GB"/>
        </w:rPr>
        <w:t> Taiwan's traffic control bundle and the elimination of nosocomial severe acute respiratory syndrome among healthcare workers</w:t>
      </w:r>
      <w:r w:rsidR="00FB0440" w:rsidRPr="004954B0">
        <w:rPr>
          <w:rFonts w:ascii="Arial" w:hAnsi="Arial" w:cs="Arial"/>
          <w:sz w:val="21"/>
          <w:szCs w:val="21"/>
          <w:lang w:val="en-GB"/>
        </w:rPr>
        <w:t>.</w:t>
      </w:r>
      <w:r w:rsidRPr="004954B0">
        <w:rPr>
          <w:rFonts w:ascii="Arial" w:hAnsi="Arial" w:cs="Arial"/>
          <w:sz w:val="21"/>
          <w:szCs w:val="21"/>
          <w:lang w:val="en-GB"/>
        </w:rPr>
        <w:t> </w:t>
      </w:r>
      <w:r w:rsidRPr="004954B0">
        <w:rPr>
          <w:rFonts w:ascii="Arial" w:hAnsi="Arial" w:cs="Arial"/>
          <w:i/>
          <w:iCs/>
          <w:sz w:val="21"/>
          <w:szCs w:val="21"/>
          <w:lang w:val="en-GB"/>
        </w:rPr>
        <w:t>Journal of Hospital Infection</w:t>
      </w:r>
      <w:r w:rsidR="00FB0440" w:rsidRPr="004954B0">
        <w:rPr>
          <w:rFonts w:ascii="Arial" w:hAnsi="Arial" w:cs="Arial"/>
          <w:sz w:val="21"/>
          <w:szCs w:val="21"/>
          <w:lang w:val="en-GB"/>
        </w:rPr>
        <w:t xml:space="preserve">, </w:t>
      </w:r>
      <w:r w:rsidRPr="004954B0">
        <w:rPr>
          <w:rFonts w:ascii="Arial" w:hAnsi="Arial" w:cs="Arial"/>
          <w:sz w:val="21"/>
          <w:szCs w:val="21"/>
          <w:lang w:val="en-GB"/>
        </w:rPr>
        <w:t>77(4):</w:t>
      </w:r>
      <w:r w:rsidR="00FB0440" w:rsidRPr="004954B0">
        <w:rPr>
          <w:rFonts w:ascii="Arial" w:hAnsi="Arial" w:cs="Arial"/>
          <w:sz w:val="21"/>
          <w:szCs w:val="21"/>
          <w:lang w:val="en-GB"/>
        </w:rPr>
        <w:t xml:space="preserve"> </w:t>
      </w:r>
      <w:r w:rsidRPr="004954B0">
        <w:rPr>
          <w:rFonts w:ascii="Arial" w:hAnsi="Arial" w:cs="Arial"/>
          <w:sz w:val="21"/>
          <w:szCs w:val="21"/>
          <w:lang w:val="en-GB"/>
        </w:rPr>
        <w:t>332</w:t>
      </w:r>
      <w:r w:rsidR="00FB0440" w:rsidRPr="004954B0">
        <w:rPr>
          <w:rFonts w:ascii="Arial" w:hAnsi="Arial" w:cs="Arial"/>
          <w:sz w:val="21"/>
          <w:szCs w:val="21"/>
          <w:lang w:val="en-GB"/>
        </w:rPr>
        <w:t>–</w:t>
      </w:r>
      <w:r w:rsidRPr="004954B0">
        <w:rPr>
          <w:rFonts w:ascii="Arial" w:hAnsi="Arial" w:cs="Arial"/>
          <w:sz w:val="21"/>
          <w:szCs w:val="21"/>
          <w:lang w:val="en-GB"/>
        </w:rPr>
        <w:t>37. doi: 10.1016/j.jhin.2010.12.002. </w:t>
      </w:r>
    </w:p>
    <w:p w14:paraId="78CB7925" w14:textId="77777777" w:rsidR="00DE33B1" w:rsidRPr="004954B0" w:rsidRDefault="00DE33B1" w:rsidP="001A2E42">
      <w:pPr>
        <w:pStyle w:val="NoSpacing"/>
        <w:spacing w:before="120" w:after="120"/>
        <w:jc w:val="both"/>
        <w:rPr>
          <w:rFonts w:ascii="Arial" w:hAnsi="Arial" w:cs="Arial"/>
          <w:sz w:val="21"/>
          <w:szCs w:val="21"/>
          <w:lang w:val="en-GB"/>
        </w:rPr>
      </w:pPr>
    </w:p>
    <w:p w14:paraId="27D401EA" w14:textId="77777777" w:rsidR="008458E6" w:rsidRPr="004954B0" w:rsidRDefault="008458E6" w:rsidP="00BD1401">
      <w:pPr>
        <w:spacing w:after="200" w:line="276" w:lineRule="auto"/>
        <w:rPr>
          <w:rFonts w:ascii="Arial" w:hAnsi="Arial" w:cs="Arial"/>
          <w:b/>
          <w:sz w:val="22"/>
          <w:szCs w:val="22"/>
          <w:lang w:val="en-GB"/>
        </w:rPr>
        <w:sectPr w:rsidR="008458E6" w:rsidRPr="004954B0" w:rsidSect="005A0ED4">
          <w:headerReference w:type="even" r:id="rId22"/>
          <w:headerReference w:type="default" r:id="rId23"/>
          <w:headerReference w:type="first" r:id="rId24"/>
          <w:type w:val="continuous"/>
          <w:pgSz w:w="12240" w:h="15840" w:code="1"/>
          <w:pgMar w:top="1440" w:right="1800" w:bottom="1440" w:left="1800" w:header="706" w:footer="706" w:gutter="0"/>
          <w:cols w:space="720"/>
          <w:formProt w:val="0"/>
          <w:docGrid w:linePitch="326"/>
        </w:sectPr>
      </w:pPr>
    </w:p>
    <w:p w14:paraId="627D9698" w14:textId="77777777" w:rsidR="00632412" w:rsidRPr="004954B0" w:rsidRDefault="00632412" w:rsidP="00632412">
      <w:pPr>
        <w:jc w:val="both"/>
        <w:rPr>
          <w:rFonts w:ascii="Arial" w:hAnsi="Arial" w:cs="Arial"/>
          <w:sz w:val="22"/>
          <w:szCs w:val="22"/>
          <w:lang w:val="en-GB"/>
        </w:rPr>
      </w:pPr>
    </w:p>
    <w:p w14:paraId="40E663A0" w14:textId="5DEA81A6" w:rsidR="00E940AD" w:rsidRPr="004954B0" w:rsidRDefault="00E940AD" w:rsidP="00E940AD">
      <w:pPr>
        <w:spacing w:after="200" w:line="276" w:lineRule="auto"/>
        <w:jc w:val="center"/>
        <w:rPr>
          <w:rFonts w:ascii="Arial" w:hAnsi="Arial" w:cs="Arial"/>
          <w:b/>
          <w:sz w:val="22"/>
          <w:szCs w:val="22"/>
          <w:lang w:val="en-GB"/>
        </w:rPr>
      </w:pPr>
      <w:r w:rsidRPr="004954B0">
        <w:rPr>
          <w:rFonts w:ascii="Arial" w:hAnsi="Arial" w:cs="Arial"/>
          <w:b/>
          <w:sz w:val="22"/>
          <w:szCs w:val="22"/>
          <w:lang w:val="en-GB"/>
        </w:rPr>
        <w:t>AN</w:t>
      </w:r>
      <w:r w:rsidR="00D856C4" w:rsidRPr="004954B0">
        <w:rPr>
          <w:rFonts w:ascii="Arial" w:hAnsi="Arial" w:cs="Arial"/>
          <w:b/>
          <w:sz w:val="22"/>
          <w:szCs w:val="22"/>
          <w:lang w:val="en-GB" w:eastAsia="zh-CN"/>
        </w:rPr>
        <w:t>NEX</w:t>
      </w:r>
      <w:r w:rsidRPr="004954B0">
        <w:rPr>
          <w:rFonts w:ascii="Arial" w:hAnsi="Arial" w:cs="Arial"/>
          <w:b/>
          <w:sz w:val="22"/>
          <w:szCs w:val="22"/>
          <w:lang w:val="en-GB"/>
        </w:rPr>
        <w:t xml:space="preserve"> 1</w:t>
      </w:r>
    </w:p>
    <w:p w14:paraId="4F3860CC" w14:textId="51AB1CE3" w:rsidR="00E940AD" w:rsidRPr="004954B0" w:rsidRDefault="00491EA0" w:rsidP="00E940AD">
      <w:pPr>
        <w:jc w:val="center"/>
        <w:rPr>
          <w:rFonts w:ascii="Arial" w:hAnsi="Arial" w:cs="Arial"/>
          <w:b/>
          <w:bCs/>
          <w:sz w:val="22"/>
          <w:szCs w:val="22"/>
          <w:lang w:val="en-GB"/>
        </w:rPr>
      </w:pPr>
      <w:r w:rsidRPr="004954B0">
        <w:rPr>
          <w:rFonts w:ascii="Arial" w:hAnsi="Arial" w:cs="Arial"/>
          <w:b/>
          <w:caps/>
          <w:sz w:val="22"/>
          <w:szCs w:val="22"/>
          <w:lang w:val="en-GB"/>
        </w:rPr>
        <w:t>descrip</w:t>
      </w:r>
      <w:r w:rsidRPr="004954B0">
        <w:rPr>
          <w:rFonts w:ascii="Arial" w:hAnsi="Arial" w:cs="Arial"/>
          <w:b/>
          <w:caps/>
          <w:sz w:val="22"/>
          <w:szCs w:val="22"/>
          <w:lang w:val="en-GB" w:eastAsia="zh-CN"/>
        </w:rPr>
        <w:t>tion of program</w:t>
      </w:r>
      <w:r w:rsidR="00D34A36" w:rsidRPr="004954B0">
        <w:rPr>
          <w:rFonts w:ascii="Arial" w:hAnsi="Arial" w:cs="Arial"/>
          <w:b/>
          <w:caps/>
          <w:sz w:val="22"/>
          <w:szCs w:val="22"/>
          <w:lang w:val="en-GB" w:eastAsia="zh-CN"/>
        </w:rPr>
        <w:t>me</w:t>
      </w:r>
      <w:r w:rsidRPr="004954B0">
        <w:rPr>
          <w:rFonts w:ascii="Arial" w:hAnsi="Arial" w:cs="Arial"/>
          <w:b/>
          <w:caps/>
          <w:sz w:val="22"/>
          <w:szCs w:val="22"/>
          <w:lang w:val="en-GB" w:eastAsia="zh-CN"/>
        </w:rPr>
        <w:t xml:space="preserve"> impact indicators </w:t>
      </w:r>
    </w:p>
    <w:p w14:paraId="3A30723D" w14:textId="68848FF2" w:rsidR="00632412" w:rsidRPr="004954B0" w:rsidRDefault="00632412" w:rsidP="00632412">
      <w:pPr>
        <w:jc w:val="both"/>
        <w:rPr>
          <w:rFonts w:ascii="Arial" w:hAnsi="Arial" w:cs="Arial"/>
          <w:b/>
          <w:bCs/>
          <w:sz w:val="22"/>
          <w:szCs w:val="22"/>
          <w:lang w:val="en-GB"/>
        </w:rPr>
      </w:pPr>
    </w:p>
    <w:p w14:paraId="40933385" w14:textId="00342EB6" w:rsidR="00E940AD" w:rsidRPr="004954B0" w:rsidRDefault="00E940AD" w:rsidP="00632412">
      <w:pPr>
        <w:jc w:val="both"/>
        <w:rPr>
          <w:rFonts w:ascii="Arial" w:hAnsi="Arial" w:cs="Arial"/>
          <w:sz w:val="22"/>
          <w:szCs w:val="22"/>
          <w:lang w:val="en-GB"/>
        </w:rPr>
      </w:pPr>
    </w:p>
    <w:p w14:paraId="6CF0BE34" w14:textId="50DE4781" w:rsidR="006A1E5A" w:rsidRPr="004954B0" w:rsidRDefault="007A18C1" w:rsidP="00632412">
      <w:pPr>
        <w:jc w:val="both"/>
        <w:rPr>
          <w:rFonts w:ascii="Arial" w:hAnsi="Arial" w:cs="Arial"/>
          <w:sz w:val="22"/>
          <w:szCs w:val="22"/>
          <w:lang w:val="en-GB"/>
        </w:rPr>
      </w:pPr>
      <w:r w:rsidRPr="004954B0">
        <w:rPr>
          <w:rFonts w:ascii="Arial" w:hAnsi="Arial" w:cs="Arial"/>
          <w:sz w:val="22"/>
          <w:szCs w:val="22"/>
          <w:lang w:val="en-GB"/>
        </w:rPr>
        <w:t xml:space="preserve">The following table summarizes the impact indicators contemplated in the </w:t>
      </w:r>
      <w:r w:rsidR="00D34A36" w:rsidRPr="004954B0">
        <w:rPr>
          <w:rFonts w:ascii="Arial" w:hAnsi="Arial" w:cs="Arial"/>
          <w:sz w:val="22"/>
          <w:szCs w:val="22"/>
          <w:lang w:val="en-GB"/>
        </w:rPr>
        <w:t>programme</w:t>
      </w:r>
      <w:r w:rsidR="003C2B8C" w:rsidRPr="004954B0">
        <w:rPr>
          <w:rFonts w:ascii="Arial" w:hAnsi="Arial" w:cs="Arial"/>
          <w:sz w:val="22"/>
          <w:szCs w:val="22"/>
          <w:lang w:val="en-GB"/>
        </w:rPr>
        <w:t xml:space="preserve"> and is followed by a description of the</w:t>
      </w:r>
      <w:r w:rsidRPr="004954B0">
        <w:rPr>
          <w:rFonts w:ascii="Arial" w:hAnsi="Arial" w:cs="Arial"/>
          <w:sz w:val="22"/>
          <w:szCs w:val="22"/>
          <w:lang w:val="en-GB"/>
        </w:rPr>
        <w:t xml:space="preserve"> </w:t>
      </w:r>
      <w:r w:rsidRPr="004954B0">
        <w:rPr>
          <w:rFonts w:ascii="Arial" w:hAnsi="Arial" w:cs="Arial"/>
          <w:sz w:val="22"/>
          <w:szCs w:val="22"/>
          <w:lang w:val="en-GB" w:eastAsia="zh-CN"/>
        </w:rPr>
        <w:t xml:space="preserve">verification </w:t>
      </w:r>
      <w:r w:rsidRPr="004954B0">
        <w:rPr>
          <w:rFonts w:ascii="Arial" w:hAnsi="Arial" w:cs="Arial"/>
          <w:sz w:val="22"/>
          <w:szCs w:val="22"/>
          <w:lang w:val="en-GB"/>
        </w:rPr>
        <w:t>methodology</w:t>
      </w:r>
      <w:r w:rsidR="003C2B8C" w:rsidRPr="004954B0">
        <w:rPr>
          <w:rFonts w:ascii="Arial" w:hAnsi="Arial" w:cs="Arial"/>
          <w:sz w:val="22"/>
          <w:szCs w:val="22"/>
          <w:lang w:val="en-GB"/>
        </w:rPr>
        <w:t>.</w:t>
      </w:r>
    </w:p>
    <w:p w14:paraId="0A7C5A5D" w14:textId="77777777" w:rsidR="006A1E5A" w:rsidRPr="004954B0" w:rsidRDefault="006A1E5A" w:rsidP="00632412">
      <w:pPr>
        <w:jc w:val="both"/>
        <w:rPr>
          <w:rFonts w:ascii="Arial" w:hAnsi="Arial" w:cs="Arial"/>
          <w:sz w:val="22"/>
          <w:szCs w:val="22"/>
          <w:lang w:val="en-GB"/>
        </w:rPr>
      </w:pPr>
    </w:p>
    <w:tbl>
      <w:tblPr>
        <w:tblW w:w="8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5"/>
        <w:gridCol w:w="1260"/>
        <w:gridCol w:w="2160"/>
        <w:gridCol w:w="3060"/>
      </w:tblGrid>
      <w:tr w:rsidR="00632412" w:rsidRPr="004954B0" w14:paraId="0F55BCF6" w14:textId="77777777" w:rsidTr="001102FA">
        <w:trPr>
          <w:trHeight w:val="20"/>
        </w:trPr>
        <w:tc>
          <w:tcPr>
            <w:tcW w:w="2245"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6F9B6201" w14:textId="397868F4" w:rsidR="00632412" w:rsidRPr="004954B0" w:rsidRDefault="00CC5663" w:rsidP="00E014D0">
            <w:pPr>
              <w:spacing w:before="20"/>
              <w:ind w:left="-120" w:right="-105"/>
              <w:jc w:val="both"/>
              <w:rPr>
                <w:rFonts w:ascii="Arial" w:hAnsi="Arial" w:cs="Arial"/>
                <w:b/>
                <w:sz w:val="20"/>
                <w:lang w:val="en-GB" w:eastAsia="zh-CN"/>
              </w:rPr>
            </w:pPr>
            <w:r w:rsidRPr="004954B0">
              <w:rPr>
                <w:rFonts w:ascii="Arial" w:hAnsi="Arial" w:cs="Arial"/>
                <w:b/>
                <w:sz w:val="20"/>
                <w:lang w:val="en-GB" w:eastAsia="zh-CN"/>
              </w:rPr>
              <w:t>Indicators</w:t>
            </w:r>
          </w:p>
        </w:tc>
        <w:tc>
          <w:tcPr>
            <w:tcW w:w="1260"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370BA405" w14:textId="2CD81D67" w:rsidR="00632412" w:rsidRPr="004954B0" w:rsidRDefault="00CC5663" w:rsidP="001102FA">
            <w:pPr>
              <w:spacing w:before="20"/>
              <w:ind w:left="-120" w:right="-105"/>
              <w:jc w:val="center"/>
              <w:rPr>
                <w:rFonts w:ascii="Arial" w:hAnsi="Arial" w:cs="Arial"/>
                <w:b/>
                <w:sz w:val="20"/>
                <w:lang w:val="en-GB" w:eastAsia="zh-CN"/>
              </w:rPr>
            </w:pPr>
            <w:r w:rsidRPr="004954B0">
              <w:rPr>
                <w:rFonts w:ascii="Arial" w:hAnsi="Arial" w:cs="Arial"/>
                <w:b/>
                <w:sz w:val="20"/>
                <w:lang w:val="en-GB" w:eastAsia="zh-CN"/>
              </w:rPr>
              <w:t>Unit of measure</w:t>
            </w:r>
          </w:p>
        </w:tc>
        <w:tc>
          <w:tcPr>
            <w:tcW w:w="2160"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54A01DC5" w14:textId="4695186F" w:rsidR="00632412" w:rsidRPr="004954B0" w:rsidRDefault="00CC5663" w:rsidP="001102FA">
            <w:pPr>
              <w:spacing w:before="20"/>
              <w:ind w:left="-120" w:right="-105"/>
              <w:jc w:val="center"/>
              <w:rPr>
                <w:rFonts w:ascii="Arial" w:hAnsi="Arial" w:cs="Arial"/>
                <w:b/>
                <w:sz w:val="20"/>
                <w:lang w:val="en-GB" w:eastAsia="zh-CN"/>
              </w:rPr>
            </w:pPr>
            <w:r w:rsidRPr="004954B0">
              <w:rPr>
                <w:rFonts w:ascii="Arial" w:hAnsi="Arial" w:cs="Arial"/>
                <w:b/>
                <w:sz w:val="20"/>
                <w:lang w:val="en-GB" w:eastAsia="zh-CN"/>
              </w:rPr>
              <w:t>Means of verification</w:t>
            </w:r>
          </w:p>
        </w:tc>
        <w:tc>
          <w:tcPr>
            <w:tcW w:w="3060"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1DA2F31F" w14:textId="57C5DEB5" w:rsidR="00632412" w:rsidRPr="004954B0" w:rsidRDefault="00CC5663" w:rsidP="001102FA">
            <w:pPr>
              <w:spacing w:before="20"/>
              <w:ind w:left="-120" w:right="-105"/>
              <w:jc w:val="center"/>
              <w:rPr>
                <w:rFonts w:ascii="Arial" w:hAnsi="Arial" w:cs="Arial"/>
                <w:b/>
                <w:sz w:val="20"/>
                <w:lang w:val="en-GB" w:eastAsia="zh-CN"/>
              </w:rPr>
            </w:pPr>
            <w:r w:rsidRPr="004954B0">
              <w:rPr>
                <w:rFonts w:ascii="Arial" w:hAnsi="Arial" w:cs="Arial"/>
                <w:b/>
                <w:sz w:val="20"/>
                <w:lang w:val="en-GB" w:eastAsia="zh-CN"/>
              </w:rPr>
              <w:t>Comments</w:t>
            </w:r>
          </w:p>
        </w:tc>
      </w:tr>
      <w:tr w:rsidR="007677F7" w:rsidRPr="00CC71C6" w14:paraId="4C35503B" w14:textId="77777777" w:rsidTr="00547B24">
        <w:trPr>
          <w:trHeight w:val="20"/>
        </w:trPr>
        <w:tc>
          <w:tcPr>
            <w:tcW w:w="2245" w:type="dxa"/>
            <w:tcBorders>
              <w:top w:val="single" w:sz="4" w:space="0" w:color="auto"/>
              <w:left w:val="single" w:sz="4" w:space="0" w:color="auto"/>
              <w:bottom w:val="single" w:sz="4" w:space="0" w:color="auto"/>
              <w:right w:val="single" w:sz="4" w:space="0" w:color="auto"/>
            </w:tcBorders>
            <w:vAlign w:val="center"/>
          </w:tcPr>
          <w:p w14:paraId="673EF4E5" w14:textId="1A3900CB" w:rsidR="007677F7" w:rsidRPr="004954B0" w:rsidRDefault="007677F7" w:rsidP="007677F7">
            <w:pPr>
              <w:spacing w:before="20" w:after="40"/>
              <w:rPr>
                <w:rFonts w:ascii="Arial" w:hAnsi="Arial" w:cs="Arial"/>
                <w:sz w:val="18"/>
                <w:szCs w:val="18"/>
                <w:lang w:val="en-GB" w:eastAsia="zh-CN"/>
              </w:rPr>
            </w:pPr>
            <w:r w:rsidRPr="004954B0">
              <w:rPr>
                <w:rFonts w:ascii="Arial" w:hAnsi="Arial"/>
                <w:spacing w:val="-3"/>
                <w:sz w:val="18"/>
                <w:szCs w:val="18"/>
                <w:lang w:val="en-GB"/>
              </w:rPr>
              <w:t xml:space="preserve">1. </w:t>
            </w:r>
            <w:r w:rsidR="00962F35" w:rsidRPr="00962F35">
              <w:rPr>
                <w:rFonts w:ascii="Arial" w:hAnsi="Arial"/>
                <w:spacing w:val="-3"/>
                <w:sz w:val="18"/>
                <w:szCs w:val="18"/>
                <w:lang w:val="en-GB"/>
              </w:rPr>
              <w:t>Estimated COVID 19 cases</w:t>
            </w:r>
          </w:p>
        </w:tc>
        <w:tc>
          <w:tcPr>
            <w:tcW w:w="1260" w:type="dxa"/>
            <w:tcBorders>
              <w:top w:val="single" w:sz="4" w:space="0" w:color="auto"/>
              <w:left w:val="single" w:sz="4" w:space="0" w:color="auto"/>
              <w:bottom w:val="single" w:sz="4" w:space="0" w:color="auto"/>
              <w:right w:val="single" w:sz="4" w:space="0" w:color="auto"/>
            </w:tcBorders>
            <w:vAlign w:val="center"/>
          </w:tcPr>
          <w:p w14:paraId="7545D2A0" w14:textId="69694821" w:rsidR="007677F7" w:rsidRPr="004954B0" w:rsidRDefault="007677F7" w:rsidP="007677F7">
            <w:pPr>
              <w:spacing w:before="20" w:after="40"/>
              <w:jc w:val="center"/>
              <w:rPr>
                <w:rFonts w:ascii="Arial" w:hAnsi="Arial" w:cs="Arial"/>
                <w:sz w:val="18"/>
                <w:szCs w:val="18"/>
                <w:lang w:val="en-GB" w:eastAsia="zh-CN"/>
              </w:rPr>
            </w:pPr>
            <w:r w:rsidRPr="004954B0">
              <w:rPr>
                <w:rFonts w:ascii="Arial" w:hAnsi="Arial"/>
                <w:spacing w:val="-3"/>
                <w:sz w:val="18"/>
                <w:szCs w:val="18"/>
                <w:lang w:val="en-GB"/>
              </w:rPr>
              <w:t>Number</w:t>
            </w:r>
          </w:p>
        </w:tc>
        <w:tc>
          <w:tcPr>
            <w:tcW w:w="2160" w:type="dxa"/>
            <w:tcBorders>
              <w:top w:val="single" w:sz="4" w:space="0" w:color="auto"/>
              <w:left w:val="single" w:sz="4" w:space="0" w:color="auto"/>
              <w:bottom w:val="single" w:sz="4" w:space="0" w:color="auto"/>
              <w:right w:val="single" w:sz="4" w:space="0" w:color="auto"/>
            </w:tcBorders>
            <w:vAlign w:val="center"/>
          </w:tcPr>
          <w:p w14:paraId="12AE3160" w14:textId="66EEAAA5" w:rsidR="007677F7" w:rsidRPr="004954B0" w:rsidRDefault="007677F7" w:rsidP="007677F7">
            <w:pPr>
              <w:spacing w:before="20" w:after="40"/>
              <w:jc w:val="both"/>
              <w:rPr>
                <w:rFonts w:ascii="Arial" w:hAnsi="Arial" w:cs="Arial"/>
                <w:sz w:val="18"/>
                <w:szCs w:val="18"/>
                <w:lang w:val="en-GB" w:eastAsia="zh-CN"/>
              </w:rPr>
            </w:pPr>
            <w:r w:rsidRPr="004954B0">
              <w:rPr>
                <w:rFonts w:ascii="Arial" w:hAnsi="Arial"/>
                <w:spacing w:val="-3"/>
                <w:sz w:val="18"/>
                <w:szCs w:val="18"/>
                <w:lang w:val="en-GB"/>
              </w:rPr>
              <w:t>World Health Organization (WHO) reports</w:t>
            </w:r>
          </w:p>
        </w:tc>
        <w:tc>
          <w:tcPr>
            <w:tcW w:w="3060" w:type="dxa"/>
            <w:tcBorders>
              <w:top w:val="single" w:sz="4" w:space="0" w:color="auto"/>
              <w:left w:val="single" w:sz="4" w:space="0" w:color="auto"/>
              <w:bottom w:val="single" w:sz="4" w:space="0" w:color="auto"/>
              <w:right w:val="single" w:sz="4" w:space="0" w:color="auto"/>
            </w:tcBorders>
            <w:vAlign w:val="center"/>
          </w:tcPr>
          <w:p w14:paraId="3FA8DD0F" w14:textId="6A5BC1B8" w:rsidR="007677F7" w:rsidRPr="004954B0" w:rsidRDefault="007677F7" w:rsidP="007677F7">
            <w:pPr>
              <w:spacing w:before="20" w:after="40"/>
              <w:jc w:val="both"/>
              <w:rPr>
                <w:rFonts w:ascii="Arial" w:hAnsi="Arial" w:cs="Arial"/>
                <w:sz w:val="18"/>
                <w:szCs w:val="18"/>
                <w:lang w:val="en-GB" w:eastAsia="zh-CN"/>
              </w:rPr>
            </w:pPr>
            <w:r w:rsidRPr="004954B0">
              <w:rPr>
                <w:rFonts w:ascii="Arial" w:hAnsi="Arial"/>
                <w:spacing w:val="-3"/>
                <w:sz w:val="18"/>
                <w:szCs w:val="18"/>
                <w:lang w:val="en-GB"/>
              </w:rPr>
              <w:t xml:space="preserve">The difference between </w:t>
            </w:r>
            <w:r w:rsidR="00962F35">
              <w:rPr>
                <w:rFonts w:ascii="Arial" w:hAnsi="Arial"/>
                <w:spacing w:val="-3"/>
                <w:sz w:val="18"/>
                <w:szCs w:val="18"/>
                <w:lang w:val="en-GB"/>
              </w:rPr>
              <w:t>the</w:t>
            </w:r>
            <w:r w:rsidRPr="004954B0">
              <w:rPr>
                <w:rFonts w:ascii="Arial" w:hAnsi="Arial"/>
                <w:spacing w:val="-3"/>
                <w:sz w:val="18"/>
                <w:szCs w:val="18"/>
                <w:lang w:val="en-GB"/>
              </w:rPr>
              <w:t xml:space="preserve"> number of cases and the ones set out in the simulations of epidemiological models will be analyzed.</w:t>
            </w:r>
          </w:p>
        </w:tc>
      </w:tr>
      <w:tr w:rsidR="00640C94" w:rsidRPr="00CC71C6" w14:paraId="66C88E48" w14:textId="77777777" w:rsidTr="00547B24">
        <w:trPr>
          <w:trHeight w:val="20"/>
        </w:trPr>
        <w:tc>
          <w:tcPr>
            <w:tcW w:w="2245" w:type="dxa"/>
            <w:tcBorders>
              <w:top w:val="single" w:sz="4" w:space="0" w:color="auto"/>
              <w:left w:val="single" w:sz="4" w:space="0" w:color="auto"/>
              <w:bottom w:val="single" w:sz="4" w:space="0" w:color="auto"/>
              <w:right w:val="single" w:sz="4" w:space="0" w:color="auto"/>
            </w:tcBorders>
            <w:vAlign w:val="center"/>
          </w:tcPr>
          <w:p w14:paraId="79CBBC86" w14:textId="5EA4EF97" w:rsidR="00640C94" w:rsidRPr="004954B0" w:rsidRDefault="00313DB6" w:rsidP="00640C94">
            <w:pPr>
              <w:spacing w:before="20" w:after="40"/>
              <w:jc w:val="both"/>
              <w:rPr>
                <w:rFonts w:ascii="Arial" w:hAnsi="Arial" w:cs="Arial"/>
                <w:sz w:val="18"/>
                <w:szCs w:val="18"/>
                <w:lang w:val="en-GB" w:eastAsia="zh-CN"/>
              </w:rPr>
            </w:pPr>
            <w:r w:rsidRPr="004954B0">
              <w:rPr>
                <w:rFonts w:ascii="Arial" w:hAnsi="Arial"/>
                <w:spacing w:val="-3"/>
                <w:sz w:val="18"/>
                <w:szCs w:val="18"/>
                <w:lang w:val="en-GB"/>
              </w:rPr>
              <w:t>2</w:t>
            </w:r>
            <w:r w:rsidR="00640C94" w:rsidRPr="004954B0">
              <w:rPr>
                <w:rFonts w:ascii="Arial" w:hAnsi="Arial"/>
                <w:spacing w:val="-3"/>
                <w:sz w:val="18"/>
                <w:szCs w:val="18"/>
                <w:lang w:val="en-GB"/>
              </w:rPr>
              <w:t>. Government primary balance</w:t>
            </w:r>
          </w:p>
        </w:tc>
        <w:tc>
          <w:tcPr>
            <w:tcW w:w="1260" w:type="dxa"/>
            <w:tcBorders>
              <w:top w:val="single" w:sz="4" w:space="0" w:color="auto"/>
              <w:left w:val="single" w:sz="4" w:space="0" w:color="auto"/>
              <w:bottom w:val="single" w:sz="4" w:space="0" w:color="auto"/>
              <w:right w:val="single" w:sz="4" w:space="0" w:color="auto"/>
            </w:tcBorders>
            <w:vAlign w:val="center"/>
          </w:tcPr>
          <w:p w14:paraId="180C5306" w14:textId="79209D60" w:rsidR="00640C94" w:rsidRPr="004954B0" w:rsidRDefault="00640C94" w:rsidP="00640C94">
            <w:pPr>
              <w:spacing w:before="20" w:after="40"/>
              <w:jc w:val="center"/>
              <w:rPr>
                <w:rFonts w:ascii="Arial" w:hAnsi="Arial" w:cs="Arial"/>
                <w:sz w:val="18"/>
                <w:szCs w:val="18"/>
                <w:lang w:val="en-GB" w:eastAsia="zh-CN"/>
              </w:rPr>
            </w:pPr>
            <w:r w:rsidRPr="004954B0">
              <w:rPr>
                <w:rFonts w:ascii="Arial" w:hAnsi="Arial"/>
                <w:spacing w:val="-3"/>
                <w:sz w:val="18"/>
                <w:szCs w:val="18"/>
                <w:lang w:val="en-GB"/>
              </w:rPr>
              <w:t>Percentage</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2BD9C7DA" w14:textId="0210CF27" w:rsidR="00640C94" w:rsidRPr="004954B0" w:rsidRDefault="00147873" w:rsidP="00640C94">
            <w:pPr>
              <w:spacing w:before="20" w:after="40"/>
              <w:jc w:val="both"/>
              <w:rPr>
                <w:rFonts w:ascii="Arial" w:hAnsi="Arial" w:cs="Arial"/>
                <w:sz w:val="18"/>
                <w:szCs w:val="18"/>
                <w:highlight w:val="yellow"/>
                <w:lang w:val="en-GB" w:eastAsia="zh-CN"/>
              </w:rPr>
            </w:pPr>
            <w:r w:rsidRPr="00147873">
              <w:rPr>
                <w:rFonts w:ascii="Arial" w:hAnsi="Arial"/>
                <w:spacing w:val="-3"/>
                <w:sz w:val="18"/>
                <w:szCs w:val="18"/>
                <w:lang w:val="en-GB"/>
              </w:rPr>
              <w:t xml:space="preserve">Official letter of the Ministry of Finance, Economic </w:t>
            </w:r>
            <w:proofErr w:type="gramStart"/>
            <w:r w:rsidRPr="00147873">
              <w:rPr>
                <w:rFonts w:ascii="Arial" w:hAnsi="Arial"/>
                <w:spacing w:val="-3"/>
                <w:sz w:val="18"/>
                <w:szCs w:val="18"/>
                <w:lang w:val="en-GB"/>
              </w:rPr>
              <w:t>Affairs</w:t>
            </w:r>
            <w:proofErr w:type="gramEnd"/>
            <w:r w:rsidRPr="00147873">
              <w:rPr>
                <w:rFonts w:ascii="Arial" w:hAnsi="Arial"/>
                <w:spacing w:val="-3"/>
                <w:sz w:val="18"/>
                <w:szCs w:val="18"/>
                <w:lang w:val="en-GB"/>
              </w:rPr>
              <w:t xml:space="preserve"> and Investment (MFEI).</w:t>
            </w:r>
          </w:p>
        </w:tc>
        <w:tc>
          <w:tcPr>
            <w:tcW w:w="3060" w:type="dxa"/>
            <w:tcBorders>
              <w:top w:val="single" w:sz="4" w:space="0" w:color="auto"/>
              <w:left w:val="single" w:sz="4" w:space="0" w:color="auto"/>
              <w:bottom w:val="single" w:sz="4" w:space="0" w:color="auto"/>
              <w:right w:val="single" w:sz="4" w:space="0" w:color="auto"/>
            </w:tcBorders>
            <w:vAlign w:val="center"/>
          </w:tcPr>
          <w:p w14:paraId="5CD4B249" w14:textId="315CB520" w:rsidR="00640C94" w:rsidRPr="004954B0" w:rsidRDefault="00640C94" w:rsidP="00640C94">
            <w:pPr>
              <w:spacing w:before="20" w:after="40"/>
              <w:jc w:val="both"/>
              <w:rPr>
                <w:rFonts w:ascii="Arial" w:hAnsi="Arial" w:cs="Arial"/>
                <w:sz w:val="18"/>
                <w:szCs w:val="18"/>
                <w:lang w:val="en-GB" w:eastAsia="zh-CN"/>
              </w:rPr>
            </w:pPr>
            <w:r w:rsidRPr="004954B0">
              <w:rPr>
                <w:rFonts w:ascii="Arial" w:hAnsi="Arial"/>
                <w:spacing w:val="-3"/>
                <w:sz w:val="18"/>
                <w:szCs w:val="18"/>
                <w:lang w:val="en-GB"/>
              </w:rPr>
              <w:t>Primary fiscal balance as a percentage of GDP.</w:t>
            </w:r>
          </w:p>
        </w:tc>
      </w:tr>
    </w:tbl>
    <w:p w14:paraId="37075259" w14:textId="77777777" w:rsidR="00632412" w:rsidRPr="004954B0" w:rsidRDefault="00632412" w:rsidP="00632412">
      <w:pPr>
        <w:jc w:val="both"/>
        <w:rPr>
          <w:rFonts w:ascii="Arial" w:hAnsi="Arial" w:cs="Arial"/>
          <w:sz w:val="22"/>
          <w:szCs w:val="22"/>
          <w:lang w:val="en-GB"/>
        </w:rPr>
      </w:pPr>
    </w:p>
    <w:p w14:paraId="2EEEF347" w14:textId="29DF7018" w:rsidR="00632412" w:rsidRPr="004954B0" w:rsidRDefault="00632412" w:rsidP="00E940AD">
      <w:pPr>
        <w:spacing w:after="120"/>
        <w:jc w:val="both"/>
        <w:rPr>
          <w:rFonts w:ascii="Arial" w:hAnsi="Arial" w:cs="Arial"/>
          <w:sz w:val="22"/>
          <w:szCs w:val="22"/>
          <w:lang w:val="en-GB"/>
        </w:rPr>
      </w:pPr>
    </w:p>
    <w:p w14:paraId="7BDC0E53" w14:textId="040496D2" w:rsidR="00930000" w:rsidRPr="004954B0" w:rsidRDefault="004B1C0F" w:rsidP="00E940AD">
      <w:pPr>
        <w:spacing w:after="120"/>
        <w:jc w:val="both"/>
        <w:rPr>
          <w:rFonts w:ascii="Arial" w:hAnsi="Arial" w:cs="Arial"/>
          <w:b/>
          <w:bCs/>
          <w:sz w:val="22"/>
          <w:szCs w:val="22"/>
          <w:u w:val="single"/>
          <w:lang w:val="en-GB"/>
        </w:rPr>
      </w:pPr>
      <w:r w:rsidRPr="004954B0">
        <w:rPr>
          <w:rFonts w:ascii="Arial" w:hAnsi="Arial" w:cs="Arial"/>
          <w:b/>
          <w:bCs/>
          <w:sz w:val="22"/>
          <w:szCs w:val="22"/>
          <w:u w:val="single"/>
          <w:lang w:val="en-GB"/>
        </w:rPr>
        <w:t>Indica</w:t>
      </w:r>
      <w:r w:rsidRPr="004954B0">
        <w:rPr>
          <w:rFonts w:ascii="Arial" w:hAnsi="Arial" w:cs="Arial"/>
          <w:b/>
          <w:bCs/>
          <w:sz w:val="22"/>
          <w:szCs w:val="22"/>
          <w:u w:val="single"/>
          <w:lang w:val="en-GB" w:eastAsia="zh-CN"/>
        </w:rPr>
        <w:t>tor</w:t>
      </w:r>
      <w:r w:rsidR="00930000" w:rsidRPr="004954B0">
        <w:rPr>
          <w:rFonts w:ascii="Arial" w:hAnsi="Arial" w:cs="Arial"/>
          <w:b/>
          <w:bCs/>
          <w:sz w:val="22"/>
          <w:szCs w:val="22"/>
          <w:u w:val="single"/>
          <w:lang w:val="en-GB"/>
        </w:rPr>
        <w:t xml:space="preserve"> 1: </w:t>
      </w:r>
      <w:r w:rsidR="00147873">
        <w:rPr>
          <w:rFonts w:ascii="Arial" w:hAnsi="Arial" w:cs="Arial"/>
          <w:b/>
          <w:bCs/>
          <w:sz w:val="22"/>
          <w:szCs w:val="22"/>
          <w:u w:val="single"/>
          <w:lang w:val="en-GB" w:eastAsia="zh-CN"/>
        </w:rPr>
        <w:t>Estimated</w:t>
      </w:r>
      <w:r w:rsidRPr="004954B0">
        <w:rPr>
          <w:rFonts w:ascii="Arial" w:hAnsi="Arial" w:cs="Arial"/>
          <w:b/>
          <w:bCs/>
          <w:sz w:val="22"/>
          <w:szCs w:val="22"/>
          <w:u w:val="single"/>
          <w:lang w:val="en-GB" w:eastAsia="zh-CN"/>
        </w:rPr>
        <w:t xml:space="preserve"> </w:t>
      </w:r>
      <w:r w:rsidR="00A852DE" w:rsidRPr="004954B0">
        <w:rPr>
          <w:rFonts w:ascii="Arial" w:hAnsi="Arial" w:cs="Arial"/>
          <w:b/>
          <w:bCs/>
          <w:sz w:val="22"/>
          <w:szCs w:val="22"/>
          <w:u w:val="single"/>
          <w:lang w:val="en-GB" w:eastAsia="zh-CN"/>
        </w:rPr>
        <w:t>COVID-19</w:t>
      </w:r>
      <w:r w:rsidR="000B3ADC" w:rsidRPr="004954B0">
        <w:rPr>
          <w:rFonts w:ascii="Arial" w:hAnsi="Arial" w:cs="Arial"/>
          <w:b/>
          <w:bCs/>
          <w:sz w:val="22"/>
          <w:szCs w:val="22"/>
          <w:u w:val="single"/>
          <w:lang w:val="en-GB" w:eastAsia="zh-CN"/>
        </w:rPr>
        <w:t xml:space="preserve"> cases</w:t>
      </w:r>
      <w:r w:rsidR="00A852DE" w:rsidRPr="004954B0">
        <w:rPr>
          <w:rFonts w:ascii="Arial" w:hAnsi="Arial" w:cs="Arial"/>
          <w:b/>
          <w:bCs/>
          <w:sz w:val="22"/>
          <w:szCs w:val="22"/>
          <w:u w:val="single"/>
          <w:lang w:val="en-GB" w:eastAsia="zh-CN"/>
        </w:rPr>
        <w:t xml:space="preserve"> </w:t>
      </w:r>
    </w:p>
    <w:p w14:paraId="0721ABCF" w14:textId="5A72236B" w:rsidR="00632412" w:rsidRPr="004954B0" w:rsidRDefault="006F4A5D" w:rsidP="00E940AD">
      <w:pPr>
        <w:spacing w:after="120"/>
        <w:jc w:val="both"/>
        <w:rPr>
          <w:rFonts w:ascii="Arial" w:hAnsi="Arial" w:cs="Arial"/>
          <w:sz w:val="22"/>
          <w:szCs w:val="22"/>
          <w:lang w:val="en-GB"/>
        </w:rPr>
      </w:pPr>
      <w:r w:rsidRPr="004954B0">
        <w:rPr>
          <w:rFonts w:ascii="Arial" w:hAnsi="Arial" w:cs="Arial"/>
          <w:sz w:val="22"/>
          <w:szCs w:val="22"/>
          <w:lang w:val="en-GB"/>
        </w:rPr>
        <w:t xml:space="preserve">Information on the number of confirmed COVID-19 </w:t>
      </w:r>
      <w:r w:rsidR="00A374C2" w:rsidRPr="004954B0">
        <w:rPr>
          <w:rFonts w:ascii="Arial" w:hAnsi="Arial" w:cs="Arial"/>
          <w:sz w:val="22"/>
          <w:szCs w:val="22"/>
          <w:lang w:val="en-GB" w:eastAsia="zh-CN"/>
        </w:rPr>
        <w:t xml:space="preserve">cases </w:t>
      </w:r>
      <w:r w:rsidRPr="004954B0">
        <w:rPr>
          <w:rFonts w:ascii="Arial" w:hAnsi="Arial" w:cs="Arial"/>
          <w:sz w:val="22"/>
          <w:szCs w:val="22"/>
          <w:lang w:val="en-GB"/>
        </w:rPr>
        <w:t>will be obtained</w:t>
      </w:r>
      <w:r w:rsidR="00CC0969" w:rsidRPr="004954B0">
        <w:rPr>
          <w:rFonts w:ascii="Arial" w:hAnsi="Arial" w:cs="Arial"/>
          <w:sz w:val="22"/>
          <w:szCs w:val="22"/>
          <w:lang w:val="en-GB"/>
        </w:rPr>
        <w:t xml:space="preserve"> from the WHO situation reports</w:t>
      </w:r>
      <w:r w:rsidRPr="004954B0">
        <w:rPr>
          <w:rFonts w:ascii="Arial" w:hAnsi="Arial" w:cs="Arial"/>
          <w:sz w:val="22"/>
          <w:szCs w:val="22"/>
          <w:lang w:val="en-GB"/>
        </w:rPr>
        <w:t xml:space="preserve"> available at </w:t>
      </w:r>
      <w:hyperlink r:id="rId25" w:history="1">
        <w:r w:rsidR="006D0595" w:rsidRPr="004954B0">
          <w:rPr>
            <w:rStyle w:val="Hyperlink"/>
            <w:rFonts w:ascii="Arial" w:hAnsi="Arial" w:cs="Arial"/>
            <w:sz w:val="22"/>
            <w:szCs w:val="22"/>
            <w:lang w:val="en-GB"/>
          </w:rPr>
          <w:t>https://www.who.int/emergencies/diseases/novel-coronavirus-2019/situation-reports/</w:t>
        </w:r>
      </w:hyperlink>
      <w:r w:rsidR="006D0595" w:rsidRPr="004954B0">
        <w:rPr>
          <w:rFonts w:ascii="Arial" w:hAnsi="Arial" w:cs="Arial"/>
          <w:sz w:val="22"/>
          <w:szCs w:val="22"/>
          <w:lang w:val="en-GB"/>
        </w:rPr>
        <w:t xml:space="preserve">, </w:t>
      </w:r>
      <w:r w:rsidR="00CC0969" w:rsidRPr="004954B0">
        <w:rPr>
          <w:rFonts w:ascii="Arial" w:hAnsi="Arial" w:cs="Arial"/>
          <w:sz w:val="22"/>
          <w:szCs w:val="22"/>
          <w:lang w:val="en-GB"/>
        </w:rPr>
        <w:t>which provide</w:t>
      </w:r>
      <w:r w:rsidR="00384BE7" w:rsidRPr="004954B0">
        <w:rPr>
          <w:rFonts w:ascii="Arial" w:hAnsi="Arial" w:cs="Arial"/>
          <w:sz w:val="22"/>
          <w:szCs w:val="22"/>
          <w:lang w:val="en-GB"/>
        </w:rPr>
        <w:t xml:space="preserve"> daily updates on </w:t>
      </w:r>
      <w:r w:rsidR="00847A52" w:rsidRPr="004954B0">
        <w:rPr>
          <w:rFonts w:ascii="Arial" w:hAnsi="Arial" w:cs="Arial"/>
          <w:sz w:val="22"/>
          <w:szCs w:val="22"/>
          <w:lang w:val="en-GB"/>
        </w:rPr>
        <w:t xml:space="preserve">the numbers of </w:t>
      </w:r>
      <w:r w:rsidR="00384BE7" w:rsidRPr="004954B0">
        <w:rPr>
          <w:rFonts w:ascii="Arial" w:hAnsi="Arial" w:cs="Arial"/>
          <w:sz w:val="22"/>
          <w:szCs w:val="22"/>
          <w:lang w:val="en-GB"/>
        </w:rPr>
        <w:t xml:space="preserve">infections and deaths for </w:t>
      </w:r>
      <w:r w:rsidR="00547B24" w:rsidRPr="004954B0">
        <w:rPr>
          <w:rFonts w:ascii="Arial" w:hAnsi="Arial" w:cs="Arial"/>
          <w:sz w:val="22"/>
          <w:szCs w:val="22"/>
          <w:lang w:val="en-GB"/>
        </w:rPr>
        <w:t xml:space="preserve">LAC countries. </w:t>
      </w:r>
      <w:r w:rsidR="004651BF" w:rsidRPr="004954B0">
        <w:rPr>
          <w:rFonts w:ascii="Arial" w:hAnsi="Arial" w:cs="Arial"/>
          <w:sz w:val="22"/>
          <w:szCs w:val="22"/>
          <w:lang w:val="en-GB"/>
        </w:rPr>
        <w:t xml:space="preserve">This information will be compared against the number of cases predicted by epidemiological models for a scenario without public policy </w:t>
      </w:r>
      <w:r w:rsidR="004651BF" w:rsidRPr="00A164BB">
        <w:rPr>
          <w:rFonts w:ascii="Arial" w:hAnsi="Arial" w:cs="Arial"/>
          <w:sz w:val="22"/>
          <w:szCs w:val="22"/>
          <w:lang w:val="en-GB"/>
        </w:rPr>
        <w:t>intervention. It is</w:t>
      </w:r>
      <w:r w:rsidR="004651BF" w:rsidRPr="004954B0">
        <w:rPr>
          <w:rFonts w:ascii="Arial" w:hAnsi="Arial" w:cs="Arial"/>
          <w:sz w:val="22"/>
          <w:szCs w:val="22"/>
          <w:lang w:val="en-GB"/>
        </w:rPr>
        <w:t xml:space="preserve"> expected that the interventions supported by the Program</w:t>
      </w:r>
      <w:r w:rsidR="003022E2" w:rsidRPr="004954B0">
        <w:rPr>
          <w:rFonts w:ascii="Arial" w:hAnsi="Arial" w:cs="Arial"/>
          <w:sz w:val="22"/>
          <w:szCs w:val="22"/>
          <w:lang w:val="en-GB"/>
        </w:rPr>
        <w:t>me</w:t>
      </w:r>
      <w:r w:rsidR="004651BF" w:rsidRPr="004954B0">
        <w:rPr>
          <w:rFonts w:ascii="Arial" w:hAnsi="Arial" w:cs="Arial"/>
          <w:sz w:val="22"/>
          <w:szCs w:val="22"/>
          <w:lang w:val="en-GB"/>
        </w:rPr>
        <w:t xml:space="preserve"> will reduce the number of cases of infection, which is why the number of cases observed should be fewer than the number predicted by epidemiological models. The epidemiological model will be chosen at the time of the program</w:t>
      </w:r>
      <w:r w:rsidR="003022E2" w:rsidRPr="004954B0">
        <w:rPr>
          <w:rFonts w:ascii="Arial" w:hAnsi="Arial" w:cs="Arial"/>
          <w:sz w:val="22"/>
          <w:szCs w:val="22"/>
          <w:lang w:val="en-GB"/>
        </w:rPr>
        <w:t>me</w:t>
      </w:r>
      <w:r w:rsidR="004651BF" w:rsidRPr="004954B0">
        <w:rPr>
          <w:rFonts w:ascii="Arial" w:hAnsi="Arial" w:cs="Arial"/>
          <w:sz w:val="22"/>
          <w:szCs w:val="22"/>
          <w:lang w:val="en-GB"/>
        </w:rPr>
        <w:t xml:space="preserve"> closure, based on a literature review </w:t>
      </w:r>
      <w:r w:rsidR="001D2070" w:rsidRPr="004954B0">
        <w:rPr>
          <w:rFonts w:ascii="Arial" w:hAnsi="Arial" w:cs="Arial"/>
          <w:sz w:val="22"/>
          <w:szCs w:val="22"/>
          <w:lang w:val="en-GB"/>
        </w:rPr>
        <w:t>to identify</w:t>
      </w:r>
      <w:r w:rsidR="004651BF" w:rsidRPr="004954B0">
        <w:rPr>
          <w:rFonts w:ascii="Arial" w:hAnsi="Arial" w:cs="Arial"/>
          <w:sz w:val="22"/>
          <w:szCs w:val="22"/>
          <w:lang w:val="en-GB"/>
        </w:rPr>
        <w:t xml:space="preserve"> the most accurate models</w:t>
      </w:r>
      <w:r w:rsidR="00526AD6" w:rsidRPr="00A164BB">
        <w:rPr>
          <w:rStyle w:val="FootnoteReference"/>
          <w:rFonts w:ascii="Arial" w:hAnsi="Arial" w:cs="Arial"/>
          <w:spacing w:val="-3"/>
          <w:sz w:val="22"/>
          <w:szCs w:val="22"/>
          <w:lang w:val="en-GB"/>
        </w:rPr>
        <w:footnoteReference w:id="5"/>
      </w:r>
      <w:r w:rsidR="004651BF" w:rsidRPr="004954B0">
        <w:rPr>
          <w:rFonts w:ascii="Arial" w:hAnsi="Arial" w:cs="Arial"/>
          <w:sz w:val="22"/>
          <w:szCs w:val="22"/>
          <w:lang w:val="en-GB" w:eastAsia="zh-CN"/>
        </w:rPr>
        <w:t>.</w:t>
      </w:r>
    </w:p>
    <w:p w14:paraId="44BC9C92" w14:textId="77777777" w:rsidR="001F379E" w:rsidRPr="004954B0" w:rsidRDefault="001F379E" w:rsidP="00E940AD">
      <w:pPr>
        <w:spacing w:after="120"/>
        <w:jc w:val="both"/>
        <w:rPr>
          <w:rFonts w:ascii="Arial" w:hAnsi="Arial" w:cs="Arial"/>
          <w:sz w:val="22"/>
          <w:szCs w:val="22"/>
          <w:lang w:val="en-GB" w:eastAsia="zh-CN"/>
        </w:rPr>
      </w:pPr>
    </w:p>
    <w:p w14:paraId="2D2438FB" w14:textId="2A9B2B7C" w:rsidR="005E5956" w:rsidRPr="004954B0" w:rsidRDefault="00EC548A" w:rsidP="00E940AD">
      <w:pPr>
        <w:spacing w:after="120"/>
        <w:jc w:val="both"/>
        <w:rPr>
          <w:rFonts w:ascii="Arial" w:hAnsi="Arial" w:cs="Arial"/>
          <w:sz w:val="22"/>
          <w:szCs w:val="22"/>
          <w:lang w:val="en-GB"/>
        </w:rPr>
      </w:pPr>
      <w:r w:rsidRPr="004954B0">
        <w:rPr>
          <w:rFonts w:ascii="Arial" w:hAnsi="Arial" w:cs="Arial"/>
          <w:b/>
          <w:bCs/>
          <w:sz w:val="22"/>
          <w:szCs w:val="22"/>
          <w:u w:val="single"/>
          <w:lang w:val="en-GB"/>
        </w:rPr>
        <w:t>Indicat</w:t>
      </w:r>
      <w:r w:rsidR="005E5956" w:rsidRPr="004954B0">
        <w:rPr>
          <w:rFonts w:ascii="Arial" w:hAnsi="Arial" w:cs="Arial"/>
          <w:b/>
          <w:bCs/>
          <w:sz w:val="22"/>
          <w:szCs w:val="22"/>
          <w:u w:val="single"/>
          <w:lang w:val="en-GB"/>
        </w:rPr>
        <w:t xml:space="preserve">or </w:t>
      </w:r>
      <w:r w:rsidR="008C17C5" w:rsidRPr="004954B0">
        <w:rPr>
          <w:rFonts w:ascii="Arial" w:hAnsi="Arial" w:cs="Arial"/>
          <w:b/>
          <w:bCs/>
          <w:sz w:val="22"/>
          <w:szCs w:val="22"/>
          <w:u w:val="single"/>
          <w:lang w:val="en-GB"/>
        </w:rPr>
        <w:t>2</w:t>
      </w:r>
      <w:r w:rsidR="005E5956" w:rsidRPr="004954B0">
        <w:rPr>
          <w:rFonts w:ascii="Arial" w:hAnsi="Arial" w:cs="Arial"/>
          <w:b/>
          <w:bCs/>
          <w:sz w:val="22"/>
          <w:szCs w:val="22"/>
          <w:u w:val="single"/>
          <w:lang w:val="en-GB"/>
        </w:rPr>
        <w:t xml:space="preserve">: </w:t>
      </w:r>
      <w:r w:rsidR="00640C94" w:rsidRPr="004954B0">
        <w:rPr>
          <w:rFonts w:ascii="Arial" w:hAnsi="Arial" w:cs="Arial"/>
          <w:b/>
          <w:bCs/>
          <w:sz w:val="22"/>
          <w:szCs w:val="22"/>
          <w:u w:val="single"/>
          <w:lang w:val="en-GB"/>
        </w:rPr>
        <w:t xml:space="preserve">Government </w:t>
      </w:r>
      <w:r w:rsidR="00640C94" w:rsidRPr="004954B0">
        <w:rPr>
          <w:rFonts w:ascii="Arial" w:hAnsi="Arial" w:cs="Arial"/>
          <w:b/>
          <w:bCs/>
          <w:sz w:val="22"/>
          <w:szCs w:val="22"/>
          <w:u w:val="single"/>
          <w:lang w:val="en-GB" w:eastAsia="zh-CN"/>
        </w:rPr>
        <w:t>p</w:t>
      </w:r>
      <w:r w:rsidR="00090FDE" w:rsidRPr="004954B0">
        <w:rPr>
          <w:rFonts w:ascii="Arial" w:hAnsi="Arial" w:cs="Arial"/>
          <w:b/>
          <w:bCs/>
          <w:sz w:val="22"/>
          <w:szCs w:val="22"/>
          <w:u w:val="single"/>
          <w:lang w:val="en-GB" w:eastAsia="zh-CN"/>
        </w:rPr>
        <w:t>rimary balance</w:t>
      </w:r>
    </w:p>
    <w:p w14:paraId="43E0F797" w14:textId="36791B09" w:rsidR="00632412" w:rsidRPr="004954B0" w:rsidRDefault="00533A32" w:rsidP="00E940AD">
      <w:pPr>
        <w:spacing w:after="120"/>
        <w:jc w:val="both"/>
        <w:rPr>
          <w:rFonts w:ascii="Arial" w:hAnsi="Arial" w:cs="Arial"/>
          <w:sz w:val="22"/>
          <w:szCs w:val="22"/>
          <w:lang w:val="en-GB"/>
        </w:rPr>
      </w:pPr>
      <w:r w:rsidRPr="004954B0">
        <w:rPr>
          <w:rFonts w:ascii="Arial" w:hAnsi="Arial" w:cs="Arial"/>
          <w:sz w:val="22"/>
          <w:szCs w:val="22"/>
          <w:lang w:val="en-GB" w:eastAsia="zh-CN"/>
        </w:rPr>
        <w:t>P</w:t>
      </w:r>
      <w:r w:rsidR="00337D0B" w:rsidRPr="004954B0">
        <w:rPr>
          <w:rFonts w:ascii="Arial" w:hAnsi="Arial" w:cs="Arial"/>
          <w:sz w:val="22"/>
          <w:szCs w:val="22"/>
          <w:lang w:val="en-GB" w:eastAsia="zh-CN"/>
        </w:rPr>
        <w:t>rimary</w:t>
      </w:r>
      <w:r w:rsidR="003F1E5A" w:rsidRPr="004954B0">
        <w:rPr>
          <w:rFonts w:ascii="Arial" w:hAnsi="Arial" w:cs="Arial"/>
          <w:sz w:val="22"/>
          <w:szCs w:val="22"/>
          <w:lang w:val="en-GB"/>
        </w:rPr>
        <w:t xml:space="preserve"> </w:t>
      </w:r>
      <w:r w:rsidR="002D586D" w:rsidRPr="004954B0">
        <w:rPr>
          <w:rFonts w:ascii="Arial" w:hAnsi="Arial" w:cs="Arial"/>
          <w:sz w:val="22"/>
          <w:szCs w:val="22"/>
          <w:lang w:val="en-GB" w:eastAsia="zh-CN"/>
        </w:rPr>
        <w:t xml:space="preserve">fiscal </w:t>
      </w:r>
      <w:r w:rsidR="003F1E5A" w:rsidRPr="004954B0">
        <w:rPr>
          <w:rFonts w:ascii="Arial" w:hAnsi="Arial" w:cs="Arial"/>
          <w:sz w:val="22"/>
          <w:szCs w:val="22"/>
          <w:lang w:val="en-GB"/>
        </w:rPr>
        <w:t xml:space="preserve">balance </w:t>
      </w:r>
      <w:r w:rsidRPr="004954B0">
        <w:rPr>
          <w:rFonts w:ascii="Arial" w:hAnsi="Arial" w:cs="Arial"/>
          <w:sz w:val="22"/>
          <w:szCs w:val="22"/>
          <w:lang w:val="en-GB"/>
        </w:rPr>
        <w:t>is a measure</w:t>
      </w:r>
      <w:r w:rsidR="003F1E5A" w:rsidRPr="004954B0">
        <w:rPr>
          <w:rFonts w:ascii="Arial" w:hAnsi="Arial" w:cs="Arial"/>
          <w:sz w:val="22"/>
          <w:szCs w:val="22"/>
          <w:lang w:val="en-GB"/>
        </w:rPr>
        <w:t xml:space="preserve"> to assess changes in the fiscal situation in the post-pandemic period. Primary balance is defined </w:t>
      </w:r>
      <w:r w:rsidR="00C25B26" w:rsidRPr="004954B0">
        <w:rPr>
          <w:rFonts w:ascii="Arial" w:hAnsi="Arial" w:cs="Arial"/>
          <w:sz w:val="22"/>
          <w:szCs w:val="22"/>
          <w:lang w:val="en-GB"/>
        </w:rPr>
        <w:t>as</w:t>
      </w:r>
      <w:r w:rsidR="003F1E5A" w:rsidRPr="004954B0">
        <w:rPr>
          <w:rFonts w:ascii="Arial" w:hAnsi="Arial" w:cs="Arial"/>
          <w:sz w:val="22"/>
          <w:szCs w:val="22"/>
          <w:lang w:val="en-GB"/>
        </w:rPr>
        <w:t xml:space="preserve"> </w:t>
      </w:r>
      <w:r w:rsidR="00C25B26" w:rsidRPr="004954B0">
        <w:rPr>
          <w:rFonts w:ascii="Arial" w:hAnsi="Arial" w:cs="Arial"/>
          <w:sz w:val="22"/>
          <w:szCs w:val="22"/>
          <w:lang w:val="en-GB"/>
        </w:rPr>
        <w:t xml:space="preserve">total </w:t>
      </w:r>
      <w:r w:rsidR="003F1E5A" w:rsidRPr="004954B0">
        <w:rPr>
          <w:rFonts w:ascii="Arial" w:hAnsi="Arial" w:cs="Arial"/>
          <w:sz w:val="22"/>
          <w:szCs w:val="22"/>
          <w:lang w:val="en-GB"/>
        </w:rPr>
        <w:t xml:space="preserve">government revenue </w:t>
      </w:r>
      <w:r w:rsidR="00C25B26" w:rsidRPr="004954B0">
        <w:rPr>
          <w:rFonts w:ascii="Arial" w:hAnsi="Arial" w:cs="Arial"/>
          <w:sz w:val="22"/>
          <w:szCs w:val="22"/>
          <w:lang w:val="en-GB"/>
        </w:rPr>
        <w:t>less</w:t>
      </w:r>
      <w:r w:rsidR="003F1E5A" w:rsidRPr="004954B0">
        <w:rPr>
          <w:rFonts w:ascii="Arial" w:hAnsi="Arial" w:cs="Arial"/>
          <w:sz w:val="22"/>
          <w:szCs w:val="22"/>
          <w:lang w:val="en-GB"/>
        </w:rPr>
        <w:t xml:space="preserve"> </w:t>
      </w:r>
      <w:r w:rsidR="00C25B26" w:rsidRPr="004954B0">
        <w:rPr>
          <w:rFonts w:ascii="Arial" w:hAnsi="Arial" w:cs="Arial"/>
          <w:sz w:val="22"/>
          <w:szCs w:val="22"/>
          <w:lang w:val="en-GB"/>
        </w:rPr>
        <w:t>expenditure</w:t>
      </w:r>
      <w:r w:rsidR="00640C94" w:rsidRPr="004954B0">
        <w:rPr>
          <w:rFonts w:ascii="Arial" w:hAnsi="Arial" w:cs="Arial"/>
          <w:sz w:val="22"/>
          <w:szCs w:val="22"/>
          <w:lang w:val="en-GB"/>
        </w:rPr>
        <w:t xml:space="preserve"> </w:t>
      </w:r>
      <w:r w:rsidR="003F1E5A" w:rsidRPr="004954B0">
        <w:rPr>
          <w:rFonts w:ascii="Arial" w:hAnsi="Arial" w:cs="Arial"/>
          <w:sz w:val="22"/>
          <w:szCs w:val="22"/>
          <w:lang w:val="en-GB"/>
        </w:rPr>
        <w:t>(excluding</w:t>
      </w:r>
      <w:r w:rsidR="00C25B26" w:rsidRPr="004954B0">
        <w:rPr>
          <w:rFonts w:ascii="Arial" w:hAnsi="Arial" w:cs="Arial"/>
          <w:sz w:val="22"/>
          <w:szCs w:val="22"/>
          <w:lang w:val="en-GB"/>
        </w:rPr>
        <w:t xml:space="preserve"> </w:t>
      </w:r>
      <w:r w:rsidR="003F1E5A" w:rsidRPr="004954B0">
        <w:rPr>
          <w:rFonts w:ascii="Arial" w:hAnsi="Arial" w:cs="Arial"/>
          <w:sz w:val="22"/>
          <w:szCs w:val="22"/>
          <w:lang w:val="en-GB"/>
        </w:rPr>
        <w:t>interest payments</w:t>
      </w:r>
      <w:r w:rsidR="00632412" w:rsidRPr="004954B0">
        <w:rPr>
          <w:rFonts w:ascii="Arial" w:hAnsi="Arial" w:cs="Arial"/>
          <w:sz w:val="22"/>
          <w:szCs w:val="22"/>
          <w:lang w:val="en-GB"/>
        </w:rPr>
        <w:t xml:space="preserve">). </w:t>
      </w:r>
    </w:p>
    <w:p w14:paraId="5D951C9A" w14:textId="0CC30750" w:rsidR="00A26398" w:rsidRPr="004954B0" w:rsidRDefault="00A26398" w:rsidP="00632412">
      <w:pPr>
        <w:jc w:val="both"/>
        <w:rPr>
          <w:rFonts w:ascii="Arial" w:hAnsi="Arial" w:cs="Arial"/>
          <w:sz w:val="22"/>
          <w:szCs w:val="22"/>
          <w:lang w:val="en-GB"/>
        </w:rPr>
      </w:pPr>
    </w:p>
    <w:p w14:paraId="78AF8971" w14:textId="6BBD7071" w:rsidR="00632412" w:rsidRPr="004954B0" w:rsidRDefault="00632412" w:rsidP="001F379E">
      <w:pPr>
        <w:spacing w:after="120" w:line="276" w:lineRule="auto"/>
        <w:ind w:left="720" w:hanging="720"/>
        <w:jc w:val="both"/>
        <w:rPr>
          <w:rFonts w:ascii="Arial" w:hAnsi="Arial" w:cs="Arial"/>
          <w:b/>
          <w:sz w:val="22"/>
          <w:szCs w:val="22"/>
          <w:lang w:val="en-GB"/>
        </w:rPr>
      </w:pPr>
      <w:r w:rsidRPr="004954B0">
        <w:rPr>
          <w:rFonts w:ascii="Arial" w:hAnsi="Arial" w:cs="Arial"/>
          <w:b/>
          <w:sz w:val="22"/>
          <w:szCs w:val="22"/>
          <w:lang w:val="en-GB"/>
        </w:rPr>
        <w:br w:type="page"/>
      </w:r>
    </w:p>
    <w:p w14:paraId="6CC90D36" w14:textId="4B0BAB86" w:rsidR="004327ED" w:rsidRPr="004954B0" w:rsidRDefault="004327ED" w:rsidP="005F6EF3">
      <w:pPr>
        <w:spacing w:after="200" w:line="276" w:lineRule="auto"/>
        <w:jc w:val="center"/>
        <w:rPr>
          <w:rFonts w:ascii="Arial" w:hAnsi="Arial" w:cs="Arial"/>
          <w:b/>
          <w:sz w:val="22"/>
          <w:szCs w:val="22"/>
          <w:lang w:val="en-GB"/>
        </w:rPr>
      </w:pPr>
      <w:r w:rsidRPr="004954B0">
        <w:rPr>
          <w:rFonts w:ascii="Arial" w:hAnsi="Arial" w:cs="Arial"/>
          <w:b/>
          <w:sz w:val="22"/>
          <w:szCs w:val="22"/>
          <w:lang w:val="en-GB"/>
        </w:rPr>
        <w:lastRenderedPageBreak/>
        <w:t>AN</w:t>
      </w:r>
      <w:r w:rsidR="006963FD" w:rsidRPr="004954B0">
        <w:rPr>
          <w:rFonts w:ascii="Arial" w:hAnsi="Arial" w:cs="Arial"/>
          <w:b/>
          <w:sz w:val="22"/>
          <w:szCs w:val="22"/>
          <w:lang w:val="en-GB" w:eastAsia="zh-CN"/>
        </w:rPr>
        <w:t>NEX</w:t>
      </w:r>
      <w:r w:rsidRPr="004954B0">
        <w:rPr>
          <w:rFonts w:ascii="Arial" w:hAnsi="Arial" w:cs="Arial"/>
          <w:b/>
          <w:sz w:val="22"/>
          <w:szCs w:val="22"/>
          <w:lang w:val="en-GB"/>
        </w:rPr>
        <w:t xml:space="preserve"> </w:t>
      </w:r>
      <w:r w:rsidR="00E940AD" w:rsidRPr="004954B0">
        <w:rPr>
          <w:rFonts w:ascii="Arial" w:hAnsi="Arial" w:cs="Arial"/>
          <w:b/>
          <w:sz w:val="22"/>
          <w:szCs w:val="22"/>
          <w:lang w:val="en-GB"/>
        </w:rPr>
        <w:t>2</w:t>
      </w:r>
    </w:p>
    <w:p w14:paraId="6CC90D38" w14:textId="0C4B533F" w:rsidR="004327ED" w:rsidRPr="004954B0" w:rsidRDefault="004327ED" w:rsidP="005A0ED4">
      <w:pPr>
        <w:spacing w:line="276" w:lineRule="auto"/>
        <w:jc w:val="center"/>
        <w:rPr>
          <w:rFonts w:ascii="Arial" w:hAnsi="Arial" w:cs="Arial"/>
          <w:b/>
          <w:caps/>
          <w:sz w:val="22"/>
          <w:szCs w:val="22"/>
          <w:lang w:val="en-GB" w:eastAsia="zh-CN"/>
        </w:rPr>
      </w:pPr>
      <w:r w:rsidRPr="004954B0">
        <w:rPr>
          <w:rFonts w:ascii="Arial" w:hAnsi="Arial" w:cs="Arial"/>
          <w:b/>
          <w:caps/>
          <w:sz w:val="22"/>
          <w:szCs w:val="22"/>
          <w:lang w:val="en-GB"/>
        </w:rPr>
        <w:t>Consult</w:t>
      </w:r>
      <w:r w:rsidR="00FE78A8" w:rsidRPr="004954B0">
        <w:rPr>
          <w:rFonts w:ascii="Arial" w:hAnsi="Arial" w:cs="Arial"/>
          <w:b/>
          <w:caps/>
          <w:sz w:val="22"/>
          <w:szCs w:val="22"/>
          <w:lang w:val="en-GB" w:eastAsia="zh-CN"/>
        </w:rPr>
        <w:t>ANCY FOR EX-</w:t>
      </w:r>
      <w:r w:rsidR="00AA57C6" w:rsidRPr="004954B0">
        <w:rPr>
          <w:rFonts w:ascii="Arial" w:hAnsi="Arial" w:cs="Arial"/>
          <w:b/>
          <w:caps/>
          <w:sz w:val="22"/>
          <w:szCs w:val="22"/>
          <w:lang w:val="en-GB" w:eastAsia="zh-CN"/>
        </w:rPr>
        <w:t xml:space="preserve">POST EVALUATION  </w:t>
      </w:r>
    </w:p>
    <w:p w14:paraId="6CC90D39" w14:textId="77777777" w:rsidR="006D2995" w:rsidRPr="004954B0" w:rsidRDefault="006D2995" w:rsidP="004327ED">
      <w:pPr>
        <w:spacing w:line="360" w:lineRule="auto"/>
        <w:jc w:val="center"/>
        <w:rPr>
          <w:rFonts w:ascii="Arial" w:hAnsi="Arial" w:cs="Arial"/>
          <w:b/>
          <w:caps/>
          <w:sz w:val="22"/>
          <w:szCs w:val="22"/>
          <w:lang w:val="en-GB"/>
        </w:rPr>
      </w:pPr>
    </w:p>
    <w:p w14:paraId="6CC90D3A" w14:textId="2C9DD20C" w:rsidR="004327ED" w:rsidRPr="004954B0" w:rsidRDefault="00B73460" w:rsidP="004327ED">
      <w:pPr>
        <w:spacing w:line="360" w:lineRule="auto"/>
        <w:jc w:val="center"/>
        <w:rPr>
          <w:rFonts w:ascii="Arial" w:hAnsi="Arial" w:cs="Arial"/>
          <w:b/>
          <w:caps/>
          <w:sz w:val="22"/>
          <w:szCs w:val="22"/>
          <w:lang w:val="en-GB" w:eastAsia="zh-CN"/>
        </w:rPr>
      </w:pPr>
      <w:r w:rsidRPr="004954B0">
        <w:rPr>
          <w:rFonts w:ascii="Arial" w:hAnsi="Arial" w:cs="Arial"/>
          <w:b/>
          <w:caps/>
          <w:sz w:val="22"/>
          <w:szCs w:val="22"/>
          <w:lang w:val="en-GB" w:eastAsia="zh-CN"/>
        </w:rPr>
        <w:t>dRAFT TERMS OF REFERENCE</w:t>
      </w:r>
    </w:p>
    <w:p w14:paraId="6CC90D3B" w14:textId="58E5AA82" w:rsidR="004327ED" w:rsidRPr="004954B0" w:rsidRDefault="004327ED" w:rsidP="00343BA8">
      <w:pPr>
        <w:spacing w:line="360" w:lineRule="auto"/>
        <w:jc w:val="both"/>
        <w:rPr>
          <w:rFonts w:ascii="Arial" w:hAnsi="Arial" w:cs="Arial"/>
          <w:b/>
          <w:sz w:val="22"/>
          <w:szCs w:val="22"/>
          <w:lang w:val="en-GB"/>
        </w:rPr>
      </w:pPr>
    </w:p>
    <w:p w14:paraId="1DE7DE6F" w14:textId="1C0BC591" w:rsidR="00343BA8" w:rsidRPr="004954B0" w:rsidRDefault="00B73460" w:rsidP="00343BA8">
      <w:pPr>
        <w:spacing w:after="120"/>
        <w:rPr>
          <w:rFonts w:ascii="Arial" w:hAnsi="Arial" w:cs="Arial"/>
          <w:b/>
          <w:bCs/>
          <w:sz w:val="22"/>
          <w:szCs w:val="22"/>
          <w:lang w:val="en-GB"/>
        </w:rPr>
      </w:pPr>
      <w:r w:rsidRPr="004954B0">
        <w:rPr>
          <w:rFonts w:ascii="Arial" w:hAnsi="Arial" w:cs="Arial"/>
          <w:b/>
          <w:bCs/>
          <w:sz w:val="22"/>
          <w:szCs w:val="22"/>
          <w:u w:val="single"/>
          <w:lang w:val="en-GB" w:eastAsia="zh-CN"/>
        </w:rPr>
        <w:t>Background</w:t>
      </w:r>
      <w:r w:rsidR="00343BA8" w:rsidRPr="004954B0">
        <w:rPr>
          <w:rFonts w:ascii="Arial" w:hAnsi="Arial" w:cs="Arial"/>
          <w:b/>
          <w:bCs/>
          <w:sz w:val="22"/>
          <w:szCs w:val="22"/>
          <w:u w:val="single"/>
          <w:lang w:val="en-GB"/>
        </w:rPr>
        <w:t>:</w:t>
      </w:r>
      <w:r w:rsidR="00343BA8" w:rsidRPr="004954B0">
        <w:rPr>
          <w:rFonts w:ascii="Arial" w:hAnsi="Arial" w:cs="Arial"/>
          <w:b/>
          <w:bCs/>
          <w:sz w:val="22"/>
          <w:szCs w:val="22"/>
          <w:lang w:val="en-GB"/>
        </w:rPr>
        <w:t xml:space="preserve"> </w:t>
      </w:r>
    </w:p>
    <w:p w14:paraId="3AD21E7A" w14:textId="5D8F82C7" w:rsidR="0091305B" w:rsidRPr="004954B0" w:rsidRDefault="00D800E4" w:rsidP="00EC2771">
      <w:pPr>
        <w:pStyle w:val="Paragraph"/>
        <w:numPr>
          <w:ilvl w:val="0"/>
          <w:numId w:val="0"/>
        </w:numPr>
        <w:rPr>
          <w:rFonts w:ascii="Arial" w:hAnsi="Arial" w:cs="Arial"/>
          <w:spacing w:val="-4"/>
          <w:sz w:val="22"/>
          <w:szCs w:val="22"/>
          <w:lang w:val="en-GB"/>
        </w:rPr>
      </w:pPr>
      <w:r w:rsidRPr="004954B0">
        <w:rPr>
          <w:rFonts w:ascii="Arial" w:hAnsi="Arial" w:cs="Arial"/>
          <w:sz w:val="22"/>
          <w:szCs w:val="22"/>
          <w:lang w:val="en-GB"/>
        </w:rPr>
        <w:t xml:space="preserve">The COVID-19 pandemic that began in late 2019 in China spread rapidly in the rest of the world, including Latin America and the Caribbean (LAC). To contain the spread of the virus and save lives, LAC countries introduced containment measures, such as border closures, gathering bans and other social distancing measures, </w:t>
      </w:r>
      <w:proofErr w:type="gramStart"/>
      <w:r w:rsidRPr="004954B0">
        <w:rPr>
          <w:rFonts w:ascii="Arial" w:hAnsi="Arial" w:cs="Arial"/>
          <w:sz w:val="22"/>
          <w:szCs w:val="22"/>
          <w:lang w:val="en-GB"/>
        </w:rPr>
        <w:t>in order to</w:t>
      </w:r>
      <w:proofErr w:type="gramEnd"/>
      <w:r w:rsidRPr="004954B0">
        <w:rPr>
          <w:rFonts w:ascii="Arial" w:hAnsi="Arial" w:cs="Arial"/>
          <w:sz w:val="22"/>
          <w:szCs w:val="22"/>
          <w:lang w:val="en-GB"/>
        </w:rPr>
        <w:t xml:space="preserve"> flatten the infection curve. Health containment measures, necessary for saving lives, required households to decrease their economic and </w:t>
      </w:r>
      <w:r w:rsidR="007C3F83" w:rsidRPr="004954B0">
        <w:rPr>
          <w:rFonts w:ascii="Arial" w:hAnsi="Arial" w:cs="Arial"/>
          <w:sz w:val="22"/>
          <w:szCs w:val="22"/>
          <w:lang w:val="en-GB"/>
        </w:rPr>
        <w:t>labour</w:t>
      </w:r>
      <w:r w:rsidRPr="004954B0">
        <w:rPr>
          <w:rFonts w:ascii="Arial" w:hAnsi="Arial" w:cs="Arial"/>
          <w:sz w:val="22"/>
          <w:szCs w:val="22"/>
          <w:lang w:val="en-GB"/>
        </w:rPr>
        <w:t xml:space="preserve"> participation, which led to a decline in economic activity. This, in turn, caused job losses and business closures, affecting household income and wellbeing</w:t>
      </w:r>
      <w:r w:rsidR="0091305B" w:rsidRPr="004954B0">
        <w:rPr>
          <w:rFonts w:ascii="Arial" w:hAnsi="Arial" w:cs="Arial"/>
          <w:spacing w:val="-4"/>
          <w:sz w:val="22"/>
          <w:szCs w:val="22"/>
          <w:lang w:val="en-GB"/>
        </w:rPr>
        <w:t xml:space="preserve">. </w:t>
      </w:r>
    </w:p>
    <w:p w14:paraId="2514D533" w14:textId="41945586" w:rsidR="0091305B" w:rsidRPr="004954B0" w:rsidRDefault="002934F2" w:rsidP="00EC2771">
      <w:pPr>
        <w:pStyle w:val="Paragraph"/>
        <w:numPr>
          <w:ilvl w:val="0"/>
          <w:numId w:val="0"/>
        </w:numPr>
        <w:rPr>
          <w:rFonts w:ascii="Arial" w:hAnsi="Arial" w:cs="Arial"/>
          <w:spacing w:val="-4"/>
          <w:sz w:val="22"/>
          <w:szCs w:val="22"/>
          <w:lang w:val="en-GB"/>
        </w:rPr>
      </w:pPr>
      <w:r w:rsidRPr="004954B0">
        <w:rPr>
          <w:rFonts w:ascii="Arial" w:hAnsi="Arial" w:cs="Arial"/>
          <w:sz w:val="22"/>
          <w:szCs w:val="22"/>
          <w:lang w:val="en-GB"/>
        </w:rPr>
        <w:t>Fiscal policy and management play a crucial role during health emergencies mainly through two channels. On one hand, they allow for the timely and urgent allocation of material and financial resources to address health emergencies. On the other hand, they help protect the income of the most vulnerable households and ameliorate the liquidity problems of businesses, thus reducing the cost of the emergency for families. However, good fiscal interventions during emergencies</w:t>
      </w:r>
      <w:r w:rsidR="00412C43" w:rsidRPr="004954B0">
        <w:rPr>
          <w:rFonts w:ascii="Arial" w:hAnsi="Arial" w:cs="Arial"/>
          <w:sz w:val="22"/>
          <w:szCs w:val="22"/>
          <w:lang w:val="en-GB"/>
        </w:rPr>
        <w:t xml:space="preserve"> are very challenging to desi</w:t>
      </w:r>
      <w:r w:rsidR="00A8348E" w:rsidRPr="004954B0">
        <w:rPr>
          <w:rFonts w:ascii="Arial" w:hAnsi="Arial" w:cs="Arial"/>
          <w:sz w:val="22"/>
          <w:szCs w:val="22"/>
          <w:lang w:val="en-GB"/>
        </w:rPr>
        <w:t>g</w:t>
      </w:r>
      <w:r w:rsidR="00412C43" w:rsidRPr="004954B0">
        <w:rPr>
          <w:rFonts w:ascii="Arial" w:hAnsi="Arial" w:cs="Arial"/>
          <w:sz w:val="22"/>
          <w:szCs w:val="22"/>
          <w:lang w:val="en-GB"/>
        </w:rPr>
        <w:t>n</w:t>
      </w:r>
      <w:r w:rsidRPr="004954B0">
        <w:rPr>
          <w:rFonts w:ascii="Arial" w:hAnsi="Arial" w:cs="Arial"/>
          <w:sz w:val="22"/>
          <w:szCs w:val="22"/>
          <w:lang w:val="en-GB"/>
        </w:rPr>
        <w:t xml:space="preserve">, since not all interventions are equally efficient and effective </w:t>
      </w:r>
      <w:r w:rsidR="00A8348E" w:rsidRPr="004954B0">
        <w:rPr>
          <w:rFonts w:ascii="Arial" w:hAnsi="Arial" w:cs="Arial"/>
          <w:sz w:val="22"/>
          <w:szCs w:val="22"/>
          <w:lang w:val="en-GB"/>
        </w:rPr>
        <w:t xml:space="preserve">and </w:t>
      </w:r>
      <w:r w:rsidRPr="004954B0">
        <w:rPr>
          <w:rFonts w:ascii="Arial" w:hAnsi="Arial" w:cs="Arial"/>
          <w:sz w:val="22"/>
          <w:szCs w:val="22"/>
          <w:lang w:val="en-GB"/>
        </w:rPr>
        <w:t>nor do they entail the same cost</w:t>
      </w:r>
      <w:r w:rsidR="0091305B" w:rsidRPr="004954B0">
        <w:rPr>
          <w:rFonts w:ascii="Arial" w:hAnsi="Arial" w:cs="Arial"/>
          <w:sz w:val="22"/>
          <w:szCs w:val="22"/>
          <w:lang w:val="en-GB"/>
        </w:rPr>
        <w:t>.</w:t>
      </w:r>
    </w:p>
    <w:p w14:paraId="6CDDF57B" w14:textId="6B05EB25" w:rsidR="00EC2771" w:rsidRPr="004954B0" w:rsidRDefault="0058745E" w:rsidP="00EC2771">
      <w:pPr>
        <w:pStyle w:val="Paragraph"/>
        <w:numPr>
          <w:ilvl w:val="0"/>
          <w:numId w:val="0"/>
        </w:numPr>
        <w:rPr>
          <w:rFonts w:ascii="Arial" w:eastAsia="Arial" w:hAnsi="Arial" w:cs="Arial"/>
          <w:sz w:val="22"/>
          <w:szCs w:val="22"/>
          <w:lang w:val="en-GB"/>
        </w:rPr>
      </w:pPr>
      <w:r w:rsidRPr="004954B0">
        <w:rPr>
          <w:rFonts w:ascii="Arial" w:eastAsia="Arial" w:hAnsi="Arial" w:cs="Arial"/>
          <w:sz w:val="22"/>
          <w:szCs w:val="22"/>
          <w:lang w:val="en-GB"/>
        </w:rPr>
        <w:t xml:space="preserve">To support </w:t>
      </w:r>
      <w:r w:rsidR="00755028" w:rsidRPr="004954B0">
        <w:rPr>
          <w:rFonts w:ascii="Arial" w:eastAsia="Arial" w:hAnsi="Arial" w:cs="Arial"/>
          <w:sz w:val="22"/>
          <w:szCs w:val="22"/>
          <w:lang w:val="en-GB"/>
        </w:rPr>
        <w:t>Barbados</w:t>
      </w:r>
      <w:r w:rsidRPr="004954B0">
        <w:rPr>
          <w:rFonts w:ascii="Arial" w:eastAsia="Arial" w:hAnsi="Arial" w:cs="Arial"/>
          <w:sz w:val="22"/>
          <w:szCs w:val="22"/>
          <w:lang w:val="en-GB"/>
        </w:rPr>
        <w:t xml:space="preserve"> in increasing the efficiency, effectiveness and equity of fiscal policy and management to respond to the health and economic crisis caused by COVID-19, the</w:t>
      </w:r>
      <w:r w:rsidR="00270657" w:rsidRPr="004954B0">
        <w:rPr>
          <w:rFonts w:ascii="Arial" w:eastAsia="Arial" w:hAnsi="Arial" w:cs="Arial"/>
          <w:sz w:val="22"/>
          <w:szCs w:val="22"/>
          <w:lang w:val="en-GB"/>
        </w:rPr>
        <w:t xml:space="preserve"> IDB</w:t>
      </w:r>
      <w:r w:rsidRPr="004954B0">
        <w:rPr>
          <w:rFonts w:ascii="Arial" w:eastAsia="Arial" w:hAnsi="Arial" w:cs="Arial"/>
          <w:sz w:val="22"/>
          <w:szCs w:val="22"/>
          <w:lang w:val="en-GB"/>
        </w:rPr>
        <w:t xml:space="preserve"> Board of Governors approved the </w:t>
      </w:r>
      <w:r w:rsidR="00755028" w:rsidRPr="004954B0">
        <w:rPr>
          <w:rFonts w:ascii="Arial" w:eastAsia="Arial" w:hAnsi="Arial" w:cs="Arial"/>
          <w:sz w:val="22"/>
          <w:szCs w:val="22"/>
          <w:lang w:val="en-GB"/>
        </w:rPr>
        <w:t>Programme to Strengthen Public Policy and Fiscal Management in Response to the Health and Economic Crisis Caused by COVID-19</w:t>
      </w:r>
      <w:r w:rsidRPr="004954B0">
        <w:rPr>
          <w:rFonts w:ascii="Arial" w:eastAsia="Arial" w:hAnsi="Arial" w:cs="Arial"/>
          <w:sz w:val="22"/>
          <w:szCs w:val="22"/>
          <w:lang w:val="en-GB"/>
        </w:rPr>
        <w:t xml:space="preserve"> in </w:t>
      </w:r>
      <w:r w:rsidR="00755028" w:rsidRPr="004954B0">
        <w:rPr>
          <w:rFonts w:ascii="Arial" w:eastAsia="Arial" w:hAnsi="Arial" w:cs="Arial"/>
          <w:sz w:val="22"/>
          <w:szCs w:val="22"/>
          <w:lang w:val="en-GB"/>
        </w:rPr>
        <w:t>Barbados</w:t>
      </w:r>
      <w:r w:rsidRPr="004954B0">
        <w:rPr>
          <w:rFonts w:ascii="Arial" w:eastAsia="Arial" w:hAnsi="Arial" w:cs="Arial"/>
          <w:sz w:val="22"/>
          <w:szCs w:val="22"/>
          <w:lang w:val="en-GB"/>
        </w:rPr>
        <w:t>. The specific objectives of the program</w:t>
      </w:r>
      <w:r w:rsidR="003022E2" w:rsidRPr="004954B0">
        <w:rPr>
          <w:rFonts w:ascii="Arial" w:eastAsia="Arial" w:hAnsi="Arial" w:cs="Arial"/>
          <w:sz w:val="22"/>
          <w:szCs w:val="22"/>
          <w:lang w:val="en-GB"/>
        </w:rPr>
        <w:t>me</w:t>
      </w:r>
      <w:r w:rsidRPr="004954B0">
        <w:rPr>
          <w:rFonts w:ascii="Arial" w:eastAsia="Arial" w:hAnsi="Arial" w:cs="Arial"/>
          <w:sz w:val="22"/>
          <w:szCs w:val="22"/>
          <w:lang w:val="en-GB"/>
        </w:rPr>
        <w:t xml:space="preserve"> were: (i) to promote the availability and timely execution of public resources to address the health crisis caused by COVID-19; (ii) to strengthen the countercyclical effect of fiscal policy through the temporary introduction of measures to protect the employment and income of vulnerable households during the health and economic crisis; </w:t>
      </w:r>
      <w:r w:rsidR="007C3F83" w:rsidRPr="004954B0">
        <w:rPr>
          <w:rFonts w:ascii="Arial" w:eastAsia="Arial" w:hAnsi="Arial" w:cs="Arial"/>
          <w:sz w:val="22"/>
          <w:szCs w:val="22"/>
          <w:lang w:val="en-GB"/>
        </w:rPr>
        <w:t xml:space="preserve">and </w:t>
      </w:r>
      <w:r w:rsidRPr="004954B0">
        <w:rPr>
          <w:rFonts w:ascii="Arial" w:eastAsia="Arial" w:hAnsi="Arial" w:cs="Arial"/>
          <w:sz w:val="22"/>
          <w:szCs w:val="22"/>
          <w:lang w:val="en-GB"/>
        </w:rPr>
        <w:t>(iii) to promote economic and fiscal recovery in the post-pandemic period</w:t>
      </w:r>
      <w:r w:rsidR="00EC2771" w:rsidRPr="004954B0">
        <w:rPr>
          <w:rFonts w:ascii="Arial" w:hAnsi="Arial" w:cs="Arial"/>
          <w:spacing w:val="-4"/>
          <w:sz w:val="22"/>
          <w:szCs w:val="22"/>
          <w:lang w:val="en-GB"/>
        </w:rPr>
        <w:t>.</w:t>
      </w:r>
    </w:p>
    <w:p w14:paraId="6A3E8B6A" w14:textId="1AC7E5E4" w:rsidR="00343BA8" w:rsidRPr="004954B0" w:rsidRDefault="006E5605" w:rsidP="00343BA8">
      <w:pPr>
        <w:spacing w:after="120"/>
        <w:jc w:val="both"/>
        <w:rPr>
          <w:rFonts w:ascii="Arial" w:hAnsi="Arial" w:cs="Arial"/>
          <w:sz w:val="22"/>
          <w:szCs w:val="22"/>
          <w:lang w:val="en-GB"/>
        </w:rPr>
      </w:pPr>
      <w:r w:rsidRPr="004954B0">
        <w:rPr>
          <w:rFonts w:ascii="Arial" w:hAnsi="Arial" w:cs="Arial"/>
          <w:sz w:val="22"/>
          <w:szCs w:val="22"/>
          <w:lang w:val="en-GB"/>
        </w:rPr>
        <w:t>To evaluate the results of the aforementioned program</w:t>
      </w:r>
      <w:r w:rsidR="00F60B6A" w:rsidRPr="004954B0">
        <w:rPr>
          <w:rFonts w:ascii="Arial" w:hAnsi="Arial" w:cs="Arial"/>
          <w:sz w:val="22"/>
          <w:szCs w:val="22"/>
          <w:lang w:val="en-GB"/>
        </w:rPr>
        <w:t>me</w:t>
      </w:r>
      <w:r w:rsidRPr="004954B0">
        <w:rPr>
          <w:rFonts w:ascii="Arial" w:hAnsi="Arial" w:cs="Arial"/>
          <w:sz w:val="22"/>
          <w:szCs w:val="22"/>
          <w:lang w:val="en-GB"/>
        </w:rPr>
        <w:t>, the IDB</w:t>
      </w:r>
      <w:r w:rsidR="00140008" w:rsidRPr="004954B0">
        <w:rPr>
          <w:rFonts w:ascii="Arial" w:hAnsi="Arial" w:cs="Arial"/>
          <w:sz w:val="22"/>
          <w:szCs w:val="22"/>
          <w:lang w:val="en-GB"/>
        </w:rPr>
        <w:t>’</w:t>
      </w:r>
      <w:r w:rsidRPr="004954B0">
        <w:rPr>
          <w:rFonts w:ascii="Arial" w:hAnsi="Arial" w:cs="Arial"/>
          <w:sz w:val="22"/>
          <w:szCs w:val="22"/>
          <w:lang w:val="en-GB"/>
        </w:rPr>
        <w:t xml:space="preserve">s Fiscal and Municipal Management Division (FMM) is looking for a professional with experience in </w:t>
      </w:r>
      <w:r w:rsidR="00FE78A8" w:rsidRPr="004954B0">
        <w:rPr>
          <w:rFonts w:ascii="Arial" w:hAnsi="Arial" w:cs="Arial"/>
          <w:sz w:val="22"/>
          <w:szCs w:val="22"/>
          <w:lang w:val="en-GB"/>
        </w:rPr>
        <w:t>evaluation to conduct an ex-</w:t>
      </w:r>
      <w:r w:rsidRPr="004954B0">
        <w:rPr>
          <w:rFonts w:ascii="Arial" w:hAnsi="Arial" w:cs="Arial"/>
          <w:sz w:val="22"/>
          <w:szCs w:val="22"/>
          <w:lang w:val="en-GB"/>
        </w:rPr>
        <w:t xml:space="preserve">post </w:t>
      </w:r>
      <w:r w:rsidR="00BC6FB7" w:rsidRPr="004954B0">
        <w:rPr>
          <w:rFonts w:ascii="Arial" w:hAnsi="Arial" w:cs="Arial"/>
          <w:sz w:val="22"/>
          <w:szCs w:val="22"/>
          <w:lang w:val="en-GB"/>
        </w:rPr>
        <w:t>evaluation</w:t>
      </w:r>
      <w:r w:rsidRPr="004954B0">
        <w:rPr>
          <w:rFonts w:ascii="Arial" w:hAnsi="Arial" w:cs="Arial"/>
          <w:sz w:val="22"/>
          <w:szCs w:val="22"/>
          <w:lang w:val="en-GB"/>
        </w:rPr>
        <w:t xml:space="preserve"> of the effect of policy measures undertaken </w:t>
      </w:r>
      <w:r w:rsidR="00F96B32" w:rsidRPr="004954B0">
        <w:rPr>
          <w:rFonts w:ascii="Arial" w:hAnsi="Arial" w:cs="Arial"/>
          <w:sz w:val="22"/>
          <w:szCs w:val="22"/>
          <w:lang w:val="en-GB"/>
        </w:rPr>
        <w:t>under the</w:t>
      </w:r>
      <w:r w:rsidRPr="004954B0">
        <w:rPr>
          <w:rFonts w:ascii="Arial" w:hAnsi="Arial" w:cs="Arial"/>
          <w:sz w:val="22"/>
          <w:szCs w:val="22"/>
          <w:lang w:val="en-GB"/>
        </w:rPr>
        <w:t xml:space="preserve"> program</w:t>
      </w:r>
      <w:r w:rsidR="00F60B6A" w:rsidRPr="004954B0">
        <w:rPr>
          <w:rFonts w:ascii="Arial" w:hAnsi="Arial" w:cs="Arial"/>
          <w:sz w:val="22"/>
          <w:szCs w:val="22"/>
          <w:lang w:val="en-GB"/>
        </w:rPr>
        <w:t>me</w:t>
      </w:r>
      <w:r w:rsidRPr="004954B0">
        <w:rPr>
          <w:rFonts w:ascii="Arial" w:hAnsi="Arial" w:cs="Arial"/>
          <w:sz w:val="22"/>
          <w:szCs w:val="22"/>
          <w:lang w:val="en-GB"/>
        </w:rPr>
        <w:t xml:space="preserve"> on the attainment of the expected results</w:t>
      </w:r>
      <w:r w:rsidR="00343BA8" w:rsidRPr="004954B0">
        <w:rPr>
          <w:rFonts w:ascii="Arial" w:hAnsi="Arial" w:cs="Arial"/>
          <w:sz w:val="22"/>
          <w:szCs w:val="22"/>
          <w:lang w:val="en-GB"/>
        </w:rPr>
        <w:t>.</w:t>
      </w:r>
    </w:p>
    <w:p w14:paraId="265E5F59" w14:textId="77777777" w:rsidR="008D029C" w:rsidRPr="004954B0" w:rsidRDefault="008D029C" w:rsidP="00343BA8">
      <w:pPr>
        <w:spacing w:after="120"/>
        <w:rPr>
          <w:rFonts w:ascii="Arial" w:hAnsi="Arial" w:cs="Arial"/>
          <w:b/>
          <w:sz w:val="22"/>
          <w:szCs w:val="22"/>
          <w:u w:val="single"/>
          <w:lang w:val="en-GB"/>
        </w:rPr>
      </w:pPr>
    </w:p>
    <w:p w14:paraId="7EF62A13" w14:textId="1F2948A6" w:rsidR="008D029C" w:rsidRPr="004954B0" w:rsidRDefault="00CF1AD7" w:rsidP="008D029C">
      <w:pPr>
        <w:widowControl w:val="0"/>
        <w:spacing w:after="120"/>
        <w:jc w:val="both"/>
        <w:rPr>
          <w:rFonts w:ascii="Arial" w:hAnsi="Arial" w:cs="Arial"/>
          <w:b/>
          <w:sz w:val="22"/>
          <w:szCs w:val="22"/>
          <w:lang w:val="en-GB"/>
        </w:rPr>
      </w:pPr>
      <w:r w:rsidRPr="004954B0">
        <w:rPr>
          <w:rFonts w:ascii="Arial" w:eastAsia="Arial" w:hAnsi="Arial" w:cs="Arial"/>
          <w:b/>
          <w:sz w:val="22"/>
          <w:szCs w:val="22"/>
          <w:lang w:val="en-GB" w:eastAsia="zh-CN"/>
        </w:rPr>
        <w:t>The team</w:t>
      </w:r>
      <w:r w:rsidR="008D029C" w:rsidRPr="004954B0">
        <w:rPr>
          <w:rFonts w:ascii="Arial" w:eastAsia="Arial" w:hAnsi="Arial" w:cs="Arial"/>
          <w:b/>
          <w:sz w:val="22"/>
          <w:szCs w:val="22"/>
          <w:lang w:val="en-GB"/>
        </w:rPr>
        <w:t>:</w:t>
      </w:r>
      <w:r w:rsidR="008D029C" w:rsidRPr="004954B0">
        <w:rPr>
          <w:rFonts w:ascii="Arial" w:hAnsi="Arial" w:cs="Arial"/>
          <w:color w:val="000000"/>
          <w:sz w:val="22"/>
          <w:szCs w:val="22"/>
          <w:lang w:val="en-GB"/>
        </w:rPr>
        <w:t xml:space="preserve"> </w:t>
      </w:r>
      <w:r w:rsidR="000344F7" w:rsidRPr="004954B0">
        <w:rPr>
          <w:rFonts w:ascii="Arial" w:hAnsi="Arial" w:cs="Arial"/>
          <w:color w:val="000000"/>
          <w:sz w:val="22"/>
          <w:szCs w:val="22"/>
          <w:lang w:val="en-GB"/>
        </w:rPr>
        <w:t xml:space="preserve">The project team includes specialists from the Fiscal and Municipal Management Division (FMM) and other </w:t>
      </w:r>
      <w:r w:rsidR="00674392" w:rsidRPr="004954B0">
        <w:rPr>
          <w:rFonts w:ascii="Arial" w:hAnsi="Arial" w:cs="Arial"/>
          <w:color w:val="000000"/>
          <w:sz w:val="22"/>
          <w:szCs w:val="22"/>
          <w:lang w:val="en-GB"/>
        </w:rPr>
        <w:t>divisions</w:t>
      </w:r>
      <w:r w:rsidR="000344F7" w:rsidRPr="004954B0">
        <w:rPr>
          <w:rFonts w:ascii="Arial" w:hAnsi="Arial" w:cs="Arial"/>
          <w:color w:val="000000"/>
          <w:sz w:val="22"/>
          <w:szCs w:val="22"/>
          <w:lang w:val="en-GB"/>
        </w:rPr>
        <w:t xml:space="preserve"> of the IDB. The </w:t>
      </w:r>
      <w:r w:rsidR="009D3BB4" w:rsidRPr="004954B0">
        <w:rPr>
          <w:rFonts w:ascii="Arial" w:hAnsi="Arial" w:cs="Arial"/>
          <w:color w:val="000000"/>
          <w:sz w:val="22"/>
          <w:szCs w:val="22"/>
          <w:lang w:val="en-GB"/>
        </w:rPr>
        <w:t>various</w:t>
      </w:r>
      <w:r w:rsidR="000344F7" w:rsidRPr="004954B0">
        <w:rPr>
          <w:rFonts w:ascii="Arial" w:hAnsi="Arial" w:cs="Arial"/>
          <w:color w:val="000000"/>
          <w:sz w:val="22"/>
          <w:szCs w:val="22"/>
          <w:lang w:val="en-GB"/>
        </w:rPr>
        <w:t xml:space="preserve"> </w:t>
      </w:r>
      <w:r w:rsidR="00674392" w:rsidRPr="004954B0">
        <w:rPr>
          <w:rFonts w:ascii="Arial" w:hAnsi="Arial" w:cs="Arial"/>
          <w:color w:val="000000"/>
          <w:sz w:val="22"/>
          <w:szCs w:val="22"/>
          <w:lang w:val="en-GB"/>
        </w:rPr>
        <w:t>divisions</w:t>
      </w:r>
      <w:r w:rsidR="000344F7" w:rsidRPr="004954B0">
        <w:rPr>
          <w:rFonts w:ascii="Arial" w:hAnsi="Arial" w:cs="Arial"/>
          <w:color w:val="000000"/>
          <w:sz w:val="22"/>
          <w:szCs w:val="22"/>
          <w:lang w:val="en-GB"/>
        </w:rPr>
        <w:t xml:space="preserve"> of the IDB finance projects, provide technical assistance, and advise governments in the design and implementation of public policies</w:t>
      </w:r>
      <w:r w:rsidR="008D029C" w:rsidRPr="004954B0">
        <w:rPr>
          <w:rFonts w:ascii="Arial" w:hAnsi="Arial" w:cs="Arial"/>
          <w:color w:val="000000"/>
          <w:sz w:val="22"/>
          <w:szCs w:val="22"/>
          <w:lang w:val="en-GB"/>
        </w:rPr>
        <w:t>.</w:t>
      </w:r>
    </w:p>
    <w:p w14:paraId="78F11BDC" w14:textId="64C878F5" w:rsidR="00677420" w:rsidRPr="004954B0" w:rsidRDefault="00103E46" w:rsidP="00677420">
      <w:pPr>
        <w:pStyle w:val="Paragraph"/>
        <w:numPr>
          <w:ilvl w:val="0"/>
          <w:numId w:val="0"/>
        </w:numPr>
        <w:spacing w:before="0"/>
        <w:rPr>
          <w:rFonts w:ascii="Arial" w:hAnsi="Arial" w:cs="Arial"/>
          <w:spacing w:val="-3"/>
          <w:sz w:val="22"/>
          <w:szCs w:val="22"/>
          <w:lang w:val="en-GB"/>
        </w:rPr>
      </w:pPr>
      <w:r w:rsidRPr="004954B0">
        <w:rPr>
          <w:rFonts w:ascii="Arial" w:hAnsi="Arial" w:cs="Arial"/>
          <w:b/>
          <w:sz w:val="22"/>
          <w:szCs w:val="22"/>
          <w:lang w:val="en-GB" w:eastAsia="zh-CN"/>
        </w:rPr>
        <w:t>What</w:t>
      </w:r>
      <w:r w:rsidR="002818AD" w:rsidRPr="004954B0">
        <w:rPr>
          <w:rFonts w:ascii="Arial" w:hAnsi="Arial" w:cs="Arial"/>
          <w:b/>
          <w:sz w:val="22"/>
          <w:szCs w:val="22"/>
          <w:lang w:val="en-GB" w:eastAsia="zh-CN"/>
        </w:rPr>
        <w:t xml:space="preserve"> Y</w:t>
      </w:r>
      <w:r w:rsidRPr="004954B0">
        <w:rPr>
          <w:rFonts w:ascii="Arial" w:hAnsi="Arial" w:cs="Arial"/>
          <w:b/>
          <w:sz w:val="22"/>
          <w:szCs w:val="22"/>
          <w:lang w:val="en-GB" w:eastAsia="zh-CN"/>
        </w:rPr>
        <w:t>ou’ll</w:t>
      </w:r>
      <w:r w:rsidR="002818AD" w:rsidRPr="004954B0">
        <w:rPr>
          <w:rFonts w:ascii="Arial" w:hAnsi="Arial" w:cs="Arial"/>
          <w:b/>
          <w:sz w:val="22"/>
          <w:szCs w:val="22"/>
          <w:lang w:val="en-GB" w:eastAsia="zh-CN"/>
        </w:rPr>
        <w:t xml:space="preserve"> D</w:t>
      </w:r>
      <w:r w:rsidRPr="004954B0">
        <w:rPr>
          <w:rFonts w:ascii="Arial" w:hAnsi="Arial" w:cs="Arial"/>
          <w:b/>
          <w:sz w:val="22"/>
          <w:szCs w:val="22"/>
          <w:lang w:val="en-GB" w:eastAsia="zh-CN"/>
        </w:rPr>
        <w:t>o</w:t>
      </w:r>
      <w:r w:rsidR="008D029C" w:rsidRPr="004954B0">
        <w:rPr>
          <w:rFonts w:ascii="Arial" w:hAnsi="Arial" w:cs="Arial"/>
          <w:b/>
          <w:sz w:val="22"/>
          <w:szCs w:val="22"/>
          <w:lang w:val="en-GB"/>
        </w:rPr>
        <w:t>:</w:t>
      </w:r>
      <w:r w:rsidR="00677420" w:rsidRPr="004954B0">
        <w:rPr>
          <w:rFonts w:ascii="Arial" w:hAnsi="Arial" w:cs="Arial"/>
          <w:bCs/>
          <w:sz w:val="22"/>
          <w:szCs w:val="22"/>
          <w:lang w:val="en-GB"/>
        </w:rPr>
        <w:t xml:space="preserve"> </w:t>
      </w:r>
      <w:r w:rsidR="009E3D0B" w:rsidRPr="004954B0">
        <w:rPr>
          <w:rFonts w:ascii="Arial" w:hAnsi="Arial" w:cs="Arial"/>
          <w:bCs/>
          <w:sz w:val="22"/>
          <w:szCs w:val="22"/>
          <w:lang w:val="en-GB"/>
        </w:rPr>
        <w:t xml:space="preserve">The objective of the </w:t>
      </w:r>
      <w:r w:rsidR="00FE78A8" w:rsidRPr="004954B0">
        <w:rPr>
          <w:rFonts w:ascii="Arial" w:hAnsi="Arial" w:cs="Arial"/>
          <w:bCs/>
          <w:sz w:val="22"/>
          <w:szCs w:val="22"/>
          <w:lang w:val="en-GB"/>
        </w:rPr>
        <w:t>consultancy is to conduct an ex-</w:t>
      </w:r>
      <w:r w:rsidR="009E3D0B" w:rsidRPr="004954B0">
        <w:rPr>
          <w:rFonts w:ascii="Arial" w:hAnsi="Arial" w:cs="Arial"/>
          <w:bCs/>
          <w:sz w:val="22"/>
          <w:szCs w:val="22"/>
          <w:lang w:val="en-GB"/>
        </w:rPr>
        <w:t xml:space="preserve">post </w:t>
      </w:r>
      <w:r w:rsidR="00BC6FB7" w:rsidRPr="004954B0">
        <w:rPr>
          <w:rFonts w:ascii="Arial" w:hAnsi="Arial" w:cs="Arial"/>
          <w:bCs/>
          <w:sz w:val="22"/>
          <w:szCs w:val="22"/>
          <w:lang w:val="en-GB"/>
        </w:rPr>
        <w:t>evaluation</w:t>
      </w:r>
      <w:r w:rsidR="009E3D0B" w:rsidRPr="004954B0">
        <w:rPr>
          <w:rFonts w:ascii="Arial" w:hAnsi="Arial" w:cs="Arial"/>
          <w:bCs/>
          <w:sz w:val="22"/>
          <w:szCs w:val="22"/>
          <w:lang w:val="en-GB"/>
        </w:rPr>
        <w:t xml:space="preserve"> of the effect</w:t>
      </w:r>
      <w:r w:rsidR="00F44E02" w:rsidRPr="004954B0">
        <w:rPr>
          <w:rFonts w:ascii="Arial" w:hAnsi="Arial" w:cs="Arial"/>
          <w:bCs/>
          <w:sz w:val="22"/>
          <w:szCs w:val="22"/>
          <w:lang w:val="en-GB"/>
        </w:rPr>
        <w:t xml:space="preserve"> of</w:t>
      </w:r>
      <w:r w:rsidR="009E3D0B" w:rsidRPr="004954B0">
        <w:rPr>
          <w:rFonts w:ascii="Arial" w:hAnsi="Arial" w:cs="Arial"/>
          <w:bCs/>
          <w:sz w:val="22"/>
          <w:szCs w:val="22"/>
          <w:lang w:val="en-GB"/>
        </w:rPr>
        <w:t xml:space="preserve"> policy measures introduced in </w:t>
      </w:r>
      <w:r w:rsidR="00755028" w:rsidRPr="004954B0">
        <w:rPr>
          <w:rFonts w:ascii="Arial" w:hAnsi="Arial" w:cs="Arial"/>
          <w:bCs/>
          <w:sz w:val="22"/>
          <w:szCs w:val="22"/>
          <w:lang w:val="en-GB"/>
        </w:rPr>
        <w:t>Barbados</w:t>
      </w:r>
      <w:r w:rsidR="009E3D0B" w:rsidRPr="004954B0">
        <w:rPr>
          <w:rFonts w:ascii="Arial" w:hAnsi="Arial" w:cs="Arial"/>
          <w:bCs/>
          <w:sz w:val="22"/>
          <w:szCs w:val="22"/>
          <w:lang w:val="en-GB"/>
        </w:rPr>
        <w:t xml:space="preserve"> on the attainment of the </w:t>
      </w:r>
      <w:r w:rsidR="00DB3545" w:rsidRPr="004954B0">
        <w:rPr>
          <w:rFonts w:ascii="Arial" w:hAnsi="Arial" w:cs="Arial"/>
          <w:bCs/>
          <w:sz w:val="22"/>
          <w:szCs w:val="22"/>
          <w:lang w:val="en-GB"/>
        </w:rPr>
        <w:t xml:space="preserve">expected </w:t>
      </w:r>
      <w:r w:rsidR="009E3D0B" w:rsidRPr="004954B0">
        <w:rPr>
          <w:rFonts w:ascii="Arial" w:hAnsi="Arial" w:cs="Arial"/>
          <w:bCs/>
          <w:sz w:val="22"/>
          <w:szCs w:val="22"/>
          <w:lang w:val="en-GB"/>
        </w:rPr>
        <w:t xml:space="preserve">results </w:t>
      </w:r>
      <w:r w:rsidR="00DB3545" w:rsidRPr="004954B0">
        <w:rPr>
          <w:rFonts w:ascii="Arial" w:hAnsi="Arial" w:cs="Arial"/>
          <w:bCs/>
          <w:sz w:val="22"/>
          <w:szCs w:val="22"/>
          <w:lang w:val="en-GB"/>
        </w:rPr>
        <w:t>of</w:t>
      </w:r>
      <w:r w:rsidR="009E3D0B" w:rsidRPr="004954B0">
        <w:rPr>
          <w:rFonts w:ascii="Arial" w:hAnsi="Arial" w:cs="Arial"/>
          <w:bCs/>
          <w:sz w:val="22"/>
          <w:szCs w:val="22"/>
          <w:lang w:val="en-GB"/>
        </w:rPr>
        <w:t xml:space="preserve"> the </w:t>
      </w:r>
      <w:r w:rsidR="00755028" w:rsidRPr="004954B0">
        <w:rPr>
          <w:rFonts w:ascii="Arial" w:hAnsi="Arial" w:cs="Arial"/>
          <w:bCs/>
          <w:sz w:val="22"/>
          <w:szCs w:val="22"/>
          <w:lang w:val="en-GB"/>
        </w:rPr>
        <w:t xml:space="preserve">Programme to Strengthen Public Policy and Fiscal Management in </w:t>
      </w:r>
      <w:r w:rsidR="00755028" w:rsidRPr="004954B0">
        <w:rPr>
          <w:rFonts w:ascii="Arial" w:hAnsi="Arial" w:cs="Arial"/>
          <w:bCs/>
          <w:sz w:val="22"/>
          <w:szCs w:val="22"/>
          <w:lang w:val="en-GB"/>
        </w:rPr>
        <w:lastRenderedPageBreak/>
        <w:t>Response to the Health and Economic Crisis Caused by COVID-19 in Barbados</w:t>
      </w:r>
      <w:r w:rsidR="009E3D0B" w:rsidRPr="004954B0">
        <w:rPr>
          <w:rFonts w:ascii="Arial" w:hAnsi="Arial" w:cs="Arial"/>
          <w:bCs/>
          <w:sz w:val="22"/>
          <w:szCs w:val="22"/>
          <w:lang w:val="en-GB"/>
        </w:rPr>
        <w:t>. Additionally, the consultancy aims to identify lessons learned in the implementation of the program</w:t>
      </w:r>
      <w:r w:rsidR="00F60B6A" w:rsidRPr="004954B0">
        <w:rPr>
          <w:rFonts w:ascii="Arial" w:hAnsi="Arial" w:cs="Arial"/>
          <w:bCs/>
          <w:sz w:val="22"/>
          <w:szCs w:val="22"/>
          <w:lang w:val="en-GB"/>
        </w:rPr>
        <w:t>me</w:t>
      </w:r>
      <w:r w:rsidR="009E3D0B" w:rsidRPr="004954B0">
        <w:rPr>
          <w:rFonts w:ascii="Arial" w:hAnsi="Arial" w:cs="Arial"/>
          <w:bCs/>
          <w:sz w:val="22"/>
          <w:szCs w:val="22"/>
          <w:lang w:val="en-GB"/>
        </w:rPr>
        <w:t>. This report will serve as input for the preparation of the Project Completion Report</w:t>
      </w:r>
      <w:r w:rsidR="00677420" w:rsidRPr="004954B0">
        <w:rPr>
          <w:rFonts w:ascii="Arial" w:hAnsi="Arial" w:cs="Arial"/>
          <w:spacing w:val="-3"/>
          <w:sz w:val="22"/>
          <w:szCs w:val="22"/>
          <w:lang w:val="en-GB"/>
        </w:rPr>
        <w:t>.</w:t>
      </w:r>
    </w:p>
    <w:p w14:paraId="36BB4DD3" w14:textId="6A124682" w:rsidR="008D029C" w:rsidRPr="004954B0" w:rsidRDefault="008D029C" w:rsidP="008D029C">
      <w:pPr>
        <w:pStyle w:val="Paragraph"/>
        <w:numPr>
          <w:ilvl w:val="0"/>
          <w:numId w:val="0"/>
        </w:numPr>
        <w:spacing w:before="0"/>
        <w:rPr>
          <w:rFonts w:ascii="Arial" w:eastAsia="Calibri" w:hAnsi="Arial" w:cs="Arial"/>
          <w:color w:val="000000"/>
          <w:sz w:val="22"/>
          <w:szCs w:val="22"/>
          <w:lang w:val="en-GB"/>
        </w:rPr>
      </w:pPr>
    </w:p>
    <w:p w14:paraId="03FB9DD8" w14:textId="568189BD" w:rsidR="006535EE" w:rsidRPr="004954B0" w:rsidRDefault="00677420" w:rsidP="00DF75ED">
      <w:pPr>
        <w:spacing w:after="120"/>
        <w:rPr>
          <w:rFonts w:ascii="Arial" w:hAnsi="Arial" w:cs="Arial"/>
          <w:b/>
          <w:bCs/>
          <w:sz w:val="22"/>
          <w:szCs w:val="18"/>
          <w:lang w:val="en-GB"/>
        </w:rPr>
      </w:pPr>
      <w:r w:rsidRPr="004954B0">
        <w:rPr>
          <w:rFonts w:ascii="Arial" w:hAnsi="Arial" w:cs="Arial"/>
          <w:b/>
          <w:bCs/>
          <w:sz w:val="22"/>
          <w:szCs w:val="18"/>
          <w:lang w:val="en-GB"/>
        </w:rPr>
        <w:t>Respons</w:t>
      </w:r>
      <w:r w:rsidR="00465A4F" w:rsidRPr="004954B0">
        <w:rPr>
          <w:rFonts w:ascii="Arial" w:hAnsi="Arial" w:cs="Arial"/>
          <w:b/>
          <w:bCs/>
          <w:sz w:val="22"/>
          <w:szCs w:val="18"/>
          <w:lang w:val="en-GB" w:eastAsia="zh-CN"/>
        </w:rPr>
        <w:t>ibilities</w:t>
      </w:r>
      <w:r w:rsidRPr="004954B0">
        <w:rPr>
          <w:rFonts w:ascii="Arial" w:hAnsi="Arial" w:cs="Arial"/>
          <w:b/>
          <w:bCs/>
          <w:sz w:val="22"/>
          <w:szCs w:val="18"/>
          <w:lang w:val="en-GB"/>
        </w:rPr>
        <w:t xml:space="preserve">: </w:t>
      </w:r>
    </w:p>
    <w:p w14:paraId="048E13D0" w14:textId="1454A5C9" w:rsidR="008D029C" w:rsidRPr="004954B0" w:rsidRDefault="009C5234" w:rsidP="00DF75ED">
      <w:pPr>
        <w:pStyle w:val="Paragraph"/>
        <w:numPr>
          <w:ilvl w:val="0"/>
          <w:numId w:val="6"/>
        </w:numPr>
        <w:spacing w:before="0" w:after="60"/>
        <w:rPr>
          <w:rFonts w:ascii="Arial" w:eastAsia="Calibri" w:hAnsi="Arial" w:cs="Arial"/>
          <w:color w:val="000000"/>
          <w:sz w:val="22"/>
          <w:szCs w:val="22"/>
          <w:lang w:val="en-GB"/>
        </w:rPr>
      </w:pPr>
      <w:r w:rsidRPr="004954B0">
        <w:rPr>
          <w:rFonts w:ascii="Arial" w:eastAsia="Calibri" w:hAnsi="Arial" w:cs="Arial"/>
          <w:color w:val="000000"/>
          <w:sz w:val="22"/>
          <w:szCs w:val="22"/>
          <w:lang w:val="en-GB" w:eastAsia="zh-CN"/>
        </w:rPr>
        <w:t xml:space="preserve">Responsibility 1: </w:t>
      </w:r>
      <w:r w:rsidR="00015460" w:rsidRPr="004954B0">
        <w:rPr>
          <w:rFonts w:ascii="Arial" w:eastAsia="Calibri" w:hAnsi="Arial" w:cs="Arial"/>
          <w:color w:val="000000"/>
          <w:sz w:val="22"/>
          <w:szCs w:val="22"/>
          <w:lang w:val="en-GB" w:eastAsia="zh-CN"/>
        </w:rPr>
        <w:t>R</w:t>
      </w:r>
      <w:r w:rsidR="000F403C" w:rsidRPr="004954B0">
        <w:rPr>
          <w:rFonts w:ascii="Arial" w:eastAsia="Calibri" w:hAnsi="Arial" w:cs="Arial"/>
          <w:color w:val="000000"/>
          <w:sz w:val="22"/>
          <w:szCs w:val="22"/>
          <w:lang w:val="en-GB"/>
        </w:rPr>
        <w:t xml:space="preserve">eview </w:t>
      </w:r>
      <w:r w:rsidR="00A0267C" w:rsidRPr="004954B0">
        <w:rPr>
          <w:rFonts w:ascii="Arial" w:eastAsia="Calibri" w:hAnsi="Arial" w:cs="Arial"/>
          <w:color w:val="000000"/>
          <w:sz w:val="22"/>
          <w:szCs w:val="22"/>
          <w:lang w:val="en-GB"/>
        </w:rPr>
        <w:t xml:space="preserve">documentation on the implementation of the </w:t>
      </w:r>
      <w:r w:rsidR="00755028" w:rsidRPr="004954B0">
        <w:rPr>
          <w:rFonts w:ascii="Arial" w:eastAsia="Calibri" w:hAnsi="Arial" w:cs="Arial"/>
          <w:color w:val="000000"/>
          <w:sz w:val="22"/>
          <w:szCs w:val="22"/>
          <w:lang w:val="en-GB"/>
        </w:rPr>
        <w:t>Programme to Strengthen Public Policy and Fiscal Management in Response to the Health and Economic Crisis Caused by COVID-19 in Barbados</w:t>
      </w:r>
      <w:r w:rsidR="008D029C" w:rsidRPr="004954B0">
        <w:rPr>
          <w:rFonts w:ascii="Arial" w:hAnsi="Arial" w:cs="Arial"/>
          <w:spacing w:val="-3"/>
          <w:sz w:val="22"/>
          <w:szCs w:val="22"/>
          <w:lang w:val="en-GB"/>
        </w:rPr>
        <w:t>.</w:t>
      </w:r>
    </w:p>
    <w:p w14:paraId="4654DECD" w14:textId="66EB7ACA" w:rsidR="008D029C" w:rsidRPr="004954B0" w:rsidRDefault="00F464D2" w:rsidP="00DF75ED">
      <w:pPr>
        <w:pStyle w:val="Paragraph"/>
        <w:numPr>
          <w:ilvl w:val="0"/>
          <w:numId w:val="6"/>
        </w:numPr>
        <w:spacing w:before="0" w:after="60"/>
        <w:rPr>
          <w:rFonts w:ascii="Arial" w:eastAsia="Calibri" w:hAnsi="Arial" w:cs="Arial"/>
          <w:color w:val="000000"/>
          <w:sz w:val="22"/>
          <w:szCs w:val="22"/>
          <w:lang w:val="en-GB"/>
        </w:rPr>
      </w:pPr>
      <w:r w:rsidRPr="004954B0">
        <w:rPr>
          <w:rFonts w:ascii="Arial" w:eastAsia="Calibri" w:hAnsi="Arial" w:cs="Arial"/>
          <w:color w:val="000000"/>
          <w:sz w:val="22"/>
          <w:szCs w:val="22"/>
          <w:lang w:val="en-GB" w:eastAsia="zh-CN"/>
        </w:rPr>
        <w:t>Responsibility 2: C</w:t>
      </w:r>
      <w:r w:rsidR="00C82E6F" w:rsidRPr="004954B0">
        <w:rPr>
          <w:rFonts w:ascii="Arial" w:eastAsia="Calibri" w:hAnsi="Arial" w:cs="Arial"/>
          <w:color w:val="000000"/>
          <w:sz w:val="22"/>
          <w:szCs w:val="22"/>
          <w:lang w:val="en-GB"/>
        </w:rPr>
        <w:t>ollect information on the program</w:t>
      </w:r>
      <w:r w:rsidR="00F60B6A" w:rsidRPr="004954B0">
        <w:rPr>
          <w:rFonts w:ascii="Arial" w:eastAsia="Calibri" w:hAnsi="Arial" w:cs="Arial"/>
          <w:color w:val="000000"/>
          <w:sz w:val="22"/>
          <w:szCs w:val="22"/>
          <w:lang w:val="en-GB"/>
        </w:rPr>
        <w:t>me</w:t>
      </w:r>
      <w:r w:rsidR="00C82E6F" w:rsidRPr="004954B0">
        <w:rPr>
          <w:rFonts w:ascii="Arial" w:eastAsia="Calibri" w:hAnsi="Arial" w:cs="Arial"/>
          <w:color w:val="000000"/>
          <w:sz w:val="22"/>
          <w:szCs w:val="22"/>
          <w:lang w:val="en-GB"/>
        </w:rPr>
        <w:t xml:space="preserve"> </w:t>
      </w:r>
      <w:r w:rsidR="00C82E6F" w:rsidRPr="004954B0">
        <w:rPr>
          <w:rFonts w:ascii="Arial" w:eastAsia="Calibri" w:hAnsi="Arial" w:cs="Arial"/>
          <w:color w:val="000000"/>
          <w:sz w:val="22"/>
          <w:szCs w:val="22"/>
          <w:lang w:val="en-GB" w:eastAsia="zh-CN"/>
        </w:rPr>
        <w:t>result</w:t>
      </w:r>
      <w:r w:rsidR="00C82E6F" w:rsidRPr="004954B0">
        <w:rPr>
          <w:rFonts w:ascii="Arial" w:eastAsia="Calibri" w:hAnsi="Arial" w:cs="Arial"/>
          <w:color w:val="000000"/>
          <w:sz w:val="22"/>
          <w:szCs w:val="22"/>
          <w:lang w:val="en-GB"/>
        </w:rPr>
        <w:t xml:space="preserve"> indicators</w:t>
      </w:r>
      <w:r w:rsidR="008D029C" w:rsidRPr="004954B0">
        <w:rPr>
          <w:rFonts w:ascii="Arial" w:hAnsi="Arial" w:cs="Arial"/>
          <w:spacing w:val="-3"/>
          <w:sz w:val="22"/>
          <w:szCs w:val="22"/>
          <w:lang w:val="en-GB"/>
        </w:rPr>
        <w:t>.</w:t>
      </w:r>
    </w:p>
    <w:p w14:paraId="0FAA4BB4" w14:textId="6BCA6F86" w:rsidR="00677420" w:rsidRPr="004954B0" w:rsidRDefault="009C5234" w:rsidP="00DF75ED">
      <w:pPr>
        <w:pStyle w:val="Paragraph"/>
        <w:numPr>
          <w:ilvl w:val="0"/>
          <w:numId w:val="6"/>
        </w:numPr>
        <w:spacing w:before="0" w:after="60"/>
        <w:rPr>
          <w:rFonts w:ascii="Arial" w:eastAsia="Calibri" w:hAnsi="Arial" w:cs="Arial"/>
          <w:color w:val="000000"/>
          <w:sz w:val="22"/>
          <w:szCs w:val="22"/>
          <w:lang w:val="en-GB"/>
        </w:rPr>
      </w:pPr>
      <w:r w:rsidRPr="004954B0">
        <w:rPr>
          <w:rFonts w:ascii="Arial" w:eastAsia="Calibri" w:hAnsi="Arial" w:cs="Arial"/>
          <w:color w:val="000000"/>
          <w:sz w:val="22"/>
          <w:szCs w:val="22"/>
          <w:lang w:val="en-GB" w:eastAsia="zh-CN"/>
        </w:rPr>
        <w:t xml:space="preserve">Responsibility 3: </w:t>
      </w:r>
      <w:r w:rsidR="00F7770B" w:rsidRPr="004954B0">
        <w:rPr>
          <w:rFonts w:ascii="Arial" w:hAnsi="Arial" w:cs="Arial"/>
          <w:spacing w:val="-3"/>
          <w:sz w:val="22"/>
          <w:szCs w:val="22"/>
          <w:lang w:val="en-GB" w:eastAsia="zh-CN"/>
        </w:rPr>
        <w:t>A</w:t>
      </w:r>
      <w:r w:rsidR="00B63F27" w:rsidRPr="004954B0">
        <w:rPr>
          <w:rFonts w:ascii="Arial" w:hAnsi="Arial" w:cs="Arial"/>
          <w:spacing w:val="-3"/>
          <w:sz w:val="22"/>
          <w:szCs w:val="22"/>
          <w:lang w:val="en-GB"/>
        </w:rPr>
        <w:t>ssess the scope and impact achieved based on the ob</w:t>
      </w:r>
      <w:r w:rsidR="005C26A4" w:rsidRPr="004954B0">
        <w:rPr>
          <w:rFonts w:ascii="Arial" w:hAnsi="Arial" w:cs="Arial"/>
          <w:spacing w:val="-3"/>
          <w:sz w:val="22"/>
          <w:szCs w:val="22"/>
          <w:lang w:val="en-GB"/>
        </w:rPr>
        <w:t>jectives and indicators in the Policy and Results M</w:t>
      </w:r>
      <w:r w:rsidR="00B63F27" w:rsidRPr="004954B0">
        <w:rPr>
          <w:rFonts w:ascii="Arial" w:hAnsi="Arial" w:cs="Arial"/>
          <w:spacing w:val="-3"/>
          <w:sz w:val="22"/>
          <w:szCs w:val="22"/>
          <w:lang w:val="en-GB"/>
        </w:rPr>
        <w:t>atrices</w:t>
      </w:r>
      <w:r w:rsidR="008D029C" w:rsidRPr="004954B0">
        <w:rPr>
          <w:rFonts w:ascii="Arial" w:hAnsi="Arial" w:cs="Arial"/>
          <w:spacing w:val="-3"/>
          <w:sz w:val="22"/>
          <w:szCs w:val="22"/>
          <w:lang w:val="en-GB"/>
        </w:rPr>
        <w:t>.</w:t>
      </w:r>
    </w:p>
    <w:p w14:paraId="35709187" w14:textId="0EB304DB" w:rsidR="00677420" w:rsidRPr="004954B0" w:rsidRDefault="009C5234" w:rsidP="00DF75ED">
      <w:pPr>
        <w:pStyle w:val="Paragraph"/>
        <w:numPr>
          <w:ilvl w:val="0"/>
          <w:numId w:val="6"/>
        </w:numPr>
        <w:spacing w:before="0" w:after="60"/>
        <w:rPr>
          <w:rFonts w:ascii="Arial" w:eastAsia="Calibri" w:hAnsi="Arial" w:cs="Arial"/>
          <w:color w:val="000000"/>
          <w:sz w:val="22"/>
          <w:szCs w:val="22"/>
          <w:lang w:val="en-GB"/>
        </w:rPr>
      </w:pPr>
      <w:r w:rsidRPr="004954B0">
        <w:rPr>
          <w:rFonts w:ascii="Arial" w:eastAsia="Calibri" w:hAnsi="Arial" w:cs="Arial"/>
          <w:color w:val="000000"/>
          <w:sz w:val="22"/>
          <w:szCs w:val="22"/>
          <w:lang w:val="en-GB" w:eastAsia="zh-CN"/>
        </w:rPr>
        <w:t xml:space="preserve">Responsibility 4: </w:t>
      </w:r>
      <w:r w:rsidR="009D431B" w:rsidRPr="004954B0">
        <w:rPr>
          <w:rFonts w:ascii="Arial" w:eastAsia="Calibri" w:hAnsi="Arial" w:cs="Arial"/>
          <w:color w:val="000000"/>
          <w:sz w:val="22"/>
          <w:szCs w:val="22"/>
          <w:lang w:val="en-GB" w:eastAsia="zh-CN"/>
        </w:rPr>
        <w:t>I</w:t>
      </w:r>
      <w:r w:rsidR="009F45E2" w:rsidRPr="004954B0">
        <w:rPr>
          <w:rFonts w:ascii="Arial" w:eastAsia="Calibri" w:hAnsi="Arial" w:cs="Arial"/>
          <w:color w:val="000000"/>
          <w:sz w:val="22"/>
          <w:szCs w:val="22"/>
          <w:lang w:val="en-GB"/>
        </w:rPr>
        <w:t xml:space="preserve">nterview </w:t>
      </w:r>
      <w:r w:rsidR="009D431B" w:rsidRPr="004954B0">
        <w:rPr>
          <w:rFonts w:ascii="Arial" w:eastAsia="Calibri" w:hAnsi="Arial" w:cs="Arial"/>
          <w:color w:val="000000"/>
          <w:sz w:val="22"/>
          <w:szCs w:val="22"/>
          <w:lang w:val="en-GB"/>
        </w:rPr>
        <w:t xml:space="preserve">the </w:t>
      </w:r>
      <w:r w:rsidR="009F45E2" w:rsidRPr="004954B0">
        <w:rPr>
          <w:rFonts w:ascii="Arial" w:eastAsia="Calibri" w:hAnsi="Arial" w:cs="Arial"/>
          <w:color w:val="000000"/>
          <w:sz w:val="22"/>
          <w:szCs w:val="22"/>
          <w:lang w:val="en-GB"/>
        </w:rPr>
        <w:t>relevant stakeholders to identify lessons learned in the implementation of the policy measures contemplated in the program</w:t>
      </w:r>
      <w:r w:rsidR="00F60B6A" w:rsidRPr="004954B0">
        <w:rPr>
          <w:rFonts w:ascii="Arial" w:eastAsia="Calibri" w:hAnsi="Arial" w:cs="Arial"/>
          <w:color w:val="000000"/>
          <w:sz w:val="22"/>
          <w:szCs w:val="22"/>
          <w:lang w:val="en-GB"/>
        </w:rPr>
        <w:t>me</w:t>
      </w:r>
      <w:r w:rsidR="008D029C" w:rsidRPr="004954B0">
        <w:rPr>
          <w:rFonts w:ascii="Arial" w:hAnsi="Arial" w:cs="Arial"/>
          <w:spacing w:val="-3"/>
          <w:sz w:val="22"/>
          <w:szCs w:val="22"/>
          <w:lang w:val="en-GB"/>
        </w:rPr>
        <w:t>.</w:t>
      </w:r>
    </w:p>
    <w:p w14:paraId="31BADC9B" w14:textId="4CCE61A5" w:rsidR="008D029C" w:rsidRPr="004954B0" w:rsidRDefault="009C5234" w:rsidP="00DF75ED">
      <w:pPr>
        <w:pStyle w:val="Paragraph"/>
        <w:numPr>
          <w:ilvl w:val="0"/>
          <w:numId w:val="6"/>
        </w:numPr>
        <w:spacing w:before="0" w:after="60"/>
        <w:rPr>
          <w:rFonts w:ascii="Arial" w:eastAsia="Calibri" w:hAnsi="Arial" w:cs="Arial"/>
          <w:color w:val="000000"/>
          <w:sz w:val="22"/>
          <w:szCs w:val="22"/>
          <w:lang w:val="en-GB"/>
        </w:rPr>
      </w:pPr>
      <w:r w:rsidRPr="004954B0">
        <w:rPr>
          <w:rFonts w:ascii="Arial" w:eastAsia="Calibri" w:hAnsi="Arial" w:cs="Arial"/>
          <w:color w:val="000000"/>
          <w:sz w:val="22"/>
          <w:szCs w:val="22"/>
          <w:lang w:val="en-GB" w:eastAsia="zh-CN"/>
        </w:rPr>
        <w:t xml:space="preserve">Responsibility 5: </w:t>
      </w:r>
      <w:r w:rsidR="00F069AE" w:rsidRPr="004954B0">
        <w:rPr>
          <w:rFonts w:ascii="Arial" w:hAnsi="Arial" w:cs="Arial"/>
          <w:sz w:val="22"/>
          <w:szCs w:val="22"/>
          <w:lang w:val="en-GB" w:eastAsia="zh-CN"/>
        </w:rPr>
        <w:t>P</w:t>
      </w:r>
      <w:r w:rsidR="00BC56E1" w:rsidRPr="004954B0">
        <w:rPr>
          <w:rFonts w:ascii="Arial" w:hAnsi="Arial" w:cs="Arial"/>
          <w:sz w:val="22"/>
          <w:szCs w:val="22"/>
          <w:lang w:val="en-GB"/>
        </w:rPr>
        <w:t>roduce a report summarizing the main results of the various analyses conducted</w:t>
      </w:r>
      <w:r w:rsidR="008D029C" w:rsidRPr="004954B0">
        <w:rPr>
          <w:rFonts w:ascii="Arial" w:hAnsi="Arial" w:cs="Arial"/>
          <w:sz w:val="22"/>
          <w:szCs w:val="22"/>
          <w:lang w:val="en-GB"/>
        </w:rPr>
        <w:t>.</w:t>
      </w:r>
    </w:p>
    <w:p w14:paraId="74C19510" w14:textId="41807794" w:rsidR="008D029C" w:rsidRPr="004954B0" w:rsidRDefault="008D029C" w:rsidP="00DF75ED">
      <w:pPr>
        <w:pStyle w:val="Paragraph"/>
        <w:numPr>
          <w:ilvl w:val="0"/>
          <w:numId w:val="0"/>
        </w:numPr>
        <w:spacing w:before="0" w:after="60"/>
        <w:rPr>
          <w:rFonts w:ascii="Arial" w:eastAsia="Calibri" w:hAnsi="Arial" w:cs="Arial"/>
          <w:color w:val="000000"/>
          <w:sz w:val="22"/>
          <w:szCs w:val="22"/>
          <w:lang w:val="en-GB"/>
        </w:rPr>
      </w:pPr>
    </w:p>
    <w:p w14:paraId="30824A9C" w14:textId="7F6F67FB" w:rsidR="006535EE" w:rsidRPr="004954B0" w:rsidRDefault="006C4453" w:rsidP="00DF75ED">
      <w:pPr>
        <w:spacing w:after="60"/>
        <w:rPr>
          <w:rFonts w:ascii="Arial" w:hAnsi="Arial" w:cs="Arial"/>
          <w:b/>
          <w:bCs/>
          <w:sz w:val="22"/>
          <w:szCs w:val="18"/>
          <w:lang w:val="en-GB"/>
        </w:rPr>
      </w:pPr>
      <w:r w:rsidRPr="004954B0">
        <w:rPr>
          <w:rFonts w:ascii="Arial" w:hAnsi="Arial" w:cs="Arial"/>
          <w:b/>
          <w:bCs/>
          <w:sz w:val="22"/>
          <w:szCs w:val="18"/>
          <w:lang w:val="en-GB" w:eastAsia="zh-CN"/>
        </w:rPr>
        <w:t>Deliver</w:t>
      </w:r>
      <w:r w:rsidR="008D029C" w:rsidRPr="004954B0">
        <w:rPr>
          <w:rFonts w:ascii="Arial" w:hAnsi="Arial" w:cs="Arial"/>
          <w:b/>
          <w:bCs/>
          <w:sz w:val="22"/>
          <w:szCs w:val="18"/>
          <w:lang w:val="en-GB"/>
        </w:rPr>
        <w:t xml:space="preserve">ables: </w:t>
      </w:r>
    </w:p>
    <w:p w14:paraId="77F46077" w14:textId="6E2AD0AE" w:rsidR="00677420" w:rsidRPr="004954B0" w:rsidRDefault="0058223F" w:rsidP="00DF75ED">
      <w:pPr>
        <w:pStyle w:val="Paragraph"/>
        <w:numPr>
          <w:ilvl w:val="0"/>
          <w:numId w:val="7"/>
        </w:numPr>
        <w:spacing w:before="0" w:after="60"/>
        <w:rPr>
          <w:rFonts w:ascii="Arial" w:eastAsia="Calibri" w:hAnsi="Arial" w:cs="Arial"/>
          <w:color w:val="000000"/>
          <w:sz w:val="22"/>
          <w:szCs w:val="22"/>
          <w:lang w:val="en-GB"/>
        </w:rPr>
      </w:pPr>
      <w:r w:rsidRPr="004954B0">
        <w:rPr>
          <w:rFonts w:ascii="Arial" w:eastAsia="Calibri" w:hAnsi="Arial" w:cs="Arial"/>
          <w:color w:val="000000"/>
          <w:sz w:val="22"/>
          <w:szCs w:val="22"/>
          <w:lang w:val="en-GB"/>
        </w:rPr>
        <w:t>Product</w:t>
      </w:r>
      <w:r w:rsidR="00677420" w:rsidRPr="004954B0">
        <w:rPr>
          <w:rFonts w:ascii="Arial" w:eastAsia="Calibri" w:hAnsi="Arial" w:cs="Arial"/>
          <w:color w:val="000000"/>
          <w:sz w:val="22"/>
          <w:szCs w:val="22"/>
          <w:lang w:val="en-GB"/>
        </w:rPr>
        <w:t xml:space="preserve"> 1: </w:t>
      </w:r>
      <w:r w:rsidR="00E137DE" w:rsidRPr="004954B0">
        <w:rPr>
          <w:rFonts w:ascii="Arial" w:hAnsi="Arial" w:cs="Arial"/>
          <w:spacing w:val="-3"/>
          <w:sz w:val="22"/>
          <w:szCs w:val="22"/>
          <w:lang w:val="en-GB"/>
        </w:rPr>
        <w:t xml:space="preserve">Working plan, which will include at least: (i) </w:t>
      </w:r>
      <w:r w:rsidR="00023B9F" w:rsidRPr="004954B0">
        <w:rPr>
          <w:rFonts w:ascii="Arial" w:hAnsi="Arial" w:cs="Arial"/>
          <w:spacing w:val="-3"/>
          <w:sz w:val="22"/>
          <w:szCs w:val="22"/>
          <w:lang w:val="en-GB"/>
        </w:rPr>
        <w:t>the methodology</w:t>
      </w:r>
      <w:r w:rsidR="00E137DE" w:rsidRPr="004954B0">
        <w:rPr>
          <w:rFonts w:ascii="Arial" w:hAnsi="Arial" w:cs="Arial"/>
          <w:spacing w:val="-3"/>
          <w:sz w:val="22"/>
          <w:szCs w:val="22"/>
          <w:lang w:val="en-GB"/>
        </w:rPr>
        <w:t>, as indicated in the Program</w:t>
      </w:r>
      <w:r w:rsidR="00F60B6A" w:rsidRPr="004954B0">
        <w:rPr>
          <w:rFonts w:ascii="Arial" w:hAnsi="Arial" w:cs="Arial"/>
          <w:spacing w:val="-3"/>
          <w:sz w:val="22"/>
          <w:szCs w:val="22"/>
          <w:lang w:val="en-GB"/>
        </w:rPr>
        <w:t>me</w:t>
      </w:r>
      <w:r w:rsidR="00E137DE" w:rsidRPr="004954B0">
        <w:rPr>
          <w:rFonts w:ascii="Arial" w:hAnsi="Arial" w:cs="Arial"/>
          <w:spacing w:val="-3"/>
          <w:sz w:val="22"/>
          <w:szCs w:val="22"/>
          <w:lang w:val="en-GB"/>
        </w:rPr>
        <w:t xml:space="preserve"> Monitoring and Evaluation Plan; (ii) data requirements; (iii) report structure; and (iv) timeline</w:t>
      </w:r>
      <w:r w:rsidR="009C7EB6" w:rsidRPr="004954B0">
        <w:rPr>
          <w:rFonts w:ascii="Arial" w:hAnsi="Arial" w:cs="Arial"/>
          <w:bCs/>
          <w:sz w:val="22"/>
          <w:szCs w:val="22"/>
          <w:lang w:val="en-GB"/>
        </w:rPr>
        <w:t>.</w:t>
      </w:r>
    </w:p>
    <w:p w14:paraId="65F62DD4" w14:textId="48A817CE" w:rsidR="00677420" w:rsidRPr="004954B0" w:rsidRDefault="008354D3" w:rsidP="00DF75ED">
      <w:pPr>
        <w:pStyle w:val="Paragraph"/>
        <w:numPr>
          <w:ilvl w:val="0"/>
          <w:numId w:val="7"/>
        </w:numPr>
        <w:spacing w:before="0" w:after="60"/>
        <w:rPr>
          <w:rFonts w:ascii="Arial" w:eastAsia="Calibri" w:hAnsi="Arial" w:cs="Arial"/>
          <w:color w:val="000000"/>
          <w:sz w:val="22"/>
          <w:szCs w:val="22"/>
          <w:lang w:val="en-GB"/>
        </w:rPr>
      </w:pPr>
      <w:r w:rsidRPr="004954B0">
        <w:rPr>
          <w:rFonts w:ascii="Arial" w:hAnsi="Arial" w:cs="Arial"/>
          <w:spacing w:val="-3"/>
          <w:sz w:val="22"/>
          <w:szCs w:val="22"/>
          <w:lang w:val="en-GB"/>
        </w:rPr>
        <w:t>Product</w:t>
      </w:r>
      <w:r w:rsidR="00677420" w:rsidRPr="004954B0">
        <w:rPr>
          <w:rFonts w:ascii="Arial" w:hAnsi="Arial" w:cs="Arial"/>
          <w:spacing w:val="-3"/>
          <w:sz w:val="22"/>
          <w:szCs w:val="22"/>
          <w:lang w:val="en-GB"/>
        </w:rPr>
        <w:t xml:space="preserve"> 2: </w:t>
      </w:r>
      <w:r w:rsidR="002C0D91" w:rsidRPr="004954B0">
        <w:rPr>
          <w:rFonts w:ascii="Arial" w:hAnsi="Arial" w:cs="Arial"/>
          <w:sz w:val="22"/>
          <w:szCs w:val="22"/>
          <w:lang w:val="en-GB"/>
        </w:rPr>
        <w:t>Progress</w:t>
      </w:r>
      <w:r w:rsidR="00F06E7F" w:rsidRPr="004954B0">
        <w:rPr>
          <w:rFonts w:ascii="Arial" w:hAnsi="Arial" w:cs="Arial"/>
          <w:sz w:val="22"/>
          <w:szCs w:val="22"/>
          <w:lang w:val="en-GB"/>
        </w:rPr>
        <w:t xml:space="preserve"> report summarizing the main results of the various analyses conducted</w:t>
      </w:r>
      <w:r w:rsidR="00677420" w:rsidRPr="004954B0">
        <w:rPr>
          <w:rFonts w:ascii="Arial" w:hAnsi="Arial" w:cs="Arial"/>
          <w:sz w:val="22"/>
          <w:szCs w:val="22"/>
          <w:lang w:val="en-GB"/>
        </w:rPr>
        <w:t>.</w:t>
      </w:r>
    </w:p>
    <w:p w14:paraId="1CA05337" w14:textId="57B3B7A0" w:rsidR="00677420" w:rsidRPr="004954B0" w:rsidRDefault="008354D3" w:rsidP="00DF75ED">
      <w:pPr>
        <w:pStyle w:val="Paragraph"/>
        <w:numPr>
          <w:ilvl w:val="0"/>
          <w:numId w:val="7"/>
        </w:numPr>
        <w:spacing w:before="0" w:after="60"/>
        <w:rPr>
          <w:rFonts w:ascii="Arial" w:eastAsia="Calibri" w:hAnsi="Arial" w:cs="Arial"/>
          <w:color w:val="000000"/>
          <w:sz w:val="22"/>
          <w:szCs w:val="22"/>
          <w:lang w:val="en-GB"/>
        </w:rPr>
      </w:pPr>
      <w:r w:rsidRPr="004954B0">
        <w:rPr>
          <w:rFonts w:ascii="Arial" w:hAnsi="Arial" w:cs="Arial"/>
          <w:spacing w:val="-3"/>
          <w:sz w:val="22"/>
          <w:szCs w:val="22"/>
          <w:lang w:val="en-GB"/>
        </w:rPr>
        <w:t>Product</w:t>
      </w:r>
      <w:r w:rsidR="00677420" w:rsidRPr="004954B0">
        <w:rPr>
          <w:rFonts w:ascii="Arial" w:hAnsi="Arial" w:cs="Arial"/>
          <w:spacing w:val="-3"/>
          <w:sz w:val="22"/>
          <w:szCs w:val="22"/>
          <w:lang w:val="en-GB"/>
        </w:rPr>
        <w:t xml:space="preserve"> 3: </w:t>
      </w:r>
      <w:r w:rsidR="00D22639" w:rsidRPr="004954B0">
        <w:rPr>
          <w:rFonts w:ascii="Arial" w:hAnsi="Arial" w:cs="Arial"/>
          <w:sz w:val="22"/>
          <w:szCs w:val="22"/>
          <w:lang w:val="en-GB"/>
        </w:rPr>
        <w:t>Final report summarizing the main results of the various analyses conducted</w:t>
      </w:r>
      <w:r w:rsidR="00677420" w:rsidRPr="004954B0">
        <w:rPr>
          <w:rFonts w:ascii="Arial" w:hAnsi="Arial" w:cs="Arial"/>
          <w:sz w:val="22"/>
          <w:szCs w:val="22"/>
          <w:lang w:val="en-GB"/>
        </w:rPr>
        <w:t>.</w:t>
      </w:r>
    </w:p>
    <w:p w14:paraId="26EDE920" w14:textId="77777777" w:rsidR="00677420" w:rsidRPr="004954B0" w:rsidRDefault="00677420" w:rsidP="00DF75ED">
      <w:pPr>
        <w:pStyle w:val="Paragraph"/>
        <w:numPr>
          <w:ilvl w:val="0"/>
          <w:numId w:val="0"/>
        </w:numPr>
        <w:spacing w:before="0" w:after="60"/>
        <w:rPr>
          <w:rFonts w:ascii="Arial" w:eastAsia="Calibri" w:hAnsi="Arial" w:cs="Arial"/>
          <w:b/>
          <w:sz w:val="22"/>
          <w:szCs w:val="22"/>
          <w:lang w:val="en-GB"/>
        </w:rPr>
      </w:pPr>
    </w:p>
    <w:p w14:paraId="5958F341" w14:textId="6E876F25" w:rsidR="008D029C" w:rsidRPr="004954B0" w:rsidRDefault="00B457E0" w:rsidP="00DF75ED">
      <w:pPr>
        <w:pStyle w:val="Paragraph"/>
        <w:numPr>
          <w:ilvl w:val="0"/>
          <w:numId w:val="0"/>
        </w:numPr>
        <w:spacing w:before="0" w:after="60"/>
        <w:rPr>
          <w:rFonts w:ascii="Arial" w:eastAsia="Calibri" w:hAnsi="Arial" w:cs="Arial"/>
          <w:b/>
          <w:sz w:val="22"/>
          <w:szCs w:val="22"/>
          <w:lang w:val="en-GB"/>
        </w:rPr>
      </w:pPr>
      <w:r w:rsidRPr="004954B0">
        <w:rPr>
          <w:rFonts w:ascii="Arial" w:eastAsia="Calibri" w:hAnsi="Arial" w:cs="Arial"/>
          <w:b/>
          <w:sz w:val="22"/>
          <w:szCs w:val="22"/>
          <w:lang w:val="en-GB" w:eastAsia="zh-CN"/>
        </w:rPr>
        <w:t>Disbursement schedule</w:t>
      </w:r>
      <w:r w:rsidR="008D029C" w:rsidRPr="004954B0">
        <w:rPr>
          <w:rFonts w:ascii="Arial" w:eastAsia="Calibri" w:hAnsi="Arial" w:cs="Arial"/>
          <w:sz w:val="22"/>
          <w:szCs w:val="22"/>
          <w:lang w:val="en-GB"/>
        </w:rPr>
        <w:t xml:space="preserve">: </w:t>
      </w:r>
      <w:r w:rsidRPr="004954B0">
        <w:rPr>
          <w:rFonts w:ascii="Arial" w:eastAsia="Calibri" w:hAnsi="Arial" w:cs="Arial"/>
          <w:sz w:val="22"/>
          <w:szCs w:val="22"/>
          <w:lang w:val="en-GB" w:eastAsia="zh-CN"/>
        </w:rPr>
        <w:t>the payments will be disbursed in the following manner</w:t>
      </w:r>
      <w:r w:rsidR="008D029C" w:rsidRPr="004954B0">
        <w:rPr>
          <w:rFonts w:ascii="Arial" w:eastAsia="Calibri" w:hAnsi="Arial" w:cs="Arial"/>
          <w:sz w:val="22"/>
          <w:szCs w:val="22"/>
          <w:lang w:val="en-GB"/>
        </w:rPr>
        <w:t>:</w:t>
      </w:r>
      <w:r w:rsidR="008D029C" w:rsidRPr="004954B0">
        <w:rPr>
          <w:rFonts w:ascii="Arial" w:hAnsi="Arial" w:cs="Arial"/>
          <w:sz w:val="22"/>
          <w:szCs w:val="22"/>
          <w:lang w:val="en-GB"/>
        </w:rPr>
        <w:t xml:space="preserve"> </w:t>
      </w:r>
    </w:p>
    <w:p w14:paraId="4478DC21" w14:textId="401DD5B9" w:rsidR="008D029C" w:rsidRPr="004954B0" w:rsidRDefault="003F3878" w:rsidP="00DF75ED">
      <w:pPr>
        <w:pStyle w:val="ListParagraph"/>
        <w:numPr>
          <w:ilvl w:val="0"/>
          <w:numId w:val="5"/>
        </w:numPr>
        <w:spacing w:after="60"/>
        <w:ind w:left="360"/>
        <w:contextualSpacing w:val="0"/>
        <w:jc w:val="both"/>
        <w:rPr>
          <w:rFonts w:ascii="Arial" w:hAnsi="Arial" w:cs="Arial"/>
          <w:sz w:val="22"/>
          <w:szCs w:val="22"/>
          <w:lang w:val="en-GB"/>
        </w:rPr>
      </w:pPr>
      <w:r w:rsidRPr="004954B0">
        <w:rPr>
          <w:rFonts w:ascii="Arial" w:hAnsi="Arial" w:cs="Arial"/>
          <w:sz w:val="22"/>
          <w:szCs w:val="22"/>
          <w:lang w:val="en-GB"/>
        </w:rPr>
        <w:t>20</w:t>
      </w:r>
      <w:r w:rsidR="00BA6725">
        <w:rPr>
          <w:rFonts w:ascii="Arial" w:hAnsi="Arial" w:cs="Arial"/>
          <w:sz w:val="22"/>
          <w:szCs w:val="22"/>
          <w:lang w:val="en-GB"/>
        </w:rPr>
        <w:t>%</w:t>
      </w:r>
      <w:r w:rsidRPr="004954B0">
        <w:rPr>
          <w:rFonts w:ascii="Arial" w:hAnsi="Arial" w:cs="Arial"/>
          <w:sz w:val="22"/>
          <w:szCs w:val="22"/>
          <w:lang w:val="en-GB"/>
        </w:rPr>
        <w:t xml:space="preserve"> upon delivery and approval of the working plan </w:t>
      </w:r>
      <w:r w:rsidR="001112FA" w:rsidRPr="004954B0">
        <w:rPr>
          <w:rFonts w:ascii="Arial" w:hAnsi="Arial" w:cs="Arial"/>
          <w:sz w:val="22"/>
          <w:szCs w:val="22"/>
          <w:lang w:val="en-GB" w:eastAsia="zh-CN"/>
        </w:rPr>
        <w:t xml:space="preserve">indicated </w:t>
      </w:r>
      <w:r w:rsidRPr="004954B0">
        <w:rPr>
          <w:rFonts w:ascii="Arial" w:hAnsi="Arial" w:cs="Arial"/>
          <w:sz w:val="22"/>
          <w:szCs w:val="22"/>
          <w:lang w:val="en-GB"/>
        </w:rPr>
        <w:t xml:space="preserve">in </w:t>
      </w:r>
      <w:r w:rsidRPr="004954B0">
        <w:rPr>
          <w:rFonts w:ascii="Arial" w:hAnsi="Arial" w:cs="Arial"/>
          <w:sz w:val="22"/>
          <w:szCs w:val="22"/>
          <w:lang w:val="en-GB" w:eastAsia="zh-CN"/>
        </w:rPr>
        <w:t>item</w:t>
      </w:r>
      <w:r w:rsidRPr="004954B0">
        <w:rPr>
          <w:rFonts w:ascii="Arial" w:hAnsi="Arial" w:cs="Arial"/>
          <w:sz w:val="22"/>
          <w:szCs w:val="22"/>
          <w:lang w:val="en-GB"/>
        </w:rPr>
        <w:t xml:space="preserve"> (i) of the deliverables section</w:t>
      </w:r>
      <w:r w:rsidR="00677420" w:rsidRPr="004954B0">
        <w:rPr>
          <w:rFonts w:ascii="Arial" w:hAnsi="Arial" w:cs="Arial"/>
          <w:sz w:val="22"/>
          <w:szCs w:val="22"/>
          <w:lang w:val="en-GB"/>
        </w:rPr>
        <w:t>.</w:t>
      </w:r>
    </w:p>
    <w:p w14:paraId="36FC0758" w14:textId="451D9B1F" w:rsidR="008D029C" w:rsidRPr="004954B0" w:rsidRDefault="00677420" w:rsidP="00DF75ED">
      <w:pPr>
        <w:pStyle w:val="ListParagraph"/>
        <w:numPr>
          <w:ilvl w:val="0"/>
          <w:numId w:val="5"/>
        </w:numPr>
        <w:spacing w:after="60"/>
        <w:ind w:left="360"/>
        <w:contextualSpacing w:val="0"/>
        <w:jc w:val="both"/>
        <w:rPr>
          <w:rFonts w:ascii="Arial" w:hAnsi="Arial" w:cs="Arial"/>
          <w:sz w:val="22"/>
          <w:szCs w:val="22"/>
          <w:lang w:val="en-GB"/>
        </w:rPr>
      </w:pPr>
      <w:r w:rsidRPr="004954B0">
        <w:rPr>
          <w:rFonts w:ascii="Arial" w:hAnsi="Arial" w:cs="Arial"/>
          <w:sz w:val="22"/>
          <w:szCs w:val="22"/>
          <w:lang w:val="en-GB"/>
        </w:rPr>
        <w:t>5</w:t>
      </w:r>
      <w:r w:rsidR="008D029C" w:rsidRPr="004954B0">
        <w:rPr>
          <w:rFonts w:ascii="Arial" w:hAnsi="Arial" w:cs="Arial"/>
          <w:sz w:val="22"/>
          <w:szCs w:val="22"/>
          <w:lang w:val="en-GB"/>
        </w:rPr>
        <w:t>0</w:t>
      </w:r>
      <w:r w:rsidR="00BA6725">
        <w:rPr>
          <w:rFonts w:ascii="Arial" w:hAnsi="Arial" w:cs="Arial"/>
          <w:sz w:val="22"/>
          <w:szCs w:val="22"/>
          <w:lang w:val="en-GB"/>
        </w:rPr>
        <w:t>%</w:t>
      </w:r>
      <w:r w:rsidR="003F3878" w:rsidRPr="004954B0">
        <w:rPr>
          <w:rFonts w:ascii="Arial" w:hAnsi="Arial" w:cs="Arial"/>
          <w:sz w:val="22"/>
          <w:szCs w:val="22"/>
          <w:lang w:val="en-GB" w:eastAsia="zh-CN"/>
        </w:rPr>
        <w:t xml:space="preserve"> upon delivery and approval of the report </w:t>
      </w:r>
      <w:r w:rsidR="001112FA" w:rsidRPr="004954B0">
        <w:rPr>
          <w:rFonts w:ascii="Arial" w:hAnsi="Arial" w:cs="Arial"/>
          <w:sz w:val="22"/>
          <w:szCs w:val="22"/>
          <w:lang w:val="en-GB" w:eastAsia="zh-CN"/>
        </w:rPr>
        <w:t xml:space="preserve">indicated </w:t>
      </w:r>
      <w:r w:rsidR="003F3878" w:rsidRPr="004954B0">
        <w:rPr>
          <w:rFonts w:ascii="Arial" w:hAnsi="Arial" w:cs="Arial"/>
          <w:sz w:val="22"/>
          <w:szCs w:val="22"/>
          <w:lang w:val="en-GB" w:eastAsia="zh-CN"/>
        </w:rPr>
        <w:t>in item (ii) of the deliverables section</w:t>
      </w:r>
      <w:r w:rsidRPr="004954B0">
        <w:rPr>
          <w:rFonts w:ascii="Arial" w:hAnsi="Arial" w:cs="Arial"/>
          <w:sz w:val="22"/>
          <w:szCs w:val="22"/>
          <w:lang w:val="en-GB"/>
        </w:rPr>
        <w:t>.</w:t>
      </w:r>
    </w:p>
    <w:p w14:paraId="315CD50D" w14:textId="4CF6987F" w:rsidR="00677420" w:rsidRPr="004954B0" w:rsidRDefault="00677420" w:rsidP="00DF75ED">
      <w:pPr>
        <w:pStyle w:val="ListParagraph"/>
        <w:numPr>
          <w:ilvl w:val="0"/>
          <w:numId w:val="5"/>
        </w:numPr>
        <w:spacing w:after="60"/>
        <w:ind w:left="360"/>
        <w:contextualSpacing w:val="0"/>
        <w:jc w:val="both"/>
        <w:rPr>
          <w:rFonts w:ascii="Arial" w:hAnsi="Arial" w:cs="Arial"/>
          <w:sz w:val="22"/>
          <w:szCs w:val="22"/>
          <w:lang w:val="en-GB"/>
        </w:rPr>
      </w:pPr>
      <w:r w:rsidRPr="004954B0">
        <w:rPr>
          <w:rFonts w:ascii="Arial" w:hAnsi="Arial" w:cs="Arial"/>
          <w:sz w:val="22"/>
          <w:szCs w:val="22"/>
          <w:lang w:val="en-GB"/>
        </w:rPr>
        <w:t>3</w:t>
      </w:r>
      <w:r w:rsidR="001112FA" w:rsidRPr="004954B0">
        <w:rPr>
          <w:rFonts w:ascii="Arial" w:hAnsi="Arial" w:cs="Arial"/>
          <w:sz w:val="22"/>
          <w:szCs w:val="22"/>
          <w:lang w:val="en-GB"/>
        </w:rPr>
        <w:t>0</w:t>
      </w:r>
      <w:r w:rsidR="00BA6725">
        <w:rPr>
          <w:rFonts w:ascii="Arial" w:hAnsi="Arial" w:cs="Arial"/>
          <w:sz w:val="22"/>
          <w:szCs w:val="22"/>
          <w:lang w:val="en-GB"/>
        </w:rPr>
        <w:t>%</w:t>
      </w:r>
      <w:r w:rsidR="001112FA" w:rsidRPr="004954B0">
        <w:rPr>
          <w:rFonts w:ascii="Arial" w:hAnsi="Arial" w:cs="Arial"/>
          <w:sz w:val="22"/>
          <w:szCs w:val="22"/>
          <w:lang w:val="en-GB" w:eastAsia="zh-CN"/>
        </w:rPr>
        <w:t xml:space="preserve"> upon delivery</w:t>
      </w:r>
      <w:r w:rsidR="00B55CDD" w:rsidRPr="004954B0">
        <w:rPr>
          <w:rFonts w:ascii="Arial" w:hAnsi="Arial" w:cs="Arial"/>
          <w:sz w:val="22"/>
          <w:szCs w:val="22"/>
          <w:lang w:val="en-GB" w:eastAsia="zh-CN"/>
        </w:rPr>
        <w:t xml:space="preserve"> </w:t>
      </w:r>
      <w:r w:rsidR="001112FA" w:rsidRPr="004954B0">
        <w:rPr>
          <w:rFonts w:ascii="Arial" w:hAnsi="Arial" w:cs="Arial"/>
          <w:sz w:val="22"/>
          <w:szCs w:val="22"/>
          <w:lang w:val="en-GB" w:eastAsia="zh-CN"/>
        </w:rPr>
        <w:t>and approval of the report indicated in item (iii) of the deliverables section</w:t>
      </w:r>
      <w:r w:rsidRPr="004954B0">
        <w:rPr>
          <w:rFonts w:ascii="Arial" w:hAnsi="Arial" w:cs="Arial"/>
          <w:sz w:val="22"/>
          <w:szCs w:val="22"/>
          <w:lang w:val="en-GB"/>
        </w:rPr>
        <w:t>.</w:t>
      </w:r>
    </w:p>
    <w:p w14:paraId="639E21BC" w14:textId="354552F0" w:rsidR="00343BA8" w:rsidRPr="004954B0" w:rsidRDefault="00BA2CE5" w:rsidP="00677420">
      <w:pPr>
        <w:spacing w:after="120"/>
        <w:jc w:val="both"/>
        <w:rPr>
          <w:rFonts w:ascii="Arial" w:hAnsi="Arial" w:cs="Arial"/>
          <w:sz w:val="22"/>
          <w:szCs w:val="22"/>
          <w:lang w:val="en-GB"/>
        </w:rPr>
      </w:pPr>
      <w:r w:rsidRPr="004954B0">
        <w:rPr>
          <w:rFonts w:ascii="Arial" w:hAnsi="Arial" w:cs="Arial"/>
          <w:sz w:val="22"/>
          <w:szCs w:val="22"/>
          <w:lang w:val="en-GB"/>
        </w:rPr>
        <w:t>Payments are subject to approval by the Bank. All reports must be submitted to the Bank in electronic files</w:t>
      </w:r>
      <w:r w:rsidR="008D029C" w:rsidRPr="004954B0">
        <w:rPr>
          <w:rFonts w:ascii="Arial" w:hAnsi="Arial" w:cs="Arial"/>
          <w:sz w:val="22"/>
          <w:szCs w:val="22"/>
          <w:lang w:val="en-GB"/>
        </w:rPr>
        <w:t>.</w:t>
      </w:r>
    </w:p>
    <w:p w14:paraId="3E1DC312" w14:textId="77777777" w:rsidR="00343BA8" w:rsidRPr="004954B0" w:rsidRDefault="00343BA8" w:rsidP="00343BA8">
      <w:pPr>
        <w:spacing w:after="120"/>
        <w:rPr>
          <w:rFonts w:ascii="Arial" w:hAnsi="Arial" w:cs="Arial"/>
          <w:b/>
          <w:sz w:val="22"/>
          <w:szCs w:val="22"/>
          <w:lang w:val="en-GB" w:bidi="he-IL"/>
        </w:rPr>
      </w:pPr>
    </w:p>
    <w:p w14:paraId="278FA2CA" w14:textId="008AE568" w:rsidR="00343BA8" w:rsidRPr="004954B0" w:rsidRDefault="005A6D1E" w:rsidP="009C7EB6">
      <w:pPr>
        <w:keepNext/>
        <w:spacing w:after="120"/>
        <w:rPr>
          <w:rFonts w:ascii="Arial" w:hAnsi="Arial" w:cs="Arial"/>
          <w:b/>
          <w:bCs/>
          <w:sz w:val="22"/>
          <w:szCs w:val="22"/>
          <w:u w:val="single"/>
          <w:lang w:val="en-GB"/>
        </w:rPr>
      </w:pPr>
      <w:r w:rsidRPr="004954B0">
        <w:rPr>
          <w:rFonts w:ascii="Arial" w:hAnsi="Arial" w:cs="Arial"/>
          <w:b/>
          <w:bCs/>
          <w:sz w:val="22"/>
          <w:szCs w:val="22"/>
          <w:u w:val="single"/>
          <w:lang w:val="en-GB" w:eastAsia="zh-CN"/>
        </w:rPr>
        <w:t xml:space="preserve">What </w:t>
      </w:r>
      <w:proofErr w:type="gramStart"/>
      <w:r w:rsidRPr="004954B0">
        <w:rPr>
          <w:rFonts w:ascii="Arial" w:hAnsi="Arial" w:cs="Arial"/>
          <w:b/>
          <w:bCs/>
          <w:sz w:val="22"/>
          <w:szCs w:val="22"/>
          <w:u w:val="single"/>
          <w:lang w:val="en-GB" w:eastAsia="zh-CN"/>
        </w:rPr>
        <w:t>You’ll</w:t>
      </w:r>
      <w:proofErr w:type="gramEnd"/>
      <w:r w:rsidRPr="004954B0">
        <w:rPr>
          <w:rFonts w:ascii="Arial" w:hAnsi="Arial" w:cs="Arial"/>
          <w:b/>
          <w:bCs/>
          <w:sz w:val="22"/>
          <w:szCs w:val="22"/>
          <w:u w:val="single"/>
          <w:lang w:val="en-GB" w:eastAsia="zh-CN"/>
        </w:rPr>
        <w:t xml:space="preserve"> Need</w:t>
      </w:r>
      <w:r w:rsidR="00343BA8" w:rsidRPr="004954B0">
        <w:rPr>
          <w:rFonts w:ascii="Arial" w:hAnsi="Arial" w:cs="Arial"/>
          <w:b/>
          <w:bCs/>
          <w:sz w:val="22"/>
          <w:szCs w:val="22"/>
          <w:u w:val="single"/>
          <w:lang w:val="en-GB"/>
        </w:rPr>
        <w:t>:</w:t>
      </w:r>
    </w:p>
    <w:p w14:paraId="4C64E969" w14:textId="0CE08A65" w:rsidR="00343BA8" w:rsidRPr="004954B0" w:rsidRDefault="00137C1D" w:rsidP="00D73FE8">
      <w:pPr>
        <w:pStyle w:val="ListParagraph"/>
        <w:numPr>
          <w:ilvl w:val="0"/>
          <w:numId w:val="3"/>
        </w:numPr>
        <w:spacing w:after="60"/>
        <w:ind w:left="360"/>
        <w:contextualSpacing w:val="0"/>
        <w:jc w:val="both"/>
        <w:rPr>
          <w:rFonts w:ascii="Arial" w:hAnsi="Arial" w:cs="Arial"/>
          <w:sz w:val="22"/>
          <w:szCs w:val="22"/>
          <w:lang w:val="en-GB"/>
        </w:rPr>
      </w:pPr>
      <w:r w:rsidRPr="004954B0">
        <w:rPr>
          <w:rFonts w:ascii="Arial" w:hAnsi="Arial" w:cs="Arial"/>
          <w:b/>
          <w:sz w:val="22"/>
          <w:szCs w:val="22"/>
          <w:lang w:val="en-GB"/>
        </w:rPr>
        <w:t>Educa</w:t>
      </w:r>
      <w:r w:rsidRPr="004954B0">
        <w:rPr>
          <w:rFonts w:ascii="Arial" w:hAnsi="Arial" w:cs="Arial"/>
          <w:b/>
          <w:sz w:val="22"/>
          <w:szCs w:val="22"/>
          <w:lang w:val="en-GB" w:eastAsia="zh-CN"/>
        </w:rPr>
        <w:t>tion</w:t>
      </w:r>
      <w:r w:rsidR="00343BA8" w:rsidRPr="004954B0">
        <w:rPr>
          <w:rFonts w:ascii="Arial" w:hAnsi="Arial" w:cs="Arial"/>
          <w:b/>
          <w:sz w:val="22"/>
          <w:szCs w:val="22"/>
          <w:lang w:val="en-GB"/>
        </w:rPr>
        <w:t>:</w:t>
      </w:r>
      <w:r w:rsidR="00343BA8" w:rsidRPr="004954B0">
        <w:rPr>
          <w:rFonts w:ascii="Arial" w:hAnsi="Arial" w:cs="Arial"/>
          <w:sz w:val="22"/>
          <w:szCs w:val="22"/>
          <w:lang w:val="en-GB"/>
        </w:rPr>
        <w:t xml:space="preserve"> </w:t>
      </w:r>
      <w:r w:rsidR="00CD33AA" w:rsidRPr="004954B0">
        <w:rPr>
          <w:rFonts w:ascii="Arial" w:hAnsi="Arial" w:cs="Arial"/>
          <w:sz w:val="22"/>
          <w:szCs w:val="22"/>
          <w:lang w:val="en-GB"/>
        </w:rPr>
        <w:t xml:space="preserve">Degree in economics, public policy, or </w:t>
      </w:r>
      <w:r w:rsidR="00CD33AA" w:rsidRPr="004954B0">
        <w:rPr>
          <w:rFonts w:ascii="Arial" w:hAnsi="Arial" w:cs="Arial"/>
          <w:sz w:val="22"/>
          <w:szCs w:val="22"/>
          <w:lang w:val="en-GB" w:eastAsia="zh-CN"/>
        </w:rPr>
        <w:t xml:space="preserve">a </w:t>
      </w:r>
      <w:r w:rsidR="00CD33AA" w:rsidRPr="004954B0">
        <w:rPr>
          <w:rFonts w:ascii="Arial" w:hAnsi="Arial" w:cs="Arial"/>
          <w:sz w:val="22"/>
          <w:szCs w:val="22"/>
          <w:lang w:val="en-GB"/>
        </w:rPr>
        <w:t>related</w:t>
      </w:r>
      <w:r w:rsidR="00CD33AA" w:rsidRPr="004954B0">
        <w:rPr>
          <w:rFonts w:ascii="Arial" w:hAnsi="Arial" w:cs="Arial"/>
          <w:sz w:val="22"/>
          <w:szCs w:val="22"/>
          <w:lang w:val="en-GB" w:eastAsia="zh-CN"/>
        </w:rPr>
        <w:t xml:space="preserve"> field</w:t>
      </w:r>
      <w:r w:rsidR="00343BA8" w:rsidRPr="004954B0">
        <w:rPr>
          <w:rFonts w:ascii="Arial" w:hAnsi="Arial" w:cs="Arial"/>
          <w:sz w:val="22"/>
          <w:szCs w:val="22"/>
          <w:lang w:val="en-GB"/>
        </w:rPr>
        <w:t>.</w:t>
      </w:r>
    </w:p>
    <w:p w14:paraId="565B4CAA" w14:textId="45402F06" w:rsidR="00343BA8" w:rsidRPr="004954B0" w:rsidRDefault="00CD33AA" w:rsidP="00D73FE8">
      <w:pPr>
        <w:pStyle w:val="ListParagraph"/>
        <w:numPr>
          <w:ilvl w:val="0"/>
          <w:numId w:val="3"/>
        </w:numPr>
        <w:spacing w:after="60"/>
        <w:ind w:left="360"/>
        <w:contextualSpacing w:val="0"/>
        <w:jc w:val="both"/>
        <w:rPr>
          <w:rFonts w:ascii="Arial" w:hAnsi="Arial" w:cs="Arial"/>
          <w:sz w:val="22"/>
          <w:szCs w:val="22"/>
          <w:lang w:val="en-GB"/>
        </w:rPr>
      </w:pPr>
      <w:r w:rsidRPr="004954B0">
        <w:rPr>
          <w:rFonts w:ascii="Arial" w:hAnsi="Arial" w:cs="Arial"/>
          <w:b/>
          <w:sz w:val="22"/>
          <w:szCs w:val="22"/>
          <w:lang w:val="en-GB"/>
        </w:rPr>
        <w:t>Experienc</w:t>
      </w:r>
      <w:r w:rsidRPr="004954B0">
        <w:rPr>
          <w:rFonts w:ascii="Arial" w:hAnsi="Arial" w:cs="Arial"/>
          <w:b/>
          <w:sz w:val="22"/>
          <w:szCs w:val="22"/>
          <w:lang w:val="en-GB" w:eastAsia="zh-CN"/>
        </w:rPr>
        <w:t>e</w:t>
      </w:r>
      <w:r w:rsidR="00343BA8" w:rsidRPr="004954B0">
        <w:rPr>
          <w:rFonts w:ascii="Arial" w:hAnsi="Arial" w:cs="Arial"/>
          <w:b/>
          <w:sz w:val="22"/>
          <w:szCs w:val="22"/>
          <w:lang w:val="en-GB"/>
        </w:rPr>
        <w:t>:</w:t>
      </w:r>
      <w:r w:rsidR="00343BA8" w:rsidRPr="004954B0">
        <w:rPr>
          <w:rFonts w:ascii="Arial" w:hAnsi="Arial" w:cs="Arial"/>
          <w:sz w:val="22"/>
          <w:szCs w:val="22"/>
          <w:lang w:val="en-GB"/>
        </w:rPr>
        <w:t xml:space="preserve"> </w:t>
      </w:r>
      <w:r w:rsidR="00DD2769" w:rsidRPr="004954B0">
        <w:rPr>
          <w:rFonts w:ascii="Arial" w:hAnsi="Arial" w:cs="Arial"/>
          <w:sz w:val="22"/>
          <w:szCs w:val="22"/>
          <w:lang w:val="en-GB" w:eastAsia="zh-CN"/>
        </w:rPr>
        <w:t>Minimum</w:t>
      </w:r>
      <w:r w:rsidR="00343BA8" w:rsidRPr="004954B0">
        <w:rPr>
          <w:rFonts w:ascii="Arial" w:hAnsi="Arial" w:cs="Arial"/>
          <w:sz w:val="22"/>
          <w:szCs w:val="22"/>
          <w:lang w:val="en-GB"/>
        </w:rPr>
        <w:t xml:space="preserve"> 5 </w:t>
      </w:r>
      <w:r w:rsidR="00DD2769" w:rsidRPr="004954B0">
        <w:rPr>
          <w:rFonts w:ascii="Arial" w:hAnsi="Arial" w:cs="Arial"/>
          <w:sz w:val="22"/>
          <w:szCs w:val="22"/>
          <w:lang w:val="en-GB" w:eastAsia="zh-CN"/>
        </w:rPr>
        <w:t>years of</w:t>
      </w:r>
      <w:r w:rsidR="00343BA8" w:rsidRPr="004954B0">
        <w:rPr>
          <w:rFonts w:ascii="Arial" w:hAnsi="Arial" w:cs="Arial"/>
          <w:sz w:val="22"/>
          <w:szCs w:val="22"/>
          <w:lang w:val="en-GB"/>
        </w:rPr>
        <w:t xml:space="preserve"> ex</w:t>
      </w:r>
      <w:r w:rsidR="00DD2769" w:rsidRPr="004954B0">
        <w:rPr>
          <w:rFonts w:ascii="Arial" w:hAnsi="Arial" w:cs="Arial"/>
          <w:sz w:val="22"/>
          <w:szCs w:val="22"/>
          <w:lang w:val="en-GB"/>
        </w:rPr>
        <w:t>perienc</w:t>
      </w:r>
      <w:r w:rsidR="00DD2769" w:rsidRPr="004954B0">
        <w:rPr>
          <w:rFonts w:ascii="Arial" w:hAnsi="Arial" w:cs="Arial"/>
          <w:sz w:val="22"/>
          <w:szCs w:val="22"/>
          <w:lang w:val="en-GB" w:eastAsia="zh-CN"/>
        </w:rPr>
        <w:t>e</w:t>
      </w:r>
      <w:r w:rsidR="00343BA8" w:rsidRPr="004954B0">
        <w:rPr>
          <w:rFonts w:ascii="Arial" w:hAnsi="Arial" w:cs="Arial"/>
          <w:sz w:val="22"/>
          <w:szCs w:val="22"/>
          <w:lang w:val="en-GB"/>
        </w:rPr>
        <w:t>.</w:t>
      </w:r>
    </w:p>
    <w:p w14:paraId="14EF86EF" w14:textId="4372108E" w:rsidR="00343BA8" w:rsidRPr="004954B0" w:rsidRDefault="00385FBE" w:rsidP="00D73FE8">
      <w:pPr>
        <w:pStyle w:val="ListParagraph"/>
        <w:numPr>
          <w:ilvl w:val="0"/>
          <w:numId w:val="3"/>
        </w:numPr>
        <w:spacing w:after="60"/>
        <w:ind w:left="360"/>
        <w:contextualSpacing w:val="0"/>
        <w:jc w:val="both"/>
        <w:rPr>
          <w:rFonts w:ascii="Arial" w:hAnsi="Arial" w:cs="Arial"/>
          <w:sz w:val="22"/>
          <w:szCs w:val="22"/>
          <w:lang w:val="en-GB"/>
        </w:rPr>
      </w:pPr>
      <w:r w:rsidRPr="004954B0">
        <w:rPr>
          <w:rFonts w:ascii="Arial" w:hAnsi="Arial" w:cs="Arial"/>
          <w:b/>
          <w:sz w:val="22"/>
          <w:szCs w:val="22"/>
          <w:lang w:val="en-GB" w:eastAsia="zh-CN"/>
        </w:rPr>
        <w:t>Language</w:t>
      </w:r>
      <w:r w:rsidR="00343BA8" w:rsidRPr="004954B0">
        <w:rPr>
          <w:rFonts w:ascii="Arial" w:hAnsi="Arial" w:cs="Arial"/>
          <w:b/>
          <w:sz w:val="22"/>
          <w:szCs w:val="22"/>
          <w:lang w:val="en-GB"/>
        </w:rPr>
        <w:t>:</w:t>
      </w:r>
      <w:r w:rsidR="00343BA8" w:rsidRPr="004954B0">
        <w:rPr>
          <w:rFonts w:ascii="Arial" w:hAnsi="Arial" w:cs="Arial"/>
          <w:sz w:val="22"/>
          <w:szCs w:val="22"/>
          <w:lang w:val="en-GB"/>
        </w:rPr>
        <w:t xml:space="preserve"> </w:t>
      </w:r>
      <w:r w:rsidR="007C3F83" w:rsidRPr="004954B0">
        <w:rPr>
          <w:rFonts w:ascii="Arial" w:hAnsi="Arial" w:cs="Arial"/>
          <w:sz w:val="22"/>
          <w:szCs w:val="22"/>
          <w:lang w:val="en-GB" w:eastAsia="zh-CN"/>
        </w:rPr>
        <w:t>English</w:t>
      </w:r>
      <w:r w:rsidRPr="004954B0">
        <w:rPr>
          <w:rFonts w:ascii="Arial" w:hAnsi="Arial" w:cs="Arial"/>
          <w:sz w:val="22"/>
          <w:szCs w:val="22"/>
          <w:lang w:val="en-GB" w:eastAsia="zh-CN"/>
        </w:rPr>
        <w:t>.</w:t>
      </w:r>
    </w:p>
    <w:p w14:paraId="6F516583" w14:textId="09575C13" w:rsidR="00343BA8" w:rsidRPr="004954B0" w:rsidRDefault="0013721C" w:rsidP="00D73FE8">
      <w:pPr>
        <w:keepNext/>
        <w:spacing w:after="60"/>
        <w:jc w:val="both"/>
        <w:rPr>
          <w:rFonts w:ascii="Arial" w:hAnsi="Arial" w:cs="Arial"/>
          <w:b/>
          <w:bCs/>
          <w:sz w:val="22"/>
          <w:szCs w:val="22"/>
          <w:lang w:val="en-GB"/>
        </w:rPr>
      </w:pPr>
      <w:r w:rsidRPr="004954B0">
        <w:rPr>
          <w:rFonts w:ascii="Arial" w:hAnsi="Arial" w:cs="Arial"/>
          <w:b/>
          <w:bCs/>
          <w:sz w:val="22"/>
          <w:szCs w:val="22"/>
          <w:lang w:val="en-GB" w:eastAsia="zh-CN"/>
        </w:rPr>
        <w:t>Opportunity summary</w:t>
      </w:r>
      <w:r w:rsidR="00343BA8" w:rsidRPr="004954B0">
        <w:rPr>
          <w:rFonts w:ascii="Arial" w:hAnsi="Arial" w:cs="Arial"/>
          <w:b/>
          <w:bCs/>
          <w:sz w:val="22"/>
          <w:szCs w:val="22"/>
          <w:lang w:val="en-GB"/>
        </w:rPr>
        <w:t>:</w:t>
      </w:r>
    </w:p>
    <w:p w14:paraId="20B04E39" w14:textId="09F1FDA4" w:rsidR="00343BA8" w:rsidRPr="004954B0" w:rsidRDefault="00546DA6" w:rsidP="00D73FE8">
      <w:pPr>
        <w:pStyle w:val="ListParagraph"/>
        <w:numPr>
          <w:ilvl w:val="0"/>
          <w:numId w:val="4"/>
        </w:numPr>
        <w:spacing w:after="60"/>
        <w:contextualSpacing w:val="0"/>
        <w:jc w:val="both"/>
        <w:rPr>
          <w:rFonts w:ascii="Arial" w:hAnsi="Arial" w:cs="Arial"/>
          <w:sz w:val="22"/>
          <w:szCs w:val="22"/>
          <w:lang w:val="en-GB"/>
        </w:rPr>
      </w:pPr>
      <w:r w:rsidRPr="004954B0">
        <w:rPr>
          <w:rFonts w:ascii="Arial" w:hAnsi="Arial" w:cs="Arial"/>
          <w:b/>
          <w:sz w:val="22"/>
          <w:szCs w:val="22"/>
          <w:lang w:val="en-GB" w:eastAsia="zh-CN"/>
        </w:rPr>
        <w:t>Type and modality of contract</w:t>
      </w:r>
      <w:r w:rsidR="00343BA8" w:rsidRPr="004954B0">
        <w:rPr>
          <w:rFonts w:ascii="Arial" w:hAnsi="Arial" w:cs="Arial"/>
          <w:b/>
          <w:sz w:val="22"/>
          <w:szCs w:val="22"/>
          <w:lang w:val="en-GB"/>
        </w:rPr>
        <w:t xml:space="preserve">: </w:t>
      </w:r>
      <w:r w:rsidR="009311A4" w:rsidRPr="004954B0">
        <w:rPr>
          <w:rFonts w:ascii="Arial" w:hAnsi="Arial" w:cs="Arial"/>
          <w:sz w:val="22"/>
          <w:szCs w:val="22"/>
          <w:lang w:val="en-GB"/>
        </w:rPr>
        <w:t>Products and External Services Consultant</w:t>
      </w:r>
      <w:r w:rsidR="00343BA8" w:rsidRPr="004954B0">
        <w:rPr>
          <w:rFonts w:ascii="Arial" w:hAnsi="Arial" w:cs="Arial"/>
          <w:sz w:val="22"/>
          <w:szCs w:val="22"/>
          <w:lang w:val="en-GB"/>
        </w:rPr>
        <w:t xml:space="preserve">, </w:t>
      </w:r>
      <w:r w:rsidR="009311A4" w:rsidRPr="004954B0">
        <w:rPr>
          <w:rFonts w:ascii="Arial" w:hAnsi="Arial" w:cs="Arial"/>
          <w:sz w:val="22"/>
          <w:szCs w:val="22"/>
          <w:lang w:val="en-GB" w:eastAsia="zh-CN"/>
        </w:rPr>
        <w:t>lump sum contract</w:t>
      </w:r>
      <w:r w:rsidR="00343BA8" w:rsidRPr="004954B0">
        <w:rPr>
          <w:rFonts w:ascii="Arial" w:hAnsi="Arial" w:cs="Arial"/>
          <w:sz w:val="22"/>
          <w:szCs w:val="22"/>
          <w:lang w:val="en-GB"/>
        </w:rPr>
        <w:t>.</w:t>
      </w:r>
    </w:p>
    <w:p w14:paraId="26B5AF75" w14:textId="1FC0CB44" w:rsidR="00343BA8" w:rsidRPr="004954B0" w:rsidRDefault="00110DFA" w:rsidP="00D73FE8">
      <w:pPr>
        <w:pStyle w:val="ListParagraph"/>
        <w:numPr>
          <w:ilvl w:val="0"/>
          <w:numId w:val="4"/>
        </w:numPr>
        <w:spacing w:after="60"/>
        <w:contextualSpacing w:val="0"/>
        <w:jc w:val="both"/>
        <w:rPr>
          <w:rFonts w:ascii="Arial" w:hAnsi="Arial" w:cs="Arial"/>
          <w:sz w:val="22"/>
          <w:szCs w:val="22"/>
          <w:lang w:val="en-GB"/>
        </w:rPr>
      </w:pPr>
      <w:r w:rsidRPr="004954B0">
        <w:rPr>
          <w:rFonts w:ascii="Arial" w:hAnsi="Arial" w:cs="Arial"/>
          <w:b/>
          <w:sz w:val="22"/>
          <w:szCs w:val="22"/>
          <w:lang w:val="en-GB" w:eastAsia="zh-CN"/>
        </w:rPr>
        <w:lastRenderedPageBreak/>
        <w:t>Length of contract</w:t>
      </w:r>
      <w:r w:rsidR="00343BA8" w:rsidRPr="004954B0">
        <w:rPr>
          <w:rFonts w:ascii="Arial" w:hAnsi="Arial" w:cs="Arial"/>
          <w:b/>
          <w:sz w:val="22"/>
          <w:szCs w:val="22"/>
          <w:lang w:val="en-GB"/>
        </w:rPr>
        <w:t xml:space="preserve">: </w:t>
      </w:r>
      <w:r w:rsidR="00D8205A" w:rsidRPr="004954B0">
        <w:rPr>
          <w:rFonts w:ascii="Arial" w:hAnsi="Arial" w:cs="Arial"/>
          <w:sz w:val="22"/>
          <w:szCs w:val="22"/>
          <w:lang w:val="en-GB" w:eastAsia="zh-CN"/>
        </w:rPr>
        <w:t>three months</w:t>
      </w:r>
      <w:r w:rsidR="00343BA8" w:rsidRPr="004954B0">
        <w:rPr>
          <w:rFonts w:ascii="Arial" w:hAnsi="Arial" w:cs="Arial"/>
          <w:sz w:val="22"/>
          <w:szCs w:val="22"/>
          <w:lang w:val="en-GB"/>
        </w:rPr>
        <w:t>.</w:t>
      </w:r>
    </w:p>
    <w:p w14:paraId="0EFC28FB" w14:textId="2934C798" w:rsidR="00343BA8" w:rsidRPr="004954B0" w:rsidRDefault="007E2E6E" w:rsidP="00D73FE8">
      <w:pPr>
        <w:pStyle w:val="ListParagraph"/>
        <w:numPr>
          <w:ilvl w:val="0"/>
          <w:numId w:val="4"/>
        </w:numPr>
        <w:spacing w:after="60"/>
        <w:contextualSpacing w:val="0"/>
        <w:jc w:val="both"/>
        <w:rPr>
          <w:rFonts w:ascii="Arial" w:hAnsi="Arial" w:cs="Arial"/>
          <w:bCs/>
          <w:sz w:val="22"/>
          <w:szCs w:val="22"/>
          <w:lang w:val="en-GB"/>
        </w:rPr>
      </w:pPr>
      <w:r w:rsidRPr="004954B0">
        <w:rPr>
          <w:rFonts w:ascii="Arial" w:hAnsi="Arial" w:cs="Arial"/>
          <w:b/>
          <w:sz w:val="22"/>
          <w:szCs w:val="22"/>
          <w:lang w:val="en-GB" w:eastAsia="zh-CN"/>
        </w:rPr>
        <w:t>Location</w:t>
      </w:r>
      <w:r w:rsidR="00343BA8" w:rsidRPr="004954B0">
        <w:rPr>
          <w:rFonts w:ascii="Arial" w:hAnsi="Arial" w:cs="Arial"/>
          <w:b/>
          <w:sz w:val="22"/>
          <w:szCs w:val="22"/>
          <w:lang w:val="en-GB"/>
        </w:rPr>
        <w:t xml:space="preserve">: </w:t>
      </w:r>
      <w:r w:rsidRPr="004954B0">
        <w:rPr>
          <w:rFonts w:ascii="Arial" w:hAnsi="Arial" w:cs="Arial"/>
          <w:spacing w:val="-3"/>
          <w:sz w:val="22"/>
          <w:szCs w:val="22"/>
          <w:lang w:val="en-GB" w:eastAsia="zh-CN"/>
        </w:rPr>
        <w:t>Place of residence of the consultant</w:t>
      </w:r>
      <w:r w:rsidR="00343BA8" w:rsidRPr="004954B0">
        <w:rPr>
          <w:rFonts w:ascii="Arial" w:hAnsi="Arial" w:cs="Arial"/>
          <w:spacing w:val="-3"/>
          <w:sz w:val="22"/>
          <w:szCs w:val="22"/>
          <w:lang w:val="en-GB"/>
        </w:rPr>
        <w:t>.</w:t>
      </w:r>
    </w:p>
    <w:p w14:paraId="6B5A30CB" w14:textId="73CD139B" w:rsidR="008D029C" w:rsidRPr="004954B0" w:rsidRDefault="00AC6696" w:rsidP="00D73FE8">
      <w:pPr>
        <w:pStyle w:val="ListParagraph"/>
        <w:numPr>
          <w:ilvl w:val="0"/>
          <w:numId w:val="4"/>
        </w:numPr>
        <w:spacing w:after="60"/>
        <w:contextualSpacing w:val="0"/>
        <w:jc w:val="both"/>
        <w:rPr>
          <w:rFonts w:ascii="Arial" w:hAnsi="Arial" w:cs="Arial"/>
          <w:bCs/>
          <w:sz w:val="22"/>
          <w:szCs w:val="22"/>
          <w:lang w:val="en-GB"/>
        </w:rPr>
      </w:pPr>
      <w:r w:rsidRPr="004954B0">
        <w:rPr>
          <w:rFonts w:ascii="Arial" w:hAnsi="Arial" w:cs="Arial"/>
          <w:b/>
          <w:sz w:val="22"/>
          <w:szCs w:val="22"/>
          <w:lang w:val="en-GB" w:eastAsia="zh-CN"/>
        </w:rPr>
        <w:t>Contact</w:t>
      </w:r>
      <w:r w:rsidR="00343BA8" w:rsidRPr="004954B0">
        <w:rPr>
          <w:rFonts w:ascii="Arial" w:hAnsi="Arial" w:cs="Arial"/>
          <w:b/>
          <w:sz w:val="22"/>
          <w:szCs w:val="22"/>
          <w:lang w:val="en-GB"/>
        </w:rPr>
        <w:t xml:space="preserve">: </w:t>
      </w:r>
      <w:r w:rsidR="00755028" w:rsidRPr="004954B0">
        <w:rPr>
          <w:rFonts w:ascii="Arial" w:hAnsi="Arial" w:cs="Arial"/>
          <w:sz w:val="22"/>
          <w:szCs w:val="22"/>
          <w:lang w:val="en-GB"/>
        </w:rPr>
        <w:t>Gerardo Reyes</w:t>
      </w:r>
      <w:r w:rsidR="007C3F83" w:rsidRPr="004954B0">
        <w:rPr>
          <w:rFonts w:ascii="Arial" w:hAnsi="Arial" w:cs="Arial"/>
          <w:sz w:val="22"/>
          <w:szCs w:val="22"/>
          <w:lang w:val="en-GB"/>
        </w:rPr>
        <w:t xml:space="preserve"> (</w:t>
      </w:r>
      <w:hyperlink r:id="rId26" w:history="1">
        <w:r w:rsidR="00755028" w:rsidRPr="004954B0">
          <w:rPr>
            <w:rStyle w:val="Hyperlink"/>
            <w:rFonts w:ascii="Arial" w:eastAsiaTheme="majorEastAsia" w:hAnsi="Arial" w:cs="Arial"/>
            <w:sz w:val="22"/>
            <w:szCs w:val="22"/>
            <w:lang w:val="en-GB"/>
          </w:rPr>
          <w:t>gerardor@iadb.org</w:t>
        </w:r>
      </w:hyperlink>
      <w:r w:rsidR="007C3F83" w:rsidRPr="004954B0">
        <w:rPr>
          <w:rFonts w:ascii="Arial" w:hAnsi="Arial" w:cs="Arial"/>
          <w:sz w:val="22"/>
          <w:szCs w:val="22"/>
          <w:lang w:val="en-GB"/>
        </w:rPr>
        <w:t>),</w:t>
      </w:r>
      <w:r w:rsidR="00343BA8" w:rsidRPr="004954B0">
        <w:rPr>
          <w:rFonts w:ascii="Arial" w:hAnsi="Arial" w:cs="Arial"/>
          <w:sz w:val="22"/>
          <w:szCs w:val="22"/>
          <w:lang w:val="en-GB"/>
        </w:rPr>
        <w:t xml:space="preserve"> </w:t>
      </w:r>
      <w:r w:rsidR="00545517" w:rsidRPr="004954B0">
        <w:rPr>
          <w:rFonts w:ascii="Arial" w:hAnsi="Arial" w:cs="Arial"/>
          <w:sz w:val="22"/>
          <w:szCs w:val="22"/>
          <w:lang w:val="en-GB" w:eastAsia="zh-CN"/>
        </w:rPr>
        <w:t xml:space="preserve">Fiscal and Municipal Management </w:t>
      </w:r>
      <w:r w:rsidR="00545517" w:rsidRPr="004954B0">
        <w:rPr>
          <w:rFonts w:ascii="Arial" w:hAnsi="Arial" w:cs="Arial"/>
          <w:sz w:val="22"/>
          <w:szCs w:val="22"/>
          <w:lang w:val="en-GB"/>
        </w:rPr>
        <w:t>Divisi</w:t>
      </w:r>
      <w:r w:rsidR="00545517" w:rsidRPr="004954B0">
        <w:rPr>
          <w:rFonts w:ascii="Arial" w:hAnsi="Arial" w:cs="Arial"/>
          <w:sz w:val="22"/>
          <w:szCs w:val="22"/>
          <w:lang w:val="en-GB" w:eastAsia="zh-CN"/>
        </w:rPr>
        <w:t>o</w:t>
      </w:r>
      <w:r w:rsidR="00343BA8" w:rsidRPr="004954B0">
        <w:rPr>
          <w:rFonts w:ascii="Arial" w:hAnsi="Arial" w:cs="Arial"/>
          <w:sz w:val="22"/>
          <w:szCs w:val="22"/>
          <w:lang w:val="en-GB"/>
        </w:rPr>
        <w:t>n (FMM).</w:t>
      </w:r>
    </w:p>
    <w:p w14:paraId="3B436C62" w14:textId="6B87D489" w:rsidR="00343BA8" w:rsidRPr="004954B0" w:rsidRDefault="007270C3" w:rsidP="00D73FE8">
      <w:pPr>
        <w:pStyle w:val="ListParagraph"/>
        <w:numPr>
          <w:ilvl w:val="0"/>
          <w:numId w:val="4"/>
        </w:numPr>
        <w:spacing w:after="60"/>
        <w:contextualSpacing w:val="0"/>
        <w:jc w:val="both"/>
        <w:rPr>
          <w:rFonts w:ascii="Arial" w:hAnsi="Arial" w:cs="Arial"/>
          <w:bCs/>
          <w:sz w:val="22"/>
          <w:szCs w:val="22"/>
          <w:lang w:val="en-GB"/>
        </w:rPr>
      </w:pPr>
      <w:r w:rsidRPr="004954B0">
        <w:rPr>
          <w:rFonts w:ascii="Arial" w:hAnsi="Arial" w:cs="Arial"/>
          <w:b/>
          <w:sz w:val="22"/>
          <w:szCs w:val="22"/>
          <w:lang w:val="en-GB" w:eastAsia="zh-CN"/>
        </w:rPr>
        <w:t>Eligibility</w:t>
      </w:r>
      <w:r w:rsidR="00343BA8" w:rsidRPr="004954B0">
        <w:rPr>
          <w:rFonts w:ascii="Arial" w:hAnsi="Arial" w:cs="Arial"/>
          <w:b/>
          <w:sz w:val="22"/>
          <w:szCs w:val="22"/>
          <w:lang w:val="en-GB"/>
        </w:rPr>
        <w:t xml:space="preserve">: </w:t>
      </w:r>
      <w:bookmarkStart w:id="15" w:name="_Hlk497833004"/>
      <w:r w:rsidR="00492CA0" w:rsidRPr="004954B0">
        <w:rPr>
          <w:rFonts w:ascii="Arial" w:hAnsi="Arial" w:cs="Arial"/>
          <w:sz w:val="22"/>
          <w:szCs w:val="22"/>
          <w:lang w:val="en-GB"/>
        </w:rPr>
        <w:t>must</w:t>
      </w:r>
      <w:r w:rsidR="00977129" w:rsidRPr="004954B0">
        <w:rPr>
          <w:rFonts w:ascii="Arial" w:hAnsi="Arial" w:cs="Arial"/>
          <w:sz w:val="22"/>
          <w:szCs w:val="22"/>
          <w:lang w:val="en-GB"/>
        </w:rPr>
        <w:t xml:space="preserve"> be a citizen of one of IDB’</w:t>
      </w:r>
      <w:r w:rsidR="00492CA0" w:rsidRPr="004954B0">
        <w:rPr>
          <w:rFonts w:ascii="Arial" w:hAnsi="Arial" w:cs="Arial"/>
          <w:sz w:val="22"/>
          <w:szCs w:val="22"/>
          <w:lang w:val="en-GB"/>
        </w:rPr>
        <w:t>s 48 member countries and have no family members currently working at the IDB Group</w:t>
      </w:r>
      <w:r w:rsidR="00343BA8" w:rsidRPr="004954B0">
        <w:rPr>
          <w:rFonts w:ascii="Arial" w:hAnsi="Arial" w:cs="Arial"/>
          <w:sz w:val="22"/>
          <w:szCs w:val="22"/>
          <w:lang w:val="en-GB"/>
        </w:rPr>
        <w:t>.</w:t>
      </w:r>
      <w:bookmarkEnd w:id="15"/>
    </w:p>
    <w:p w14:paraId="24A1CA8A" w14:textId="77777777" w:rsidR="00343BA8" w:rsidRPr="004954B0" w:rsidRDefault="00343BA8" w:rsidP="00343BA8">
      <w:pPr>
        <w:spacing w:after="120"/>
        <w:jc w:val="both"/>
        <w:rPr>
          <w:rFonts w:ascii="Arial" w:hAnsi="Arial" w:cs="Arial"/>
          <w:b/>
          <w:bCs/>
          <w:sz w:val="22"/>
          <w:szCs w:val="22"/>
          <w:lang w:val="en-GB"/>
        </w:rPr>
      </w:pPr>
    </w:p>
    <w:p w14:paraId="6DE3C8ED" w14:textId="0F688CA7" w:rsidR="00343BA8" w:rsidRPr="004954B0" w:rsidRDefault="00C12368" w:rsidP="00343BA8">
      <w:pPr>
        <w:spacing w:after="120"/>
        <w:jc w:val="both"/>
        <w:rPr>
          <w:rFonts w:ascii="Arial" w:hAnsi="Arial" w:cs="Arial"/>
          <w:sz w:val="22"/>
          <w:szCs w:val="22"/>
          <w:lang w:val="en-GB"/>
        </w:rPr>
      </w:pPr>
      <w:r w:rsidRPr="004954B0">
        <w:rPr>
          <w:rFonts w:ascii="Arial" w:hAnsi="Arial" w:cs="Arial"/>
          <w:b/>
          <w:sz w:val="22"/>
          <w:szCs w:val="22"/>
          <w:lang w:val="en-GB"/>
        </w:rPr>
        <w:t>Our culture</w:t>
      </w:r>
      <w:r w:rsidR="00343BA8" w:rsidRPr="004954B0">
        <w:rPr>
          <w:rFonts w:ascii="Arial" w:hAnsi="Arial" w:cs="Arial"/>
          <w:b/>
          <w:sz w:val="22"/>
          <w:szCs w:val="22"/>
          <w:lang w:val="en-GB"/>
        </w:rPr>
        <w:t xml:space="preserve">: </w:t>
      </w:r>
      <w:r w:rsidR="002705E1" w:rsidRPr="004954B0">
        <w:rPr>
          <w:rFonts w:ascii="Arial" w:hAnsi="Arial" w:cs="Arial"/>
          <w:sz w:val="22"/>
          <w:szCs w:val="22"/>
          <w:lang w:val="en-GB"/>
        </w:rPr>
        <w:t>Working with us you will be surrounded by a diverse group of people who have years of experience in all types of development fields, including transportation, health, gender and diversity, communications and much more</w:t>
      </w:r>
      <w:r w:rsidR="00343BA8" w:rsidRPr="004954B0">
        <w:rPr>
          <w:rFonts w:ascii="Arial" w:hAnsi="Arial" w:cs="Arial"/>
          <w:sz w:val="22"/>
          <w:szCs w:val="22"/>
          <w:lang w:val="en-GB"/>
        </w:rPr>
        <w:t>.</w:t>
      </w:r>
    </w:p>
    <w:p w14:paraId="745584A9" w14:textId="49F1FDB3" w:rsidR="009C590F" w:rsidRPr="004954B0" w:rsidRDefault="0069623F" w:rsidP="00343BA8">
      <w:pPr>
        <w:spacing w:after="120"/>
        <w:jc w:val="both"/>
        <w:rPr>
          <w:rFonts w:ascii="Arial" w:hAnsi="Arial" w:cs="Arial"/>
          <w:b/>
          <w:sz w:val="22"/>
          <w:szCs w:val="22"/>
          <w:lang w:val="en-GB" w:eastAsia="zh-CN"/>
        </w:rPr>
      </w:pPr>
      <w:r w:rsidRPr="004954B0">
        <w:rPr>
          <w:rFonts w:ascii="Arial" w:hAnsi="Arial" w:cs="Arial"/>
          <w:b/>
          <w:sz w:val="22"/>
          <w:szCs w:val="22"/>
          <w:lang w:val="en-GB" w:eastAsia="zh-CN"/>
        </w:rPr>
        <w:t>About us</w:t>
      </w:r>
      <w:r w:rsidR="00343BA8" w:rsidRPr="004954B0">
        <w:rPr>
          <w:rFonts w:ascii="Arial" w:hAnsi="Arial" w:cs="Arial"/>
          <w:b/>
          <w:sz w:val="22"/>
          <w:szCs w:val="22"/>
          <w:lang w:val="en-GB"/>
        </w:rPr>
        <w:t xml:space="preserve">: </w:t>
      </w:r>
      <w:r w:rsidR="009C590F" w:rsidRPr="004954B0">
        <w:rPr>
          <w:rFonts w:ascii="Arial" w:hAnsi="Arial" w:cs="Arial"/>
          <w:sz w:val="22"/>
          <w:szCs w:val="22"/>
          <w:lang w:val="en-GB"/>
        </w:rPr>
        <w:t xml:space="preserve">At the IDB, </w:t>
      </w:r>
      <w:r w:rsidR="00755028" w:rsidRPr="004954B0">
        <w:rPr>
          <w:rFonts w:ascii="Arial" w:hAnsi="Arial" w:cs="Arial"/>
          <w:sz w:val="22"/>
          <w:szCs w:val="22"/>
          <w:lang w:val="en-GB"/>
        </w:rPr>
        <w:t>we are</w:t>
      </w:r>
      <w:r w:rsidR="009C590F" w:rsidRPr="004954B0">
        <w:rPr>
          <w:rFonts w:ascii="Arial" w:hAnsi="Arial" w:cs="Arial"/>
          <w:sz w:val="22"/>
          <w:szCs w:val="22"/>
          <w:lang w:val="en-GB"/>
        </w:rPr>
        <w:t xml:space="preserve"> committed to improving lives. Since 1959, </w:t>
      </w:r>
      <w:r w:rsidR="00755028" w:rsidRPr="004954B0">
        <w:rPr>
          <w:rFonts w:ascii="Arial" w:hAnsi="Arial" w:cs="Arial"/>
          <w:sz w:val="22"/>
          <w:szCs w:val="22"/>
          <w:lang w:val="en-GB"/>
        </w:rPr>
        <w:t>we have</w:t>
      </w:r>
      <w:r w:rsidR="009C590F" w:rsidRPr="004954B0">
        <w:rPr>
          <w:rFonts w:ascii="Arial" w:hAnsi="Arial" w:cs="Arial"/>
          <w:sz w:val="22"/>
          <w:szCs w:val="22"/>
          <w:lang w:val="en-GB"/>
        </w:rPr>
        <w:t xml:space="preserve"> been a leading source of long-term financing for economic, social, and institutional development in Latin America and the Caribbean. We do more than lending though. We partner with our 48</w:t>
      </w:r>
      <w:r w:rsidR="00085C87" w:rsidRPr="004954B0">
        <w:rPr>
          <w:rFonts w:ascii="Arial" w:hAnsi="Arial" w:cs="Arial"/>
          <w:sz w:val="22"/>
          <w:szCs w:val="22"/>
          <w:lang w:val="en-GB"/>
        </w:rPr>
        <w:t xml:space="preserve"> </w:t>
      </w:r>
      <w:r w:rsidR="009C590F" w:rsidRPr="004954B0">
        <w:rPr>
          <w:rFonts w:ascii="Arial" w:hAnsi="Arial" w:cs="Arial"/>
          <w:sz w:val="22"/>
          <w:szCs w:val="22"/>
          <w:lang w:val="en-GB"/>
        </w:rPr>
        <w:t>member countries to provide Latin America and the Caribbean with cutting-edge research about relevant development issues, policy advice to inform their decisions, and technical assistance to improve on the planning and execution of projects. For this, we need people who not only have the right skills but also are passionate about improving lives</w:t>
      </w:r>
      <w:r w:rsidR="008C3000" w:rsidRPr="004954B0">
        <w:rPr>
          <w:rFonts w:ascii="Arial" w:hAnsi="Arial" w:cs="Arial"/>
          <w:sz w:val="22"/>
          <w:szCs w:val="22"/>
          <w:lang w:val="en-GB" w:eastAsia="zh-CN"/>
        </w:rPr>
        <w:t>.</w:t>
      </w:r>
      <w:r w:rsidR="009C590F" w:rsidRPr="004954B0">
        <w:rPr>
          <w:rFonts w:ascii="Arial" w:hAnsi="Arial" w:cs="Arial"/>
          <w:b/>
          <w:sz w:val="22"/>
          <w:szCs w:val="22"/>
          <w:lang w:val="en-GB"/>
        </w:rPr>
        <w:t xml:space="preserve"> </w:t>
      </w:r>
    </w:p>
    <w:p w14:paraId="782927BE" w14:textId="4AC798AF" w:rsidR="00CE5276" w:rsidRPr="004954B0" w:rsidRDefault="00904646" w:rsidP="00343BA8">
      <w:pPr>
        <w:shd w:val="clear" w:color="auto" w:fill="FFFFFF"/>
        <w:spacing w:after="120"/>
        <w:jc w:val="both"/>
        <w:rPr>
          <w:rFonts w:ascii="Arial" w:hAnsi="Arial" w:cs="Arial"/>
          <w:sz w:val="22"/>
          <w:szCs w:val="22"/>
          <w:lang w:val="en-GB" w:eastAsia="zh-CN"/>
        </w:rPr>
      </w:pPr>
      <w:r w:rsidRPr="004954B0">
        <w:rPr>
          <w:rFonts w:ascii="Arial" w:hAnsi="Arial" w:cs="Arial"/>
          <w:b/>
          <w:bCs/>
          <w:sz w:val="22"/>
          <w:szCs w:val="22"/>
          <w:lang w:val="en-GB"/>
        </w:rPr>
        <w:t>Pa</w:t>
      </w:r>
      <w:r w:rsidRPr="004954B0">
        <w:rPr>
          <w:rFonts w:ascii="Arial" w:hAnsi="Arial" w:cs="Arial"/>
          <w:b/>
          <w:bCs/>
          <w:sz w:val="22"/>
          <w:szCs w:val="22"/>
          <w:lang w:val="en-GB" w:eastAsia="zh-CN"/>
        </w:rPr>
        <w:t>yment and Conditions</w:t>
      </w:r>
      <w:r w:rsidR="00343BA8" w:rsidRPr="004954B0">
        <w:rPr>
          <w:rFonts w:ascii="Arial" w:hAnsi="Arial" w:cs="Arial"/>
          <w:b/>
          <w:bCs/>
          <w:sz w:val="22"/>
          <w:szCs w:val="22"/>
          <w:lang w:val="en-GB"/>
        </w:rPr>
        <w:t>:</w:t>
      </w:r>
      <w:r w:rsidR="00343BA8" w:rsidRPr="004954B0">
        <w:rPr>
          <w:rFonts w:ascii="Arial" w:hAnsi="Arial" w:cs="Arial"/>
          <w:sz w:val="22"/>
          <w:szCs w:val="22"/>
          <w:lang w:val="en-GB"/>
        </w:rPr>
        <w:t> </w:t>
      </w:r>
      <w:r w:rsidR="00CE5276" w:rsidRPr="004954B0">
        <w:rPr>
          <w:rFonts w:ascii="Arial" w:hAnsi="Arial" w:cs="Arial"/>
          <w:sz w:val="22"/>
          <w:szCs w:val="22"/>
          <w:lang w:val="en-GB"/>
        </w:rPr>
        <w:t>Compensation will be de</w:t>
      </w:r>
      <w:r w:rsidR="00B960C2" w:rsidRPr="004954B0">
        <w:rPr>
          <w:rFonts w:ascii="Arial" w:hAnsi="Arial" w:cs="Arial"/>
          <w:sz w:val="22"/>
          <w:szCs w:val="22"/>
          <w:lang w:val="en-GB"/>
        </w:rPr>
        <w:t>termined in accordance with IDB</w:t>
      </w:r>
      <w:r w:rsidR="00CE5276" w:rsidRPr="004954B0">
        <w:rPr>
          <w:rFonts w:ascii="Arial" w:hAnsi="Arial" w:cs="Arial"/>
          <w:sz w:val="22"/>
          <w:szCs w:val="22"/>
          <w:lang w:val="en-GB"/>
        </w:rPr>
        <w:t xml:space="preserve"> policies and procedures. </w:t>
      </w:r>
      <w:r w:rsidR="00B960C2" w:rsidRPr="004954B0">
        <w:rPr>
          <w:rFonts w:ascii="Arial" w:hAnsi="Arial" w:cs="Arial"/>
          <w:sz w:val="22"/>
          <w:szCs w:val="22"/>
          <w:lang w:val="en-GB" w:eastAsia="zh-CN"/>
        </w:rPr>
        <w:t>Pursuant</w:t>
      </w:r>
      <w:r w:rsidR="00CE5276" w:rsidRPr="004954B0">
        <w:rPr>
          <w:rFonts w:ascii="Arial" w:hAnsi="Arial" w:cs="Arial"/>
          <w:sz w:val="22"/>
          <w:szCs w:val="22"/>
          <w:lang w:val="en-GB"/>
        </w:rPr>
        <w:t xml:space="preserve"> to applicable policies, </w:t>
      </w:r>
      <w:r w:rsidR="00CE5276" w:rsidRPr="004954B0">
        <w:rPr>
          <w:rFonts w:ascii="Arial" w:hAnsi="Arial" w:cs="Arial"/>
          <w:sz w:val="22"/>
          <w:szCs w:val="22"/>
          <w:lang w:val="en-GB" w:eastAsia="zh-CN"/>
        </w:rPr>
        <w:t xml:space="preserve">IDB </w:t>
      </w:r>
      <w:r w:rsidR="00CE5276" w:rsidRPr="004954B0">
        <w:rPr>
          <w:rFonts w:ascii="Arial" w:hAnsi="Arial" w:cs="Arial"/>
          <w:sz w:val="22"/>
          <w:szCs w:val="22"/>
          <w:lang w:val="en-GB"/>
        </w:rPr>
        <w:t>may contribute toward travel and moving expenses.</w:t>
      </w:r>
      <w:r w:rsidR="00B02289" w:rsidRPr="004954B0">
        <w:rPr>
          <w:rFonts w:ascii="Arial" w:hAnsi="Arial" w:cs="Arial"/>
          <w:sz w:val="22"/>
          <w:szCs w:val="22"/>
          <w:lang w:val="en-GB" w:eastAsia="zh-CN"/>
        </w:rPr>
        <w:t xml:space="preserve"> </w:t>
      </w:r>
    </w:p>
    <w:p w14:paraId="68585346" w14:textId="71BA44AD" w:rsidR="00B24E7A" w:rsidRPr="004954B0" w:rsidRDefault="009E7BFE" w:rsidP="00343BA8">
      <w:pPr>
        <w:shd w:val="clear" w:color="auto" w:fill="FFFFFF"/>
        <w:spacing w:after="120"/>
        <w:jc w:val="both"/>
        <w:rPr>
          <w:rFonts w:ascii="Arial" w:hAnsi="Arial" w:cs="Arial"/>
          <w:sz w:val="22"/>
          <w:szCs w:val="22"/>
          <w:lang w:val="en-GB" w:eastAsia="zh-CN"/>
        </w:rPr>
      </w:pPr>
      <w:r w:rsidRPr="004954B0">
        <w:rPr>
          <w:rFonts w:ascii="Arial" w:hAnsi="Arial" w:cs="Arial"/>
          <w:b/>
          <w:bCs/>
          <w:sz w:val="22"/>
          <w:szCs w:val="22"/>
          <w:lang w:val="en-GB"/>
        </w:rPr>
        <w:t>Consanguini</w:t>
      </w:r>
      <w:r w:rsidRPr="004954B0">
        <w:rPr>
          <w:rFonts w:ascii="Arial" w:hAnsi="Arial" w:cs="Arial"/>
          <w:b/>
          <w:bCs/>
          <w:sz w:val="22"/>
          <w:szCs w:val="22"/>
          <w:lang w:val="en-GB" w:eastAsia="zh-CN"/>
        </w:rPr>
        <w:t>ty</w:t>
      </w:r>
      <w:r w:rsidR="00343BA8" w:rsidRPr="004954B0">
        <w:rPr>
          <w:rFonts w:ascii="Arial" w:hAnsi="Arial" w:cs="Arial"/>
          <w:b/>
          <w:bCs/>
          <w:sz w:val="22"/>
          <w:szCs w:val="22"/>
          <w:lang w:val="en-GB"/>
        </w:rPr>
        <w:t>:</w:t>
      </w:r>
      <w:r w:rsidR="00343BA8" w:rsidRPr="004954B0">
        <w:rPr>
          <w:rFonts w:ascii="Arial" w:hAnsi="Arial" w:cs="Arial"/>
          <w:sz w:val="22"/>
          <w:szCs w:val="22"/>
          <w:lang w:val="en-GB"/>
        </w:rPr>
        <w:t> </w:t>
      </w:r>
      <w:r w:rsidR="00DF1CA3" w:rsidRPr="004954B0">
        <w:rPr>
          <w:rFonts w:ascii="Arial" w:hAnsi="Arial" w:cs="Arial"/>
          <w:sz w:val="22"/>
          <w:szCs w:val="22"/>
          <w:lang w:val="en-GB"/>
        </w:rPr>
        <w:t>Pursuant to applicable IDB policy, candidates with relatives (including the fourth degree of consanguinity and the second degree of affinity, including spouse) working for the IDB, IDB Invest, or MIF as staff members</w:t>
      </w:r>
      <w:r w:rsidR="00DF1CA3" w:rsidRPr="004954B0">
        <w:rPr>
          <w:rFonts w:ascii="Arial" w:hAnsi="Arial" w:cs="Arial"/>
          <w:sz w:val="22"/>
          <w:szCs w:val="22"/>
          <w:lang w:val="en-GB" w:eastAsia="zh-CN"/>
        </w:rPr>
        <w:t xml:space="preserve"> or</w:t>
      </w:r>
      <w:r w:rsidR="00DF1CA3" w:rsidRPr="004954B0">
        <w:rPr>
          <w:rFonts w:ascii="Arial" w:hAnsi="Arial" w:cs="Arial"/>
          <w:sz w:val="22"/>
          <w:szCs w:val="22"/>
          <w:lang w:val="en-GB"/>
        </w:rPr>
        <w:t xml:space="preserve"> Complementary Workforce contractors will not be eligible to provide services for </w:t>
      </w:r>
      <w:r w:rsidR="00186AE9" w:rsidRPr="004954B0">
        <w:rPr>
          <w:rFonts w:ascii="Arial" w:hAnsi="Arial" w:cs="Arial"/>
          <w:sz w:val="22"/>
          <w:szCs w:val="22"/>
          <w:lang w:val="en-GB" w:eastAsia="zh-CN"/>
        </w:rPr>
        <w:t>IDB.</w:t>
      </w:r>
    </w:p>
    <w:p w14:paraId="03F99FE9" w14:textId="08B4BA53" w:rsidR="00B93CE4" w:rsidRPr="004954B0" w:rsidRDefault="002028BA" w:rsidP="00677420">
      <w:pPr>
        <w:spacing w:after="120"/>
        <w:jc w:val="both"/>
        <w:rPr>
          <w:rFonts w:ascii="Arial" w:hAnsi="Arial" w:cs="Arial"/>
          <w:bCs/>
          <w:sz w:val="22"/>
          <w:szCs w:val="22"/>
          <w:lang w:val="en-GB" w:eastAsia="zh-CN"/>
        </w:rPr>
      </w:pPr>
      <w:r w:rsidRPr="004954B0">
        <w:rPr>
          <w:rFonts w:ascii="Arial" w:hAnsi="Arial" w:cs="Arial"/>
          <w:b/>
          <w:bCs/>
          <w:sz w:val="22"/>
          <w:szCs w:val="22"/>
          <w:lang w:val="en-GB"/>
        </w:rPr>
        <w:t>Diversi</w:t>
      </w:r>
      <w:r w:rsidRPr="004954B0">
        <w:rPr>
          <w:rFonts w:ascii="Arial" w:hAnsi="Arial" w:cs="Arial"/>
          <w:b/>
          <w:bCs/>
          <w:sz w:val="22"/>
          <w:szCs w:val="22"/>
          <w:lang w:val="en-GB" w:eastAsia="zh-CN"/>
        </w:rPr>
        <w:t>ty</w:t>
      </w:r>
      <w:r w:rsidR="00343BA8" w:rsidRPr="004954B0">
        <w:rPr>
          <w:rFonts w:ascii="Arial" w:hAnsi="Arial" w:cs="Arial"/>
          <w:b/>
          <w:bCs/>
          <w:sz w:val="22"/>
          <w:szCs w:val="22"/>
          <w:lang w:val="en-GB"/>
        </w:rPr>
        <w:t xml:space="preserve">: </w:t>
      </w:r>
      <w:r w:rsidR="00B93CE4" w:rsidRPr="004954B0">
        <w:rPr>
          <w:rFonts w:ascii="Arial" w:hAnsi="Arial" w:cs="Arial"/>
          <w:bCs/>
          <w:sz w:val="22"/>
          <w:szCs w:val="22"/>
          <w:lang w:val="en-GB" w:eastAsia="zh-CN"/>
        </w:rPr>
        <w:t xml:space="preserve">IDB </w:t>
      </w:r>
      <w:r w:rsidR="00B93CE4" w:rsidRPr="004954B0">
        <w:rPr>
          <w:rFonts w:ascii="Arial" w:hAnsi="Arial" w:cs="Arial"/>
          <w:bCs/>
          <w:sz w:val="22"/>
          <w:szCs w:val="22"/>
          <w:lang w:val="en-GB"/>
        </w:rPr>
        <w:t xml:space="preserve">is committed to diversity and inclusion and to providing equal opportunities in employment. We embrace diversity based on gender, age, education, national origin, ethnic origin, race, disability, sexual orientation, </w:t>
      </w:r>
      <w:r w:rsidR="00B93CE4" w:rsidRPr="004954B0">
        <w:rPr>
          <w:rFonts w:ascii="Arial" w:hAnsi="Arial" w:cs="Arial"/>
          <w:bCs/>
          <w:sz w:val="22"/>
          <w:szCs w:val="22"/>
          <w:lang w:val="en-GB" w:eastAsia="zh-CN"/>
        </w:rPr>
        <w:t xml:space="preserve">and </w:t>
      </w:r>
      <w:r w:rsidR="00B93CE4" w:rsidRPr="004954B0">
        <w:rPr>
          <w:rFonts w:ascii="Arial" w:hAnsi="Arial" w:cs="Arial"/>
          <w:bCs/>
          <w:sz w:val="22"/>
          <w:szCs w:val="22"/>
          <w:lang w:val="en-GB"/>
        </w:rPr>
        <w:t xml:space="preserve">religion. We encourage women, Afro-descendants, and persons of indigenous origins to apply. </w:t>
      </w:r>
    </w:p>
    <w:p w14:paraId="6CC90D7D" w14:textId="61C9119B" w:rsidR="004327ED" w:rsidRPr="004954B0" w:rsidRDefault="004327ED" w:rsidP="00677420">
      <w:pPr>
        <w:spacing w:after="120"/>
        <w:jc w:val="both"/>
        <w:rPr>
          <w:rFonts w:ascii="Arial" w:hAnsi="Arial" w:cs="Arial"/>
          <w:b/>
          <w:sz w:val="22"/>
          <w:szCs w:val="22"/>
          <w:lang w:val="en-GB"/>
        </w:rPr>
      </w:pPr>
    </w:p>
    <w:sectPr w:rsidR="004327ED" w:rsidRPr="004954B0" w:rsidSect="008458E6">
      <w:pgSz w:w="12240" w:h="15840" w:code="1"/>
      <w:pgMar w:top="1440" w:right="1800" w:bottom="1440" w:left="1800" w:header="706" w:footer="706"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F0ECB0" w14:textId="77777777" w:rsidR="00E679FF" w:rsidRDefault="00E679FF" w:rsidP="00ED751C">
      <w:r>
        <w:separator/>
      </w:r>
    </w:p>
  </w:endnote>
  <w:endnote w:type="continuationSeparator" w:id="0">
    <w:p w14:paraId="71F96489" w14:textId="77777777" w:rsidR="00E679FF" w:rsidRDefault="00E679FF" w:rsidP="00ED751C">
      <w:r>
        <w:continuationSeparator/>
      </w:r>
    </w:p>
  </w:endnote>
  <w:endnote w:type="continuationNotice" w:id="1">
    <w:p w14:paraId="262AC6EF" w14:textId="77777777" w:rsidR="00E679FF" w:rsidRDefault="00E679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auto"/>
    <w:pitch w:val="variable"/>
    <w:sig w:usb0="E0002AE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C90DA2" w14:textId="77777777" w:rsidR="008D6C5A" w:rsidRDefault="008D6C5A">
    <w:pPr>
      <w:pStyle w:val="Footer"/>
      <w:framePr w:wrap="around" w:vAnchor="text" w:hAnchor="margin" w:xAlign="right" w:y="1"/>
      <w:rPr>
        <w:rStyle w:val="PageNumber"/>
      </w:rPr>
    </w:pPr>
  </w:p>
  <w:p w14:paraId="6CC90DA3" w14:textId="77777777" w:rsidR="008D6C5A" w:rsidRDefault="008D6C5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B1E019" w14:textId="77777777" w:rsidR="00E679FF" w:rsidRDefault="00E679FF" w:rsidP="00ED751C">
      <w:r>
        <w:separator/>
      </w:r>
    </w:p>
  </w:footnote>
  <w:footnote w:type="continuationSeparator" w:id="0">
    <w:p w14:paraId="71ABC2A3" w14:textId="77777777" w:rsidR="00E679FF" w:rsidRDefault="00E679FF" w:rsidP="00ED751C">
      <w:r>
        <w:continuationSeparator/>
      </w:r>
    </w:p>
  </w:footnote>
  <w:footnote w:type="continuationNotice" w:id="1">
    <w:p w14:paraId="50C25396" w14:textId="77777777" w:rsidR="00E679FF" w:rsidRDefault="00E679FF"/>
  </w:footnote>
  <w:footnote w:id="2">
    <w:p w14:paraId="5DCC8B02" w14:textId="77777777" w:rsidR="008D6C5A" w:rsidRPr="00A530A4" w:rsidRDefault="008D6C5A" w:rsidP="00C07D90">
      <w:pPr>
        <w:pStyle w:val="FootnoteText"/>
        <w:ind w:left="360" w:right="144" w:hanging="360"/>
        <w:rPr>
          <w:rFonts w:ascii="Arial" w:hAnsi="Arial" w:cs="Arial"/>
          <w:sz w:val="18"/>
          <w:szCs w:val="18"/>
          <w:lang w:val="en-US"/>
        </w:rPr>
      </w:pPr>
      <w:r w:rsidRPr="007B10C6">
        <w:rPr>
          <w:rStyle w:val="FootnoteReference"/>
          <w:rFonts w:ascii="Arial" w:hAnsi="Arial" w:cs="Arial"/>
          <w:sz w:val="18"/>
          <w:szCs w:val="18"/>
        </w:rPr>
        <w:footnoteRef/>
      </w:r>
      <w:r w:rsidRPr="00A530A4">
        <w:rPr>
          <w:rFonts w:ascii="Arial" w:hAnsi="Arial" w:cs="Arial"/>
          <w:sz w:val="18"/>
          <w:szCs w:val="18"/>
          <w:lang w:val="en-US"/>
        </w:rPr>
        <w:t xml:space="preserve"> </w:t>
      </w:r>
      <w:r w:rsidRPr="00A530A4">
        <w:rPr>
          <w:rFonts w:ascii="Arial" w:hAnsi="Arial" w:cs="Arial"/>
          <w:sz w:val="18"/>
          <w:szCs w:val="18"/>
          <w:lang w:val="en-US"/>
        </w:rPr>
        <w:tab/>
        <w:t xml:space="preserve">The unmitigated scenario corresponds to estimates from an SEIR model with R0=2.7, while the social distancing scenario has been calculated with R0=2.4.  </w:t>
      </w:r>
      <w:r w:rsidRPr="00A530A4">
        <w:rPr>
          <w:rFonts w:ascii="Arial" w:hAnsi="Arial" w:cs="Arial"/>
          <w:sz w:val="18"/>
          <w:szCs w:val="18"/>
          <w:lang w:val="en-US"/>
        </w:rPr>
        <w:br/>
        <w:t>Source: SPD/IDB.</w:t>
      </w:r>
    </w:p>
  </w:footnote>
  <w:footnote w:id="3">
    <w:p w14:paraId="78C8FECA" w14:textId="77777777" w:rsidR="004E6798" w:rsidRPr="004B4126" w:rsidRDefault="004E6798" w:rsidP="004E6798">
      <w:pPr>
        <w:pStyle w:val="FootnoteText"/>
        <w:ind w:left="540" w:hanging="360"/>
        <w:rPr>
          <w:rFonts w:ascii="Arial" w:hAnsi="Arial" w:cs="Arial"/>
          <w:sz w:val="18"/>
          <w:szCs w:val="18"/>
          <w:lang w:val="en-US"/>
        </w:rPr>
      </w:pPr>
      <w:r w:rsidRPr="00745E30">
        <w:rPr>
          <w:rStyle w:val="FootnoteReference"/>
          <w:rFonts w:ascii="Arial" w:hAnsi="Arial" w:cs="Arial"/>
          <w:sz w:val="18"/>
          <w:szCs w:val="18"/>
        </w:rPr>
        <w:footnoteRef/>
      </w:r>
      <w:r w:rsidRPr="004B4126">
        <w:rPr>
          <w:rFonts w:ascii="Arial" w:hAnsi="Arial" w:cs="Arial"/>
          <w:sz w:val="18"/>
          <w:szCs w:val="18"/>
          <w:lang w:val="en-US"/>
        </w:rPr>
        <w:t xml:space="preserve"> </w:t>
      </w:r>
      <w:r w:rsidRPr="004B4126">
        <w:rPr>
          <w:rFonts w:ascii="Arial" w:hAnsi="Arial" w:cs="Arial"/>
          <w:sz w:val="18"/>
          <w:szCs w:val="18"/>
          <w:lang w:val="en-US"/>
        </w:rPr>
        <w:tab/>
        <w:t xml:space="preserve">Includes original allocation and total </w:t>
      </w:r>
      <w:r w:rsidRPr="001A0ABA">
        <w:rPr>
          <w:rFonts w:ascii="Arial" w:hAnsi="Arial" w:cs="Arial"/>
          <w:sz w:val="18"/>
          <w:szCs w:val="18"/>
          <w:lang w:val="en-GB"/>
        </w:rPr>
        <w:t>supplementaries</w:t>
      </w:r>
      <w:r w:rsidRPr="004B4126">
        <w:rPr>
          <w:rFonts w:ascii="Arial" w:hAnsi="Arial" w:cs="Arial"/>
          <w:sz w:val="18"/>
          <w:szCs w:val="18"/>
          <w:lang w:val="en-US"/>
        </w:rPr>
        <w:t>.</w:t>
      </w:r>
    </w:p>
  </w:footnote>
  <w:footnote w:id="4">
    <w:p w14:paraId="29F09A89" w14:textId="310D23B1" w:rsidR="008D6C5A" w:rsidRPr="00F210E2" w:rsidRDefault="008D6C5A" w:rsidP="00C07D90">
      <w:pPr>
        <w:pStyle w:val="FootnoteText"/>
        <w:ind w:left="360" w:hanging="360"/>
        <w:rPr>
          <w:rFonts w:ascii="Arial" w:hAnsi="Arial" w:cs="Arial"/>
          <w:sz w:val="18"/>
          <w:szCs w:val="18"/>
          <w:lang w:val="en-US"/>
        </w:rPr>
      </w:pPr>
      <w:r w:rsidRPr="00D50752">
        <w:rPr>
          <w:rStyle w:val="FootnoteReference"/>
          <w:rFonts w:ascii="Arial" w:hAnsi="Arial" w:cs="Arial"/>
          <w:sz w:val="18"/>
          <w:szCs w:val="18"/>
        </w:rPr>
        <w:footnoteRef/>
      </w:r>
      <w:r w:rsidRPr="00F210E2">
        <w:rPr>
          <w:rFonts w:ascii="Arial" w:hAnsi="Arial" w:cs="Arial"/>
          <w:sz w:val="18"/>
          <w:szCs w:val="18"/>
          <w:lang w:val="en-US"/>
        </w:rPr>
        <w:t xml:space="preserve"> </w:t>
      </w:r>
      <w:r w:rsidR="00B71FD8">
        <w:rPr>
          <w:rFonts w:ascii="Arial" w:hAnsi="Arial" w:cs="Arial"/>
          <w:sz w:val="18"/>
          <w:szCs w:val="18"/>
          <w:lang w:val="en-US"/>
        </w:rPr>
        <w:tab/>
      </w:r>
      <w:r w:rsidRPr="00F210E2">
        <w:rPr>
          <w:rFonts w:ascii="Arial" w:hAnsi="Arial" w:cs="Arial" w:hint="eastAsia"/>
          <w:sz w:val="18"/>
          <w:szCs w:val="18"/>
          <w:lang w:val="en-US" w:eastAsia="zh-CN"/>
        </w:rPr>
        <w:t>See</w:t>
      </w:r>
      <w:r w:rsidRPr="00F210E2">
        <w:rPr>
          <w:rFonts w:ascii="Arial" w:hAnsi="Arial" w:cs="Arial"/>
          <w:sz w:val="18"/>
          <w:szCs w:val="18"/>
          <w:lang w:val="en-US" w:eastAsia="zh-CN"/>
        </w:rPr>
        <w:t xml:space="preserve"> also</w:t>
      </w:r>
      <w:r w:rsidRPr="00F210E2">
        <w:rPr>
          <w:rFonts w:ascii="Arial" w:hAnsi="Arial" w:cs="Arial" w:hint="eastAsia"/>
          <w:sz w:val="18"/>
          <w:szCs w:val="18"/>
          <w:lang w:val="en-US" w:eastAsia="zh-CN"/>
        </w:rPr>
        <w:t xml:space="preserve"> </w:t>
      </w:r>
      <w:r w:rsidRPr="00F210E2">
        <w:rPr>
          <w:rFonts w:ascii="Arial" w:hAnsi="Arial" w:cs="Arial"/>
          <w:sz w:val="18"/>
          <w:szCs w:val="18"/>
          <w:lang w:val="en-US"/>
        </w:rPr>
        <w:t xml:space="preserve">Fiscal Policy and Management Sector Framework Document (GN-2831). </w:t>
      </w:r>
    </w:p>
  </w:footnote>
  <w:footnote w:id="5">
    <w:p w14:paraId="67C5943D" w14:textId="70F2FF73" w:rsidR="008D6C5A" w:rsidRPr="00526AD6" w:rsidRDefault="008D6C5A" w:rsidP="00C07D90">
      <w:pPr>
        <w:pStyle w:val="FootnoteText"/>
        <w:ind w:left="360" w:right="144" w:hanging="360"/>
        <w:rPr>
          <w:rFonts w:ascii="Arial" w:hAnsi="Arial" w:cs="Arial"/>
          <w:sz w:val="18"/>
          <w:szCs w:val="18"/>
          <w:lang w:val="en-US"/>
        </w:rPr>
      </w:pPr>
      <w:r w:rsidRPr="007B10C6">
        <w:rPr>
          <w:rStyle w:val="FootnoteReference"/>
          <w:rFonts w:ascii="Arial" w:hAnsi="Arial" w:cs="Arial"/>
          <w:sz w:val="18"/>
          <w:szCs w:val="18"/>
        </w:rPr>
        <w:footnoteRef/>
      </w:r>
      <w:r w:rsidRPr="00A164BB">
        <w:rPr>
          <w:rFonts w:ascii="Arial" w:hAnsi="Arial" w:cs="Arial"/>
          <w:sz w:val="18"/>
          <w:szCs w:val="18"/>
          <w:lang w:val="en-US"/>
        </w:rPr>
        <w:t xml:space="preserve"> </w:t>
      </w:r>
      <w:r w:rsidRPr="00A164BB">
        <w:rPr>
          <w:rFonts w:ascii="Arial" w:hAnsi="Arial" w:cs="Arial"/>
          <w:sz w:val="18"/>
          <w:szCs w:val="18"/>
          <w:lang w:val="en-US"/>
        </w:rPr>
        <w:tab/>
        <w:t xml:space="preserve">The unmitigated scenario </w:t>
      </w:r>
      <w:r>
        <w:rPr>
          <w:rFonts w:ascii="Arial" w:hAnsi="Arial" w:cs="Arial"/>
          <w:sz w:val="18"/>
          <w:szCs w:val="18"/>
          <w:lang w:val="en-US"/>
        </w:rPr>
        <w:t xml:space="preserve">presented in the Results Matrix </w:t>
      </w:r>
      <w:r w:rsidRPr="00A164BB">
        <w:rPr>
          <w:rFonts w:ascii="Arial" w:hAnsi="Arial" w:cs="Arial"/>
          <w:sz w:val="18"/>
          <w:szCs w:val="18"/>
          <w:lang w:val="en-US"/>
        </w:rPr>
        <w:t xml:space="preserve">corresponds to estimates from an SEIR model with R0=2.7, while the social distancing scenario has been calculated with R0=2.4. </w:t>
      </w:r>
      <w:r w:rsidRPr="00526AD6">
        <w:rPr>
          <w:rFonts w:ascii="Arial" w:hAnsi="Arial" w:cs="Arial"/>
          <w:sz w:val="18"/>
          <w:szCs w:val="18"/>
          <w:lang w:val="en-US"/>
        </w:rPr>
        <w:t>Source: SPD/IDB.</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C90D9C" w14:textId="77777777" w:rsidR="008D6C5A" w:rsidRDefault="008D6C5A">
    <w:pPr>
      <w:pStyle w:val="Header"/>
      <w:ind w:right="360"/>
      <w:jc w:val="both"/>
      <w:rPr>
        <w:rStyle w:val="PageNumber"/>
        <w:snapToGrid w:val="0"/>
      </w:rPr>
    </w:pPr>
    <w:r>
      <w:rPr>
        <w:rStyle w:val="PageNumber"/>
        <w:snapToGrid w:val="0"/>
      </w:rPr>
      <w:tab/>
      <w:t xml:space="preserve">- </w:t>
    </w:r>
    <w:r>
      <w:rPr>
        <w:rStyle w:val="PageNumber"/>
        <w:snapToGrid w:val="0"/>
      </w:rPr>
      <w:fldChar w:fldCharType="begin"/>
    </w:r>
    <w:r>
      <w:rPr>
        <w:rStyle w:val="PageNumber"/>
        <w:snapToGrid w:val="0"/>
      </w:rPr>
      <w:instrText xml:space="preserve"> PAGE </w:instrText>
    </w:r>
    <w:r>
      <w:rPr>
        <w:rStyle w:val="PageNumber"/>
        <w:snapToGrid w:val="0"/>
      </w:rPr>
      <w:fldChar w:fldCharType="separate"/>
    </w:r>
    <w:r>
      <w:rPr>
        <w:rStyle w:val="PageNumber"/>
        <w:noProof/>
        <w:snapToGrid w:val="0"/>
      </w:rPr>
      <w:t>iii</w:t>
    </w:r>
    <w:r>
      <w:rPr>
        <w:rStyle w:val="PageNumber"/>
        <w:snapToGrid w:val="0"/>
      </w:rPr>
      <w:fldChar w:fldCharType="end"/>
    </w:r>
    <w:r>
      <w:rPr>
        <w:rStyle w:val="PageNumber"/>
        <w:snapToGrid w:val="0"/>
      </w:rPr>
      <w:t xml:space="preserve"> -</w:t>
    </w:r>
  </w:p>
  <w:p w14:paraId="6CC90D9D" w14:textId="77777777" w:rsidR="008D6C5A" w:rsidRDefault="008D6C5A">
    <w:pPr>
      <w:pStyle w:val="Header"/>
      <w:ind w:right="360"/>
      <w:jc w:val="both"/>
      <w:rPr>
        <w:rStyle w:val="PageNumber"/>
        <w:snapToGrid w:val="0"/>
      </w:rPr>
    </w:pPr>
    <w:r>
      <w:rPr>
        <w:rStyle w:val="PageNumber"/>
        <w:snapToGrid w:val="0"/>
      </w:rPr>
      <w:tab/>
    </w:r>
  </w:p>
  <w:p w14:paraId="6CC90D9E" w14:textId="77777777" w:rsidR="008D6C5A" w:rsidRDefault="008D6C5A">
    <w:pPr>
      <w:pStyle w:val="Header"/>
      <w:ind w:right="360"/>
      <w:jc w:val="both"/>
    </w:pPr>
    <w:r>
      <w:rPr>
        <w:snapToGrid w:val="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C90D9F" w14:textId="44994B6E" w:rsidR="008D6C5A" w:rsidRPr="00706FA8" w:rsidRDefault="008D6C5A">
    <w:pPr>
      <w:pStyle w:val="Header"/>
      <w:jc w:val="center"/>
      <w:rPr>
        <w:rFonts w:ascii="Arial" w:hAnsi="Arial" w:cs="Arial"/>
        <w:snapToGrid w:val="0"/>
        <w:sz w:val="18"/>
      </w:rPr>
    </w:pPr>
    <w:r w:rsidRPr="00706FA8">
      <w:rPr>
        <w:rFonts w:ascii="Arial" w:hAnsi="Arial" w:cs="Arial"/>
        <w:snapToGrid w:val="0"/>
        <w:sz w:val="18"/>
      </w:rPr>
      <w:t xml:space="preserve">- </w:t>
    </w:r>
    <w:r w:rsidRPr="00706FA8">
      <w:rPr>
        <w:rFonts w:ascii="Arial" w:hAnsi="Arial" w:cs="Arial"/>
        <w:snapToGrid w:val="0"/>
        <w:sz w:val="18"/>
      </w:rPr>
      <w:fldChar w:fldCharType="begin"/>
    </w:r>
    <w:r w:rsidRPr="00706FA8">
      <w:rPr>
        <w:rFonts w:ascii="Arial" w:hAnsi="Arial" w:cs="Arial"/>
        <w:snapToGrid w:val="0"/>
        <w:sz w:val="18"/>
      </w:rPr>
      <w:instrText xml:space="preserve"> PAGE </w:instrText>
    </w:r>
    <w:r w:rsidRPr="00706FA8">
      <w:rPr>
        <w:rFonts w:ascii="Arial" w:hAnsi="Arial" w:cs="Arial"/>
        <w:snapToGrid w:val="0"/>
        <w:sz w:val="18"/>
      </w:rPr>
      <w:fldChar w:fldCharType="separate"/>
    </w:r>
    <w:r>
      <w:rPr>
        <w:rFonts w:ascii="Arial" w:hAnsi="Arial" w:cs="Arial"/>
        <w:noProof/>
        <w:snapToGrid w:val="0"/>
        <w:sz w:val="18"/>
      </w:rPr>
      <w:t>21</w:t>
    </w:r>
    <w:r w:rsidRPr="00706FA8">
      <w:rPr>
        <w:rFonts w:ascii="Arial" w:hAnsi="Arial" w:cs="Arial"/>
        <w:snapToGrid w:val="0"/>
        <w:sz w:val="18"/>
      </w:rPr>
      <w:fldChar w:fldCharType="end"/>
    </w:r>
    <w:r w:rsidRPr="00706FA8">
      <w:rPr>
        <w:rFonts w:ascii="Arial" w:hAnsi="Arial" w:cs="Arial"/>
        <w:snapToGrid w:val="0"/>
        <w:sz w:val="18"/>
      </w:rPr>
      <w:t xml:space="preserve"> - </w:t>
    </w:r>
  </w:p>
  <w:p w14:paraId="6CC90DA0" w14:textId="77777777" w:rsidR="008D6C5A" w:rsidRDefault="008D6C5A">
    <w:pPr>
      <w:pStyle w:val="Header"/>
      <w:jc w:val="center"/>
    </w:pPr>
  </w:p>
  <w:p w14:paraId="6CC90DA1" w14:textId="77777777" w:rsidR="008D6C5A" w:rsidRDefault="008D6C5A">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C90DA4" w14:textId="77777777" w:rsidR="008D6C5A" w:rsidRPr="008175A8" w:rsidRDefault="008D6C5A" w:rsidP="008175A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C90DA5" w14:textId="77777777" w:rsidR="008D6C5A" w:rsidRDefault="008D6C5A">
    <w:pPr>
      <w:pStyle w:val="Header"/>
      <w:ind w:right="360"/>
      <w:jc w:val="both"/>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C90DA6" w14:textId="368C02B5" w:rsidR="008D6C5A" w:rsidRPr="00EB0154" w:rsidRDefault="008D6C5A" w:rsidP="00EB0154">
    <w:pPr>
      <w:pStyle w:val="Header"/>
      <w:tabs>
        <w:tab w:val="left" w:pos="3840"/>
        <w:tab w:val="center" w:pos="4140"/>
      </w:tabs>
      <w:ind w:right="360"/>
      <w:rPr>
        <w:rFonts w:ascii="Arial" w:hAnsi="Arial" w:cs="Arial"/>
        <w:snapToGrid w:val="0"/>
      </w:rPr>
    </w:pPr>
    <w:r>
      <w:rPr>
        <w:snapToGrid w:val="0"/>
      </w:rPr>
      <w:tab/>
    </w:r>
    <w:r w:rsidRPr="00706FA8">
      <w:rPr>
        <w:rFonts w:ascii="Arial" w:hAnsi="Arial" w:cs="Arial"/>
        <w:snapToGrid w:val="0"/>
        <w:sz w:val="18"/>
      </w:rPr>
      <w:tab/>
      <w:t xml:space="preserve">- </w:t>
    </w:r>
    <w:r w:rsidRPr="00706FA8">
      <w:rPr>
        <w:rFonts w:ascii="Arial" w:hAnsi="Arial" w:cs="Arial"/>
        <w:snapToGrid w:val="0"/>
        <w:sz w:val="18"/>
      </w:rPr>
      <w:fldChar w:fldCharType="begin"/>
    </w:r>
    <w:r w:rsidRPr="00706FA8">
      <w:rPr>
        <w:rFonts w:ascii="Arial" w:hAnsi="Arial" w:cs="Arial"/>
        <w:snapToGrid w:val="0"/>
        <w:sz w:val="18"/>
      </w:rPr>
      <w:instrText xml:space="preserve"> PAGE </w:instrText>
    </w:r>
    <w:r w:rsidRPr="00706FA8">
      <w:rPr>
        <w:rFonts w:ascii="Arial" w:hAnsi="Arial" w:cs="Arial"/>
        <w:snapToGrid w:val="0"/>
        <w:sz w:val="18"/>
      </w:rPr>
      <w:fldChar w:fldCharType="separate"/>
    </w:r>
    <w:r>
      <w:rPr>
        <w:rFonts w:ascii="Arial" w:hAnsi="Arial" w:cs="Arial"/>
        <w:noProof/>
        <w:snapToGrid w:val="0"/>
        <w:sz w:val="18"/>
      </w:rPr>
      <w:t>36</w:t>
    </w:r>
    <w:r w:rsidRPr="00706FA8">
      <w:rPr>
        <w:rFonts w:ascii="Arial" w:hAnsi="Arial" w:cs="Arial"/>
        <w:snapToGrid w:val="0"/>
        <w:sz w:val="18"/>
      </w:rPr>
      <w:fldChar w:fldCharType="end"/>
    </w:r>
    <w:r w:rsidRPr="00706FA8">
      <w:rPr>
        <w:rFonts w:ascii="Arial" w:hAnsi="Arial" w:cs="Arial"/>
        <w:snapToGrid w:val="0"/>
        <w:sz w:val="18"/>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C90DA7" w14:textId="77777777" w:rsidR="008D6C5A" w:rsidRDefault="008D6C5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8157C"/>
    <w:multiLevelType w:val="hybridMultilevel"/>
    <w:tmpl w:val="5C824E12"/>
    <w:lvl w:ilvl="0" w:tplc="C5C6C724">
      <w:start w:val="1"/>
      <w:numFmt w:val="decimal"/>
      <w:lvlText w:val="%1."/>
      <w:lvlJc w:val="left"/>
      <w:pPr>
        <w:ind w:left="720" w:hanging="72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05536348"/>
    <w:multiLevelType w:val="hybridMultilevel"/>
    <w:tmpl w:val="9A12241C"/>
    <w:lvl w:ilvl="0" w:tplc="36CE0678">
      <w:start w:val="3"/>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500510"/>
    <w:multiLevelType w:val="hybridMultilevel"/>
    <w:tmpl w:val="4CF6EF20"/>
    <w:lvl w:ilvl="0" w:tplc="76E0E6E6">
      <w:start w:val="1"/>
      <w:numFmt w:val="lowerRoman"/>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3D16DF4"/>
    <w:multiLevelType w:val="hybridMultilevel"/>
    <w:tmpl w:val="FB7C5E0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 w15:restartNumberingAfterBreak="0">
    <w:nsid w:val="21BC6573"/>
    <w:multiLevelType w:val="multilevel"/>
    <w:tmpl w:val="595CA0E4"/>
    <w:lvl w:ilvl="0">
      <w:start w:val="1"/>
      <w:numFmt w:val="upperLetter"/>
      <w:lvlText w:val="%1."/>
      <w:lvlJc w:val="left"/>
      <w:pPr>
        <w:ind w:left="4824" w:hanging="720"/>
      </w:pPr>
    </w:lvl>
    <w:lvl w:ilvl="1">
      <w:start w:val="1"/>
      <w:numFmt w:val="decimal"/>
      <w:lvlText w:val="%2."/>
      <w:lvlJc w:val="left"/>
      <w:pPr>
        <w:tabs>
          <w:tab w:val="num" w:pos="5400"/>
        </w:tabs>
        <w:ind w:left="5400" w:hanging="576"/>
      </w:pPr>
      <w:rPr>
        <w:b/>
      </w:rPr>
    </w:lvl>
    <w:lvl w:ilvl="2">
      <w:start w:val="1"/>
      <w:numFmt w:val="lowerLetter"/>
      <w:lvlText w:val="%3)"/>
      <w:lvlJc w:val="left"/>
      <w:pPr>
        <w:tabs>
          <w:tab w:val="num" w:pos="5976"/>
        </w:tabs>
        <w:ind w:left="5976" w:hanging="576"/>
      </w:pPr>
      <w:rPr>
        <w:b/>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5" w15:restartNumberingAfterBreak="0">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7656E0"/>
    <w:multiLevelType w:val="hybridMultilevel"/>
    <w:tmpl w:val="4CF6EF20"/>
    <w:lvl w:ilvl="0" w:tplc="76E0E6E6">
      <w:start w:val="1"/>
      <w:numFmt w:val="lowerRoman"/>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16370BB"/>
    <w:multiLevelType w:val="multilevel"/>
    <w:tmpl w:val="1C786B9C"/>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8" w15:restartNumberingAfterBreak="0">
    <w:nsid w:val="35042685"/>
    <w:multiLevelType w:val="multilevel"/>
    <w:tmpl w:val="B78605DE"/>
    <w:styleLink w:val="WWOutlineListStyle1"/>
    <w:lvl w:ilvl="0">
      <w:start w:val="1"/>
      <w:numFmt w:val="upperRoman"/>
      <w:lvlText w:val="%1."/>
      <w:lvlJc w:val="center"/>
      <w:pPr>
        <w:ind w:left="720" w:hanging="720"/>
      </w:pPr>
      <w:rPr>
        <w:rFonts w:ascii="Times New Roman Bold" w:hAnsi="Times New Roman Bold"/>
        <w:b/>
        <w:i w:val="0"/>
        <w:sz w:val="24"/>
      </w:rPr>
    </w:lvl>
    <w:lvl w:ilvl="1">
      <w:start w:val="1"/>
      <w:numFmt w:val="upperLetter"/>
      <w:lvlText w:val="%2."/>
      <w:lvlJc w:val="left"/>
      <w:pPr>
        <w:ind w:left="720" w:hanging="720"/>
      </w:pPr>
      <w:rPr>
        <w:b/>
        <w:i w:val="0"/>
        <w:sz w:val="24"/>
      </w:rPr>
    </w:lvl>
    <w:lvl w:ilvl="2">
      <w:start w:val="1"/>
      <w:numFmt w:val="decimal"/>
      <w:lvlText w:val="%3."/>
      <w:lvlJc w:val="left"/>
      <w:pPr>
        <w:ind w:left="1080" w:hanging="360"/>
      </w:pPr>
      <w:rPr>
        <w:rFonts w:ascii="Times New Roman Bold" w:hAnsi="Times New Roman Bold"/>
        <w:b/>
        <w:i w:val="0"/>
        <w:sz w:val="24"/>
      </w:rPr>
    </w:lvl>
    <w:lvl w:ilvl="3">
      <w:start w:val="1"/>
      <w:numFmt w:val="lowerLetter"/>
      <w:lvlText w:val="%4."/>
      <w:lvlJc w:val="left"/>
      <w:pPr>
        <w:ind w:left="1800" w:hanging="360"/>
      </w:pPr>
      <w:rPr>
        <w:rFonts w:ascii="Times New Roman Bold" w:hAnsi="Times New Roman Bold"/>
        <w:b/>
        <w:i w:val="0"/>
        <w:sz w:val="24"/>
      </w:rPr>
    </w:lvl>
    <w:lvl w:ilvl="4">
      <w:start w:val="1"/>
      <w:numFmt w:val="lowerRoman"/>
      <w:lvlText w:val="(%5)"/>
      <w:lvlJc w:val="right"/>
      <w:pPr>
        <w:ind w:left="2088" w:hanging="288"/>
      </w:pPr>
      <w:rPr>
        <w:rFonts w:ascii="Times New Roman Bold" w:hAnsi="Times New Roman Bold"/>
        <w:b/>
        <w:i w:val="0"/>
        <w:sz w:val="24"/>
      </w:rPr>
    </w:lvl>
    <w:lvl w:ilvl="5">
      <w:start w:val="1"/>
      <w:numFmt w:val="none"/>
      <w:lvlText w:val="%6"/>
      <w:lvlJc w:val="left"/>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9" w15:restartNumberingAfterBreak="0">
    <w:nsid w:val="359B4991"/>
    <w:multiLevelType w:val="multilevel"/>
    <w:tmpl w:val="3FFE7FA6"/>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rFonts w:ascii="Arial" w:hAnsi="Arial" w:cs="Arial" w:hint="default"/>
        <w:b w:val="0"/>
        <w:sz w:val="22"/>
        <w:szCs w:val="22"/>
      </w:rPr>
    </w:lvl>
    <w:lvl w:ilvl="2">
      <w:start w:val="1"/>
      <w:numFmt w:val="lowerLetter"/>
      <w:pStyle w:val="subpa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0" w15:restartNumberingAfterBreak="0">
    <w:nsid w:val="3CD20140"/>
    <w:multiLevelType w:val="multilevel"/>
    <w:tmpl w:val="44C6D09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ECC6958"/>
    <w:multiLevelType w:val="hybridMultilevel"/>
    <w:tmpl w:val="5D20FC0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55530A9C"/>
    <w:multiLevelType w:val="multilevel"/>
    <w:tmpl w:val="7A4C2E3A"/>
    <w:lvl w:ilvl="0">
      <w:start w:val="1"/>
      <w:numFmt w:val="upperRoman"/>
      <w:lvlRestart w:val="0"/>
      <w:lvlText w:val="%1."/>
      <w:lvlJc w:val="center"/>
      <w:pPr>
        <w:tabs>
          <w:tab w:val="num" w:pos="1800"/>
        </w:tabs>
        <w:ind w:left="1152" w:firstLine="288"/>
      </w:pPr>
      <w:rPr>
        <w:b/>
        <w:i w:val="0"/>
      </w:rPr>
    </w:lvl>
    <w:lvl w:ilvl="1">
      <w:start w:val="1"/>
      <w:numFmt w:val="decima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3" w15:restartNumberingAfterBreak="0">
    <w:nsid w:val="6F2B0EA9"/>
    <w:multiLevelType w:val="hybridMultilevel"/>
    <w:tmpl w:val="35DEFD3C"/>
    <w:lvl w:ilvl="0" w:tplc="36CE0678">
      <w:start w:val="3"/>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F9D1A73"/>
    <w:multiLevelType w:val="hybridMultilevel"/>
    <w:tmpl w:val="65AE5B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F6937CE"/>
    <w:multiLevelType w:val="hybridMultilevel"/>
    <w:tmpl w:val="608EA3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9"/>
  </w:num>
  <w:num w:numId="3">
    <w:abstractNumId w:val="5"/>
  </w:num>
  <w:num w:numId="4">
    <w:abstractNumId w:val="15"/>
  </w:num>
  <w:num w:numId="5">
    <w:abstractNumId w:val="3"/>
  </w:num>
  <w:num w:numId="6">
    <w:abstractNumId w:val="6"/>
  </w:num>
  <w:num w:numId="7">
    <w:abstractNumId w:val="2"/>
  </w:num>
  <w:num w:numId="8">
    <w:abstractNumId w:val="10"/>
  </w:num>
  <w:num w:numId="9">
    <w:abstractNumId w:val="1"/>
  </w:num>
  <w:num w:numId="10">
    <w:abstractNumId w:val="13"/>
  </w:num>
  <w:num w:numId="11">
    <w:abstractNumId w:val="14"/>
  </w:num>
  <w:num w:numId="12">
    <w:abstractNumId w:val="8"/>
  </w:num>
  <w:num w:numId="13">
    <w:abstractNumId w:val="4"/>
  </w:num>
  <w:num w:numId="14">
    <w:abstractNumId w:val="0"/>
  </w:num>
  <w:num w:numId="15">
    <w:abstractNumId w:val="9"/>
  </w:num>
  <w:num w:numId="16">
    <w:abstractNumId w:val="11"/>
  </w:num>
  <w:num w:numId="17">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en-US" w:vendorID="64" w:dllVersion="6" w:nlCheck="1" w:checkStyle="0"/>
  <w:activeWritingStyle w:appName="MSWord" w:lang="en-US" w:vendorID="64" w:dllVersion="4096" w:nlCheck="1" w:checkStyle="0"/>
  <w:activeWritingStyle w:appName="MSWord" w:lang="es-ES_tradnl" w:vendorID="64" w:dllVersion="4096" w:nlCheck="1" w:checkStyle="0"/>
  <w:activeWritingStyle w:appName="MSWord" w:lang="es-ES" w:vendorID="64" w:dllVersion="4096" w:nlCheck="1" w:checkStyle="0"/>
  <w:activeWritingStyle w:appName="MSWord" w:lang="en-US" w:vendorID="64" w:dllVersion="0" w:nlCheck="1" w:checkStyle="0"/>
  <w:activeWritingStyle w:appName="MSWord" w:lang="es-GT" w:vendorID="64" w:dllVersion="0" w:nlCheck="1" w:checkStyle="0"/>
  <w:activeWritingStyle w:appName="MSWord" w:lang="en-GB" w:vendorID="64" w:dllVersion="0" w:nlCheck="1" w:checkStyle="0"/>
  <w:activeWritingStyle w:appName="MSWord" w:lang="es-ES_tradnl" w:vendorID="64" w:dllVersion="0" w:nlCheck="1" w:checkStyle="0"/>
  <w:proofState w:grammar="clean"/>
  <w:defaultTabStop w:val="720"/>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51C"/>
    <w:rsid w:val="000006E9"/>
    <w:rsid w:val="00000A87"/>
    <w:rsid w:val="0000101E"/>
    <w:rsid w:val="000018A7"/>
    <w:rsid w:val="00003613"/>
    <w:rsid w:val="00003B36"/>
    <w:rsid w:val="00004484"/>
    <w:rsid w:val="0000539C"/>
    <w:rsid w:val="00005A3E"/>
    <w:rsid w:val="00005BE6"/>
    <w:rsid w:val="00006240"/>
    <w:rsid w:val="00006B61"/>
    <w:rsid w:val="000073C1"/>
    <w:rsid w:val="000075A5"/>
    <w:rsid w:val="000101FB"/>
    <w:rsid w:val="00010DF4"/>
    <w:rsid w:val="00011722"/>
    <w:rsid w:val="00013E44"/>
    <w:rsid w:val="00014DFE"/>
    <w:rsid w:val="00015460"/>
    <w:rsid w:val="000177D8"/>
    <w:rsid w:val="00017962"/>
    <w:rsid w:val="0002020D"/>
    <w:rsid w:val="00020E78"/>
    <w:rsid w:val="00022BE3"/>
    <w:rsid w:val="000234EA"/>
    <w:rsid w:val="00023B9F"/>
    <w:rsid w:val="00023E76"/>
    <w:rsid w:val="00025938"/>
    <w:rsid w:val="00025DD9"/>
    <w:rsid w:val="00025F9F"/>
    <w:rsid w:val="00026C6D"/>
    <w:rsid w:val="00030973"/>
    <w:rsid w:val="00031679"/>
    <w:rsid w:val="00031CEB"/>
    <w:rsid w:val="0003297B"/>
    <w:rsid w:val="00032AB3"/>
    <w:rsid w:val="00034043"/>
    <w:rsid w:val="000340CA"/>
    <w:rsid w:val="000344F7"/>
    <w:rsid w:val="00034A37"/>
    <w:rsid w:val="00034B0A"/>
    <w:rsid w:val="00035104"/>
    <w:rsid w:val="000352E1"/>
    <w:rsid w:val="00035BE1"/>
    <w:rsid w:val="00035F19"/>
    <w:rsid w:val="00036128"/>
    <w:rsid w:val="0003637C"/>
    <w:rsid w:val="000366D5"/>
    <w:rsid w:val="00036843"/>
    <w:rsid w:val="00040043"/>
    <w:rsid w:val="000415F0"/>
    <w:rsid w:val="00041B48"/>
    <w:rsid w:val="000420CC"/>
    <w:rsid w:val="000425C5"/>
    <w:rsid w:val="000437AC"/>
    <w:rsid w:val="00046E14"/>
    <w:rsid w:val="000472FE"/>
    <w:rsid w:val="00047324"/>
    <w:rsid w:val="0004751D"/>
    <w:rsid w:val="00050E5E"/>
    <w:rsid w:val="00051278"/>
    <w:rsid w:val="00051E5F"/>
    <w:rsid w:val="0005251D"/>
    <w:rsid w:val="00052D8D"/>
    <w:rsid w:val="000533D7"/>
    <w:rsid w:val="00054FED"/>
    <w:rsid w:val="00055E21"/>
    <w:rsid w:val="00056446"/>
    <w:rsid w:val="000565CD"/>
    <w:rsid w:val="00056AA0"/>
    <w:rsid w:val="00057617"/>
    <w:rsid w:val="00057A4A"/>
    <w:rsid w:val="00057C11"/>
    <w:rsid w:val="00060365"/>
    <w:rsid w:val="00060BE1"/>
    <w:rsid w:val="0006112F"/>
    <w:rsid w:val="00061520"/>
    <w:rsid w:val="000636B9"/>
    <w:rsid w:val="00063838"/>
    <w:rsid w:val="00063FE8"/>
    <w:rsid w:val="00064672"/>
    <w:rsid w:val="00065094"/>
    <w:rsid w:val="0006585D"/>
    <w:rsid w:val="00067023"/>
    <w:rsid w:val="000674E6"/>
    <w:rsid w:val="00067DA4"/>
    <w:rsid w:val="000705F5"/>
    <w:rsid w:val="0007088A"/>
    <w:rsid w:val="00070B8F"/>
    <w:rsid w:val="00071048"/>
    <w:rsid w:val="00071473"/>
    <w:rsid w:val="00072C05"/>
    <w:rsid w:val="00073882"/>
    <w:rsid w:val="00074447"/>
    <w:rsid w:val="00074590"/>
    <w:rsid w:val="000748E0"/>
    <w:rsid w:val="00075414"/>
    <w:rsid w:val="000758EB"/>
    <w:rsid w:val="00075FED"/>
    <w:rsid w:val="000765F1"/>
    <w:rsid w:val="00077BDE"/>
    <w:rsid w:val="00080C5C"/>
    <w:rsid w:val="00082DAC"/>
    <w:rsid w:val="000839F7"/>
    <w:rsid w:val="00084006"/>
    <w:rsid w:val="00084081"/>
    <w:rsid w:val="000841EE"/>
    <w:rsid w:val="00084EC7"/>
    <w:rsid w:val="00085C87"/>
    <w:rsid w:val="00086B78"/>
    <w:rsid w:val="00087192"/>
    <w:rsid w:val="00090448"/>
    <w:rsid w:val="0009047E"/>
    <w:rsid w:val="00090951"/>
    <w:rsid w:val="00090C14"/>
    <w:rsid w:val="00090FDE"/>
    <w:rsid w:val="0009193F"/>
    <w:rsid w:val="0009312F"/>
    <w:rsid w:val="000936C2"/>
    <w:rsid w:val="00094BC4"/>
    <w:rsid w:val="00096EA8"/>
    <w:rsid w:val="00097F09"/>
    <w:rsid w:val="000A233B"/>
    <w:rsid w:val="000A2389"/>
    <w:rsid w:val="000A2758"/>
    <w:rsid w:val="000A2A48"/>
    <w:rsid w:val="000A2A60"/>
    <w:rsid w:val="000A3533"/>
    <w:rsid w:val="000A3685"/>
    <w:rsid w:val="000A3ABD"/>
    <w:rsid w:val="000A4A10"/>
    <w:rsid w:val="000A5276"/>
    <w:rsid w:val="000A5425"/>
    <w:rsid w:val="000A57EB"/>
    <w:rsid w:val="000B0DFD"/>
    <w:rsid w:val="000B0E85"/>
    <w:rsid w:val="000B12AD"/>
    <w:rsid w:val="000B16BC"/>
    <w:rsid w:val="000B1932"/>
    <w:rsid w:val="000B266A"/>
    <w:rsid w:val="000B28E1"/>
    <w:rsid w:val="000B32BB"/>
    <w:rsid w:val="000B35E0"/>
    <w:rsid w:val="000B3ADC"/>
    <w:rsid w:val="000B4368"/>
    <w:rsid w:val="000B4434"/>
    <w:rsid w:val="000B50C4"/>
    <w:rsid w:val="000B5CBA"/>
    <w:rsid w:val="000B5D29"/>
    <w:rsid w:val="000B7AF4"/>
    <w:rsid w:val="000C02A5"/>
    <w:rsid w:val="000C219C"/>
    <w:rsid w:val="000C3B29"/>
    <w:rsid w:val="000C42F4"/>
    <w:rsid w:val="000C4396"/>
    <w:rsid w:val="000C46FC"/>
    <w:rsid w:val="000C58FD"/>
    <w:rsid w:val="000C662C"/>
    <w:rsid w:val="000C66D7"/>
    <w:rsid w:val="000C6BE2"/>
    <w:rsid w:val="000C6D4D"/>
    <w:rsid w:val="000C6FE1"/>
    <w:rsid w:val="000D0C96"/>
    <w:rsid w:val="000D1868"/>
    <w:rsid w:val="000D2ABA"/>
    <w:rsid w:val="000D2C1F"/>
    <w:rsid w:val="000D4844"/>
    <w:rsid w:val="000D5D5B"/>
    <w:rsid w:val="000D5D7C"/>
    <w:rsid w:val="000D7E2A"/>
    <w:rsid w:val="000D7FC8"/>
    <w:rsid w:val="000E05AC"/>
    <w:rsid w:val="000E193B"/>
    <w:rsid w:val="000E1D71"/>
    <w:rsid w:val="000E26B6"/>
    <w:rsid w:val="000E2AA8"/>
    <w:rsid w:val="000E2AEA"/>
    <w:rsid w:val="000E2F15"/>
    <w:rsid w:val="000E460B"/>
    <w:rsid w:val="000E4A38"/>
    <w:rsid w:val="000E578D"/>
    <w:rsid w:val="000E614E"/>
    <w:rsid w:val="000E7FE5"/>
    <w:rsid w:val="000F1C95"/>
    <w:rsid w:val="000F3059"/>
    <w:rsid w:val="000F32C3"/>
    <w:rsid w:val="000F403C"/>
    <w:rsid w:val="000F49EF"/>
    <w:rsid w:val="000F5472"/>
    <w:rsid w:val="000F5C6C"/>
    <w:rsid w:val="000F6332"/>
    <w:rsid w:val="000F6493"/>
    <w:rsid w:val="000F699A"/>
    <w:rsid w:val="000F6F4F"/>
    <w:rsid w:val="000F73F7"/>
    <w:rsid w:val="00100D07"/>
    <w:rsid w:val="00102EDC"/>
    <w:rsid w:val="00102FB9"/>
    <w:rsid w:val="001033CB"/>
    <w:rsid w:val="00103E46"/>
    <w:rsid w:val="00104752"/>
    <w:rsid w:val="00106504"/>
    <w:rsid w:val="00106D8A"/>
    <w:rsid w:val="001101FD"/>
    <w:rsid w:val="001102FA"/>
    <w:rsid w:val="00110DFA"/>
    <w:rsid w:val="001112FA"/>
    <w:rsid w:val="0011167C"/>
    <w:rsid w:val="00112314"/>
    <w:rsid w:val="00113103"/>
    <w:rsid w:val="00114AF7"/>
    <w:rsid w:val="00114BEC"/>
    <w:rsid w:val="00114C2E"/>
    <w:rsid w:val="00114D43"/>
    <w:rsid w:val="001162B9"/>
    <w:rsid w:val="00120128"/>
    <w:rsid w:val="00120A7E"/>
    <w:rsid w:val="00121505"/>
    <w:rsid w:val="00121DF2"/>
    <w:rsid w:val="0012262E"/>
    <w:rsid w:val="00123068"/>
    <w:rsid w:val="001237DA"/>
    <w:rsid w:val="0013061B"/>
    <w:rsid w:val="001313D3"/>
    <w:rsid w:val="00132F17"/>
    <w:rsid w:val="0013532E"/>
    <w:rsid w:val="001362B3"/>
    <w:rsid w:val="0013637C"/>
    <w:rsid w:val="0013721C"/>
    <w:rsid w:val="001375DC"/>
    <w:rsid w:val="00137C1D"/>
    <w:rsid w:val="00140008"/>
    <w:rsid w:val="001437EC"/>
    <w:rsid w:val="00144956"/>
    <w:rsid w:val="001452D2"/>
    <w:rsid w:val="00145B4B"/>
    <w:rsid w:val="00146513"/>
    <w:rsid w:val="001469BA"/>
    <w:rsid w:val="00147025"/>
    <w:rsid w:val="00147873"/>
    <w:rsid w:val="00151257"/>
    <w:rsid w:val="0015220C"/>
    <w:rsid w:val="00153752"/>
    <w:rsid w:val="0015425D"/>
    <w:rsid w:val="00154C17"/>
    <w:rsid w:val="00157085"/>
    <w:rsid w:val="001579D0"/>
    <w:rsid w:val="00157C6C"/>
    <w:rsid w:val="0016178C"/>
    <w:rsid w:val="00163041"/>
    <w:rsid w:val="001645EB"/>
    <w:rsid w:val="00165C1B"/>
    <w:rsid w:val="00165C47"/>
    <w:rsid w:val="00166A33"/>
    <w:rsid w:val="001670AF"/>
    <w:rsid w:val="001675B2"/>
    <w:rsid w:val="00167E2D"/>
    <w:rsid w:val="00170541"/>
    <w:rsid w:val="00171B43"/>
    <w:rsid w:val="00171DF6"/>
    <w:rsid w:val="00174830"/>
    <w:rsid w:val="00175593"/>
    <w:rsid w:val="00175A08"/>
    <w:rsid w:val="00175C6F"/>
    <w:rsid w:val="00177ABA"/>
    <w:rsid w:val="00181729"/>
    <w:rsid w:val="00181EA5"/>
    <w:rsid w:val="00182D05"/>
    <w:rsid w:val="00183139"/>
    <w:rsid w:val="00183E65"/>
    <w:rsid w:val="001858DE"/>
    <w:rsid w:val="00186AE9"/>
    <w:rsid w:val="001870DE"/>
    <w:rsid w:val="00187543"/>
    <w:rsid w:val="00187583"/>
    <w:rsid w:val="00187BA5"/>
    <w:rsid w:val="00190EE3"/>
    <w:rsid w:val="001911F2"/>
    <w:rsid w:val="00192580"/>
    <w:rsid w:val="001939F3"/>
    <w:rsid w:val="001954B3"/>
    <w:rsid w:val="00195B93"/>
    <w:rsid w:val="00195D2A"/>
    <w:rsid w:val="00195DC0"/>
    <w:rsid w:val="00195F01"/>
    <w:rsid w:val="00196802"/>
    <w:rsid w:val="00196AA0"/>
    <w:rsid w:val="001976CA"/>
    <w:rsid w:val="00197A63"/>
    <w:rsid w:val="001A025E"/>
    <w:rsid w:val="001A098C"/>
    <w:rsid w:val="001A1738"/>
    <w:rsid w:val="001A17E9"/>
    <w:rsid w:val="001A18D2"/>
    <w:rsid w:val="001A1D82"/>
    <w:rsid w:val="001A28EB"/>
    <w:rsid w:val="001A2E42"/>
    <w:rsid w:val="001A46A4"/>
    <w:rsid w:val="001A4D8E"/>
    <w:rsid w:val="001A5028"/>
    <w:rsid w:val="001A52B6"/>
    <w:rsid w:val="001A53E3"/>
    <w:rsid w:val="001A5A3B"/>
    <w:rsid w:val="001A5B4A"/>
    <w:rsid w:val="001A768D"/>
    <w:rsid w:val="001A7ADF"/>
    <w:rsid w:val="001B0139"/>
    <w:rsid w:val="001B156D"/>
    <w:rsid w:val="001B161E"/>
    <w:rsid w:val="001B30FF"/>
    <w:rsid w:val="001B6CB4"/>
    <w:rsid w:val="001B7554"/>
    <w:rsid w:val="001B7CCB"/>
    <w:rsid w:val="001C125B"/>
    <w:rsid w:val="001C25CB"/>
    <w:rsid w:val="001C3038"/>
    <w:rsid w:val="001C362E"/>
    <w:rsid w:val="001C57AB"/>
    <w:rsid w:val="001D0CB1"/>
    <w:rsid w:val="001D2070"/>
    <w:rsid w:val="001D238B"/>
    <w:rsid w:val="001D3338"/>
    <w:rsid w:val="001D3475"/>
    <w:rsid w:val="001D55C0"/>
    <w:rsid w:val="001D5969"/>
    <w:rsid w:val="001D6060"/>
    <w:rsid w:val="001D6FDC"/>
    <w:rsid w:val="001E024E"/>
    <w:rsid w:val="001E23B7"/>
    <w:rsid w:val="001E2790"/>
    <w:rsid w:val="001E285E"/>
    <w:rsid w:val="001E3D18"/>
    <w:rsid w:val="001E4782"/>
    <w:rsid w:val="001E5B94"/>
    <w:rsid w:val="001E78AC"/>
    <w:rsid w:val="001F02C4"/>
    <w:rsid w:val="001F08EC"/>
    <w:rsid w:val="001F095C"/>
    <w:rsid w:val="001F1667"/>
    <w:rsid w:val="001F22BF"/>
    <w:rsid w:val="001F32C8"/>
    <w:rsid w:val="001F379E"/>
    <w:rsid w:val="001F3CC4"/>
    <w:rsid w:val="001F3D46"/>
    <w:rsid w:val="001F4CB5"/>
    <w:rsid w:val="001F64ED"/>
    <w:rsid w:val="001F69F6"/>
    <w:rsid w:val="001F6CDA"/>
    <w:rsid w:val="0020028F"/>
    <w:rsid w:val="00200462"/>
    <w:rsid w:val="00200A96"/>
    <w:rsid w:val="00200AF6"/>
    <w:rsid w:val="00200C7F"/>
    <w:rsid w:val="00201038"/>
    <w:rsid w:val="002028BA"/>
    <w:rsid w:val="00202F88"/>
    <w:rsid w:val="00202FD9"/>
    <w:rsid w:val="00203793"/>
    <w:rsid w:val="00203956"/>
    <w:rsid w:val="00203EAB"/>
    <w:rsid w:val="00204348"/>
    <w:rsid w:val="00205131"/>
    <w:rsid w:val="002052F0"/>
    <w:rsid w:val="002053DC"/>
    <w:rsid w:val="00206478"/>
    <w:rsid w:val="00207463"/>
    <w:rsid w:val="00207AEA"/>
    <w:rsid w:val="002117EF"/>
    <w:rsid w:val="002117F5"/>
    <w:rsid w:val="00211AD2"/>
    <w:rsid w:val="00211EBD"/>
    <w:rsid w:val="00212E44"/>
    <w:rsid w:val="00214DAB"/>
    <w:rsid w:val="00214F10"/>
    <w:rsid w:val="002152C0"/>
    <w:rsid w:val="00215781"/>
    <w:rsid w:val="00215B90"/>
    <w:rsid w:val="00216DC8"/>
    <w:rsid w:val="002209CA"/>
    <w:rsid w:val="0022216B"/>
    <w:rsid w:val="002222B4"/>
    <w:rsid w:val="00222643"/>
    <w:rsid w:val="0022458D"/>
    <w:rsid w:val="00224CCD"/>
    <w:rsid w:val="00224F5B"/>
    <w:rsid w:val="00227D25"/>
    <w:rsid w:val="0023048A"/>
    <w:rsid w:val="00230A54"/>
    <w:rsid w:val="00231A1F"/>
    <w:rsid w:val="0023376A"/>
    <w:rsid w:val="002346DA"/>
    <w:rsid w:val="00234FD8"/>
    <w:rsid w:val="00235356"/>
    <w:rsid w:val="0023601A"/>
    <w:rsid w:val="00240095"/>
    <w:rsid w:val="002407F4"/>
    <w:rsid w:val="002415E7"/>
    <w:rsid w:val="002421A6"/>
    <w:rsid w:val="00242C19"/>
    <w:rsid w:val="002434DB"/>
    <w:rsid w:val="002440C3"/>
    <w:rsid w:val="00244312"/>
    <w:rsid w:val="002457BC"/>
    <w:rsid w:val="002462E4"/>
    <w:rsid w:val="00246B1F"/>
    <w:rsid w:val="00247C06"/>
    <w:rsid w:val="00251306"/>
    <w:rsid w:val="00253D3E"/>
    <w:rsid w:val="0025684F"/>
    <w:rsid w:val="00257792"/>
    <w:rsid w:val="00257B3A"/>
    <w:rsid w:val="00257EBA"/>
    <w:rsid w:val="002610FC"/>
    <w:rsid w:val="00261947"/>
    <w:rsid w:val="00262B5D"/>
    <w:rsid w:val="0026386D"/>
    <w:rsid w:val="00264BFC"/>
    <w:rsid w:val="00265627"/>
    <w:rsid w:val="00266876"/>
    <w:rsid w:val="00266878"/>
    <w:rsid w:val="00270473"/>
    <w:rsid w:val="002705E1"/>
    <w:rsid w:val="00270657"/>
    <w:rsid w:val="00270ABF"/>
    <w:rsid w:val="00270D2B"/>
    <w:rsid w:val="00271152"/>
    <w:rsid w:val="0027257F"/>
    <w:rsid w:val="00274067"/>
    <w:rsid w:val="00274357"/>
    <w:rsid w:val="0027501E"/>
    <w:rsid w:val="002753C5"/>
    <w:rsid w:val="00276323"/>
    <w:rsid w:val="002768E6"/>
    <w:rsid w:val="00276A72"/>
    <w:rsid w:val="00277AC8"/>
    <w:rsid w:val="00277C59"/>
    <w:rsid w:val="0028004A"/>
    <w:rsid w:val="00281509"/>
    <w:rsid w:val="002818AD"/>
    <w:rsid w:val="00281D6E"/>
    <w:rsid w:val="00284F37"/>
    <w:rsid w:val="0028592D"/>
    <w:rsid w:val="00285C08"/>
    <w:rsid w:val="00285E70"/>
    <w:rsid w:val="0028660C"/>
    <w:rsid w:val="00286F62"/>
    <w:rsid w:val="00287710"/>
    <w:rsid w:val="002877B3"/>
    <w:rsid w:val="00290AD9"/>
    <w:rsid w:val="00290D32"/>
    <w:rsid w:val="002916B4"/>
    <w:rsid w:val="00292C3C"/>
    <w:rsid w:val="002934F2"/>
    <w:rsid w:val="00293D3B"/>
    <w:rsid w:val="002942A7"/>
    <w:rsid w:val="002946BD"/>
    <w:rsid w:val="002950D8"/>
    <w:rsid w:val="00295254"/>
    <w:rsid w:val="00296191"/>
    <w:rsid w:val="00297501"/>
    <w:rsid w:val="002976A7"/>
    <w:rsid w:val="002A12A6"/>
    <w:rsid w:val="002A287A"/>
    <w:rsid w:val="002A316A"/>
    <w:rsid w:val="002A696F"/>
    <w:rsid w:val="002A6F44"/>
    <w:rsid w:val="002B0774"/>
    <w:rsid w:val="002B2E88"/>
    <w:rsid w:val="002B4219"/>
    <w:rsid w:val="002B49D5"/>
    <w:rsid w:val="002B4CF0"/>
    <w:rsid w:val="002B4D63"/>
    <w:rsid w:val="002B50F6"/>
    <w:rsid w:val="002B5BBF"/>
    <w:rsid w:val="002B76CB"/>
    <w:rsid w:val="002B7AC9"/>
    <w:rsid w:val="002C01D2"/>
    <w:rsid w:val="002C05D3"/>
    <w:rsid w:val="002C0D91"/>
    <w:rsid w:val="002C0E5D"/>
    <w:rsid w:val="002C119D"/>
    <w:rsid w:val="002C1C91"/>
    <w:rsid w:val="002C3A47"/>
    <w:rsid w:val="002C3DD4"/>
    <w:rsid w:val="002C4B55"/>
    <w:rsid w:val="002C4FF8"/>
    <w:rsid w:val="002C6DC7"/>
    <w:rsid w:val="002D12D8"/>
    <w:rsid w:val="002D1B2E"/>
    <w:rsid w:val="002D23C6"/>
    <w:rsid w:val="002D586D"/>
    <w:rsid w:val="002D5913"/>
    <w:rsid w:val="002D5CB6"/>
    <w:rsid w:val="002D7DCB"/>
    <w:rsid w:val="002E02B6"/>
    <w:rsid w:val="002E234F"/>
    <w:rsid w:val="002E3603"/>
    <w:rsid w:val="002E4547"/>
    <w:rsid w:val="002E66B7"/>
    <w:rsid w:val="002E6FDE"/>
    <w:rsid w:val="002F0237"/>
    <w:rsid w:val="002F0270"/>
    <w:rsid w:val="002F03E5"/>
    <w:rsid w:val="002F078F"/>
    <w:rsid w:val="002F2E55"/>
    <w:rsid w:val="002F33A3"/>
    <w:rsid w:val="002F4D6E"/>
    <w:rsid w:val="002F6455"/>
    <w:rsid w:val="002F677E"/>
    <w:rsid w:val="002F69AD"/>
    <w:rsid w:val="00301372"/>
    <w:rsid w:val="003022E2"/>
    <w:rsid w:val="00304044"/>
    <w:rsid w:val="00304C63"/>
    <w:rsid w:val="003057FD"/>
    <w:rsid w:val="00306E7F"/>
    <w:rsid w:val="0031081C"/>
    <w:rsid w:val="00310C65"/>
    <w:rsid w:val="00311735"/>
    <w:rsid w:val="00311D19"/>
    <w:rsid w:val="00313DB6"/>
    <w:rsid w:val="003146AC"/>
    <w:rsid w:val="003168D8"/>
    <w:rsid w:val="00316DB4"/>
    <w:rsid w:val="003173DB"/>
    <w:rsid w:val="00320C3F"/>
    <w:rsid w:val="00320EEA"/>
    <w:rsid w:val="00321430"/>
    <w:rsid w:val="00321456"/>
    <w:rsid w:val="003224B7"/>
    <w:rsid w:val="0032337E"/>
    <w:rsid w:val="00323A70"/>
    <w:rsid w:val="00324D5D"/>
    <w:rsid w:val="003257B3"/>
    <w:rsid w:val="00331257"/>
    <w:rsid w:val="00331388"/>
    <w:rsid w:val="00331A59"/>
    <w:rsid w:val="00334467"/>
    <w:rsid w:val="00334B91"/>
    <w:rsid w:val="003352B2"/>
    <w:rsid w:val="003353A1"/>
    <w:rsid w:val="003355CC"/>
    <w:rsid w:val="0033605D"/>
    <w:rsid w:val="003369EB"/>
    <w:rsid w:val="00337D0B"/>
    <w:rsid w:val="00340747"/>
    <w:rsid w:val="003414E3"/>
    <w:rsid w:val="003418F2"/>
    <w:rsid w:val="00341AD2"/>
    <w:rsid w:val="00341B66"/>
    <w:rsid w:val="00342094"/>
    <w:rsid w:val="00342594"/>
    <w:rsid w:val="00342FDB"/>
    <w:rsid w:val="0034312B"/>
    <w:rsid w:val="00343219"/>
    <w:rsid w:val="00343BA8"/>
    <w:rsid w:val="00344301"/>
    <w:rsid w:val="00344457"/>
    <w:rsid w:val="003474DA"/>
    <w:rsid w:val="00347D71"/>
    <w:rsid w:val="00350664"/>
    <w:rsid w:val="00350CE0"/>
    <w:rsid w:val="00352068"/>
    <w:rsid w:val="00352369"/>
    <w:rsid w:val="00356743"/>
    <w:rsid w:val="003567C6"/>
    <w:rsid w:val="00357D08"/>
    <w:rsid w:val="00357DD5"/>
    <w:rsid w:val="00360CD2"/>
    <w:rsid w:val="0036172D"/>
    <w:rsid w:val="00361E11"/>
    <w:rsid w:val="00362220"/>
    <w:rsid w:val="0036268E"/>
    <w:rsid w:val="003638B8"/>
    <w:rsid w:val="00363B94"/>
    <w:rsid w:val="00363C51"/>
    <w:rsid w:val="00363F18"/>
    <w:rsid w:val="00365D27"/>
    <w:rsid w:val="00365F1C"/>
    <w:rsid w:val="003673FC"/>
    <w:rsid w:val="00370A7B"/>
    <w:rsid w:val="0037226C"/>
    <w:rsid w:val="00372E3F"/>
    <w:rsid w:val="003749D5"/>
    <w:rsid w:val="00374C59"/>
    <w:rsid w:val="003761F7"/>
    <w:rsid w:val="003779EF"/>
    <w:rsid w:val="00377ECF"/>
    <w:rsid w:val="0038065E"/>
    <w:rsid w:val="0038109A"/>
    <w:rsid w:val="00381B93"/>
    <w:rsid w:val="00382BA1"/>
    <w:rsid w:val="00382FEA"/>
    <w:rsid w:val="00384046"/>
    <w:rsid w:val="00384BE7"/>
    <w:rsid w:val="00385807"/>
    <w:rsid w:val="00385E51"/>
    <w:rsid w:val="00385FBE"/>
    <w:rsid w:val="003867CE"/>
    <w:rsid w:val="00386D78"/>
    <w:rsid w:val="00387AF7"/>
    <w:rsid w:val="00390D5B"/>
    <w:rsid w:val="00391302"/>
    <w:rsid w:val="0039220A"/>
    <w:rsid w:val="003924AC"/>
    <w:rsid w:val="0039257E"/>
    <w:rsid w:val="00392BBD"/>
    <w:rsid w:val="00394857"/>
    <w:rsid w:val="00394D00"/>
    <w:rsid w:val="003970C7"/>
    <w:rsid w:val="00397D48"/>
    <w:rsid w:val="003A0C87"/>
    <w:rsid w:val="003A154A"/>
    <w:rsid w:val="003A1D8D"/>
    <w:rsid w:val="003A2397"/>
    <w:rsid w:val="003A2FA5"/>
    <w:rsid w:val="003A44B0"/>
    <w:rsid w:val="003A455C"/>
    <w:rsid w:val="003A5863"/>
    <w:rsid w:val="003A5AA9"/>
    <w:rsid w:val="003A63BF"/>
    <w:rsid w:val="003B0022"/>
    <w:rsid w:val="003B0457"/>
    <w:rsid w:val="003B0B65"/>
    <w:rsid w:val="003B167D"/>
    <w:rsid w:val="003B1B94"/>
    <w:rsid w:val="003B2507"/>
    <w:rsid w:val="003B46AC"/>
    <w:rsid w:val="003B5FF9"/>
    <w:rsid w:val="003B6623"/>
    <w:rsid w:val="003B67E6"/>
    <w:rsid w:val="003B7CEE"/>
    <w:rsid w:val="003C1341"/>
    <w:rsid w:val="003C191D"/>
    <w:rsid w:val="003C2433"/>
    <w:rsid w:val="003C2B8C"/>
    <w:rsid w:val="003C6D00"/>
    <w:rsid w:val="003D224E"/>
    <w:rsid w:val="003D2300"/>
    <w:rsid w:val="003D3FCE"/>
    <w:rsid w:val="003D5631"/>
    <w:rsid w:val="003D66FF"/>
    <w:rsid w:val="003D6B55"/>
    <w:rsid w:val="003D7A6E"/>
    <w:rsid w:val="003E1B22"/>
    <w:rsid w:val="003E215F"/>
    <w:rsid w:val="003E3750"/>
    <w:rsid w:val="003E510B"/>
    <w:rsid w:val="003E5C50"/>
    <w:rsid w:val="003E7B27"/>
    <w:rsid w:val="003F0014"/>
    <w:rsid w:val="003F1BCF"/>
    <w:rsid w:val="003F1E5A"/>
    <w:rsid w:val="003F3878"/>
    <w:rsid w:val="003F4188"/>
    <w:rsid w:val="003F506B"/>
    <w:rsid w:val="003F5944"/>
    <w:rsid w:val="003F6021"/>
    <w:rsid w:val="003F69C9"/>
    <w:rsid w:val="003F7F1B"/>
    <w:rsid w:val="00402609"/>
    <w:rsid w:val="00402FF3"/>
    <w:rsid w:val="00403504"/>
    <w:rsid w:val="00403F14"/>
    <w:rsid w:val="00403FF0"/>
    <w:rsid w:val="00404425"/>
    <w:rsid w:val="004045EC"/>
    <w:rsid w:val="00404E56"/>
    <w:rsid w:val="00406598"/>
    <w:rsid w:val="00407024"/>
    <w:rsid w:val="00410122"/>
    <w:rsid w:val="004111E4"/>
    <w:rsid w:val="00411AFB"/>
    <w:rsid w:val="00412C43"/>
    <w:rsid w:val="004130A1"/>
    <w:rsid w:val="0041494D"/>
    <w:rsid w:val="00414ABA"/>
    <w:rsid w:val="00415BC6"/>
    <w:rsid w:val="004163E2"/>
    <w:rsid w:val="00417A06"/>
    <w:rsid w:val="004216E0"/>
    <w:rsid w:val="004217A8"/>
    <w:rsid w:val="004235BC"/>
    <w:rsid w:val="00424ED7"/>
    <w:rsid w:val="00425ED8"/>
    <w:rsid w:val="004264C7"/>
    <w:rsid w:val="004267F1"/>
    <w:rsid w:val="00426E99"/>
    <w:rsid w:val="004278EC"/>
    <w:rsid w:val="00427B5E"/>
    <w:rsid w:val="004303CC"/>
    <w:rsid w:val="00430F4E"/>
    <w:rsid w:val="0043233A"/>
    <w:rsid w:val="004327ED"/>
    <w:rsid w:val="00432830"/>
    <w:rsid w:val="00432E1A"/>
    <w:rsid w:val="00434AB4"/>
    <w:rsid w:val="00435015"/>
    <w:rsid w:val="0043742E"/>
    <w:rsid w:val="0044173C"/>
    <w:rsid w:val="00441FF0"/>
    <w:rsid w:val="004429E9"/>
    <w:rsid w:val="00442AEE"/>
    <w:rsid w:val="004450FA"/>
    <w:rsid w:val="0044660C"/>
    <w:rsid w:val="004471A4"/>
    <w:rsid w:val="00447AEA"/>
    <w:rsid w:val="00450C0E"/>
    <w:rsid w:val="004523EE"/>
    <w:rsid w:val="00452F52"/>
    <w:rsid w:val="0045438B"/>
    <w:rsid w:val="00454C52"/>
    <w:rsid w:val="004558F4"/>
    <w:rsid w:val="00455BD6"/>
    <w:rsid w:val="00455F4B"/>
    <w:rsid w:val="004564FC"/>
    <w:rsid w:val="00461445"/>
    <w:rsid w:val="0046144F"/>
    <w:rsid w:val="004619B0"/>
    <w:rsid w:val="00462940"/>
    <w:rsid w:val="00463E09"/>
    <w:rsid w:val="00464277"/>
    <w:rsid w:val="004651BF"/>
    <w:rsid w:val="00465A4F"/>
    <w:rsid w:val="00465A6A"/>
    <w:rsid w:val="00467365"/>
    <w:rsid w:val="004676E9"/>
    <w:rsid w:val="0046785D"/>
    <w:rsid w:val="00470106"/>
    <w:rsid w:val="004708F5"/>
    <w:rsid w:val="00472276"/>
    <w:rsid w:val="00472E37"/>
    <w:rsid w:val="00473621"/>
    <w:rsid w:val="0047465D"/>
    <w:rsid w:val="00475206"/>
    <w:rsid w:val="004756C5"/>
    <w:rsid w:val="00475D3A"/>
    <w:rsid w:val="00476257"/>
    <w:rsid w:val="0047711E"/>
    <w:rsid w:val="0047772C"/>
    <w:rsid w:val="00477903"/>
    <w:rsid w:val="004779EB"/>
    <w:rsid w:val="004800F2"/>
    <w:rsid w:val="004822C7"/>
    <w:rsid w:val="00482825"/>
    <w:rsid w:val="00482859"/>
    <w:rsid w:val="00482BCC"/>
    <w:rsid w:val="00482D05"/>
    <w:rsid w:val="0048359F"/>
    <w:rsid w:val="00483743"/>
    <w:rsid w:val="00483AC5"/>
    <w:rsid w:val="00483BA2"/>
    <w:rsid w:val="00485402"/>
    <w:rsid w:val="004867C9"/>
    <w:rsid w:val="00487E8B"/>
    <w:rsid w:val="00490524"/>
    <w:rsid w:val="00491EA0"/>
    <w:rsid w:val="004920FF"/>
    <w:rsid w:val="00492CA0"/>
    <w:rsid w:val="0049310A"/>
    <w:rsid w:val="004932E8"/>
    <w:rsid w:val="004954B0"/>
    <w:rsid w:val="0049596A"/>
    <w:rsid w:val="004974CE"/>
    <w:rsid w:val="004975F1"/>
    <w:rsid w:val="004A0574"/>
    <w:rsid w:val="004A0D49"/>
    <w:rsid w:val="004A1274"/>
    <w:rsid w:val="004A22E0"/>
    <w:rsid w:val="004A2D28"/>
    <w:rsid w:val="004A5AAD"/>
    <w:rsid w:val="004A7126"/>
    <w:rsid w:val="004A7684"/>
    <w:rsid w:val="004A79E8"/>
    <w:rsid w:val="004A7CCD"/>
    <w:rsid w:val="004B1BD7"/>
    <w:rsid w:val="004B1C0F"/>
    <w:rsid w:val="004B280A"/>
    <w:rsid w:val="004B2F1D"/>
    <w:rsid w:val="004B3004"/>
    <w:rsid w:val="004B331C"/>
    <w:rsid w:val="004B3F03"/>
    <w:rsid w:val="004B4126"/>
    <w:rsid w:val="004B469C"/>
    <w:rsid w:val="004B4BA2"/>
    <w:rsid w:val="004B4E44"/>
    <w:rsid w:val="004B6177"/>
    <w:rsid w:val="004B710A"/>
    <w:rsid w:val="004B72D7"/>
    <w:rsid w:val="004B7FB5"/>
    <w:rsid w:val="004C00AF"/>
    <w:rsid w:val="004C04C5"/>
    <w:rsid w:val="004C10D9"/>
    <w:rsid w:val="004C1475"/>
    <w:rsid w:val="004C1601"/>
    <w:rsid w:val="004C6DC6"/>
    <w:rsid w:val="004C6EA4"/>
    <w:rsid w:val="004C7EE0"/>
    <w:rsid w:val="004D21CF"/>
    <w:rsid w:val="004D3933"/>
    <w:rsid w:val="004D4EC5"/>
    <w:rsid w:val="004D5B7A"/>
    <w:rsid w:val="004D600E"/>
    <w:rsid w:val="004D79D0"/>
    <w:rsid w:val="004E05BC"/>
    <w:rsid w:val="004E0C3E"/>
    <w:rsid w:val="004E0F06"/>
    <w:rsid w:val="004E11FF"/>
    <w:rsid w:val="004E35AD"/>
    <w:rsid w:val="004E35D5"/>
    <w:rsid w:val="004E36E4"/>
    <w:rsid w:val="004E3918"/>
    <w:rsid w:val="004E3EE8"/>
    <w:rsid w:val="004E5268"/>
    <w:rsid w:val="004E5272"/>
    <w:rsid w:val="004E59E1"/>
    <w:rsid w:val="004E6200"/>
    <w:rsid w:val="004E6798"/>
    <w:rsid w:val="004E7CB5"/>
    <w:rsid w:val="004F0BD1"/>
    <w:rsid w:val="004F16C4"/>
    <w:rsid w:val="004F1F28"/>
    <w:rsid w:val="004F2CDC"/>
    <w:rsid w:val="004F3AF4"/>
    <w:rsid w:val="004F3B01"/>
    <w:rsid w:val="004F5163"/>
    <w:rsid w:val="005006AB"/>
    <w:rsid w:val="005009E2"/>
    <w:rsid w:val="00501C58"/>
    <w:rsid w:val="00502B07"/>
    <w:rsid w:val="005039A3"/>
    <w:rsid w:val="00503EC7"/>
    <w:rsid w:val="00504064"/>
    <w:rsid w:val="005040C6"/>
    <w:rsid w:val="00504567"/>
    <w:rsid w:val="00504780"/>
    <w:rsid w:val="005048DE"/>
    <w:rsid w:val="0050529E"/>
    <w:rsid w:val="00506232"/>
    <w:rsid w:val="0050795C"/>
    <w:rsid w:val="00507AD1"/>
    <w:rsid w:val="00511605"/>
    <w:rsid w:val="005138C8"/>
    <w:rsid w:val="00516187"/>
    <w:rsid w:val="00516A51"/>
    <w:rsid w:val="00520674"/>
    <w:rsid w:val="00520AAC"/>
    <w:rsid w:val="0052133D"/>
    <w:rsid w:val="005220B8"/>
    <w:rsid w:val="00523116"/>
    <w:rsid w:val="00523387"/>
    <w:rsid w:val="00523B31"/>
    <w:rsid w:val="00524DCC"/>
    <w:rsid w:val="005257EA"/>
    <w:rsid w:val="00525921"/>
    <w:rsid w:val="005261B2"/>
    <w:rsid w:val="005265D1"/>
    <w:rsid w:val="00526AD6"/>
    <w:rsid w:val="00526E4E"/>
    <w:rsid w:val="0052733B"/>
    <w:rsid w:val="005301D3"/>
    <w:rsid w:val="005302C5"/>
    <w:rsid w:val="005324A3"/>
    <w:rsid w:val="00532A6A"/>
    <w:rsid w:val="0053314E"/>
    <w:rsid w:val="005331B4"/>
    <w:rsid w:val="00533A32"/>
    <w:rsid w:val="00533BA8"/>
    <w:rsid w:val="00535970"/>
    <w:rsid w:val="0053638D"/>
    <w:rsid w:val="005368A6"/>
    <w:rsid w:val="00537192"/>
    <w:rsid w:val="00540432"/>
    <w:rsid w:val="00540ED9"/>
    <w:rsid w:val="00541432"/>
    <w:rsid w:val="005437CD"/>
    <w:rsid w:val="005444AD"/>
    <w:rsid w:val="00544627"/>
    <w:rsid w:val="00544C7D"/>
    <w:rsid w:val="00545141"/>
    <w:rsid w:val="00545517"/>
    <w:rsid w:val="0054564E"/>
    <w:rsid w:val="00545A16"/>
    <w:rsid w:val="00545CAA"/>
    <w:rsid w:val="00546DA6"/>
    <w:rsid w:val="00547157"/>
    <w:rsid w:val="00547B24"/>
    <w:rsid w:val="00547CB8"/>
    <w:rsid w:val="005504A5"/>
    <w:rsid w:val="00551224"/>
    <w:rsid w:val="005525E9"/>
    <w:rsid w:val="005529E8"/>
    <w:rsid w:val="00554DB9"/>
    <w:rsid w:val="0055657A"/>
    <w:rsid w:val="00556AC1"/>
    <w:rsid w:val="005570F6"/>
    <w:rsid w:val="0055718B"/>
    <w:rsid w:val="00560965"/>
    <w:rsid w:val="005609ED"/>
    <w:rsid w:val="005635F5"/>
    <w:rsid w:val="00565230"/>
    <w:rsid w:val="0056559D"/>
    <w:rsid w:val="00566708"/>
    <w:rsid w:val="0056711E"/>
    <w:rsid w:val="0056718E"/>
    <w:rsid w:val="0056775B"/>
    <w:rsid w:val="00567997"/>
    <w:rsid w:val="005679FF"/>
    <w:rsid w:val="005701AE"/>
    <w:rsid w:val="005702D9"/>
    <w:rsid w:val="00570556"/>
    <w:rsid w:val="005718BB"/>
    <w:rsid w:val="00571F39"/>
    <w:rsid w:val="005722FA"/>
    <w:rsid w:val="00572496"/>
    <w:rsid w:val="0057314E"/>
    <w:rsid w:val="005738B4"/>
    <w:rsid w:val="00573BA0"/>
    <w:rsid w:val="00574109"/>
    <w:rsid w:val="00576079"/>
    <w:rsid w:val="005761A4"/>
    <w:rsid w:val="005771F5"/>
    <w:rsid w:val="00577709"/>
    <w:rsid w:val="005802D6"/>
    <w:rsid w:val="005808CB"/>
    <w:rsid w:val="00580A29"/>
    <w:rsid w:val="005811DA"/>
    <w:rsid w:val="0058223F"/>
    <w:rsid w:val="00582D9F"/>
    <w:rsid w:val="00582F49"/>
    <w:rsid w:val="00584118"/>
    <w:rsid w:val="0058745E"/>
    <w:rsid w:val="00591F79"/>
    <w:rsid w:val="00592A81"/>
    <w:rsid w:val="00595471"/>
    <w:rsid w:val="005956A6"/>
    <w:rsid w:val="00596488"/>
    <w:rsid w:val="00596A38"/>
    <w:rsid w:val="00597E3B"/>
    <w:rsid w:val="005A0ED4"/>
    <w:rsid w:val="005A10C6"/>
    <w:rsid w:val="005A17C1"/>
    <w:rsid w:val="005A1D03"/>
    <w:rsid w:val="005A1D35"/>
    <w:rsid w:val="005A1DEB"/>
    <w:rsid w:val="005A23FC"/>
    <w:rsid w:val="005A3317"/>
    <w:rsid w:val="005A3A58"/>
    <w:rsid w:val="005A40C1"/>
    <w:rsid w:val="005A4682"/>
    <w:rsid w:val="005A6758"/>
    <w:rsid w:val="005A6837"/>
    <w:rsid w:val="005A6D1E"/>
    <w:rsid w:val="005A799F"/>
    <w:rsid w:val="005B0265"/>
    <w:rsid w:val="005B03AB"/>
    <w:rsid w:val="005B0EE2"/>
    <w:rsid w:val="005B1809"/>
    <w:rsid w:val="005B1D6F"/>
    <w:rsid w:val="005B304E"/>
    <w:rsid w:val="005B34D5"/>
    <w:rsid w:val="005B35BA"/>
    <w:rsid w:val="005B669F"/>
    <w:rsid w:val="005B6CF4"/>
    <w:rsid w:val="005B6EA3"/>
    <w:rsid w:val="005B71AC"/>
    <w:rsid w:val="005C01EA"/>
    <w:rsid w:val="005C04E8"/>
    <w:rsid w:val="005C26A4"/>
    <w:rsid w:val="005C2D07"/>
    <w:rsid w:val="005C53E6"/>
    <w:rsid w:val="005C5750"/>
    <w:rsid w:val="005C5A58"/>
    <w:rsid w:val="005C688E"/>
    <w:rsid w:val="005C6A7E"/>
    <w:rsid w:val="005C6E69"/>
    <w:rsid w:val="005C720B"/>
    <w:rsid w:val="005C74A9"/>
    <w:rsid w:val="005C763C"/>
    <w:rsid w:val="005C7725"/>
    <w:rsid w:val="005C7850"/>
    <w:rsid w:val="005D042C"/>
    <w:rsid w:val="005D0956"/>
    <w:rsid w:val="005D0E1A"/>
    <w:rsid w:val="005D0FC3"/>
    <w:rsid w:val="005D227C"/>
    <w:rsid w:val="005D2E46"/>
    <w:rsid w:val="005D32E0"/>
    <w:rsid w:val="005D3846"/>
    <w:rsid w:val="005D50A4"/>
    <w:rsid w:val="005D592F"/>
    <w:rsid w:val="005D5E7C"/>
    <w:rsid w:val="005D6650"/>
    <w:rsid w:val="005D6E69"/>
    <w:rsid w:val="005D7533"/>
    <w:rsid w:val="005D78A4"/>
    <w:rsid w:val="005E010F"/>
    <w:rsid w:val="005E043C"/>
    <w:rsid w:val="005E4D3E"/>
    <w:rsid w:val="005E5550"/>
    <w:rsid w:val="005E5956"/>
    <w:rsid w:val="005E5E9E"/>
    <w:rsid w:val="005E6A4F"/>
    <w:rsid w:val="005F303D"/>
    <w:rsid w:val="005F3F4C"/>
    <w:rsid w:val="005F4C38"/>
    <w:rsid w:val="005F4CC5"/>
    <w:rsid w:val="005F6288"/>
    <w:rsid w:val="005F6EF3"/>
    <w:rsid w:val="005F71FD"/>
    <w:rsid w:val="005F798E"/>
    <w:rsid w:val="00600530"/>
    <w:rsid w:val="00601432"/>
    <w:rsid w:val="006018AB"/>
    <w:rsid w:val="0060383A"/>
    <w:rsid w:val="00603F52"/>
    <w:rsid w:val="00604A6C"/>
    <w:rsid w:val="006059BF"/>
    <w:rsid w:val="00606827"/>
    <w:rsid w:val="00606E63"/>
    <w:rsid w:val="00610C7E"/>
    <w:rsid w:val="00610E7F"/>
    <w:rsid w:val="00610F31"/>
    <w:rsid w:val="00611233"/>
    <w:rsid w:val="00612382"/>
    <w:rsid w:val="00613741"/>
    <w:rsid w:val="00614507"/>
    <w:rsid w:val="00615E70"/>
    <w:rsid w:val="006162AF"/>
    <w:rsid w:val="0062047E"/>
    <w:rsid w:val="006210E2"/>
    <w:rsid w:val="00621706"/>
    <w:rsid w:val="0062222E"/>
    <w:rsid w:val="00623467"/>
    <w:rsid w:val="00623AAD"/>
    <w:rsid w:val="00624AA6"/>
    <w:rsid w:val="00624FA9"/>
    <w:rsid w:val="006256A4"/>
    <w:rsid w:val="00625FAC"/>
    <w:rsid w:val="0062667F"/>
    <w:rsid w:val="006266C9"/>
    <w:rsid w:val="00627317"/>
    <w:rsid w:val="006301F1"/>
    <w:rsid w:val="006302B7"/>
    <w:rsid w:val="00630637"/>
    <w:rsid w:val="00630859"/>
    <w:rsid w:val="00632085"/>
    <w:rsid w:val="0063233C"/>
    <w:rsid w:val="00632412"/>
    <w:rsid w:val="00632492"/>
    <w:rsid w:val="00633121"/>
    <w:rsid w:val="00635EE9"/>
    <w:rsid w:val="00636D8A"/>
    <w:rsid w:val="00640C94"/>
    <w:rsid w:val="0064158B"/>
    <w:rsid w:val="006419D3"/>
    <w:rsid w:val="00641DE2"/>
    <w:rsid w:val="00643D25"/>
    <w:rsid w:val="00643FD4"/>
    <w:rsid w:val="00644EBD"/>
    <w:rsid w:val="0064566B"/>
    <w:rsid w:val="0064578A"/>
    <w:rsid w:val="006465E8"/>
    <w:rsid w:val="006478AD"/>
    <w:rsid w:val="00650E9A"/>
    <w:rsid w:val="00651A97"/>
    <w:rsid w:val="00651BB6"/>
    <w:rsid w:val="0065220E"/>
    <w:rsid w:val="006535EE"/>
    <w:rsid w:val="0065362C"/>
    <w:rsid w:val="00653709"/>
    <w:rsid w:val="006551DF"/>
    <w:rsid w:val="00655BC8"/>
    <w:rsid w:val="00655E2C"/>
    <w:rsid w:val="006577DC"/>
    <w:rsid w:val="00660135"/>
    <w:rsid w:val="006604CA"/>
    <w:rsid w:val="006629E2"/>
    <w:rsid w:val="00664BF9"/>
    <w:rsid w:val="006655D5"/>
    <w:rsid w:val="00665A66"/>
    <w:rsid w:val="0066672F"/>
    <w:rsid w:val="0066692D"/>
    <w:rsid w:val="00667E0D"/>
    <w:rsid w:val="00670017"/>
    <w:rsid w:val="006704D5"/>
    <w:rsid w:val="00670986"/>
    <w:rsid w:val="00670EBB"/>
    <w:rsid w:val="006713B0"/>
    <w:rsid w:val="00671F1C"/>
    <w:rsid w:val="00672582"/>
    <w:rsid w:val="00673242"/>
    <w:rsid w:val="00674392"/>
    <w:rsid w:val="0067484B"/>
    <w:rsid w:val="00676DFA"/>
    <w:rsid w:val="00677420"/>
    <w:rsid w:val="0068145F"/>
    <w:rsid w:val="006824C7"/>
    <w:rsid w:val="00683DA9"/>
    <w:rsid w:val="00683E97"/>
    <w:rsid w:val="00690536"/>
    <w:rsid w:val="00690728"/>
    <w:rsid w:val="0069088B"/>
    <w:rsid w:val="00691E3E"/>
    <w:rsid w:val="00695498"/>
    <w:rsid w:val="00695C36"/>
    <w:rsid w:val="00695E68"/>
    <w:rsid w:val="0069623F"/>
    <w:rsid w:val="006963FD"/>
    <w:rsid w:val="0069663A"/>
    <w:rsid w:val="00697945"/>
    <w:rsid w:val="00697B8A"/>
    <w:rsid w:val="006A0C51"/>
    <w:rsid w:val="006A1A14"/>
    <w:rsid w:val="006A1E5A"/>
    <w:rsid w:val="006A2497"/>
    <w:rsid w:val="006A389D"/>
    <w:rsid w:val="006A58B6"/>
    <w:rsid w:val="006B16ED"/>
    <w:rsid w:val="006B24A2"/>
    <w:rsid w:val="006B2979"/>
    <w:rsid w:val="006B4049"/>
    <w:rsid w:val="006B4D8C"/>
    <w:rsid w:val="006B4FF6"/>
    <w:rsid w:val="006B55AD"/>
    <w:rsid w:val="006B5733"/>
    <w:rsid w:val="006B5885"/>
    <w:rsid w:val="006B7406"/>
    <w:rsid w:val="006B7D07"/>
    <w:rsid w:val="006C0550"/>
    <w:rsid w:val="006C2A1D"/>
    <w:rsid w:val="006C3408"/>
    <w:rsid w:val="006C4453"/>
    <w:rsid w:val="006C4E17"/>
    <w:rsid w:val="006C5023"/>
    <w:rsid w:val="006C5A5C"/>
    <w:rsid w:val="006C6251"/>
    <w:rsid w:val="006C7413"/>
    <w:rsid w:val="006D0595"/>
    <w:rsid w:val="006D1242"/>
    <w:rsid w:val="006D168A"/>
    <w:rsid w:val="006D2995"/>
    <w:rsid w:val="006D2DD4"/>
    <w:rsid w:val="006D30D8"/>
    <w:rsid w:val="006D337E"/>
    <w:rsid w:val="006D4A72"/>
    <w:rsid w:val="006D6B7C"/>
    <w:rsid w:val="006D7093"/>
    <w:rsid w:val="006E0950"/>
    <w:rsid w:val="006E0C0D"/>
    <w:rsid w:val="006E1CDD"/>
    <w:rsid w:val="006E1EF6"/>
    <w:rsid w:val="006E2B4F"/>
    <w:rsid w:val="006E3B58"/>
    <w:rsid w:val="006E4812"/>
    <w:rsid w:val="006E5605"/>
    <w:rsid w:val="006E5A32"/>
    <w:rsid w:val="006E62F2"/>
    <w:rsid w:val="006E73B4"/>
    <w:rsid w:val="006E7410"/>
    <w:rsid w:val="006F1D55"/>
    <w:rsid w:val="006F2E02"/>
    <w:rsid w:val="006F48E2"/>
    <w:rsid w:val="006F4A5D"/>
    <w:rsid w:val="006F51F8"/>
    <w:rsid w:val="006F5DE4"/>
    <w:rsid w:val="006F71C3"/>
    <w:rsid w:val="006F71F9"/>
    <w:rsid w:val="006F7B90"/>
    <w:rsid w:val="006F7E62"/>
    <w:rsid w:val="006F7E6A"/>
    <w:rsid w:val="0070022F"/>
    <w:rsid w:val="007004F6"/>
    <w:rsid w:val="00700F69"/>
    <w:rsid w:val="00701E88"/>
    <w:rsid w:val="0070234B"/>
    <w:rsid w:val="00705A8B"/>
    <w:rsid w:val="00706C47"/>
    <w:rsid w:val="00706FA8"/>
    <w:rsid w:val="0070743E"/>
    <w:rsid w:val="0070777A"/>
    <w:rsid w:val="00710593"/>
    <w:rsid w:val="00711E37"/>
    <w:rsid w:val="00711E53"/>
    <w:rsid w:val="00712395"/>
    <w:rsid w:val="0071296D"/>
    <w:rsid w:val="00713748"/>
    <w:rsid w:val="00713A5F"/>
    <w:rsid w:val="00714281"/>
    <w:rsid w:val="007151D8"/>
    <w:rsid w:val="0071522F"/>
    <w:rsid w:val="00715643"/>
    <w:rsid w:val="007171C2"/>
    <w:rsid w:val="00717A02"/>
    <w:rsid w:val="007204ED"/>
    <w:rsid w:val="0072090B"/>
    <w:rsid w:val="00722C54"/>
    <w:rsid w:val="00722DC8"/>
    <w:rsid w:val="00726962"/>
    <w:rsid w:val="007270C3"/>
    <w:rsid w:val="007276E9"/>
    <w:rsid w:val="00730295"/>
    <w:rsid w:val="00731F66"/>
    <w:rsid w:val="007344F5"/>
    <w:rsid w:val="00734E76"/>
    <w:rsid w:val="00735292"/>
    <w:rsid w:val="00735808"/>
    <w:rsid w:val="00735E29"/>
    <w:rsid w:val="00741836"/>
    <w:rsid w:val="00741EB2"/>
    <w:rsid w:val="007424C9"/>
    <w:rsid w:val="00742510"/>
    <w:rsid w:val="007426A6"/>
    <w:rsid w:val="00742F5C"/>
    <w:rsid w:val="0074418D"/>
    <w:rsid w:val="007441F2"/>
    <w:rsid w:val="00744344"/>
    <w:rsid w:val="0074591E"/>
    <w:rsid w:val="00747095"/>
    <w:rsid w:val="00747CA4"/>
    <w:rsid w:val="00750971"/>
    <w:rsid w:val="007510C3"/>
    <w:rsid w:val="00753F8B"/>
    <w:rsid w:val="0075479F"/>
    <w:rsid w:val="00755028"/>
    <w:rsid w:val="007553E7"/>
    <w:rsid w:val="00755AF3"/>
    <w:rsid w:val="007561DB"/>
    <w:rsid w:val="007565EB"/>
    <w:rsid w:val="00756645"/>
    <w:rsid w:val="00757466"/>
    <w:rsid w:val="007603B7"/>
    <w:rsid w:val="007606BB"/>
    <w:rsid w:val="00760AED"/>
    <w:rsid w:val="007625C5"/>
    <w:rsid w:val="00762B48"/>
    <w:rsid w:val="007638CA"/>
    <w:rsid w:val="007647D8"/>
    <w:rsid w:val="00764A89"/>
    <w:rsid w:val="00764E65"/>
    <w:rsid w:val="00765249"/>
    <w:rsid w:val="00765EC7"/>
    <w:rsid w:val="00765F65"/>
    <w:rsid w:val="007677AC"/>
    <w:rsid w:val="007677F7"/>
    <w:rsid w:val="007678B2"/>
    <w:rsid w:val="00770056"/>
    <w:rsid w:val="00770D36"/>
    <w:rsid w:val="00770F9F"/>
    <w:rsid w:val="00771190"/>
    <w:rsid w:val="0077176B"/>
    <w:rsid w:val="00772452"/>
    <w:rsid w:val="00773B8E"/>
    <w:rsid w:val="0077486A"/>
    <w:rsid w:val="00774CC4"/>
    <w:rsid w:val="0077552C"/>
    <w:rsid w:val="00775D4C"/>
    <w:rsid w:val="007771AF"/>
    <w:rsid w:val="0077795A"/>
    <w:rsid w:val="00780620"/>
    <w:rsid w:val="0078396F"/>
    <w:rsid w:val="00783EFA"/>
    <w:rsid w:val="007847AD"/>
    <w:rsid w:val="00784BE0"/>
    <w:rsid w:val="00786A82"/>
    <w:rsid w:val="00786B06"/>
    <w:rsid w:val="00790231"/>
    <w:rsid w:val="00790C2E"/>
    <w:rsid w:val="00790CF0"/>
    <w:rsid w:val="00792F64"/>
    <w:rsid w:val="007935FD"/>
    <w:rsid w:val="00795ACD"/>
    <w:rsid w:val="00797BCF"/>
    <w:rsid w:val="007A00EA"/>
    <w:rsid w:val="007A06B8"/>
    <w:rsid w:val="007A0AF0"/>
    <w:rsid w:val="007A0FB2"/>
    <w:rsid w:val="007A18C1"/>
    <w:rsid w:val="007A48EF"/>
    <w:rsid w:val="007A5473"/>
    <w:rsid w:val="007A56D3"/>
    <w:rsid w:val="007A7B27"/>
    <w:rsid w:val="007A7B87"/>
    <w:rsid w:val="007A7CC6"/>
    <w:rsid w:val="007A7F22"/>
    <w:rsid w:val="007B2953"/>
    <w:rsid w:val="007B2EBB"/>
    <w:rsid w:val="007B3A6C"/>
    <w:rsid w:val="007B40E6"/>
    <w:rsid w:val="007B4B16"/>
    <w:rsid w:val="007B67F5"/>
    <w:rsid w:val="007B740F"/>
    <w:rsid w:val="007B768A"/>
    <w:rsid w:val="007C0526"/>
    <w:rsid w:val="007C0982"/>
    <w:rsid w:val="007C0A91"/>
    <w:rsid w:val="007C1307"/>
    <w:rsid w:val="007C1490"/>
    <w:rsid w:val="007C17DE"/>
    <w:rsid w:val="007C25A8"/>
    <w:rsid w:val="007C3F83"/>
    <w:rsid w:val="007C4FEA"/>
    <w:rsid w:val="007C64F0"/>
    <w:rsid w:val="007C6B80"/>
    <w:rsid w:val="007D24D2"/>
    <w:rsid w:val="007D2890"/>
    <w:rsid w:val="007D2BC5"/>
    <w:rsid w:val="007D319E"/>
    <w:rsid w:val="007D51D8"/>
    <w:rsid w:val="007D7434"/>
    <w:rsid w:val="007E158F"/>
    <w:rsid w:val="007E1E09"/>
    <w:rsid w:val="007E26FC"/>
    <w:rsid w:val="007E2E6E"/>
    <w:rsid w:val="007E3C7D"/>
    <w:rsid w:val="007E5BDB"/>
    <w:rsid w:val="007E5E73"/>
    <w:rsid w:val="007E6A1E"/>
    <w:rsid w:val="007E6EB2"/>
    <w:rsid w:val="007E70F8"/>
    <w:rsid w:val="007E7576"/>
    <w:rsid w:val="007F098A"/>
    <w:rsid w:val="007F149F"/>
    <w:rsid w:val="007F271E"/>
    <w:rsid w:val="007F3676"/>
    <w:rsid w:val="007F36DE"/>
    <w:rsid w:val="007F3855"/>
    <w:rsid w:val="007F44C2"/>
    <w:rsid w:val="007F5729"/>
    <w:rsid w:val="007F577F"/>
    <w:rsid w:val="007F5F2A"/>
    <w:rsid w:val="007F6DB5"/>
    <w:rsid w:val="007F6E51"/>
    <w:rsid w:val="007F6F8F"/>
    <w:rsid w:val="007F78F4"/>
    <w:rsid w:val="007F79D0"/>
    <w:rsid w:val="007F7AB4"/>
    <w:rsid w:val="00801324"/>
    <w:rsid w:val="0080138D"/>
    <w:rsid w:val="00801982"/>
    <w:rsid w:val="00801EA3"/>
    <w:rsid w:val="00801EC0"/>
    <w:rsid w:val="008027AE"/>
    <w:rsid w:val="00803850"/>
    <w:rsid w:val="00805842"/>
    <w:rsid w:val="008058B3"/>
    <w:rsid w:val="00807393"/>
    <w:rsid w:val="00812C1C"/>
    <w:rsid w:val="0081370D"/>
    <w:rsid w:val="00813C64"/>
    <w:rsid w:val="00814B55"/>
    <w:rsid w:val="00814BC8"/>
    <w:rsid w:val="008169BE"/>
    <w:rsid w:val="008175A8"/>
    <w:rsid w:val="0081788C"/>
    <w:rsid w:val="00817A41"/>
    <w:rsid w:val="00817B08"/>
    <w:rsid w:val="00820317"/>
    <w:rsid w:val="00820632"/>
    <w:rsid w:val="0082097C"/>
    <w:rsid w:val="00821780"/>
    <w:rsid w:val="00821A5B"/>
    <w:rsid w:val="00821F8F"/>
    <w:rsid w:val="00822E7B"/>
    <w:rsid w:val="00824F93"/>
    <w:rsid w:val="00825262"/>
    <w:rsid w:val="00825B36"/>
    <w:rsid w:val="0082644A"/>
    <w:rsid w:val="00827012"/>
    <w:rsid w:val="00827CB5"/>
    <w:rsid w:val="00830AA9"/>
    <w:rsid w:val="008314E3"/>
    <w:rsid w:val="00832240"/>
    <w:rsid w:val="0083371A"/>
    <w:rsid w:val="00833E98"/>
    <w:rsid w:val="008346DD"/>
    <w:rsid w:val="00834772"/>
    <w:rsid w:val="008354D3"/>
    <w:rsid w:val="00835704"/>
    <w:rsid w:val="00835DE9"/>
    <w:rsid w:val="00836428"/>
    <w:rsid w:val="00836EA4"/>
    <w:rsid w:val="00837808"/>
    <w:rsid w:val="008409F2"/>
    <w:rsid w:val="00840F9F"/>
    <w:rsid w:val="008416C7"/>
    <w:rsid w:val="00842194"/>
    <w:rsid w:val="008447DF"/>
    <w:rsid w:val="00844CD6"/>
    <w:rsid w:val="00845453"/>
    <w:rsid w:val="008458E6"/>
    <w:rsid w:val="0084627E"/>
    <w:rsid w:val="00846B1F"/>
    <w:rsid w:val="00846C61"/>
    <w:rsid w:val="00847A52"/>
    <w:rsid w:val="00853381"/>
    <w:rsid w:val="00853A20"/>
    <w:rsid w:val="008558B8"/>
    <w:rsid w:val="00857FEC"/>
    <w:rsid w:val="0086051E"/>
    <w:rsid w:val="00860AB9"/>
    <w:rsid w:val="00861042"/>
    <w:rsid w:val="00861BDA"/>
    <w:rsid w:val="00861BF9"/>
    <w:rsid w:val="008637DA"/>
    <w:rsid w:val="00863B11"/>
    <w:rsid w:val="00866CC6"/>
    <w:rsid w:val="008674B2"/>
    <w:rsid w:val="008674B9"/>
    <w:rsid w:val="00867D55"/>
    <w:rsid w:val="00871355"/>
    <w:rsid w:val="00871389"/>
    <w:rsid w:val="0087147E"/>
    <w:rsid w:val="00873C2E"/>
    <w:rsid w:val="00873F19"/>
    <w:rsid w:val="0087680D"/>
    <w:rsid w:val="00877328"/>
    <w:rsid w:val="008778AE"/>
    <w:rsid w:val="00880353"/>
    <w:rsid w:val="008807E6"/>
    <w:rsid w:val="008828F0"/>
    <w:rsid w:val="00882DAF"/>
    <w:rsid w:val="00882F9D"/>
    <w:rsid w:val="00883886"/>
    <w:rsid w:val="0088452F"/>
    <w:rsid w:val="008846A7"/>
    <w:rsid w:val="00884953"/>
    <w:rsid w:val="00884B8C"/>
    <w:rsid w:val="008850E5"/>
    <w:rsid w:val="00885229"/>
    <w:rsid w:val="0088560A"/>
    <w:rsid w:val="00886A6B"/>
    <w:rsid w:val="00890389"/>
    <w:rsid w:val="008905FC"/>
    <w:rsid w:val="00890978"/>
    <w:rsid w:val="0089101D"/>
    <w:rsid w:val="0089167C"/>
    <w:rsid w:val="00891978"/>
    <w:rsid w:val="00891C03"/>
    <w:rsid w:val="00893135"/>
    <w:rsid w:val="00894D6D"/>
    <w:rsid w:val="00895008"/>
    <w:rsid w:val="00895A2D"/>
    <w:rsid w:val="0089667E"/>
    <w:rsid w:val="0089766C"/>
    <w:rsid w:val="00897803"/>
    <w:rsid w:val="008A0059"/>
    <w:rsid w:val="008A0183"/>
    <w:rsid w:val="008A1D05"/>
    <w:rsid w:val="008A231A"/>
    <w:rsid w:val="008A2B1C"/>
    <w:rsid w:val="008A2C2A"/>
    <w:rsid w:val="008A4C74"/>
    <w:rsid w:val="008A5AFA"/>
    <w:rsid w:val="008A5CFC"/>
    <w:rsid w:val="008A5E39"/>
    <w:rsid w:val="008A68CB"/>
    <w:rsid w:val="008A6946"/>
    <w:rsid w:val="008A71B1"/>
    <w:rsid w:val="008B084A"/>
    <w:rsid w:val="008B143D"/>
    <w:rsid w:val="008B20FD"/>
    <w:rsid w:val="008B28BE"/>
    <w:rsid w:val="008B37A4"/>
    <w:rsid w:val="008B3BA4"/>
    <w:rsid w:val="008B5114"/>
    <w:rsid w:val="008B624C"/>
    <w:rsid w:val="008B6629"/>
    <w:rsid w:val="008B67F0"/>
    <w:rsid w:val="008B6A70"/>
    <w:rsid w:val="008B73BA"/>
    <w:rsid w:val="008C04FD"/>
    <w:rsid w:val="008C090E"/>
    <w:rsid w:val="008C0FA1"/>
    <w:rsid w:val="008C17C5"/>
    <w:rsid w:val="008C17E1"/>
    <w:rsid w:val="008C244A"/>
    <w:rsid w:val="008C2C1B"/>
    <w:rsid w:val="008C3000"/>
    <w:rsid w:val="008C4BD7"/>
    <w:rsid w:val="008C5125"/>
    <w:rsid w:val="008C7CDE"/>
    <w:rsid w:val="008D029C"/>
    <w:rsid w:val="008D0D84"/>
    <w:rsid w:val="008D1473"/>
    <w:rsid w:val="008D194F"/>
    <w:rsid w:val="008D2664"/>
    <w:rsid w:val="008D35D0"/>
    <w:rsid w:val="008D3C1A"/>
    <w:rsid w:val="008D3DE5"/>
    <w:rsid w:val="008D3F6A"/>
    <w:rsid w:val="008D551D"/>
    <w:rsid w:val="008D5BCB"/>
    <w:rsid w:val="008D665A"/>
    <w:rsid w:val="008D6775"/>
    <w:rsid w:val="008D6795"/>
    <w:rsid w:val="008D6C5A"/>
    <w:rsid w:val="008D70BE"/>
    <w:rsid w:val="008D7C6A"/>
    <w:rsid w:val="008E022F"/>
    <w:rsid w:val="008E090D"/>
    <w:rsid w:val="008E0E3D"/>
    <w:rsid w:val="008E2081"/>
    <w:rsid w:val="008E2A0C"/>
    <w:rsid w:val="008E499A"/>
    <w:rsid w:val="008E51AD"/>
    <w:rsid w:val="008E6414"/>
    <w:rsid w:val="008F17A2"/>
    <w:rsid w:val="008F1BAF"/>
    <w:rsid w:val="008F4672"/>
    <w:rsid w:val="008F5268"/>
    <w:rsid w:val="008F5892"/>
    <w:rsid w:val="008F6DB8"/>
    <w:rsid w:val="008F769E"/>
    <w:rsid w:val="00900286"/>
    <w:rsid w:val="009004F8"/>
    <w:rsid w:val="009013CA"/>
    <w:rsid w:val="00901EBF"/>
    <w:rsid w:val="00902EAD"/>
    <w:rsid w:val="00903616"/>
    <w:rsid w:val="009036B9"/>
    <w:rsid w:val="00903AE2"/>
    <w:rsid w:val="00904426"/>
    <w:rsid w:val="00904646"/>
    <w:rsid w:val="00904852"/>
    <w:rsid w:val="00906811"/>
    <w:rsid w:val="0091017F"/>
    <w:rsid w:val="00911396"/>
    <w:rsid w:val="00912449"/>
    <w:rsid w:val="009128D2"/>
    <w:rsid w:val="0091296F"/>
    <w:rsid w:val="00912F01"/>
    <w:rsid w:val="0091305B"/>
    <w:rsid w:val="009134BF"/>
    <w:rsid w:val="00913EBE"/>
    <w:rsid w:val="00914273"/>
    <w:rsid w:val="00916022"/>
    <w:rsid w:val="00916746"/>
    <w:rsid w:val="009214F1"/>
    <w:rsid w:val="0092211B"/>
    <w:rsid w:val="009222BF"/>
    <w:rsid w:val="00922AAE"/>
    <w:rsid w:val="00922E34"/>
    <w:rsid w:val="0092319A"/>
    <w:rsid w:val="00924CA9"/>
    <w:rsid w:val="00925C7F"/>
    <w:rsid w:val="00926010"/>
    <w:rsid w:val="009265A9"/>
    <w:rsid w:val="00926EC8"/>
    <w:rsid w:val="00926F75"/>
    <w:rsid w:val="00927A43"/>
    <w:rsid w:val="00930000"/>
    <w:rsid w:val="009311A4"/>
    <w:rsid w:val="00932237"/>
    <w:rsid w:val="00932893"/>
    <w:rsid w:val="009330ED"/>
    <w:rsid w:val="009339ED"/>
    <w:rsid w:val="00933B36"/>
    <w:rsid w:val="009357C3"/>
    <w:rsid w:val="00936A77"/>
    <w:rsid w:val="00941D89"/>
    <w:rsid w:val="00941DE4"/>
    <w:rsid w:val="0094256C"/>
    <w:rsid w:val="00945111"/>
    <w:rsid w:val="0094556D"/>
    <w:rsid w:val="00945C31"/>
    <w:rsid w:val="009464F6"/>
    <w:rsid w:val="00947C98"/>
    <w:rsid w:val="00952E0B"/>
    <w:rsid w:val="0095322F"/>
    <w:rsid w:val="00953661"/>
    <w:rsid w:val="0095579D"/>
    <w:rsid w:val="00956D89"/>
    <w:rsid w:val="0095754C"/>
    <w:rsid w:val="00960179"/>
    <w:rsid w:val="00961808"/>
    <w:rsid w:val="00961822"/>
    <w:rsid w:val="00962F35"/>
    <w:rsid w:val="009648B3"/>
    <w:rsid w:val="00967329"/>
    <w:rsid w:val="00971323"/>
    <w:rsid w:val="00971B64"/>
    <w:rsid w:val="00972402"/>
    <w:rsid w:val="00972CEF"/>
    <w:rsid w:val="00973C92"/>
    <w:rsid w:val="009745CB"/>
    <w:rsid w:val="00977129"/>
    <w:rsid w:val="0097747E"/>
    <w:rsid w:val="009774EB"/>
    <w:rsid w:val="009777D5"/>
    <w:rsid w:val="00981042"/>
    <w:rsid w:val="0098187B"/>
    <w:rsid w:val="009819FE"/>
    <w:rsid w:val="00981ADC"/>
    <w:rsid w:val="00982097"/>
    <w:rsid w:val="009848EE"/>
    <w:rsid w:val="009868CD"/>
    <w:rsid w:val="00987102"/>
    <w:rsid w:val="00987160"/>
    <w:rsid w:val="00990002"/>
    <w:rsid w:val="00990909"/>
    <w:rsid w:val="00991A11"/>
    <w:rsid w:val="00991A9D"/>
    <w:rsid w:val="00992047"/>
    <w:rsid w:val="0099221E"/>
    <w:rsid w:val="00993816"/>
    <w:rsid w:val="00994495"/>
    <w:rsid w:val="00994BC6"/>
    <w:rsid w:val="00994BD3"/>
    <w:rsid w:val="009954D6"/>
    <w:rsid w:val="009959A9"/>
    <w:rsid w:val="00996608"/>
    <w:rsid w:val="00996970"/>
    <w:rsid w:val="00997BAD"/>
    <w:rsid w:val="009A077B"/>
    <w:rsid w:val="009A1212"/>
    <w:rsid w:val="009A3F88"/>
    <w:rsid w:val="009A4E06"/>
    <w:rsid w:val="009A50B7"/>
    <w:rsid w:val="009A5411"/>
    <w:rsid w:val="009A561C"/>
    <w:rsid w:val="009A7236"/>
    <w:rsid w:val="009A7984"/>
    <w:rsid w:val="009B13C4"/>
    <w:rsid w:val="009B2349"/>
    <w:rsid w:val="009B2777"/>
    <w:rsid w:val="009B2CB9"/>
    <w:rsid w:val="009B3E59"/>
    <w:rsid w:val="009B491C"/>
    <w:rsid w:val="009B4C30"/>
    <w:rsid w:val="009B4F57"/>
    <w:rsid w:val="009B5D6F"/>
    <w:rsid w:val="009B5EAD"/>
    <w:rsid w:val="009B5F47"/>
    <w:rsid w:val="009B6FEB"/>
    <w:rsid w:val="009C063B"/>
    <w:rsid w:val="009C18EA"/>
    <w:rsid w:val="009C2D84"/>
    <w:rsid w:val="009C4006"/>
    <w:rsid w:val="009C4480"/>
    <w:rsid w:val="009C4606"/>
    <w:rsid w:val="009C47AD"/>
    <w:rsid w:val="009C5234"/>
    <w:rsid w:val="009C590F"/>
    <w:rsid w:val="009C5C91"/>
    <w:rsid w:val="009C620C"/>
    <w:rsid w:val="009C779C"/>
    <w:rsid w:val="009C7EB6"/>
    <w:rsid w:val="009D0539"/>
    <w:rsid w:val="009D3BB4"/>
    <w:rsid w:val="009D3F3B"/>
    <w:rsid w:val="009D407C"/>
    <w:rsid w:val="009D431B"/>
    <w:rsid w:val="009D543F"/>
    <w:rsid w:val="009D578D"/>
    <w:rsid w:val="009D6F03"/>
    <w:rsid w:val="009D7280"/>
    <w:rsid w:val="009E12DA"/>
    <w:rsid w:val="009E293E"/>
    <w:rsid w:val="009E2B7E"/>
    <w:rsid w:val="009E2B9A"/>
    <w:rsid w:val="009E3D0B"/>
    <w:rsid w:val="009E44FC"/>
    <w:rsid w:val="009E4DD5"/>
    <w:rsid w:val="009E5EE7"/>
    <w:rsid w:val="009E7BFE"/>
    <w:rsid w:val="009F13A3"/>
    <w:rsid w:val="009F1772"/>
    <w:rsid w:val="009F2D58"/>
    <w:rsid w:val="009F45E2"/>
    <w:rsid w:val="009F4F60"/>
    <w:rsid w:val="009F5F60"/>
    <w:rsid w:val="009F6FC6"/>
    <w:rsid w:val="009F7366"/>
    <w:rsid w:val="009F776A"/>
    <w:rsid w:val="00A00BF7"/>
    <w:rsid w:val="00A01648"/>
    <w:rsid w:val="00A0267C"/>
    <w:rsid w:val="00A02C68"/>
    <w:rsid w:val="00A03A9E"/>
    <w:rsid w:val="00A05BC7"/>
    <w:rsid w:val="00A069E9"/>
    <w:rsid w:val="00A10A3B"/>
    <w:rsid w:val="00A12228"/>
    <w:rsid w:val="00A1242C"/>
    <w:rsid w:val="00A12BBE"/>
    <w:rsid w:val="00A12BD3"/>
    <w:rsid w:val="00A1459F"/>
    <w:rsid w:val="00A15017"/>
    <w:rsid w:val="00A159C1"/>
    <w:rsid w:val="00A164BB"/>
    <w:rsid w:val="00A1704E"/>
    <w:rsid w:val="00A201C3"/>
    <w:rsid w:val="00A204A9"/>
    <w:rsid w:val="00A20D0F"/>
    <w:rsid w:val="00A21039"/>
    <w:rsid w:val="00A2250E"/>
    <w:rsid w:val="00A24C4F"/>
    <w:rsid w:val="00A25974"/>
    <w:rsid w:val="00A262BB"/>
    <w:rsid w:val="00A26398"/>
    <w:rsid w:val="00A267B8"/>
    <w:rsid w:val="00A26F26"/>
    <w:rsid w:val="00A27E46"/>
    <w:rsid w:val="00A30FE5"/>
    <w:rsid w:val="00A31FBE"/>
    <w:rsid w:val="00A3238A"/>
    <w:rsid w:val="00A34044"/>
    <w:rsid w:val="00A35A98"/>
    <w:rsid w:val="00A35E71"/>
    <w:rsid w:val="00A36502"/>
    <w:rsid w:val="00A3688E"/>
    <w:rsid w:val="00A374C2"/>
    <w:rsid w:val="00A3796C"/>
    <w:rsid w:val="00A402B4"/>
    <w:rsid w:val="00A40A0B"/>
    <w:rsid w:val="00A4110E"/>
    <w:rsid w:val="00A42943"/>
    <w:rsid w:val="00A441BE"/>
    <w:rsid w:val="00A445B0"/>
    <w:rsid w:val="00A4555B"/>
    <w:rsid w:val="00A460BA"/>
    <w:rsid w:val="00A468D9"/>
    <w:rsid w:val="00A46952"/>
    <w:rsid w:val="00A4701A"/>
    <w:rsid w:val="00A47B53"/>
    <w:rsid w:val="00A502D9"/>
    <w:rsid w:val="00A51093"/>
    <w:rsid w:val="00A511E1"/>
    <w:rsid w:val="00A51479"/>
    <w:rsid w:val="00A5252C"/>
    <w:rsid w:val="00A530A4"/>
    <w:rsid w:val="00A5509A"/>
    <w:rsid w:val="00A554B2"/>
    <w:rsid w:val="00A56B78"/>
    <w:rsid w:val="00A56E1C"/>
    <w:rsid w:val="00A57109"/>
    <w:rsid w:val="00A578D0"/>
    <w:rsid w:val="00A578FB"/>
    <w:rsid w:val="00A57908"/>
    <w:rsid w:val="00A6107A"/>
    <w:rsid w:val="00A61AB6"/>
    <w:rsid w:val="00A61F56"/>
    <w:rsid w:val="00A645EF"/>
    <w:rsid w:val="00A648D3"/>
    <w:rsid w:val="00A6599C"/>
    <w:rsid w:val="00A65BA4"/>
    <w:rsid w:val="00A65C4A"/>
    <w:rsid w:val="00A665E6"/>
    <w:rsid w:val="00A66C88"/>
    <w:rsid w:val="00A66D71"/>
    <w:rsid w:val="00A70328"/>
    <w:rsid w:val="00A7147D"/>
    <w:rsid w:val="00A724C7"/>
    <w:rsid w:val="00A73630"/>
    <w:rsid w:val="00A7454D"/>
    <w:rsid w:val="00A76ECB"/>
    <w:rsid w:val="00A80CF7"/>
    <w:rsid w:val="00A818A4"/>
    <w:rsid w:val="00A8348E"/>
    <w:rsid w:val="00A852DE"/>
    <w:rsid w:val="00A859D7"/>
    <w:rsid w:val="00A85CD2"/>
    <w:rsid w:val="00A8696F"/>
    <w:rsid w:val="00A924E9"/>
    <w:rsid w:val="00A9312A"/>
    <w:rsid w:val="00A931A7"/>
    <w:rsid w:val="00A938D5"/>
    <w:rsid w:val="00A93DB9"/>
    <w:rsid w:val="00A94E59"/>
    <w:rsid w:val="00A959BE"/>
    <w:rsid w:val="00A97B06"/>
    <w:rsid w:val="00AA1A82"/>
    <w:rsid w:val="00AA2F64"/>
    <w:rsid w:val="00AA3513"/>
    <w:rsid w:val="00AA3FC8"/>
    <w:rsid w:val="00AA419F"/>
    <w:rsid w:val="00AA464C"/>
    <w:rsid w:val="00AA53AB"/>
    <w:rsid w:val="00AA57C6"/>
    <w:rsid w:val="00AA6356"/>
    <w:rsid w:val="00AA64CF"/>
    <w:rsid w:val="00AA659B"/>
    <w:rsid w:val="00AA6BBF"/>
    <w:rsid w:val="00AB04E5"/>
    <w:rsid w:val="00AB0D6B"/>
    <w:rsid w:val="00AB16CB"/>
    <w:rsid w:val="00AB1836"/>
    <w:rsid w:val="00AB1C99"/>
    <w:rsid w:val="00AB1F0C"/>
    <w:rsid w:val="00AB1F5D"/>
    <w:rsid w:val="00AB6801"/>
    <w:rsid w:val="00AB6FBA"/>
    <w:rsid w:val="00AB714F"/>
    <w:rsid w:val="00AC37A3"/>
    <w:rsid w:val="00AC47C3"/>
    <w:rsid w:val="00AC4BE2"/>
    <w:rsid w:val="00AC4FB5"/>
    <w:rsid w:val="00AC6526"/>
    <w:rsid w:val="00AC6696"/>
    <w:rsid w:val="00AC6779"/>
    <w:rsid w:val="00AC67B6"/>
    <w:rsid w:val="00AC69D9"/>
    <w:rsid w:val="00AC6D11"/>
    <w:rsid w:val="00AC6F57"/>
    <w:rsid w:val="00AC730B"/>
    <w:rsid w:val="00AC7E01"/>
    <w:rsid w:val="00AD04DB"/>
    <w:rsid w:val="00AD426C"/>
    <w:rsid w:val="00AD5CF3"/>
    <w:rsid w:val="00AD6A96"/>
    <w:rsid w:val="00AE0C44"/>
    <w:rsid w:val="00AE134F"/>
    <w:rsid w:val="00AE1C79"/>
    <w:rsid w:val="00AE1E9D"/>
    <w:rsid w:val="00AE1FFA"/>
    <w:rsid w:val="00AE2598"/>
    <w:rsid w:val="00AE2649"/>
    <w:rsid w:val="00AE27CD"/>
    <w:rsid w:val="00AE36C4"/>
    <w:rsid w:val="00AE3AA3"/>
    <w:rsid w:val="00AE3CCF"/>
    <w:rsid w:val="00AE5270"/>
    <w:rsid w:val="00AE5917"/>
    <w:rsid w:val="00AE6137"/>
    <w:rsid w:val="00AE780E"/>
    <w:rsid w:val="00AE7A91"/>
    <w:rsid w:val="00AE7E84"/>
    <w:rsid w:val="00AF012F"/>
    <w:rsid w:val="00AF0228"/>
    <w:rsid w:val="00AF099D"/>
    <w:rsid w:val="00AF0F13"/>
    <w:rsid w:val="00AF11E5"/>
    <w:rsid w:val="00AF166F"/>
    <w:rsid w:val="00AF23D8"/>
    <w:rsid w:val="00AF24CD"/>
    <w:rsid w:val="00AF42DA"/>
    <w:rsid w:val="00AF4457"/>
    <w:rsid w:val="00AF5807"/>
    <w:rsid w:val="00AF70E7"/>
    <w:rsid w:val="00B00E26"/>
    <w:rsid w:val="00B02289"/>
    <w:rsid w:val="00B030B0"/>
    <w:rsid w:val="00B03408"/>
    <w:rsid w:val="00B0360F"/>
    <w:rsid w:val="00B03D83"/>
    <w:rsid w:val="00B05228"/>
    <w:rsid w:val="00B059AC"/>
    <w:rsid w:val="00B06F8B"/>
    <w:rsid w:val="00B11A16"/>
    <w:rsid w:val="00B12AE4"/>
    <w:rsid w:val="00B13521"/>
    <w:rsid w:val="00B14014"/>
    <w:rsid w:val="00B151BE"/>
    <w:rsid w:val="00B1558B"/>
    <w:rsid w:val="00B1596A"/>
    <w:rsid w:val="00B16469"/>
    <w:rsid w:val="00B170ED"/>
    <w:rsid w:val="00B17B2B"/>
    <w:rsid w:val="00B211A0"/>
    <w:rsid w:val="00B21629"/>
    <w:rsid w:val="00B218EF"/>
    <w:rsid w:val="00B21E97"/>
    <w:rsid w:val="00B21F5B"/>
    <w:rsid w:val="00B238B3"/>
    <w:rsid w:val="00B24185"/>
    <w:rsid w:val="00B2449A"/>
    <w:rsid w:val="00B249C6"/>
    <w:rsid w:val="00B24E7A"/>
    <w:rsid w:val="00B24F23"/>
    <w:rsid w:val="00B27267"/>
    <w:rsid w:val="00B276ED"/>
    <w:rsid w:val="00B31B79"/>
    <w:rsid w:val="00B32BE9"/>
    <w:rsid w:val="00B33324"/>
    <w:rsid w:val="00B33886"/>
    <w:rsid w:val="00B35D2D"/>
    <w:rsid w:val="00B37403"/>
    <w:rsid w:val="00B406C2"/>
    <w:rsid w:val="00B41E50"/>
    <w:rsid w:val="00B421D6"/>
    <w:rsid w:val="00B4238E"/>
    <w:rsid w:val="00B42A2E"/>
    <w:rsid w:val="00B431EF"/>
    <w:rsid w:val="00B43FD7"/>
    <w:rsid w:val="00B457E0"/>
    <w:rsid w:val="00B463F7"/>
    <w:rsid w:val="00B46F34"/>
    <w:rsid w:val="00B47CEB"/>
    <w:rsid w:val="00B51002"/>
    <w:rsid w:val="00B51622"/>
    <w:rsid w:val="00B51EB7"/>
    <w:rsid w:val="00B52EB6"/>
    <w:rsid w:val="00B55A40"/>
    <w:rsid w:val="00B55CDD"/>
    <w:rsid w:val="00B57170"/>
    <w:rsid w:val="00B57C65"/>
    <w:rsid w:val="00B57C67"/>
    <w:rsid w:val="00B601F2"/>
    <w:rsid w:val="00B610ED"/>
    <w:rsid w:val="00B61DAD"/>
    <w:rsid w:val="00B61E42"/>
    <w:rsid w:val="00B63471"/>
    <w:rsid w:val="00B63845"/>
    <w:rsid w:val="00B6386D"/>
    <w:rsid w:val="00B63F27"/>
    <w:rsid w:val="00B63F7C"/>
    <w:rsid w:val="00B646D5"/>
    <w:rsid w:val="00B6512D"/>
    <w:rsid w:val="00B65ADB"/>
    <w:rsid w:val="00B671D7"/>
    <w:rsid w:val="00B6767C"/>
    <w:rsid w:val="00B67F61"/>
    <w:rsid w:val="00B700C1"/>
    <w:rsid w:val="00B70F11"/>
    <w:rsid w:val="00B70FE0"/>
    <w:rsid w:val="00B71FD8"/>
    <w:rsid w:val="00B72534"/>
    <w:rsid w:val="00B72996"/>
    <w:rsid w:val="00B72E0B"/>
    <w:rsid w:val="00B73460"/>
    <w:rsid w:val="00B73655"/>
    <w:rsid w:val="00B73998"/>
    <w:rsid w:val="00B73AE3"/>
    <w:rsid w:val="00B74537"/>
    <w:rsid w:val="00B76077"/>
    <w:rsid w:val="00B761E0"/>
    <w:rsid w:val="00B7652D"/>
    <w:rsid w:val="00B80D14"/>
    <w:rsid w:val="00B81279"/>
    <w:rsid w:val="00B836E4"/>
    <w:rsid w:val="00B83868"/>
    <w:rsid w:val="00B861A4"/>
    <w:rsid w:val="00B86F82"/>
    <w:rsid w:val="00B904BD"/>
    <w:rsid w:val="00B90CBA"/>
    <w:rsid w:val="00B91384"/>
    <w:rsid w:val="00B92E60"/>
    <w:rsid w:val="00B92F12"/>
    <w:rsid w:val="00B93CE4"/>
    <w:rsid w:val="00B9411E"/>
    <w:rsid w:val="00B94705"/>
    <w:rsid w:val="00B94E25"/>
    <w:rsid w:val="00B960C2"/>
    <w:rsid w:val="00B96AAB"/>
    <w:rsid w:val="00B97FB7"/>
    <w:rsid w:val="00BA295C"/>
    <w:rsid w:val="00BA29B5"/>
    <w:rsid w:val="00BA2CE5"/>
    <w:rsid w:val="00BA5F01"/>
    <w:rsid w:val="00BA6725"/>
    <w:rsid w:val="00BB0112"/>
    <w:rsid w:val="00BB29FD"/>
    <w:rsid w:val="00BB34AC"/>
    <w:rsid w:val="00BB3799"/>
    <w:rsid w:val="00BB4A51"/>
    <w:rsid w:val="00BB66D4"/>
    <w:rsid w:val="00BB7D74"/>
    <w:rsid w:val="00BC0B03"/>
    <w:rsid w:val="00BC0F9C"/>
    <w:rsid w:val="00BC1545"/>
    <w:rsid w:val="00BC1743"/>
    <w:rsid w:val="00BC1BBC"/>
    <w:rsid w:val="00BC1DD1"/>
    <w:rsid w:val="00BC301F"/>
    <w:rsid w:val="00BC48B1"/>
    <w:rsid w:val="00BC49A0"/>
    <w:rsid w:val="00BC4EA7"/>
    <w:rsid w:val="00BC4F31"/>
    <w:rsid w:val="00BC56E1"/>
    <w:rsid w:val="00BC5793"/>
    <w:rsid w:val="00BC6088"/>
    <w:rsid w:val="00BC6FB7"/>
    <w:rsid w:val="00BC7546"/>
    <w:rsid w:val="00BC759E"/>
    <w:rsid w:val="00BC7A63"/>
    <w:rsid w:val="00BC7DEE"/>
    <w:rsid w:val="00BC7F02"/>
    <w:rsid w:val="00BD11CC"/>
    <w:rsid w:val="00BD12DF"/>
    <w:rsid w:val="00BD1401"/>
    <w:rsid w:val="00BD1F63"/>
    <w:rsid w:val="00BD2674"/>
    <w:rsid w:val="00BD324A"/>
    <w:rsid w:val="00BD3530"/>
    <w:rsid w:val="00BD4416"/>
    <w:rsid w:val="00BD50FD"/>
    <w:rsid w:val="00BD54A2"/>
    <w:rsid w:val="00BD57CA"/>
    <w:rsid w:val="00BD5983"/>
    <w:rsid w:val="00BE16E0"/>
    <w:rsid w:val="00BE2A4E"/>
    <w:rsid w:val="00BE3AE8"/>
    <w:rsid w:val="00BE50DB"/>
    <w:rsid w:val="00BE5F07"/>
    <w:rsid w:val="00BF1275"/>
    <w:rsid w:val="00BF4E02"/>
    <w:rsid w:val="00BF54DC"/>
    <w:rsid w:val="00BF5E46"/>
    <w:rsid w:val="00BF5ED8"/>
    <w:rsid w:val="00BF60F5"/>
    <w:rsid w:val="00BF621E"/>
    <w:rsid w:val="00BF629C"/>
    <w:rsid w:val="00BF69A1"/>
    <w:rsid w:val="00BF69FC"/>
    <w:rsid w:val="00C0447D"/>
    <w:rsid w:val="00C04ACF"/>
    <w:rsid w:val="00C04C66"/>
    <w:rsid w:val="00C07D90"/>
    <w:rsid w:val="00C10010"/>
    <w:rsid w:val="00C1095D"/>
    <w:rsid w:val="00C113A6"/>
    <w:rsid w:val="00C1154C"/>
    <w:rsid w:val="00C12368"/>
    <w:rsid w:val="00C125E3"/>
    <w:rsid w:val="00C1402F"/>
    <w:rsid w:val="00C1434E"/>
    <w:rsid w:val="00C14420"/>
    <w:rsid w:val="00C15228"/>
    <w:rsid w:val="00C16C1C"/>
    <w:rsid w:val="00C17309"/>
    <w:rsid w:val="00C1786C"/>
    <w:rsid w:val="00C2073D"/>
    <w:rsid w:val="00C20881"/>
    <w:rsid w:val="00C20D85"/>
    <w:rsid w:val="00C21594"/>
    <w:rsid w:val="00C21A26"/>
    <w:rsid w:val="00C23036"/>
    <w:rsid w:val="00C231C8"/>
    <w:rsid w:val="00C23872"/>
    <w:rsid w:val="00C245C6"/>
    <w:rsid w:val="00C24F6D"/>
    <w:rsid w:val="00C2524D"/>
    <w:rsid w:val="00C252C2"/>
    <w:rsid w:val="00C25B26"/>
    <w:rsid w:val="00C30176"/>
    <w:rsid w:val="00C304B9"/>
    <w:rsid w:val="00C31189"/>
    <w:rsid w:val="00C31C78"/>
    <w:rsid w:val="00C32376"/>
    <w:rsid w:val="00C32FAA"/>
    <w:rsid w:val="00C351C9"/>
    <w:rsid w:val="00C359B1"/>
    <w:rsid w:val="00C36453"/>
    <w:rsid w:val="00C3690E"/>
    <w:rsid w:val="00C37C27"/>
    <w:rsid w:val="00C4273E"/>
    <w:rsid w:val="00C438FE"/>
    <w:rsid w:val="00C43AD4"/>
    <w:rsid w:val="00C45AC2"/>
    <w:rsid w:val="00C4686B"/>
    <w:rsid w:val="00C51FBF"/>
    <w:rsid w:val="00C521EE"/>
    <w:rsid w:val="00C54301"/>
    <w:rsid w:val="00C5486C"/>
    <w:rsid w:val="00C55E4E"/>
    <w:rsid w:val="00C562E1"/>
    <w:rsid w:val="00C56692"/>
    <w:rsid w:val="00C5678B"/>
    <w:rsid w:val="00C57563"/>
    <w:rsid w:val="00C578FF"/>
    <w:rsid w:val="00C57BC6"/>
    <w:rsid w:val="00C605C6"/>
    <w:rsid w:val="00C6078A"/>
    <w:rsid w:val="00C60885"/>
    <w:rsid w:val="00C618F6"/>
    <w:rsid w:val="00C62367"/>
    <w:rsid w:val="00C63426"/>
    <w:rsid w:val="00C64ADD"/>
    <w:rsid w:val="00C65E0B"/>
    <w:rsid w:val="00C66140"/>
    <w:rsid w:val="00C7068A"/>
    <w:rsid w:val="00C71559"/>
    <w:rsid w:val="00C71B1D"/>
    <w:rsid w:val="00C71FD6"/>
    <w:rsid w:val="00C721FF"/>
    <w:rsid w:val="00C72666"/>
    <w:rsid w:val="00C72EF9"/>
    <w:rsid w:val="00C73D8F"/>
    <w:rsid w:val="00C73E12"/>
    <w:rsid w:val="00C749BB"/>
    <w:rsid w:val="00C75AB3"/>
    <w:rsid w:val="00C75D2A"/>
    <w:rsid w:val="00C76DDE"/>
    <w:rsid w:val="00C77EE5"/>
    <w:rsid w:val="00C805C7"/>
    <w:rsid w:val="00C824A4"/>
    <w:rsid w:val="00C82E66"/>
    <w:rsid w:val="00C82E6F"/>
    <w:rsid w:val="00C83AE5"/>
    <w:rsid w:val="00C83E5D"/>
    <w:rsid w:val="00C847DD"/>
    <w:rsid w:val="00C84D80"/>
    <w:rsid w:val="00C863EC"/>
    <w:rsid w:val="00C86E76"/>
    <w:rsid w:val="00C871D0"/>
    <w:rsid w:val="00C8782E"/>
    <w:rsid w:val="00C87981"/>
    <w:rsid w:val="00C9038D"/>
    <w:rsid w:val="00C9183E"/>
    <w:rsid w:val="00C918F8"/>
    <w:rsid w:val="00C92327"/>
    <w:rsid w:val="00C9258C"/>
    <w:rsid w:val="00C93A2F"/>
    <w:rsid w:val="00C94DE7"/>
    <w:rsid w:val="00C94EA0"/>
    <w:rsid w:val="00C9553E"/>
    <w:rsid w:val="00C95573"/>
    <w:rsid w:val="00C95AF1"/>
    <w:rsid w:val="00C95EAF"/>
    <w:rsid w:val="00C9682D"/>
    <w:rsid w:val="00C97757"/>
    <w:rsid w:val="00C97B5F"/>
    <w:rsid w:val="00CA036E"/>
    <w:rsid w:val="00CA1206"/>
    <w:rsid w:val="00CA232D"/>
    <w:rsid w:val="00CA2487"/>
    <w:rsid w:val="00CA24E9"/>
    <w:rsid w:val="00CA2E68"/>
    <w:rsid w:val="00CA42F9"/>
    <w:rsid w:val="00CA5377"/>
    <w:rsid w:val="00CA6D7B"/>
    <w:rsid w:val="00CB0E3B"/>
    <w:rsid w:val="00CB1C6F"/>
    <w:rsid w:val="00CB2FC2"/>
    <w:rsid w:val="00CB5ACF"/>
    <w:rsid w:val="00CB6210"/>
    <w:rsid w:val="00CB629F"/>
    <w:rsid w:val="00CB7C70"/>
    <w:rsid w:val="00CB7EF0"/>
    <w:rsid w:val="00CC0220"/>
    <w:rsid w:val="00CC0969"/>
    <w:rsid w:val="00CC0FAD"/>
    <w:rsid w:val="00CC124F"/>
    <w:rsid w:val="00CC1DD2"/>
    <w:rsid w:val="00CC302B"/>
    <w:rsid w:val="00CC38CA"/>
    <w:rsid w:val="00CC4DC1"/>
    <w:rsid w:val="00CC5663"/>
    <w:rsid w:val="00CC5D1D"/>
    <w:rsid w:val="00CC71C6"/>
    <w:rsid w:val="00CC788C"/>
    <w:rsid w:val="00CC7CB7"/>
    <w:rsid w:val="00CD0FF1"/>
    <w:rsid w:val="00CD1877"/>
    <w:rsid w:val="00CD1BB0"/>
    <w:rsid w:val="00CD2018"/>
    <w:rsid w:val="00CD2AA3"/>
    <w:rsid w:val="00CD3017"/>
    <w:rsid w:val="00CD33AA"/>
    <w:rsid w:val="00CD3BBA"/>
    <w:rsid w:val="00CD74C2"/>
    <w:rsid w:val="00CD7B96"/>
    <w:rsid w:val="00CE0EB3"/>
    <w:rsid w:val="00CE233B"/>
    <w:rsid w:val="00CE3992"/>
    <w:rsid w:val="00CE455C"/>
    <w:rsid w:val="00CE4BA4"/>
    <w:rsid w:val="00CE5253"/>
    <w:rsid w:val="00CE5276"/>
    <w:rsid w:val="00CE572E"/>
    <w:rsid w:val="00CE5B3C"/>
    <w:rsid w:val="00CE63C1"/>
    <w:rsid w:val="00CE6846"/>
    <w:rsid w:val="00CE74E8"/>
    <w:rsid w:val="00CF026F"/>
    <w:rsid w:val="00CF1AD7"/>
    <w:rsid w:val="00CF2045"/>
    <w:rsid w:val="00CF5AA3"/>
    <w:rsid w:val="00CF6854"/>
    <w:rsid w:val="00CF744C"/>
    <w:rsid w:val="00CF7743"/>
    <w:rsid w:val="00D00B6D"/>
    <w:rsid w:val="00D03676"/>
    <w:rsid w:val="00D0383A"/>
    <w:rsid w:val="00D05304"/>
    <w:rsid w:val="00D06B78"/>
    <w:rsid w:val="00D079F1"/>
    <w:rsid w:val="00D10138"/>
    <w:rsid w:val="00D1041B"/>
    <w:rsid w:val="00D10AB6"/>
    <w:rsid w:val="00D11011"/>
    <w:rsid w:val="00D11512"/>
    <w:rsid w:val="00D11F3C"/>
    <w:rsid w:val="00D12481"/>
    <w:rsid w:val="00D13BFB"/>
    <w:rsid w:val="00D150CF"/>
    <w:rsid w:val="00D15965"/>
    <w:rsid w:val="00D168C5"/>
    <w:rsid w:val="00D202A4"/>
    <w:rsid w:val="00D21597"/>
    <w:rsid w:val="00D2165C"/>
    <w:rsid w:val="00D21D95"/>
    <w:rsid w:val="00D22639"/>
    <w:rsid w:val="00D23576"/>
    <w:rsid w:val="00D239E9"/>
    <w:rsid w:val="00D23F67"/>
    <w:rsid w:val="00D2411E"/>
    <w:rsid w:val="00D24C3E"/>
    <w:rsid w:val="00D2739B"/>
    <w:rsid w:val="00D27D9D"/>
    <w:rsid w:val="00D318B1"/>
    <w:rsid w:val="00D31CF9"/>
    <w:rsid w:val="00D3227A"/>
    <w:rsid w:val="00D32618"/>
    <w:rsid w:val="00D32CFF"/>
    <w:rsid w:val="00D33616"/>
    <w:rsid w:val="00D34A36"/>
    <w:rsid w:val="00D34B84"/>
    <w:rsid w:val="00D35D87"/>
    <w:rsid w:val="00D36B56"/>
    <w:rsid w:val="00D3710A"/>
    <w:rsid w:val="00D37207"/>
    <w:rsid w:val="00D37A40"/>
    <w:rsid w:val="00D40210"/>
    <w:rsid w:val="00D40B6A"/>
    <w:rsid w:val="00D40C0D"/>
    <w:rsid w:val="00D41336"/>
    <w:rsid w:val="00D42168"/>
    <w:rsid w:val="00D43F4B"/>
    <w:rsid w:val="00D44BC6"/>
    <w:rsid w:val="00D450D6"/>
    <w:rsid w:val="00D45D8B"/>
    <w:rsid w:val="00D50161"/>
    <w:rsid w:val="00D505E8"/>
    <w:rsid w:val="00D50648"/>
    <w:rsid w:val="00D50752"/>
    <w:rsid w:val="00D50872"/>
    <w:rsid w:val="00D50942"/>
    <w:rsid w:val="00D50DC1"/>
    <w:rsid w:val="00D50EAA"/>
    <w:rsid w:val="00D51DB2"/>
    <w:rsid w:val="00D5268F"/>
    <w:rsid w:val="00D55E4C"/>
    <w:rsid w:val="00D56934"/>
    <w:rsid w:val="00D606B9"/>
    <w:rsid w:val="00D60FF9"/>
    <w:rsid w:val="00D61463"/>
    <w:rsid w:val="00D61C06"/>
    <w:rsid w:val="00D62362"/>
    <w:rsid w:val="00D63218"/>
    <w:rsid w:val="00D632E0"/>
    <w:rsid w:val="00D635BE"/>
    <w:rsid w:val="00D636A2"/>
    <w:rsid w:val="00D63F7A"/>
    <w:rsid w:val="00D64609"/>
    <w:rsid w:val="00D64696"/>
    <w:rsid w:val="00D647D0"/>
    <w:rsid w:val="00D64DA1"/>
    <w:rsid w:val="00D6565B"/>
    <w:rsid w:val="00D65EBA"/>
    <w:rsid w:val="00D661F7"/>
    <w:rsid w:val="00D67812"/>
    <w:rsid w:val="00D70351"/>
    <w:rsid w:val="00D710B8"/>
    <w:rsid w:val="00D7178E"/>
    <w:rsid w:val="00D71CF1"/>
    <w:rsid w:val="00D71E69"/>
    <w:rsid w:val="00D7252E"/>
    <w:rsid w:val="00D72812"/>
    <w:rsid w:val="00D72F5E"/>
    <w:rsid w:val="00D72F69"/>
    <w:rsid w:val="00D73283"/>
    <w:rsid w:val="00D733B3"/>
    <w:rsid w:val="00D73AFE"/>
    <w:rsid w:val="00D73FE8"/>
    <w:rsid w:val="00D755DB"/>
    <w:rsid w:val="00D76020"/>
    <w:rsid w:val="00D7683B"/>
    <w:rsid w:val="00D76854"/>
    <w:rsid w:val="00D772A3"/>
    <w:rsid w:val="00D800E4"/>
    <w:rsid w:val="00D809E9"/>
    <w:rsid w:val="00D80AF0"/>
    <w:rsid w:val="00D80EF1"/>
    <w:rsid w:val="00D817DA"/>
    <w:rsid w:val="00D81F25"/>
    <w:rsid w:val="00D8205A"/>
    <w:rsid w:val="00D82490"/>
    <w:rsid w:val="00D856C4"/>
    <w:rsid w:val="00D85B02"/>
    <w:rsid w:val="00D85D15"/>
    <w:rsid w:val="00D866B9"/>
    <w:rsid w:val="00D86710"/>
    <w:rsid w:val="00D867BC"/>
    <w:rsid w:val="00D86B64"/>
    <w:rsid w:val="00D87236"/>
    <w:rsid w:val="00D90D93"/>
    <w:rsid w:val="00D9109C"/>
    <w:rsid w:val="00D91474"/>
    <w:rsid w:val="00D917E4"/>
    <w:rsid w:val="00D918DC"/>
    <w:rsid w:val="00D91BCD"/>
    <w:rsid w:val="00D93182"/>
    <w:rsid w:val="00D9356E"/>
    <w:rsid w:val="00D93913"/>
    <w:rsid w:val="00D9399A"/>
    <w:rsid w:val="00D93C73"/>
    <w:rsid w:val="00D947EC"/>
    <w:rsid w:val="00D954A1"/>
    <w:rsid w:val="00D95999"/>
    <w:rsid w:val="00D96696"/>
    <w:rsid w:val="00D968D6"/>
    <w:rsid w:val="00D97376"/>
    <w:rsid w:val="00DA1291"/>
    <w:rsid w:val="00DA1587"/>
    <w:rsid w:val="00DA1A83"/>
    <w:rsid w:val="00DA1FDB"/>
    <w:rsid w:val="00DA237C"/>
    <w:rsid w:val="00DA2E77"/>
    <w:rsid w:val="00DA3C95"/>
    <w:rsid w:val="00DA4C79"/>
    <w:rsid w:val="00DA5EA5"/>
    <w:rsid w:val="00DA626D"/>
    <w:rsid w:val="00DB06A9"/>
    <w:rsid w:val="00DB1D59"/>
    <w:rsid w:val="00DB247D"/>
    <w:rsid w:val="00DB2BC6"/>
    <w:rsid w:val="00DB2FD2"/>
    <w:rsid w:val="00DB3545"/>
    <w:rsid w:val="00DB3BBA"/>
    <w:rsid w:val="00DB4040"/>
    <w:rsid w:val="00DB4BC1"/>
    <w:rsid w:val="00DB67E3"/>
    <w:rsid w:val="00DB735C"/>
    <w:rsid w:val="00DB74FD"/>
    <w:rsid w:val="00DB784C"/>
    <w:rsid w:val="00DB7888"/>
    <w:rsid w:val="00DB7BDA"/>
    <w:rsid w:val="00DB7FFB"/>
    <w:rsid w:val="00DC1DDD"/>
    <w:rsid w:val="00DC1E7E"/>
    <w:rsid w:val="00DC249C"/>
    <w:rsid w:val="00DC31C2"/>
    <w:rsid w:val="00DC49EF"/>
    <w:rsid w:val="00DC732A"/>
    <w:rsid w:val="00DD0B01"/>
    <w:rsid w:val="00DD1506"/>
    <w:rsid w:val="00DD17C3"/>
    <w:rsid w:val="00DD191C"/>
    <w:rsid w:val="00DD1FCB"/>
    <w:rsid w:val="00DD23F7"/>
    <w:rsid w:val="00DD2769"/>
    <w:rsid w:val="00DD3070"/>
    <w:rsid w:val="00DD371C"/>
    <w:rsid w:val="00DD3A03"/>
    <w:rsid w:val="00DD3A65"/>
    <w:rsid w:val="00DD40CA"/>
    <w:rsid w:val="00DD4701"/>
    <w:rsid w:val="00DD52E3"/>
    <w:rsid w:val="00DD7CDD"/>
    <w:rsid w:val="00DE0E72"/>
    <w:rsid w:val="00DE1B12"/>
    <w:rsid w:val="00DE2E88"/>
    <w:rsid w:val="00DE33B1"/>
    <w:rsid w:val="00DE4DD3"/>
    <w:rsid w:val="00DE506D"/>
    <w:rsid w:val="00DE706F"/>
    <w:rsid w:val="00DE73FD"/>
    <w:rsid w:val="00DF0439"/>
    <w:rsid w:val="00DF102F"/>
    <w:rsid w:val="00DF1CA3"/>
    <w:rsid w:val="00DF3E94"/>
    <w:rsid w:val="00DF5753"/>
    <w:rsid w:val="00DF5A46"/>
    <w:rsid w:val="00DF5E82"/>
    <w:rsid w:val="00DF66CC"/>
    <w:rsid w:val="00DF75ED"/>
    <w:rsid w:val="00E007EA"/>
    <w:rsid w:val="00E00C65"/>
    <w:rsid w:val="00E00EC5"/>
    <w:rsid w:val="00E014D0"/>
    <w:rsid w:val="00E02951"/>
    <w:rsid w:val="00E02C82"/>
    <w:rsid w:val="00E02D5C"/>
    <w:rsid w:val="00E03871"/>
    <w:rsid w:val="00E04D9C"/>
    <w:rsid w:val="00E05298"/>
    <w:rsid w:val="00E05A16"/>
    <w:rsid w:val="00E060BB"/>
    <w:rsid w:val="00E063F9"/>
    <w:rsid w:val="00E105EF"/>
    <w:rsid w:val="00E10B68"/>
    <w:rsid w:val="00E119B4"/>
    <w:rsid w:val="00E12C29"/>
    <w:rsid w:val="00E130D9"/>
    <w:rsid w:val="00E137DE"/>
    <w:rsid w:val="00E13C71"/>
    <w:rsid w:val="00E140BD"/>
    <w:rsid w:val="00E142B7"/>
    <w:rsid w:val="00E14CCF"/>
    <w:rsid w:val="00E153F4"/>
    <w:rsid w:val="00E17570"/>
    <w:rsid w:val="00E21180"/>
    <w:rsid w:val="00E2258A"/>
    <w:rsid w:val="00E23830"/>
    <w:rsid w:val="00E23C36"/>
    <w:rsid w:val="00E250F2"/>
    <w:rsid w:val="00E264D7"/>
    <w:rsid w:val="00E26EDA"/>
    <w:rsid w:val="00E26F00"/>
    <w:rsid w:val="00E271E6"/>
    <w:rsid w:val="00E3083B"/>
    <w:rsid w:val="00E322DE"/>
    <w:rsid w:val="00E32639"/>
    <w:rsid w:val="00E328B3"/>
    <w:rsid w:val="00E3347F"/>
    <w:rsid w:val="00E33F93"/>
    <w:rsid w:val="00E34821"/>
    <w:rsid w:val="00E35D80"/>
    <w:rsid w:val="00E3623F"/>
    <w:rsid w:val="00E36CA8"/>
    <w:rsid w:val="00E403F9"/>
    <w:rsid w:val="00E40F16"/>
    <w:rsid w:val="00E41145"/>
    <w:rsid w:val="00E42B20"/>
    <w:rsid w:val="00E4317F"/>
    <w:rsid w:val="00E4321A"/>
    <w:rsid w:val="00E4448D"/>
    <w:rsid w:val="00E4478E"/>
    <w:rsid w:val="00E44FB3"/>
    <w:rsid w:val="00E45AE7"/>
    <w:rsid w:val="00E45BDA"/>
    <w:rsid w:val="00E47327"/>
    <w:rsid w:val="00E50BE1"/>
    <w:rsid w:val="00E513C1"/>
    <w:rsid w:val="00E5148B"/>
    <w:rsid w:val="00E51523"/>
    <w:rsid w:val="00E523EA"/>
    <w:rsid w:val="00E52E3F"/>
    <w:rsid w:val="00E53AD7"/>
    <w:rsid w:val="00E540A2"/>
    <w:rsid w:val="00E54611"/>
    <w:rsid w:val="00E56DF0"/>
    <w:rsid w:val="00E60408"/>
    <w:rsid w:val="00E615A7"/>
    <w:rsid w:val="00E61648"/>
    <w:rsid w:val="00E6181F"/>
    <w:rsid w:val="00E6265E"/>
    <w:rsid w:val="00E63203"/>
    <w:rsid w:val="00E635F8"/>
    <w:rsid w:val="00E636CB"/>
    <w:rsid w:val="00E6551D"/>
    <w:rsid w:val="00E65896"/>
    <w:rsid w:val="00E665B8"/>
    <w:rsid w:val="00E665D0"/>
    <w:rsid w:val="00E679FF"/>
    <w:rsid w:val="00E70552"/>
    <w:rsid w:val="00E705EE"/>
    <w:rsid w:val="00E710BA"/>
    <w:rsid w:val="00E73FD4"/>
    <w:rsid w:val="00E7734D"/>
    <w:rsid w:val="00E81A8B"/>
    <w:rsid w:val="00E82DC8"/>
    <w:rsid w:val="00E84185"/>
    <w:rsid w:val="00E855E3"/>
    <w:rsid w:val="00E86770"/>
    <w:rsid w:val="00E86796"/>
    <w:rsid w:val="00E867DB"/>
    <w:rsid w:val="00E86E19"/>
    <w:rsid w:val="00E90E4C"/>
    <w:rsid w:val="00E90F09"/>
    <w:rsid w:val="00E918F7"/>
    <w:rsid w:val="00E9251E"/>
    <w:rsid w:val="00E92B28"/>
    <w:rsid w:val="00E93DBC"/>
    <w:rsid w:val="00E940AD"/>
    <w:rsid w:val="00E94EA2"/>
    <w:rsid w:val="00E95554"/>
    <w:rsid w:val="00E95AAD"/>
    <w:rsid w:val="00E96162"/>
    <w:rsid w:val="00E9638A"/>
    <w:rsid w:val="00EA023D"/>
    <w:rsid w:val="00EA0BC9"/>
    <w:rsid w:val="00EA14E2"/>
    <w:rsid w:val="00EA2FEF"/>
    <w:rsid w:val="00EA3AFE"/>
    <w:rsid w:val="00EA45A6"/>
    <w:rsid w:val="00EA4B84"/>
    <w:rsid w:val="00EA581C"/>
    <w:rsid w:val="00EA5A3A"/>
    <w:rsid w:val="00EA5D3E"/>
    <w:rsid w:val="00EA6251"/>
    <w:rsid w:val="00EA6A01"/>
    <w:rsid w:val="00EA7864"/>
    <w:rsid w:val="00EA7B4D"/>
    <w:rsid w:val="00EB0154"/>
    <w:rsid w:val="00EB0899"/>
    <w:rsid w:val="00EB1346"/>
    <w:rsid w:val="00EB1388"/>
    <w:rsid w:val="00EB1868"/>
    <w:rsid w:val="00EB2886"/>
    <w:rsid w:val="00EB2E9F"/>
    <w:rsid w:val="00EB32B7"/>
    <w:rsid w:val="00EB3EB1"/>
    <w:rsid w:val="00EB4247"/>
    <w:rsid w:val="00EB4543"/>
    <w:rsid w:val="00EB4869"/>
    <w:rsid w:val="00EB48BC"/>
    <w:rsid w:val="00EB7F2A"/>
    <w:rsid w:val="00EC2771"/>
    <w:rsid w:val="00EC32AA"/>
    <w:rsid w:val="00EC3409"/>
    <w:rsid w:val="00EC3736"/>
    <w:rsid w:val="00EC4CA9"/>
    <w:rsid w:val="00EC548A"/>
    <w:rsid w:val="00EC5ED4"/>
    <w:rsid w:val="00EC69DF"/>
    <w:rsid w:val="00EC6C4B"/>
    <w:rsid w:val="00EC7766"/>
    <w:rsid w:val="00EC7C55"/>
    <w:rsid w:val="00EC7EED"/>
    <w:rsid w:val="00ED0E73"/>
    <w:rsid w:val="00ED1851"/>
    <w:rsid w:val="00ED34E6"/>
    <w:rsid w:val="00ED3BB9"/>
    <w:rsid w:val="00ED3BBF"/>
    <w:rsid w:val="00ED46CD"/>
    <w:rsid w:val="00ED6587"/>
    <w:rsid w:val="00ED6EA7"/>
    <w:rsid w:val="00ED738C"/>
    <w:rsid w:val="00ED751C"/>
    <w:rsid w:val="00ED752F"/>
    <w:rsid w:val="00EE1528"/>
    <w:rsid w:val="00EE499C"/>
    <w:rsid w:val="00EE60D9"/>
    <w:rsid w:val="00EE6154"/>
    <w:rsid w:val="00EE66F0"/>
    <w:rsid w:val="00EE6D63"/>
    <w:rsid w:val="00EE7012"/>
    <w:rsid w:val="00EE78D6"/>
    <w:rsid w:val="00EF0A71"/>
    <w:rsid w:val="00EF2EC9"/>
    <w:rsid w:val="00EF3085"/>
    <w:rsid w:val="00EF4638"/>
    <w:rsid w:val="00EF4D18"/>
    <w:rsid w:val="00EF50CE"/>
    <w:rsid w:val="00EF5CA9"/>
    <w:rsid w:val="00EF5E36"/>
    <w:rsid w:val="00EF67CA"/>
    <w:rsid w:val="00EF6CBB"/>
    <w:rsid w:val="00EF7BC1"/>
    <w:rsid w:val="00F01608"/>
    <w:rsid w:val="00F04440"/>
    <w:rsid w:val="00F04740"/>
    <w:rsid w:val="00F06478"/>
    <w:rsid w:val="00F06809"/>
    <w:rsid w:val="00F069AE"/>
    <w:rsid w:val="00F06BEF"/>
    <w:rsid w:val="00F06E7F"/>
    <w:rsid w:val="00F0711F"/>
    <w:rsid w:val="00F07A83"/>
    <w:rsid w:val="00F12F26"/>
    <w:rsid w:val="00F12FCA"/>
    <w:rsid w:val="00F1374B"/>
    <w:rsid w:val="00F138F1"/>
    <w:rsid w:val="00F16FFC"/>
    <w:rsid w:val="00F2055B"/>
    <w:rsid w:val="00F210E2"/>
    <w:rsid w:val="00F23239"/>
    <w:rsid w:val="00F24D91"/>
    <w:rsid w:val="00F25A78"/>
    <w:rsid w:val="00F25E70"/>
    <w:rsid w:val="00F26463"/>
    <w:rsid w:val="00F278A1"/>
    <w:rsid w:val="00F30D0E"/>
    <w:rsid w:val="00F30D8E"/>
    <w:rsid w:val="00F3108E"/>
    <w:rsid w:val="00F31BD1"/>
    <w:rsid w:val="00F321E4"/>
    <w:rsid w:val="00F3301D"/>
    <w:rsid w:val="00F34562"/>
    <w:rsid w:val="00F34B5B"/>
    <w:rsid w:val="00F401A0"/>
    <w:rsid w:val="00F40F08"/>
    <w:rsid w:val="00F41C96"/>
    <w:rsid w:val="00F423EA"/>
    <w:rsid w:val="00F444AB"/>
    <w:rsid w:val="00F4460E"/>
    <w:rsid w:val="00F44CE6"/>
    <w:rsid w:val="00F44E02"/>
    <w:rsid w:val="00F450CB"/>
    <w:rsid w:val="00F45827"/>
    <w:rsid w:val="00F45B75"/>
    <w:rsid w:val="00F464D2"/>
    <w:rsid w:val="00F470FB"/>
    <w:rsid w:val="00F47946"/>
    <w:rsid w:val="00F47950"/>
    <w:rsid w:val="00F47A85"/>
    <w:rsid w:val="00F51FD4"/>
    <w:rsid w:val="00F5221A"/>
    <w:rsid w:val="00F52951"/>
    <w:rsid w:val="00F52AC5"/>
    <w:rsid w:val="00F539A7"/>
    <w:rsid w:val="00F53DA3"/>
    <w:rsid w:val="00F54182"/>
    <w:rsid w:val="00F54755"/>
    <w:rsid w:val="00F549BF"/>
    <w:rsid w:val="00F54AAD"/>
    <w:rsid w:val="00F55978"/>
    <w:rsid w:val="00F56D7C"/>
    <w:rsid w:val="00F570C8"/>
    <w:rsid w:val="00F60B6A"/>
    <w:rsid w:val="00F61950"/>
    <w:rsid w:val="00F62FEE"/>
    <w:rsid w:val="00F6340B"/>
    <w:rsid w:val="00F63D31"/>
    <w:rsid w:val="00F64DC2"/>
    <w:rsid w:val="00F65447"/>
    <w:rsid w:val="00F65992"/>
    <w:rsid w:val="00F667C6"/>
    <w:rsid w:val="00F667EC"/>
    <w:rsid w:val="00F66EF3"/>
    <w:rsid w:val="00F70430"/>
    <w:rsid w:val="00F70781"/>
    <w:rsid w:val="00F70B7C"/>
    <w:rsid w:val="00F710A4"/>
    <w:rsid w:val="00F7171D"/>
    <w:rsid w:val="00F7315F"/>
    <w:rsid w:val="00F736EF"/>
    <w:rsid w:val="00F740DC"/>
    <w:rsid w:val="00F74B68"/>
    <w:rsid w:val="00F7770B"/>
    <w:rsid w:val="00F777ED"/>
    <w:rsid w:val="00F82CAA"/>
    <w:rsid w:val="00F8563E"/>
    <w:rsid w:val="00F86EF6"/>
    <w:rsid w:val="00F8745B"/>
    <w:rsid w:val="00F87D8A"/>
    <w:rsid w:val="00F90272"/>
    <w:rsid w:val="00F90A3D"/>
    <w:rsid w:val="00F90CF2"/>
    <w:rsid w:val="00F90E3D"/>
    <w:rsid w:val="00F9243C"/>
    <w:rsid w:val="00F94668"/>
    <w:rsid w:val="00F95245"/>
    <w:rsid w:val="00F9580E"/>
    <w:rsid w:val="00F96132"/>
    <w:rsid w:val="00F96B32"/>
    <w:rsid w:val="00F97225"/>
    <w:rsid w:val="00F973D3"/>
    <w:rsid w:val="00F97654"/>
    <w:rsid w:val="00FA07B1"/>
    <w:rsid w:val="00FA1E45"/>
    <w:rsid w:val="00FA1F4A"/>
    <w:rsid w:val="00FA2F58"/>
    <w:rsid w:val="00FA312E"/>
    <w:rsid w:val="00FA3AAF"/>
    <w:rsid w:val="00FA4999"/>
    <w:rsid w:val="00FA4B07"/>
    <w:rsid w:val="00FA4B37"/>
    <w:rsid w:val="00FA4D9F"/>
    <w:rsid w:val="00FA7F87"/>
    <w:rsid w:val="00FB003E"/>
    <w:rsid w:val="00FB0440"/>
    <w:rsid w:val="00FB0AA1"/>
    <w:rsid w:val="00FB1954"/>
    <w:rsid w:val="00FB1BEE"/>
    <w:rsid w:val="00FB20E5"/>
    <w:rsid w:val="00FB28F2"/>
    <w:rsid w:val="00FB2BDB"/>
    <w:rsid w:val="00FB33B1"/>
    <w:rsid w:val="00FB42A7"/>
    <w:rsid w:val="00FB4C10"/>
    <w:rsid w:val="00FB4DC9"/>
    <w:rsid w:val="00FB59D7"/>
    <w:rsid w:val="00FB5ACA"/>
    <w:rsid w:val="00FC009A"/>
    <w:rsid w:val="00FC0DF7"/>
    <w:rsid w:val="00FC1A3E"/>
    <w:rsid w:val="00FC33AB"/>
    <w:rsid w:val="00FC610A"/>
    <w:rsid w:val="00FC61C9"/>
    <w:rsid w:val="00FD27E3"/>
    <w:rsid w:val="00FD2B0C"/>
    <w:rsid w:val="00FD334A"/>
    <w:rsid w:val="00FD4096"/>
    <w:rsid w:val="00FD4DC3"/>
    <w:rsid w:val="00FD6ADE"/>
    <w:rsid w:val="00FD6D3D"/>
    <w:rsid w:val="00FD71F5"/>
    <w:rsid w:val="00FD7DE0"/>
    <w:rsid w:val="00FD7FAA"/>
    <w:rsid w:val="00FE0256"/>
    <w:rsid w:val="00FE0334"/>
    <w:rsid w:val="00FE0460"/>
    <w:rsid w:val="00FE084E"/>
    <w:rsid w:val="00FE29AB"/>
    <w:rsid w:val="00FE369F"/>
    <w:rsid w:val="00FE4182"/>
    <w:rsid w:val="00FE42C2"/>
    <w:rsid w:val="00FE55FC"/>
    <w:rsid w:val="00FE6861"/>
    <w:rsid w:val="00FE7761"/>
    <w:rsid w:val="00FE78A8"/>
    <w:rsid w:val="00FE7B7F"/>
    <w:rsid w:val="00FF0B0B"/>
    <w:rsid w:val="00FF0D4B"/>
    <w:rsid w:val="00FF1ECA"/>
    <w:rsid w:val="00FF3C97"/>
    <w:rsid w:val="00FF49D1"/>
    <w:rsid w:val="00FF4EE7"/>
    <w:rsid w:val="00FF6E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6CC90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SimSun"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751C"/>
    <w:pPr>
      <w:spacing w:after="0" w:line="240" w:lineRule="auto"/>
    </w:pPr>
    <w:rPr>
      <w:rFonts w:ascii="Times New Roman" w:eastAsia="Times New Roman" w:hAnsi="Times New Roman" w:cs="Times New Roman"/>
      <w:sz w:val="24"/>
      <w:szCs w:val="20"/>
      <w:lang w:val="es-ES_tradnl"/>
    </w:rPr>
  </w:style>
  <w:style w:type="paragraph" w:styleId="Heading1">
    <w:name w:val="heading 1"/>
    <w:aliases w:val="Heading 1.I,Capítulos,title 1,Document Header1,ClauseGroup_Title,ICSA 1,t&amp;,PDAPM_1,Chapitre"/>
    <w:basedOn w:val="Normal"/>
    <w:next w:val="Normal"/>
    <w:link w:val="Heading1Char"/>
    <w:qFormat/>
    <w:rsid w:val="00DD17C3"/>
    <w:pPr>
      <w:keepNext/>
      <w:tabs>
        <w:tab w:val="num" w:pos="360"/>
      </w:tabs>
      <w:spacing w:before="240" w:after="60"/>
      <w:outlineLvl w:val="0"/>
    </w:pPr>
    <w:rPr>
      <w:rFonts w:ascii="Arial" w:hAnsi="Arial"/>
      <w:b/>
      <w:kern w:val="28"/>
      <w:sz w:val="28"/>
    </w:rPr>
  </w:style>
  <w:style w:type="paragraph" w:styleId="Heading2">
    <w:name w:val="heading 2"/>
    <w:aliases w:val="Sub-capítulos Car,Sub-capítulos Car Car,title 2,Title Header2,Clause_No&amp;Name,ICSA 2,Heading 2.A"/>
    <w:basedOn w:val="Normal"/>
    <w:next w:val="Normal"/>
    <w:link w:val="Heading2Char"/>
    <w:qFormat/>
    <w:rsid w:val="00DD17C3"/>
    <w:pPr>
      <w:keepNext/>
      <w:tabs>
        <w:tab w:val="num" w:pos="1080"/>
      </w:tabs>
      <w:spacing w:before="240" w:after="60"/>
      <w:ind w:left="720"/>
      <w:outlineLvl w:val="1"/>
    </w:pPr>
    <w:rPr>
      <w:rFonts w:ascii="Arial" w:hAnsi="Arial"/>
      <w:b/>
      <w:i/>
    </w:rPr>
  </w:style>
  <w:style w:type="paragraph" w:styleId="Heading3">
    <w:name w:val="heading 3"/>
    <w:aliases w:val="Seccion,Section Header3,ClauseSub_No&amp;Name,ICSA 3,Heading 3.1"/>
    <w:basedOn w:val="Normal"/>
    <w:next w:val="Normal"/>
    <w:link w:val="Heading3Char"/>
    <w:qFormat/>
    <w:rsid w:val="003474DA"/>
    <w:pPr>
      <w:keepNext/>
      <w:spacing w:before="240" w:after="60"/>
      <w:outlineLvl w:val="2"/>
    </w:pPr>
    <w:rPr>
      <w:rFonts w:ascii="Arial" w:hAnsi="Arial"/>
    </w:rPr>
  </w:style>
  <w:style w:type="paragraph" w:styleId="Heading4">
    <w:name w:val="heading 4"/>
    <w:aliases w:val="Heading 4.a,Sub-seccion, Sub-Clause Sub-paragraph,ClauseSubSub_No&amp;Name,Sub-Clause Sub-paragraph,ICSA 4"/>
    <w:basedOn w:val="Normal"/>
    <w:next w:val="Normal"/>
    <w:link w:val="Heading4Char"/>
    <w:qFormat/>
    <w:rsid w:val="003474DA"/>
    <w:pPr>
      <w:keepNext/>
      <w:spacing w:before="240" w:after="60"/>
      <w:outlineLvl w:val="3"/>
    </w:pPr>
    <w:rPr>
      <w:rFonts w:ascii="Arial" w:hAnsi="Arial"/>
      <w:b/>
    </w:rPr>
  </w:style>
  <w:style w:type="paragraph" w:styleId="Heading5">
    <w:name w:val="heading 5"/>
    <w:aliases w:val="Heading 5.(i)"/>
    <w:basedOn w:val="Normal"/>
    <w:next w:val="Normal"/>
    <w:link w:val="Heading5Char"/>
    <w:unhideWhenUsed/>
    <w:qFormat/>
    <w:rsid w:val="00EB015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EB015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EB015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EB0154"/>
    <w:pPr>
      <w:keepNext/>
      <w:keepLines/>
      <w:numPr>
        <w:ilvl w:val="7"/>
        <w:numId w:val="1"/>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unhideWhenUsed/>
    <w:qFormat/>
    <w:rsid w:val="00EB015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ED751C"/>
    <w:rPr>
      <w:caps/>
    </w:rPr>
  </w:style>
  <w:style w:type="paragraph" w:customStyle="1" w:styleId="ABBR">
    <w:name w:val="ABBR"/>
    <w:basedOn w:val="Annex"/>
    <w:rsid w:val="00ED751C"/>
  </w:style>
  <w:style w:type="paragraph" w:customStyle="1" w:styleId="AbbrDesc">
    <w:name w:val="AbbrDesc"/>
    <w:basedOn w:val="Normal"/>
    <w:rsid w:val="00ED751C"/>
    <w:pPr>
      <w:tabs>
        <w:tab w:val="left" w:pos="3060"/>
      </w:tabs>
      <w:jc w:val="both"/>
    </w:pPr>
  </w:style>
  <w:style w:type="paragraph" w:styleId="BodyText">
    <w:name w:val="Body Text"/>
    <w:basedOn w:val="Normal"/>
    <w:link w:val="BodyTextChar"/>
    <w:rsid w:val="00ED751C"/>
    <w:pPr>
      <w:tabs>
        <w:tab w:val="left" w:pos="3060"/>
      </w:tabs>
      <w:jc w:val="center"/>
    </w:pPr>
  </w:style>
  <w:style w:type="character" w:customStyle="1" w:styleId="BodyTextChar">
    <w:name w:val="Body Text Char"/>
    <w:basedOn w:val="DefaultParagraphFont"/>
    <w:link w:val="BodyText"/>
    <w:rsid w:val="00ED751C"/>
    <w:rPr>
      <w:rFonts w:ascii="Times New Roman" w:eastAsia="Times New Roman" w:hAnsi="Times New Roman" w:cs="Times New Roman"/>
      <w:sz w:val="24"/>
      <w:szCs w:val="20"/>
    </w:rPr>
  </w:style>
  <w:style w:type="paragraph" w:customStyle="1" w:styleId="Chapter">
    <w:name w:val="Chapter"/>
    <w:basedOn w:val="Normal"/>
    <w:next w:val="Normal"/>
    <w:rsid w:val="00EB0154"/>
    <w:pPr>
      <w:keepNext/>
      <w:numPr>
        <w:numId w:val="2"/>
      </w:numPr>
      <w:tabs>
        <w:tab w:val="clear" w:pos="1800"/>
        <w:tab w:val="num" w:pos="648"/>
        <w:tab w:val="left" w:pos="1440"/>
      </w:tabs>
      <w:spacing w:before="240" w:after="240"/>
      <w:ind w:left="0" w:hanging="360"/>
      <w:jc w:val="center"/>
    </w:pPr>
    <w:rPr>
      <w:b/>
      <w:smallCaps/>
      <w:lang w:val="es-ES"/>
    </w:rPr>
  </w:style>
  <w:style w:type="paragraph" w:customStyle="1" w:styleId="FirstHeading">
    <w:name w:val="FirstHeading"/>
    <w:basedOn w:val="Normal"/>
    <w:next w:val="Normal"/>
    <w:rsid w:val="00EB0154"/>
    <w:pPr>
      <w:keepNext/>
      <w:numPr>
        <w:numId w:val="1"/>
      </w:numPr>
      <w:tabs>
        <w:tab w:val="left" w:pos="0"/>
        <w:tab w:val="left" w:pos="86"/>
      </w:tabs>
      <w:spacing w:before="120" w:after="120"/>
      <w:ind w:left="585" w:hanging="360"/>
    </w:pPr>
    <w:rPr>
      <w:b/>
      <w:lang w:val="es-ES"/>
    </w:rPr>
  </w:style>
  <w:style w:type="paragraph" w:styleId="Footer">
    <w:name w:val="footer"/>
    <w:basedOn w:val="Normal"/>
    <w:link w:val="FooterChar"/>
    <w:rsid w:val="00ED751C"/>
    <w:pPr>
      <w:tabs>
        <w:tab w:val="center" w:pos="4320"/>
        <w:tab w:val="right" w:pos="8640"/>
      </w:tabs>
    </w:pPr>
  </w:style>
  <w:style w:type="character" w:customStyle="1" w:styleId="FooterChar">
    <w:name w:val="Footer Char"/>
    <w:basedOn w:val="DefaultParagraphFont"/>
    <w:link w:val="Footer"/>
    <w:rsid w:val="00ED751C"/>
    <w:rPr>
      <w:rFonts w:ascii="Times New Roman" w:eastAsia="Times New Roman" w:hAnsi="Times New Roman" w:cs="Times New Roman"/>
      <w:sz w:val="24"/>
      <w:szCs w:val="20"/>
    </w:rPr>
  </w:style>
  <w:style w:type="paragraph" w:styleId="FootnoteText">
    <w:name w:val="footnote text"/>
    <w:aliases w:val="fn,ft,footnote,Texto de rodapé,nota_rodapé,nota de rodapé,single space,FOOTNOTES,Footnote Text Char Char,Texto,nota,pie,Ref.,al,footnote text,foottextfra,F,Texto nota pie Car Car,texto de nota al pie,Texto nota pie Car Car Car,FA Fu,ADB,f"/>
    <w:basedOn w:val="Normal"/>
    <w:link w:val="FootnoteTextChar"/>
    <w:qFormat/>
    <w:rsid w:val="00ED751C"/>
    <w:pPr>
      <w:keepNext/>
      <w:keepLines/>
      <w:spacing w:after="120"/>
      <w:ind w:left="288" w:hanging="288"/>
      <w:jc w:val="both"/>
    </w:pPr>
    <w:rPr>
      <w:spacing w:val="-3"/>
      <w:sz w:val="20"/>
    </w:rPr>
  </w:style>
  <w:style w:type="character" w:customStyle="1" w:styleId="FootnoteTextChar">
    <w:name w:val="Footnote Text Char"/>
    <w:aliases w:val="fn Char,ft Char,footnote Char,Texto de rodapé Char,nota_rodapé Char,nota de rodapé Char,single space Char,FOOTNOTES Char,Footnote Text Char Char Char,Texto Char,nota Char,pie Char,Ref. Char,al Char,footnote text Char,foottextfra Char"/>
    <w:basedOn w:val="DefaultParagraphFont"/>
    <w:link w:val="FootnoteText"/>
    <w:rsid w:val="00ED751C"/>
    <w:rPr>
      <w:rFonts w:ascii="Times New Roman" w:eastAsia="Times New Roman" w:hAnsi="Times New Roman" w:cs="Times New Roman"/>
      <w:spacing w:val="-3"/>
      <w:sz w:val="20"/>
      <w:szCs w:val="20"/>
      <w:lang w:val="es-ES_tradnl"/>
    </w:rPr>
  </w:style>
  <w:style w:type="paragraph" w:styleId="Header">
    <w:name w:val="header"/>
    <w:basedOn w:val="Normal"/>
    <w:link w:val="HeaderChar"/>
    <w:rsid w:val="00ED751C"/>
    <w:pPr>
      <w:tabs>
        <w:tab w:val="center" w:pos="4320"/>
        <w:tab w:val="right" w:pos="8640"/>
      </w:tabs>
    </w:pPr>
  </w:style>
  <w:style w:type="character" w:customStyle="1" w:styleId="HeaderChar">
    <w:name w:val="Header Char"/>
    <w:basedOn w:val="DefaultParagraphFont"/>
    <w:link w:val="Header"/>
    <w:rsid w:val="00ED751C"/>
    <w:rPr>
      <w:rFonts w:ascii="Times New Roman" w:eastAsia="Times New Roman" w:hAnsi="Times New Roman" w:cs="Times New Roman"/>
      <w:sz w:val="24"/>
      <w:szCs w:val="20"/>
    </w:rPr>
  </w:style>
  <w:style w:type="paragraph" w:customStyle="1" w:styleId="Newpage">
    <w:name w:val="Newpage"/>
    <w:basedOn w:val="Chapter"/>
    <w:rsid w:val="00ED751C"/>
    <w:pPr>
      <w:numPr>
        <w:numId w:val="0"/>
      </w:numPr>
      <w:tabs>
        <w:tab w:val="clear" w:pos="1440"/>
        <w:tab w:val="left" w:pos="3060"/>
      </w:tabs>
      <w:spacing w:after="0"/>
    </w:pPr>
  </w:style>
  <w:style w:type="character" w:styleId="PageNumber">
    <w:name w:val="page number"/>
    <w:basedOn w:val="DefaultParagraphFont"/>
    <w:rsid w:val="00ED751C"/>
  </w:style>
  <w:style w:type="paragraph" w:customStyle="1" w:styleId="Paragraph">
    <w:name w:val="Paragraph"/>
    <w:aliases w:val="paragraph,p,PARAGRAPH,PG,pa,at"/>
    <w:basedOn w:val="BodyTextIndent"/>
    <w:link w:val="ParagraphChar"/>
    <w:qFormat/>
    <w:rsid w:val="00EB0154"/>
    <w:pPr>
      <w:numPr>
        <w:ilvl w:val="1"/>
        <w:numId w:val="2"/>
      </w:numPr>
      <w:spacing w:before="120"/>
      <w:jc w:val="both"/>
      <w:outlineLvl w:val="1"/>
    </w:pPr>
    <w:rPr>
      <w:lang w:val="es-ES"/>
    </w:rPr>
  </w:style>
  <w:style w:type="paragraph" w:customStyle="1" w:styleId="RegheadTab">
    <w:name w:val="RegheadTab"/>
    <w:basedOn w:val="FirstHeading"/>
    <w:rsid w:val="00ED751C"/>
    <w:pPr>
      <w:numPr>
        <w:numId w:val="0"/>
      </w:numPr>
      <w:tabs>
        <w:tab w:val="num" w:pos="504"/>
      </w:tabs>
      <w:spacing w:after="0"/>
      <w:ind w:left="504" w:hanging="504"/>
      <w:jc w:val="center"/>
    </w:pPr>
  </w:style>
  <w:style w:type="paragraph" w:customStyle="1" w:styleId="SecHeading">
    <w:name w:val="SecHeading"/>
    <w:basedOn w:val="Normal"/>
    <w:next w:val="Paragraph"/>
    <w:rsid w:val="00EB0154"/>
    <w:pPr>
      <w:keepNext/>
      <w:numPr>
        <w:ilvl w:val="1"/>
        <w:numId w:val="1"/>
      </w:numPr>
      <w:tabs>
        <w:tab w:val="clear" w:pos="5400"/>
        <w:tab w:val="num" w:pos="1296"/>
      </w:tabs>
      <w:spacing w:before="120" w:after="120"/>
      <w:ind w:left="1296" w:hanging="360"/>
    </w:pPr>
    <w:rPr>
      <w:b/>
    </w:rPr>
  </w:style>
  <w:style w:type="paragraph" w:customStyle="1" w:styleId="SubHeading1">
    <w:name w:val="SubHeading1"/>
    <w:basedOn w:val="SecHeading"/>
    <w:rsid w:val="00EB0154"/>
    <w:pPr>
      <w:numPr>
        <w:ilvl w:val="2"/>
      </w:numPr>
      <w:tabs>
        <w:tab w:val="clear" w:pos="5976"/>
        <w:tab w:val="num" w:pos="1872"/>
      </w:tabs>
      <w:ind w:left="1872" w:hanging="360"/>
    </w:pPr>
  </w:style>
  <w:style w:type="paragraph" w:customStyle="1" w:styleId="Subheading2">
    <w:name w:val="Subheading2"/>
    <w:basedOn w:val="SecHeading"/>
    <w:link w:val="Subheading2Char"/>
    <w:rsid w:val="00EB0154"/>
    <w:pPr>
      <w:numPr>
        <w:ilvl w:val="3"/>
      </w:numPr>
      <w:tabs>
        <w:tab w:val="clear" w:pos="6480"/>
        <w:tab w:val="num" w:pos="2376"/>
      </w:tabs>
      <w:ind w:left="2376"/>
    </w:pPr>
  </w:style>
  <w:style w:type="paragraph" w:customStyle="1" w:styleId="subpar">
    <w:name w:val="subpar"/>
    <w:basedOn w:val="BodyTextIndent3"/>
    <w:rsid w:val="00EB0154"/>
    <w:pPr>
      <w:numPr>
        <w:ilvl w:val="2"/>
        <w:numId w:val="2"/>
      </w:numPr>
      <w:spacing w:before="120"/>
      <w:jc w:val="both"/>
      <w:outlineLvl w:val="2"/>
    </w:pPr>
    <w:rPr>
      <w:szCs w:val="20"/>
    </w:rPr>
  </w:style>
  <w:style w:type="paragraph" w:customStyle="1" w:styleId="SubSubPar">
    <w:name w:val="SubSubPar"/>
    <w:basedOn w:val="subpar"/>
    <w:rsid w:val="00EB0154"/>
    <w:pPr>
      <w:numPr>
        <w:ilvl w:val="3"/>
        <w:numId w:val="0"/>
      </w:numPr>
      <w:tabs>
        <w:tab w:val="left" w:pos="0"/>
        <w:tab w:val="num" w:pos="1296"/>
      </w:tabs>
      <w:ind w:left="1296"/>
    </w:pPr>
  </w:style>
  <w:style w:type="paragraph" w:styleId="TOC1">
    <w:name w:val="toc 1"/>
    <w:basedOn w:val="Normal"/>
    <w:next w:val="Normal"/>
    <w:autoRedefine/>
    <w:uiPriority w:val="39"/>
    <w:rsid w:val="00D10AB6"/>
    <w:pPr>
      <w:tabs>
        <w:tab w:val="left" w:pos="540"/>
        <w:tab w:val="right" w:leader="dot" w:pos="8741"/>
      </w:tabs>
      <w:spacing w:before="240" w:after="240"/>
      <w:ind w:left="547" w:hanging="547"/>
    </w:pPr>
    <w:rPr>
      <w:rFonts w:ascii="Arial" w:hAnsi="Arial" w:cs="Arial"/>
      <w:b/>
      <w:smallCaps/>
      <w:noProof/>
      <w:szCs w:val="24"/>
    </w:rPr>
  </w:style>
  <w:style w:type="paragraph" w:styleId="TOC2">
    <w:name w:val="toc 2"/>
    <w:basedOn w:val="Normal"/>
    <w:next w:val="Normal"/>
    <w:autoRedefine/>
    <w:uiPriority w:val="39"/>
    <w:rsid w:val="00ED751C"/>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rsid w:val="00ED751C"/>
    <w:pPr>
      <w:tabs>
        <w:tab w:val="left" w:pos="1728"/>
      </w:tabs>
      <w:ind w:left="1714" w:hanging="562"/>
    </w:pPr>
    <w:rPr>
      <w:lang w:val="es-ES"/>
    </w:rPr>
  </w:style>
  <w:style w:type="character" w:styleId="Hyperlink">
    <w:name w:val="Hyperlink"/>
    <w:basedOn w:val="DefaultParagraphFont"/>
    <w:uiPriority w:val="99"/>
    <w:rsid w:val="00ED751C"/>
    <w:rPr>
      <w:color w:val="0000FF"/>
      <w:u w:val="single"/>
    </w:rPr>
  </w:style>
  <w:style w:type="character" w:styleId="FootnoteReference">
    <w:name w:val="footnote reference"/>
    <w:aliases w:val="FC,referencia nota al pie,Stinking Styles11,Texto de nota al pie,Footnote symbol,Footnote,titulo 2,ftref,Style 24,pie pddes,Fußnotenzeichen DISS,Footnote Reference1,Ref,de nota al pie,16 Point,Superscript 6 Point,Знак сноски 1,SUPERS"/>
    <w:basedOn w:val="DefaultParagraphFont"/>
    <w:link w:val="Char2"/>
    <w:uiPriority w:val="99"/>
    <w:qFormat/>
    <w:rsid w:val="00ED751C"/>
    <w:rPr>
      <w:vertAlign w:val="superscript"/>
    </w:rPr>
  </w:style>
  <w:style w:type="paragraph" w:styleId="BodyTextIndent">
    <w:name w:val="Body Text Indent"/>
    <w:basedOn w:val="Normal"/>
    <w:link w:val="BodyTextIndentChar"/>
    <w:uiPriority w:val="99"/>
    <w:semiHidden/>
    <w:unhideWhenUsed/>
    <w:rsid w:val="00ED751C"/>
    <w:pPr>
      <w:spacing w:after="120"/>
      <w:ind w:left="360"/>
    </w:pPr>
  </w:style>
  <w:style w:type="character" w:customStyle="1" w:styleId="BodyTextIndentChar">
    <w:name w:val="Body Text Indent Char"/>
    <w:basedOn w:val="DefaultParagraphFont"/>
    <w:link w:val="BodyTextIndent"/>
    <w:uiPriority w:val="99"/>
    <w:semiHidden/>
    <w:rsid w:val="00ED751C"/>
    <w:rPr>
      <w:rFonts w:ascii="Times New Roman" w:eastAsia="Times New Roman" w:hAnsi="Times New Roman" w:cs="Times New Roman"/>
      <w:sz w:val="24"/>
      <w:szCs w:val="20"/>
      <w:lang w:val="es-ES_tradnl"/>
    </w:rPr>
  </w:style>
  <w:style w:type="paragraph" w:styleId="BodyTextIndent3">
    <w:name w:val="Body Text Indent 3"/>
    <w:basedOn w:val="Normal"/>
    <w:link w:val="BodyTextIndent3Char"/>
    <w:uiPriority w:val="99"/>
    <w:semiHidden/>
    <w:unhideWhenUsed/>
    <w:rsid w:val="00ED751C"/>
    <w:pPr>
      <w:spacing w:after="120"/>
      <w:ind w:left="360"/>
    </w:pPr>
    <w:rPr>
      <w:szCs w:val="16"/>
    </w:rPr>
  </w:style>
  <w:style w:type="character" w:customStyle="1" w:styleId="BodyTextIndent3Char">
    <w:name w:val="Body Text Indent 3 Char"/>
    <w:basedOn w:val="DefaultParagraphFont"/>
    <w:link w:val="BodyTextIndent3"/>
    <w:uiPriority w:val="99"/>
    <w:semiHidden/>
    <w:rsid w:val="00ED751C"/>
    <w:rPr>
      <w:rFonts w:ascii="Times New Roman" w:eastAsia="Times New Roman" w:hAnsi="Times New Roman" w:cs="Times New Roman"/>
      <w:sz w:val="24"/>
      <w:szCs w:val="16"/>
      <w:lang w:val="es-ES_tradnl"/>
    </w:rPr>
  </w:style>
  <w:style w:type="paragraph" w:customStyle="1" w:styleId="Regtable">
    <w:name w:val="Regtable"/>
    <w:basedOn w:val="Normal"/>
    <w:link w:val="RegtableChar"/>
    <w:rsid w:val="00EB0154"/>
    <w:pPr>
      <w:keepLines/>
      <w:framePr w:wrap="around" w:vAnchor="text" w:hAnchor="text" w:y="1"/>
      <w:spacing w:before="20" w:after="20"/>
    </w:pPr>
    <w:rPr>
      <w:sz w:val="20"/>
    </w:rPr>
  </w:style>
  <w:style w:type="character" w:customStyle="1" w:styleId="RegtableChar">
    <w:name w:val="Regtable Char"/>
    <w:basedOn w:val="DefaultParagraphFont"/>
    <w:link w:val="Regtable"/>
    <w:rsid w:val="00EB0154"/>
    <w:rPr>
      <w:rFonts w:ascii="Times New Roman" w:eastAsia="Times New Roman" w:hAnsi="Times New Roman" w:cs="Times New Roman"/>
      <w:sz w:val="20"/>
      <w:szCs w:val="20"/>
      <w:lang w:val="es-ES_tradnl"/>
    </w:rPr>
  </w:style>
  <w:style w:type="paragraph" w:customStyle="1" w:styleId="TableTitle">
    <w:name w:val="TableTitle"/>
    <w:basedOn w:val="Normal"/>
    <w:link w:val="TableTitleChar"/>
    <w:rsid w:val="00EB0154"/>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EB0154"/>
    <w:rPr>
      <w:rFonts w:ascii="Times New Roman Bold" w:eastAsia="Times New Roman" w:hAnsi="Times New Roman Bold" w:cs="Times New Roman"/>
      <w:b/>
      <w:spacing w:val="-3"/>
      <w:sz w:val="20"/>
      <w:szCs w:val="20"/>
      <w:lang w:val="es-ES_tradnl"/>
    </w:rPr>
  </w:style>
  <w:style w:type="character" w:customStyle="1" w:styleId="Heading5Char">
    <w:name w:val="Heading 5 Char"/>
    <w:aliases w:val="Heading 5.(i) Char"/>
    <w:basedOn w:val="DefaultParagraphFont"/>
    <w:link w:val="Heading5"/>
    <w:rsid w:val="00EB0154"/>
    <w:rPr>
      <w:rFonts w:asciiTheme="majorHAnsi" w:eastAsiaTheme="majorEastAsia" w:hAnsiTheme="majorHAnsi" w:cstheme="majorBidi"/>
      <w:color w:val="243F60" w:themeColor="accent1" w:themeShade="7F"/>
      <w:sz w:val="24"/>
      <w:szCs w:val="20"/>
      <w:lang w:val="es-ES_tradnl"/>
    </w:rPr>
  </w:style>
  <w:style w:type="character" w:customStyle="1" w:styleId="Heading6Char">
    <w:name w:val="Heading 6 Char"/>
    <w:basedOn w:val="DefaultParagraphFont"/>
    <w:link w:val="Heading6"/>
    <w:uiPriority w:val="9"/>
    <w:rsid w:val="00EB0154"/>
    <w:rPr>
      <w:rFonts w:asciiTheme="majorHAnsi" w:eastAsiaTheme="majorEastAsia" w:hAnsiTheme="majorHAnsi" w:cstheme="majorBidi"/>
      <w:i/>
      <w:iCs/>
      <w:color w:val="243F60" w:themeColor="accent1" w:themeShade="7F"/>
      <w:sz w:val="24"/>
      <w:szCs w:val="20"/>
      <w:lang w:val="es-ES_tradnl"/>
    </w:rPr>
  </w:style>
  <w:style w:type="character" w:customStyle="1" w:styleId="Heading7Char">
    <w:name w:val="Heading 7 Char"/>
    <w:basedOn w:val="DefaultParagraphFont"/>
    <w:link w:val="Heading7"/>
    <w:uiPriority w:val="9"/>
    <w:rsid w:val="00EB0154"/>
    <w:rPr>
      <w:rFonts w:asciiTheme="majorHAnsi" w:eastAsiaTheme="majorEastAsia" w:hAnsiTheme="majorHAnsi" w:cstheme="majorBidi"/>
      <w:i/>
      <w:iCs/>
      <w:color w:val="404040" w:themeColor="text1" w:themeTint="BF"/>
      <w:sz w:val="24"/>
      <w:szCs w:val="20"/>
      <w:lang w:val="es-ES_tradnl"/>
    </w:rPr>
  </w:style>
  <w:style w:type="character" w:customStyle="1" w:styleId="Heading8Char">
    <w:name w:val="Heading 8 Char"/>
    <w:basedOn w:val="DefaultParagraphFont"/>
    <w:link w:val="Heading8"/>
    <w:uiPriority w:val="9"/>
    <w:rsid w:val="00EB0154"/>
    <w:rPr>
      <w:rFonts w:asciiTheme="majorHAnsi" w:eastAsiaTheme="majorEastAsia" w:hAnsiTheme="majorHAnsi" w:cstheme="majorBidi"/>
      <w:color w:val="404040" w:themeColor="text1" w:themeTint="BF"/>
      <w:sz w:val="20"/>
      <w:szCs w:val="20"/>
      <w:lang w:val="es-ES_tradnl"/>
    </w:rPr>
  </w:style>
  <w:style w:type="character" w:customStyle="1" w:styleId="Heading9Char">
    <w:name w:val="Heading 9 Char"/>
    <w:basedOn w:val="DefaultParagraphFont"/>
    <w:link w:val="Heading9"/>
    <w:uiPriority w:val="9"/>
    <w:rsid w:val="00EB0154"/>
    <w:rPr>
      <w:rFonts w:asciiTheme="majorHAnsi" w:eastAsiaTheme="majorEastAsia" w:hAnsiTheme="majorHAnsi" w:cstheme="majorBidi"/>
      <w:i/>
      <w:iCs/>
      <w:color w:val="404040" w:themeColor="text1" w:themeTint="BF"/>
      <w:sz w:val="20"/>
      <w:szCs w:val="20"/>
      <w:lang w:val="es-ES_tradnl"/>
    </w:rPr>
  </w:style>
  <w:style w:type="character" w:customStyle="1" w:styleId="Heading1Char">
    <w:name w:val="Heading 1 Char"/>
    <w:aliases w:val="Heading 1.I Char,Capítulos Char,title 1 Char,Document Header1 Char,ClauseGroup_Title Char,ICSA 1 Char,t&amp; Char,PDAPM_1 Char,Chapitre Char"/>
    <w:basedOn w:val="DefaultParagraphFont"/>
    <w:link w:val="Heading1"/>
    <w:rsid w:val="00DD17C3"/>
    <w:rPr>
      <w:rFonts w:ascii="Arial" w:eastAsia="Times New Roman" w:hAnsi="Arial" w:cs="Times New Roman"/>
      <w:b/>
      <w:kern w:val="28"/>
      <w:sz w:val="28"/>
      <w:szCs w:val="20"/>
    </w:rPr>
  </w:style>
  <w:style w:type="character" w:customStyle="1" w:styleId="Heading2Char">
    <w:name w:val="Heading 2 Char"/>
    <w:aliases w:val="Sub-capítulos Car Char,Sub-capítulos Car Car Char,title 2 Char,Title Header2 Char,Clause_No&amp;Name Char,ICSA 2 Char,Heading 2.A Char"/>
    <w:basedOn w:val="DefaultParagraphFont"/>
    <w:link w:val="Heading2"/>
    <w:rsid w:val="00DD17C3"/>
    <w:rPr>
      <w:rFonts w:ascii="Arial" w:eastAsia="Times New Roman" w:hAnsi="Arial" w:cs="Times New Roman"/>
      <w:b/>
      <w:i/>
      <w:sz w:val="24"/>
      <w:szCs w:val="20"/>
    </w:rPr>
  </w:style>
  <w:style w:type="character" w:customStyle="1" w:styleId="Heading3Char">
    <w:name w:val="Heading 3 Char"/>
    <w:aliases w:val="Seccion Char,Section Header3 Char,ClauseSub_No&amp;Name Char,ICSA 3 Char,Heading 3.1 Char"/>
    <w:basedOn w:val="DefaultParagraphFont"/>
    <w:link w:val="Heading3"/>
    <w:rsid w:val="003474DA"/>
    <w:rPr>
      <w:rFonts w:ascii="Arial" w:eastAsia="Times New Roman" w:hAnsi="Arial" w:cs="Times New Roman"/>
      <w:sz w:val="24"/>
      <w:szCs w:val="20"/>
      <w:lang w:val="es-ES_tradnl"/>
    </w:rPr>
  </w:style>
  <w:style w:type="character" w:customStyle="1" w:styleId="Heading4Char">
    <w:name w:val="Heading 4 Char"/>
    <w:aliases w:val="Heading 4.a Char,Sub-seccion Char, Sub-Clause Sub-paragraph Char,ClauseSubSub_No&amp;Name Char,Sub-Clause Sub-paragraph Char,ICSA 4 Char"/>
    <w:basedOn w:val="DefaultParagraphFont"/>
    <w:link w:val="Heading4"/>
    <w:rsid w:val="003474DA"/>
    <w:rPr>
      <w:rFonts w:ascii="Arial" w:eastAsia="Times New Roman" w:hAnsi="Arial" w:cs="Times New Roman"/>
      <w:b/>
      <w:sz w:val="24"/>
      <w:szCs w:val="20"/>
      <w:lang w:val="es-ES_tradnl"/>
    </w:rPr>
  </w:style>
  <w:style w:type="paragraph" w:styleId="ListParagraph">
    <w:name w:val="List Paragraph"/>
    <w:aliases w:val="Título 2.,Fluvial1,Bullet list first level,tablas,Cuadros,figuras y gráficos,VIÑETAS,titulo 5"/>
    <w:basedOn w:val="Normal"/>
    <w:link w:val="ListParagraphChar"/>
    <w:uiPriority w:val="34"/>
    <w:qFormat/>
    <w:rsid w:val="00F138F1"/>
    <w:pPr>
      <w:ind w:left="720"/>
      <w:contextualSpacing/>
    </w:pPr>
  </w:style>
  <w:style w:type="paragraph" w:customStyle="1" w:styleId="xl29">
    <w:name w:val="xl29"/>
    <w:basedOn w:val="Normal"/>
    <w:rsid w:val="00E50BE1"/>
    <w:pPr>
      <w:pBdr>
        <w:left w:val="single" w:sz="4" w:space="0" w:color="auto"/>
        <w:bottom w:val="single" w:sz="4" w:space="0" w:color="auto"/>
      </w:pBdr>
      <w:spacing w:before="100" w:beforeAutospacing="1" w:after="100" w:afterAutospacing="1"/>
      <w:jc w:val="center"/>
    </w:pPr>
    <w:rPr>
      <w:rFonts w:ascii="Arial" w:eastAsia="Arial Unicode MS" w:hAnsi="Arial" w:cs="Arial"/>
      <w:b/>
      <w:bCs/>
      <w:szCs w:val="24"/>
      <w:lang w:val="en-US"/>
    </w:rPr>
  </w:style>
  <w:style w:type="table" w:styleId="TableGrid">
    <w:name w:val="Table Grid"/>
    <w:basedOn w:val="TableNormal"/>
    <w:uiPriority w:val="59"/>
    <w:rsid w:val="005161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414E3"/>
    <w:rPr>
      <w:rFonts w:ascii="Tahoma" w:hAnsi="Tahoma" w:cs="Tahoma"/>
      <w:sz w:val="16"/>
      <w:szCs w:val="16"/>
    </w:rPr>
  </w:style>
  <w:style w:type="character" w:customStyle="1" w:styleId="BalloonTextChar">
    <w:name w:val="Balloon Text Char"/>
    <w:basedOn w:val="DefaultParagraphFont"/>
    <w:link w:val="BalloonText"/>
    <w:uiPriority w:val="99"/>
    <w:semiHidden/>
    <w:rsid w:val="003414E3"/>
    <w:rPr>
      <w:rFonts w:ascii="Tahoma" w:eastAsia="Times New Roman" w:hAnsi="Tahoma" w:cs="Tahoma"/>
      <w:sz w:val="16"/>
      <w:szCs w:val="16"/>
      <w:lang w:val="es-ES_tradnl"/>
    </w:rPr>
  </w:style>
  <w:style w:type="character" w:customStyle="1" w:styleId="FootnoteTextChar1">
    <w:name w:val="Footnote Text Char1"/>
    <w:aliases w:val="fn Char1,ft Char1,footnote Char1,Texto de rodapé Char1,nota_rodapé Char1,nota de rodapé Char1,single space Char1,FOOTNOTES Char1,Footnote Text Char Char Char1,Texto Char1,nota Char1,pie Char1,Ref. Char1,al Char1,footnote text Char1"/>
    <w:basedOn w:val="DefaultParagraphFont"/>
    <w:uiPriority w:val="99"/>
    <w:locked/>
    <w:rsid w:val="00960179"/>
    <w:rPr>
      <w:rFonts w:ascii="Times New Roman" w:eastAsia="Times New Roman" w:hAnsi="Times New Roman"/>
      <w:spacing w:val="-3"/>
    </w:rPr>
  </w:style>
  <w:style w:type="character" w:customStyle="1" w:styleId="ParagraphChar">
    <w:name w:val="Paragraph Char"/>
    <w:aliases w:val="p Char,PARAGRAPH Char,PG Char,pa Char,at Char,paragraph Char"/>
    <w:basedOn w:val="BodyTextIndentChar"/>
    <w:link w:val="Paragraph"/>
    <w:rsid w:val="00960179"/>
    <w:rPr>
      <w:rFonts w:ascii="Times New Roman" w:eastAsia="Times New Roman" w:hAnsi="Times New Roman" w:cs="Times New Roman"/>
      <w:sz w:val="24"/>
      <w:szCs w:val="20"/>
      <w:lang w:val="es-ES"/>
    </w:rPr>
  </w:style>
  <w:style w:type="character" w:customStyle="1" w:styleId="BalloonTextChar1">
    <w:name w:val="Balloon Text Char1"/>
    <w:basedOn w:val="DefaultParagraphFont"/>
    <w:uiPriority w:val="99"/>
    <w:semiHidden/>
    <w:rsid w:val="00960179"/>
    <w:rPr>
      <w:rFonts w:ascii="Tahoma" w:eastAsia="Times New Roman" w:hAnsi="Tahoma" w:cs="Tahoma"/>
      <w:sz w:val="16"/>
      <w:szCs w:val="16"/>
    </w:rPr>
  </w:style>
  <w:style w:type="character" w:styleId="CommentReference">
    <w:name w:val="annotation reference"/>
    <w:basedOn w:val="DefaultParagraphFont"/>
    <w:uiPriority w:val="99"/>
    <w:semiHidden/>
    <w:rsid w:val="001E4782"/>
    <w:rPr>
      <w:rFonts w:cs="Times New Roman"/>
      <w:sz w:val="16"/>
      <w:szCs w:val="16"/>
    </w:rPr>
  </w:style>
  <w:style w:type="character" w:customStyle="1" w:styleId="apple-converted-space">
    <w:name w:val="apple-converted-space"/>
    <w:basedOn w:val="DefaultParagraphFont"/>
    <w:rsid w:val="004D4EC5"/>
  </w:style>
  <w:style w:type="paragraph" w:customStyle="1" w:styleId="Default">
    <w:name w:val="Default"/>
    <w:rsid w:val="009A541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uerpo2">
    <w:name w:val="cuerpo2"/>
    <w:basedOn w:val="Normal"/>
    <w:rsid w:val="00B91384"/>
    <w:pPr>
      <w:spacing w:before="100" w:beforeAutospacing="1" w:after="100" w:afterAutospacing="1"/>
    </w:pPr>
    <w:rPr>
      <w:szCs w:val="24"/>
      <w:lang w:val="en-US"/>
    </w:rPr>
  </w:style>
  <w:style w:type="paragraph" w:styleId="CommentText">
    <w:name w:val="annotation text"/>
    <w:basedOn w:val="Normal"/>
    <w:link w:val="CommentTextChar"/>
    <w:uiPriority w:val="99"/>
    <w:unhideWhenUsed/>
    <w:rsid w:val="009E4DD5"/>
    <w:rPr>
      <w:sz w:val="20"/>
    </w:rPr>
  </w:style>
  <w:style w:type="character" w:customStyle="1" w:styleId="CommentTextChar">
    <w:name w:val="Comment Text Char"/>
    <w:basedOn w:val="DefaultParagraphFont"/>
    <w:link w:val="CommentText"/>
    <w:uiPriority w:val="99"/>
    <w:rsid w:val="009E4DD5"/>
    <w:rPr>
      <w:rFonts w:ascii="Times New Roman" w:eastAsia="Times New Roman" w:hAnsi="Times New Roman" w:cs="Times New Roman"/>
      <w:sz w:val="20"/>
      <w:szCs w:val="20"/>
      <w:lang w:val="es-ES_tradnl"/>
    </w:rPr>
  </w:style>
  <w:style w:type="paragraph" w:styleId="CommentSubject">
    <w:name w:val="annotation subject"/>
    <w:basedOn w:val="CommentText"/>
    <w:next w:val="CommentText"/>
    <w:link w:val="CommentSubjectChar"/>
    <w:uiPriority w:val="99"/>
    <w:semiHidden/>
    <w:unhideWhenUsed/>
    <w:rsid w:val="009E4DD5"/>
    <w:rPr>
      <w:b/>
      <w:bCs/>
    </w:rPr>
  </w:style>
  <w:style w:type="character" w:customStyle="1" w:styleId="CommentSubjectChar">
    <w:name w:val="Comment Subject Char"/>
    <w:basedOn w:val="CommentTextChar"/>
    <w:link w:val="CommentSubject"/>
    <w:uiPriority w:val="99"/>
    <w:semiHidden/>
    <w:rsid w:val="009E4DD5"/>
    <w:rPr>
      <w:rFonts w:ascii="Times New Roman" w:eastAsia="Times New Roman" w:hAnsi="Times New Roman" w:cs="Times New Roman"/>
      <w:b/>
      <w:bCs/>
      <w:sz w:val="20"/>
      <w:szCs w:val="20"/>
      <w:lang w:val="es-ES_tradnl"/>
    </w:rPr>
  </w:style>
  <w:style w:type="character" w:styleId="Emphasis">
    <w:name w:val="Emphasis"/>
    <w:basedOn w:val="DefaultParagraphFont"/>
    <w:uiPriority w:val="20"/>
    <w:qFormat/>
    <w:rsid w:val="00301372"/>
    <w:rPr>
      <w:i/>
      <w:iCs/>
    </w:rPr>
  </w:style>
  <w:style w:type="paragraph" w:customStyle="1" w:styleId="AutoNumpara">
    <w:name w:val="AutoNumpara"/>
    <w:basedOn w:val="BodyTextIndent"/>
    <w:rsid w:val="007C1307"/>
    <w:pPr>
      <w:tabs>
        <w:tab w:val="num" w:pos="360"/>
      </w:tabs>
      <w:spacing w:before="120"/>
      <w:jc w:val="both"/>
    </w:pPr>
    <w:rPr>
      <w:noProof/>
      <w:spacing w:val="-2"/>
    </w:rPr>
  </w:style>
  <w:style w:type="paragraph" w:customStyle="1" w:styleId="bullets">
    <w:name w:val="bullets"/>
    <w:rsid w:val="007C1307"/>
    <w:pPr>
      <w:tabs>
        <w:tab w:val="num" w:pos="810"/>
      </w:tabs>
      <w:spacing w:before="120" w:after="120" w:line="240" w:lineRule="auto"/>
      <w:ind w:left="810" w:hanging="720"/>
      <w:jc w:val="both"/>
    </w:pPr>
    <w:rPr>
      <w:rFonts w:ascii="Times New Roman" w:eastAsia="Times New Roman" w:hAnsi="Times New Roman" w:cs="Times New Roman"/>
      <w:spacing w:val="-2"/>
      <w:sz w:val="24"/>
      <w:szCs w:val="20"/>
    </w:rPr>
  </w:style>
  <w:style w:type="paragraph" w:customStyle="1" w:styleId="ColorfulList-Accent11">
    <w:name w:val="Colorful List - Accent 11"/>
    <w:basedOn w:val="Normal"/>
    <w:link w:val="ColorfulList-Accent1Char"/>
    <w:uiPriority w:val="34"/>
    <w:qFormat/>
    <w:rsid w:val="007C1307"/>
    <w:pPr>
      <w:ind w:left="720"/>
      <w:contextualSpacing/>
    </w:pPr>
    <w:rPr>
      <w:rFonts w:ascii="Calibri" w:eastAsia="Calibri" w:hAnsi="Calibri"/>
      <w:sz w:val="22"/>
      <w:szCs w:val="22"/>
    </w:rPr>
  </w:style>
  <w:style w:type="character" w:customStyle="1" w:styleId="ColorfulList-Accent1Char">
    <w:name w:val="Colorful List - Accent 1 Char"/>
    <w:link w:val="ColorfulList-Accent11"/>
    <w:uiPriority w:val="34"/>
    <w:rsid w:val="007C1307"/>
    <w:rPr>
      <w:rFonts w:ascii="Calibri" w:eastAsia="Calibri" w:hAnsi="Calibri" w:cs="Times New Roman"/>
      <w:lang w:val="es-ES_tradnl"/>
    </w:rPr>
  </w:style>
  <w:style w:type="paragraph" w:customStyle="1" w:styleId="heading-b24">
    <w:name w:val="heading-b24"/>
    <w:basedOn w:val="Normal"/>
    <w:next w:val="Normal"/>
    <w:rsid w:val="007C1307"/>
    <w:pPr>
      <w:spacing w:after="600"/>
      <w:jc w:val="center"/>
    </w:pPr>
    <w:rPr>
      <w:rFonts w:ascii="Times New Roman Bold" w:hAnsi="Times New Roman Bold"/>
      <w:b/>
      <w:smallCaps/>
      <w:spacing w:val="-3"/>
    </w:rPr>
  </w:style>
  <w:style w:type="paragraph" w:styleId="NoSpacing">
    <w:name w:val="No Spacing"/>
    <w:link w:val="NoSpacingChar"/>
    <w:uiPriority w:val="1"/>
    <w:qFormat/>
    <w:rsid w:val="004327ED"/>
    <w:pPr>
      <w:spacing w:after="0" w:line="240" w:lineRule="auto"/>
    </w:pPr>
    <w:rPr>
      <w:rFonts w:ascii="Times New Roman" w:eastAsia="Times New Roman" w:hAnsi="Times New Roman" w:cs="Times New Roman"/>
      <w:sz w:val="24"/>
      <w:szCs w:val="24"/>
    </w:rPr>
  </w:style>
  <w:style w:type="character" w:customStyle="1" w:styleId="UnresolvedMention1">
    <w:name w:val="Unresolved Mention1"/>
    <w:basedOn w:val="DefaultParagraphFont"/>
    <w:uiPriority w:val="99"/>
    <w:semiHidden/>
    <w:unhideWhenUsed/>
    <w:rsid w:val="00050E5E"/>
    <w:rPr>
      <w:color w:val="605E5C"/>
      <w:shd w:val="clear" w:color="auto" w:fill="E1DFDD"/>
    </w:rPr>
  </w:style>
  <w:style w:type="character" w:customStyle="1" w:styleId="ListParagraphChar">
    <w:name w:val="List Paragraph Char"/>
    <w:aliases w:val="Título 2. Char,Fluvial1 Char,Bullet list first level Char,tablas Char,Cuadros Char,figuras y gráficos Char,VIÑETAS Char,titulo 5 Char"/>
    <w:link w:val="ListParagraph"/>
    <w:uiPriority w:val="34"/>
    <w:locked/>
    <w:rsid w:val="009F6FC6"/>
    <w:rPr>
      <w:rFonts w:ascii="Times New Roman" w:eastAsia="Times New Roman" w:hAnsi="Times New Roman" w:cs="Times New Roman"/>
      <w:sz w:val="24"/>
      <w:szCs w:val="20"/>
      <w:lang w:val="es-ES_tradnl"/>
    </w:rPr>
  </w:style>
  <w:style w:type="paragraph" w:customStyle="1" w:styleId="Char2">
    <w:name w:val="Char2"/>
    <w:basedOn w:val="Normal"/>
    <w:link w:val="FootnoteReference"/>
    <w:uiPriority w:val="99"/>
    <w:rsid w:val="009F6FC6"/>
    <w:pPr>
      <w:spacing w:after="160" w:line="240" w:lineRule="exact"/>
    </w:pPr>
    <w:rPr>
      <w:rFonts w:asciiTheme="minorHAnsi" w:eastAsiaTheme="minorHAnsi" w:hAnsiTheme="minorHAnsi" w:cstheme="minorBidi"/>
      <w:sz w:val="22"/>
      <w:szCs w:val="22"/>
      <w:vertAlign w:val="superscript"/>
      <w:lang w:val="en-US"/>
    </w:rPr>
  </w:style>
  <w:style w:type="character" w:styleId="Strong">
    <w:name w:val="Strong"/>
    <w:basedOn w:val="DefaultParagraphFont"/>
    <w:uiPriority w:val="22"/>
    <w:qFormat/>
    <w:rsid w:val="00A578FB"/>
    <w:rPr>
      <w:b/>
      <w:bCs/>
    </w:rPr>
  </w:style>
  <w:style w:type="paragraph" w:styleId="Revision">
    <w:name w:val="Revision"/>
    <w:hidden/>
    <w:uiPriority w:val="99"/>
    <w:semiHidden/>
    <w:rsid w:val="00A80CF7"/>
    <w:pPr>
      <w:spacing w:after="0" w:line="240" w:lineRule="auto"/>
    </w:pPr>
    <w:rPr>
      <w:rFonts w:ascii="Times New Roman" w:eastAsia="Times New Roman" w:hAnsi="Times New Roman" w:cs="Times New Roman"/>
      <w:sz w:val="24"/>
      <w:szCs w:val="20"/>
      <w:lang w:val="es-ES_tradnl"/>
    </w:rPr>
  </w:style>
  <w:style w:type="character" w:customStyle="1" w:styleId="NoSpacingChar">
    <w:name w:val="No Spacing Char"/>
    <w:link w:val="NoSpacing"/>
    <w:uiPriority w:val="1"/>
    <w:rsid w:val="00276323"/>
    <w:rPr>
      <w:rFonts w:ascii="Times New Roman" w:eastAsia="Times New Roman" w:hAnsi="Times New Roman" w:cs="Times New Roman"/>
      <w:sz w:val="24"/>
      <w:szCs w:val="24"/>
    </w:rPr>
  </w:style>
  <w:style w:type="character" w:customStyle="1" w:styleId="Subheading2Char">
    <w:name w:val="Subheading2 Char"/>
    <w:basedOn w:val="DefaultParagraphFont"/>
    <w:link w:val="Subheading2"/>
    <w:rsid w:val="008D029C"/>
    <w:rPr>
      <w:rFonts w:ascii="Times New Roman" w:eastAsia="Times New Roman" w:hAnsi="Times New Roman" w:cs="Times New Roman"/>
      <w:b/>
      <w:sz w:val="24"/>
      <w:szCs w:val="20"/>
      <w:lang w:val="es-ES_tradnl"/>
    </w:rPr>
  </w:style>
  <w:style w:type="character" w:customStyle="1" w:styleId="normaltextrun">
    <w:name w:val="normaltextrun"/>
    <w:basedOn w:val="DefaultParagraphFont"/>
    <w:rsid w:val="00E6181F"/>
  </w:style>
  <w:style w:type="numbering" w:customStyle="1" w:styleId="WWOutlineListStyle1">
    <w:name w:val="WW_OutlineListStyle1"/>
    <w:basedOn w:val="NoList"/>
    <w:rsid w:val="001B161E"/>
    <w:pPr>
      <w:numPr>
        <w:numId w:val="12"/>
      </w:numPr>
    </w:pPr>
  </w:style>
  <w:style w:type="paragraph" w:styleId="HTMLPreformatted">
    <w:name w:val="HTML Preformatted"/>
    <w:basedOn w:val="Normal"/>
    <w:link w:val="HTMLPreformattedChar"/>
    <w:uiPriority w:val="99"/>
    <w:semiHidden/>
    <w:unhideWhenUsed/>
    <w:rsid w:val="00352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en-US"/>
    </w:rPr>
  </w:style>
  <w:style w:type="character" w:customStyle="1" w:styleId="HTMLPreformattedChar">
    <w:name w:val="HTML Preformatted Char"/>
    <w:basedOn w:val="DefaultParagraphFont"/>
    <w:link w:val="HTMLPreformatted"/>
    <w:uiPriority w:val="99"/>
    <w:semiHidden/>
    <w:rsid w:val="00352068"/>
    <w:rPr>
      <w:rFonts w:ascii="Courier New" w:eastAsia="Times New Roman" w:hAnsi="Courier New" w:cs="Courier New"/>
      <w:sz w:val="20"/>
      <w:szCs w:val="20"/>
    </w:rPr>
  </w:style>
  <w:style w:type="paragraph" w:styleId="NormalWeb">
    <w:name w:val="Normal (Web)"/>
    <w:basedOn w:val="Normal"/>
    <w:uiPriority w:val="99"/>
    <w:unhideWhenUsed/>
    <w:rsid w:val="00DE33B1"/>
    <w:pPr>
      <w:spacing w:before="100" w:beforeAutospacing="1" w:after="100" w:afterAutospacing="1"/>
    </w:pPr>
    <w:rPr>
      <w:szCs w:val="24"/>
      <w:lang w:val="en-US"/>
    </w:rPr>
  </w:style>
  <w:style w:type="character" w:customStyle="1" w:styleId="eop">
    <w:name w:val="eop"/>
    <w:basedOn w:val="DefaultParagraphFont"/>
    <w:rsid w:val="00251306"/>
  </w:style>
  <w:style w:type="character" w:customStyle="1" w:styleId="spellingerror">
    <w:name w:val="spellingerror"/>
    <w:basedOn w:val="DefaultParagraphFont"/>
    <w:rsid w:val="00251306"/>
  </w:style>
  <w:style w:type="character" w:styleId="FollowedHyperlink">
    <w:name w:val="FollowedHyperlink"/>
    <w:basedOn w:val="DefaultParagraphFont"/>
    <w:uiPriority w:val="99"/>
    <w:semiHidden/>
    <w:unhideWhenUsed/>
    <w:rsid w:val="00CC5663"/>
    <w:rPr>
      <w:color w:val="800080" w:themeColor="followedHyperlink"/>
      <w:u w:val="single"/>
    </w:rPr>
  </w:style>
  <w:style w:type="character" w:styleId="UnresolvedMention">
    <w:name w:val="Unresolved Mention"/>
    <w:basedOn w:val="DefaultParagraphFont"/>
    <w:uiPriority w:val="99"/>
    <w:unhideWhenUsed/>
    <w:rsid w:val="00C25B26"/>
    <w:rPr>
      <w:color w:val="605E5C"/>
      <w:shd w:val="clear" w:color="auto" w:fill="E1DFDD"/>
    </w:rPr>
  </w:style>
  <w:style w:type="paragraph" w:customStyle="1" w:styleId="BVIfnrCharCharCharCharCharChar1CharCharCharCharCharChar">
    <w:name w:val="BVI fnr Char Char Char Char Char Char1 Char Char Char Char Char Char"/>
    <w:aliases w:val="BVI fnr Car Car Char Char Char Char Char Char Char Char Char Char Char Char,BVI fnr Car Char Char Char Char Char Char Char Char Char Char Char Char Char"/>
    <w:basedOn w:val="Normal"/>
    <w:uiPriority w:val="99"/>
    <w:rsid w:val="007426A6"/>
    <w:pPr>
      <w:spacing w:after="160" w:line="240" w:lineRule="exact"/>
    </w:pPr>
    <w:rPr>
      <w:rFonts w:ascii="Calibri" w:eastAsia="Calibri" w:hAnsi="Calibri"/>
      <w:sz w:val="20"/>
      <w:vertAlign w:val="superscript"/>
      <w:lang w:val="en-US" w:eastAsia="zh-CN"/>
    </w:rPr>
  </w:style>
  <w:style w:type="character" w:styleId="Mention">
    <w:name w:val="Mention"/>
    <w:basedOn w:val="DefaultParagraphFont"/>
    <w:uiPriority w:val="99"/>
    <w:unhideWhenUsed/>
    <w:rsid w:val="00BA29B5"/>
    <w:rPr>
      <w:color w:val="2B579A"/>
      <w:shd w:val="clear" w:color="auto" w:fill="E1DFDD"/>
    </w:rPr>
  </w:style>
  <w:style w:type="paragraph" w:customStyle="1" w:styleId="ProjectTitle">
    <w:name w:val="ProjectTitle"/>
    <w:rsid w:val="00075FED"/>
    <w:pPr>
      <w:spacing w:after="0" w:line="240" w:lineRule="auto"/>
      <w:jc w:val="center"/>
    </w:pPr>
    <w:rPr>
      <w:rFonts w:ascii="Arial" w:eastAsia="Times New Roman" w:hAnsi="Arial" w:cs="Times New Roman"/>
      <w:b/>
      <w:smallCaps/>
      <w:noProof/>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4368643">
      <w:bodyDiv w:val="1"/>
      <w:marLeft w:val="0"/>
      <w:marRight w:val="0"/>
      <w:marTop w:val="0"/>
      <w:marBottom w:val="0"/>
      <w:divBdr>
        <w:top w:val="none" w:sz="0" w:space="0" w:color="auto"/>
        <w:left w:val="none" w:sz="0" w:space="0" w:color="auto"/>
        <w:bottom w:val="none" w:sz="0" w:space="0" w:color="auto"/>
        <w:right w:val="none" w:sz="0" w:space="0" w:color="auto"/>
      </w:divBdr>
    </w:div>
    <w:div w:id="428161583">
      <w:bodyDiv w:val="1"/>
      <w:marLeft w:val="0"/>
      <w:marRight w:val="0"/>
      <w:marTop w:val="0"/>
      <w:marBottom w:val="0"/>
      <w:divBdr>
        <w:top w:val="none" w:sz="0" w:space="0" w:color="auto"/>
        <w:left w:val="none" w:sz="0" w:space="0" w:color="auto"/>
        <w:bottom w:val="none" w:sz="0" w:space="0" w:color="auto"/>
        <w:right w:val="none" w:sz="0" w:space="0" w:color="auto"/>
      </w:divBdr>
    </w:div>
    <w:div w:id="521476636">
      <w:bodyDiv w:val="1"/>
      <w:marLeft w:val="0"/>
      <w:marRight w:val="0"/>
      <w:marTop w:val="0"/>
      <w:marBottom w:val="0"/>
      <w:divBdr>
        <w:top w:val="none" w:sz="0" w:space="0" w:color="auto"/>
        <w:left w:val="none" w:sz="0" w:space="0" w:color="auto"/>
        <w:bottom w:val="none" w:sz="0" w:space="0" w:color="auto"/>
        <w:right w:val="none" w:sz="0" w:space="0" w:color="auto"/>
      </w:divBdr>
      <w:divsChild>
        <w:div w:id="1007443655">
          <w:marLeft w:val="0"/>
          <w:marRight w:val="0"/>
          <w:marTop w:val="0"/>
          <w:marBottom w:val="0"/>
          <w:divBdr>
            <w:top w:val="none" w:sz="0" w:space="0" w:color="auto"/>
            <w:left w:val="none" w:sz="0" w:space="0" w:color="auto"/>
            <w:bottom w:val="none" w:sz="0" w:space="0" w:color="auto"/>
            <w:right w:val="none" w:sz="0" w:space="0" w:color="auto"/>
          </w:divBdr>
          <w:divsChild>
            <w:div w:id="1574924501">
              <w:marLeft w:val="0"/>
              <w:marRight w:val="0"/>
              <w:marTop w:val="0"/>
              <w:marBottom w:val="0"/>
              <w:divBdr>
                <w:top w:val="none" w:sz="0" w:space="0" w:color="auto"/>
                <w:left w:val="none" w:sz="0" w:space="0" w:color="auto"/>
                <w:bottom w:val="none" w:sz="0" w:space="0" w:color="auto"/>
                <w:right w:val="none" w:sz="0" w:space="0" w:color="auto"/>
              </w:divBdr>
              <w:divsChild>
                <w:div w:id="1262101699">
                  <w:marLeft w:val="0"/>
                  <w:marRight w:val="0"/>
                  <w:marTop w:val="0"/>
                  <w:marBottom w:val="0"/>
                  <w:divBdr>
                    <w:top w:val="none" w:sz="0" w:space="0" w:color="auto"/>
                    <w:left w:val="none" w:sz="0" w:space="0" w:color="auto"/>
                    <w:bottom w:val="none" w:sz="0" w:space="0" w:color="auto"/>
                    <w:right w:val="none" w:sz="0" w:space="0" w:color="auto"/>
                  </w:divBdr>
                  <w:divsChild>
                    <w:div w:id="1493527978">
                      <w:marLeft w:val="0"/>
                      <w:marRight w:val="0"/>
                      <w:marTop w:val="0"/>
                      <w:marBottom w:val="0"/>
                      <w:divBdr>
                        <w:top w:val="none" w:sz="0" w:space="0" w:color="auto"/>
                        <w:left w:val="none" w:sz="0" w:space="0" w:color="auto"/>
                        <w:bottom w:val="none" w:sz="0" w:space="0" w:color="auto"/>
                        <w:right w:val="none" w:sz="0" w:space="0" w:color="auto"/>
                      </w:divBdr>
                      <w:divsChild>
                        <w:div w:id="1974559853">
                          <w:marLeft w:val="0"/>
                          <w:marRight w:val="0"/>
                          <w:marTop w:val="0"/>
                          <w:marBottom w:val="0"/>
                          <w:divBdr>
                            <w:top w:val="none" w:sz="0" w:space="0" w:color="auto"/>
                            <w:left w:val="none" w:sz="0" w:space="0" w:color="auto"/>
                            <w:bottom w:val="none" w:sz="0" w:space="0" w:color="auto"/>
                            <w:right w:val="none" w:sz="0" w:space="0" w:color="auto"/>
                          </w:divBdr>
                          <w:divsChild>
                            <w:div w:id="2123302892">
                              <w:marLeft w:val="0"/>
                              <w:marRight w:val="0"/>
                              <w:marTop w:val="0"/>
                              <w:marBottom w:val="0"/>
                              <w:divBdr>
                                <w:top w:val="none" w:sz="0" w:space="0" w:color="auto"/>
                                <w:left w:val="none" w:sz="0" w:space="0" w:color="auto"/>
                                <w:bottom w:val="none" w:sz="0" w:space="0" w:color="auto"/>
                                <w:right w:val="none" w:sz="0" w:space="0" w:color="auto"/>
                              </w:divBdr>
                              <w:divsChild>
                                <w:div w:id="853540870">
                                  <w:marLeft w:val="0"/>
                                  <w:marRight w:val="0"/>
                                  <w:marTop w:val="0"/>
                                  <w:marBottom w:val="0"/>
                                  <w:divBdr>
                                    <w:top w:val="none" w:sz="0" w:space="0" w:color="auto"/>
                                    <w:left w:val="none" w:sz="0" w:space="0" w:color="auto"/>
                                    <w:bottom w:val="none" w:sz="0" w:space="0" w:color="auto"/>
                                    <w:right w:val="none" w:sz="0" w:space="0" w:color="auto"/>
                                  </w:divBdr>
                                  <w:divsChild>
                                    <w:div w:id="482697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9348603">
      <w:bodyDiv w:val="1"/>
      <w:marLeft w:val="0"/>
      <w:marRight w:val="0"/>
      <w:marTop w:val="0"/>
      <w:marBottom w:val="0"/>
      <w:divBdr>
        <w:top w:val="none" w:sz="0" w:space="0" w:color="auto"/>
        <w:left w:val="none" w:sz="0" w:space="0" w:color="auto"/>
        <w:bottom w:val="none" w:sz="0" w:space="0" w:color="auto"/>
        <w:right w:val="none" w:sz="0" w:space="0" w:color="auto"/>
      </w:divBdr>
      <w:divsChild>
        <w:div w:id="1315065391">
          <w:marLeft w:val="0"/>
          <w:marRight w:val="0"/>
          <w:marTop w:val="0"/>
          <w:marBottom w:val="0"/>
          <w:divBdr>
            <w:top w:val="none" w:sz="0" w:space="0" w:color="auto"/>
            <w:left w:val="none" w:sz="0" w:space="0" w:color="auto"/>
            <w:bottom w:val="none" w:sz="0" w:space="0" w:color="auto"/>
            <w:right w:val="none" w:sz="0" w:space="0" w:color="auto"/>
          </w:divBdr>
        </w:div>
      </w:divsChild>
    </w:div>
    <w:div w:id="1394160924">
      <w:bodyDiv w:val="1"/>
      <w:marLeft w:val="0"/>
      <w:marRight w:val="0"/>
      <w:marTop w:val="0"/>
      <w:marBottom w:val="0"/>
      <w:divBdr>
        <w:top w:val="none" w:sz="0" w:space="0" w:color="auto"/>
        <w:left w:val="none" w:sz="0" w:space="0" w:color="auto"/>
        <w:bottom w:val="none" w:sz="0" w:space="0" w:color="auto"/>
        <w:right w:val="none" w:sz="0" w:space="0" w:color="auto"/>
      </w:divBdr>
      <w:divsChild>
        <w:div w:id="474951286">
          <w:marLeft w:val="0"/>
          <w:marRight w:val="0"/>
          <w:marTop w:val="0"/>
          <w:marBottom w:val="0"/>
          <w:divBdr>
            <w:top w:val="none" w:sz="0" w:space="0" w:color="auto"/>
            <w:left w:val="none" w:sz="0" w:space="0" w:color="auto"/>
            <w:bottom w:val="none" w:sz="0" w:space="0" w:color="auto"/>
            <w:right w:val="none" w:sz="0" w:space="0" w:color="auto"/>
          </w:divBdr>
        </w:div>
      </w:divsChild>
    </w:div>
    <w:div w:id="1495298052">
      <w:bodyDiv w:val="1"/>
      <w:marLeft w:val="0"/>
      <w:marRight w:val="0"/>
      <w:marTop w:val="0"/>
      <w:marBottom w:val="0"/>
      <w:divBdr>
        <w:top w:val="none" w:sz="0" w:space="0" w:color="auto"/>
        <w:left w:val="none" w:sz="0" w:space="0" w:color="auto"/>
        <w:bottom w:val="none" w:sz="0" w:space="0" w:color="auto"/>
        <w:right w:val="none" w:sz="0" w:space="0" w:color="auto"/>
      </w:divBdr>
      <w:divsChild>
        <w:div w:id="3777767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yperlink" Target="https://doi.org/10.1080/00220388.2020.1715941" TargetMode="External"/><Relationship Id="rId26" Type="http://schemas.openxmlformats.org/officeDocument/2006/relationships/hyperlink" Target="mailto:gerardor@iadb.org" TargetMode="External"/><Relationship Id="rId3" Type="http://schemas.openxmlformats.org/officeDocument/2006/relationships/customXml" Target="../customXml/item3.xml"/><Relationship Id="rId21" Type="http://schemas.openxmlformats.org/officeDocument/2006/relationships/hyperlink" Target="https://doi.org/10.1007/s00134-020-05979-7"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ideas.repec.org/a/oup/qjecon/v130y2015i1p165-218.html" TargetMode="External"/><Relationship Id="rId25" Type="http://schemas.openxmlformats.org/officeDocument/2006/relationships/hyperlink" Target="https://www.who.int/emergencies/diseases/novel-coronavirus-2019/situation-reports/"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doi.org/10.1002/14651858.CD011135.pub2"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6.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5.xml"/><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https://doi.org/10.3201/eid2605.190995" TargetMode="External"/><Relationship Id="rId27" Type="http://schemas.openxmlformats.org/officeDocument/2006/relationships/fontTable" Target="fontTable.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BA</TermName>
          <TermId xmlns="http://schemas.microsoft.com/office/infopath/2007/PartnerControls">2e62bac6-7007-4d9a-9183-df33585926ed</TermId>
        </TermInfo>
      </Terms>
    </ic46d7e087fd4a108fb86518ca413cc6>
    <IDBDocs_x0020_Number xmlns="cdc7663a-08f0-4737-9e8c-148ce897a09c" xsi:nil="true"/>
    <Division_x0020_or_x0020_Unit xmlns="cdc7663a-08f0-4737-9e8c-148ce897a09c">IFD/FMM</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Reyes-Tagle Gerardo</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RM-FIS</TermName>
          <TermId xmlns="http://schemas.microsoft.com/office/infopath/2007/PartnerControls">6e15b5e0-ae82-4b06-920a-eef6dd27cc8b</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27</Value>
      <Value>46</Value>
      <Value>108</Value>
      <Value>1</Value>
      <Value>28</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BA-L1050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RM</TermName>
          <TermId xmlns="http://schemas.microsoft.com/office/infopath/2007/PartnerControls">c8fda4a7-691a-4c65-b227-9825197b5cd2</TermId>
        </TermInfo>
      </Terms>
    </nddeef1749674d76abdbe4b239a70bc6>
    <Record_x0020_Number xmlns="cdc7663a-08f0-4737-9e8c-148ce897a09c" xsi:nil="true"/>
    <_dlc_DocId xmlns="cdc7663a-08f0-4737-9e8c-148ce897a09c">EZSHARE-977313297-13</_dlc_DocId>
    <_dlc_DocIdUrl xmlns="cdc7663a-08f0-4737-9e8c-148ce897a09c">
      <Url>https://idbg.sharepoint.com/teams/EZ-BA-LON/BA-L1050/_layouts/15/DocIdRedir.aspx?ID=EZSHARE-977313297-13</Url>
      <Description>EZSHARE-977313297-13</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8C027F8D8FE024EB7DA5182C410CE8D" ma:contentTypeVersion="0" ma:contentTypeDescription="A content type to manage public (operations) IDB documents" ma:contentTypeScope="" ma:versionID="49cd3cec40c04af9c7fa8a2e62e01d0b">
  <xsd:schema xmlns:xsd="http://www.w3.org/2001/XMLSchema" xmlns:xs="http://www.w3.org/2001/XMLSchema" xmlns:p="http://schemas.microsoft.com/office/2006/metadata/properties" xmlns:ns2="cdc7663a-08f0-4737-9e8c-148ce897a09c" targetNamespace="http://schemas.microsoft.com/office/2006/metadata/properties" ma:root="true" ma:fieldsID="b51145b23eb45df5ee4f3bf6e5bbf94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A-L1050"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ez-Operations" ma:contentTypeID="0x010100ACF722E9F6B0B149B0CD8BE2560A66720084DEFDEA397322428E74DF93099B7AA6" ma:contentTypeVersion="0" ma:contentTypeDescription="The base project type from which other project content types inherit their information." ma:contentTypeScope="" ma:versionID="af57a1b5dd7b947f963635b49215a6b5">
  <xsd:schema xmlns:xsd="http://www.w3.org/2001/XMLSchema" xmlns:xs="http://www.w3.org/2001/XMLSchema" xmlns:p="http://schemas.microsoft.com/office/2006/metadata/properties" xmlns:ns2="cdc7663a-08f0-4737-9e8c-148ce897a09c" targetNamespace="http://schemas.microsoft.com/office/2006/metadata/properties" ma:root="true" ma:fieldsID="7885550ae20e0fbb4491386e8e5af3f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BA-L1050"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B62102A-1712-4A2C-A575-6884F7E11AAF}">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cdc7663a-08f0-4737-9e8c-148ce897a09c"/>
    <ds:schemaRef ds:uri="http://www.w3.org/XML/1998/namespace"/>
    <ds:schemaRef ds:uri="http://purl.org/dc/dcmitype/"/>
  </ds:schemaRefs>
</ds:datastoreItem>
</file>

<file path=customXml/itemProps2.xml><?xml version="1.0" encoding="utf-8"?>
<ds:datastoreItem xmlns:ds="http://schemas.openxmlformats.org/officeDocument/2006/customXml" ds:itemID="{CCA2B094-16BC-4F8B-80CC-8340DC6D4128}"/>
</file>

<file path=customXml/itemProps3.xml><?xml version="1.0" encoding="utf-8"?>
<ds:datastoreItem xmlns:ds="http://schemas.openxmlformats.org/officeDocument/2006/customXml" ds:itemID="{885E79D0-CE81-411F-A760-689E886A85D1}"/>
</file>

<file path=customXml/itemProps4.xml><?xml version="1.0" encoding="utf-8"?>
<ds:datastoreItem xmlns:ds="http://schemas.openxmlformats.org/officeDocument/2006/customXml" ds:itemID="{AB86BA4B-7D4E-434A-8A94-40D1001EF1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DFA956C-F229-404C-8CA8-43A2DFB02203}">
  <ds:schemaRefs>
    <ds:schemaRef ds:uri="http://schemas.microsoft.com/sharepoint/v3/contenttype/forms"/>
  </ds:schemaRefs>
</ds:datastoreItem>
</file>

<file path=customXml/itemProps6.xml><?xml version="1.0" encoding="utf-8"?>
<ds:datastoreItem xmlns:ds="http://schemas.openxmlformats.org/officeDocument/2006/customXml" ds:itemID="{6B15A50F-45C5-4F06-9C95-11E7C1DB45B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8706</Words>
  <Characters>49627</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58217</CharactersWithSpaces>
  <SharedDoc>false</SharedDoc>
  <HLinks>
    <vt:vector size="42" baseType="variant">
      <vt:variant>
        <vt:i4>3342366</vt:i4>
      </vt:variant>
      <vt:variant>
        <vt:i4>78</vt:i4>
      </vt:variant>
      <vt:variant>
        <vt:i4>0</vt:i4>
      </vt:variant>
      <vt:variant>
        <vt:i4>5</vt:i4>
      </vt:variant>
      <vt:variant>
        <vt:lpwstr>mailto:xxxxxxx@iadb.org</vt:lpwstr>
      </vt:variant>
      <vt:variant>
        <vt:lpwstr/>
      </vt:variant>
      <vt:variant>
        <vt:i4>3866742</vt:i4>
      </vt:variant>
      <vt:variant>
        <vt:i4>75</vt:i4>
      </vt:variant>
      <vt:variant>
        <vt:i4>0</vt:i4>
      </vt:variant>
      <vt:variant>
        <vt:i4>5</vt:i4>
      </vt:variant>
      <vt:variant>
        <vt:lpwstr>https://www.who.int/emergencies/diseases/novel-coronavirus-2019/situation-reports/</vt:lpwstr>
      </vt:variant>
      <vt:variant>
        <vt:lpwstr/>
      </vt:variant>
      <vt:variant>
        <vt:i4>2162736</vt:i4>
      </vt:variant>
      <vt:variant>
        <vt:i4>72</vt:i4>
      </vt:variant>
      <vt:variant>
        <vt:i4>0</vt:i4>
      </vt:variant>
      <vt:variant>
        <vt:i4>5</vt:i4>
      </vt:variant>
      <vt:variant>
        <vt:lpwstr>https://doi.org/10.1007/s00134-020-05979-7</vt:lpwstr>
      </vt:variant>
      <vt:variant>
        <vt:lpwstr/>
      </vt:variant>
      <vt:variant>
        <vt:i4>2752566</vt:i4>
      </vt:variant>
      <vt:variant>
        <vt:i4>69</vt:i4>
      </vt:variant>
      <vt:variant>
        <vt:i4>0</vt:i4>
      </vt:variant>
      <vt:variant>
        <vt:i4>5</vt:i4>
      </vt:variant>
      <vt:variant>
        <vt:lpwstr>https://doi.org/10.1002/14651858.CD011135.pub2</vt:lpwstr>
      </vt:variant>
      <vt:variant>
        <vt:lpwstr/>
      </vt:variant>
      <vt:variant>
        <vt:i4>6357091</vt:i4>
      </vt:variant>
      <vt:variant>
        <vt:i4>66</vt:i4>
      </vt:variant>
      <vt:variant>
        <vt:i4>0</vt:i4>
      </vt:variant>
      <vt:variant>
        <vt:i4>5</vt:i4>
      </vt:variant>
      <vt:variant>
        <vt:lpwstr>https://doi.org/10.3201/eid2605.190995</vt:lpwstr>
      </vt:variant>
      <vt:variant>
        <vt:lpwstr/>
      </vt:variant>
      <vt:variant>
        <vt:i4>655431</vt:i4>
      </vt:variant>
      <vt:variant>
        <vt:i4>63</vt:i4>
      </vt:variant>
      <vt:variant>
        <vt:i4>0</vt:i4>
      </vt:variant>
      <vt:variant>
        <vt:i4>5</vt:i4>
      </vt:variant>
      <vt:variant>
        <vt:lpwstr>https://doi.org/10.1080/00220388.2020.1715941</vt:lpwstr>
      </vt:variant>
      <vt:variant>
        <vt:lpwstr/>
      </vt:variant>
      <vt:variant>
        <vt:i4>1048640</vt:i4>
      </vt:variant>
      <vt:variant>
        <vt:i4>60</vt:i4>
      </vt:variant>
      <vt:variant>
        <vt:i4>0</vt:i4>
      </vt:variant>
      <vt:variant>
        <vt:i4>5</vt:i4>
      </vt:variant>
      <vt:variant>
        <vt:lpwstr>http://ideas.repec.org/a/oup/qjecon/v130y2015i1p165-218.html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2020-04-30T02:34:00Z</dcterms:created>
  <dcterms:modified xsi:type="dcterms:W3CDTF">2020-11-05T20:39:00Z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28;#BA|2e62bac6-7007-4d9a-9183-df33585926ed</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1;#Project Preparation Planning and Design|29ca0c72-1fc4-435f-a09c-28585cb5eac9</vt:lpwstr>
  </property>
  <property fmtid="{D5CDD505-2E9C-101B-9397-08002B2CF9AE}" pid="10" name="Sector_x0020_IDB">
    <vt:lpwstr/>
  </property>
  <property fmtid="{D5CDD505-2E9C-101B-9397-08002B2CF9AE}" pid="11" name="Sub-Sector">
    <vt:lpwstr>108;#RM-FIS|6e15b5e0-ae82-4b06-920a-eef6dd27cc8b</vt:lpwstr>
  </property>
  <property fmtid="{D5CDD505-2E9C-101B-9397-08002B2CF9AE}" pid="13" name="Fund IDB">
    <vt:lpwstr>27;#ORC|c028a4b2-ad8b-4cf4-9cac-a2ae6a778e23</vt:lpwstr>
  </property>
  <property fmtid="{D5CDD505-2E9C-101B-9397-08002B2CF9AE}" pid="14" name="Sector IDB">
    <vt:lpwstr>46;#RM|c8fda4a7-691a-4c65-b227-9825197b5cd2</vt:lpwstr>
  </property>
  <property fmtid="{D5CDD505-2E9C-101B-9397-08002B2CF9AE}" pid="15" name="_dlc_DocIdItemGuid">
    <vt:lpwstr>8664f11e-4d4f-4fcf-8489-5d93a4fbab38</vt:lpwstr>
  </property>
  <property fmtid="{D5CDD505-2E9C-101B-9397-08002B2CF9AE}" pid="16" name="Disclosure Activity">
    <vt:lpwstr>Loan Proposal</vt:lpwstr>
  </property>
  <property fmtid="{D5CDD505-2E9C-101B-9397-08002B2CF9AE}" pid="17" name="ContentTypeId">
    <vt:lpwstr>0x0101001A458A224826124E8B45B1D613300CFC0038C027F8D8FE024EB7DA5182C410CE8D</vt:lpwstr>
  </property>
  <property fmtid="{D5CDD505-2E9C-101B-9397-08002B2CF9AE}" pid="18" name="Series Operations IDB">
    <vt:lpwstr/>
  </property>
</Properties>
</file>