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A2ED0" w:rsidR="00D761FB" w:rsidP="3E68704B" w:rsidRDefault="00546C8D" w14:paraId="6A246E3F" w14:textId="5A1D5527">
      <w:pPr>
        <w:pStyle w:val="Heading1a"/>
        <w:keepNext w:val="0"/>
        <w:keepLines w:val="0"/>
        <w:suppressAutoHyphens w:val="0"/>
        <w:jc w:val="both"/>
        <w:rPr>
          <w:rFonts w:ascii="Calibri" w:hAnsi="Calibri" w:cs="Calibri" w:asciiTheme="minorAscii" w:hAnsiTheme="minorAscii" w:cstheme="minorAscii"/>
          <w:caps w:val="0"/>
          <w:smallCaps w:val="0"/>
          <w:sz w:val="28"/>
          <w:szCs w:val="28"/>
          <w:u w:val="single"/>
          <w:lang w:val="es-CO"/>
        </w:rPr>
      </w:pPr>
      <w:r w:rsidR="00546C8D">
        <w:drawing>
          <wp:inline wp14:editId="5359F2BE" wp14:anchorId="24176DB2">
            <wp:extent cx="1952625" cy="495300"/>
            <wp:effectExtent l="0" t="0" r="9525" b="0"/>
            <wp:docPr id="1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accf8e71ad4c47f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526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E68704B" w:rsidR="00546C8D">
        <w:rPr>
          <w:rFonts w:ascii="Calibri" w:hAnsi="Calibri" w:asciiTheme="minorAscii" w:hAnsiTheme="minorAscii"/>
          <w:lang w:val="es-CO"/>
        </w:rPr>
        <w:t xml:space="preserve">                </w:t>
      </w:r>
    </w:p>
    <w:p w:rsidRPr="006A2ED0" w:rsidR="00D761FB" w:rsidP="3E68704B" w:rsidRDefault="00546C8D" w14:paraId="7BC714B6" w14:textId="41194590">
      <w:pPr>
        <w:pStyle w:val="Heading1a"/>
        <w:keepNext w:val="0"/>
        <w:keepLines w:val="0"/>
        <w:suppressAutoHyphens w:val="0"/>
        <w:jc w:val="center"/>
        <w:rPr>
          <w:rFonts w:ascii="Arial" w:hAnsi="Arial" w:eastAsia="" w:cs="Arial" w:eastAsiaTheme="minorEastAsia"/>
          <w:sz w:val="28"/>
          <w:szCs w:val="28"/>
          <w:u w:val="single"/>
          <w:lang w:val="es-CO"/>
        </w:rPr>
      </w:pPr>
      <w:r w:rsidRPr="3E68704B" w:rsidR="00546C8D">
        <w:rPr>
          <w:rFonts w:ascii="Arial" w:hAnsi="Arial" w:eastAsia="" w:cs="Arial" w:eastAsiaTheme="minorEastAsia"/>
          <w:caps w:val="0"/>
          <w:smallCaps w:val="0"/>
          <w:sz w:val="28"/>
          <w:szCs w:val="28"/>
          <w:u w:val="single"/>
          <w:lang w:val="es-CO"/>
        </w:rPr>
        <w:t xml:space="preserve">SOLICITUD DE </w:t>
      </w:r>
      <w:r w:rsidRPr="3E68704B" w:rsidR="00E82ED1">
        <w:rPr>
          <w:rFonts w:ascii="Arial" w:hAnsi="Arial" w:eastAsia="" w:cs="Arial" w:eastAsiaTheme="minorEastAsia"/>
          <w:caps w:val="0"/>
          <w:smallCaps w:val="0"/>
          <w:sz w:val="28"/>
          <w:szCs w:val="28"/>
          <w:u w:val="single"/>
          <w:lang w:val="es-CO"/>
        </w:rPr>
        <w:t xml:space="preserve">EXPRESIONES </w:t>
      </w:r>
      <w:r w:rsidRPr="3E68704B" w:rsidR="00546C8D">
        <w:rPr>
          <w:rFonts w:ascii="Arial" w:hAnsi="Arial" w:eastAsia="" w:cs="Arial" w:eastAsiaTheme="minorEastAsia"/>
          <w:caps w:val="0"/>
          <w:smallCaps w:val="0"/>
          <w:sz w:val="28"/>
          <w:szCs w:val="28"/>
          <w:u w:val="single"/>
          <w:lang w:val="es-CO"/>
        </w:rPr>
        <w:t>DE INTERÉS</w:t>
      </w:r>
    </w:p>
    <w:p w:rsidRPr="006A2ED0" w:rsidR="00D761FB" w:rsidP="3E68704B" w:rsidRDefault="00546C8D" w14:paraId="32A39256" w14:textId="77777777">
      <w:pPr>
        <w:pStyle w:val="Heading1a"/>
        <w:keepNext w:val="0"/>
        <w:keepLines w:val="0"/>
        <w:suppressAutoHyphens w:val="0"/>
        <w:jc w:val="center"/>
        <w:rPr>
          <w:rFonts w:ascii="Arial" w:hAnsi="Arial" w:eastAsia="" w:cs="Arial" w:eastAsiaTheme="minorEastAsia"/>
          <w:sz w:val="28"/>
          <w:szCs w:val="28"/>
          <w:u w:val="single"/>
          <w:lang w:val="es-CO"/>
        </w:rPr>
      </w:pPr>
      <w:r w:rsidRPr="3E68704B" w:rsidR="00546C8D">
        <w:rPr>
          <w:rFonts w:ascii="Arial" w:hAnsi="Arial" w:eastAsia="" w:cs="Arial" w:eastAsiaTheme="minorEastAsia"/>
          <w:caps w:val="0"/>
          <w:smallCaps w:val="0"/>
          <w:sz w:val="28"/>
          <w:szCs w:val="28"/>
          <w:u w:val="single"/>
          <w:lang w:val="es-CO"/>
        </w:rPr>
        <w:t>SERVICIOS DE CONSULTORÍA</w:t>
      </w:r>
    </w:p>
    <w:p w:rsidRPr="006A2ED0" w:rsidR="00D761FB" w:rsidRDefault="00D761FB" w14:paraId="2E615853" w14:textId="77777777">
      <w:pPr>
        <w:jc w:val="both"/>
        <w:rPr>
          <w:color w:val="auto"/>
        </w:rPr>
      </w:pPr>
    </w:p>
    <w:p w:rsidRPr="006A2ED0" w:rsidR="008F60D4" w:rsidP="3E68704B" w:rsidRDefault="008F60D4" w14:paraId="7AA50E02" w14:textId="77777777">
      <w:pPr>
        <w:suppressAutoHyphens/>
        <w:jc w:val="both"/>
        <w:rPr>
          <w:color w:val="auto"/>
          <w:sz w:val="22"/>
          <w:szCs w:val="22"/>
        </w:rPr>
      </w:pPr>
    </w:p>
    <w:p w:rsidRPr="006A2ED0" w:rsidR="00D761FB" w:rsidP="3E68704B" w:rsidRDefault="08202347" w14:paraId="2FE659F0" w14:textId="70ED3828">
      <w:pPr>
        <w:suppressAutoHyphens/>
        <w:jc w:val="both"/>
        <w:rPr>
          <w:color w:val="auto"/>
          <w:sz w:val="22"/>
          <w:szCs w:val="22"/>
        </w:rPr>
      </w:pPr>
      <w:r w:rsidRPr="3E68704B" w:rsidR="08202347">
        <w:rPr>
          <w:color w:val="auto"/>
          <w:sz w:val="22"/>
          <w:szCs w:val="22"/>
        </w:rPr>
        <w:t xml:space="preserve">Selección #: </w:t>
      </w:r>
      <w:r w:rsidRPr="3E68704B" w:rsidR="00E2397D">
        <w:rPr>
          <w:color w:val="auto"/>
          <w:sz w:val="22"/>
          <w:szCs w:val="22"/>
        </w:rPr>
        <w:t>BO</w:t>
      </w:r>
      <w:r w:rsidRPr="3E68704B" w:rsidR="00E17C99">
        <w:rPr>
          <w:color w:val="auto"/>
          <w:sz w:val="22"/>
          <w:szCs w:val="22"/>
        </w:rPr>
        <w:t>-</w:t>
      </w:r>
      <w:r w:rsidRPr="3E68704B" w:rsidR="00E2397D">
        <w:rPr>
          <w:color w:val="auto"/>
          <w:sz w:val="22"/>
          <w:szCs w:val="22"/>
        </w:rPr>
        <w:t>T1391-</w:t>
      </w:r>
      <w:r w:rsidRPr="3E68704B" w:rsidR="00E17C99">
        <w:rPr>
          <w:color w:val="auto"/>
          <w:sz w:val="22"/>
          <w:szCs w:val="22"/>
        </w:rPr>
        <w:t>P00</w:t>
      </w:r>
      <w:r w:rsidRPr="3E68704B" w:rsidR="00E2397D">
        <w:rPr>
          <w:color w:val="auto"/>
          <w:sz w:val="22"/>
          <w:szCs w:val="22"/>
        </w:rPr>
        <w:t>1</w:t>
      </w:r>
      <w:r w:rsidRPr="3E68704B" w:rsidR="00E17C99">
        <w:rPr>
          <w:color w:val="auto"/>
          <w:sz w:val="22"/>
          <w:szCs w:val="22"/>
        </w:rPr>
        <w:t xml:space="preserve"> </w:t>
      </w:r>
    </w:p>
    <w:p w:rsidRPr="006A2ED0" w:rsidR="00D761FB" w:rsidP="3E68704B" w:rsidRDefault="08202347" w14:paraId="4356DB27" w14:textId="784FEE6A">
      <w:pPr>
        <w:suppressAutoHyphens/>
        <w:jc w:val="both"/>
        <w:rPr>
          <w:i w:val="1"/>
          <w:iCs w:val="1"/>
          <w:color w:val="auto"/>
          <w:sz w:val="22"/>
          <w:szCs w:val="22"/>
        </w:rPr>
      </w:pPr>
      <w:r w:rsidRPr="3E68704B" w:rsidR="08202347">
        <w:rPr>
          <w:color w:val="auto"/>
          <w:sz w:val="22"/>
          <w:szCs w:val="22"/>
        </w:rPr>
        <w:t xml:space="preserve">País: </w:t>
      </w:r>
      <w:r w:rsidRPr="3E68704B" w:rsidR="08202347">
        <w:rPr>
          <w:i w:val="1"/>
          <w:iCs w:val="1"/>
          <w:color w:val="auto"/>
          <w:sz w:val="22"/>
          <w:szCs w:val="22"/>
        </w:rPr>
        <w:t xml:space="preserve"> </w:t>
      </w:r>
      <w:r w:rsidRPr="3E68704B" w:rsidR="00E2397D">
        <w:rPr>
          <w:i w:val="1"/>
          <w:iCs w:val="1"/>
          <w:color w:val="auto"/>
          <w:sz w:val="22"/>
          <w:szCs w:val="22"/>
        </w:rPr>
        <w:t>Bolivia</w:t>
      </w:r>
    </w:p>
    <w:p w:rsidRPr="006A2ED0" w:rsidR="00D761FB" w:rsidP="3E68704B" w:rsidRDefault="08202347" w14:paraId="4C834057" w14:textId="22D6ACA0">
      <w:pPr>
        <w:suppressAutoHyphens/>
        <w:jc w:val="both"/>
        <w:rPr>
          <w:i w:val="1"/>
          <w:iCs w:val="1"/>
          <w:color w:val="auto"/>
          <w:sz w:val="22"/>
          <w:szCs w:val="22"/>
        </w:rPr>
      </w:pPr>
      <w:r w:rsidRPr="3E68704B" w:rsidR="08202347">
        <w:rPr>
          <w:i w:val="1"/>
          <w:iCs w:val="1"/>
          <w:color w:val="auto"/>
          <w:sz w:val="22"/>
          <w:szCs w:val="22"/>
        </w:rPr>
        <w:t>Sector:</w:t>
      </w:r>
      <w:r w:rsidRPr="3E68704B" w:rsidR="007C5928">
        <w:rPr>
          <w:i w:val="1"/>
          <w:iCs w:val="1"/>
          <w:color w:val="auto"/>
          <w:sz w:val="22"/>
          <w:szCs w:val="22"/>
        </w:rPr>
        <w:t xml:space="preserve"> </w:t>
      </w:r>
      <w:r w:rsidRPr="3E68704B" w:rsidR="00E17C99">
        <w:rPr>
          <w:i w:val="1"/>
          <w:iCs w:val="1"/>
          <w:color w:val="auto"/>
          <w:sz w:val="22"/>
          <w:szCs w:val="22"/>
        </w:rPr>
        <w:t>ENE</w:t>
      </w:r>
    </w:p>
    <w:p w:rsidRPr="006A2ED0" w:rsidR="00D761FB" w:rsidP="3E68704B" w:rsidRDefault="08202347" w14:paraId="420580C3" w14:textId="2D7A4F45">
      <w:pPr>
        <w:suppressAutoHyphens/>
        <w:jc w:val="both"/>
        <w:rPr>
          <w:i w:val="1"/>
          <w:iCs w:val="1"/>
          <w:color w:val="auto"/>
          <w:sz w:val="22"/>
          <w:szCs w:val="22"/>
        </w:rPr>
      </w:pPr>
      <w:r w:rsidRPr="3E68704B" w:rsidR="08202347">
        <w:rPr>
          <w:i w:val="1"/>
          <w:iCs w:val="1"/>
          <w:color w:val="auto"/>
          <w:sz w:val="22"/>
          <w:szCs w:val="22"/>
        </w:rPr>
        <w:t>Financiación - TC #:</w:t>
      </w:r>
      <w:r w:rsidR="00E17C99">
        <w:rPr/>
        <w:t xml:space="preserve"> </w:t>
      </w:r>
    </w:p>
    <w:p w:rsidRPr="006A2ED0" w:rsidR="00D761FB" w:rsidP="3E68704B" w:rsidRDefault="08202347" w14:paraId="6B175998" w14:textId="25E87A8F">
      <w:pPr>
        <w:pStyle w:val="BodyText"/>
        <w:ind w:right="-333"/>
        <w:jc w:val="both"/>
        <w:rPr>
          <w:rFonts w:ascii="Arial" w:hAnsi="Arial" w:cs="Arial"/>
          <w:sz w:val="22"/>
          <w:szCs w:val="22"/>
        </w:rPr>
      </w:pPr>
      <w:r w:rsidRPr="3E68704B" w:rsidR="08202347">
        <w:rPr>
          <w:rFonts w:ascii="Arial" w:hAnsi="Arial" w:eastAsia="" w:cs="Arial" w:eastAsiaTheme="minorEastAsia"/>
          <w:i w:val="1"/>
          <w:iCs w:val="1"/>
          <w:sz w:val="22"/>
          <w:szCs w:val="22"/>
        </w:rPr>
        <w:t>Proyecto #:</w:t>
      </w:r>
      <w:r w:rsidRPr="3E68704B" w:rsidR="007C5928">
        <w:rPr>
          <w:rFonts w:ascii="Arial" w:hAnsi="Arial" w:eastAsia="" w:cs="Arial" w:eastAsiaTheme="minorEastAsia"/>
          <w:i w:val="1"/>
          <w:iCs w:val="1"/>
          <w:sz w:val="22"/>
          <w:szCs w:val="22"/>
        </w:rPr>
        <w:t xml:space="preserve"> </w:t>
      </w:r>
      <w:r w:rsidRPr="3E68704B" w:rsidR="00E2397D">
        <w:rPr>
          <w:rFonts w:ascii="Arial" w:hAnsi="Arial" w:eastAsia="" w:cs="Arial" w:eastAsiaTheme="minorEastAsia"/>
          <w:i w:val="1"/>
          <w:iCs w:val="1"/>
          <w:sz w:val="22"/>
          <w:szCs w:val="22"/>
        </w:rPr>
        <w:t>BO-T1391</w:t>
      </w:r>
    </w:p>
    <w:p w:rsidRPr="006A2ED0" w:rsidR="00D761FB" w:rsidP="3E68704B" w:rsidRDefault="08202347" w14:paraId="35128683" w14:textId="1DCA1268">
      <w:pPr>
        <w:pStyle w:val="BodyText"/>
        <w:ind w:right="-423"/>
        <w:jc w:val="both"/>
        <w:rPr>
          <w:rFonts w:ascii="Arial" w:hAnsi="Arial" w:eastAsia="" w:cs="Arial" w:eastAsiaTheme="minorEastAsia"/>
          <w:i w:val="1"/>
          <w:iCs w:val="1"/>
          <w:sz w:val="22"/>
          <w:szCs w:val="22"/>
        </w:rPr>
      </w:pPr>
      <w:r w:rsidRPr="3E68704B" w:rsidR="08202347">
        <w:rPr>
          <w:rFonts w:ascii="Arial" w:hAnsi="Arial" w:eastAsia="" w:cs="Arial" w:eastAsiaTheme="minorEastAsia"/>
          <w:i w:val="1"/>
          <w:iCs w:val="1"/>
          <w:sz w:val="22"/>
          <w:szCs w:val="22"/>
        </w:rPr>
        <w:t>Nombre del TC:</w:t>
      </w:r>
      <w:r w:rsidRPr="3E68704B" w:rsidR="007C5928">
        <w:rPr>
          <w:rFonts w:ascii="Arial" w:hAnsi="Arial" w:eastAsia="" w:cs="Arial" w:eastAsiaTheme="minorEastAsia"/>
          <w:i w:val="1"/>
          <w:iCs w:val="1"/>
          <w:sz w:val="22"/>
          <w:szCs w:val="22"/>
        </w:rPr>
        <w:t xml:space="preserve"> </w:t>
      </w:r>
      <w:r w:rsidR="00E2397D">
        <w:rPr/>
        <w:t>Revisión del modelo económico de la industria eléctrica para la transición energética en Bolivia</w:t>
      </w:r>
    </w:p>
    <w:p w:rsidRPr="006A2ED0" w:rsidR="00D761FB" w:rsidP="3E68704B" w:rsidRDefault="08202347" w14:paraId="18F92703" w14:textId="1A34EE6B">
      <w:pPr>
        <w:pStyle w:val="BodyText"/>
        <w:jc w:val="both"/>
        <w:rPr>
          <w:rFonts w:ascii="Arial" w:hAnsi="Arial" w:eastAsia="" w:cs="Arial" w:eastAsiaTheme="minorEastAsia"/>
          <w:i w:val="1"/>
          <w:iCs w:val="1"/>
          <w:sz w:val="22"/>
          <w:szCs w:val="22"/>
        </w:rPr>
      </w:pPr>
      <w:r w:rsidRPr="3E68704B" w:rsidR="08202347">
        <w:rPr>
          <w:rFonts w:ascii="Arial" w:hAnsi="Arial" w:eastAsia="" w:cs="Arial" w:eastAsiaTheme="minorEastAsia"/>
          <w:i w:val="1"/>
          <w:iCs w:val="1"/>
          <w:sz w:val="22"/>
          <w:szCs w:val="22"/>
        </w:rPr>
        <w:t xml:space="preserve">Enlace al documento TC: </w:t>
      </w:r>
      <w:hyperlink r:id="R876c685b509b44ec">
        <w:r w:rsidRPr="3E68704B" w:rsidR="6A3E14AC">
          <w:rPr>
            <w:rStyle w:val="Hyperlink"/>
            <w:rFonts w:ascii="Arial" w:hAnsi="Arial" w:eastAsia="" w:cs="Arial" w:eastAsiaTheme="minorEastAsia"/>
            <w:i w:val="1"/>
            <w:iCs w:val="1"/>
            <w:sz w:val="22"/>
            <w:szCs w:val="22"/>
          </w:rPr>
          <w:t>https://www.iadb.org/fr/project/BO-T1391</w:t>
        </w:r>
      </w:hyperlink>
      <w:r w:rsidRPr="3E68704B" w:rsidR="6A3E14AC">
        <w:rPr>
          <w:rFonts w:ascii="Arial" w:hAnsi="Arial" w:eastAsia="" w:cs="Arial" w:eastAsiaTheme="minorEastAsia"/>
          <w:i w:val="1"/>
          <w:iCs w:val="1"/>
          <w:sz w:val="22"/>
          <w:szCs w:val="22"/>
        </w:rPr>
        <w:t xml:space="preserve"> </w:t>
      </w:r>
    </w:p>
    <w:p w:rsidRPr="006A2ED0" w:rsidR="008F60D4" w:rsidP="3E68704B" w:rsidRDefault="008F60D4" w14:paraId="561EB80A" w14:textId="77777777">
      <w:pPr>
        <w:pStyle w:val="BodyText"/>
        <w:jc w:val="both"/>
        <w:rPr>
          <w:rFonts w:ascii="Arial" w:hAnsi="Arial" w:eastAsia="" w:cs="Arial" w:eastAsiaTheme="minorEastAsia"/>
          <w:i w:val="1"/>
          <w:iCs w:val="1"/>
          <w:sz w:val="22"/>
          <w:szCs w:val="22"/>
        </w:rPr>
      </w:pPr>
    </w:p>
    <w:p w:rsidRPr="006A2ED0" w:rsidR="00D761FB" w:rsidP="3E68704B" w:rsidRDefault="08202347" w14:paraId="2C0FC91B" w14:textId="6A84D3DD">
      <w:pPr>
        <w:spacing w:after="180"/>
        <w:jc w:val="both"/>
        <w:rPr>
          <w:sz w:val="22"/>
          <w:szCs w:val="22"/>
        </w:rPr>
      </w:pPr>
      <w:r w:rsidRPr="3E68704B" w:rsidR="08202347">
        <w:rPr>
          <w:color w:val="auto"/>
          <w:sz w:val="22"/>
          <w:szCs w:val="22"/>
        </w:rPr>
        <w:t xml:space="preserve">El Banco Interamericano de Desarrollo (BID) está ejecutando la operación antes mencionada. Para esta operación, el BID </w:t>
      </w:r>
      <w:r w:rsidRPr="3E68704B" w:rsidR="08202347">
        <w:rPr>
          <w:sz w:val="22"/>
          <w:szCs w:val="22"/>
        </w:rPr>
        <w:t>tiene la intención de contratar los servicios de consultoría descritos en esta Solicitud de Expresiones de Interés.</w:t>
      </w:r>
      <w:r w:rsidRPr="3E68704B" w:rsidR="005B434A">
        <w:rPr>
          <w:sz w:val="22"/>
          <w:szCs w:val="22"/>
        </w:rPr>
        <w:t xml:space="preserve">  </w:t>
      </w:r>
      <w:r w:rsidRPr="3E68704B" w:rsidR="005B434A">
        <w:rPr>
          <w:color w:val="auto"/>
          <w:sz w:val="22"/>
          <w:szCs w:val="22"/>
        </w:rPr>
        <w:t xml:space="preserve">Las expresiones de interés deberán ser recibidas usando el Portal del BID para las Operaciones Ejecutadas por el Banco </w:t>
      </w:r>
      <w:hyperlink r:id="Rf715ff6b02994063">
        <w:r w:rsidRPr="3E68704B" w:rsidR="00840E51">
          <w:rPr>
            <w:rStyle w:val="Hyperlink"/>
            <w:rFonts w:eastAsia="Calibri"/>
            <w:sz w:val="22"/>
            <w:szCs w:val="22"/>
          </w:rPr>
          <w:t>http://beo-procurement.iadb.org/home</w:t>
        </w:r>
      </w:hyperlink>
      <w:r w:rsidRPr="3E68704B" w:rsidR="005B434A">
        <w:rPr>
          <w:color w:val="auto"/>
          <w:sz w:val="22"/>
          <w:szCs w:val="22"/>
        </w:rPr>
        <w:t xml:space="preserve"> antes de</w:t>
      </w:r>
      <w:r w:rsidRPr="3E68704B" w:rsidR="00E17C99">
        <w:rPr>
          <w:i w:val="1"/>
          <w:iCs w:val="1"/>
          <w:color w:val="auto"/>
          <w:sz w:val="22"/>
          <w:szCs w:val="22"/>
        </w:rPr>
        <w:t xml:space="preserve"> </w:t>
      </w:r>
      <w:r w:rsidRPr="3E68704B" w:rsidR="00B82F3D">
        <w:rPr>
          <w:i w:val="1"/>
          <w:iCs w:val="1"/>
          <w:color w:val="auto"/>
          <w:sz w:val="22"/>
          <w:szCs w:val="22"/>
        </w:rPr>
        <w:t xml:space="preserve">8 </w:t>
      </w:r>
      <w:r w:rsidRPr="3E68704B" w:rsidR="00FC56BC">
        <w:rPr>
          <w:i w:val="1"/>
          <w:iCs w:val="1"/>
          <w:color w:val="auto"/>
          <w:sz w:val="22"/>
          <w:szCs w:val="22"/>
        </w:rPr>
        <w:t>de</w:t>
      </w:r>
      <w:r w:rsidRPr="3E68704B" w:rsidR="00B82F3D">
        <w:rPr>
          <w:i w:val="1"/>
          <w:iCs w:val="1"/>
          <w:color w:val="auto"/>
          <w:sz w:val="22"/>
          <w:szCs w:val="22"/>
        </w:rPr>
        <w:t xml:space="preserve"> Julio</w:t>
      </w:r>
      <w:r w:rsidRPr="3E68704B" w:rsidR="00FC56BC">
        <w:rPr>
          <w:i w:val="1"/>
          <w:iCs w:val="1"/>
          <w:color w:val="auto"/>
          <w:sz w:val="22"/>
          <w:szCs w:val="22"/>
        </w:rPr>
        <w:t xml:space="preserve"> 202</w:t>
      </w:r>
      <w:r w:rsidRPr="3E68704B" w:rsidR="00B82F3D">
        <w:rPr>
          <w:i w:val="1"/>
          <w:iCs w:val="1"/>
          <w:color w:val="auto"/>
          <w:sz w:val="22"/>
          <w:szCs w:val="22"/>
        </w:rPr>
        <w:t>2</w:t>
      </w:r>
      <w:r w:rsidRPr="3E68704B" w:rsidR="00FC56BC">
        <w:rPr>
          <w:i w:val="1"/>
          <w:iCs w:val="1"/>
          <w:color w:val="auto"/>
          <w:sz w:val="22"/>
          <w:szCs w:val="22"/>
        </w:rPr>
        <w:t xml:space="preserve"> a las</w:t>
      </w:r>
      <w:r w:rsidRPr="3E68704B" w:rsidR="005B434A">
        <w:rPr>
          <w:color w:val="auto"/>
          <w:sz w:val="22"/>
          <w:szCs w:val="22"/>
        </w:rPr>
        <w:t xml:space="preserve"> 5:00 P.M. (Hora de Washington DC).</w:t>
      </w:r>
    </w:p>
    <w:p w:rsidR="3E68704B" w:rsidP="3E68704B" w:rsidRDefault="3E68704B" w14:paraId="1AEB8124" w14:textId="2C1CA838">
      <w:pPr>
        <w:jc w:val="both"/>
        <w:rPr>
          <w:noProof w:val="0"/>
          <w:sz w:val="22"/>
          <w:szCs w:val="22"/>
          <w:lang w:val="es-CO"/>
        </w:rPr>
      </w:pPr>
      <w:r w:rsidRPr="3E68704B" w:rsidR="3E68704B">
        <w:rPr>
          <w:rFonts w:ascii="Arial" w:hAnsi="Arial" w:eastAsia="" w:cs="Arial" w:eastAsiaTheme="minorEastAsia"/>
          <w:noProof w:val="0"/>
          <w:color w:val="000000" w:themeColor="text1" w:themeTint="FF" w:themeShade="FF"/>
          <w:sz w:val="22"/>
          <w:szCs w:val="22"/>
          <w:lang w:val="es-CO"/>
        </w:rPr>
        <w:t>Los servicios de consultoría ("los Servicios") consisten en diseñar un nuevo modelo económico de la industria eléctrica en Bolivia, con una estructura funcional técnico, comercial, regulatorio y legal, que recoja los lineamientos y objetivos establecidos en la Constitución Política del Estado, las metas de sectoriales y climáticas, considerando los adelantos tecnológicos y desafíos actuales de cara a la transición energética. El alcance incluye proponer alternativas de modelos aplicables a la industria eléctrica, seleccionar un modelo y proponer la estructura del sector, los actores, sus roles, el esquema de funcionamiento de cada segmento de la cadena de valor, los mecanismos de expansión del sistema, de inversiones y de remuneración, los mecanismos de financiamiento de proyectos y otros, que permitan la sostenibilidad de la actividad en el largo plazo. También plantear una propuesta de proyecto de normativa de electricidad y su reglamentación, basada en el nuevo modelo que incluya aspectos sobre la eficiencia energética, integración de las energías renovables, redes inteligentes, generación distribuida, electromovilidad, almacenamiento de energía y otras innovaciones tecnológicas, analizando los instrumentos normativos elaborados, reglamentación relacionada a la regulación y operación del mercado eléctrico, tarifas, otorgamiento de derechos, etc.</w:t>
      </w:r>
    </w:p>
    <w:p w:rsidR="3E68704B" w:rsidP="3E68704B" w:rsidRDefault="3E68704B" w14:paraId="10ED0170" w14:textId="68F6FE6D">
      <w:pPr>
        <w:pStyle w:val="Normal"/>
        <w:jc w:val="both"/>
        <w:rPr>
          <w:rFonts w:ascii="Arial" w:hAnsi="Arial" w:eastAsia="" w:cs="Arial" w:eastAsiaTheme="minorEastAsia"/>
          <w:noProof w:val="0"/>
          <w:color w:val="000000" w:themeColor="text1" w:themeTint="FF" w:themeShade="FF"/>
          <w:sz w:val="22"/>
          <w:szCs w:val="22"/>
          <w:lang w:val="es-CO"/>
        </w:rPr>
      </w:pPr>
    </w:p>
    <w:p w:rsidRPr="006A2ED0" w:rsidR="00D761FB" w:rsidP="008F60D4" w:rsidRDefault="08202347" w14:paraId="35803BFB" w14:textId="6F11915A">
      <w:pPr>
        <w:spacing w:after="180"/>
        <w:jc w:val="both"/>
        <w:rPr>
          <w:color w:val="auto"/>
          <w:sz w:val="22"/>
          <w:szCs w:val="22"/>
        </w:rPr>
      </w:pPr>
      <w:r w:rsidRPr="006A2ED0">
        <w:rPr>
          <w:color w:val="auto"/>
          <w:sz w:val="22"/>
          <w:szCs w:val="22"/>
        </w:rPr>
        <w:t>Las firmas consultoras elegibles serán seleccionad</w:t>
      </w:r>
      <w:r w:rsidRPr="006A2ED0" w:rsidR="00E96FA0">
        <w:rPr>
          <w:color w:val="auto"/>
          <w:sz w:val="22"/>
          <w:szCs w:val="22"/>
        </w:rPr>
        <w:t>a</w:t>
      </w:r>
      <w:r w:rsidRPr="006A2ED0">
        <w:rPr>
          <w:color w:val="auto"/>
          <w:sz w:val="22"/>
          <w:szCs w:val="22"/>
        </w:rPr>
        <w:t xml:space="preserve">s de acuerdo con los procedimientos establecidos en el Banco Interamericano de Desarrollo: </w:t>
      </w:r>
      <w:hyperlink w:history="1" r:id="rId16">
        <w:r w:rsidRPr="006A2ED0">
          <w:rPr>
            <w:rStyle w:val="Hyperlink"/>
            <w:sz w:val="22"/>
            <w:szCs w:val="22"/>
          </w:rPr>
          <w:t>Política para la Selección y Contratación de Firmas Consultoras para el Trabajo Operativo ejecutado por el Banco - GN-2765-1</w:t>
        </w:r>
      </w:hyperlink>
      <w:r w:rsidRPr="006A2ED0" w:rsidR="00C90263">
        <w:rPr>
          <w:color w:val="auto"/>
          <w:sz w:val="22"/>
          <w:szCs w:val="22"/>
        </w:rPr>
        <w:t xml:space="preserve">. </w:t>
      </w:r>
      <w:r w:rsidRPr="006A2ED0">
        <w:rPr>
          <w:color w:val="auto"/>
          <w:sz w:val="22"/>
          <w:szCs w:val="22"/>
        </w:rPr>
        <w:t xml:space="preserve">Todas las firmas consultoras elegibles, según se define en la política, pueden manifestar su interés. </w:t>
      </w:r>
      <w:r w:rsidRPr="006A2ED0" w:rsidR="00C90263">
        <w:rPr>
          <w:color w:val="auto"/>
          <w:sz w:val="22"/>
          <w:szCs w:val="22"/>
        </w:rPr>
        <w:t>Si la Firma consultora se presentara en Consorcio, designará a una de ellas como representante, y ésta será responsable de las comunicaciones, del registro en el portal y del envío de los documento</w:t>
      </w:r>
      <w:r w:rsidRPr="006A2ED0" w:rsidR="007001EE">
        <w:rPr>
          <w:color w:val="auto"/>
          <w:sz w:val="22"/>
          <w:szCs w:val="22"/>
        </w:rPr>
        <w:t>s correspondientes.</w:t>
      </w:r>
    </w:p>
    <w:p w:rsidRPr="006A2ED0" w:rsidR="00D761FB" w:rsidP="3E68704B" w:rsidRDefault="08202347" w14:paraId="61707059" w14:textId="4378641F">
      <w:pPr>
        <w:pStyle w:val="Normal"/>
        <w:spacing w:after="180"/>
        <w:jc w:val="both"/>
        <w:rPr>
          <w:color w:val="auto"/>
          <w:sz w:val="22"/>
          <w:szCs w:val="22"/>
        </w:rPr>
      </w:pPr>
      <w:r w:rsidRPr="3E68704B" w:rsidR="08202347">
        <w:rPr>
          <w:color w:val="auto"/>
          <w:sz w:val="22"/>
          <w:szCs w:val="22"/>
        </w:rPr>
        <w:t>El BID invita ahora a las firmas consultoras elegibles a expresar su interés en prestar los servicios</w:t>
      </w:r>
      <w:r w:rsidRPr="3E68704B" w:rsidR="00CE0491">
        <w:rPr>
          <w:color w:val="auto"/>
          <w:sz w:val="22"/>
          <w:szCs w:val="22"/>
        </w:rPr>
        <w:t xml:space="preserve"> </w:t>
      </w:r>
      <w:r w:rsidRPr="3E68704B" w:rsidR="005B434A">
        <w:rPr>
          <w:color w:val="auto"/>
          <w:sz w:val="22"/>
          <w:szCs w:val="22"/>
        </w:rPr>
        <w:t>descritos</w:t>
      </w:r>
      <w:r w:rsidRPr="3E68704B" w:rsidR="00CE0491">
        <w:rPr>
          <w:color w:val="auto"/>
          <w:sz w:val="22"/>
          <w:szCs w:val="22"/>
        </w:rPr>
        <w:t xml:space="preserve"> </w:t>
      </w:r>
      <w:r w:rsidRPr="3E68704B" w:rsidR="00C1619E">
        <w:rPr>
          <w:color w:val="auto"/>
          <w:sz w:val="22"/>
          <w:szCs w:val="22"/>
        </w:rPr>
        <w:t xml:space="preserve">en </w:t>
      </w:r>
      <w:r w:rsidRPr="3E68704B" w:rsidR="00E17C99">
        <w:rPr>
          <w:color w:val="auto"/>
          <w:sz w:val="22"/>
          <w:szCs w:val="22"/>
        </w:rPr>
        <w:t>el presente documento asociados a</w:t>
      </w:r>
      <w:r w:rsidRPr="3E68704B" w:rsidR="00C1619E">
        <w:rPr>
          <w:color w:val="auto"/>
          <w:sz w:val="22"/>
          <w:szCs w:val="22"/>
        </w:rPr>
        <w:t xml:space="preserve"> </w:t>
      </w:r>
      <w:r w:rsidRPr="3E68704B" w:rsidR="005B434A">
        <w:rPr>
          <w:color w:val="auto"/>
          <w:sz w:val="22"/>
          <w:szCs w:val="22"/>
        </w:rPr>
        <w:t>esta asignación</w:t>
      </w:r>
      <w:r w:rsidRPr="3E68704B" w:rsidR="08202347">
        <w:rPr>
          <w:color w:val="auto"/>
          <w:sz w:val="22"/>
          <w:szCs w:val="22"/>
        </w:rPr>
        <w:t>. Las f</w:t>
      </w:r>
      <w:r w:rsidRPr="3E68704B" w:rsidR="00C90263">
        <w:rPr>
          <w:color w:val="auto"/>
          <w:sz w:val="22"/>
          <w:szCs w:val="22"/>
        </w:rPr>
        <w:t xml:space="preserve">irmas consultoras interesadas </w:t>
      </w:r>
      <w:r w:rsidRPr="3E68704B" w:rsidR="08202347">
        <w:rPr>
          <w:color w:val="auto"/>
          <w:sz w:val="22"/>
          <w:szCs w:val="22"/>
        </w:rPr>
        <w:t>deberán proporcionar información que indique que están calificadas para suministrar los servicios (folletos, descripción de trabajos similares, experiencia en condiciones similares, disponibilidad de personal que tenga los conocimientos pertinentes, etc.).</w:t>
      </w:r>
      <w:r w:rsidRPr="3E68704B" w:rsidR="00E96FA0">
        <w:rPr>
          <w:color w:val="auto"/>
          <w:sz w:val="22"/>
          <w:szCs w:val="22"/>
        </w:rPr>
        <w:t xml:space="preserve"> En particular presentar evidencia de su experiencia en diseño e implementación de normativa del sector eléctrico y diseño de mercados eléctricos.</w:t>
      </w:r>
      <w:r w:rsidRPr="3E68704B" w:rsidR="001F3F29">
        <w:rPr>
          <w:color w:val="auto"/>
          <w:sz w:val="22"/>
          <w:szCs w:val="22"/>
        </w:rPr>
        <w:t xml:space="preserve"> Las expresiones de interés no deben superar las 30 páginas.</w:t>
      </w:r>
    </w:p>
    <w:p w:rsidRPr="006A2ED0" w:rsidR="00D761FB" w:rsidP="008F60D4" w:rsidRDefault="08202347" w14:paraId="70D0EF38" w14:textId="0351825C">
      <w:pPr>
        <w:spacing w:after="180"/>
        <w:jc w:val="both"/>
        <w:rPr>
          <w:color w:val="auto"/>
          <w:sz w:val="22"/>
          <w:szCs w:val="22"/>
        </w:rPr>
      </w:pPr>
      <w:r w:rsidRPr="3E68704B" w:rsidR="08202347">
        <w:rPr>
          <w:color w:val="auto"/>
          <w:sz w:val="22"/>
          <w:szCs w:val="22"/>
        </w:rPr>
        <w:t>Las firmas consultoras el</w:t>
      </w:r>
      <w:r w:rsidRPr="3E68704B" w:rsidR="007001EE">
        <w:rPr>
          <w:color w:val="auto"/>
          <w:sz w:val="22"/>
          <w:szCs w:val="22"/>
        </w:rPr>
        <w:t xml:space="preserve">egibles que estén interesadas </w:t>
      </w:r>
      <w:r w:rsidRPr="3E68704B" w:rsidR="08202347">
        <w:rPr>
          <w:color w:val="auto"/>
          <w:sz w:val="22"/>
          <w:szCs w:val="22"/>
        </w:rPr>
        <w:t>podrán obtener información adicional en horario de oficina, 09:00 a.m. - 5:00 PM (</w:t>
      </w:r>
      <w:r w:rsidRPr="3E68704B" w:rsidR="008F60D4">
        <w:rPr>
          <w:color w:val="auto"/>
          <w:sz w:val="22"/>
          <w:szCs w:val="22"/>
        </w:rPr>
        <w:t>UTC-3</w:t>
      </w:r>
      <w:r w:rsidRPr="3E68704B" w:rsidR="08202347">
        <w:rPr>
          <w:color w:val="auto"/>
          <w:sz w:val="22"/>
          <w:szCs w:val="22"/>
        </w:rPr>
        <w:t xml:space="preserve">), mediante el envío de un correo electrónico a: </w:t>
      </w:r>
    </w:p>
    <w:p w:rsidRPr="006A2ED0" w:rsidR="00D761FB" w:rsidP="08202347" w:rsidRDefault="08202347" w14:paraId="4B527D25" w14:textId="77777777">
      <w:pPr>
        <w:jc w:val="both"/>
        <w:rPr>
          <w:color w:val="auto"/>
          <w:sz w:val="22"/>
          <w:szCs w:val="22"/>
        </w:rPr>
      </w:pPr>
      <w:r w:rsidRPr="006A2ED0">
        <w:rPr>
          <w:color w:val="auto"/>
          <w:sz w:val="22"/>
          <w:szCs w:val="22"/>
        </w:rPr>
        <w:t>Banco Interamericano de Desarrollo</w:t>
      </w:r>
    </w:p>
    <w:p w:rsidRPr="006A2ED0" w:rsidR="00D761FB" w:rsidP="3E68704B" w:rsidRDefault="00546C8D" w14:paraId="5B03049A" w14:textId="66D9C62C">
      <w:pPr>
        <w:jc w:val="both"/>
        <w:rPr>
          <w:i w:val="1"/>
          <w:iCs w:val="1"/>
          <w:color w:val="auto"/>
          <w:sz w:val="22"/>
          <w:szCs w:val="22"/>
        </w:rPr>
      </w:pPr>
      <w:r w:rsidRPr="3E68704B" w:rsidR="00546C8D">
        <w:rPr>
          <w:color w:val="auto"/>
          <w:sz w:val="22"/>
          <w:szCs w:val="22"/>
        </w:rPr>
        <w:t xml:space="preserve">División: </w:t>
      </w:r>
      <w:r w:rsidRPr="3E68704B" w:rsidR="00424997">
        <w:rPr>
          <w:i w:val="1"/>
          <w:iCs w:val="1"/>
          <w:color w:val="auto"/>
          <w:sz w:val="22"/>
          <w:szCs w:val="22"/>
        </w:rPr>
        <w:t>ENE/C</w:t>
      </w:r>
    </w:p>
    <w:p w:rsidRPr="00E2397D" w:rsidR="00D761FB" w:rsidP="3E68704B" w:rsidRDefault="08202347" w14:paraId="3A83DC3F" w14:textId="20A36995">
      <w:pPr>
        <w:pStyle w:val="Normal"/>
        <w:jc w:val="both"/>
        <w:rPr>
          <w:color w:val="auto"/>
          <w:sz w:val="22"/>
          <w:szCs w:val="22"/>
          <w:lang w:val="en-US"/>
        </w:rPr>
      </w:pPr>
      <w:proofErr w:type="spellStart"/>
      <w:r w:rsidRPr="3E68704B" w:rsidR="08202347">
        <w:rPr>
          <w:color w:val="auto"/>
          <w:sz w:val="22"/>
          <w:szCs w:val="22"/>
          <w:lang w:val="en-US"/>
        </w:rPr>
        <w:t>Atención</w:t>
      </w:r>
      <w:proofErr w:type="spellEnd"/>
      <w:r w:rsidRPr="3E68704B" w:rsidR="08202347">
        <w:rPr>
          <w:color w:val="auto"/>
          <w:sz w:val="22"/>
          <w:szCs w:val="22"/>
          <w:lang w:val="en-US"/>
        </w:rPr>
        <w:t>:</w:t>
      </w:r>
      <w:r w:rsidRPr="3E68704B" w:rsidR="00B756D9">
        <w:rPr>
          <w:i w:val="1"/>
          <w:iCs w:val="1"/>
          <w:color w:val="auto"/>
          <w:sz w:val="22"/>
          <w:szCs w:val="22"/>
          <w:lang w:val="en-US"/>
        </w:rPr>
        <w:t xml:space="preserve"> </w:t>
      </w:r>
      <w:r w:rsidRPr="3E68704B" w:rsidR="3E68704B">
        <w:rPr>
          <w:i w:val="1"/>
          <w:iCs w:val="1"/>
          <w:color w:val="auto"/>
          <w:sz w:val="22"/>
          <w:szCs w:val="22"/>
          <w:lang w:val="en-US"/>
        </w:rPr>
        <w:t xml:space="preserve">Ziza Machado </w:t>
      </w:r>
      <w:hyperlink r:id="R28cd56c072f644cc">
        <w:r w:rsidRPr="3E68704B" w:rsidR="3E68704B">
          <w:rPr>
            <w:rStyle w:val="Hyperlink"/>
            <w:i w:val="1"/>
            <w:iCs w:val="1"/>
            <w:sz w:val="22"/>
            <w:szCs w:val="22"/>
            <w:lang w:val="en-US"/>
          </w:rPr>
          <w:t>zizam@iadb.org;</w:t>
        </w:r>
      </w:hyperlink>
      <w:r w:rsidRPr="3E68704B" w:rsidR="3E68704B">
        <w:rPr>
          <w:i w:val="1"/>
          <w:iCs w:val="1"/>
          <w:color w:val="auto"/>
          <w:sz w:val="22"/>
          <w:szCs w:val="22"/>
          <w:lang w:val="en-US"/>
        </w:rPr>
        <w:t xml:space="preserve"> </w:t>
      </w:r>
      <w:hyperlink r:id="Rf80d46918868491e">
        <w:r w:rsidRPr="3E68704B" w:rsidR="00B756D9">
          <w:rPr>
            <w:rStyle w:val="Hyperlink"/>
            <w:i w:val="1"/>
            <w:iCs w:val="1"/>
            <w:sz w:val="22"/>
            <w:szCs w:val="22"/>
          </w:rPr>
          <w:t>edwinma@iadb.org</w:t>
        </w:r>
      </w:hyperlink>
    </w:p>
    <w:p w:rsidRPr="00E2397D" w:rsidR="00D761FB" w:rsidP="08202347" w:rsidRDefault="08202347" w14:paraId="7A3B9024" w14:textId="77777777">
      <w:pPr>
        <w:jc w:val="both"/>
        <w:rPr>
          <w:color w:val="auto"/>
          <w:sz w:val="22"/>
          <w:szCs w:val="22"/>
          <w:lang w:val="en-US"/>
        </w:rPr>
      </w:pPr>
      <w:r w:rsidRPr="00E2397D">
        <w:rPr>
          <w:color w:val="auto"/>
          <w:sz w:val="22"/>
          <w:szCs w:val="22"/>
          <w:lang w:val="en-US"/>
        </w:rPr>
        <w:t>1300 New York Avenue, NW, Washington, DC 20577, EE.UU.</w:t>
      </w:r>
    </w:p>
    <w:p w:rsidRPr="006A2ED0" w:rsidR="0047437B" w:rsidP="3E68704B" w:rsidRDefault="08202347" w14:paraId="7C0C8C99" w14:textId="5CAA2692">
      <w:pPr>
        <w:suppressAutoHyphens/>
        <w:jc w:val="both"/>
        <w:rPr>
          <w:rStyle w:val="Hyperlink"/>
          <w:color w:val="auto"/>
          <w:sz w:val="22"/>
          <w:szCs w:val="22"/>
        </w:rPr>
      </w:pPr>
      <w:r w:rsidRPr="3E68704B" w:rsidR="08202347">
        <w:rPr>
          <w:color w:val="auto"/>
          <w:sz w:val="22"/>
          <w:szCs w:val="22"/>
        </w:rPr>
        <w:t xml:space="preserve">Sitio Web: </w:t>
      </w:r>
      <w:hyperlink r:id="R0d92fb0f0afc4f2a">
        <w:r w:rsidRPr="3E68704B" w:rsidR="08202347">
          <w:rPr>
            <w:rStyle w:val="Hyperlink"/>
            <w:color w:val="auto"/>
            <w:sz w:val="22"/>
            <w:szCs w:val="22"/>
          </w:rPr>
          <w:t>www.iadb.org</w:t>
        </w:r>
      </w:hyperlink>
    </w:p>
    <w:p w:rsidRPr="006A2ED0" w:rsidR="00C763D3" w:rsidP="3E68704B" w:rsidRDefault="00C763D3" w14:paraId="51B16180" w14:textId="1CF649B0">
      <w:pPr>
        <w:suppressAutoHyphens/>
        <w:jc w:val="both"/>
        <w:rPr>
          <w:rStyle w:val="Hyperlink"/>
          <w:color w:val="auto"/>
          <w:sz w:val="22"/>
          <w:szCs w:val="22"/>
        </w:rPr>
      </w:pPr>
    </w:p>
    <w:p w:rsidR="00C763D3" w:rsidP="3E68704B" w:rsidRDefault="00C763D3" w14:paraId="2F75A4C7" w14:textId="6ED5617D">
      <w:pPr>
        <w:suppressAutoHyphens/>
        <w:jc w:val="both"/>
        <w:rPr>
          <w:rStyle w:val="Hyperlink"/>
          <w:b w:val="1"/>
          <w:bCs w:val="1"/>
          <w:color w:val="auto"/>
          <w:sz w:val="22"/>
          <w:szCs w:val="22"/>
        </w:rPr>
      </w:pPr>
      <w:r w:rsidRPr="3E68704B" w:rsidR="00C763D3">
        <w:rPr>
          <w:rStyle w:val="Hyperlink"/>
          <w:b w:val="1"/>
          <w:bCs w:val="1"/>
          <w:color w:val="auto"/>
          <w:sz w:val="22"/>
          <w:szCs w:val="22"/>
        </w:rPr>
        <w:t>Anexo</w:t>
      </w:r>
      <w:r w:rsidRPr="3E68704B" w:rsidR="006A2ED0">
        <w:rPr>
          <w:rStyle w:val="Hyperlink"/>
          <w:b w:val="1"/>
          <w:bCs w:val="1"/>
          <w:color w:val="auto"/>
          <w:sz w:val="22"/>
          <w:szCs w:val="22"/>
        </w:rPr>
        <w:t>:</w:t>
      </w:r>
      <w:r w:rsidRPr="3E68704B" w:rsidR="00C763D3">
        <w:rPr>
          <w:rStyle w:val="Hyperlink"/>
          <w:b w:val="1"/>
          <w:bCs w:val="1"/>
          <w:color w:val="auto"/>
          <w:sz w:val="22"/>
          <w:szCs w:val="22"/>
        </w:rPr>
        <w:t xml:space="preserve"> Resumen Términos de </w:t>
      </w:r>
      <w:r w:rsidRPr="3E68704B" w:rsidR="006A2ED0">
        <w:rPr>
          <w:rStyle w:val="Hyperlink"/>
          <w:b w:val="1"/>
          <w:bCs w:val="1"/>
          <w:color w:val="auto"/>
          <w:sz w:val="22"/>
          <w:szCs w:val="22"/>
        </w:rPr>
        <w:t>Referencia</w:t>
      </w:r>
    </w:p>
    <w:p w:rsidR="006A2ED0" w:rsidP="3E68704B" w:rsidRDefault="006A2ED0" w14:paraId="27540224" w14:textId="5CE2D793">
      <w:pPr>
        <w:suppressAutoHyphens/>
        <w:jc w:val="both"/>
        <w:rPr>
          <w:rStyle w:val="Hyperlink"/>
          <w:b w:val="1"/>
          <w:bCs w:val="1"/>
          <w:color w:val="auto"/>
          <w:sz w:val="22"/>
          <w:szCs w:val="22"/>
        </w:rPr>
      </w:pPr>
    </w:p>
    <w:p w:rsidRPr="009F0035" w:rsidR="006A2ED0" w:rsidP="3E68704B" w:rsidRDefault="006A2ED0" w14:paraId="0574FA99" w14:textId="73BE6B0A">
      <w:pPr>
        <w:suppressAutoHyphens/>
        <w:jc w:val="both"/>
        <w:rPr>
          <w:rStyle w:val="Hyperlink"/>
          <w:b w:val="1"/>
          <w:bCs w:val="1"/>
          <w:color w:val="auto"/>
          <w:sz w:val="22"/>
          <w:szCs w:val="22"/>
        </w:rPr>
      </w:pPr>
    </w:p>
    <w:p w:rsidRPr="009F0035" w:rsidR="009F0035" w:rsidP="3E68704B" w:rsidRDefault="009F0035" w14:paraId="7CCB1AD9" w14:textId="738E5052">
      <w:pPr>
        <w:widowControl w:val="1"/>
        <w:autoSpaceDE/>
        <w:autoSpaceDN/>
        <w:adjustRightInd/>
        <w:spacing w:before="100" w:beforeAutospacing="on" w:after="100" w:afterAutospacing="on"/>
        <w:jc w:val="both"/>
        <w:rPr>
          <w:rFonts w:eastAsia="Times New Roman"/>
          <w:b w:val="1"/>
          <w:bCs w:val="1"/>
          <w:sz w:val="22"/>
          <w:szCs w:val="22"/>
          <w:u w:val="single"/>
          <w:lang w:eastAsia="en-US"/>
        </w:rPr>
      </w:pPr>
      <w:r w:rsidRPr="3E68704B" w:rsidR="009F0035">
        <w:rPr>
          <w:rFonts w:eastAsia="Times New Roman"/>
          <w:b w:val="1"/>
          <w:bCs w:val="1"/>
          <w:sz w:val="22"/>
          <w:szCs w:val="22"/>
          <w:u w:val="single"/>
          <w:lang w:eastAsia="en-US"/>
        </w:rPr>
        <w:t>Alcance de los servicios</w:t>
      </w:r>
    </w:p>
    <w:p w:rsidRPr="009F0035" w:rsidR="009F0035" w:rsidP="3E68704B" w:rsidRDefault="009F0035" w14:paraId="16D1FA1C" w14:textId="77777777">
      <w:pPr>
        <w:widowControl w:val="1"/>
        <w:autoSpaceDE/>
        <w:autoSpaceDN/>
        <w:adjustRightInd/>
        <w:spacing w:before="100" w:beforeAutospacing="on" w:after="100" w:afterAutospacing="on"/>
        <w:jc w:val="both"/>
        <w:rPr>
          <w:rFonts w:eastAsia="Times New Roman"/>
          <w:sz w:val="22"/>
          <w:szCs w:val="22"/>
          <w:lang w:eastAsia="en-US"/>
        </w:rPr>
      </w:pPr>
      <w:r w:rsidRPr="3E68704B" w:rsidR="009F0035">
        <w:rPr>
          <w:rFonts w:eastAsia="Times New Roman"/>
          <w:sz w:val="22"/>
          <w:szCs w:val="22"/>
          <w:lang w:eastAsia="en-US"/>
        </w:rPr>
        <w:t>Revisar el modelo económico de la industria eléctrica en Bolivia con una estructura funcional del sector y una propuesta de normativa con su reglamentación correspondiente.</w:t>
      </w:r>
    </w:p>
    <w:p w:rsidRPr="009F0035" w:rsidR="009F0035" w:rsidP="3E68704B" w:rsidRDefault="009F0035" w14:paraId="1605B8BE" w14:textId="77777777">
      <w:pPr>
        <w:suppressAutoHyphens/>
        <w:jc w:val="both"/>
        <w:rPr>
          <w:b w:val="1"/>
          <w:bCs w:val="1"/>
          <w:sz w:val="22"/>
          <w:szCs w:val="22"/>
          <w:u w:val="single"/>
        </w:rPr>
      </w:pPr>
      <w:r w:rsidRPr="3E68704B" w:rsidR="009F0035">
        <w:rPr>
          <w:b w:val="1"/>
          <w:bCs w:val="1"/>
          <w:sz w:val="22"/>
          <w:szCs w:val="22"/>
          <w:u w:val="single"/>
        </w:rPr>
        <w:t>Actividades clave</w:t>
      </w:r>
    </w:p>
    <w:p w:rsidRPr="009F0035" w:rsidR="009F0035" w:rsidP="3E68704B" w:rsidRDefault="009F0035" w14:paraId="748D053F" w14:textId="4091A706">
      <w:pPr>
        <w:pStyle w:val="ListParagraph"/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3E68704B" w:rsidR="009F0035">
        <w:rPr>
          <w:sz w:val="22"/>
          <w:szCs w:val="22"/>
        </w:rPr>
        <w:t>Revisar y adaptar el modelo económico de la industria eléctrica en Bolivia, con una estructura funcional (técnico-comercial-regulatorio-legal, planificación y otros aspectos), que recoja los lineamientos y objetivos establecidos en la CPE, considerando los adelantos tecnológicos y desafíos actuales.</w:t>
      </w:r>
    </w:p>
    <w:p w:rsidRPr="009F0035" w:rsidR="009F0035" w:rsidP="3E68704B" w:rsidRDefault="009F0035" w14:paraId="2EC16A45" w14:textId="77777777">
      <w:pPr>
        <w:suppressAutoHyphens/>
        <w:jc w:val="both"/>
        <w:rPr>
          <w:sz w:val="22"/>
          <w:szCs w:val="22"/>
        </w:rPr>
      </w:pPr>
    </w:p>
    <w:p w:rsidRPr="009F0035" w:rsidR="009F0035" w:rsidP="3E68704B" w:rsidRDefault="009F0035" w14:paraId="610F32E0" w14:textId="4D16B1C8">
      <w:pPr>
        <w:pStyle w:val="ListParagraph"/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3E68704B" w:rsidR="009F0035">
        <w:rPr>
          <w:sz w:val="22"/>
          <w:szCs w:val="22"/>
        </w:rPr>
        <w:t>Proponer alternativas de Modelo aplicables a la industria eléctrica boliviana de las cuales se seleccionará la alternativa óptima aplicable al sector.</w:t>
      </w:r>
    </w:p>
    <w:p w:rsidRPr="009F0035" w:rsidR="009F0035" w:rsidP="3E68704B" w:rsidRDefault="009F0035" w14:paraId="7AAF21E4" w14:textId="77777777">
      <w:pPr>
        <w:suppressAutoHyphens/>
        <w:jc w:val="both"/>
        <w:rPr>
          <w:sz w:val="22"/>
          <w:szCs w:val="22"/>
        </w:rPr>
      </w:pPr>
    </w:p>
    <w:p w:rsidRPr="009F0035" w:rsidR="009F0035" w:rsidP="3E68704B" w:rsidRDefault="009F0035" w14:paraId="1F1FB848" w14:textId="2BB418AC">
      <w:pPr>
        <w:pStyle w:val="ListParagraph"/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3E68704B" w:rsidR="009F0035">
        <w:rPr>
          <w:sz w:val="22"/>
          <w:szCs w:val="22"/>
        </w:rPr>
        <w:t>De acuerdo al</w:t>
      </w:r>
      <w:r w:rsidRPr="3E68704B" w:rsidR="009F0035">
        <w:rPr>
          <w:sz w:val="22"/>
          <w:szCs w:val="22"/>
        </w:rPr>
        <w:t xml:space="preserve"> Modelo seleccionado: Proponer la estructura del sector, los actores, sus roles, el esquema de funcionamiento de cada segmento de la cadena de valor, los mecanismos de expansión del sistema, de inversiones y de remuneración, los mecanismos de financiamiento de proyectos y otros, que permitan la sostenibilidad de la actividad en el largo plazo.</w:t>
      </w:r>
    </w:p>
    <w:p w:rsidRPr="009F0035" w:rsidR="009F0035" w:rsidP="3E68704B" w:rsidRDefault="009F0035" w14:paraId="3723473E" w14:textId="77777777">
      <w:pPr>
        <w:suppressAutoHyphens/>
        <w:jc w:val="both"/>
        <w:rPr>
          <w:sz w:val="22"/>
          <w:szCs w:val="22"/>
        </w:rPr>
      </w:pPr>
    </w:p>
    <w:p w:rsidR="009F0035" w:rsidP="3E68704B" w:rsidRDefault="009F0035" w14:paraId="1EED7421" w14:textId="78E28356">
      <w:pPr>
        <w:pStyle w:val="ListParagraph"/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3E68704B" w:rsidR="009F0035">
        <w:rPr>
          <w:sz w:val="22"/>
          <w:szCs w:val="22"/>
        </w:rPr>
        <w:t>Plantear una propuesta de proyecto de modelo económico y su reglamentación, basada en la versión revisada del modelo incluyente de los aspectos sobre la eficiencia energética, integración de las energías renovables, redes inteligentes, generación distribuida, electromovilidad y otras innovaciones tecnológicas, analizando los instrumentos normativos elaborados, reglamentación relacionada a la regulación y operación del mercado eléctrico, tarifas, otorgamiento de derechos, etc.</w:t>
      </w:r>
    </w:p>
    <w:p w:rsidRPr="009F0035" w:rsidR="009F0035" w:rsidP="3E68704B" w:rsidRDefault="009F0035" w14:paraId="29773F3D" w14:textId="77777777">
      <w:pPr>
        <w:pStyle w:val="ListParagraph"/>
        <w:jc w:val="both"/>
        <w:rPr>
          <w:sz w:val="22"/>
          <w:szCs w:val="22"/>
        </w:rPr>
      </w:pPr>
    </w:p>
    <w:p w:rsidRPr="009F0035" w:rsidR="009F0035" w:rsidP="3E68704B" w:rsidRDefault="009F0035" w14:paraId="24D56458" w14:textId="77777777">
      <w:pPr>
        <w:pStyle w:val="ListParagraph"/>
        <w:suppressAutoHyphens/>
        <w:jc w:val="both"/>
        <w:rPr>
          <w:sz w:val="22"/>
          <w:szCs w:val="22"/>
        </w:rPr>
      </w:pPr>
    </w:p>
    <w:p w:rsidRPr="009F0035" w:rsidR="009F0035" w:rsidP="3E68704B" w:rsidRDefault="009F0035" w14:paraId="4009363E" w14:textId="2DD5A9DE">
      <w:pPr>
        <w:suppressAutoHyphens/>
        <w:jc w:val="both"/>
        <w:rPr>
          <w:b w:val="1"/>
          <w:bCs w:val="1"/>
          <w:sz w:val="22"/>
          <w:szCs w:val="22"/>
          <w:u w:val="single"/>
        </w:rPr>
      </w:pPr>
      <w:r w:rsidRPr="3E68704B" w:rsidR="009F0035">
        <w:rPr>
          <w:b w:val="1"/>
          <w:bCs w:val="1"/>
          <w:sz w:val="22"/>
          <w:szCs w:val="22"/>
          <w:u w:val="single"/>
        </w:rPr>
        <w:t>Resultados y productos esperados</w:t>
      </w:r>
    </w:p>
    <w:p w:rsidRPr="009F0035" w:rsidR="009F0035" w:rsidP="3E68704B" w:rsidRDefault="009F0035" w14:paraId="3C72C3F0" w14:textId="77777777">
      <w:pPr>
        <w:suppressAutoHyphens/>
        <w:jc w:val="both"/>
        <w:rPr>
          <w:sz w:val="22"/>
          <w:szCs w:val="22"/>
        </w:rPr>
      </w:pPr>
    </w:p>
    <w:p w:rsidRPr="009F0035" w:rsidR="009F0035" w:rsidP="3E68704B" w:rsidRDefault="009F0035" w14:paraId="19D398BE" w14:textId="77777777">
      <w:pPr>
        <w:suppressAutoHyphens/>
        <w:jc w:val="both"/>
        <w:rPr>
          <w:sz w:val="22"/>
          <w:szCs w:val="22"/>
        </w:rPr>
      </w:pPr>
      <w:r w:rsidRPr="3E68704B" w:rsidR="009F0035">
        <w:rPr>
          <w:sz w:val="22"/>
          <w:szCs w:val="22"/>
        </w:rPr>
        <w:t>· Plan de trabajo. - Documento que incluirá diligencias, tareas a realizar, cronograma de actividades, talleres de socialización y entrega de informes (debe ser presentado formalmente a los 15 días calendario después de la firma del contrato).</w:t>
      </w:r>
    </w:p>
    <w:p w:rsidRPr="009F0035" w:rsidR="009F0035" w:rsidP="3E68704B" w:rsidRDefault="009F0035" w14:paraId="65978098" w14:textId="77777777">
      <w:pPr>
        <w:suppressAutoHyphens/>
        <w:jc w:val="both"/>
        <w:rPr>
          <w:sz w:val="22"/>
          <w:szCs w:val="22"/>
        </w:rPr>
      </w:pPr>
    </w:p>
    <w:p w:rsidRPr="009F0035" w:rsidR="009F0035" w:rsidP="3E68704B" w:rsidRDefault="009F0035" w14:paraId="002D43AE" w14:textId="7583CFB2">
      <w:pPr>
        <w:suppressAutoHyphens/>
        <w:jc w:val="both"/>
        <w:rPr>
          <w:sz w:val="22"/>
          <w:szCs w:val="22"/>
        </w:rPr>
      </w:pPr>
      <w:r w:rsidRPr="3E68704B" w:rsidR="009F0035">
        <w:rPr>
          <w:sz w:val="22"/>
          <w:szCs w:val="22"/>
        </w:rPr>
        <w:t>· Informe 1.- Alternativas de Modelos Económicos, con una estructura funcional (técnico-comercial-regulatorio-legal, planificación y otros aspectos), de la industria eléctrica que incluye un taller de presentación a las autoridades del sector y entidades relacionadas, para fines de discusión (debe ser presentado a los 2 meses después de la firma del contrato).</w:t>
      </w:r>
    </w:p>
    <w:p w:rsidRPr="009F0035" w:rsidR="009F0035" w:rsidP="3E68704B" w:rsidRDefault="009F0035" w14:paraId="638A125F" w14:textId="77777777">
      <w:pPr>
        <w:suppressAutoHyphens/>
        <w:jc w:val="both"/>
        <w:rPr>
          <w:sz w:val="22"/>
          <w:szCs w:val="22"/>
        </w:rPr>
      </w:pPr>
    </w:p>
    <w:p w:rsidRPr="009F0035" w:rsidR="009F0035" w:rsidP="3E68704B" w:rsidRDefault="009F0035" w14:paraId="42EFAE24" w14:textId="41FD8907">
      <w:pPr>
        <w:suppressAutoHyphens/>
        <w:jc w:val="both"/>
        <w:rPr>
          <w:sz w:val="22"/>
          <w:szCs w:val="22"/>
        </w:rPr>
      </w:pPr>
      <w:r w:rsidRPr="3E68704B" w:rsidR="009F0035">
        <w:rPr>
          <w:sz w:val="22"/>
          <w:szCs w:val="22"/>
        </w:rPr>
        <w:t>· Informe 2.- Propuesta de modelo económico y sus reglamentos, que pruebe su aplicabilidad en el sector eléctrico boliviano. Incluye talleres de presentación a las autoridades del sector y entidades relacionadas, para fines de discusión (debe ser presentado a los 5 meses después de la firma del contrato).</w:t>
      </w:r>
    </w:p>
    <w:p w:rsidRPr="009F0035" w:rsidR="009F0035" w:rsidP="3E68704B" w:rsidRDefault="009F0035" w14:paraId="7FF864F4" w14:textId="77777777">
      <w:pPr>
        <w:suppressAutoHyphens/>
        <w:jc w:val="both"/>
        <w:rPr>
          <w:sz w:val="22"/>
          <w:szCs w:val="22"/>
        </w:rPr>
      </w:pPr>
    </w:p>
    <w:p w:rsidRPr="009F0035" w:rsidR="009F0035" w:rsidP="3E68704B" w:rsidRDefault="009F0035" w14:paraId="7745E896" w14:textId="05C9D28B">
      <w:pPr>
        <w:suppressAutoHyphens/>
        <w:jc w:val="both"/>
        <w:rPr>
          <w:sz w:val="22"/>
          <w:szCs w:val="22"/>
        </w:rPr>
      </w:pPr>
      <w:r w:rsidRPr="3E68704B" w:rsidR="009F0035">
        <w:rPr>
          <w:sz w:val="22"/>
          <w:szCs w:val="22"/>
        </w:rPr>
        <w:t>· Informe final. - Integrando los informes 1 y 2 con la atención a todas las observaciones y comentarios realizados (debe ser presentado a los 6 meses después de la firma del contrato).</w:t>
      </w:r>
    </w:p>
    <w:p w:rsidRPr="009F0035" w:rsidR="009F0035" w:rsidP="3E68704B" w:rsidRDefault="009F0035" w14:paraId="4FF8BDC0" w14:textId="77777777">
      <w:pPr>
        <w:suppressAutoHyphens/>
        <w:jc w:val="both"/>
        <w:rPr>
          <w:sz w:val="22"/>
          <w:szCs w:val="22"/>
        </w:rPr>
      </w:pPr>
    </w:p>
    <w:p w:rsidRPr="009F0035" w:rsidR="009F0035" w:rsidP="3E68704B" w:rsidRDefault="009F0035" w14:paraId="149440F3" w14:textId="77777777">
      <w:pPr>
        <w:suppressAutoHyphens/>
        <w:jc w:val="both"/>
        <w:rPr>
          <w:b w:val="1"/>
          <w:bCs w:val="1"/>
          <w:sz w:val="22"/>
          <w:szCs w:val="22"/>
          <w:u w:val="single"/>
        </w:rPr>
      </w:pPr>
      <w:r w:rsidRPr="3E68704B" w:rsidR="009F0035">
        <w:rPr>
          <w:b w:val="1"/>
          <w:bCs w:val="1"/>
          <w:sz w:val="22"/>
          <w:szCs w:val="22"/>
          <w:u w:val="single"/>
        </w:rPr>
        <w:t>Plazo de ejecución</w:t>
      </w:r>
    </w:p>
    <w:p w:rsidRPr="009F0035" w:rsidR="009F0035" w:rsidP="3E68704B" w:rsidRDefault="009F0035" w14:paraId="168C67B9" w14:textId="77777777">
      <w:pPr>
        <w:suppressAutoHyphens/>
        <w:jc w:val="both"/>
        <w:rPr>
          <w:sz w:val="22"/>
          <w:szCs w:val="22"/>
        </w:rPr>
      </w:pPr>
    </w:p>
    <w:p w:rsidRPr="006A2ED0" w:rsidR="00B82F3D" w:rsidP="3E68704B" w:rsidRDefault="009F0035" w14:paraId="54D18AB4" w14:textId="2373D596">
      <w:pPr>
        <w:suppressAutoHyphens/>
        <w:jc w:val="both"/>
        <w:rPr>
          <w:sz w:val="22"/>
          <w:szCs w:val="22"/>
        </w:rPr>
      </w:pPr>
      <w:r w:rsidRPr="3E68704B" w:rsidR="009F0035">
        <w:rPr>
          <w:sz w:val="22"/>
          <w:szCs w:val="22"/>
        </w:rPr>
        <w:t>El plazo total será de cuatro (6) meses para la ejecución y entrega de todos los productos de la consultoría</w:t>
      </w:r>
    </w:p>
    <w:sectPr w:rsidRPr="006A2ED0" w:rsidR="00B82F3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40" w:orient="portrait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5857" w:rsidRDefault="00225857" w14:paraId="1ED6C9BE" w14:textId="77777777">
      <w:r>
        <w:separator/>
      </w:r>
    </w:p>
  </w:endnote>
  <w:endnote w:type="continuationSeparator" w:id="0">
    <w:p w:rsidR="00225857" w:rsidRDefault="00225857" w14:paraId="56F05E4C" w14:textId="77777777">
      <w:r>
        <w:continuationSeparator/>
      </w:r>
    </w:p>
  </w:endnote>
  <w:endnote w:type="continuationNotice" w:id="1">
    <w:p w:rsidR="00225857" w:rsidRDefault="00225857" w14:paraId="69C03A6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61FB" w:rsidRDefault="00D761FB" w14:paraId="036CA37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61FB" w:rsidRDefault="00D761FB" w14:paraId="252FE89A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61FB" w:rsidRDefault="00D761FB" w14:paraId="10B53B0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5857" w:rsidRDefault="00225857" w14:paraId="5ADC4B36" w14:textId="77777777">
      <w:r>
        <w:separator/>
      </w:r>
    </w:p>
  </w:footnote>
  <w:footnote w:type="continuationSeparator" w:id="0">
    <w:p w:rsidR="00225857" w:rsidRDefault="00225857" w14:paraId="7E73B78D" w14:textId="77777777">
      <w:r>
        <w:continuationSeparator/>
      </w:r>
    </w:p>
  </w:footnote>
  <w:footnote w:type="continuationNotice" w:id="1">
    <w:p w:rsidR="00225857" w:rsidRDefault="00225857" w14:paraId="449BB329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61FB" w:rsidRDefault="00D761FB" w14:paraId="6951892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61FB" w:rsidRDefault="00D761FB" w14:paraId="00D34503" w14:textId="50D7B1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61FB" w:rsidRDefault="00D761FB" w14:paraId="0C352FD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A5CCD"/>
    <w:multiLevelType w:val="hybridMultilevel"/>
    <w:tmpl w:val="A630F132"/>
    <w:lvl w:ilvl="0" w:tplc="D11244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44506"/>
    <w:multiLevelType w:val="hybridMultilevel"/>
    <w:tmpl w:val="81F86F9C"/>
    <w:lvl w:ilvl="0" w:tplc="D11244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00700"/>
    <w:multiLevelType w:val="hybridMultilevel"/>
    <w:tmpl w:val="8E9EE2B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3C65F78"/>
    <w:multiLevelType w:val="multilevel"/>
    <w:tmpl w:val="421E0A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 w:ascii="Arial" w:hAnsi="Arial" w:cs="Arial"/>
        <w:b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hint="default" w:ascii="Symbol" w:hAnsi="Symbo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trackRevisions w:val="false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CA7"/>
    <w:rsid w:val="00032422"/>
    <w:rsid w:val="0003493A"/>
    <w:rsid w:val="00050DB5"/>
    <w:rsid w:val="000C118D"/>
    <w:rsid w:val="00135D16"/>
    <w:rsid w:val="001A72A6"/>
    <w:rsid w:val="001C1EA2"/>
    <w:rsid w:val="001F2366"/>
    <w:rsid w:val="001F3F29"/>
    <w:rsid w:val="00201995"/>
    <w:rsid w:val="00225857"/>
    <w:rsid w:val="002316AC"/>
    <w:rsid w:val="00360ACB"/>
    <w:rsid w:val="003800C7"/>
    <w:rsid w:val="003A24ED"/>
    <w:rsid w:val="003F5CA1"/>
    <w:rsid w:val="004003E8"/>
    <w:rsid w:val="00423E38"/>
    <w:rsid w:val="00424997"/>
    <w:rsid w:val="00463054"/>
    <w:rsid w:val="0047437B"/>
    <w:rsid w:val="004A3654"/>
    <w:rsid w:val="004A4FD3"/>
    <w:rsid w:val="004D51F3"/>
    <w:rsid w:val="004E1B94"/>
    <w:rsid w:val="00507FF3"/>
    <w:rsid w:val="0051231A"/>
    <w:rsid w:val="0052634A"/>
    <w:rsid w:val="00546C8D"/>
    <w:rsid w:val="005501E9"/>
    <w:rsid w:val="00556C08"/>
    <w:rsid w:val="005673D5"/>
    <w:rsid w:val="0056772C"/>
    <w:rsid w:val="005B4012"/>
    <w:rsid w:val="005B434A"/>
    <w:rsid w:val="006071D7"/>
    <w:rsid w:val="006110F0"/>
    <w:rsid w:val="00635FB6"/>
    <w:rsid w:val="00637714"/>
    <w:rsid w:val="006A2ED0"/>
    <w:rsid w:val="006C3B20"/>
    <w:rsid w:val="007001EE"/>
    <w:rsid w:val="0078460F"/>
    <w:rsid w:val="007C5928"/>
    <w:rsid w:val="00812015"/>
    <w:rsid w:val="008171F3"/>
    <w:rsid w:val="00840E51"/>
    <w:rsid w:val="00891E3C"/>
    <w:rsid w:val="008A237E"/>
    <w:rsid w:val="008C7908"/>
    <w:rsid w:val="008F60D4"/>
    <w:rsid w:val="00901303"/>
    <w:rsid w:val="0090355D"/>
    <w:rsid w:val="0090501E"/>
    <w:rsid w:val="00910F68"/>
    <w:rsid w:val="0097497E"/>
    <w:rsid w:val="00991AD6"/>
    <w:rsid w:val="009F0035"/>
    <w:rsid w:val="00A15B62"/>
    <w:rsid w:val="00A3117F"/>
    <w:rsid w:val="00A37CA7"/>
    <w:rsid w:val="00A438EB"/>
    <w:rsid w:val="00A838F0"/>
    <w:rsid w:val="00A83D94"/>
    <w:rsid w:val="00AB0A5D"/>
    <w:rsid w:val="00AC3FA4"/>
    <w:rsid w:val="00AD6E3D"/>
    <w:rsid w:val="00AE7268"/>
    <w:rsid w:val="00B14A1D"/>
    <w:rsid w:val="00B17BF0"/>
    <w:rsid w:val="00B27293"/>
    <w:rsid w:val="00B33FFF"/>
    <w:rsid w:val="00B679AF"/>
    <w:rsid w:val="00B747D9"/>
    <w:rsid w:val="00B756D9"/>
    <w:rsid w:val="00B82F3D"/>
    <w:rsid w:val="00B877A4"/>
    <w:rsid w:val="00BF0B50"/>
    <w:rsid w:val="00BF5CD3"/>
    <w:rsid w:val="00C1619E"/>
    <w:rsid w:val="00C27587"/>
    <w:rsid w:val="00C42B39"/>
    <w:rsid w:val="00C439C0"/>
    <w:rsid w:val="00C763D3"/>
    <w:rsid w:val="00C90263"/>
    <w:rsid w:val="00C94EA8"/>
    <w:rsid w:val="00CA7C9E"/>
    <w:rsid w:val="00CD2A27"/>
    <w:rsid w:val="00CD36BB"/>
    <w:rsid w:val="00CD4904"/>
    <w:rsid w:val="00CE0491"/>
    <w:rsid w:val="00D605E4"/>
    <w:rsid w:val="00D7223A"/>
    <w:rsid w:val="00D761FB"/>
    <w:rsid w:val="00DE327F"/>
    <w:rsid w:val="00E17C99"/>
    <w:rsid w:val="00E2397D"/>
    <w:rsid w:val="00E277C5"/>
    <w:rsid w:val="00E82ED1"/>
    <w:rsid w:val="00E96FA0"/>
    <w:rsid w:val="00ED4D33"/>
    <w:rsid w:val="00EF433A"/>
    <w:rsid w:val="00F2760E"/>
    <w:rsid w:val="00F45D9C"/>
    <w:rsid w:val="00F74266"/>
    <w:rsid w:val="00FC56BC"/>
    <w:rsid w:val="07C1166A"/>
    <w:rsid w:val="08202347"/>
    <w:rsid w:val="09B9D727"/>
    <w:rsid w:val="0AF8B72C"/>
    <w:rsid w:val="139B3320"/>
    <w:rsid w:val="14E2262A"/>
    <w:rsid w:val="17846D05"/>
    <w:rsid w:val="1D07D91C"/>
    <w:rsid w:val="2138C0E4"/>
    <w:rsid w:val="2148FF9C"/>
    <w:rsid w:val="29F3CDBD"/>
    <w:rsid w:val="2C944FB1"/>
    <w:rsid w:val="357A4863"/>
    <w:rsid w:val="35F8E265"/>
    <w:rsid w:val="3961E419"/>
    <w:rsid w:val="3E68704B"/>
    <w:rsid w:val="3E6975FB"/>
    <w:rsid w:val="422F57FF"/>
    <w:rsid w:val="423880CC"/>
    <w:rsid w:val="423880CC"/>
    <w:rsid w:val="4302DCAA"/>
    <w:rsid w:val="46273EC4"/>
    <w:rsid w:val="47DE9EFF"/>
    <w:rsid w:val="48DF0A3D"/>
    <w:rsid w:val="4C7BC12C"/>
    <w:rsid w:val="5A9CE702"/>
    <w:rsid w:val="6007C234"/>
    <w:rsid w:val="672BA234"/>
    <w:rsid w:val="69957C1D"/>
    <w:rsid w:val="6A3E14AC"/>
    <w:rsid w:val="6B689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32EBCC"/>
  <w14:defaultImageDpi w14:val="0"/>
  <w15:docId w15:val="{84C41C21-C044-464C-B5FF-03941554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303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01303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4D3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772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6772C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772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6772C"/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74266"/>
    <w:rPr>
      <w:color w:val="800080" w:themeColor="followedHyperlink"/>
      <w:u w:val="single"/>
    </w:rPr>
  </w:style>
  <w:style w:type="paragraph" w:styleId="Heading1a" w:customStyle="1">
    <w:name w:val="Heading 1a"/>
    <w:rsid w:val="006C3B20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hAnsi="Times New Roman" w:eastAsia="Times New Roman" w:cs="Times New Roman"/>
      <w:b/>
      <w:smallCaps/>
      <w:sz w:val="32"/>
      <w:szCs w:val="20"/>
      <w:lang w:val="es-MX" w:eastAsia="en-US"/>
    </w:rPr>
  </w:style>
  <w:style w:type="paragraph" w:styleId="BodyText">
    <w:name w:val="Body Text"/>
    <w:basedOn w:val="Normal"/>
    <w:link w:val="BodyTextChar"/>
    <w:semiHidden/>
    <w:rsid w:val="006C3B20"/>
    <w:pPr>
      <w:widowControl/>
      <w:suppressAutoHyphens/>
      <w:autoSpaceDE/>
      <w:autoSpaceDN/>
      <w:adjustRightInd/>
    </w:pPr>
    <w:rPr>
      <w:rFonts w:ascii="CG Times" w:hAnsi="CG Times" w:eastAsia="Times New Roman" w:cs="Times New Roman"/>
      <w:color w:val="auto"/>
      <w:spacing w:val="-2"/>
      <w:szCs w:val="20"/>
      <w:lang w:eastAsia="en-US"/>
    </w:rPr>
  </w:style>
  <w:style w:type="character" w:styleId="BodyTextChar" w:customStyle="1">
    <w:name w:val="Body Text Char"/>
    <w:basedOn w:val="DefaultParagraphFont"/>
    <w:link w:val="BodyText"/>
    <w:semiHidden/>
    <w:rsid w:val="006C3B20"/>
    <w:rPr>
      <w:rFonts w:ascii="CG Times" w:hAnsi="CG Times" w:eastAsia="Times New Roman" w:cs="Times New Roman"/>
      <w:spacing w:val="-2"/>
      <w:sz w:val="24"/>
      <w:szCs w:val="20"/>
      <w:lang w:val="es-MX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003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3E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003E8"/>
    <w:rPr>
      <w:rFonts w:ascii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3E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4003E8"/>
    <w:rPr>
      <w:rFonts w:ascii="Arial" w:hAnsi="Arial" w:cs="Arial"/>
      <w:b/>
      <w:bCs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83D9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40E51"/>
    <w:rPr>
      <w:color w:val="605E5C"/>
      <w:shd w:val="clear" w:color="auto" w:fill="E1DFDD"/>
    </w:rPr>
  </w:style>
  <w:style w:type="paragraph" w:styleId="ListParagraph">
    <w:name w:val="List Paragraph"/>
    <w:basedOn w:val="Normal"/>
    <w:link w:val="ListParagraphChar"/>
    <w:uiPriority w:val="34"/>
    <w:qFormat/>
    <w:rsid w:val="001F3F29"/>
    <w:pPr>
      <w:ind w:left="720"/>
      <w:contextualSpacing/>
    </w:pPr>
  </w:style>
  <w:style w:type="character" w:styleId="ListParagraphChar" w:customStyle="1">
    <w:name w:val="List Paragraph Char"/>
    <w:link w:val="ListParagraph"/>
    <w:uiPriority w:val="34"/>
    <w:locked/>
    <w:rsid w:val="00FC56BC"/>
    <w:rPr>
      <w:rFonts w:ascii="Arial" w:hAnsi="Arial" w:cs="Arial"/>
      <w:color w:val="000000"/>
      <w:sz w:val="24"/>
      <w:szCs w:val="24"/>
      <w:lang w:val="es-MX"/>
    </w:rPr>
  </w:style>
  <w:style w:type="paragraph" w:styleId="NoSpacing">
    <w:name w:val="No Spacing"/>
    <w:uiPriority w:val="1"/>
    <w:qFormat/>
    <w:rsid w:val="00B82F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0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2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9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8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2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footer" Target="footer1.xml" Id="rId21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fontTable" Target="fontTable.xml" Id="rId25" /><Relationship Type="http://schemas.openxmlformats.org/officeDocument/2006/relationships/customXml" Target="../customXml/item2.xml" Id="rId2" /><Relationship Type="http://schemas.openxmlformats.org/officeDocument/2006/relationships/hyperlink" Target="http://www.iadb.org/document.cfm?id=38988613" TargetMode="External" Id="rId16" /><Relationship Type="http://schemas.openxmlformats.org/officeDocument/2006/relationships/header" Target="header2.xml" Id="rId20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footnotes" Target="footnotes.xml" Id="rId11" /><Relationship Type="http://schemas.openxmlformats.org/officeDocument/2006/relationships/footer" Target="footer3.xml" Id="rId24" /><Relationship Type="http://schemas.openxmlformats.org/officeDocument/2006/relationships/customXml" Target="../customXml/item5.xml" Id="rId5" /><Relationship Type="http://schemas.openxmlformats.org/officeDocument/2006/relationships/header" Target="header3.xml" Id="rId23" /><Relationship Type="http://schemas.openxmlformats.org/officeDocument/2006/relationships/webSettings" Target="webSettings.xml" Id="rId10" /><Relationship Type="http://schemas.openxmlformats.org/officeDocument/2006/relationships/header" Target="header1.xml" Id="rId19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footer" Target="footer2.xml" Id="rId22" /><Relationship Type="http://schemas.openxmlformats.org/officeDocument/2006/relationships/image" Target="/media/image2.png" Id="Raccf8e71ad4c47fb" /><Relationship Type="http://schemas.openxmlformats.org/officeDocument/2006/relationships/hyperlink" Target="https://www.iadb.org/fr/project/BO-T1391" TargetMode="External" Id="R876c685b509b44ec" /><Relationship Type="http://schemas.openxmlformats.org/officeDocument/2006/relationships/hyperlink" Target="http://beo-procurement.iadb.org/home" TargetMode="External" Id="Rf715ff6b02994063" /><Relationship Type="http://schemas.openxmlformats.org/officeDocument/2006/relationships/hyperlink" Target="mailto:&lt;ZIZAM@IADB.ORG" TargetMode="External" Id="R28cd56c072f644cc" /><Relationship Type="http://schemas.openxmlformats.org/officeDocument/2006/relationships/hyperlink" Target="mailto:edwinma@iadb.org" TargetMode="External" Id="Rf80d46918868491e" /><Relationship Type="http://schemas.openxmlformats.org/officeDocument/2006/relationships/hyperlink" Target="http://www.iadb.org" TargetMode="External" Id="R0d92fb0f0afc4f2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rom_x003a_ xmlns="cdc7663a-08f0-4737-9e8c-148ce897a09c" xsi:nil="true"/>
    <Fiscal_x0020_Year_x0020_IDB xmlns="cdc7663a-08f0-4737-9e8c-148ce897a09c">2022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Machado Lemus, Ziza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RURAL ELECTRIFICATION</TermName>
          <TermId xmlns="http://schemas.microsoft.com/office/infopath/2007/PartnerControls">90b0719d-742a-4d45-b8c2-5e51d3fda218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Related_x0020_SisCor_x0020_Number xmlns="cdc7663a-08f0-4737-9e8c-148ce897a09c" xsi:nil="true"/>
    <Transaction_x0020_Type xmlns="cdc7663a-08f0-4737-9e8c-148ce897a09c" xsi:nil="true"/>
    <TaxCatchAll xmlns="cdc7663a-08f0-4737-9e8c-148ce897a09c">
      <Value>412</Value>
      <Value>33</Value>
      <Value>31</Value>
      <Value>42</Value>
      <Value>7</Value>
    </TaxCatchAll>
    <Operation_x0020_Type xmlns="cdc7663a-08f0-4737-9e8c-148ce897a09c">Technical Cooperation</Operation_x0020_Type>
    <Package_x0020_Code xmlns="cdc7663a-08f0-4737-9e8c-148ce897a09c" xsi:nil="true"/>
    <To_x003a_ xmlns="cdc7663a-08f0-4737-9e8c-148ce897a09c" xsi:nil="true"/>
    <Identifier xmlns="cdc7663a-08f0-4737-9e8c-148ce897a09c" xsi:nil="true"/>
    <Project_x0020_Number xmlns="cdc7663a-08f0-4737-9e8c-148ce897a09c">BO-T1391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 xsi:nil="true"/>
    <Transaction_x0020_Number xmlns="cdc7663a-08f0-4737-9e8c-148ce897a09c" xsi:nil="true"/>
    <Extracted_x0020_Keywords xmlns="cdc7663a-08f0-4737-9e8c-148ce897a09c" xsi:nil="true"/>
    <Approval_x0020_date xmlns="cdc7663a-08f0-4737-9e8c-148ce897a09c" xsi:nil="true"/>
    <_dlc_DocId xmlns="cdc7663a-08f0-4737-9e8c-148ce897a09c">EZSHARE-990930827-2</_dlc_DocId>
    <_dlc_DocIdUrl xmlns="cdc7663a-08f0-4737-9e8c-148ce897a09c">
      <Url>https://idbg.sharepoint.com/teams/EZ-BO-TCP/BO-T1391/_layouts/15/DocIdRedir.aspx?ID=EZSHARE-990930827-2</Url>
      <Description>EZSHARE-990930827-2</Description>
    </_dlc_DocIdUrl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8BC98435ED90A47B21E2174A3DAB951" ma:contentTypeVersion="7728" ma:contentTypeDescription="The base project type from which other project content types inherit their information." ma:contentTypeScope="" ma:versionID="d8b6c83ff253d4e0c02a1e6ecfa1a340">
  <xsd:schema xmlns:xsd="http://www.w3.org/2001/XMLSchema" xmlns:xs="http://www.w3.org/2001/XMLSchema" xmlns:p="http://schemas.microsoft.com/office/2006/metadata/properties" xmlns:ns2="cdc7663a-08f0-4737-9e8c-148ce897a09c" xmlns:ns3="ae9461a5-d585-421b-bdcb-7bf3be41b8b8" targetNamespace="http://schemas.microsoft.com/office/2006/metadata/properties" ma:root="true" ma:fieldsID="ccaf5194ef2715906fe977347f16ed42" ns2:_="" ns3:_="">
    <xsd:import namespace="cdc7663a-08f0-4737-9e8c-148ce897a09c"/>
    <xsd:import namespace="ae9461a5-d585-421b-bdcb-7bf3be41b8b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O-T1391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461a5-d585-421b-bdcb-7bf3be41b8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5E50AB-C705-4C53-B2E7-F469F0E2E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E1C0B-F797-4291-BAA2-D0027345CC47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125F3659-2F0F-4370-91F2-F948C523C92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131EBA-9319-4EF6-91D6-E26C4388F31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98CC96B-FD11-466D-AEB4-CD0D9388406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74013D05-E248-44ED-9533-679428EB8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ae9461a5-d585-421b-bdcb-7bf3be41b8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Inter-American Development Bank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keywords/>
  <cp:lastModifiedBy>Malagon Orjuela, Edwin Antonio</cp:lastModifiedBy>
  <cp:revision>10</cp:revision>
  <cp:lastPrinted>2020-03-24T18:47:00Z</cp:lastPrinted>
  <dcterms:created xsi:type="dcterms:W3CDTF">2022-06-22T15:38:00Z</dcterms:created>
  <dcterms:modified xsi:type="dcterms:W3CDTF">2022-06-23T19:21:46Z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0x010100ACF722E9F6B0B149B0CD8BE2560A667200F8BC98435ED90A47B21E2174A3DAB951</vt:lpwstr>
  </property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SharedWithUsers">
    <vt:lpwstr>3006;#Estrada Regalado, Nelson Mauricio;#864;#Naslund-Hadley, Emma Ingrid;#3275;#Sosa Villatoro, Ana Ayme;#4175;#Nelson, Jennifer A;#3710;#Rodriguez Benavides, Rebeca Elizabeth;#4981;#Rubio Codina, Marta;#5381;#Aguilar Rivera, Ana Mylena</vt:lpwstr>
  </property>
  <property fmtid="{D5CDD505-2E9C-101B-9397-08002B2CF9AE}" pid="8" name="Country">
    <vt:lpwstr>33;#Bolivia|6445a937-aea4-4907-9f24-bff96a7c61c8</vt:lpwstr>
  </property>
  <property fmtid="{D5CDD505-2E9C-101B-9397-08002B2CF9AE}" pid="9" name="_dlc_DocIdItemGuid">
    <vt:lpwstr>3c0513e1-a42f-4cb9-b2b4-6e63a9a9a89c</vt:lpwstr>
  </property>
  <property fmtid="{D5CDD505-2E9C-101B-9397-08002B2CF9AE}" pid="10" name="Function Operations IDB">
    <vt:lpwstr>7;#Goods and Services|5bfebf1b-9f1f-4411-b1dd-4c19b807b799</vt:lpwstr>
  </property>
  <property fmtid="{D5CDD505-2E9C-101B-9397-08002B2CF9AE}" pid="11" name="Sector IDB">
    <vt:lpwstr>42;#ENERGY|4fed196a-cd0b-4970-87de-42da17f9b203</vt:lpwstr>
  </property>
  <property fmtid="{D5CDD505-2E9C-101B-9397-08002B2CF9AE}" pid="12" name="Sub-Sector">
    <vt:lpwstr>412;#RURAL ELECTRIFICATION|90b0719d-742a-4d45-b8c2-5e51d3fda218</vt:lpwstr>
  </property>
  <property fmtid="{D5CDD505-2E9C-101B-9397-08002B2CF9AE}" pid="13" name="Series Operations IDB">
    <vt:lpwstr/>
  </property>
  <property fmtid="{D5CDD505-2E9C-101B-9397-08002B2CF9AE}" pid="14" name="Fund IDB">
    <vt:lpwstr>31;#TBD|d62f6e05-3e80-4abd-9bb4-5f10b4906ff6</vt:lpwstr>
  </property>
  <property fmtid="{D5CDD505-2E9C-101B-9397-08002B2CF9AE}" pid="15" name="Disclosure Activity">
    <vt:lpwstr>Expression of Interest (SG)</vt:lpwstr>
  </property>
  <property fmtid="{D5CDD505-2E9C-101B-9397-08002B2CF9AE}" pid="16" name="Webtopic">
    <vt:lpwstr>Climate Change and Renewable Energy;Electricity;Energy;Energy Distribution and Transmission;Energy Management and Regulation;Energy Markets and Studies;Extractive Industries;</vt:lpwstr>
  </property>
</Properties>
</file>