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20" w:rsidRPr="004E55BD" w:rsidRDefault="00474030" w:rsidP="004E55BD">
      <w:pPr>
        <w:pStyle w:val="Header"/>
        <w:tabs>
          <w:tab w:val="clear" w:pos="4320"/>
          <w:tab w:val="clear" w:pos="8640"/>
        </w:tabs>
        <w:ind w:right="-22"/>
        <w:jc w:val="right"/>
        <w:rPr>
          <w:rFonts w:eastAsia="Arial Unicode MS"/>
          <w:b/>
          <w:sz w:val="28"/>
          <w:szCs w:val="28"/>
        </w:rPr>
      </w:pPr>
      <w:r w:rsidRPr="004E55BD">
        <w:rPr>
          <w:rFonts w:eastAsia="Arial Unicode MS"/>
          <w:b/>
          <w:noProof/>
          <w:sz w:val="28"/>
          <w:szCs w:val="28"/>
          <w:lang w:val="en-US" w:eastAsia="en-US"/>
        </w:rPr>
        <w:drawing>
          <wp:anchor distT="0" distB="0" distL="114300" distR="114300" simplePos="0" relativeHeight="251660288" behindDoc="1" locked="0" layoutInCell="1" allowOverlap="1" wp14:anchorId="28DBD2FC" wp14:editId="1439D63B">
            <wp:simplePos x="0" y="0"/>
            <wp:positionH relativeFrom="column">
              <wp:posOffset>-337820</wp:posOffset>
            </wp:positionH>
            <wp:positionV relativeFrom="paragraph">
              <wp:posOffset>-41275</wp:posOffset>
            </wp:positionV>
            <wp:extent cx="1850390" cy="729615"/>
            <wp:effectExtent l="19050" t="0" r="0" b="0"/>
            <wp:wrapTight wrapText="bothSides">
              <wp:wrapPolygon edited="0">
                <wp:start x="-222" y="0"/>
                <wp:lineTo x="-222" y="20867"/>
                <wp:lineTo x="21570" y="20867"/>
                <wp:lineTo x="21570" y="0"/>
                <wp:lineTo x="-22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16478"/>
                    <a:stretch>
                      <a:fillRect/>
                    </a:stretch>
                  </pic:blipFill>
                  <pic:spPr bwMode="auto">
                    <a:xfrm>
                      <a:off x="0" y="0"/>
                      <a:ext cx="1850390" cy="729615"/>
                    </a:xfrm>
                    <a:prstGeom prst="rect">
                      <a:avLst/>
                    </a:prstGeom>
                    <a:noFill/>
                    <a:ln w="9525">
                      <a:noFill/>
                      <a:miter lim="800000"/>
                      <a:headEnd/>
                      <a:tailEnd/>
                    </a:ln>
                  </pic:spPr>
                </pic:pic>
              </a:graphicData>
            </a:graphic>
          </wp:anchor>
        </w:drawing>
      </w:r>
      <w:r w:rsidR="004E55BD" w:rsidRPr="004E55BD">
        <w:rPr>
          <w:rFonts w:eastAsia="Arial Unicode MS"/>
          <w:b/>
          <w:sz w:val="28"/>
          <w:szCs w:val="28"/>
        </w:rPr>
        <w:t>BANCO INTERAMERICANO DE DESARROLLO</w:t>
      </w:r>
    </w:p>
    <w:p w:rsidR="00C13C20" w:rsidRPr="004E55BD" w:rsidRDefault="004E55BD" w:rsidP="00C13C20">
      <w:pPr>
        <w:ind w:left="-1800"/>
        <w:jc w:val="right"/>
        <w:rPr>
          <w:rFonts w:eastAsia="Arial Unicode MS"/>
          <w:sz w:val="28"/>
          <w:szCs w:val="28"/>
          <w:lang w:val="es-ES_tradnl"/>
        </w:rPr>
      </w:pPr>
      <w:r w:rsidRPr="004E55BD">
        <w:rPr>
          <w:rFonts w:eastAsia="Arial Unicode MS"/>
          <w:sz w:val="28"/>
          <w:szCs w:val="28"/>
          <w:lang w:val="es-ES_tradnl"/>
        </w:rPr>
        <w:t>REPRESENTACION COSTA RICA</w:t>
      </w:r>
    </w:p>
    <w:p w:rsidR="00C13C20" w:rsidRPr="004E55BD" w:rsidRDefault="00C13C20" w:rsidP="00C13C20">
      <w:pPr>
        <w:ind w:left="-1800"/>
        <w:jc w:val="right"/>
        <w:rPr>
          <w:rFonts w:ascii="Unit-Regular" w:eastAsia="Arial Unicode MS" w:hAnsi="Unit-Regular"/>
          <w:b/>
          <w:sz w:val="28"/>
          <w:szCs w:val="28"/>
          <w:lang w:val="es-ES_tradnl"/>
        </w:rPr>
      </w:pPr>
    </w:p>
    <w:p w:rsidR="00C13C20" w:rsidRPr="004E55BD" w:rsidRDefault="00C13C20" w:rsidP="00C13C20">
      <w:pPr>
        <w:ind w:left="-1800"/>
        <w:jc w:val="right"/>
        <w:rPr>
          <w:rFonts w:ascii="Unit-Regular" w:eastAsia="Arial Unicode MS" w:hAnsi="Unit-Regular"/>
          <w:b/>
          <w:sz w:val="28"/>
          <w:szCs w:val="28"/>
          <w:lang w:val="es-ES_tradnl"/>
        </w:rPr>
      </w:pPr>
    </w:p>
    <w:p w:rsidR="00D20138" w:rsidRPr="00814A52" w:rsidRDefault="00D20138" w:rsidP="00D20138">
      <w:pPr>
        <w:ind w:left="-360" w:firstLine="360"/>
        <w:rPr>
          <w:rFonts w:ascii="Unit-Regular" w:eastAsia="Arial Unicode MS" w:hAnsi="Unit-Regular"/>
          <w:sz w:val="28"/>
          <w:szCs w:val="28"/>
          <w:lang w:val="es-ES_tradnl"/>
        </w:rPr>
      </w:pPr>
      <w:r w:rsidRPr="00243BB7">
        <w:rPr>
          <w:rFonts w:ascii="Unit-Regular" w:eastAsia="Arial Unicode MS" w:hAnsi="Unit-Regular"/>
          <w:b/>
          <w:sz w:val="28"/>
          <w:szCs w:val="28"/>
          <w:lang w:val="es-ES_tradnl"/>
        </w:rPr>
        <w:t>MEMORANDO</w:t>
      </w:r>
    </w:p>
    <w:p w:rsidR="00D20138" w:rsidRDefault="00D20138" w:rsidP="00D20138">
      <w:pPr>
        <w:rPr>
          <w:lang w:val="es-ES_tradnl"/>
        </w:rPr>
      </w:pPr>
    </w:p>
    <w:p w:rsidR="00D20138" w:rsidRDefault="00D20138" w:rsidP="00D20138">
      <w:pPr>
        <w:rPr>
          <w:lang w:val="es-ES_tradnl"/>
        </w:rPr>
      </w:pPr>
    </w:p>
    <w:p w:rsidR="00D20138" w:rsidRDefault="00D20138" w:rsidP="00D20138">
      <w:pPr>
        <w:rPr>
          <w:lang w:val="es-ES_tradnl"/>
        </w:rPr>
      </w:pPr>
    </w:p>
    <w:p w:rsidR="00240A1F" w:rsidRDefault="00240A1F" w:rsidP="00D20138">
      <w:pPr>
        <w:rPr>
          <w:lang w:val="es-ES_tradnl"/>
        </w:rPr>
      </w:pPr>
    </w:p>
    <w:p w:rsidR="00D20138" w:rsidRPr="00814A52" w:rsidRDefault="00D20138" w:rsidP="00D20138">
      <w:pPr>
        <w:pStyle w:val="BodyText"/>
        <w:tabs>
          <w:tab w:val="clear" w:pos="7020"/>
        </w:tabs>
        <w:ind w:left="4320"/>
        <w:jc w:val="right"/>
        <w:rPr>
          <w:lang w:val="es-ES_tradnl"/>
        </w:rPr>
      </w:pPr>
    </w:p>
    <w:p w:rsidR="00D20138" w:rsidRDefault="00D20138" w:rsidP="00D20138">
      <w:pPr>
        <w:ind w:left="4320" w:firstLine="720"/>
        <w:jc w:val="right"/>
        <w:rPr>
          <w:lang w:val="es-ES_tradnl"/>
        </w:rPr>
      </w:pPr>
      <w:r>
        <w:rPr>
          <w:b/>
          <w:lang w:val="es-ES_tradnl"/>
        </w:rPr>
        <w:t>FECHA</w:t>
      </w:r>
      <w:r>
        <w:rPr>
          <w:lang w:val="es-ES_tradnl"/>
        </w:rPr>
        <w:t xml:space="preserve">: </w:t>
      </w:r>
      <w:r w:rsidR="00835878">
        <w:rPr>
          <w:lang w:val="es-ES_tradnl"/>
        </w:rPr>
        <w:t>10</w:t>
      </w:r>
      <w:r w:rsidR="00240A1F">
        <w:rPr>
          <w:lang w:val="es-ES_tradnl"/>
        </w:rPr>
        <w:t xml:space="preserve"> de </w:t>
      </w:r>
      <w:r w:rsidR="00BB2DCB">
        <w:rPr>
          <w:lang w:val="es-ES_tradnl"/>
        </w:rPr>
        <w:t>marzo</w:t>
      </w:r>
      <w:r w:rsidR="00240A1F">
        <w:rPr>
          <w:lang w:val="es-ES_tradnl"/>
        </w:rPr>
        <w:t xml:space="preserve"> de 2015</w:t>
      </w:r>
    </w:p>
    <w:p w:rsidR="00D20138" w:rsidRDefault="00D20138" w:rsidP="00D20138">
      <w:pPr>
        <w:jc w:val="both"/>
        <w:rPr>
          <w:lang w:val="es-ES_tradnl"/>
        </w:rPr>
      </w:pPr>
    </w:p>
    <w:p w:rsidR="00D20138" w:rsidRDefault="00D20138" w:rsidP="00D20138">
      <w:pPr>
        <w:jc w:val="both"/>
        <w:rPr>
          <w:lang w:val="es-ES_tradnl"/>
        </w:rPr>
      </w:pPr>
    </w:p>
    <w:p w:rsidR="00D20138" w:rsidRDefault="00D20138" w:rsidP="00D20138">
      <w:pPr>
        <w:jc w:val="both"/>
        <w:rPr>
          <w:lang w:val="es-ES_tradnl"/>
        </w:rPr>
      </w:pPr>
    </w:p>
    <w:p w:rsidR="00D20138" w:rsidRDefault="00D20138" w:rsidP="00D20138">
      <w:pPr>
        <w:tabs>
          <w:tab w:val="right" w:pos="1134"/>
          <w:tab w:val="left" w:pos="1417"/>
          <w:tab w:val="left" w:pos="7920"/>
        </w:tabs>
        <w:jc w:val="both"/>
        <w:rPr>
          <w:lang w:val="es-ES_tradnl"/>
        </w:rPr>
      </w:pPr>
      <w:r>
        <w:rPr>
          <w:b/>
          <w:lang w:val="es-ES_tradnl"/>
        </w:rPr>
        <w:tab/>
        <w:t>A:</w:t>
      </w:r>
      <w:r>
        <w:rPr>
          <w:lang w:val="es-ES_tradnl"/>
        </w:rPr>
        <w:tab/>
        <w:t>Rodrigo Parot</w:t>
      </w:r>
    </w:p>
    <w:p w:rsidR="00D20138" w:rsidRDefault="00D20138" w:rsidP="00D20138">
      <w:pPr>
        <w:tabs>
          <w:tab w:val="right" w:pos="1134"/>
          <w:tab w:val="left" w:pos="1417"/>
        </w:tabs>
        <w:jc w:val="both"/>
        <w:rPr>
          <w:lang w:val="es-ES_tradnl"/>
        </w:rPr>
      </w:pPr>
      <w:r>
        <w:rPr>
          <w:lang w:val="es-ES_tradnl"/>
        </w:rPr>
        <w:tab/>
      </w:r>
      <w:r>
        <w:rPr>
          <w:lang w:val="es-ES_tradnl"/>
        </w:rPr>
        <w:tab/>
        <w:t>Representante del BID en Costa Rica</w:t>
      </w:r>
    </w:p>
    <w:p w:rsidR="00D20138" w:rsidRDefault="00C07A7F" w:rsidP="00D20138">
      <w:pPr>
        <w:tabs>
          <w:tab w:val="right" w:pos="1134"/>
          <w:tab w:val="left" w:pos="1417"/>
        </w:tabs>
        <w:jc w:val="both"/>
        <w:rPr>
          <w:lang w:val="es-ES_tradnl"/>
        </w:rPr>
      </w:pP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r>
        <w:rPr>
          <w:lang w:val="es-ES_tradnl"/>
        </w:rPr>
        <w:tab/>
      </w:r>
    </w:p>
    <w:p w:rsidR="00D20138" w:rsidRDefault="00D20138" w:rsidP="00D20138">
      <w:pPr>
        <w:tabs>
          <w:tab w:val="right" w:pos="1134"/>
          <w:tab w:val="left" w:pos="1417"/>
        </w:tabs>
        <w:jc w:val="both"/>
        <w:rPr>
          <w:bCs/>
          <w:lang w:val="es-ES_tradnl"/>
        </w:rPr>
      </w:pPr>
      <w:r>
        <w:rPr>
          <w:b/>
          <w:lang w:val="es-ES_tradnl"/>
        </w:rPr>
        <w:tab/>
        <w:t>DE:</w:t>
      </w:r>
      <w:r>
        <w:rPr>
          <w:lang w:val="es-ES_tradnl"/>
        </w:rPr>
        <w:tab/>
      </w:r>
      <w:r>
        <w:rPr>
          <w:bCs/>
          <w:lang w:val="es-ES_tradnl"/>
        </w:rPr>
        <w:t>Galileo Solís A. - Especialista Senior en Ciencia y Tecnología</w:t>
      </w:r>
    </w:p>
    <w:p w:rsidR="00D20138" w:rsidRDefault="00D20138" w:rsidP="00D20138">
      <w:pPr>
        <w:tabs>
          <w:tab w:val="right" w:pos="1134"/>
          <w:tab w:val="left" w:pos="1417"/>
        </w:tabs>
        <w:jc w:val="both"/>
        <w:rPr>
          <w:lang w:val="es-ES_tradnl"/>
        </w:rPr>
      </w:pPr>
      <w:r>
        <w:rPr>
          <w:bCs/>
          <w:lang w:val="es-ES_tradnl"/>
        </w:rPr>
        <w:tab/>
      </w:r>
      <w:r>
        <w:rPr>
          <w:bCs/>
          <w:lang w:val="es-ES_tradnl"/>
        </w:rPr>
        <w:tab/>
      </w:r>
    </w:p>
    <w:p w:rsidR="00D20138" w:rsidRDefault="00D20138" w:rsidP="00D20138">
      <w:pPr>
        <w:tabs>
          <w:tab w:val="right" w:pos="1134"/>
          <w:tab w:val="left" w:pos="1417"/>
        </w:tabs>
        <w:jc w:val="both"/>
        <w:rPr>
          <w:lang w:val="es-ES_tradnl"/>
        </w:rPr>
      </w:pPr>
    </w:p>
    <w:p w:rsidR="00240A1F" w:rsidRDefault="00240A1F" w:rsidP="00D20138">
      <w:pPr>
        <w:tabs>
          <w:tab w:val="right" w:pos="1134"/>
          <w:tab w:val="left" w:pos="1417"/>
        </w:tabs>
        <w:jc w:val="both"/>
        <w:rPr>
          <w:lang w:val="es-ES_tradnl"/>
        </w:rPr>
      </w:pPr>
    </w:p>
    <w:p w:rsidR="00D20138" w:rsidRDefault="00D20138" w:rsidP="00D20138">
      <w:pPr>
        <w:tabs>
          <w:tab w:val="right" w:pos="1134"/>
          <w:tab w:val="left" w:pos="1417"/>
        </w:tabs>
        <w:ind w:left="1417" w:hanging="1417"/>
        <w:jc w:val="both"/>
        <w:rPr>
          <w:b/>
          <w:bCs/>
          <w:lang w:val="es-ES_tradnl"/>
        </w:rPr>
      </w:pPr>
      <w:r>
        <w:rPr>
          <w:b/>
          <w:lang w:val="es-ES_tradnl"/>
        </w:rPr>
        <w:tab/>
        <w:t>ASUNTO:</w:t>
      </w:r>
      <w:r>
        <w:rPr>
          <w:lang w:val="es-ES_tradnl"/>
        </w:rPr>
        <w:tab/>
      </w:r>
      <w:r w:rsidR="00240A1F">
        <w:rPr>
          <w:b/>
          <w:bCs/>
          <w:lang w:val="es-ES_tradnl"/>
        </w:rPr>
        <w:t>COSTA RICA: CT INTRA CR-T1133 – Fortalecimiento Complementario a las políticas públicas en Innovación, Ciencia y Tecnología.</w:t>
      </w:r>
    </w:p>
    <w:p w:rsidR="00D20138" w:rsidRDefault="00D20138" w:rsidP="00D20138">
      <w:pPr>
        <w:tabs>
          <w:tab w:val="right" w:pos="1134"/>
          <w:tab w:val="left" w:pos="1417"/>
        </w:tabs>
        <w:ind w:left="1417" w:hanging="1417"/>
        <w:jc w:val="both"/>
        <w:rPr>
          <w:b/>
          <w:bCs/>
          <w:lang w:val="es-ES_tradnl"/>
        </w:rPr>
      </w:pPr>
    </w:p>
    <w:p w:rsidR="00D20138" w:rsidRDefault="00D20138" w:rsidP="00D20138">
      <w:pPr>
        <w:tabs>
          <w:tab w:val="right" w:pos="1134"/>
          <w:tab w:val="left" w:pos="1417"/>
        </w:tabs>
        <w:ind w:left="1417" w:hanging="1417"/>
        <w:jc w:val="both"/>
        <w:rPr>
          <w:b/>
          <w:bCs/>
          <w:lang w:val="es-ES_tradnl"/>
        </w:rPr>
      </w:pPr>
    </w:p>
    <w:p w:rsidR="00D20138" w:rsidRDefault="00D20138" w:rsidP="00D20138">
      <w:pPr>
        <w:tabs>
          <w:tab w:val="right" w:pos="1134"/>
          <w:tab w:val="left" w:pos="1417"/>
        </w:tabs>
        <w:ind w:left="1417" w:hanging="1417"/>
        <w:jc w:val="both"/>
        <w:rPr>
          <w:b/>
          <w:bCs/>
          <w:lang w:val="es-ES_tradnl"/>
        </w:rPr>
      </w:pPr>
    </w:p>
    <w:p w:rsidR="00D20138" w:rsidRPr="006E5968" w:rsidRDefault="00D20138" w:rsidP="00D20138">
      <w:pPr>
        <w:pStyle w:val="Heading1"/>
        <w:spacing w:before="240"/>
        <w:ind w:left="1440"/>
        <w:rPr>
          <w:rFonts w:ascii="Times New Roman" w:hAnsi="Times New Roman" w:cs="Times New Roman"/>
          <w:color w:val="auto"/>
          <w:lang w:val="es-ES_tradnl"/>
        </w:rPr>
      </w:pPr>
      <w:r w:rsidRPr="006E5968">
        <w:rPr>
          <w:rFonts w:ascii="Times New Roman" w:hAnsi="Times New Roman" w:cs="Times New Roman"/>
          <w:color w:val="auto"/>
          <w:lang w:val="es-ES_tradnl"/>
        </w:rPr>
        <w:t>Antecedentes</w:t>
      </w:r>
    </w:p>
    <w:p w:rsidR="00D20138" w:rsidRPr="00F0525E" w:rsidRDefault="00D20138" w:rsidP="00D20138">
      <w:pPr>
        <w:ind w:left="1440"/>
        <w:jc w:val="both"/>
        <w:rPr>
          <w:lang w:val="es-ES_tradnl"/>
        </w:rPr>
      </w:pPr>
      <w:r w:rsidRPr="00F0525E">
        <w:rPr>
          <w:lang w:val="es-ES_tradnl"/>
        </w:rPr>
        <w:t>La innovación y el desarrollo tecnológico son áreas prioritarias en la agenda pública de la actual administración en Costa Rica, siendo parte integral del Plan de Gobierno 201</w:t>
      </w:r>
      <w:r>
        <w:rPr>
          <w:lang w:val="es-ES_tradnl"/>
        </w:rPr>
        <w:t>4</w:t>
      </w:r>
      <w:r w:rsidRPr="00F0525E">
        <w:rPr>
          <w:lang w:val="es-ES_tradnl"/>
        </w:rPr>
        <w:t>-201</w:t>
      </w:r>
      <w:r>
        <w:rPr>
          <w:lang w:val="es-ES_tradnl"/>
        </w:rPr>
        <w:t>8 de la nueva administración</w:t>
      </w:r>
      <w:r w:rsidRPr="00F0525E">
        <w:rPr>
          <w:lang w:val="es-ES_tradnl"/>
        </w:rPr>
        <w:t xml:space="preserve">. </w:t>
      </w:r>
    </w:p>
    <w:p w:rsidR="00D20138" w:rsidRPr="00F0525E" w:rsidRDefault="00D20138" w:rsidP="00D20138">
      <w:pPr>
        <w:ind w:left="1440"/>
        <w:jc w:val="both"/>
        <w:rPr>
          <w:lang w:val="es-ES_tradnl"/>
        </w:rPr>
      </w:pPr>
    </w:p>
    <w:p w:rsidR="00D20138" w:rsidRPr="00F0525E" w:rsidRDefault="00D20138" w:rsidP="00D20138">
      <w:pPr>
        <w:ind w:left="1440"/>
        <w:jc w:val="both"/>
        <w:rPr>
          <w:lang w:val="es-ES_tradnl"/>
        </w:rPr>
      </w:pPr>
      <w:r w:rsidRPr="00F0525E">
        <w:rPr>
          <w:lang w:val="es-ES_tradnl"/>
        </w:rPr>
        <w:t>En este contexto, y con la finalidad de contribuir a la expansión y consolidación del sistema de innovación y desarrollo tecnológico en Costa Rica con vista a apoyar el crecimiento económico y el desarrollo social, el Banco aprobó la Cooperación Técnica CR</w:t>
      </w:r>
      <w:r w:rsidR="00C07A7F">
        <w:rPr>
          <w:lang w:val="es-ES_tradnl"/>
        </w:rPr>
        <w:noBreakHyphen/>
      </w:r>
      <w:r w:rsidRPr="00F0525E">
        <w:rPr>
          <w:lang w:val="es-ES_tradnl"/>
        </w:rPr>
        <w:t>T</w:t>
      </w:r>
      <w:r>
        <w:rPr>
          <w:lang w:val="es-ES_tradnl"/>
        </w:rPr>
        <w:t>1067</w:t>
      </w:r>
      <w:r w:rsidRPr="00F0525E">
        <w:rPr>
          <w:lang w:val="es-ES_tradnl"/>
        </w:rPr>
        <w:t xml:space="preserve"> “Fortalecimiento de</w:t>
      </w:r>
      <w:r>
        <w:rPr>
          <w:lang w:val="es-ES_tradnl"/>
        </w:rPr>
        <w:t xml:space="preserve"> </w:t>
      </w:r>
      <w:r w:rsidRPr="00F0525E">
        <w:rPr>
          <w:lang w:val="es-ES_tradnl"/>
        </w:rPr>
        <w:t>l</w:t>
      </w:r>
      <w:r>
        <w:rPr>
          <w:lang w:val="es-ES_tradnl"/>
        </w:rPr>
        <w:t>as políticas públicas en Innovación, Ciencia y Tecnología</w:t>
      </w:r>
      <w:r w:rsidRPr="00F0525E">
        <w:rPr>
          <w:lang w:val="es-ES_tradnl"/>
        </w:rPr>
        <w:t>” orientada a evaluar</w:t>
      </w:r>
      <w:r>
        <w:rPr>
          <w:lang w:val="es-ES_tradnl"/>
        </w:rPr>
        <w:t>,</w:t>
      </w:r>
      <w:r w:rsidRPr="00F0525E">
        <w:rPr>
          <w:lang w:val="es-ES_tradnl"/>
        </w:rPr>
        <w:t xml:space="preserve"> a la luz de las mejores prácticas y experiencias internacionales</w:t>
      </w:r>
      <w:r>
        <w:rPr>
          <w:lang w:val="es-ES_tradnl"/>
        </w:rPr>
        <w:t>,</w:t>
      </w:r>
      <w:r w:rsidRPr="00F0525E">
        <w:rPr>
          <w:lang w:val="es-ES_tradnl"/>
        </w:rPr>
        <w:t xml:space="preserve"> el sistema institucional, en general, y el sistema de incentivos a la innovación, en particular. </w:t>
      </w:r>
    </w:p>
    <w:p w:rsidR="00D20138" w:rsidRPr="00F0525E" w:rsidRDefault="00D20138" w:rsidP="00D20138">
      <w:pPr>
        <w:ind w:left="1440"/>
        <w:jc w:val="both"/>
        <w:rPr>
          <w:lang w:val="es-ES_tradnl"/>
        </w:rPr>
      </w:pPr>
    </w:p>
    <w:p w:rsidR="00D20138" w:rsidRDefault="00D20138" w:rsidP="00D20138">
      <w:pPr>
        <w:ind w:left="1440"/>
        <w:jc w:val="both"/>
        <w:rPr>
          <w:lang w:val="es-ES_tradnl"/>
        </w:rPr>
      </w:pPr>
      <w:r w:rsidRPr="00F0525E">
        <w:rPr>
          <w:lang w:val="es-ES_tradnl"/>
        </w:rPr>
        <w:t>En este sentido, la experiencia reciente de Uruguay en relación a sus reformas institucionales en su sistema de fomento a la innovación resulta muy valiosa para una mejor operacionalizacion y focalización de los incentivos a este sector en Costa Rica. Para aprovechar el conocimiento disponible, el Gobierno de Costa Rica ha solicitado al Banco una cooperación técnica interregional no reembolsable consistente en brindar financiamiento a una misión de funcionarios del MICIT</w:t>
      </w:r>
      <w:r w:rsidR="00097623">
        <w:rPr>
          <w:lang w:val="es-ES_tradnl"/>
        </w:rPr>
        <w:t>T</w:t>
      </w:r>
      <w:r w:rsidRPr="00F0525E">
        <w:rPr>
          <w:lang w:val="es-ES_tradnl"/>
        </w:rPr>
        <w:t>, MEIC</w:t>
      </w:r>
      <w:r w:rsidR="00A262AE">
        <w:rPr>
          <w:lang w:val="es-ES_tradnl"/>
        </w:rPr>
        <w:t xml:space="preserve">, </w:t>
      </w:r>
      <w:r w:rsidR="00097623">
        <w:rPr>
          <w:lang w:val="es-ES_tradnl"/>
        </w:rPr>
        <w:t xml:space="preserve">Consejo de Innovación, Instituto Nacional de Innovación y Transferencia en Tecnología Agropecuaria (INTA), </w:t>
      </w:r>
      <w:r w:rsidR="00097623">
        <w:rPr>
          <w:lang w:val="es-ES_tradnl"/>
        </w:rPr>
        <w:lastRenderedPageBreak/>
        <w:t xml:space="preserve">Consejo Nacional de Rectores (CONARE) </w:t>
      </w:r>
      <w:r w:rsidRPr="00F0525E">
        <w:rPr>
          <w:lang w:val="es-ES_tradnl"/>
        </w:rPr>
        <w:t xml:space="preserve">y </w:t>
      </w:r>
      <w:r w:rsidR="00BB2DCB">
        <w:rPr>
          <w:lang w:val="es-ES_tradnl"/>
        </w:rPr>
        <w:t xml:space="preserve">un representante </w:t>
      </w:r>
      <w:r w:rsidR="00097623">
        <w:rPr>
          <w:lang w:val="es-ES_tradnl"/>
        </w:rPr>
        <w:t>del sector privado,</w:t>
      </w:r>
      <w:r w:rsidRPr="00F0525E">
        <w:rPr>
          <w:lang w:val="es-ES_tradnl"/>
        </w:rPr>
        <w:t xml:space="preserve"> que tiene como objetivo conocer en detalle el marco institucional y la operatoria de la Agencia Nacional de Investigación e Innovación (ANII)</w:t>
      </w:r>
      <w:r w:rsidR="00BB2DCB">
        <w:rPr>
          <w:lang w:val="es-ES_tradnl"/>
        </w:rPr>
        <w:t>,</w:t>
      </w:r>
      <w:r w:rsidRPr="00F0525E">
        <w:rPr>
          <w:lang w:val="es-ES_tradnl"/>
        </w:rPr>
        <w:t xml:space="preserve"> con miras a adaptarlas a la realidad de Costa Rica. Esta misión es particularmente importante</w:t>
      </w:r>
      <w:r>
        <w:rPr>
          <w:lang w:val="es-ES_tradnl"/>
        </w:rPr>
        <w:t xml:space="preserve"> para la recién iniciada administración del Gobierno, de </w:t>
      </w:r>
      <w:r w:rsidR="003568B3">
        <w:rPr>
          <w:lang w:val="es-ES_tradnl"/>
        </w:rPr>
        <w:t xml:space="preserve">forma </w:t>
      </w:r>
      <w:r>
        <w:rPr>
          <w:lang w:val="es-ES_tradnl"/>
        </w:rPr>
        <w:t xml:space="preserve">que los nuevos funcionario y en particular como organismo ejecutor del Programa de Innovación y Capital Humano para la Competitividad (2852/OC-CR), </w:t>
      </w:r>
      <w:r w:rsidR="003568B3">
        <w:rPr>
          <w:lang w:val="es-ES_tradnl"/>
        </w:rPr>
        <w:t>adquiera</w:t>
      </w:r>
      <w:r>
        <w:rPr>
          <w:lang w:val="es-ES_tradnl"/>
        </w:rPr>
        <w:t xml:space="preserve"> este nuevo conocimiento </w:t>
      </w:r>
      <w:r w:rsidR="003568B3">
        <w:rPr>
          <w:lang w:val="es-ES_tradnl"/>
        </w:rPr>
        <w:t xml:space="preserve">lo que </w:t>
      </w:r>
      <w:r>
        <w:rPr>
          <w:lang w:val="es-ES_tradnl"/>
        </w:rPr>
        <w:t>permit</w:t>
      </w:r>
      <w:r w:rsidR="003568B3">
        <w:rPr>
          <w:lang w:val="es-ES_tradnl"/>
        </w:rPr>
        <w:t>irá</w:t>
      </w:r>
      <w:r>
        <w:rPr>
          <w:lang w:val="es-ES_tradnl"/>
        </w:rPr>
        <w:t xml:space="preserve"> mejorar la eficiencia en su ejecución.</w:t>
      </w:r>
    </w:p>
    <w:p w:rsidR="00240A1F" w:rsidRDefault="00240A1F" w:rsidP="00D20138">
      <w:pPr>
        <w:ind w:left="1440"/>
        <w:jc w:val="both"/>
        <w:rPr>
          <w:lang w:val="es-ES_tradnl"/>
        </w:rPr>
      </w:pPr>
    </w:p>
    <w:p w:rsidR="00240A1F" w:rsidRDefault="00240A1F" w:rsidP="00240A1F">
      <w:pPr>
        <w:ind w:left="1440"/>
        <w:jc w:val="both"/>
        <w:rPr>
          <w:lang w:val="es-ES_tradnl"/>
        </w:rPr>
      </w:pPr>
      <w:r>
        <w:rPr>
          <w:lang w:val="es-ES_tradnl"/>
        </w:rPr>
        <w:t>Igualmente el 17 de diciembre de 2014 se aprobó el proyecto CR-T1131 para financiar a 2 funcionarios a visitar a la ANII en Uruguay</w:t>
      </w:r>
      <w:r w:rsidR="00835878">
        <w:rPr>
          <w:lang w:val="es-ES_tradnl"/>
        </w:rPr>
        <w:t xml:space="preserve">. En acuerdo con el Gobierno de Costa Rica y por el gran ejemplo que es la ANII para el futuro diseño de una agencia de apoyo a la innovación </w:t>
      </w:r>
      <w:r>
        <w:rPr>
          <w:lang w:val="es-ES_tradnl"/>
        </w:rPr>
        <w:t>y</w:t>
      </w:r>
      <w:r w:rsidR="00835878">
        <w:rPr>
          <w:lang w:val="es-ES_tradnl"/>
        </w:rPr>
        <w:t xml:space="preserve"> promoción de la productividad en Costa Rica, se propone complementar,</w:t>
      </w:r>
      <w:r>
        <w:rPr>
          <w:lang w:val="es-ES_tradnl"/>
        </w:rPr>
        <w:t xml:space="preserve"> con los recursos del </w:t>
      </w:r>
      <w:r w:rsidR="00A262AE">
        <w:rPr>
          <w:lang w:val="es-ES_tradnl"/>
        </w:rPr>
        <w:t>presente proyecto</w:t>
      </w:r>
      <w:r w:rsidR="00835878">
        <w:rPr>
          <w:lang w:val="es-ES_tradnl"/>
        </w:rPr>
        <w:t xml:space="preserve">, la inclusión de </w:t>
      </w:r>
      <w:bookmarkStart w:id="0" w:name="_GoBack"/>
      <w:bookmarkEnd w:id="0"/>
      <w:r w:rsidR="00A262AE">
        <w:rPr>
          <w:lang w:val="es-ES_tradnl"/>
        </w:rPr>
        <w:t>5</w:t>
      </w:r>
      <w:r>
        <w:rPr>
          <w:lang w:val="es-ES_tradnl"/>
        </w:rPr>
        <w:t xml:space="preserve"> funcionarios adicionales.</w:t>
      </w:r>
    </w:p>
    <w:p w:rsidR="00240A1F" w:rsidRPr="00F0525E" w:rsidRDefault="00240A1F" w:rsidP="00240A1F">
      <w:pPr>
        <w:ind w:left="1440"/>
        <w:jc w:val="both"/>
        <w:rPr>
          <w:lang w:val="es-ES_tradnl"/>
        </w:rPr>
      </w:pPr>
    </w:p>
    <w:p w:rsidR="00D20138" w:rsidRPr="005642E9" w:rsidRDefault="00D20138" w:rsidP="00D20138">
      <w:pPr>
        <w:pStyle w:val="Heading1"/>
        <w:spacing w:before="240"/>
        <w:ind w:left="1440"/>
        <w:rPr>
          <w:color w:val="auto"/>
          <w:lang w:val="es-ES_tradnl"/>
        </w:rPr>
      </w:pPr>
      <w:r w:rsidRPr="005642E9">
        <w:rPr>
          <w:color w:val="auto"/>
          <w:lang w:val="es-ES_tradnl"/>
        </w:rPr>
        <w:t>Objetivo de la CT Intra</w:t>
      </w:r>
    </w:p>
    <w:p w:rsidR="00D20138" w:rsidRPr="00F0525E" w:rsidRDefault="00D20138" w:rsidP="00D20138">
      <w:pPr>
        <w:ind w:left="1440"/>
        <w:jc w:val="both"/>
        <w:rPr>
          <w:lang w:val="es-ES_tradnl"/>
        </w:rPr>
      </w:pPr>
      <w:r w:rsidRPr="00F0525E">
        <w:rPr>
          <w:lang w:val="es-ES_tradnl"/>
        </w:rPr>
        <w:t>El objetivo de realizar una visita técnica al Uruguay es conocer las experiencias y mejores prácticas de la operativa de la ANII y de otras instancias orientadas a promover las actividades de innovación en el país. Específicamente se espera revisar los siguientes tópicos:</w:t>
      </w:r>
    </w:p>
    <w:p w:rsidR="00D20138" w:rsidRPr="00F0525E" w:rsidRDefault="00D20138" w:rsidP="00D20138">
      <w:pPr>
        <w:ind w:left="360"/>
        <w:jc w:val="both"/>
        <w:rPr>
          <w:lang w:val="es-ES_tradnl"/>
        </w:rPr>
      </w:pPr>
    </w:p>
    <w:p w:rsidR="00D20138" w:rsidRPr="00F0525E" w:rsidRDefault="00D20138" w:rsidP="00D20138">
      <w:pPr>
        <w:ind w:left="2160"/>
        <w:jc w:val="both"/>
        <w:rPr>
          <w:lang w:val="es-ES_tradnl"/>
        </w:rPr>
      </w:pPr>
      <w:r w:rsidRPr="00F0525E">
        <w:rPr>
          <w:lang w:val="es-ES_tradnl"/>
        </w:rPr>
        <w:t xml:space="preserve">1. Política de CTI en Uruguay </w:t>
      </w:r>
    </w:p>
    <w:p w:rsidR="00D20138" w:rsidRPr="00F0525E" w:rsidRDefault="00D20138" w:rsidP="00D20138">
      <w:pPr>
        <w:ind w:left="2160"/>
        <w:jc w:val="both"/>
        <w:rPr>
          <w:lang w:val="es-ES_tradnl"/>
        </w:rPr>
      </w:pPr>
      <w:r w:rsidRPr="00F0525E">
        <w:rPr>
          <w:lang w:val="es-ES_tradnl"/>
        </w:rPr>
        <w:t>2. Justificación, organización y funcionamiento de la ANII</w:t>
      </w:r>
    </w:p>
    <w:p w:rsidR="00D20138" w:rsidRPr="00F0525E" w:rsidRDefault="00D20138" w:rsidP="00D20138">
      <w:pPr>
        <w:ind w:left="2160"/>
        <w:jc w:val="both"/>
        <w:rPr>
          <w:lang w:val="es-ES_tradnl"/>
        </w:rPr>
      </w:pPr>
      <w:r w:rsidRPr="00F0525E">
        <w:rPr>
          <w:lang w:val="es-ES_tradnl"/>
        </w:rPr>
        <w:t>3. Marco legal y normativo del sistema de ciencia, tecnología e innovación en Uruguay</w:t>
      </w:r>
    </w:p>
    <w:p w:rsidR="00D20138" w:rsidRPr="00F0525E" w:rsidRDefault="00D20138" w:rsidP="00D20138">
      <w:pPr>
        <w:ind w:left="2160"/>
        <w:jc w:val="both"/>
        <w:rPr>
          <w:lang w:val="es-ES_tradnl"/>
        </w:rPr>
      </w:pPr>
      <w:r w:rsidRPr="00F0525E">
        <w:rPr>
          <w:lang w:val="es-ES_tradnl"/>
        </w:rPr>
        <w:t>4. Sistemas de Incentivos y de Transferencia Tecnológica: la experiencia uruguaya.</w:t>
      </w:r>
    </w:p>
    <w:p w:rsidR="00D20138" w:rsidRPr="00F0525E" w:rsidRDefault="00D20138" w:rsidP="00D20138">
      <w:pPr>
        <w:ind w:left="2160"/>
        <w:jc w:val="both"/>
        <w:rPr>
          <w:lang w:val="es-ES_tradnl"/>
        </w:rPr>
      </w:pPr>
      <w:r w:rsidRPr="00F0525E">
        <w:rPr>
          <w:lang w:val="es-ES_tradnl"/>
        </w:rPr>
        <w:t>5. Experiencia del Plan CEIBAL</w:t>
      </w:r>
    </w:p>
    <w:p w:rsidR="00D20138" w:rsidRDefault="00D20138" w:rsidP="00D20138">
      <w:pPr>
        <w:ind w:left="2160"/>
        <w:jc w:val="both"/>
        <w:rPr>
          <w:lang w:val="es-ES_tradnl"/>
        </w:rPr>
      </w:pPr>
      <w:r w:rsidRPr="00F0525E">
        <w:rPr>
          <w:lang w:val="es-ES_tradnl"/>
        </w:rPr>
        <w:t xml:space="preserve">6. Sistema de Apoyo al Emprendimiento Dinámico y Parques Tecnológicos. </w:t>
      </w:r>
    </w:p>
    <w:p w:rsidR="00240A1F" w:rsidRPr="00F0525E" w:rsidRDefault="00240A1F" w:rsidP="00D20138">
      <w:pPr>
        <w:ind w:left="2160"/>
        <w:jc w:val="both"/>
        <w:rPr>
          <w:lang w:val="es-ES_tradnl"/>
        </w:rPr>
      </w:pPr>
    </w:p>
    <w:p w:rsidR="00D20138" w:rsidRPr="005642E9" w:rsidRDefault="00D20138" w:rsidP="00D20138">
      <w:pPr>
        <w:pStyle w:val="Heading1"/>
        <w:spacing w:before="240"/>
        <w:ind w:left="1440"/>
        <w:rPr>
          <w:color w:val="auto"/>
          <w:lang w:val="es-ES_tradnl"/>
        </w:rPr>
      </w:pPr>
      <w:r w:rsidRPr="005642E9">
        <w:rPr>
          <w:color w:val="auto"/>
          <w:lang w:val="es-ES_tradnl"/>
        </w:rPr>
        <w:t>Participantes</w:t>
      </w:r>
    </w:p>
    <w:p w:rsidR="00507ACF" w:rsidRDefault="00D20138" w:rsidP="00D20138">
      <w:pPr>
        <w:ind w:left="1440"/>
        <w:jc w:val="both"/>
        <w:rPr>
          <w:lang w:val="es-ES_tradnl"/>
        </w:rPr>
      </w:pPr>
      <w:r>
        <w:rPr>
          <w:lang w:val="es-ES_tradnl"/>
        </w:rPr>
        <w:t xml:space="preserve">Los participantes </w:t>
      </w:r>
      <w:r w:rsidR="00507ACF">
        <w:rPr>
          <w:lang w:val="es-ES_tradnl"/>
        </w:rPr>
        <w:t xml:space="preserve">de esta visita </w:t>
      </w:r>
      <w:r>
        <w:rPr>
          <w:lang w:val="es-ES_tradnl"/>
        </w:rPr>
        <w:t>serán</w:t>
      </w:r>
      <w:r w:rsidR="00507ACF">
        <w:rPr>
          <w:lang w:val="es-ES_tradnl"/>
        </w:rPr>
        <w:t>:</w:t>
      </w:r>
    </w:p>
    <w:p w:rsidR="00507ACF" w:rsidRPr="00507ACF" w:rsidRDefault="00240A1F" w:rsidP="00507ACF">
      <w:pPr>
        <w:pStyle w:val="ListParagraph"/>
        <w:numPr>
          <w:ilvl w:val="0"/>
          <w:numId w:val="9"/>
        </w:numPr>
        <w:jc w:val="both"/>
        <w:rPr>
          <w:lang w:val="es-ES_tradnl"/>
        </w:rPr>
      </w:pPr>
      <w:r>
        <w:rPr>
          <w:lang w:val="es-ES_tradnl"/>
        </w:rPr>
        <w:t>Germán Sojo-Ministerio de Ciencia, Tecnología y Telecomunicaciones</w:t>
      </w:r>
    </w:p>
    <w:p w:rsidR="00097623" w:rsidRDefault="00097623" w:rsidP="00097623">
      <w:pPr>
        <w:pStyle w:val="ListParagraph"/>
        <w:numPr>
          <w:ilvl w:val="0"/>
          <w:numId w:val="9"/>
        </w:numPr>
        <w:jc w:val="both"/>
        <w:rPr>
          <w:lang w:val="es-ES_tradnl"/>
        </w:rPr>
      </w:pPr>
      <w:r>
        <w:rPr>
          <w:lang w:val="es-ES_tradnl"/>
        </w:rPr>
        <w:t>Ivania Arguedas Vargas-Ministerio de Economía, Industria y Comercio</w:t>
      </w:r>
    </w:p>
    <w:p w:rsidR="00097623" w:rsidRDefault="00097623" w:rsidP="00097623">
      <w:pPr>
        <w:pStyle w:val="ListParagraph"/>
        <w:numPr>
          <w:ilvl w:val="0"/>
          <w:numId w:val="9"/>
        </w:numPr>
        <w:jc w:val="both"/>
        <w:rPr>
          <w:lang w:val="es-ES_tradnl"/>
        </w:rPr>
      </w:pPr>
      <w:r>
        <w:rPr>
          <w:lang w:val="es-ES_tradnl"/>
        </w:rPr>
        <w:t>Carlos Araya-INTA</w:t>
      </w:r>
    </w:p>
    <w:p w:rsidR="00240A1F" w:rsidRDefault="00097623" w:rsidP="00507ACF">
      <w:pPr>
        <w:pStyle w:val="ListParagraph"/>
        <w:numPr>
          <w:ilvl w:val="0"/>
          <w:numId w:val="9"/>
        </w:numPr>
        <w:jc w:val="both"/>
        <w:rPr>
          <w:lang w:val="es-ES_tradnl"/>
        </w:rPr>
      </w:pPr>
      <w:r>
        <w:rPr>
          <w:lang w:val="es-ES_tradnl"/>
        </w:rPr>
        <w:t>Jorge Vargas Cullel-Consejo Nacional de Rectores</w:t>
      </w:r>
    </w:p>
    <w:p w:rsidR="00097623" w:rsidRDefault="00097623" w:rsidP="00097623">
      <w:pPr>
        <w:pStyle w:val="ListParagraph"/>
        <w:numPr>
          <w:ilvl w:val="0"/>
          <w:numId w:val="9"/>
        </w:numPr>
        <w:jc w:val="both"/>
        <w:rPr>
          <w:lang w:val="es-ES_tradnl"/>
        </w:rPr>
      </w:pPr>
      <w:r>
        <w:rPr>
          <w:lang w:val="es-ES_tradnl"/>
        </w:rPr>
        <w:t>Luis Javier Castro-Gerente de Mesoamerica (sector privado)</w:t>
      </w:r>
    </w:p>
    <w:p w:rsidR="00A262AE" w:rsidRDefault="00A262AE" w:rsidP="00D20138">
      <w:pPr>
        <w:ind w:left="1440"/>
        <w:jc w:val="both"/>
        <w:rPr>
          <w:lang w:val="es-ES_tradnl"/>
        </w:rPr>
      </w:pPr>
    </w:p>
    <w:p w:rsidR="00D20138" w:rsidRDefault="00D20138" w:rsidP="00D20138">
      <w:pPr>
        <w:ind w:left="1440"/>
        <w:jc w:val="both"/>
        <w:rPr>
          <w:lang w:val="es-ES_tradnl"/>
        </w:rPr>
      </w:pPr>
      <w:r>
        <w:rPr>
          <w:lang w:val="es-ES_tradnl"/>
        </w:rPr>
        <w:t>Esta delegación viajará a Uruguay por 5 días para participar de una serie de reuniones, visitas y entrevistas con el fin de que haya una transferencia de conocimiento con los actores actuales que contribuyen al apoyo al sistema nacional de innovación. Estas actividades tienen el objetivo de conocer los antecedentes del sector, los casos de éxito, las lecciones aprendidas, los planes de apoyo del gobierno y la oferta académica existente que sea de utilidad a ese sector.</w:t>
      </w:r>
    </w:p>
    <w:p w:rsidR="00A262AE" w:rsidRDefault="00A262AE" w:rsidP="00D20138">
      <w:pPr>
        <w:ind w:left="1440"/>
        <w:jc w:val="both"/>
        <w:rPr>
          <w:lang w:val="es-ES_tradnl"/>
        </w:rPr>
      </w:pPr>
    </w:p>
    <w:p w:rsidR="00D20138" w:rsidRDefault="00D20138" w:rsidP="00D20138">
      <w:pPr>
        <w:ind w:left="1440"/>
        <w:jc w:val="both"/>
        <w:rPr>
          <w:lang w:val="es-ES_tradnl"/>
        </w:rPr>
      </w:pPr>
      <w:r>
        <w:rPr>
          <w:lang w:val="es-ES_tradnl"/>
        </w:rPr>
        <w:lastRenderedPageBreak/>
        <w:t xml:space="preserve">Por la contraparte </w:t>
      </w:r>
      <w:r w:rsidR="003568B3">
        <w:rPr>
          <w:lang w:val="es-ES_tradnl"/>
        </w:rPr>
        <w:t>uruguaya</w:t>
      </w:r>
      <w:r>
        <w:rPr>
          <w:lang w:val="es-ES_tradnl"/>
        </w:rPr>
        <w:t xml:space="preserve">, se ha identificado a la </w:t>
      </w:r>
      <w:r w:rsidRPr="00F0525E">
        <w:rPr>
          <w:lang w:val="es-ES_tradnl"/>
        </w:rPr>
        <w:t>Agencia Nacional de Investigación e Innovación (ANII)</w:t>
      </w:r>
      <w:r>
        <w:rPr>
          <w:lang w:val="es-ES_tradnl"/>
        </w:rPr>
        <w:t>, quienes servirán de anfitrión de la visita.</w:t>
      </w:r>
    </w:p>
    <w:p w:rsidR="00240A1F" w:rsidRDefault="00240A1F" w:rsidP="00D20138">
      <w:pPr>
        <w:ind w:left="1440"/>
        <w:jc w:val="both"/>
        <w:rPr>
          <w:lang w:val="es-ES_tradnl"/>
        </w:rPr>
      </w:pPr>
    </w:p>
    <w:p w:rsidR="00D20138" w:rsidRPr="005642E9" w:rsidRDefault="00D20138" w:rsidP="00D20138">
      <w:pPr>
        <w:pStyle w:val="Heading1"/>
        <w:spacing w:before="240"/>
        <w:ind w:left="1440"/>
        <w:rPr>
          <w:color w:val="auto"/>
          <w:lang w:val="es-ES_tradnl"/>
        </w:rPr>
      </w:pPr>
      <w:r w:rsidRPr="005642E9">
        <w:rPr>
          <w:color w:val="auto"/>
          <w:lang w:val="es-ES_tradnl"/>
        </w:rPr>
        <w:t>Costo para el Banco</w:t>
      </w:r>
    </w:p>
    <w:p w:rsidR="00D20138" w:rsidRDefault="00D20138" w:rsidP="00D20138">
      <w:pPr>
        <w:ind w:left="1440"/>
        <w:jc w:val="both"/>
        <w:rPr>
          <w:lang w:val="es-ES_tradnl"/>
        </w:rPr>
      </w:pPr>
      <w:r>
        <w:rPr>
          <w:lang w:val="es-ES_tradnl"/>
        </w:rPr>
        <w:t>El Banco contribuirá con el equivalente a US$</w:t>
      </w:r>
      <w:r w:rsidR="00240A1F">
        <w:rPr>
          <w:lang w:val="es-ES_tradnl"/>
        </w:rPr>
        <w:t>1</w:t>
      </w:r>
      <w:r w:rsidR="00CC4DE5">
        <w:rPr>
          <w:lang w:val="es-ES_tradnl"/>
        </w:rPr>
        <w:t>7</w:t>
      </w:r>
      <w:r w:rsidR="00240A1F">
        <w:rPr>
          <w:lang w:val="es-ES_tradnl"/>
        </w:rPr>
        <w:t>,</w:t>
      </w:r>
      <w:r w:rsidR="00CC4DE5">
        <w:rPr>
          <w:lang w:val="es-ES_tradnl"/>
        </w:rPr>
        <w:t>060</w:t>
      </w:r>
      <w:r>
        <w:rPr>
          <w:lang w:val="es-ES_tradnl"/>
        </w:rPr>
        <w:t xml:space="preserve"> para los costos de la operación de conformidad al siguiente presupuesto:</w:t>
      </w:r>
    </w:p>
    <w:p w:rsidR="00D20138" w:rsidRPr="000A77CE" w:rsidRDefault="00D20138" w:rsidP="00D20138">
      <w:pPr>
        <w:ind w:left="1440"/>
        <w:jc w:val="center"/>
        <w:rPr>
          <w:b/>
          <w:lang w:val="es-ES_tradnl"/>
        </w:rPr>
      </w:pPr>
      <w:r w:rsidRPr="000A77CE">
        <w:rPr>
          <w:b/>
          <w:lang w:val="es-ES_tradnl"/>
        </w:rPr>
        <w:t>Estimación de Gastos</w:t>
      </w:r>
    </w:p>
    <w:p w:rsidR="00D20138" w:rsidRPr="000A77CE" w:rsidRDefault="00D20138" w:rsidP="00D20138">
      <w:pPr>
        <w:ind w:left="1440"/>
        <w:jc w:val="center"/>
        <w:rPr>
          <w:b/>
          <w:lang w:val="es-ES_tradnl"/>
        </w:rPr>
      </w:pPr>
      <w:r w:rsidRPr="000A77CE">
        <w:rPr>
          <w:b/>
          <w:lang w:val="es-ES_tradnl"/>
        </w:rPr>
        <w:t>CT INTRA</w:t>
      </w:r>
    </w:p>
    <w:tbl>
      <w:tblPr>
        <w:tblStyle w:val="TableGrid"/>
        <w:tblW w:w="0" w:type="auto"/>
        <w:tblInd w:w="1440" w:type="dxa"/>
        <w:tblLook w:val="04A0" w:firstRow="1" w:lastRow="0" w:firstColumn="1" w:lastColumn="0" w:noHBand="0" w:noVBand="1"/>
      </w:tblPr>
      <w:tblGrid>
        <w:gridCol w:w="2988"/>
        <w:gridCol w:w="990"/>
        <w:gridCol w:w="1350"/>
        <w:gridCol w:w="1350"/>
        <w:gridCol w:w="1170"/>
        <w:gridCol w:w="1166"/>
      </w:tblGrid>
      <w:tr w:rsidR="00240A1F" w:rsidRPr="000A77CE" w:rsidTr="00A774D8">
        <w:tc>
          <w:tcPr>
            <w:tcW w:w="2988" w:type="dxa"/>
          </w:tcPr>
          <w:p w:rsidR="00240A1F" w:rsidRPr="000A77CE" w:rsidRDefault="00240A1F" w:rsidP="00A774D8">
            <w:pPr>
              <w:jc w:val="center"/>
              <w:rPr>
                <w:b/>
                <w:lang w:val="es-ES_tradnl"/>
              </w:rPr>
            </w:pPr>
            <w:r w:rsidRPr="000A77CE">
              <w:rPr>
                <w:b/>
                <w:lang w:val="es-ES_tradnl"/>
              </w:rPr>
              <w:t>Rubro</w:t>
            </w:r>
          </w:p>
        </w:tc>
        <w:tc>
          <w:tcPr>
            <w:tcW w:w="990" w:type="dxa"/>
          </w:tcPr>
          <w:p w:rsidR="00240A1F" w:rsidRPr="000A77CE" w:rsidRDefault="00240A1F" w:rsidP="00A774D8">
            <w:pPr>
              <w:jc w:val="center"/>
              <w:rPr>
                <w:b/>
                <w:lang w:val="es-ES_tradnl"/>
              </w:rPr>
            </w:pPr>
            <w:r w:rsidRPr="000A77CE">
              <w:rPr>
                <w:b/>
                <w:lang w:val="es-ES_tradnl"/>
              </w:rPr>
              <w:t>Monto Diario</w:t>
            </w:r>
          </w:p>
        </w:tc>
        <w:tc>
          <w:tcPr>
            <w:tcW w:w="1350" w:type="dxa"/>
          </w:tcPr>
          <w:p w:rsidR="00240A1F" w:rsidRDefault="00240A1F" w:rsidP="00A774D8">
            <w:pPr>
              <w:jc w:val="center"/>
              <w:rPr>
                <w:b/>
                <w:lang w:val="es-ES_tradnl"/>
              </w:rPr>
            </w:pPr>
            <w:r w:rsidRPr="000A77CE">
              <w:rPr>
                <w:b/>
                <w:lang w:val="es-ES_tradnl"/>
              </w:rPr>
              <w:t># de días</w:t>
            </w:r>
            <w:r>
              <w:rPr>
                <w:b/>
                <w:lang w:val="es-ES_tradnl"/>
              </w:rPr>
              <w:t>/</w:t>
            </w:r>
          </w:p>
          <w:p w:rsidR="00240A1F" w:rsidRPr="000A77CE" w:rsidRDefault="00240A1F" w:rsidP="00A774D8">
            <w:pPr>
              <w:jc w:val="center"/>
              <w:rPr>
                <w:b/>
                <w:lang w:val="es-ES_tradnl"/>
              </w:rPr>
            </w:pPr>
            <w:r>
              <w:rPr>
                <w:b/>
                <w:lang w:val="es-ES_tradnl"/>
              </w:rPr>
              <w:t>Cantidad</w:t>
            </w:r>
          </w:p>
        </w:tc>
        <w:tc>
          <w:tcPr>
            <w:tcW w:w="1350" w:type="dxa"/>
          </w:tcPr>
          <w:p w:rsidR="00240A1F" w:rsidRPr="000A77CE" w:rsidRDefault="00240A1F" w:rsidP="00A774D8">
            <w:pPr>
              <w:jc w:val="center"/>
              <w:rPr>
                <w:b/>
                <w:lang w:val="es-ES_tradnl"/>
              </w:rPr>
            </w:pPr>
            <w:r w:rsidRPr="000A77CE">
              <w:rPr>
                <w:b/>
                <w:lang w:val="es-ES_tradnl"/>
              </w:rPr>
              <w:t>Total por persona</w:t>
            </w:r>
          </w:p>
        </w:tc>
        <w:tc>
          <w:tcPr>
            <w:tcW w:w="1170" w:type="dxa"/>
          </w:tcPr>
          <w:p w:rsidR="00240A1F" w:rsidRPr="000A77CE" w:rsidRDefault="00240A1F" w:rsidP="00A774D8">
            <w:pPr>
              <w:jc w:val="center"/>
              <w:rPr>
                <w:b/>
                <w:lang w:val="es-ES_tradnl"/>
              </w:rPr>
            </w:pPr>
            <w:r w:rsidRPr="000A77CE">
              <w:rPr>
                <w:b/>
                <w:lang w:val="es-ES_tradnl"/>
              </w:rPr>
              <w:t># de persona</w:t>
            </w:r>
            <w:r>
              <w:rPr>
                <w:b/>
                <w:lang w:val="es-ES_tradnl"/>
              </w:rPr>
              <w:t>s</w:t>
            </w:r>
          </w:p>
        </w:tc>
        <w:tc>
          <w:tcPr>
            <w:tcW w:w="1166" w:type="dxa"/>
          </w:tcPr>
          <w:p w:rsidR="00240A1F" w:rsidRPr="000A77CE" w:rsidRDefault="00240A1F" w:rsidP="00A774D8">
            <w:pPr>
              <w:jc w:val="center"/>
              <w:rPr>
                <w:b/>
                <w:lang w:val="es-ES_tradnl"/>
              </w:rPr>
            </w:pPr>
            <w:r w:rsidRPr="000A77CE">
              <w:rPr>
                <w:b/>
                <w:lang w:val="es-ES_tradnl"/>
              </w:rPr>
              <w:t>COSTO TOTAL</w:t>
            </w:r>
          </w:p>
        </w:tc>
      </w:tr>
      <w:tr w:rsidR="00240A1F" w:rsidRPr="006E5968" w:rsidTr="00A774D8">
        <w:tc>
          <w:tcPr>
            <w:tcW w:w="2988" w:type="dxa"/>
          </w:tcPr>
          <w:p w:rsidR="00240A1F" w:rsidRPr="006E5968" w:rsidRDefault="00240A1F" w:rsidP="00A774D8">
            <w:pPr>
              <w:rPr>
                <w:sz w:val="20"/>
                <w:lang w:val="es-ES_tradnl"/>
              </w:rPr>
            </w:pPr>
            <w:r>
              <w:rPr>
                <w:sz w:val="20"/>
                <w:lang w:val="es-ES_tradnl"/>
              </w:rPr>
              <w:t>Per Diem</w:t>
            </w:r>
          </w:p>
        </w:tc>
        <w:tc>
          <w:tcPr>
            <w:tcW w:w="990" w:type="dxa"/>
          </w:tcPr>
          <w:p w:rsidR="00240A1F" w:rsidRPr="006E5968" w:rsidRDefault="00240A1F" w:rsidP="00A774D8">
            <w:pPr>
              <w:jc w:val="right"/>
              <w:rPr>
                <w:sz w:val="20"/>
                <w:lang w:val="es-ES_tradnl"/>
              </w:rPr>
            </w:pPr>
            <w:r>
              <w:rPr>
                <w:sz w:val="20"/>
                <w:lang w:val="es-ES_tradnl"/>
              </w:rPr>
              <w:t>$252</w:t>
            </w:r>
          </w:p>
        </w:tc>
        <w:tc>
          <w:tcPr>
            <w:tcW w:w="1350" w:type="dxa"/>
          </w:tcPr>
          <w:p w:rsidR="00240A1F" w:rsidRPr="006E5968" w:rsidRDefault="00240A1F" w:rsidP="00A774D8">
            <w:pPr>
              <w:jc w:val="center"/>
              <w:rPr>
                <w:sz w:val="20"/>
                <w:lang w:val="es-ES_tradnl"/>
              </w:rPr>
            </w:pPr>
            <w:r>
              <w:rPr>
                <w:sz w:val="20"/>
                <w:lang w:val="es-ES_tradnl"/>
              </w:rPr>
              <w:t>6</w:t>
            </w:r>
          </w:p>
        </w:tc>
        <w:tc>
          <w:tcPr>
            <w:tcW w:w="1350" w:type="dxa"/>
          </w:tcPr>
          <w:p w:rsidR="00240A1F" w:rsidRPr="006E5968" w:rsidRDefault="00240A1F" w:rsidP="00A774D8">
            <w:pPr>
              <w:jc w:val="right"/>
              <w:rPr>
                <w:sz w:val="20"/>
                <w:lang w:val="es-ES_tradnl"/>
              </w:rPr>
            </w:pPr>
            <w:r w:rsidRPr="006E5968">
              <w:rPr>
                <w:sz w:val="20"/>
                <w:lang w:val="es-ES_tradnl"/>
              </w:rPr>
              <w:t>$</w:t>
            </w:r>
            <w:r>
              <w:rPr>
                <w:sz w:val="20"/>
                <w:lang w:val="es-ES_tradnl"/>
              </w:rPr>
              <w:t>1,512</w:t>
            </w:r>
          </w:p>
        </w:tc>
        <w:tc>
          <w:tcPr>
            <w:tcW w:w="1170" w:type="dxa"/>
          </w:tcPr>
          <w:p w:rsidR="00240A1F" w:rsidRPr="006E5968" w:rsidRDefault="00A262AE" w:rsidP="00A774D8">
            <w:pPr>
              <w:jc w:val="center"/>
              <w:rPr>
                <w:sz w:val="20"/>
                <w:lang w:val="es-ES_tradnl"/>
              </w:rPr>
            </w:pPr>
            <w:r>
              <w:rPr>
                <w:sz w:val="20"/>
                <w:lang w:val="es-ES_tradnl"/>
              </w:rPr>
              <w:t>5</w:t>
            </w:r>
          </w:p>
        </w:tc>
        <w:tc>
          <w:tcPr>
            <w:tcW w:w="1166" w:type="dxa"/>
          </w:tcPr>
          <w:p w:rsidR="00240A1F" w:rsidRPr="006E5968" w:rsidRDefault="00240A1F" w:rsidP="00A262AE">
            <w:pPr>
              <w:jc w:val="right"/>
              <w:rPr>
                <w:sz w:val="20"/>
                <w:lang w:val="es-ES_tradnl"/>
              </w:rPr>
            </w:pPr>
            <w:r w:rsidRPr="006E5968">
              <w:rPr>
                <w:sz w:val="20"/>
                <w:lang w:val="es-ES_tradnl"/>
              </w:rPr>
              <w:t>$</w:t>
            </w:r>
            <w:r w:rsidR="00A262AE">
              <w:rPr>
                <w:sz w:val="20"/>
                <w:lang w:val="es-ES_tradnl"/>
              </w:rPr>
              <w:t>7,560</w:t>
            </w:r>
          </w:p>
        </w:tc>
      </w:tr>
      <w:tr w:rsidR="00240A1F" w:rsidRPr="006E5968" w:rsidTr="00A774D8">
        <w:tc>
          <w:tcPr>
            <w:tcW w:w="2988" w:type="dxa"/>
          </w:tcPr>
          <w:p w:rsidR="00240A1F" w:rsidRPr="006E5968" w:rsidRDefault="00240A1F" w:rsidP="00A774D8">
            <w:pPr>
              <w:rPr>
                <w:sz w:val="20"/>
                <w:lang w:val="es-ES_tradnl"/>
              </w:rPr>
            </w:pPr>
            <w:r w:rsidRPr="006E5968">
              <w:rPr>
                <w:sz w:val="20"/>
                <w:lang w:val="es-ES_tradnl"/>
              </w:rPr>
              <w:t>Viaje Internacional</w:t>
            </w:r>
          </w:p>
        </w:tc>
        <w:tc>
          <w:tcPr>
            <w:tcW w:w="990" w:type="dxa"/>
          </w:tcPr>
          <w:p w:rsidR="00240A1F" w:rsidRPr="006E5968" w:rsidRDefault="00240A1F" w:rsidP="00A774D8">
            <w:pPr>
              <w:jc w:val="right"/>
              <w:rPr>
                <w:sz w:val="20"/>
                <w:lang w:val="es-ES_tradnl"/>
              </w:rPr>
            </w:pPr>
            <w:r w:rsidRPr="006E5968">
              <w:rPr>
                <w:sz w:val="20"/>
                <w:lang w:val="es-ES_tradnl"/>
              </w:rPr>
              <w:t>$1,</w:t>
            </w:r>
            <w:r>
              <w:rPr>
                <w:sz w:val="20"/>
                <w:lang w:val="es-ES_tradnl"/>
              </w:rPr>
              <w:t>700</w:t>
            </w:r>
          </w:p>
        </w:tc>
        <w:tc>
          <w:tcPr>
            <w:tcW w:w="1350" w:type="dxa"/>
          </w:tcPr>
          <w:p w:rsidR="00240A1F" w:rsidRPr="006E5968" w:rsidRDefault="00240A1F" w:rsidP="00A774D8">
            <w:pPr>
              <w:jc w:val="center"/>
              <w:rPr>
                <w:sz w:val="20"/>
                <w:lang w:val="es-ES_tradnl"/>
              </w:rPr>
            </w:pPr>
            <w:r w:rsidRPr="006E5968">
              <w:rPr>
                <w:sz w:val="20"/>
                <w:lang w:val="es-ES_tradnl"/>
              </w:rPr>
              <w:t>1</w:t>
            </w:r>
          </w:p>
        </w:tc>
        <w:tc>
          <w:tcPr>
            <w:tcW w:w="1350" w:type="dxa"/>
          </w:tcPr>
          <w:p w:rsidR="00240A1F" w:rsidRPr="006E5968" w:rsidRDefault="00240A1F" w:rsidP="00A774D8">
            <w:pPr>
              <w:jc w:val="right"/>
              <w:rPr>
                <w:sz w:val="20"/>
                <w:lang w:val="es-ES_tradnl"/>
              </w:rPr>
            </w:pPr>
            <w:r w:rsidRPr="006E5968">
              <w:rPr>
                <w:sz w:val="20"/>
                <w:lang w:val="es-ES_tradnl"/>
              </w:rPr>
              <w:t>$1,</w:t>
            </w:r>
            <w:r>
              <w:rPr>
                <w:sz w:val="20"/>
                <w:lang w:val="es-ES_tradnl"/>
              </w:rPr>
              <w:t>700</w:t>
            </w:r>
          </w:p>
        </w:tc>
        <w:tc>
          <w:tcPr>
            <w:tcW w:w="1170" w:type="dxa"/>
          </w:tcPr>
          <w:p w:rsidR="00240A1F" w:rsidRPr="006E5968" w:rsidRDefault="00A262AE" w:rsidP="00A774D8">
            <w:pPr>
              <w:jc w:val="center"/>
              <w:rPr>
                <w:sz w:val="20"/>
                <w:lang w:val="es-ES_tradnl"/>
              </w:rPr>
            </w:pPr>
            <w:r>
              <w:rPr>
                <w:sz w:val="20"/>
                <w:lang w:val="es-ES_tradnl"/>
              </w:rPr>
              <w:t>5</w:t>
            </w:r>
          </w:p>
        </w:tc>
        <w:tc>
          <w:tcPr>
            <w:tcW w:w="1166" w:type="dxa"/>
          </w:tcPr>
          <w:p w:rsidR="00240A1F" w:rsidRPr="006E5968" w:rsidRDefault="00240A1F" w:rsidP="00A262AE">
            <w:pPr>
              <w:jc w:val="right"/>
              <w:rPr>
                <w:sz w:val="20"/>
                <w:lang w:val="es-ES_tradnl"/>
              </w:rPr>
            </w:pPr>
            <w:r w:rsidRPr="006E5968">
              <w:rPr>
                <w:sz w:val="20"/>
                <w:lang w:val="es-ES_tradnl"/>
              </w:rPr>
              <w:t>$</w:t>
            </w:r>
            <w:r w:rsidR="00A262AE">
              <w:rPr>
                <w:sz w:val="20"/>
                <w:lang w:val="es-ES_tradnl"/>
              </w:rPr>
              <w:t>8,500</w:t>
            </w:r>
          </w:p>
        </w:tc>
      </w:tr>
      <w:tr w:rsidR="00240A1F" w:rsidRPr="006E5968" w:rsidTr="00A774D8">
        <w:tc>
          <w:tcPr>
            <w:tcW w:w="2988" w:type="dxa"/>
          </w:tcPr>
          <w:p w:rsidR="00240A1F" w:rsidRPr="006E5968" w:rsidRDefault="00240A1F" w:rsidP="00A774D8">
            <w:pPr>
              <w:rPr>
                <w:sz w:val="20"/>
                <w:lang w:val="es-ES_tradnl"/>
              </w:rPr>
            </w:pPr>
            <w:r>
              <w:rPr>
                <w:sz w:val="20"/>
                <w:lang w:val="es-ES_tradnl"/>
              </w:rPr>
              <w:t>Imprevistos</w:t>
            </w:r>
          </w:p>
        </w:tc>
        <w:tc>
          <w:tcPr>
            <w:tcW w:w="990" w:type="dxa"/>
          </w:tcPr>
          <w:p w:rsidR="00240A1F" w:rsidRPr="006E5968" w:rsidRDefault="00240A1F" w:rsidP="00A774D8">
            <w:pPr>
              <w:jc w:val="right"/>
              <w:rPr>
                <w:sz w:val="20"/>
                <w:lang w:val="es-ES_tradnl"/>
              </w:rPr>
            </w:pPr>
          </w:p>
        </w:tc>
        <w:tc>
          <w:tcPr>
            <w:tcW w:w="1350" w:type="dxa"/>
          </w:tcPr>
          <w:p w:rsidR="00240A1F" w:rsidRPr="006E5968" w:rsidRDefault="00240A1F" w:rsidP="00A774D8">
            <w:pPr>
              <w:jc w:val="center"/>
              <w:rPr>
                <w:sz w:val="20"/>
                <w:lang w:val="es-ES_tradnl"/>
              </w:rPr>
            </w:pPr>
          </w:p>
        </w:tc>
        <w:tc>
          <w:tcPr>
            <w:tcW w:w="1350" w:type="dxa"/>
          </w:tcPr>
          <w:p w:rsidR="00240A1F" w:rsidRPr="006E5968" w:rsidRDefault="00240A1F" w:rsidP="00A774D8">
            <w:pPr>
              <w:jc w:val="right"/>
              <w:rPr>
                <w:sz w:val="20"/>
                <w:lang w:val="es-ES_tradnl"/>
              </w:rPr>
            </w:pPr>
          </w:p>
        </w:tc>
        <w:tc>
          <w:tcPr>
            <w:tcW w:w="1170" w:type="dxa"/>
          </w:tcPr>
          <w:p w:rsidR="00240A1F" w:rsidRPr="006E5968" w:rsidRDefault="00240A1F" w:rsidP="00A774D8">
            <w:pPr>
              <w:jc w:val="center"/>
              <w:rPr>
                <w:sz w:val="20"/>
                <w:lang w:val="es-ES_tradnl"/>
              </w:rPr>
            </w:pPr>
          </w:p>
        </w:tc>
        <w:tc>
          <w:tcPr>
            <w:tcW w:w="1166" w:type="dxa"/>
          </w:tcPr>
          <w:p w:rsidR="00240A1F" w:rsidRPr="006E5968" w:rsidRDefault="00240A1F" w:rsidP="00A774D8">
            <w:pPr>
              <w:jc w:val="right"/>
              <w:rPr>
                <w:sz w:val="20"/>
                <w:lang w:val="es-ES_tradnl"/>
              </w:rPr>
            </w:pPr>
            <w:r w:rsidRPr="006E5968">
              <w:rPr>
                <w:sz w:val="20"/>
                <w:lang w:val="es-ES_tradnl"/>
              </w:rPr>
              <w:t>$</w:t>
            </w:r>
            <w:r w:rsidR="00A262AE">
              <w:rPr>
                <w:sz w:val="20"/>
                <w:lang w:val="es-ES_tradnl"/>
              </w:rPr>
              <w:t>1,000</w:t>
            </w:r>
          </w:p>
        </w:tc>
      </w:tr>
      <w:tr w:rsidR="00240A1F" w:rsidRPr="006E5968" w:rsidTr="00A774D8">
        <w:tc>
          <w:tcPr>
            <w:tcW w:w="7848" w:type="dxa"/>
            <w:gridSpan w:val="5"/>
          </w:tcPr>
          <w:p w:rsidR="00240A1F" w:rsidRPr="006E5968" w:rsidRDefault="00240A1F" w:rsidP="00A774D8">
            <w:pPr>
              <w:jc w:val="right"/>
              <w:rPr>
                <w:b/>
                <w:sz w:val="20"/>
                <w:lang w:val="es-ES_tradnl"/>
              </w:rPr>
            </w:pPr>
            <w:r w:rsidRPr="006E5968">
              <w:rPr>
                <w:b/>
                <w:sz w:val="20"/>
                <w:lang w:val="es-ES_tradnl"/>
              </w:rPr>
              <w:t>TOTAL</w:t>
            </w:r>
          </w:p>
        </w:tc>
        <w:tc>
          <w:tcPr>
            <w:tcW w:w="1166" w:type="dxa"/>
          </w:tcPr>
          <w:p w:rsidR="00240A1F" w:rsidRPr="006E5968" w:rsidRDefault="00240A1F" w:rsidP="00A262AE">
            <w:pPr>
              <w:jc w:val="right"/>
              <w:rPr>
                <w:b/>
                <w:sz w:val="20"/>
                <w:lang w:val="es-ES_tradnl"/>
              </w:rPr>
            </w:pPr>
            <w:r w:rsidRPr="006E5968">
              <w:rPr>
                <w:b/>
                <w:sz w:val="20"/>
                <w:lang w:val="es-ES_tradnl"/>
              </w:rPr>
              <w:t>$</w:t>
            </w:r>
            <w:r>
              <w:rPr>
                <w:b/>
                <w:sz w:val="20"/>
                <w:lang w:val="es-ES_tradnl"/>
              </w:rPr>
              <w:t>1</w:t>
            </w:r>
            <w:r w:rsidR="00A262AE">
              <w:rPr>
                <w:b/>
                <w:sz w:val="20"/>
                <w:lang w:val="es-ES_tradnl"/>
              </w:rPr>
              <w:t>7</w:t>
            </w:r>
            <w:r>
              <w:rPr>
                <w:b/>
                <w:sz w:val="20"/>
                <w:lang w:val="es-ES_tradnl"/>
              </w:rPr>
              <w:t>,</w:t>
            </w:r>
            <w:r w:rsidR="00A262AE">
              <w:rPr>
                <w:b/>
                <w:sz w:val="20"/>
                <w:lang w:val="es-ES_tradnl"/>
              </w:rPr>
              <w:t>060</w:t>
            </w:r>
          </w:p>
        </w:tc>
      </w:tr>
    </w:tbl>
    <w:p w:rsidR="00D20138" w:rsidRPr="008A46FA" w:rsidRDefault="00D20138" w:rsidP="00D20138">
      <w:pPr>
        <w:ind w:left="1440"/>
        <w:jc w:val="both"/>
        <w:rPr>
          <w:lang w:val="x-none"/>
        </w:rPr>
      </w:pPr>
    </w:p>
    <w:p w:rsidR="00D20138" w:rsidRPr="008A46FA" w:rsidRDefault="00D20138" w:rsidP="00D20138">
      <w:pPr>
        <w:pStyle w:val="Heading1"/>
        <w:spacing w:before="240"/>
        <w:ind w:left="1440"/>
        <w:rPr>
          <w:color w:val="auto"/>
          <w:lang w:val="es-ES_tradnl"/>
        </w:rPr>
      </w:pPr>
      <w:r w:rsidRPr="008A46FA">
        <w:rPr>
          <w:color w:val="auto"/>
          <w:lang w:val="es-ES_tradnl"/>
        </w:rPr>
        <w:t>CERTIFICACION</w:t>
      </w:r>
    </w:p>
    <w:p w:rsidR="00D20138" w:rsidRDefault="00D20138" w:rsidP="00D20138">
      <w:pPr>
        <w:ind w:left="1440"/>
        <w:jc w:val="both"/>
        <w:rPr>
          <w:lang w:val="es-ES_tradnl"/>
        </w:rPr>
      </w:pPr>
      <w:r w:rsidRPr="008A46FA">
        <w:rPr>
          <w:lang w:val="es-ES_tradnl"/>
        </w:rPr>
        <w:t>La Unidad de Gestión de Donaciones y Cofinanciamiento (ORP/GCM) certifica que la suma de US$</w:t>
      </w:r>
      <w:r w:rsidR="00240A1F">
        <w:rPr>
          <w:lang w:val="es-ES_tradnl"/>
        </w:rPr>
        <w:t>1</w:t>
      </w:r>
      <w:r w:rsidR="00A262AE">
        <w:rPr>
          <w:lang w:val="es-ES_tradnl"/>
        </w:rPr>
        <w:t>7,060</w:t>
      </w:r>
      <w:r>
        <w:rPr>
          <w:lang w:val="es-ES_tradnl"/>
        </w:rPr>
        <w:t xml:space="preserve">, </w:t>
      </w:r>
      <w:r w:rsidRPr="008A46FA">
        <w:rPr>
          <w:lang w:val="es-ES_tradnl"/>
        </w:rPr>
        <w:t xml:space="preserve">provenientes del programa CT/INTRA del Capital Ordinario, está disponible para el financiamiento del proyecto propuesto en la presente operación. </w:t>
      </w:r>
    </w:p>
    <w:p w:rsidR="00D20138" w:rsidRDefault="00D20138" w:rsidP="00D20138">
      <w:pPr>
        <w:ind w:left="1440"/>
        <w:jc w:val="both"/>
        <w:rPr>
          <w:lang w:val="es-ES_tradnl"/>
        </w:rPr>
      </w:pPr>
    </w:p>
    <w:p w:rsidR="00D20138" w:rsidRDefault="00D20138" w:rsidP="00D20138">
      <w:pPr>
        <w:ind w:left="1440"/>
        <w:rPr>
          <w:lang w:val="es-ES_tradnl"/>
        </w:rPr>
      </w:pPr>
    </w:p>
    <w:p w:rsidR="00A262AE" w:rsidRDefault="00A262AE" w:rsidP="00D20138">
      <w:pPr>
        <w:ind w:left="1440"/>
        <w:rPr>
          <w:lang w:val="es-ES_tradnl"/>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720"/>
        <w:gridCol w:w="2790"/>
      </w:tblGrid>
      <w:tr w:rsidR="00D20138" w:rsidTr="0043337B">
        <w:tc>
          <w:tcPr>
            <w:tcW w:w="4158" w:type="dxa"/>
            <w:tcBorders>
              <w:top w:val="single" w:sz="4" w:space="0" w:color="auto"/>
            </w:tcBorders>
          </w:tcPr>
          <w:p w:rsidR="00D20138" w:rsidRPr="008A46FA" w:rsidRDefault="00D20138" w:rsidP="0043337B">
            <w:pPr>
              <w:rPr>
                <w:b/>
                <w:lang w:val="es-ES_tradnl"/>
              </w:rPr>
            </w:pPr>
            <w:r w:rsidRPr="008A46FA">
              <w:rPr>
                <w:b/>
                <w:lang w:val="es-ES_tradnl"/>
              </w:rPr>
              <w:t>Sonia M. Rivera</w:t>
            </w:r>
          </w:p>
          <w:p w:rsidR="00D20138" w:rsidRPr="008A46FA" w:rsidRDefault="00D20138" w:rsidP="0043337B">
            <w:pPr>
              <w:rPr>
                <w:lang w:val="es-ES_tradnl"/>
              </w:rPr>
            </w:pPr>
            <w:r w:rsidRPr="008A46FA">
              <w:rPr>
                <w:lang w:val="es-ES_tradnl"/>
              </w:rPr>
              <w:t xml:space="preserve">Jefa, </w:t>
            </w:r>
            <w:r>
              <w:rPr>
                <w:lang w:val="es-ES_tradnl"/>
              </w:rPr>
              <w:t>ORP</w:t>
            </w:r>
            <w:r w:rsidRPr="008A46FA">
              <w:rPr>
                <w:lang w:val="es-ES_tradnl"/>
              </w:rPr>
              <w:t>/</w:t>
            </w:r>
            <w:r>
              <w:rPr>
                <w:lang w:val="es-ES_tradnl"/>
              </w:rPr>
              <w:t>GCM</w:t>
            </w:r>
          </w:p>
        </w:tc>
        <w:tc>
          <w:tcPr>
            <w:tcW w:w="720" w:type="dxa"/>
          </w:tcPr>
          <w:p w:rsidR="00D20138" w:rsidRPr="008A46FA" w:rsidRDefault="00D20138" w:rsidP="0043337B">
            <w:pPr>
              <w:rPr>
                <w:lang w:val="es-ES_tradnl"/>
              </w:rPr>
            </w:pPr>
          </w:p>
        </w:tc>
        <w:tc>
          <w:tcPr>
            <w:tcW w:w="2790" w:type="dxa"/>
            <w:tcBorders>
              <w:top w:val="single" w:sz="4" w:space="0" w:color="auto"/>
            </w:tcBorders>
          </w:tcPr>
          <w:p w:rsidR="00D20138" w:rsidRDefault="00D20138" w:rsidP="0043337B">
            <w:pPr>
              <w:rPr>
                <w:lang w:val="es-ES_tradnl"/>
              </w:rPr>
            </w:pPr>
            <w:r>
              <w:rPr>
                <w:lang w:val="es-ES_tradnl"/>
              </w:rPr>
              <w:t>Fecha</w:t>
            </w:r>
          </w:p>
        </w:tc>
      </w:tr>
    </w:tbl>
    <w:p w:rsidR="00D20138" w:rsidRDefault="00D20138" w:rsidP="00D20138">
      <w:pPr>
        <w:ind w:left="1440"/>
        <w:jc w:val="both"/>
        <w:rPr>
          <w:lang w:val="es-ES_tradnl"/>
        </w:rPr>
      </w:pPr>
    </w:p>
    <w:p w:rsidR="00D20138" w:rsidRPr="005642E9" w:rsidRDefault="00D20138" w:rsidP="00D20138">
      <w:pPr>
        <w:pStyle w:val="Heading1"/>
        <w:spacing w:before="240"/>
        <w:ind w:left="1440"/>
        <w:rPr>
          <w:color w:val="auto"/>
          <w:lang w:val="es-ES_tradnl"/>
        </w:rPr>
      </w:pPr>
      <w:r w:rsidRPr="005642E9">
        <w:rPr>
          <w:color w:val="auto"/>
          <w:lang w:val="es-ES_tradnl"/>
        </w:rPr>
        <w:t>Aprobación</w:t>
      </w:r>
    </w:p>
    <w:p w:rsidR="00D20138" w:rsidRDefault="00D20138" w:rsidP="00D20138">
      <w:pPr>
        <w:ind w:left="1440"/>
        <w:jc w:val="both"/>
        <w:rPr>
          <w:lang w:val="es-ES_tradnl"/>
        </w:rPr>
      </w:pPr>
      <w:r>
        <w:rPr>
          <w:lang w:val="es-ES_tradnl"/>
        </w:rPr>
        <w:t xml:space="preserve">El Ministro de Hacienda, órgano de enlace entre el Gobierno de Costa Rica y el Banco, solicitó la colaboración del Banco para un programa de CT-INTRA con el objetivo de conocimiento de experiencias en la República </w:t>
      </w:r>
      <w:r w:rsidR="003568B3">
        <w:rPr>
          <w:lang w:val="es-ES_tradnl"/>
        </w:rPr>
        <w:t>Oriental del Uruguay</w:t>
      </w:r>
      <w:r>
        <w:rPr>
          <w:lang w:val="es-ES_tradnl"/>
        </w:rPr>
        <w:t xml:space="preserve"> en la conformación de consorcios y otras metodologías de articulación de</w:t>
      </w:r>
      <w:r w:rsidR="003568B3">
        <w:rPr>
          <w:lang w:val="es-ES_tradnl"/>
        </w:rPr>
        <w:t>l sistema nacional de innovación</w:t>
      </w:r>
      <w:r>
        <w:rPr>
          <w:lang w:val="es-ES_tradnl"/>
        </w:rPr>
        <w:t>.</w:t>
      </w:r>
    </w:p>
    <w:p w:rsidR="00D20138" w:rsidRDefault="00D20138" w:rsidP="00D20138">
      <w:pPr>
        <w:ind w:left="1440"/>
        <w:jc w:val="both"/>
        <w:rPr>
          <w:lang w:val="es-ES_tradnl"/>
        </w:rPr>
      </w:pPr>
    </w:p>
    <w:p w:rsidR="00D20138" w:rsidRDefault="00D20138" w:rsidP="00D20138">
      <w:pPr>
        <w:ind w:left="1440"/>
        <w:jc w:val="both"/>
        <w:rPr>
          <w:lang w:val="es-ES_tradnl"/>
        </w:rPr>
      </w:pPr>
      <w:r>
        <w:rPr>
          <w:lang w:val="es-ES_tradnl"/>
        </w:rPr>
        <w:t xml:space="preserve">El Representante del Banco en </w:t>
      </w:r>
      <w:r w:rsidR="003568B3">
        <w:rPr>
          <w:lang w:val="es-ES_tradnl"/>
        </w:rPr>
        <w:t>Costa Rica</w:t>
      </w:r>
      <w:r>
        <w:rPr>
          <w:lang w:val="es-ES_tradnl"/>
        </w:rPr>
        <w:t>, autoriza la utilización de los recursos de CT Intra hasta por el equivalente a US$</w:t>
      </w:r>
      <w:r w:rsidR="00240A1F">
        <w:rPr>
          <w:lang w:val="es-ES_tradnl"/>
        </w:rPr>
        <w:t>1</w:t>
      </w:r>
      <w:r w:rsidR="00A262AE">
        <w:rPr>
          <w:lang w:val="es-ES_tradnl"/>
        </w:rPr>
        <w:t>7</w:t>
      </w:r>
      <w:r>
        <w:rPr>
          <w:lang w:val="es-ES_tradnl"/>
        </w:rPr>
        <w:t>,</w:t>
      </w:r>
      <w:r w:rsidR="00240A1F">
        <w:rPr>
          <w:lang w:val="es-ES_tradnl"/>
        </w:rPr>
        <w:t>0</w:t>
      </w:r>
      <w:r w:rsidR="00A262AE">
        <w:rPr>
          <w:lang w:val="es-ES_tradnl"/>
        </w:rPr>
        <w:t>6</w:t>
      </w:r>
      <w:r w:rsidR="00240A1F">
        <w:rPr>
          <w:lang w:val="es-ES_tradnl"/>
        </w:rPr>
        <w:t>0</w:t>
      </w:r>
      <w:r>
        <w:rPr>
          <w:lang w:val="es-ES_tradnl"/>
        </w:rPr>
        <w:t xml:space="preserve"> para la financiación de la Cooperación Técnica CR-T113</w:t>
      </w:r>
      <w:r w:rsidR="00240A1F">
        <w:rPr>
          <w:lang w:val="es-ES_tradnl"/>
        </w:rPr>
        <w:t>3</w:t>
      </w:r>
      <w:r>
        <w:rPr>
          <w:lang w:val="es-ES_tradnl"/>
        </w:rPr>
        <w:t>, que se describe en el presente Memorando.</w:t>
      </w:r>
    </w:p>
    <w:p w:rsidR="00D20138" w:rsidRDefault="00D20138" w:rsidP="00D20138">
      <w:pPr>
        <w:ind w:left="1440"/>
        <w:rPr>
          <w:lang w:val="es-ES_tradnl"/>
        </w:rPr>
      </w:pPr>
    </w:p>
    <w:p w:rsidR="00C07A7F" w:rsidRDefault="00C07A7F" w:rsidP="00C07A7F">
      <w:pPr>
        <w:ind w:left="1440"/>
        <w:jc w:val="both"/>
        <w:rPr>
          <w:lang w:val="es-ES_tradnl"/>
        </w:rPr>
      </w:pPr>
    </w:p>
    <w:p w:rsidR="00D20138" w:rsidRDefault="00D20138" w:rsidP="00D20138">
      <w:pPr>
        <w:ind w:left="1440"/>
        <w:rPr>
          <w:i/>
          <w:lang w:val="es-ES_tradnl"/>
        </w:rPr>
      </w:pPr>
    </w:p>
    <w:p w:rsidR="00A262AE" w:rsidRDefault="00A262AE" w:rsidP="00D20138">
      <w:pPr>
        <w:ind w:left="1440"/>
        <w:rPr>
          <w:lang w:val="es-ES_tradnl"/>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720"/>
        <w:gridCol w:w="2790"/>
      </w:tblGrid>
      <w:tr w:rsidR="00D20138" w:rsidTr="0043337B">
        <w:tc>
          <w:tcPr>
            <w:tcW w:w="4158" w:type="dxa"/>
            <w:tcBorders>
              <w:top w:val="single" w:sz="4" w:space="0" w:color="auto"/>
            </w:tcBorders>
          </w:tcPr>
          <w:p w:rsidR="00D20138" w:rsidRPr="008A46FA" w:rsidRDefault="00D20138" w:rsidP="0043337B">
            <w:pPr>
              <w:rPr>
                <w:b/>
                <w:lang w:val="pt-BR"/>
              </w:rPr>
            </w:pPr>
            <w:r w:rsidRPr="008A46FA">
              <w:rPr>
                <w:b/>
                <w:lang w:val="pt-BR"/>
              </w:rPr>
              <w:t>Rodrigo Parot</w:t>
            </w:r>
          </w:p>
          <w:p w:rsidR="00D20138" w:rsidRPr="008A46FA" w:rsidRDefault="00D20138" w:rsidP="0043337B">
            <w:pPr>
              <w:rPr>
                <w:lang w:val="pt-BR"/>
              </w:rPr>
            </w:pPr>
            <w:r w:rsidRPr="008A46FA">
              <w:rPr>
                <w:lang w:val="pt-BR"/>
              </w:rPr>
              <w:t>Representante, CID/CCR</w:t>
            </w:r>
          </w:p>
        </w:tc>
        <w:tc>
          <w:tcPr>
            <w:tcW w:w="720" w:type="dxa"/>
          </w:tcPr>
          <w:p w:rsidR="00D20138" w:rsidRPr="008A46FA" w:rsidRDefault="00D20138" w:rsidP="0043337B">
            <w:pPr>
              <w:rPr>
                <w:lang w:val="pt-BR"/>
              </w:rPr>
            </w:pPr>
          </w:p>
        </w:tc>
        <w:tc>
          <w:tcPr>
            <w:tcW w:w="2790" w:type="dxa"/>
            <w:tcBorders>
              <w:top w:val="single" w:sz="4" w:space="0" w:color="auto"/>
            </w:tcBorders>
          </w:tcPr>
          <w:p w:rsidR="00D20138" w:rsidRDefault="00D20138" w:rsidP="0043337B">
            <w:pPr>
              <w:rPr>
                <w:lang w:val="es-ES_tradnl"/>
              </w:rPr>
            </w:pPr>
            <w:r>
              <w:rPr>
                <w:lang w:val="es-ES_tradnl"/>
              </w:rPr>
              <w:t>Fecha</w:t>
            </w:r>
          </w:p>
        </w:tc>
      </w:tr>
    </w:tbl>
    <w:p w:rsidR="00D20138" w:rsidRDefault="00D20138" w:rsidP="00D20138">
      <w:pPr>
        <w:rPr>
          <w:lang w:val="es-ES_tradnl"/>
        </w:rPr>
      </w:pPr>
    </w:p>
    <w:p w:rsidR="00760827" w:rsidRDefault="00760827" w:rsidP="00D20138">
      <w:pPr>
        <w:ind w:left="-360" w:firstLine="360"/>
        <w:rPr>
          <w:lang w:val="es-ES_tradnl"/>
        </w:rPr>
      </w:pPr>
    </w:p>
    <w:sectPr w:rsidR="00760827" w:rsidSect="005642E9">
      <w:headerReference w:type="even" r:id="rId10"/>
      <w:footerReference w:type="default" r:id="rId11"/>
      <w:footerReference w:type="first" r:id="rId12"/>
      <w:pgSz w:w="12240" w:h="15840" w:code="1"/>
      <w:pgMar w:top="1440" w:right="1440" w:bottom="1440" w:left="562" w:header="346" w:footer="56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C20" w:rsidRDefault="00C13C20" w:rsidP="00C13C20">
      <w:r>
        <w:separator/>
      </w:r>
    </w:p>
  </w:endnote>
  <w:endnote w:type="continuationSeparator" w:id="0">
    <w:p w:rsidR="00C13C20" w:rsidRDefault="00C13C20" w:rsidP="00C1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Unit-Regular">
    <w:altName w:val="Centaur"/>
    <w:charset w:val="00"/>
    <w:family w:val="auto"/>
    <w:pitch w:val="variable"/>
    <w:sig w:usb0="8000002F" w:usb1="40000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D3" w:rsidRDefault="00835878">
    <w:pPr>
      <w:pStyle w:val="Footer"/>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D3" w:rsidRPr="004E55BD" w:rsidRDefault="004E55BD" w:rsidP="00F930D3">
    <w:pPr>
      <w:pStyle w:val="Footer"/>
      <w:pBdr>
        <w:top w:val="single" w:sz="4" w:space="1" w:color="auto"/>
      </w:pBdr>
      <w:jc w:val="center"/>
      <w:rPr>
        <w:sz w:val="22"/>
      </w:rPr>
    </w:pPr>
    <w:r w:rsidRPr="004E55BD">
      <w:rPr>
        <w:sz w:val="14"/>
      </w:rPr>
      <w:t>Apdo. 1343-1250 – Centro Corporativo el Cedral Torre 1, piso 4. Escazú, San José, Costa Rica – Tel. 506-2588-8700 – Fzx 506-2288-7028 – Email: bidcostarica@iadb.org</w:t>
    </w:r>
  </w:p>
  <w:p w:rsidR="00F930D3" w:rsidRPr="004E55BD" w:rsidRDefault="00835878" w:rsidP="00F930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C20" w:rsidRDefault="00C13C20" w:rsidP="00C13C20">
      <w:r>
        <w:separator/>
      </w:r>
    </w:p>
  </w:footnote>
  <w:footnote w:type="continuationSeparator" w:id="0">
    <w:p w:rsidR="00C13C20" w:rsidRDefault="00C13C20" w:rsidP="00C13C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D3" w:rsidRDefault="00EC1C84">
    <w:pPr>
      <w:pStyle w:val="Header"/>
      <w:framePr w:wrap="around" w:vAnchor="text" w:hAnchor="margin" w:xAlign="center" w:y="1"/>
      <w:rPr>
        <w:rStyle w:val="PageNumber"/>
      </w:rPr>
    </w:pPr>
    <w:r>
      <w:rPr>
        <w:rStyle w:val="PageNumber"/>
      </w:rPr>
      <w:fldChar w:fldCharType="begin"/>
    </w:r>
    <w:r w:rsidR="002A54FE">
      <w:rPr>
        <w:rStyle w:val="PageNumber"/>
      </w:rPr>
      <w:instrText xml:space="preserve">PAGE  </w:instrText>
    </w:r>
    <w:r>
      <w:rPr>
        <w:rStyle w:val="PageNumber"/>
      </w:rPr>
      <w:fldChar w:fldCharType="separate"/>
    </w:r>
    <w:r w:rsidR="002A54FE">
      <w:rPr>
        <w:rStyle w:val="PageNumber"/>
        <w:noProof/>
      </w:rPr>
      <w:t>1</w:t>
    </w:r>
    <w:r>
      <w:rPr>
        <w:rStyle w:val="PageNumber"/>
      </w:rPr>
      <w:fldChar w:fldCharType="end"/>
    </w:r>
  </w:p>
  <w:p w:rsidR="00F930D3" w:rsidRDefault="008358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E6AEB"/>
    <w:multiLevelType w:val="hybridMultilevel"/>
    <w:tmpl w:val="2A4CF88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0C43951"/>
    <w:multiLevelType w:val="hybridMultilevel"/>
    <w:tmpl w:val="147C3D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7089019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2"/>
  </w:num>
  <w:num w:numId="2">
    <w:abstractNumId w:val="2"/>
  </w:num>
  <w:num w:numId="3">
    <w:abstractNumId w:val="2"/>
  </w:num>
  <w:num w:numId="4">
    <w:abstractNumId w:val="2"/>
  </w:num>
  <w:num w:numId="5">
    <w:abstractNumId w:val="2"/>
  </w:num>
  <w:num w:numId="6">
    <w:abstractNumId w:val="0"/>
  </w:num>
  <w:num w:numId="7">
    <w:abstractNumId w:val="2"/>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C20"/>
    <w:rsid w:val="00037547"/>
    <w:rsid w:val="00042449"/>
    <w:rsid w:val="00043197"/>
    <w:rsid w:val="00097623"/>
    <w:rsid w:val="000A77CE"/>
    <w:rsid w:val="000C0959"/>
    <w:rsid w:val="000E0BDB"/>
    <w:rsid w:val="00135E46"/>
    <w:rsid w:val="00157FFD"/>
    <w:rsid w:val="001666B8"/>
    <w:rsid w:val="001C411C"/>
    <w:rsid w:val="001D67F9"/>
    <w:rsid w:val="00215A00"/>
    <w:rsid w:val="00240A1F"/>
    <w:rsid w:val="00243BB7"/>
    <w:rsid w:val="00262760"/>
    <w:rsid w:val="002860DB"/>
    <w:rsid w:val="002A54FE"/>
    <w:rsid w:val="002B5258"/>
    <w:rsid w:val="002B7D01"/>
    <w:rsid w:val="002D0CE2"/>
    <w:rsid w:val="00320E31"/>
    <w:rsid w:val="003568B3"/>
    <w:rsid w:val="00396656"/>
    <w:rsid w:val="003D468D"/>
    <w:rsid w:val="003D5859"/>
    <w:rsid w:val="003E5794"/>
    <w:rsid w:val="003E6C16"/>
    <w:rsid w:val="00414541"/>
    <w:rsid w:val="00437DA7"/>
    <w:rsid w:val="00474030"/>
    <w:rsid w:val="00477DE8"/>
    <w:rsid w:val="004E55BD"/>
    <w:rsid w:val="004F3131"/>
    <w:rsid w:val="004F6F9D"/>
    <w:rsid w:val="00501213"/>
    <w:rsid w:val="00507ACF"/>
    <w:rsid w:val="005642E9"/>
    <w:rsid w:val="00592315"/>
    <w:rsid w:val="00594CC3"/>
    <w:rsid w:val="005B1E2C"/>
    <w:rsid w:val="005B5D7D"/>
    <w:rsid w:val="00602F3F"/>
    <w:rsid w:val="0061000F"/>
    <w:rsid w:val="006930A3"/>
    <w:rsid w:val="0069345C"/>
    <w:rsid w:val="006B17AB"/>
    <w:rsid w:val="006C06B4"/>
    <w:rsid w:val="006E05E8"/>
    <w:rsid w:val="006E5968"/>
    <w:rsid w:val="00760827"/>
    <w:rsid w:val="007C1422"/>
    <w:rsid w:val="00800539"/>
    <w:rsid w:val="00810D25"/>
    <w:rsid w:val="00814A52"/>
    <w:rsid w:val="00835878"/>
    <w:rsid w:val="00850F01"/>
    <w:rsid w:val="00861241"/>
    <w:rsid w:val="0087724D"/>
    <w:rsid w:val="008A46FA"/>
    <w:rsid w:val="008C63AA"/>
    <w:rsid w:val="008D59EC"/>
    <w:rsid w:val="008F4F15"/>
    <w:rsid w:val="0095773E"/>
    <w:rsid w:val="009A6CA3"/>
    <w:rsid w:val="00A20718"/>
    <w:rsid w:val="00A262AE"/>
    <w:rsid w:val="00A47C91"/>
    <w:rsid w:val="00A54FB7"/>
    <w:rsid w:val="00AB7EA8"/>
    <w:rsid w:val="00AF23BE"/>
    <w:rsid w:val="00B16AA1"/>
    <w:rsid w:val="00B21B03"/>
    <w:rsid w:val="00B24424"/>
    <w:rsid w:val="00BA49F7"/>
    <w:rsid w:val="00BB2DCB"/>
    <w:rsid w:val="00BC6B79"/>
    <w:rsid w:val="00C07A7F"/>
    <w:rsid w:val="00C13C20"/>
    <w:rsid w:val="00C40B25"/>
    <w:rsid w:val="00C82090"/>
    <w:rsid w:val="00C94BCC"/>
    <w:rsid w:val="00CC0508"/>
    <w:rsid w:val="00CC4DE5"/>
    <w:rsid w:val="00CD0FE9"/>
    <w:rsid w:val="00D1334C"/>
    <w:rsid w:val="00D20138"/>
    <w:rsid w:val="00DA110A"/>
    <w:rsid w:val="00DC0CBC"/>
    <w:rsid w:val="00EC1C84"/>
    <w:rsid w:val="00EE4E0B"/>
    <w:rsid w:val="00F0525E"/>
    <w:rsid w:val="00F26EC5"/>
    <w:rsid w:val="00F3718C"/>
    <w:rsid w:val="00F956A7"/>
    <w:rsid w:val="00FA294A"/>
    <w:rsid w:val="00FA4137"/>
    <w:rsid w:val="00FD1A82"/>
    <w:rsid w:val="00FF3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C2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01213"/>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01213"/>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1213"/>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012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012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012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012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0121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0121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13C20"/>
    <w:pPr>
      <w:tabs>
        <w:tab w:val="center" w:pos="4320"/>
        <w:tab w:val="right" w:pos="8640"/>
      </w:tabs>
    </w:pPr>
    <w:rPr>
      <w:szCs w:val="20"/>
      <w:lang w:val="es-ES_tradnl" w:eastAsia="es-ES"/>
    </w:rPr>
  </w:style>
  <w:style w:type="character" w:customStyle="1" w:styleId="HeaderChar">
    <w:name w:val="Header Char"/>
    <w:basedOn w:val="DefaultParagraphFont"/>
    <w:link w:val="Header"/>
    <w:rsid w:val="00C13C20"/>
    <w:rPr>
      <w:rFonts w:ascii="Times New Roman" w:eastAsia="Times New Roman" w:hAnsi="Times New Roman" w:cs="Times New Roman"/>
      <w:sz w:val="24"/>
      <w:szCs w:val="20"/>
      <w:lang w:val="es-ES_tradnl" w:eastAsia="es-ES"/>
    </w:rPr>
  </w:style>
  <w:style w:type="paragraph" w:styleId="Footer">
    <w:name w:val="footer"/>
    <w:basedOn w:val="Normal"/>
    <w:link w:val="FooterChar"/>
    <w:rsid w:val="00C13C20"/>
    <w:pPr>
      <w:tabs>
        <w:tab w:val="center" w:pos="4320"/>
        <w:tab w:val="right" w:pos="8640"/>
      </w:tabs>
    </w:pPr>
    <w:rPr>
      <w:szCs w:val="20"/>
      <w:lang w:val="es-ES_tradnl" w:eastAsia="es-ES"/>
    </w:rPr>
  </w:style>
  <w:style w:type="character" w:customStyle="1" w:styleId="FooterChar">
    <w:name w:val="Footer Char"/>
    <w:basedOn w:val="DefaultParagraphFont"/>
    <w:link w:val="Footer"/>
    <w:rsid w:val="00C13C20"/>
    <w:rPr>
      <w:rFonts w:ascii="Times New Roman" w:eastAsia="Times New Roman" w:hAnsi="Times New Roman" w:cs="Times New Roman"/>
      <w:sz w:val="24"/>
      <w:szCs w:val="20"/>
      <w:lang w:val="es-ES_tradnl" w:eastAsia="es-ES"/>
    </w:rPr>
  </w:style>
  <w:style w:type="character" w:styleId="PageNumber">
    <w:name w:val="page number"/>
    <w:basedOn w:val="DefaultParagraphFont"/>
    <w:rsid w:val="00C13C20"/>
  </w:style>
  <w:style w:type="paragraph" w:styleId="BodyText">
    <w:name w:val="Body Text"/>
    <w:basedOn w:val="Normal"/>
    <w:link w:val="BodyTextChar"/>
    <w:rsid w:val="00C13C20"/>
    <w:pPr>
      <w:tabs>
        <w:tab w:val="left" w:pos="7020"/>
      </w:tabs>
    </w:pPr>
    <w:rPr>
      <w:b/>
      <w:bCs/>
    </w:rPr>
  </w:style>
  <w:style w:type="character" w:customStyle="1" w:styleId="BodyTextChar">
    <w:name w:val="Body Text Char"/>
    <w:basedOn w:val="DefaultParagraphFont"/>
    <w:link w:val="BodyText"/>
    <w:rsid w:val="00C13C20"/>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uiPriority w:val="9"/>
    <w:rsid w:val="0050121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50121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121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50121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501213"/>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501213"/>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50121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50121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01213"/>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0A77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f"/>
    <w:basedOn w:val="Normal"/>
    <w:link w:val="FootnoteTextChar"/>
    <w:uiPriority w:val="99"/>
    <w:unhideWhenUsed/>
    <w:rsid w:val="006E5968"/>
    <w:rPr>
      <w:sz w:val="20"/>
      <w:szCs w:val="20"/>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uiPriority w:val="99"/>
    <w:rsid w:val="006E5968"/>
    <w:rPr>
      <w:rFonts w:ascii="Times New Roman" w:eastAsia="Times New Roman" w:hAnsi="Times New Roman" w:cs="Times New Roman"/>
      <w:sz w:val="20"/>
      <w:szCs w:val="20"/>
    </w:rPr>
  </w:style>
  <w:style w:type="character" w:styleId="FootnoteReference">
    <w:name w:val="footnote reference"/>
    <w:aliases w:val="Style 24,titulo 2,pie pddes,ftref,Fußnotenzeichen DISS,16 Point,Superscript 6 Point,BVI fnr,Знак сноски 1,referencia nota al pie,FC,Footnote Referencefra,Ref. de nota al pie., BVI fnr"/>
    <w:basedOn w:val="DefaultParagraphFont"/>
    <w:uiPriority w:val="99"/>
    <w:unhideWhenUsed/>
    <w:rsid w:val="006E5968"/>
    <w:rPr>
      <w:vertAlign w:val="superscript"/>
    </w:rPr>
  </w:style>
  <w:style w:type="paragraph" w:styleId="BalloonText">
    <w:name w:val="Balloon Text"/>
    <w:basedOn w:val="Normal"/>
    <w:link w:val="BalloonTextChar"/>
    <w:uiPriority w:val="99"/>
    <w:semiHidden/>
    <w:unhideWhenUsed/>
    <w:rsid w:val="00814A52"/>
    <w:rPr>
      <w:rFonts w:ascii="Tahoma" w:hAnsi="Tahoma" w:cs="Tahoma"/>
      <w:sz w:val="16"/>
      <w:szCs w:val="16"/>
    </w:rPr>
  </w:style>
  <w:style w:type="character" w:customStyle="1" w:styleId="BalloonTextChar">
    <w:name w:val="Balloon Text Char"/>
    <w:basedOn w:val="DefaultParagraphFont"/>
    <w:link w:val="BalloonText"/>
    <w:uiPriority w:val="99"/>
    <w:semiHidden/>
    <w:rsid w:val="00814A52"/>
    <w:rPr>
      <w:rFonts w:ascii="Tahoma" w:eastAsia="Times New Roman" w:hAnsi="Tahoma" w:cs="Tahoma"/>
      <w:sz w:val="16"/>
      <w:szCs w:val="16"/>
    </w:rPr>
  </w:style>
  <w:style w:type="paragraph" w:styleId="ListParagraph">
    <w:name w:val="List Paragraph"/>
    <w:basedOn w:val="Normal"/>
    <w:uiPriority w:val="34"/>
    <w:qFormat/>
    <w:rsid w:val="00C94BCC"/>
    <w:pPr>
      <w:ind w:left="720"/>
      <w:contextualSpacing/>
    </w:pPr>
  </w:style>
  <w:style w:type="character" w:styleId="Hyperlink">
    <w:name w:val="Hyperlink"/>
    <w:basedOn w:val="DefaultParagraphFont"/>
    <w:uiPriority w:val="99"/>
    <w:unhideWhenUsed/>
    <w:rsid w:val="00157F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C2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01213"/>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01213"/>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1213"/>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012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012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012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012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0121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0121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13C20"/>
    <w:pPr>
      <w:tabs>
        <w:tab w:val="center" w:pos="4320"/>
        <w:tab w:val="right" w:pos="8640"/>
      </w:tabs>
    </w:pPr>
    <w:rPr>
      <w:szCs w:val="20"/>
      <w:lang w:val="es-ES_tradnl" w:eastAsia="es-ES"/>
    </w:rPr>
  </w:style>
  <w:style w:type="character" w:customStyle="1" w:styleId="HeaderChar">
    <w:name w:val="Header Char"/>
    <w:basedOn w:val="DefaultParagraphFont"/>
    <w:link w:val="Header"/>
    <w:rsid w:val="00C13C20"/>
    <w:rPr>
      <w:rFonts w:ascii="Times New Roman" w:eastAsia="Times New Roman" w:hAnsi="Times New Roman" w:cs="Times New Roman"/>
      <w:sz w:val="24"/>
      <w:szCs w:val="20"/>
      <w:lang w:val="es-ES_tradnl" w:eastAsia="es-ES"/>
    </w:rPr>
  </w:style>
  <w:style w:type="paragraph" w:styleId="Footer">
    <w:name w:val="footer"/>
    <w:basedOn w:val="Normal"/>
    <w:link w:val="FooterChar"/>
    <w:rsid w:val="00C13C20"/>
    <w:pPr>
      <w:tabs>
        <w:tab w:val="center" w:pos="4320"/>
        <w:tab w:val="right" w:pos="8640"/>
      </w:tabs>
    </w:pPr>
    <w:rPr>
      <w:szCs w:val="20"/>
      <w:lang w:val="es-ES_tradnl" w:eastAsia="es-ES"/>
    </w:rPr>
  </w:style>
  <w:style w:type="character" w:customStyle="1" w:styleId="FooterChar">
    <w:name w:val="Footer Char"/>
    <w:basedOn w:val="DefaultParagraphFont"/>
    <w:link w:val="Footer"/>
    <w:rsid w:val="00C13C20"/>
    <w:rPr>
      <w:rFonts w:ascii="Times New Roman" w:eastAsia="Times New Roman" w:hAnsi="Times New Roman" w:cs="Times New Roman"/>
      <w:sz w:val="24"/>
      <w:szCs w:val="20"/>
      <w:lang w:val="es-ES_tradnl" w:eastAsia="es-ES"/>
    </w:rPr>
  </w:style>
  <w:style w:type="character" w:styleId="PageNumber">
    <w:name w:val="page number"/>
    <w:basedOn w:val="DefaultParagraphFont"/>
    <w:rsid w:val="00C13C20"/>
  </w:style>
  <w:style w:type="paragraph" w:styleId="BodyText">
    <w:name w:val="Body Text"/>
    <w:basedOn w:val="Normal"/>
    <w:link w:val="BodyTextChar"/>
    <w:rsid w:val="00C13C20"/>
    <w:pPr>
      <w:tabs>
        <w:tab w:val="left" w:pos="7020"/>
      </w:tabs>
    </w:pPr>
    <w:rPr>
      <w:b/>
      <w:bCs/>
    </w:rPr>
  </w:style>
  <w:style w:type="character" w:customStyle="1" w:styleId="BodyTextChar">
    <w:name w:val="Body Text Char"/>
    <w:basedOn w:val="DefaultParagraphFont"/>
    <w:link w:val="BodyText"/>
    <w:rsid w:val="00C13C20"/>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uiPriority w:val="9"/>
    <w:rsid w:val="0050121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50121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121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50121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501213"/>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501213"/>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50121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50121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01213"/>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0A77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textfra,footnote,F,Texto nota pie Car Car,Texto nota pie IIRSA,Texto de rodapé,nota_rodapé,nota de rodapé,FOOTNOTES,single space,footnote text,Footnote Text Char Char,Style 25,Texto nota piepddes Car Car,Texto nota piepddes Car,ft,f"/>
    <w:basedOn w:val="Normal"/>
    <w:link w:val="FootnoteTextChar"/>
    <w:uiPriority w:val="99"/>
    <w:unhideWhenUsed/>
    <w:rsid w:val="006E5968"/>
    <w:rPr>
      <w:sz w:val="20"/>
      <w:szCs w:val="20"/>
    </w:rPr>
  </w:style>
  <w:style w:type="character" w:customStyle="1" w:styleId="FootnoteTextChar">
    <w:name w:val="Footnote Text Char"/>
    <w:aliases w:val="fn Char,foottextfra Char,footnote Char,F Char,Texto nota pie Car Car Char,Texto nota pie IIRSA Char,Texto de rodapé Char,nota_rodapé Char,nota de rodapé Char,FOOTNOTES Char,single space Char,footnote text Char,Style 25 Char,ft Char"/>
    <w:basedOn w:val="DefaultParagraphFont"/>
    <w:link w:val="FootnoteText"/>
    <w:uiPriority w:val="99"/>
    <w:rsid w:val="006E5968"/>
    <w:rPr>
      <w:rFonts w:ascii="Times New Roman" w:eastAsia="Times New Roman" w:hAnsi="Times New Roman" w:cs="Times New Roman"/>
      <w:sz w:val="20"/>
      <w:szCs w:val="20"/>
    </w:rPr>
  </w:style>
  <w:style w:type="character" w:styleId="FootnoteReference">
    <w:name w:val="footnote reference"/>
    <w:aliases w:val="Style 24,titulo 2,pie pddes,ftref,Fußnotenzeichen DISS,16 Point,Superscript 6 Point,BVI fnr,Знак сноски 1,referencia nota al pie,FC,Footnote Referencefra,Ref. de nota al pie., BVI fnr"/>
    <w:basedOn w:val="DefaultParagraphFont"/>
    <w:uiPriority w:val="99"/>
    <w:unhideWhenUsed/>
    <w:rsid w:val="006E5968"/>
    <w:rPr>
      <w:vertAlign w:val="superscript"/>
    </w:rPr>
  </w:style>
  <w:style w:type="paragraph" w:styleId="BalloonText">
    <w:name w:val="Balloon Text"/>
    <w:basedOn w:val="Normal"/>
    <w:link w:val="BalloonTextChar"/>
    <w:uiPriority w:val="99"/>
    <w:semiHidden/>
    <w:unhideWhenUsed/>
    <w:rsid w:val="00814A52"/>
    <w:rPr>
      <w:rFonts w:ascii="Tahoma" w:hAnsi="Tahoma" w:cs="Tahoma"/>
      <w:sz w:val="16"/>
      <w:szCs w:val="16"/>
    </w:rPr>
  </w:style>
  <w:style w:type="character" w:customStyle="1" w:styleId="BalloonTextChar">
    <w:name w:val="Balloon Text Char"/>
    <w:basedOn w:val="DefaultParagraphFont"/>
    <w:link w:val="BalloonText"/>
    <w:uiPriority w:val="99"/>
    <w:semiHidden/>
    <w:rsid w:val="00814A52"/>
    <w:rPr>
      <w:rFonts w:ascii="Tahoma" w:eastAsia="Times New Roman" w:hAnsi="Tahoma" w:cs="Tahoma"/>
      <w:sz w:val="16"/>
      <w:szCs w:val="16"/>
    </w:rPr>
  </w:style>
  <w:style w:type="paragraph" w:styleId="ListParagraph">
    <w:name w:val="List Paragraph"/>
    <w:basedOn w:val="Normal"/>
    <w:uiPriority w:val="34"/>
    <w:qFormat/>
    <w:rsid w:val="00C94BCC"/>
    <w:pPr>
      <w:ind w:left="720"/>
      <w:contextualSpacing/>
    </w:pPr>
  </w:style>
  <w:style w:type="character" w:styleId="Hyperlink">
    <w:name w:val="Hyperlink"/>
    <w:basedOn w:val="DefaultParagraphFont"/>
    <w:uiPriority w:val="99"/>
    <w:unhideWhenUsed/>
    <w:rsid w:val="00157F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244734">
      <w:bodyDiv w:val="1"/>
      <w:marLeft w:val="0"/>
      <w:marRight w:val="0"/>
      <w:marTop w:val="0"/>
      <w:marBottom w:val="0"/>
      <w:divBdr>
        <w:top w:val="none" w:sz="0" w:space="0" w:color="auto"/>
        <w:left w:val="none" w:sz="0" w:space="0" w:color="auto"/>
        <w:bottom w:val="none" w:sz="0" w:space="0" w:color="auto"/>
        <w:right w:val="none" w:sz="0" w:space="0" w:color="auto"/>
      </w:divBdr>
    </w:div>
    <w:div w:id="1537892039">
      <w:bodyDiv w:val="1"/>
      <w:marLeft w:val="0"/>
      <w:marRight w:val="0"/>
      <w:marTop w:val="0"/>
      <w:marBottom w:val="0"/>
      <w:divBdr>
        <w:top w:val="none" w:sz="0" w:space="0" w:color="auto"/>
        <w:left w:val="none" w:sz="0" w:space="0" w:color="auto"/>
        <w:bottom w:val="none" w:sz="0" w:space="0" w:color="auto"/>
        <w:right w:val="none" w:sz="0" w:space="0" w:color="auto"/>
      </w:divBdr>
    </w:div>
    <w:div w:id="195736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39445305</IDBDocs_x0020_Number>
    <TaxCatchAll xmlns="cdc7663a-08f0-4737-9e8c-148ce897a09c">
      <Value>4</Value>
      <Value>10</Value>
      <Value>28</Value>
    </TaxCatchAll>
    <Phase xmlns="cdc7663a-08f0-4737-9e8c-148ce897a09c" xsi:nil="true"/>
    <SISCOR_x0020_Number xmlns="cdc7663a-08f0-4737-9e8c-148ce897a09c" xsi:nil="true"/>
    <Division_x0020_or_x0020_Unit xmlns="cdc7663a-08f0-4737-9e8c-148ce897a09c">CID/CCR</Division_x0020_or_x0020_Unit>
    <Approval_x0020_Number xmlns="cdc7663a-08f0-4737-9e8c-148ce897a09c" xsi:nil="true"/>
    <Document_x0020_Author xmlns="cdc7663a-08f0-4737-9e8c-148ce897a09c">Brenes Paniagua, Yesenia</Document_x0020_Author>
    <Fiscal_x0020_Year_x0020_IDB xmlns="cdc7663a-08f0-4737-9e8c-148ce897a09c">2015</Fiscal_x0020_Year_x0020_IDB>
    <Other_x0020_Author xmlns="cdc7663a-08f0-4737-9e8c-148ce897a09c" xsi:nil="true"/>
    <Project_x0020_Number xmlns="cdc7663a-08f0-4737-9e8c-148ce897a09c">CR-T1131,CR-T1133</Project_x0020_Number>
    <Package_x0020_Code xmlns="cdc7663a-08f0-4737-9e8c-148ce897a09c" xsi:nil="true"/>
    <Key_x0020_Document xmlns="cdc7663a-08f0-4737-9e8c-148ce897a09c">false</Key_x0020_Document>
    <Migration_x0020_Info xmlns="cdc7663a-08f0-4737-9e8c-148ce897a09c">&lt;div class="ExternalClass9498C62EFBF44E2C951B9BFF7E996DFE"&gt;MS WORDTC-DOCUMENTApproved TC documentITS/ITCTechnical Cooperation Profile0YCentral AmericaPO-CR-T1131-Adm1158558328&lt;/div&gt;</Migration_x0020_Info>
    <Operation_x0020_Type xmlns="cdc7663a-08f0-4737-9e8c-148ce897a09c" xsi:nil="true"/>
    <Record_x0020_Number xmlns="cdc7663a-08f0-4737-9e8c-148ce897a09c">R0002942822</Record_x0020_Number>
    <Document_x0020_Language_x0020_IDB xmlns="cdc7663a-08f0-4737-9e8c-148ce897a09c">Spanish</Document_x0020_Language_x0020_IDB>
    <Identifier xmlns="cdc7663a-08f0-4737-9e8c-148ce897a09c">CR-T1133-Memorandum de Aprobacion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Meeting, Minute and Agenda</TermName>
          <TermId xmlns="http://schemas.microsoft.com/office/infopath/2007/PartnerControls">531aa465-40e4-4f83-8a1f-e8429f09d7e7</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Approved TC document</Disclosure_x0020_Activity>
    <Region xmlns="cdc7663a-08f0-4737-9e8c-148ce897a09c" xsi:nil="true"/>
    <_dlc_DocId xmlns="cdc7663a-08f0-4737-9e8c-148ce897a09c">EZSHARE-994344461-13</_dlc_DocId>
    <Publication_x0020_Type xmlns="cdc7663a-08f0-4737-9e8c-148ce897a09c" xsi:nil="true"/>
    <Issue_x0020_Date xmlns="cdc7663a-08f0-4737-9e8c-148ce897a09c" xsi:nil="true"/>
    <Webtopic xmlns="cdc7663a-08f0-4737-9e8c-148ce897a09c">Science and Technology</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https://idbg.sharepoint.com/teams/EZ-CR-TCP/CR-T1133/_layouts/15/DocIdRedir.aspx?ID=EZSHARE-994344461-13</Url>
      <Description>EZSHARE-994344461-13</Description>
    </_dlc_DocIdUrl>
    <Related_x0020_SisCor_x0020_Number xmlns="cdc7663a-08f0-4737-9e8c-148ce897a09c" xsi:nil="true"/>
  </documentManagement>
</p:properties>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11826563F130846B4234FF746C2E949" ma:contentTypeVersion="616" ma:contentTypeDescription="A content type to manage public (operations) IDB documents" ma:contentTypeScope="" ma:versionID="08a7c95f1949b238b996366b341e6fff">
  <xsd:schema xmlns:xsd="http://www.w3.org/2001/XMLSchema" xmlns:xs="http://www.w3.org/2001/XMLSchema" xmlns:p="http://schemas.microsoft.com/office/2006/metadata/properties" xmlns:ns2="cdc7663a-08f0-4737-9e8c-148ce897a09c" targetNamespace="http://schemas.microsoft.com/office/2006/metadata/properties" ma:root="true" ma:fieldsID="7c25947f4ad2af6cee799b008dea381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T113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B5385936-A4D1-4A1E-BC93-027CC048FB0C}"/>
</file>

<file path=customXml/itemProps2.xml><?xml version="1.0" encoding="utf-8"?>
<ds:datastoreItem xmlns:ds="http://schemas.openxmlformats.org/officeDocument/2006/customXml" ds:itemID="{B70BCFFF-3505-4501-A6F1-B3DB84C79AF1}"/>
</file>

<file path=customXml/itemProps3.xml><?xml version="1.0" encoding="utf-8"?>
<ds:datastoreItem xmlns:ds="http://schemas.openxmlformats.org/officeDocument/2006/customXml" ds:itemID="{8EFD6691-4299-4805-BDBD-4A7BBE4F8935}"/>
</file>

<file path=customXml/itemProps4.xml><?xml version="1.0" encoding="utf-8"?>
<ds:datastoreItem xmlns:ds="http://schemas.openxmlformats.org/officeDocument/2006/customXml" ds:itemID="{ED3D5256-F9BC-4C5E-85EB-BA4573AF009B}"/>
</file>

<file path=customXml/itemProps5.xml><?xml version="1.0" encoding="utf-8"?>
<ds:datastoreItem xmlns:ds="http://schemas.openxmlformats.org/officeDocument/2006/customXml" ds:itemID="{721954EF-0AB0-49D0-90C8-75F48FF35051}"/>
</file>

<file path=customXml/itemProps6.xml><?xml version="1.0" encoding="utf-8"?>
<ds:datastoreItem xmlns:ds="http://schemas.openxmlformats.org/officeDocument/2006/customXml" ds:itemID="{4673B9B8-D25D-4D17-94AC-8A2CA55E6B33}"/>
</file>

<file path=customXml/itemProps7.xml><?xml version="1.0" encoding="utf-8"?>
<ds:datastoreItem xmlns:ds="http://schemas.openxmlformats.org/officeDocument/2006/customXml" ds:itemID="{ECD5C64B-62A4-4FE5-8393-92416A60FF5B}"/>
</file>

<file path=docProps/app.xml><?xml version="1.0" encoding="utf-8"?>
<Properties xmlns="http://schemas.openxmlformats.org/officeDocument/2006/extended-properties" xmlns:vt="http://schemas.openxmlformats.org/officeDocument/2006/docPropsVTypes">
  <Template>Normal.dotm</Template>
  <TotalTime>25</TotalTime>
  <Pages>3</Pages>
  <Words>849</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CR-T1133-Memorandum de Aprobacion</dc:title>
  <dc:creator>galileos</dc:creator>
  <cp:lastModifiedBy>Inter-American Development Bank</cp:lastModifiedBy>
  <cp:revision>6</cp:revision>
  <cp:lastPrinted>2015-01-28T15:29:00Z</cp:lastPrinted>
  <dcterms:created xsi:type="dcterms:W3CDTF">2015-02-24T22:27:00Z</dcterms:created>
  <dcterms:modified xsi:type="dcterms:W3CDTF">2015-03-10T02:36:00Z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0x0101001A458A224826124E8B45B1D613300CFC00C11826563F130846B4234FF746C2E949</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4;#Meeting, Minute and Agenda|531aa465-40e4-4f83-8a1f-e8429f09d7e7</vt:lpwstr>
  </property>
  <property fmtid="{D5CDD505-2E9C-101B-9397-08002B2CF9AE}" pid="8" name="Country">
    <vt:lpwstr>28;#Costa Rica|70401352-ba64-401d-af16-55c448a66295</vt:lpwstr>
  </property>
  <property fmtid="{D5CDD505-2E9C-101B-9397-08002B2CF9AE}" pid="9" name="Fund IDB">
    <vt:lpwstr/>
  </property>
  <property fmtid="{D5CDD505-2E9C-101B-9397-08002B2CF9AE}" pid="10" name="Series_x0020_Operations_x0020_IDB">
    <vt:lpwstr>4;#Meeting, Minute and Agenda|531aa465-40e4-4f83-8a1f-e8429f09d7e7</vt:lpwstr>
  </property>
  <property fmtid="{D5CDD505-2E9C-101B-9397-08002B2CF9AE}" pid="13" name="Sector IDB">
    <vt:lpwstr/>
  </property>
  <property fmtid="{D5CDD505-2E9C-101B-9397-08002B2CF9AE}" pid="14" name="Function Operations IDB">
    <vt:lpwstr>4;#Project Administration|751f71fd-1433-4702-a2db-ff12a4e45594</vt:lpwstr>
  </property>
  <property fmtid="{D5CDD505-2E9C-101B-9397-08002B2CF9AE}" pid="15" name="Sub-Sector">
    <vt:lpwstr/>
  </property>
  <property fmtid="{D5CDD505-2E9C-101B-9397-08002B2CF9AE}" pid="16" name="Order">
    <vt:r8>1300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417e8359-3dfa-406c-b763-78c0009f814f</vt:lpwstr>
  </property>
</Properties>
</file>