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C956D" w14:textId="77777777" w:rsidR="005972FF" w:rsidRPr="00167188" w:rsidRDefault="005972FF" w:rsidP="008644F0">
      <w:pPr>
        <w:jc w:val="both"/>
        <w:rPr>
          <w:rFonts w:cs="Arial"/>
          <w:b/>
          <w:sz w:val="22"/>
          <w:szCs w:val="22"/>
          <w:u w:val="single"/>
        </w:rPr>
      </w:pPr>
      <w:bookmarkStart w:id="0" w:name="_GoBack"/>
      <w:bookmarkEnd w:id="0"/>
    </w:p>
    <w:p w14:paraId="60C6D109" w14:textId="3C0CB0C0" w:rsidR="00167188" w:rsidRDefault="00167188" w:rsidP="007F3CCC">
      <w:pPr>
        <w:jc w:val="center"/>
        <w:rPr>
          <w:rFonts w:cs="Arial"/>
          <w:b/>
          <w:sz w:val="22"/>
          <w:szCs w:val="22"/>
          <w:u w:val="single"/>
        </w:rPr>
      </w:pPr>
      <w:r>
        <w:rPr>
          <w:rFonts w:cs="Arial"/>
          <w:b/>
          <w:sz w:val="22"/>
          <w:szCs w:val="22"/>
          <w:u w:val="single"/>
        </w:rPr>
        <w:t>TERMS OF REFERENCE</w:t>
      </w:r>
    </w:p>
    <w:p w14:paraId="4DE59223" w14:textId="77777777" w:rsidR="00167188" w:rsidRPr="00167188" w:rsidRDefault="00167188" w:rsidP="007F3CCC">
      <w:pPr>
        <w:jc w:val="center"/>
        <w:rPr>
          <w:rFonts w:cs="Arial"/>
          <w:b/>
          <w:sz w:val="22"/>
          <w:szCs w:val="22"/>
          <w:u w:val="single"/>
        </w:rPr>
      </w:pPr>
    </w:p>
    <w:p w14:paraId="523A84F4" w14:textId="5D8C3472" w:rsidR="007F3CCC" w:rsidRPr="00167188" w:rsidRDefault="00167188" w:rsidP="007F3CCC">
      <w:pPr>
        <w:jc w:val="center"/>
        <w:rPr>
          <w:rFonts w:cs="Arial"/>
          <w:b/>
          <w:sz w:val="22"/>
          <w:szCs w:val="22"/>
        </w:rPr>
      </w:pPr>
      <w:r>
        <w:rPr>
          <w:rFonts w:cs="Arial"/>
          <w:b/>
          <w:sz w:val="22"/>
          <w:szCs w:val="22"/>
        </w:rPr>
        <w:t>Regional</w:t>
      </w:r>
    </w:p>
    <w:p w14:paraId="2A0B6FB7" w14:textId="77777777" w:rsidR="007F3CCC" w:rsidRPr="00167188" w:rsidRDefault="007F3CCC" w:rsidP="007F3CCC">
      <w:pPr>
        <w:jc w:val="center"/>
        <w:rPr>
          <w:rFonts w:cs="Arial"/>
          <w:b/>
          <w:sz w:val="22"/>
          <w:szCs w:val="22"/>
        </w:rPr>
      </w:pPr>
    </w:p>
    <w:p w14:paraId="13C9889D" w14:textId="77777777" w:rsidR="007F3CCC" w:rsidRPr="00167188" w:rsidRDefault="007F3CCC" w:rsidP="007F3CCC">
      <w:pPr>
        <w:ind w:right="-143"/>
        <w:jc w:val="center"/>
        <w:rPr>
          <w:rFonts w:cs="Arial"/>
          <w:b/>
          <w:sz w:val="22"/>
          <w:szCs w:val="22"/>
        </w:rPr>
      </w:pPr>
      <w:r w:rsidRPr="00167188">
        <w:rPr>
          <w:rFonts w:cs="Arial"/>
          <w:b/>
          <w:sz w:val="22"/>
          <w:szCs w:val="22"/>
        </w:rPr>
        <w:t>Investment strategies for rural broadband connectivity</w:t>
      </w:r>
    </w:p>
    <w:p w14:paraId="358AAD4D" w14:textId="275D1C9D" w:rsidR="007F3CCC" w:rsidRPr="00167188" w:rsidRDefault="007F3CCC" w:rsidP="007F3CCC">
      <w:pPr>
        <w:jc w:val="center"/>
        <w:rPr>
          <w:rFonts w:cs="Arial"/>
          <w:b/>
          <w:sz w:val="22"/>
          <w:szCs w:val="22"/>
        </w:rPr>
      </w:pPr>
      <w:r w:rsidRPr="00167188">
        <w:rPr>
          <w:rFonts w:cs="Arial"/>
          <w:b/>
          <w:sz w:val="22"/>
          <w:szCs w:val="22"/>
        </w:rPr>
        <w:t>(RG-T2993)</w:t>
      </w:r>
    </w:p>
    <w:p w14:paraId="3A1F7679" w14:textId="74B7AB8A" w:rsidR="00167188" w:rsidRPr="00167188" w:rsidRDefault="00167188" w:rsidP="007F3CCC">
      <w:pPr>
        <w:jc w:val="center"/>
        <w:rPr>
          <w:rFonts w:cs="Arial"/>
          <w:b/>
          <w:sz w:val="22"/>
          <w:szCs w:val="22"/>
        </w:rPr>
      </w:pPr>
    </w:p>
    <w:p w14:paraId="453CD055" w14:textId="242D79A6" w:rsidR="00167188" w:rsidRPr="00167188" w:rsidRDefault="00167188" w:rsidP="007F3CCC">
      <w:pPr>
        <w:jc w:val="center"/>
        <w:rPr>
          <w:rFonts w:cs="Arial"/>
          <w:b/>
          <w:sz w:val="22"/>
          <w:szCs w:val="22"/>
        </w:rPr>
      </w:pPr>
      <w:r w:rsidRPr="00167188">
        <w:rPr>
          <w:rFonts w:cs="Arial"/>
          <w:b/>
          <w:sz w:val="22"/>
          <w:szCs w:val="22"/>
        </w:rPr>
        <w:t>Terms of Reference</w:t>
      </w:r>
    </w:p>
    <w:p w14:paraId="66591634" w14:textId="77777777" w:rsidR="00A27784" w:rsidRPr="00167188" w:rsidRDefault="008644F0" w:rsidP="008644F0">
      <w:pPr>
        <w:tabs>
          <w:tab w:val="left" w:pos="7080"/>
        </w:tabs>
        <w:jc w:val="both"/>
        <w:rPr>
          <w:rFonts w:cs="Arial"/>
          <w:sz w:val="22"/>
          <w:szCs w:val="22"/>
        </w:rPr>
      </w:pPr>
      <w:r w:rsidRPr="00167188">
        <w:rPr>
          <w:rFonts w:cs="Arial"/>
          <w:sz w:val="22"/>
          <w:szCs w:val="22"/>
        </w:rPr>
        <w:tab/>
      </w:r>
    </w:p>
    <w:p w14:paraId="66591635" w14:textId="77777777" w:rsidR="00A27784" w:rsidRPr="00167188" w:rsidRDefault="00A27784" w:rsidP="00A27784">
      <w:pPr>
        <w:widowControl w:val="0"/>
        <w:numPr>
          <w:ilvl w:val="0"/>
          <w:numId w:val="1"/>
        </w:numPr>
        <w:spacing w:after="200" w:line="276" w:lineRule="auto"/>
        <w:contextualSpacing/>
        <w:rPr>
          <w:rFonts w:eastAsiaTheme="minorHAnsi" w:cs="Arial"/>
          <w:b/>
          <w:sz w:val="22"/>
          <w:szCs w:val="22"/>
          <w:u w:val="single"/>
        </w:rPr>
      </w:pPr>
      <w:r w:rsidRPr="00167188">
        <w:rPr>
          <w:rFonts w:eastAsiaTheme="minorHAnsi" w:cs="Arial"/>
          <w:b/>
          <w:sz w:val="22"/>
          <w:szCs w:val="22"/>
          <w:u w:val="single"/>
        </w:rPr>
        <w:t>Background and Justification</w:t>
      </w:r>
    </w:p>
    <w:p w14:paraId="66591636" w14:textId="77777777" w:rsidR="00A27784" w:rsidRPr="00167188" w:rsidRDefault="00A27784" w:rsidP="00A27784">
      <w:pPr>
        <w:spacing w:line="276" w:lineRule="auto"/>
        <w:ind w:left="792"/>
        <w:contextualSpacing/>
        <w:jc w:val="both"/>
        <w:rPr>
          <w:rFonts w:eastAsiaTheme="minorHAnsi" w:cs="Arial"/>
          <w:sz w:val="22"/>
          <w:szCs w:val="22"/>
        </w:rPr>
      </w:pPr>
    </w:p>
    <w:p w14:paraId="6607112C" w14:textId="77777777" w:rsidR="007F3CCC" w:rsidRPr="00167188" w:rsidRDefault="007F3CCC" w:rsidP="00782731">
      <w:pPr>
        <w:widowControl w:val="0"/>
        <w:numPr>
          <w:ilvl w:val="1"/>
          <w:numId w:val="1"/>
        </w:numPr>
        <w:spacing w:before="120" w:after="120"/>
        <w:jc w:val="both"/>
        <w:rPr>
          <w:rFonts w:eastAsiaTheme="minorHAnsi" w:cs="Arial"/>
          <w:sz w:val="22"/>
          <w:szCs w:val="22"/>
        </w:rPr>
      </w:pPr>
      <w:r w:rsidRPr="00167188">
        <w:rPr>
          <w:rFonts w:eastAsiaTheme="minorHAnsi" w:cs="Arial"/>
          <w:sz w:val="22"/>
          <w:szCs w:val="22"/>
        </w:rPr>
        <w:t xml:space="preserve">Recent experience in developing countries shows increasing use of public-private partnerships (PPPs), and other innovative financing mechanisms and business models for broadband network build-out and commercialization. These include middle mile and last mile innovations for extending Internet access in areas that remain underserved or unserved. In addition, increasing global demand for wireless Broadband has forced policy-making to become more innovative and </w:t>
      </w:r>
      <w:proofErr w:type="gramStart"/>
      <w:r w:rsidRPr="00167188">
        <w:rPr>
          <w:rFonts w:eastAsiaTheme="minorHAnsi" w:cs="Arial"/>
          <w:sz w:val="22"/>
          <w:szCs w:val="22"/>
        </w:rPr>
        <w:t>opened up</w:t>
      </w:r>
      <w:proofErr w:type="gramEnd"/>
      <w:r w:rsidRPr="00167188">
        <w:rPr>
          <w:rFonts w:eastAsiaTheme="minorHAnsi" w:cs="Arial"/>
          <w:sz w:val="22"/>
          <w:szCs w:val="22"/>
        </w:rPr>
        <w:t xml:space="preserve"> new regulatory challenges such as spectrum allocation. Emerging trends suggest that, growing traffic on licensed spectrum frequencies are causing interference and slows down quality of connectivity, and spectrum managers globally face pressure to adjust current licensing regimes and free up access to more spectrum for broadband wireless network access. Exploring new ways for developing countries to allocate licensed and unlicensed spectrum could enable the government’s fiber-optic network project to reach more end-users, at greater quality and resilience, and at lower cost. </w:t>
      </w:r>
    </w:p>
    <w:p w14:paraId="5963308F" w14:textId="77777777" w:rsidR="007F3CCC" w:rsidRPr="00167188" w:rsidRDefault="007F3CCC" w:rsidP="00167188">
      <w:pPr>
        <w:widowControl w:val="0"/>
        <w:numPr>
          <w:ilvl w:val="1"/>
          <w:numId w:val="1"/>
        </w:numPr>
        <w:jc w:val="both"/>
        <w:rPr>
          <w:rFonts w:eastAsiaTheme="minorHAnsi" w:cs="Arial"/>
          <w:sz w:val="22"/>
          <w:szCs w:val="22"/>
        </w:rPr>
      </w:pPr>
      <w:r w:rsidRPr="00167188">
        <w:rPr>
          <w:rFonts w:eastAsiaTheme="minorHAnsi" w:cs="Arial"/>
          <w:sz w:val="22"/>
          <w:szCs w:val="22"/>
        </w:rPr>
        <w:t xml:space="preserve">Rising demand not withstanding in practice different business models for largescale ICT infrastructure have been implemented with varying degrees of success. Yet where more than 4 billion people live without Internet access and 90 percent of whom are in developing countries, </w:t>
      </w:r>
      <w:proofErr w:type="gramStart"/>
      <w:r w:rsidRPr="00167188">
        <w:rPr>
          <w:rFonts w:eastAsiaTheme="minorHAnsi" w:cs="Arial"/>
          <w:sz w:val="22"/>
          <w:szCs w:val="22"/>
        </w:rPr>
        <w:t>it is clear that significant</w:t>
      </w:r>
      <w:proofErr w:type="gramEnd"/>
      <w:r w:rsidRPr="00167188">
        <w:rPr>
          <w:rFonts w:eastAsiaTheme="minorHAnsi" w:cs="Arial"/>
          <w:sz w:val="22"/>
          <w:szCs w:val="22"/>
        </w:rPr>
        <w:t xml:space="preserve"> investment and creative business and operating models need to be put into practice quickly to bridge today’s digital divide. In addition, there is a need to establish innovative business models to close the access gaps in rural and remote areas in which technology and supply side solutions are not enough. In many developing countries, especially small countries, landlocked countries, fragile states, and rural areas, high financial and operating risks often preclude private sector investment, while governments often </w:t>
      </w:r>
      <w:proofErr w:type="gramStart"/>
      <w:r w:rsidRPr="00167188">
        <w:rPr>
          <w:rFonts w:eastAsiaTheme="minorHAnsi" w:cs="Arial"/>
          <w:sz w:val="22"/>
          <w:szCs w:val="22"/>
        </w:rPr>
        <w:t>lacks</w:t>
      </w:r>
      <w:proofErr w:type="gramEnd"/>
      <w:r w:rsidRPr="00167188">
        <w:rPr>
          <w:rFonts w:eastAsiaTheme="minorHAnsi" w:cs="Arial"/>
          <w:sz w:val="22"/>
          <w:szCs w:val="22"/>
        </w:rPr>
        <w:t xml:space="preserve"> capacity to deploy infrastructure on its own. Most often, these areas also suffer from unreliable electricity supply with very high electricity generation costs providing an additional barrier. In these frontier markets, the private sector will support the connectivity agenda only if governments establish a fair and conducive investment and regulatory climate that are based on competitive principles. Opportunities for risk sharing, joint investments and support for other innovative business models will also be crucial.  </w:t>
      </w:r>
    </w:p>
    <w:p w14:paraId="6659163A" w14:textId="77777777" w:rsidR="00A27784" w:rsidRPr="00167188" w:rsidRDefault="00A27784" w:rsidP="00167188">
      <w:pPr>
        <w:ind w:left="360"/>
        <w:rPr>
          <w:rFonts w:eastAsiaTheme="minorHAnsi" w:cs="Arial"/>
          <w:b/>
          <w:sz w:val="22"/>
          <w:szCs w:val="22"/>
          <w:u w:val="single"/>
        </w:rPr>
      </w:pPr>
    </w:p>
    <w:p w14:paraId="6659163B" w14:textId="77777777" w:rsidR="00A27784" w:rsidRPr="00782731" w:rsidRDefault="00A27784" w:rsidP="00167188">
      <w:pPr>
        <w:widowControl w:val="0"/>
        <w:numPr>
          <w:ilvl w:val="0"/>
          <w:numId w:val="1"/>
        </w:numPr>
        <w:rPr>
          <w:rFonts w:eastAsiaTheme="minorHAnsi" w:cs="Arial"/>
          <w:b/>
          <w:sz w:val="22"/>
          <w:szCs w:val="22"/>
          <w:u w:val="single"/>
        </w:rPr>
      </w:pPr>
      <w:r w:rsidRPr="00782731">
        <w:rPr>
          <w:rFonts w:eastAsiaTheme="minorHAnsi" w:cs="Arial"/>
          <w:b/>
          <w:sz w:val="22"/>
          <w:szCs w:val="22"/>
          <w:u w:val="single"/>
        </w:rPr>
        <w:t>Objectives</w:t>
      </w:r>
    </w:p>
    <w:p w14:paraId="6659163C" w14:textId="77777777" w:rsidR="00A27784" w:rsidRPr="00167188" w:rsidRDefault="00A27784" w:rsidP="00167188">
      <w:pPr>
        <w:ind w:left="360"/>
        <w:rPr>
          <w:rFonts w:eastAsiaTheme="minorHAnsi" w:cs="Arial"/>
          <w:b/>
          <w:sz w:val="22"/>
          <w:szCs w:val="22"/>
          <w:u w:val="single"/>
        </w:rPr>
      </w:pPr>
      <w:r w:rsidRPr="00167188">
        <w:rPr>
          <w:rFonts w:eastAsiaTheme="minorHAnsi" w:cs="Arial"/>
          <w:b/>
          <w:sz w:val="22"/>
          <w:szCs w:val="22"/>
          <w:u w:val="single"/>
        </w:rPr>
        <w:t xml:space="preserve"> </w:t>
      </w:r>
    </w:p>
    <w:p w14:paraId="6659163E" w14:textId="186EF2F2" w:rsidR="00A27784" w:rsidRPr="00167188" w:rsidRDefault="007F3CCC" w:rsidP="00167188">
      <w:pPr>
        <w:widowControl w:val="0"/>
        <w:numPr>
          <w:ilvl w:val="1"/>
          <w:numId w:val="1"/>
        </w:numPr>
        <w:jc w:val="both"/>
        <w:rPr>
          <w:rFonts w:eastAsiaTheme="minorHAnsi" w:cs="Arial"/>
          <w:b/>
          <w:sz w:val="22"/>
          <w:szCs w:val="22"/>
          <w:u w:val="single"/>
        </w:rPr>
      </w:pPr>
      <w:r w:rsidRPr="00167188">
        <w:rPr>
          <w:rFonts w:eastAsiaTheme="minorHAnsi" w:cs="Arial"/>
          <w:sz w:val="22"/>
          <w:szCs w:val="22"/>
        </w:rPr>
        <w:t xml:space="preserve">This technical cooperation seeks a qualified firm to help prepare a knowledge product to support client governments in the achievement of their Internet for all objectives by offering technical guidance on innovative business models for deploying fiber-optic networks and for closing access gaps in remote locations. </w:t>
      </w:r>
    </w:p>
    <w:p w14:paraId="736AF47E" w14:textId="77777777" w:rsidR="005657CB" w:rsidRPr="00167188" w:rsidRDefault="005657CB" w:rsidP="00167188">
      <w:pPr>
        <w:widowControl w:val="0"/>
        <w:ind w:left="792"/>
        <w:jc w:val="both"/>
        <w:rPr>
          <w:rFonts w:eastAsiaTheme="minorHAnsi" w:cs="Arial"/>
          <w:b/>
          <w:sz w:val="22"/>
          <w:szCs w:val="22"/>
          <w:u w:val="single"/>
        </w:rPr>
      </w:pPr>
    </w:p>
    <w:p w14:paraId="6659163F" w14:textId="77777777" w:rsidR="00A27784" w:rsidRPr="00782731" w:rsidRDefault="00A27784" w:rsidP="00167188">
      <w:pPr>
        <w:widowControl w:val="0"/>
        <w:numPr>
          <w:ilvl w:val="0"/>
          <w:numId w:val="1"/>
        </w:numPr>
        <w:rPr>
          <w:rFonts w:eastAsiaTheme="minorHAnsi" w:cs="Arial"/>
          <w:b/>
          <w:sz w:val="22"/>
          <w:szCs w:val="22"/>
          <w:u w:val="single"/>
        </w:rPr>
      </w:pPr>
      <w:r w:rsidRPr="00782731">
        <w:rPr>
          <w:rFonts w:eastAsiaTheme="minorHAnsi" w:cs="Arial"/>
          <w:b/>
          <w:sz w:val="22"/>
          <w:szCs w:val="22"/>
          <w:u w:val="single"/>
        </w:rPr>
        <w:t>Scope of Services</w:t>
      </w:r>
    </w:p>
    <w:p w14:paraId="66591640" w14:textId="77777777" w:rsidR="00A27784" w:rsidRPr="00167188" w:rsidRDefault="00A27784" w:rsidP="00167188">
      <w:pPr>
        <w:ind w:left="792"/>
        <w:jc w:val="both"/>
        <w:rPr>
          <w:rFonts w:eastAsiaTheme="minorHAnsi" w:cs="Arial"/>
          <w:b/>
          <w:i/>
          <w:color w:val="006600"/>
          <w:sz w:val="22"/>
          <w:szCs w:val="22"/>
        </w:rPr>
      </w:pPr>
    </w:p>
    <w:p w14:paraId="55CC8621" w14:textId="77777777" w:rsidR="005657CB" w:rsidRPr="00167188" w:rsidRDefault="005657CB" w:rsidP="00167188">
      <w:pPr>
        <w:widowControl w:val="0"/>
        <w:numPr>
          <w:ilvl w:val="1"/>
          <w:numId w:val="1"/>
        </w:numPr>
        <w:jc w:val="both"/>
        <w:rPr>
          <w:rFonts w:eastAsiaTheme="minorHAnsi" w:cs="Arial"/>
          <w:sz w:val="22"/>
          <w:szCs w:val="22"/>
        </w:rPr>
      </w:pPr>
      <w:r w:rsidRPr="00167188">
        <w:rPr>
          <w:rFonts w:eastAsiaTheme="minorHAnsi" w:cs="Arial"/>
          <w:sz w:val="22"/>
          <w:szCs w:val="22"/>
        </w:rPr>
        <w:t xml:space="preserve">Evaluate successes, failures, and lessons learned from recent history of the diverse business models that have been implemented in the buildout and operation of international and national fiber optic networks in diverse country contexts; </w:t>
      </w:r>
    </w:p>
    <w:p w14:paraId="22427E53" w14:textId="77777777" w:rsidR="005657CB" w:rsidRPr="00167188" w:rsidRDefault="005657CB" w:rsidP="00167188">
      <w:pPr>
        <w:widowControl w:val="0"/>
        <w:numPr>
          <w:ilvl w:val="1"/>
          <w:numId w:val="1"/>
        </w:numPr>
        <w:jc w:val="both"/>
        <w:rPr>
          <w:rFonts w:eastAsiaTheme="minorHAnsi" w:cs="Arial"/>
          <w:sz w:val="22"/>
          <w:szCs w:val="22"/>
        </w:rPr>
      </w:pPr>
      <w:r w:rsidRPr="00167188">
        <w:rPr>
          <w:rFonts w:eastAsiaTheme="minorHAnsi" w:cs="Arial"/>
          <w:sz w:val="22"/>
          <w:szCs w:val="22"/>
        </w:rPr>
        <w:t xml:space="preserve">Identify and evaluate innovative business models (e.g. rural ISP, micro-telco, community GSM) and alternative technologies (e.g. mobile networks, satellite, microwave, balloons, drones) that are helping to extend middle mile and last mile access in previously un- or under-served communities in diverse country contexts; </w:t>
      </w:r>
    </w:p>
    <w:p w14:paraId="6BF503ED" w14:textId="77777777" w:rsidR="005657CB" w:rsidRPr="00167188" w:rsidRDefault="005657CB" w:rsidP="00167188">
      <w:pPr>
        <w:widowControl w:val="0"/>
        <w:numPr>
          <w:ilvl w:val="1"/>
          <w:numId w:val="1"/>
        </w:numPr>
        <w:jc w:val="both"/>
        <w:rPr>
          <w:rFonts w:eastAsiaTheme="minorHAnsi" w:cs="Arial"/>
          <w:sz w:val="22"/>
          <w:szCs w:val="22"/>
        </w:rPr>
      </w:pPr>
      <w:r w:rsidRPr="00167188">
        <w:rPr>
          <w:rFonts w:eastAsiaTheme="minorHAnsi" w:cs="Arial"/>
          <w:sz w:val="22"/>
          <w:szCs w:val="22"/>
        </w:rPr>
        <w:t>Carry out a landscape review of relevant developments on spectrum policy and management;</w:t>
      </w:r>
    </w:p>
    <w:p w14:paraId="31A489C5" w14:textId="77777777" w:rsidR="005657CB" w:rsidRPr="00167188" w:rsidRDefault="005657CB" w:rsidP="00167188">
      <w:pPr>
        <w:widowControl w:val="0"/>
        <w:numPr>
          <w:ilvl w:val="1"/>
          <w:numId w:val="1"/>
        </w:numPr>
        <w:jc w:val="both"/>
        <w:rPr>
          <w:rFonts w:eastAsiaTheme="minorHAnsi" w:cs="Arial"/>
          <w:sz w:val="22"/>
          <w:szCs w:val="22"/>
        </w:rPr>
      </w:pPr>
      <w:r w:rsidRPr="00167188">
        <w:rPr>
          <w:rFonts w:eastAsiaTheme="minorHAnsi" w:cs="Arial"/>
          <w:sz w:val="22"/>
          <w:szCs w:val="22"/>
        </w:rPr>
        <w:t>Based on the above, prepare a useful guideline or menu of options that would help guide developing countries on alternative business models for rolling out fiber-optic network deployment and extending rural access. Options shall be proposed based on an appropriate categorization of countries (e.g. fragility, market conditions, enabling environment). Intersections with energy access shall be considered, where applicable, given overlapping customers, demands and market challenges for addressing the access gaps.</w:t>
      </w:r>
    </w:p>
    <w:p w14:paraId="66591642" w14:textId="77777777" w:rsidR="00A27784" w:rsidRPr="00167188" w:rsidRDefault="00A27784" w:rsidP="00167188">
      <w:pPr>
        <w:ind w:left="1224"/>
        <w:jc w:val="both"/>
        <w:rPr>
          <w:rFonts w:eastAsiaTheme="minorHAnsi" w:cs="Arial"/>
          <w:sz w:val="22"/>
          <w:szCs w:val="22"/>
        </w:rPr>
      </w:pPr>
    </w:p>
    <w:p w14:paraId="66591643" w14:textId="77777777" w:rsidR="00A27784" w:rsidRPr="00782731" w:rsidRDefault="00A27784" w:rsidP="00167188">
      <w:pPr>
        <w:widowControl w:val="0"/>
        <w:numPr>
          <w:ilvl w:val="0"/>
          <w:numId w:val="1"/>
        </w:numPr>
        <w:rPr>
          <w:rFonts w:eastAsiaTheme="minorHAnsi" w:cs="Arial"/>
          <w:b/>
          <w:sz w:val="22"/>
          <w:szCs w:val="22"/>
          <w:u w:val="single"/>
        </w:rPr>
      </w:pPr>
      <w:r w:rsidRPr="00782731">
        <w:rPr>
          <w:rFonts w:eastAsiaTheme="minorHAnsi" w:cs="Arial"/>
          <w:b/>
          <w:sz w:val="22"/>
          <w:szCs w:val="22"/>
          <w:u w:val="single"/>
        </w:rPr>
        <w:t>Key Activities</w:t>
      </w:r>
    </w:p>
    <w:p w14:paraId="66591644" w14:textId="77777777" w:rsidR="00A27784" w:rsidRPr="00167188" w:rsidRDefault="00A27784" w:rsidP="00167188">
      <w:pPr>
        <w:ind w:left="360"/>
        <w:rPr>
          <w:rFonts w:eastAsiaTheme="minorHAnsi" w:cs="Arial"/>
          <w:b/>
          <w:sz w:val="22"/>
          <w:szCs w:val="22"/>
          <w:u w:val="single"/>
        </w:rPr>
      </w:pPr>
    </w:p>
    <w:p w14:paraId="0D4A445B" w14:textId="7085CA77" w:rsidR="005657CB" w:rsidRPr="00167188" w:rsidRDefault="005657CB" w:rsidP="00167188">
      <w:pPr>
        <w:widowControl w:val="0"/>
        <w:numPr>
          <w:ilvl w:val="1"/>
          <w:numId w:val="1"/>
        </w:numPr>
        <w:jc w:val="both"/>
        <w:rPr>
          <w:rFonts w:cs="Arial"/>
          <w:sz w:val="22"/>
          <w:szCs w:val="22"/>
        </w:rPr>
      </w:pPr>
      <w:r w:rsidRPr="00167188">
        <w:rPr>
          <w:rFonts w:eastAsiaTheme="minorHAnsi" w:cs="Arial"/>
          <w:sz w:val="22"/>
          <w:szCs w:val="22"/>
        </w:rPr>
        <w:t xml:space="preserve">Activity I: Preparation of Report. </w:t>
      </w:r>
      <w:r w:rsidRPr="00167188">
        <w:rPr>
          <w:rFonts w:cs="Arial"/>
          <w:sz w:val="22"/>
          <w:szCs w:val="22"/>
        </w:rPr>
        <w:t>The report</w:t>
      </w:r>
      <w:r w:rsidR="00031DE2" w:rsidRPr="00167188">
        <w:rPr>
          <w:rFonts w:cs="Arial"/>
          <w:sz w:val="22"/>
          <w:szCs w:val="22"/>
        </w:rPr>
        <w:t>, with special focus on the application of PPP mechanism</w:t>
      </w:r>
      <w:r w:rsidR="008634FA" w:rsidRPr="00167188">
        <w:rPr>
          <w:rFonts w:cs="Arial"/>
          <w:sz w:val="22"/>
          <w:szCs w:val="22"/>
        </w:rPr>
        <w:t xml:space="preserve"> in the LAC region</w:t>
      </w:r>
      <w:r w:rsidR="00031DE2" w:rsidRPr="00167188">
        <w:rPr>
          <w:rFonts w:cs="Arial"/>
          <w:sz w:val="22"/>
          <w:szCs w:val="22"/>
        </w:rPr>
        <w:t>,</w:t>
      </w:r>
      <w:r w:rsidRPr="00167188">
        <w:rPr>
          <w:rFonts w:cs="Arial"/>
          <w:sz w:val="22"/>
          <w:szCs w:val="22"/>
        </w:rPr>
        <w:t xml:space="preserve"> shall consist of the following:   </w:t>
      </w:r>
    </w:p>
    <w:p w14:paraId="752D0476" w14:textId="77777777" w:rsidR="005657CB" w:rsidRPr="00167188" w:rsidRDefault="005657CB" w:rsidP="00167188">
      <w:pPr>
        <w:pStyle w:val="ListParagraph"/>
        <w:numPr>
          <w:ilvl w:val="0"/>
          <w:numId w:val="8"/>
        </w:numPr>
        <w:contextualSpacing w:val="0"/>
        <w:rPr>
          <w:rFonts w:ascii="Arial" w:hAnsi="Arial" w:cs="Arial"/>
          <w:sz w:val="22"/>
          <w:szCs w:val="22"/>
        </w:rPr>
      </w:pPr>
      <w:r w:rsidRPr="00167188">
        <w:rPr>
          <w:rFonts w:ascii="Arial" w:hAnsi="Arial" w:cs="Arial"/>
          <w:b/>
          <w:i/>
          <w:sz w:val="22"/>
          <w:szCs w:val="22"/>
        </w:rPr>
        <w:t>Cross-border and national fiber-optic network business models.</w:t>
      </w:r>
      <w:r w:rsidRPr="00167188">
        <w:rPr>
          <w:rFonts w:ascii="Arial" w:hAnsi="Arial" w:cs="Arial"/>
          <w:sz w:val="22"/>
          <w:szCs w:val="22"/>
        </w:rPr>
        <w:t xml:space="preserve"> </w:t>
      </w:r>
    </w:p>
    <w:p w14:paraId="5B1125EA" w14:textId="77777777" w:rsidR="005657CB" w:rsidRPr="00167188" w:rsidRDefault="005657CB" w:rsidP="00167188">
      <w:pPr>
        <w:pStyle w:val="ListParagraph"/>
        <w:numPr>
          <w:ilvl w:val="1"/>
          <w:numId w:val="9"/>
        </w:numPr>
        <w:contextualSpacing w:val="0"/>
        <w:jc w:val="both"/>
        <w:rPr>
          <w:rFonts w:ascii="Arial" w:hAnsi="Arial" w:cs="Arial"/>
          <w:sz w:val="22"/>
          <w:szCs w:val="22"/>
        </w:rPr>
      </w:pPr>
      <w:r w:rsidRPr="00167188">
        <w:rPr>
          <w:rFonts w:ascii="Arial" w:hAnsi="Arial" w:cs="Arial"/>
          <w:sz w:val="22"/>
          <w:szCs w:val="22"/>
        </w:rPr>
        <w:t xml:space="preserve">Prepare a select portfolio of innovative cross-border and national fiber-optic network business models and innovative models looking at the interplay between infrastructure and digital service and application development. </w:t>
      </w:r>
    </w:p>
    <w:p w14:paraId="3BE8765F" w14:textId="77777777" w:rsidR="005657CB" w:rsidRPr="00167188" w:rsidRDefault="005657CB" w:rsidP="00167188">
      <w:pPr>
        <w:pStyle w:val="ListParagraph"/>
        <w:numPr>
          <w:ilvl w:val="1"/>
          <w:numId w:val="9"/>
        </w:numPr>
        <w:contextualSpacing w:val="0"/>
        <w:jc w:val="both"/>
        <w:rPr>
          <w:rFonts w:ascii="Arial" w:hAnsi="Arial" w:cs="Arial"/>
          <w:sz w:val="22"/>
          <w:szCs w:val="22"/>
        </w:rPr>
      </w:pPr>
      <w:r w:rsidRPr="00167188">
        <w:rPr>
          <w:rFonts w:ascii="Arial" w:hAnsi="Arial" w:cs="Arial"/>
          <w:sz w:val="22"/>
          <w:szCs w:val="22"/>
        </w:rPr>
        <w:t>Compare and evaluate the models and development outcomes of the investments, based on specific country contexts, market conditions (competitive or monopolistic), and institutional, legal and regulatory environment. The exercise should highlight case studies of both successful and failed business models and outline the cause of the failures as well as key lessons learned. The approaches that are viewed as most forward looking and relevant to a developing and emerging market context, should be emphasized.</w:t>
      </w:r>
    </w:p>
    <w:p w14:paraId="6011F7B9" w14:textId="77777777" w:rsidR="005657CB" w:rsidRPr="00167188" w:rsidRDefault="005657CB" w:rsidP="00167188">
      <w:pPr>
        <w:pStyle w:val="ListParagraph"/>
        <w:ind w:left="1170"/>
        <w:contextualSpacing w:val="0"/>
        <w:jc w:val="both"/>
        <w:rPr>
          <w:rFonts w:ascii="Arial" w:hAnsi="Arial" w:cs="Arial"/>
          <w:sz w:val="22"/>
          <w:szCs w:val="22"/>
        </w:rPr>
      </w:pPr>
      <w:r w:rsidRPr="00167188">
        <w:rPr>
          <w:rFonts w:ascii="Arial" w:hAnsi="Arial" w:cs="Arial"/>
          <w:sz w:val="22"/>
          <w:szCs w:val="22"/>
        </w:rPr>
        <w:t xml:space="preserve"> </w:t>
      </w:r>
    </w:p>
    <w:p w14:paraId="2C594C8D" w14:textId="77777777" w:rsidR="005657CB" w:rsidRPr="00167188" w:rsidRDefault="005657CB" w:rsidP="00782731">
      <w:pPr>
        <w:pStyle w:val="ListParagraph"/>
        <w:numPr>
          <w:ilvl w:val="0"/>
          <w:numId w:val="8"/>
        </w:numPr>
        <w:spacing w:after="120"/>
        <w:contextualSpacing w:val="0"/>
        <w:rPr>
          <w:rFonts w:ascii="Arial" w:hAnsi="Arial" w:cs="Arial"/>
          <w:b/>
          <w:i/>
          <w:sz w:val="22"/>
          <w:szCs w:val="22"/>
        </w:rPr>
      </w:pPr>
      <w:r w:rsidRPr="00167188">
        <w:rPr>
          <w:rFonts w:ascii="Arial" w:hAnsi="Arial" w:cs="Arial"/>
          <w:b/>
          <w:i/>
          <w:sz w:val="22"/>
          <w:szCs w:val="22"/>
        </w:rPr>
        <w:t xml:space="preserve">Business models and technologies for extending Internet access in middle mile and last mile locations </w:t>
      </w:r>
    </w:p>
    <w:p w14:paraId="78DA769D" w14:textId="77777777" w:rsidR="005657CB" w:rsidRPr="00167188" w:rsidRDefault="005657CB" w:rsidP="00782731">
      <w:pPr>
        <w:pStyle w:val="ListParagraph"/>
        <w:numPr>
          <w:ilvl w:val="1"/>
          <w:numId w:val="10"/>
        </w:numPr>
        <w:spacing w:before="120" w:after="120"/>
        <w:ind w:left="1267"/>
        <w:contextualSpacing w:val="0"/>
        <w:rPr>
          <w:rFonts w:ascii="Arial" w:hAnsi="Arial" w:cs="Arial"/>
          <w:sz w:val="22"/>
          <w:szCs w:val="22"/>
        </w:rPr>
      </w:pPr>
      <w:r w:rsidRPr="00167188">
        <w:rPr>
          <w:rFonts w:ascii="Arial" w:hAnsi="Arial" w:cs="Arial"/>
          <w:sz w:val="22"/>
          <w:szCs w:val="22"/>
        </w:rPr>
        <w:t xml:space="preserve">Prepare a select portfolio of innovative business models and alternative technologies that are extending Internet access in rural and last mile locations globally. </w:t>
      </w:r>
    </w:p>
    <w:p w14:paraId="70056A7B" w14:textId="77777777" w:rsidR="005657CB" w:rsidRPr="00167188" w:rsidRDefault="005657CB" w:rsidP="00782731">
      <w:pPr>
        <w:pStyle w:val="ListParagraph"/>
        <w:numPr>
          <w:ilvl w:val="1"/>
          <w:numId w:val="10"/>
        </w:numPr>
        <w:spacing w:before="120" w:after="120"/>
        <w:ind w:left="1267"/>
        <w:contextualSpacing w:val="0"/>
        <w:jc w:val="both"/>
        <w:rPr>
          <w:rFonts w:ascii="Arial" w:hAnsi="Arial" w:cs="Arial"/>
          <w:sz w:val="22"/>
          <w:szCs w:val="22"/>
        </w:rPr>
      </w:pPr>
      <w:r w:rsidRPr="00167188">
        <w:rPr>
          <w:rFonts w:ascii="Arial" w:hAnsi="Arial" w:cs="Arial"/>
          <w:sz w:val="22"/>
          <w:szCs w:val="22"/>
        </w:rPr>
        <w:t xml:space="preserve">Compare and evaluate the business models and technologies based on the results/development outcomes, specific market conditions, enabling environment, and other criteria that help to push the market frontier. Synergistic effects of creating demand for energy access and Internet connectivity in the “unconnected” locations shall also be examined. </w:t>
      </w:r>
    </w:p>
    <w:p w14:paraId="1AD2DDDB" w14:textId="77777777" w:rsidR="005657CB" w:rsidRPr="00167188" w:rsidRDefault="005657CB" w:rsidP="00782731">
      <w:pPr>
        <w:pStyle w:val="ListParagraph"/>
        <w:numPr>
          <w:ilvl w:val="0"/>
          <w:numId w:val="8"/>
        </w:numPr>
        <w:spacing w:before="120" w:after="120"/>
        <w:contextualSpacing w:val="0"/>
        <w:jc w:val="both"/>
        <w:rPr>
          <w:rFonts w:ascii="Arial" w:hAnsi="Arial" w:cs="Arial"/>
          <w:sz w:val="22"/>
          <w:szCs w:val="22"/>
        </w:rPr>
      </w:pPr>
      <w:r w:rsidRPr="00167188">
        <w:rPr>
          <w:rFonts w:ascii="Arial" w:hAnsi="Arial" w:cs="Arial"/>
          <w:b/>
          <w:i/>
          <w:sz w:val="22"/>
          <w:szCs w:val="22"/>
        </w:rPr>
        <w:t xml:space="preserve">Landscape overview of relevant and emerging global trends on spectrum policy and planning. </w:t>
      </w:r>
      <w:r w:rsidRPr="00167188">
        <w:rPr>
          <w:rFonts w:ascii="Arial" w:hAnsi="Arial" w:cs="Arial"/>
          <w:sz w:val="22"/>
          <w:szCs w:val="22"/>
        </w:rPr>
        <w:t xml:space="preserve">The chapter shall provide an overview of relevant </w:t>
      </w:r>
      <w:r w:rsidRPr="00167188">
        <w:rPr>
          <w:rFonts w:ascii="Arial" w:hAnsi="Arial" w:cs="Arial"/>
          <w:sz w:val="22"/>
          <w:szCs w:val="22"/>
        </w:rPr>
        <w:lastRenderedPageBreak/>
        <w:t xml:space="preserve">developments in spectrum licensing regimes; technical standards and rules; spectrum allocation and assignment; spectrum licensing and unlicensed spectrum; spectrum </w:t>
      </w:r>
      <w:proofErr w:type="spellStart"/>
      <w:r w:rsidRPr="00167188">
        <w:rPr>
          <w:rFonts w:ascii="Arial" w:hAnsi="Arial" w:cs="Arial"/>
          <w:sz w:val="22"/>
          <w:szCs w:val="22"/>
        </w:rPr>
        <w:t>refarming</w:t>
      </w:r>
      <w:proofErr w:type="spellEnd"/>
      <w:r w:rsidRPr="00167188">
        <w:rPr>
          <w:rFonts w:ascii="Arial" w:hAnsi="Arial" w:cs="Arial"/>
          <w:sz w:val="22"/>
          <w:szCs w:val="22"/>
        </w:rPr>
        <w:t>; digital dividend; spectrum sharing, among others. 3-4 innovative country case studies should be included.</w:t>
      </w:r>
    </w:p>
    <w:p w14:paraId="2695E710" w14:textId="77777777" w:rsidR="005657CB" w:rsidRPr="00167188" w:rsidRDefault="005657CB" w:rsidP="00782731">
      <w:pPr>
        <w:pStyle w:val="ListParagraph"/>
        <w:numPr>
          <w:ilvl w:val="0"/>
          <w:numId w:val="8"/>
        </w:numPr>
        <w:spacing w:before="120" w:after="120"/>
        <w:contextualSpacing w:val="0"/>
        <w:jc w:val="both"/>
        <w:rPr>
          <w:rFonts w:ascii="Arial" w:hAnsi="Arial" w:cs="Arial"/>
          <w:sz w:val="22"/>
          <w:szCs w:val="22"/>
        </w:rPr>
      </w:pPr>
      <w:r w:rsidRPr="00167188">
        <w:rPr>
          <w:rFonts w:ascii="Arial" w:hAnsi="Arial" w:cs="Arial"/>
          <w:b/>
          <w:i/>
          <w:sz w:val="22"/>
          <w:szCs w:val="22"/>
        </w:rPr>
        <w:t xml:space="preserve"> Recommendations and Guideline/Menu of options.</w:t>
      </w:r>
      <w:r w:rsidRPr="00167188">
        <w:rPr>
          <w:rFonts w:ascii="Arial" w:hAnsi="Arial" w:cs="Arial"/>
          <w:sz w:val="22"/>
          <w:szCs w:val="22"/>
        </w:rPr>
        <w:t xml:space="preserve"> Based on the findings of a) and b), the recommendations and the guidelines/menu of options will serve as a tool for clients to have a better understanding of options for extending broadband networks and for extending rural access. The guidelines should consider success and risk factors, as well as the following: </w:t>
      </w:r>
    </w:p>
    <w:p w14:paraId="5FCE15BF" w14:textId="77777777" w:rsidR="005657CB" w:rsidRPr="00167188" w:rsidRDefault="005657CB" w:rsidP="00782731">
      <w:pPr>
        <w:pStyle w:val="ListParagraph"/>
        <w:numPr>
          <w:ilvl w:val="0"/>
          <w:numId w:val="11"/>
        </w:numPr>
        <w:spacing w:before="120" w:after="120"/>
        <w:contextualSpacing w:val="0"/>
        <w:jc w:val="both"/>
        <w:rPr>
          <w:rFonts w:ascii="Arial" w:hAnsi="Arial" w:cs="Arial"/>
          <w:sz w:val="22"/>
          <w:szCs w:val="22"/>
        </w:rPr>
      </w:pPr>
      <w:r w:rsidRPr="00167188">
        <w:rPr>
          <w:rFonts w:ascii="Arial" w:hAnsi="Arial" w:cs="Arial"/>
          <w:sz w:val="22"/>
          <w:szCs w:val="22"/>
        </w:rPr>
        <w:t>Options should be proposed based on an appropriate categorization of countries (e.g. fragility, income level, market conditions, enabling environment)</w:t>
      </w:r>
    </w:p>
    <w:p w14:paraId="00251E6D" w14:textId="77777777" w:rsidR="005657CB" w:rsidRPr="00167188" w:rsidRDefault="005657CB" w:rsidP="00782731">
      <w:pPr>
        <w:pStyle w:val="ListParagraph"/>
        <w:numPr>
          <w:ilvl w:val="0"/>
          <w:numId w:val="11"/>
        </w:numPr>
        <w:spacing w:before="120" w:after="120"/>
        <w:contextualSpacing w:val="0"/>
        <w:jc w:val="both"/>
        <w:rPr>
          <w:rFonts w:ascii="Arial" w:hAnsi="Arial" w:cs="Arial"/>
          <w:sz w:val="22"/>
          <w:szCs w:val="22"/>
        </w:rPr>
      </w:pPr>
      <w:r w:rsidRPr="00167188">
        <w:rPr>
          <w:rFonts w:ascii="Arial" w:hAnsi="Arial" w:cs="Arial"/>
          <w:sz w:val="22"/>
          <w:szCs w:val="22"/>
        </w:rPr>
        <w:t xml:space="preserve">Highlight the business models and circumstances that require a more active private sector role, and include cost-benefit analysis, on a case-by-case and needs basis, for when the different business models should be applied. Include but not be exclusive to the PPP context, and should be based on alternative contributions from the private and public sector (e.g. ranging from OBA to equity to concessions, among other approaches). </w:t>
      </w:r>
    </w:p>
    <w:p w14:paraId="2B0CED80" w14:textId="330E1656" w:rsidR="005657CB" w:rsidRPr="00167188" w:rsidRDefault="005657CB" w:rsidP="00782731">
      <w:pPr>
        <w:pStyle w:val="ListParagraph"/>
        <w:numPr>
          <w:ilvl w:val="0"/>
          <w:numId w:val="11"/>
        </w:numPr>
        <w:spacing w:before="120" w:after="120"/>
        <w:contextualSpacing w:val="0"/>
        <w:jc w:val="both"/>
        <w:rPr>
          <w:rFonts w:ascii="Arial" w:hAnsi="Arial" w:cs="Arial"/>
          <w:sz w:val="22"/>
          <w:szCs w:val="22"/>
        </w:rPr>
      </w:pPr>
      <w:r w:rsidRPr="00167188">
        <w:rPr>
          <w:rFonts w:ascii="Arial" w:hAnsi="Arial" w:cs="Arial"/>
          <w:sz w:val="22"/>
          <w:szCs w:val="22"/>
        </w:rPr>
        <w:t xml:space="preserve">Incorporate implications of future bandwidth requirements, on a case-by-case and needs basis, taking into consideration emerging technologies and trends that will boost bandwidth requirements in the coming decade (e.g. 5G, IoT). </w:t>
      </w:r>
    </w:p>
    <w:p w14:paraId="3E7BADD2" w14:textId="56CE2345" w:rsidR="008634FA" w:rsidRPr="00167188" w:rsidRDefault="008634FA" w:rsidP="00782731">
      <w:pPr>
        <w:spacing w:before="120" w:after="120"/>
        <w:ind w:left="720"/>
        <w:jc w:val="both"/>
        <w:rPr>
          <w:rFonts w:cs="Arial"/>
          <w:sz w:val="22"/>
          <w:szCs w:val="22"/>
        </w:rPr>
      </w:pPr>
      <w:r w:rsidRPr="00167188">
        <w:rPr>
          <w:rFonts w:cs="Arial"/>
          <w:sz w:val="22"/>
          <w:szCs w:val="22"/>
        </w:rPr>
        <w:t xml:space="preserve">And </w:t>
      </w:r>
      <w:r w:rsidR="008837A2" w:rsidRPr="00167188">
        <w:rPr>
          <w:rFonts w:cs="Arial"/>
          <w:sz w:val="22"/>
          <w:szCs w:val="22"/>
        </w:rPr>
        <w:t xml:space="preserve">finally, at least 2 LAC </w:t>
      </w:r>
      <w:r w:rsidRPr="00167188">
        <w:rPr>
          <w:rFonts w:cs="Arial"/>
          <w:sz w:val="22"/>
          <w:szCs w:val="22"/>
        </w:rPr>
        <w:t xml:space="preserve">country programs </w:t>
      </w:r>
      <w:r w:rsidR="008837A2" w:rsidRPr="00167188">
        <w:rPr>
          <w:rFonts w:cs="Arial"/>
          <w:sz w:val="22"/>
          <w:szCs w:val="22"/>
        </w:rPr>
        <w:t>should be included, as</w:t>
      </w:r>
      <w:r w:rsidR="00F175B1" w:rsidRPr="00167188">
        <w:rPr>
          <w:rFonts w:cs="Arial"/>
          <w:sz w:val="22"/>
          <w:szCs w:val="22"/>
        </w:rPr>
        <w:t xml:space="preserve"> sort of</w:t>
      </w:r>
      <w:r w:rsidR="008837A2" w:rsidRPr="00167188">
        <w:rPr>
          <w:rFonts w:cs="Arial"/>
          <w:sz w:val="22"/>
          <w:szCs w:val="22"/>
        </w:rPr>
        <w:t xml:space="preserve"> in-depth case studies for applying t</w:t>
      </w:r>
      <w:r w:rsidR="00F175B1" w:rsidRPr="00167188">
        <w:rPr>
          <w:rFonts w:cs="Arial"/>
          <w:sz w:val="22"/>
          <w:szCs w:val="22"/>
        </w:rPr>
        <w:t>he above recommendations or technical options</w:t>
      </w:r>
      <w:r w:rsidR="008837A2" w:rsidRPr="00167188">
        <w:rPr>
          <w:rFonts w:cs="Arial"/>
          <w:sz w:val="22"/>
          <w:szCs w:val="22"/>
        </w:rPr>
        <w:t xml:space="preserve"> to the actual situation. </w:t>
      </w:r>
    </w:p>
    <w:p w14:paraId="63F56DE4" w14:textId="77777777" w:rsidR="008634FA" w:rsidRPr="00167188" w:rsidRDefault="008634FA" w:rsidP="00167188">
      <w:pPr>
        <w:jc w:val="both"/>
        <w:rPr>
          <w:rFonts w:cs="Arial"/>
          <w:sz w:val="22"/>
          <w:szCs w:val="22"/>
        </w:rPr>
      </w:pPr>
    </w:p>
    <w:p w14:paraId="2A00204B" w14:textId="222EC4FA" w:rsidR="005657CB" w:rsidRPr="00167188" w:rsidRDefault="005657CB" w:rsidP="00167188">
      <w:pPr>
        <w:widowControl w:val="0"/>
        <w:numPr>
          <w:ilvl w:val="1"/>
          <w:numId w:val="1"/>
        </w:numPr>
        <w:jc w:val="both"/>
        <w:rPr>
          <w:rFonts w:eastAsiaTheme="minorHAnsi" w:cs="Arial"/>
          <w:i/>
          <w:sz w:val="22"/>
          <w:szCs w:val="22"/>
        </w:rPr>
      </w:pPr>
      <w:r w:rsidRPr="00167188">
        <w:rPr>
          <w:rFonts w:eastAsiaTheme="minorHAnsi" w:cs="Arial"/>
          <w:sz w:val="22"/>
          <w:szCs w:val="22"/>
        </w:rPr>
        <w:t>Activity 2: Carry out a Consultation/Validation Workshop</w:t>
      </w:r>
      <w:r w:rsidR="00F175B1" w:rsidRPr="00167188">
        <w:rPr>
          <w:rFonts w:eastAsiaTheme="minorHAnsi" w:cs="Arial"/>
          <w:sz w:val="22"/>
          <w:szCs w:val="22"/>
        </w:rPr>
        <w:t xml:space="preserve"> and study-tour</w:t>
      </w:r>
      <w:r w:rsidRPr="00167188">
        <w:rPr>
          <w:rFonts w:eastAsiaTheme="minorHAnsi" w:cs="Arial"/>
          <w:sz w:val="22"/>
          <w:szCs w:val="22"/>
        </w:rPr>
        <w:t xml:space="preserve">. </w:t>
      </w:r>
      <w:r w:rsidRPr="00167188">
        <w:rPr>
          <w:rFonts w:cs="Arial"/>
          <w:sz w:val="22"/>
          <w:szCs w:val="22"/>
        </w:rPr>
        <w:t xml:space="preserve">The Consultant shall carry out a consultation and validation workshop to present the draft report to obtain feedback for incorporation into the final product. The Consultant may invite subject matter experts and practitioners that may contribute to the discussions. Upon completion of the Workshop, the Consultant shall prepare a </w:t>
      </w:r>
      <w:proofErr w:type="gramStart"/>
      <w:r w:rsidRPr="00167188">
        <w:rPr>
          <w:rFonts w:cs="Arial"/>
          <w:sz w:val="22"/>
          <w:szCs w:val="22"/>
        </w:rPr>
        <w:t>3-5 page</w:t>
      </w:r>
      <w:proofErr w:type="gramEnd"/>
      <w:r w:rsidRPr="00167188">
        <w:rPr>
          <w:rFonts w:cs="Arial"/>
          <w:sz w:val="22"/>
          <w:szCs w:val="22"/>
        </w:rPr>
        <w:t xml:space="preserve"> report summarizing the findings of the workshop. </w:t>
      </w:r>
      <w:r w:rsidR="00F175B1" w:rsidRPr="00167188">
        <w:rPr>
          <w:rFonts w:cs="Arial"/>
          <w:sz w:val="22"/>
          <w:szCs w:val="22"/>
        </w:rPr>
        <w:t>And the consultant will organize a study-tour</w:t>
      </w:r>
      <w:r w:rsidR="00C65783" w:rsidRPr="00167188">
        <w:rPr>
          <w:rFonts w:cs="Arial"/>
          <w:sz w:val="22"/>
          <w:szCs w:val="22"/>
        </w:rPr>
        <w:t xml:space="preserve"> (including visit to Korea), aiming to</w:t>
      </w:r>
      <w:r w:rsidR="00F175B1" w:rsidRPr="00167188">
        <w:rPr>
          <w:rFonts w:cs="Arial"/>
          <w:sz w:val="22"/>
          <w:szCs w:val="22"/>
        </w:rPr>
        <w:t xml:space="preserve"> provide </w:t>
      </w:r>
      <w:r w:rsidR="00C65783" w:rsidRPr="00167188">
        <w:rPr>
          <w:rFonts w:cs="Arial"/>
          <w:sz w:val="22"/>
          <w:szCs w:val="22"/>
        </w:rPr>
        <w:t>related stakeholders</w:t>
      </w:r>
      <w:r w:rsidR="00F175B1" w:rsidRPr="00167188">
        <w:rPr>
          <w:rFonts w:cs="Arial"/>
          <w:sz w:val="22"/>
          <w:szCs w:val="22"/>
        </w:rPr>
        <w:t xml:space="preserve"> in selected LAC countries with the opportunity to gain </w:t>
      </w:r>
      <w:r w:rsidR="00C65783" w:rsidRPr="00167188">
        <w:rPr>
          <w:rFonts w:cs="Arial"/>
          <w:sz w:val="22"/>
          <w:szCs w:val="22"/>
        </w:rPr>
        <w:t xml:space="preserve">best </w:t>
      </w:r>
      <w:r w:rsidR="00F175B1" w:rsidRPr="00167188">
        <w:rPr>
          <w:rFonts w:cs="Arial"/>
          <w:sz w:val="22"/>
          <w:szCs w:val="22"/>
        </w:rPr>
        <w:t xml:space="preserve">international </w:t>
      </w:r>
      <w:r w:rsidR="00C65783" w:rsidRPr="00167188">
        <w:rPr>
          <w:rFonts w:cs="Arial"/>
          <w:sz w:val="22"/>
          <w:szCs w:val="22"/>
        </w:rPr>
        <w:t xml:space="preserve">knowledge and experience. </w:t>
      </w:r>
    </w:p>
    <w:p w14:paraId="48736082" w14:textId="77777777" w:rsidR="005657CB" w:rsidRPr="00167188" w:rsidRDefault="005657CB" w:rsidP="00167188">
      <w:pPr>
        <w:widowControl w:val="0"/>
        <w:jc w:val="both"/>
        <w:rPr>
          <w:rFonts w:eastAsiaTheme="minorHAnsi" w:cs="Arial"/>
          <w:b/>
          <w:i/>
          <w:sz w:val="22"/>
          <w:szCs w:val="22"/>
        </w:rPr>
      </w:pPr>
    </w:p>
    <w:p w14:paraId="66591647" w14:textId="77777777" w:rsidR="00A27784" w:rsidRPr="00782731" w:rsidRDefault="00A27784" w:rsidP="00167188">
      <w:pPr>
        <w:widowControl w:val="0"/>
        <w:numPr>
          <w:ilvl w:val="0"/>
          <w:numId w:val="1"/>
        </w:numPr>
        <w:rPr>
          <w:rFonts w:eastAsiaTheme="minorHAnsi" w:cs="Arial"/>
          <w:b/>
          <w:sz w:val="22"/>
          <w:szCs w:val="22"/>
          <w:u w:val="single"/>
        </w:rPr>
      </w:pPr>
      <w:r w:rsidRPr="00782731">
        <w:rPr>
          <w:rFonts w:eastAsiaTheme="minorHAnsi" w:cs="Arial"/>
          <w:b/>
          <w:sz w:val="22"/>
          <w:szCs w:val="22"/>
          <w:u w:val="single"/>
        </w:rPr>
        <w:t>Expected Outcome and Deliverables</w:t>
      </w:r>
    </w:p>
    <w:p w14:paraId="66591648" w14:textId="77777777" w:rsidR="00A27784" w:rsidRPr="00167188" w:rsidRDefault="00A27784" w:rsidP="00167188">
      <w:pPr>
        <w:ind w:left="360"/>
        <w:rPr>
          <w:rFonts w:eastAsiaTheme="minorHAnsi" w:cs="Arial"/>
          <w:b/>
          <w:sz w:val="22"/>
          <w:szCs w:val="22"/>
          <w:u w:val="single"/>
        </w:rPr>
      </w:pPr>
    </w:p>
    <w:p w14:paraId="47AFB55C" w14:textId="77777777" w:rsidR="00E94E32" w:rsidRPr="00167188" w:rsidRDefault="00E94E32" w:rsidP="00782731">
      <w:pPr>
        <w:widowControl w:val="0"/>
        <w:numPr>
          <w:ilvl w:val="1"/>
          <w:numId w:val="1"/>
        </w:numPr>
        <w:spacing w:after="120"/>
        <w:jc w:val="both"/>
        <w:rPr>
          <w:rFonts w:eastAsiaTheme="minorHAnsi" w:cs="Arial"/>
          <w:i/>
          <w:sz w:val="22"/>
          <w:szCs w:val="22"/>
        </w:rPr>
      </w:pPr>
      <w:r w:rsidRPr="00167188">
        <w:rPr>
          <w:rFonts w:eastAsiaTheme="minorHAnsi" w:cs="Arial"/>
          <w:sz w:val="22"/>
          <w:szCs w:val="22"/>
        </w:rPr>
        <w:t>The list of deliverables throughout the execution will 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8"/>
      </w:tblGrid>
      <w:tr w:rsidR="00E94E32" w:rsidRPr="00167188" w14:paraId="138CAE0B" w14:textId="77777777" w:rsidTr="00BE546E">
        <w:trPr>
          <w:jc w:val="center"/>
        </w:trPr>
        <w:tc>
          <w:tcPr>
            <w:tcW w:w="5548" w:type="dxa"/>
          </w:tcPr>
          <w:p w14:paraId="04CEFB55" w14:textId="24942F60" w:rsidR="00E94E32" w:rsidRPr="00782731" w:rsidRDefault="00E94E32" w:rsidP="00782731">
            <w:pPr>
              <w:pStyle w:val="ListParagraph"/>
              <w:keepNext/>
              <w:keepLines/>
              <w:numPr>
                <w:ilvl w:val="0"/>
                <w:numId w:val="12"/>
              </w:numPr>
              <w:tabs>
                <w:tab w:val="left" w:pos="327"/>
              </w:tabs>
              <w:ind w:left="331"/>
              <w:contextualSpacing w:val="0"/>
              <w:rPr>
                <w:rFonts w:ascii="Arial" w:hAnsi="Arial" w:cs="Arial"/>
                <w:sz w:val="22"/>
                <w:szCs w:val="22"/>
              </w:rPr>
            </w:pPr>
            <w:r w:rsidRPr="00782731">
              <w:rPr>
                <w:rFonts w:ascii="Arial" w:hAnsi="Arial" w:cs="Arial"/>
                <w:sz w:val="22"/>
                <w:szCs w:val="22"/>
              </w:rPr>
              <w:t xml:space="preserve">Inception Report and Detailed work plan  </w:t>
            </w:r>
          </w:p>
        </w:tc>
      </w:tr>
      <w:tr w:rsidR="00E94E32" w:rsidRPr="00167188" w14:paraId="1AB1ECE5" w14:textId="77777777" w:rsidTr="00BE546E">
        <w:trPr>
          <w:jc w:val="center"/>
        </w:trPr>
        <w:tc>
          <w:tcPr>
            <w:tcW w:w="5548" w:type="dxa"/>
          </w:tcPr>
          <w:p w14:paraId="16FD9E63" w14:textId="77777777" w:rsidR="00E94E32" w:rsidRPr="00782731" w:rsidRDefault="00E94E32" w:rsidP="00782731">
            <w:pPr>
              <w:pStyle w:val="ListParagraph"/>
              <w:keepNext/>
              <w:keepLines/>
              <w:numPr>
                <w:ilvl w:val="0"/>
                <w:numId w:val="12"/>
              </w:numPr>
              <w:tabs>
                <w:tab w:val="left" w:pos="327"/>
              </w:tabs>
              <w:ind w:left="331"/>
              <w:contextualSpacing w:val="0"/>
              <w:rPr>
                <w:rFonts w:ascii="Arial" w:hAnsi="Arial" w:cs="Arial"/>
                <w:sz w:val="22"/>
                <w:szCs w:val="22"/>
              </w:rPr>
            </w:pPr>
            <w:r w:rsidRPr="00782731">
              <w:rPr>
                <w:rFonts w:ascii="Arial" w:hAnsi="Arial" w:cs="Arial"/>
                <w:sz w:val="22"/>
                <w:szCs w:val="22"/>
              </w:rPr>
              <w:t xml:space="preserve">Draft Report  </w:t>
            </w:r>
          </w:p>
        </w:tc>
      </w:tr>
      <w:tr w:rsidR="00E94E32" w:rsidRPr="00167188" w14:paraId="5E44E950" w14:textId="77777777" w:rsidTr="00BE546E">
        <w:trPr>
          <w:jc w:val="center"/>
        </w:trPr>
        <w:tc>
          <w:tcPr>
            <w:tcW w:w="5548" w:type="dxa"/>
          </w:tcPr>
          <w:p w14:paraId="36D9D81F" w14:textId="77777777" w:rsidR="00E94E32" w:rsidRPr="00782731" w:rsidRDefault="00E94E32" w:rsidP="00782731">
            <w:pPr>
              <w:pStyle w:val="ListParagraph"/>
              <w:keepNext/>
              <w:keepLines/>
              <w:numPr>
                <w:ilvl w:val="0"/>
                <w:numId w:val="12"/>
              </w:numPr>
              <w:tabs>
                <w:tab w:val="left" w:pos="327"/>
              </w:tabs>
              <w:ind w:left="331"/>
              <w:contextualSpacing w:val="0"/>
              <w:rPr>
                <w:rFonts w:ascii="Arial" w:hAnsi="Arial" w:cs="Arial"/>
                <w:sz w:val="22"/>
                <w:szCs w:val="22"/>
              </w:rPr>
            </w:pPr>
            <w:r w:rsidRPr="00782731">
              <w:rPr>
                <w:rFonts w:ascii="Arial" w:hAnsi="Arial" w:cs="Arial"/>
                <w:sz w:val="22"/>
                <w:szCs w:val="22"/>
              </w:rPr>
              <w:t xml:space="preserve">Validation/Consultation Workshop &amp; Submission of Workshop Report </w:t>
            </w:r>
          </w:p>
        </w:tc>
      </w:tr>
      <w:tr w:rsidR="00E94E32" w:rsidRPr="00167188" w14:paraId="6032A667" w14:textId="77777777" w:rsidTr="00BE546E">
        <w:trPr>
          <w:jc w:val="center"/>
        </w:trPr>
        <w:tc>
          <w:tcPr>
            <w:tcW w:w="5548" w:type="dxa"/>
          </w:tcPr>
          <w:p w14:paraId="14B789EB" w14:textId="77777777" w:rsidR="00E94E32" w:rsidRPr="00782731" w:rsidRDefault="00E94E32" w:rsidP="00782731">
            <w:pPr>
              <w:pStyle w:val="ListParagraph"/>
              <w:keepNext/>
              <w:keepLines/>
              <w:numPr>
                <w:ilvl w:val="0"/>
                <w:numId w:val="12"/>
              </w:numPr>
              <w:tabs>
                <w:tab w:val="left" w:pos="327"/>
              </w:tabs>
              <w:ind w:left="331"/>
              <w:contextualSpacing w:val="0"/>
              <w:rPr>
                <w:rFonts w:ascii="Arial" w:hAnsi="Arial" w:cs="Arial"/>
                <w:sz w:val="22"/>
                <w:szCs w:val="22"/>
              </w:rPr>
            </w:pPr>
            <w:r w:rsidRPr="00782731">
              <w:rPr>
                <w:rFonts w:ascii="Arial" w:hAnsi="Arial" w:cs="Arial"/>
                <w:sz w:val="22"/>
                <w:szCs w:val="22"/>
              </w:rPr>
              <w:t xml:space="preserve">Final Report </w:t>
            </w:r>
          </w:p>
        </w:tc>
      </w:tr>
    </w:tbl>
    <w:p w14:paraId="2888025A" w14:textId="048AF9AC" w:rsidR="00E94E32" w:rsidRDefault="00E94E32" w:rsidP="00167188">
      <w:pPr>
        <w:widowControl w:val="0"/>
        <w:jc w:val="both"/>
        <w:rPr>
          <w:rFonts w:eastAsiaTheme="minorHAnsi" w:cs="Arial"/>
          <w:i/>
          <w:sz w:val="22"/>
          <w:szCs w:val="22"/>
        </w:rPr>
      </w:pPr>
    </w:p>
    <w:p w14:paraId="6298EA63" w14:textId="3A706592" w:rsidR="00782731" w:rsidRDefault="00782731" w:rsidP="00167188">
      <w:pPr>
        <w:widowControl w:val="0"/>
        <w:jc w:val="both"/>
        <w:rPr>
          <w:rFonts w:eastAsiaTheme="minorHAnsi" w:cs="Arial"/>
          <w:i/>
          <w:sz w:val="22"/>
          <w:szCs w:val="22"/>
        </w:rPr>
      </w:pPr>
    </w:p>
    <w:p w14:paraId="04F55301" w14:textId="2673C3C8" w:rsidR="00782731" w:rsidRDefault="00782731" w:rsidP="00167188">
      <w:pPr>
        <w:widowControl w:val="0"/>
        <w:jc w:val="both"/>
        <w:rPr>
          <w:rFonts w:eastAsiaTheme="minorHAnsi" w:cs="Arial"/>
          <w:i/>
          <w:sz w:val="22"/>
          <w:szCs w:val="22"/>
        </w:rPr>
      </w:pPr>
    </w:p>
    <w:p w14:paraId="422A866E" w14:textId="77777777" w:rsidR="00782731" w:rsidRPr="00167188" w:rsidRDefault="00782731" w:rsidP="00167188">
      <w:pPr>
        <w:widowControl w:val="0"/>
        <w:jc w:val="both"/>
        <w:rPr>
          <w:rFonts w:eastAsiaTheme="minorHAnsi" w:cs="Arial"/>
          <w:i/>
          <w:sz w:val="22"/>
          <w:szCs w:val="22"/>
        </w:rPr>
      </w:pPr>
    </w:p>
    <w:p w14:paraId="66591662" w14:textId="759DC92B" w:rsidR="00A27784" w:rsidRPr="00782731" w:rsidRDefault="009C3A77" w:rsidP="00167188">
      <w:pPr>
        <w:pStyle w:val="ListParagraph"/>
        <w:numPr>
          <w:ilvl w:val="0"/>
          <w:numId w:val="1"/>
        </w:numPr>
        <w:ind w:right="-10"/>
        <w:contextualSpacing w:val="0"/>
        <w:jc w:val="both"/>
        <w:rPr>
          <w:rFonts w:ascii="Arial" w:hAnsi="Arial" w:cs="Arial"/>
          <w:b/>
          <w:sz w:val="22"/>
          <w:szCs w:val="22"/>
          <w:u w:val="single"/>
        </w:rPr>
      </w:pPr>
      <w:r w:rsidRPr="00782731">
        <w:rPr>
          <w:rFonts w:ascii="Arial" w:hAnsi="Arial" w:cs="Arial"/>
          <w:b/>
          <w:sz w:val="22"/>
          <w:szCs w:val="22"/>
          <w:u w:val="single"/>
        </w:rPr>
        <w:t>Project Schedule and Milestones</w:t>
      </w:r>
    </w:p>
    <w:p w14:paraId="66591663" w14:textId="77777777" w:rsidR="006E62D9" w:rsidRPr="00167188" w:rsidRDefault="006E62D9" w:rsidP="00167188">
      <w:pPr>
        <w:pStyle w:val="ListParagraph"/>
        <w:ind w:left="360" w:right="-10"/>
        <w:contextualSpacing w:val="0"/>
        <w:jc w:val="both"/>
        <w:rPr>
          <w:rFonts w:ascii="Arial" w:hAnsi="Arial" w:cs="Arial"/>
          <w:b/>
          <w:sz w:val="22"/>
          <w:szCs w:val="22"/>
        </w:rPr>
      </w:pPr>
    </w:p>
    <w:p w14:paraId="4D61D8C8" w14:textId="478A5F5D" w:rsidR="00E94E32" w:rsidRDefault="00E94E32" w:rsidP="00782731">
      <w:pPr>
        <w:widowControl w:val="0"/>
        <w:numPr>
          <w:ilvl w:val="1"/>
          <w:numId w:val="1"/>
        </w:numPr>
        <w:tabs>
          <w:tab w:val="left" w:pos="900"/>
        </w:tabs>
        <w:spacing w:after="120"/>
        <w:jc w:val="both"/>
        <w:rPr>
          <w:rFonts w:eastAsiaTheme="minorHAnsi" w:cs="Arial"/>
          <w:sz w:val="22"/>
          <w:szCs w:val="22"/>
        </w:rPr>
      </w:pPr>
      <w:r w:rsidRPr="00167188">
        <w:rPr>
          <w:rFonts w:eastAsiaTheme="minorHAnsi" w:cs="Arial"/>
          <w:sz w:val="22"/>
          <w:szCs w:val="22"/>
        </w:rPr>
        <w:t>The schedule of deliverables will be as follows:</w:t>
      </w: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8"/>
        <w:gridCol w:w="1721"/>
      </w:tblGrid>
      <w:tr w:rsidR="00782731" w:rsidRPr="00167188" w14:paraId="2357DD8B" w14:textId="77777777" w:rsidTr="00782731">
        <w:tc>
          <w:tcPr>
            <w:tcW w:w="5548" w:type="dxa"/>
            <w:tcBorders>
              <w:bottom w:val="single" w:sz="4" w:space="0" w:color="auto"/>
            </w:tcBorders>
            <w:shd w:val="clear" w:color="auto" w:fill="B8CCE4" w:themeFill="accent1" w:themeFillTint="66"/>
            <w:vAlign w:val="center"/>
          </w:tcPr>
          <w:p w14:paraId="7AB2BE63" w14:textId="77777777" w:rsidR="00782731" w:rsidRPr="00782731" w:rsidRDefault="00782731" w:rsidP="00782731">
            <w:pPr>
              <w:keepNext/>
              <w:keepLines/>
              <w:jc w:val="center"/>
              <w:rPr>
                <w:rFonts w:cs="Arial"/>
                <w:b/>
              </w:rPr>
            </w:pPr>
            <w:r w:rsidRPr="00782731">
              <w:rPr>
                <w:rFonts w:cs="Arial"/>
                <w:b/>
              </w:rPr>
              <w:t>Description</w:t>
            </w:r>
          </w:p>
        </w:tc>
        <w:tc>
          <w:tcPr>
            <w:tcW w:w="1721" w:type="dxa"/>
            <w:shd w:val="clear" w:color="auto" w:fill="B8CCE4" w:themeFill="accent1" w:themeFillTint="66"/>
            <w:vAlign w:val="center"/>
          </w:tcPr>
          <w:p w14:paraId="363ED400" w14:textId="77777777" w:rsidR="00782731" w:rsidRPr="00782731" w:rsidRDefault="00782731" w:rsidP="00782731">
            <w:pPr>
              <w:keepNext/>
              <w:keepLines/>
              <w:jc w:val="center"/>
              <w:rPr>
                <w:rFonts w:cs="Arial"/>
                <w:b/>
              </w:rPr>
            </w:pPr>
            <w:r w:rsidRPr="00782731">
              <w:rPr>
                <w:rFonts w:cs="Arial"/>
                <w:b/>
              </w:rPr>
              <w:t>Expected Delivery</w:t>
            </w:r>
          </w:p>
        </w:tc>
      </w:tr>
      <w:tr w:rsidR="00782731" w:rsidRPr="00167188" w14:paraId="0B384811" w14:textId="77777777" w:rsidTr="00782731">
        <w:tc>
          <w:tcPr>
            <w:tcW w:w="5548" w:type="dxa"/>
          </w:tcPr>
          <w:p w14:paraId="7CDAD34B" w14:textId="77777777" w:rsidR="00782731" w:rsidRPr="00782731" w:rsidRDefault="00782731" w:rsidP="00782731">
            <w:pPr>
              <w:keepNext/>
              <w:keepLines/>
              <w:tabs>
                <w:tab w:val="left" w:pos="327"/>
              </w:tabs>
              <w:rPr>
                <w:rFonts w:cs="Arial"/>
              </w:rPr>
            </w:pPr>
            <w:r w:rsidRPr="00782731">
              <w:rPr>
                <w:rFonts w:cs="Arial"/>
              </w:rPr>
              <w:t xml:space="preserve">Inception Report and Detailed work plan  </w:t>
            </w:r>
          </w:p>
        </w:tc>
        <w:tc>
          <w:tcPr>
            <w:tcW w:w="1721" w:type="dxa"/>
          </w:tcPr>
          <w:p w14:paraId="71E8CE1E" w14:textId="77777777" w:rsidR="00782731" w:rsidRPr="00782731" w:rsidRDefault="00782731" w:rsidP="00782731">
            <w:pPr>
              <w:keepNext/>
              <w:keepLines/>
              <w:jc w:val="center"/>
              <w:rPr>
                <w:rFonts w:cs="Arial"/>
              </w:rPr>
            </w:pPr>
            <w:r w:rsidRPr="00782731">
              <w:rPr>
                <w:rFonts w:cs="Arial"/>
              </w:rPr>
              <w:t>Month 1</w:t>
            </w:r>
          </w:p>
        </w:tc>
      </w:tr>
      <w:tr w:rsidR="00782731" w:rsidRPr="00167188" w14:paraId="1D991BB8" w14:textId="77777777" w:rsidTr="00782731">
        <w:tc>
          <w:tcPr>
            <w:tcW w:w="5548" w:type="dxa"/>
            <w:tcBorders>
              <w:bottom w:val="single" w:sz="4" w:space="0" w:color="auto"/>
            </w:tcBorders>
          </w:tcPr>
          <w:p w14:paraId="09316EB3" w14:textId="77777777" w:rsidR="00782731" w:rsidRPr="00782731" w:rsidRDefault="00782731" w:rsidP="00782731">
            <w:pPr>
              <w:keepNext/>
              <w:keepLines/>
              <w:tabs>
                <w:tab w:val="left" w:pos="327"/>
              </w:tabs>
              <w:rPr>
                <w:rFonts w:cs="Arial"/>
              </w:rPr>
            </w:pPr>
            <w:r w:rsidRPr="00782731">
              <w:rPr>
                <w:rFonts w:cs="Arial"/>
              </w:rPr>
              <w:t xml:space="preserve">Draft Report  </w:t>
            </w:r>
          </w:p>
        </w:tc>
        <w:tc>
          <w:tcPr>
            <w:tcW w:w="1721" w:type="dxa"/>
          </w:tcPr>
          <w:p w14:paraId="4870772F" w14:textId="77777777" w:rsidR="00782731" w:rsidRPr="00782731" w:rsidRDefault="00782731" w:rsidP="00782731">
            <w:pPr>
              <w:keepNext/>
              <w:keepLines/>
              <w:jc w:val="center"/>
              <w:rPr>
                <w:rFonts w:cs="Arial"/>
              </w:rPr>
            </w:pPr>
            <w:r w:rsidRPr="00782731">
              <w:rPr>
                <w:rFonts w:cs="Arial"/>
              </w:rPr>
              <w:t>Month 7</w:t>
            </w:r>
          </w:p>
        </w:tc>
      </w:tr>
      <w:tr w:rsidR="00782731" w:rsidRPr="00167188" w14:paraId="18461FD1" w14:textId="77777777" w:rsidTr="00782731">
        <w:tc>
          <w:tcPr>
            <w:tcW w:w="5548" w:type="dxa"/>
          </w:tcPr>
          <w:p w14:paraId="15C92CED" w14:textId="77777777" w:rsidR="00782731" w:rsidRPr="00782731" w:rsidRDefault="00782731" w:rsidP="00782731">
            <w:pPr>
              <w:keepNext/>
              <w:keepLines/>
              <w:tabs>
                <w:tab w:val="left" w:pos="327"/>
              </w:tabs>
              <w:rPr>
                <w:rFonts w:cs="Arial"/>
              </w:rPr>
            </w:pPr>
            <w:r w:rsidRPr="00782731">
              <w:rPr>
                <w:rFonts w:cs="Arial"/>
              </w:rPr>
              <w:t xml:space="preserve">Validation/Consultation Workshop &amp; Submission of Workshop Report </w:t>
            </w:r>
          </w:p>
        </w:tc>
        <w:tc>
          <w:tcPr>
            <w:tcW w:w="1721" w:type="dxa"/>
          </w:tcPr>
          <w:p w14:paraId="61CD33B9" w14:textId="77777777" w:rsidR="00782731" w:rsidRPr="00782731" w:rsidRDefault="00782731" w:rsidP="00782731">
            <w:pPr>
              <w:keepNext/>
              <w:keepLines/>
              <w:jc w:val="center"/>
              <w:rPr>
                <w:rFonts w:cs="Arial"/>
              </w:rPr>
            </w:pPr>
            <w:r w:rsidRPr="00782731">
              <w:rPr>
                <w:rFonts w:cs="Arial"/>
              </w:rPr>
              <w:t>Month 10</w:t>
            </w:r>
          </w:p>
        </w:tc>
      </w:tr>
      <w:tr w:rsidR="00782731" w:rsidRPr="00167188" w14:paraId="19BD3D73" w14:textId="77777777" w:rsidTr="00782731">
        <w:tc>
          <w:tcPr>
            <w:tcW w:w="5548" w:type="dxa"/>
          </w:tcPr>
          <w:p w14:paraId="553F6612" w14:textId="77777777" w:rsidR="00782731" w:rsidRPr="00782731" w:rsidRDefault="00782731" w:rsidP="00782731">
            <w:pPr>
              <w:keepNext/>
              <w:keepLines/>
              <w:tabs>
                <w:tab w:val="left" w:pos="327"/>
              </w:tabs>
              <w:rPr>
                <w:rFonts w:cs="Arial"/>
              </w:rPr>
            </w:pPr>
            <w:r w:rsidRPr="00782731">
              <w:rPr>
                <w:rFonts w:cs="Arial"/>
              </w:rPr>
              <w:t xml:space="preserve">Final Report </w:t>
            </w:r>
          </w:p>
        </w:tc>
        <w:tc>
          <w:tcPr>
            <w:tcW w:w="1721" w:type="dxa"/>
          </w:tcPr>
          <w:p w14:paraId="7C3BB5E0" w14:textId="77777777" w:rsidR="00782731" w:rsidRPr="00782731" w:rsidRDefault="00782731" w:rsidP="00782731">
            <w:pPr>
              <w:keepNext/>
              <w:keepLines/>
              <w:jc w:val="center"/>
              <w:rPr>
                <w:rFonts w:cs="Arial"/>
              </w:rPr>
            </w:pPr>
            <w:r w:rsidRPr="00782731">
              <w:rPr>
                <w:rFonts w:cs="Arial"/>
              </w:rPr>
              <w:t>Month 12</w:t>
            </w:r>
          </w:p>
        </w:tc>
      </w:tr>
    </w:tbl>
    <w:p w14:paraId="22796055" w14:textId="77777777" w:rsidR="00782731" w:rsidRPr="00167188" w:rsidRDefault="00782731" w:rsidP="00782731">
      <w:pPr>
        <w:widowControl w:val="0"/>
        <w:tabs>
          <w:tab w:val="left" w:pos="900"/>
        </w:tabs>
        <w:ind w:left="792"/>
        <w:jc w:val="both"/>
        <w:rPr>
          <w:rFonts w:eastAsiaTheme="minorHAnsi" w:cs="Arial"/>
          <w:sz w:val="22"/>
          <w:szCs w:val="22"/>
        </w:rPr>
      </w:pPr>
    </w:p>
    <w:p w14:paraId="6DAF73CB" w14:textId="05CD9139" w:rsidR="00E94E32" w:rsidRDefault="00E94E32" w:rsidP="00167188">
      <w:pPr>
        <w:widowControl w:val="0"/>
        <w:tabs>
          <w:tab w:val="left" w:pos="900"/>
        </w:tabs>
        <w:jc w:val="both"/>
        <w:rPr>
          <w:rFonts w:eastAsiaTheme="minorHAnsi" w:cs="Arial"/>
          <w:i/>
          <w:sz w:val="22"/>
          <w:szCs w:val="22"/>
        </w:rPr>
      </w:pPr>
    </w:p>
    <w:p w14:paraId="3A48D8A4" w14:textId="75EA560B" w:rsidR="00782731" w:rsidRDefault="00782731" w:rsidP="00167188">
      <w:pPr>
        <w:widowControl w:val="0"/>
        <w:tabs>
          <w:tab w:val="left" w:pos="900"/>
        </w:tabs>
        <w:jc w:val="both"/>
        <w:rPr>
          <w:rFonts w:eastAsiaTheme="minorHAnsi" w:cs="Arial"/>
          <w:i/>
          <w:sz w:val="22"/>
          <w:szCs w:val="22"/>
        </w:rPr>
      </w:pPr>
    </w:p>
    <w:p w14:paraId="39F3E8EB" w14:textId="3B469AA1" w:rsidR="00782731" w:rsidRDefault="00782731" w:rsidP="00167188">
      <w:pPr>
        <w:widowControl w:val="0"/>
        <w:tabs>
          <w:tab w:val="left" w:pos="900"/>
        </w:tabs>
        <w:jc w:val="both"/>
        <w:rPr>
          <w:rFonts w:eastAsiaTheme="minorHAnsi" w:cs="Arial"/>
          <w:i/>
          <w:sz w:val="22"/>
          <w:szCs w:val="22"/>
        </w:rPr>
      </w:pPr>
    </w:p>
    <w:p w14:paraId="1EA6E25D" w14:textId="69B9FDFF" w:rsidR="00782731" w:rsidRDefault="00782731" w:rsidP="00167188">
      <w:pPr>
        <w:widowControl w:val="0"/>
        <w:tabs>
          <w:tab w:val="left" w:pos="900"/>
        </w:tabs>
        <w:jc w:val="both"/>
        <w:rPr>
          <w:rFonts w:eastAsiaTheme="minorHAnsi" w:cs="Arial"/>
          <w:i/>
          <w:sz w:val="22"/>
          <w:szCs w:val="22"/>
        </w:rPr>
      </w:pPr>
    </w:p>
    <w:p w14:paraId="1F5208EA" w14:textId="7A7819D7" w:rsidR="00782731" w:rsidRDefault="00782731" w:rsidP="00167188">
      <w:pPr>
        <w:widowControl w:val="0"/>
        <w:tabs>
          <w:tab w:val="left" w:pos="900"/>
        </w:tabs>
        <w:jc w:val="both"/>
        <w:rPr>
          <w:rFonts w:eastAsiaTheme="minorHAnsi" w:cs="Arial"/>
          <w:i/>
          <w:sz w:val="22"/>
          <w:szCs w:val="22"/>
        </w:rPr>
      </w:pPr>
    </w:p>
    <w:p w14:paraId="6C8445E3" w14:textId="5FD5F9CB" w:rsidR="00782731" w:rsidRDefault="00782731" w:rsidP="00167188">
      <w:pPr>
        <w:widowControl w:val="0"/>
        <w:tabs>
          <w:tab w:val="left" w:pos="900"/>
        </w:tabs>
        <w:jc w:val="both"/>
        <w:rPr>
          <w:rFonts w:eastAsiaTheme="minorHAnsi" w:cs="Arial"/>
          <w:i/>
          <w:sz w:val="22"/>
          <w:szCs w:val="22"/>
        </w:rPr>
      </w:pPr>
    </w:p>
    <w:p w14:paraId="2F58E88F" w14:textId="77777777" w:rsidR="00782731" w:rsidRPr="00782731" w:rsidRDefault="00782731" w:rsidP="00167188">
      <w:pPr>
        <w:widowControl w:val="0"/>
        <w:tabs>
          <w:tab w:val="left" w:pos="900"/>
        </w:tabs>
        <w:jc w:val="both"/>
        <w:rPr>
          <w:rFonts w:eastAsiaTheme="minorHAnsi" w:cs="Arial"/>
          <w:i/>
          <w:sz w:val="4"/>
          <w:szCs w:val="4"/>
        </w:rPr>
      </w:pPr>
    </w:p>
    <w:p w14:paraId="7F25EBB2" w14:textId="0C75A19E" w:rsidR="009C3A77" w:rsidRPr="00782731" w:rsidRDefault="009C3A77" w:rsidP="009C3A77">
      <w:pPr>
        <w:widowControl w:val="0"/>
        <w:numPr>
          <w:ilvl w:val="0"/>
          <w:numId w:val="1"/>
        </w:numPr>
        <w:rPr>
          <w:rFonts w:eastAsiaTheme="minorHAnsi" w:cs="Arial"/>
          <w:b/>
          <w:sz w:val="22"/>
          <w:szCs w:val="22"/>
          <w:u w:val="single"/>
        </w:rPr>
      </w:pPr>
      <w:r w:rsidRPr="00782731">
        <w:rPr>
          <w:rFonts w:eastAsiaTheme="minorHAnsi" w:cs="Arial"/>
          <w:b/>
          <w:sz w:val="22"/>
          <w:szCs w:val="22"/>
          <w:u w:val="single"/>
        </w:rPr>
        <w:t xml:space="preserve">Reporting </w:t>
      </w:r>
      <w:r w:rsidRPr="00782731">
        <w:rPr>
          <w:rFonts w:eastAsiaTheme="minorHAnsi" w:cs="Arial"/>
          <w:b/>
          <w:sz w:val="22"/>
          <w:szCs w:val="22"/>
          <w:u w:val="single"/>
        </w:rPr>
        <w:t>Requirements</w:t>
      </w:r>
    </w:p>
    <w:p w14:paraId="6CD00EC9" w14:textId="77777777" w:rsidR="009C3A77" w:rsidRPr="00167188" w:rsidRDefault="009C3A77" w:rsidP="009C3A77">
      <w:pPr>
        <w:shd w:val="clear" w:color="auto" w:fill="FFFFFF"/>
        <w:rPr>
          <w:rFonts w:cs="Arial"/>
          <w:color w:val="008800"/>
          <w:sz w:val="22"/>
          <w:szCs w:val="22"/>
          <w:lang w:val="en-GB"/>
        </w:rPr>
      </w:pPr>
    </w:p>
    <w:p w14:paraId="5B52A5BB" w14:textId="77777777" w:rsidR="009C3A77" w:rsidRPr="00782731" w:rsidRDefault="009C3A77" w:rsidP="009C3A77">
      <w:pPr>
        <w:widowControl w:val="0"/>
        <w:numPr>
          <w:ilvl w:val="1"/>
          <w:numId w:val="1"/>
        </w:numPr>
        <w:shd w:val="clear" w:color="auto" w:fill="FFFFFF"/>
        <w:rPr>
          <w:rFonts w:eastAsiaTheme="minorHAnsi" w:cs="Arial"/>
          <w:sz w:val="22"/>
          <w:szCs w:val="22"/>
        </w:rPr>
      </w:pPr>
      <w:r w:rsidRPr="00782731">
        <w:rPr>
          <w:rFonts w:eastAsiaTheme="minorHAnsi" w:cs="Arial"/>
          <w:sz w:val="22"/>
          <w:szCs w:val="22"/>
        </w:rPr>
        <w:t xml:space="preserve">The final report, in case it is written in Spanish, should be presented along with the English translated version. </w:t>
      </w:r>
    </w:p>
    <w:p w14:paraId="43432C26" w14:textId="2B3764B6" w:rsidR="009C3A77" w:rsidRDefault="009C3A77" w:rsidP="00167188">
      <w:pPr>
        <w:widowControl w:val="0"/>
        <w:tabs>
          <w:tab w:val="left" w:pos="900"/>
        </w:tabs>
        <w:jc w:val="both"/>
        <w:rPr>
          <w:rFonts w:eastAsiaTheme="minorHAnsi" w:cs="Arial"/>
          <w:i/>
          <w:sz w:val="22"/>
          <w:szCs w:val="22"/>
        </w:rPr>
      </w:pPr>
    </w:p>
    <w:p w14:paraId="071F7070" w14:textId="75A168A6" w:rsidR="009C3A77" w:rsidRPr="00782731" w:rsidRDefault="009C3A77" w:rsidP="009C3A77">
      <w:pPr>
        <w:widowControl w:val="0"/>
        <w:numPr>
          <w:ilvl w:val="0"/>
          <w:numId w:val="1"/>
        </w:numPr>
        <w:rPr>
          <w:rFonts w:eastAsiaTheme="minorHAnsi" w:cs="Arial"/>
          <w:b/>
          <w:sz w:val="22"/>
          <w:szCs w:val="22"/>
          <w:u w:val="single"/>
        </w:rPr>
      </w:pPr>
      <w:r w:rsidRPr="00782731">
        <w:rPr>
          <w:rFonts w:eastAsiaTheme="minorHAnsi" w:cs="Arial"/>
          <w:b/>
          <w:sz w:val="22"/>
          <w:szCs w:val="22"/>
          <w:u w:val="single"/>
        </w:rPr>
        <w:t>Acceptance Criteria</w:t>
      </w:r>
    </w:p>
    <w:p w14:paraId="4C38A236" w14:textId="717565E9" w:rsidR="009C3A77" w:rsidRPr="00782731" w:rsidRDefault="009C3A77" w:rsidP="009C3A77">
      <w:pPr>
        <w:widowControl w:val="0"/>
        <w:tabs>
          <w:tab w:val="left" w:pos="900"/>
        </w:tabs>
        <w:jc w:val="both"/>
        <w:rPr>
          <w:rFonts w:eastAsiaTheme="minorHAnsi" w:cs="Arial"/>
          <w:sz w:val="8"/>
          <w:szCs w:val="8"/>
        </w:rPr>
      </w:pPr>
    </w:p>
    <w:p w14:paraId="3FD3884A" w14:textId="6A1DD299" w:rsidR="009C3A77" w:rsidRDefault="009C3A77" w:rsidP="00782731">
      <w:pPr>
        <w:widowControl w:val="0"/>
        <w:numPr>
          <w:ilvl w:val="1"/>
          <w:numId w:val="1"/>
        </w:numPr>
        <w:shd w:val="clear" w:color="auto" w:fill="FFFFFF"/>
        <w:rPr>
          <w:rFonts w:eastAsiaTheme="minorHAnsi" w:cs="Arial"/>
          <w:sz w:val="22"/>
          <w:szCs w:val="22"/>
        </w:rPr>
      </w:pPr>
      <w:r>
        <w:rPr>
          <w:rFonts w:eastAsiaTheme="minorHAnsi" w:cs="Arial"/>
          <w:sz w:val="22"/>
          <w:szCs w:val="22"/>
        </w:rPr>
        <w:t xml:space="preserve">Deliverables should </w:t>
      </w:r>
      <w:proofErr w:type="gramStart"/>
      <w:r>
        <w:rPr>
          <w:rFonts w:eastAsiaTheme="minorHAnsi" w:cs="Arial"/>
          <w:sz w:val="22"/>
          <w:szCs w:val="22"/>
        </w:rPr>
        <w:t>be in compliance with</w:t>
      </w:r>
      <w:proofErr w:type="gramEnd"/>
      <w:r>
        <w:rPr>
          <w:rFonts w:eastAsiaTheme="minorHAnsi" w:cs="Arial"/>
          <w:sz w:val="22"/>
          <w:szCs w:val="22"/>
        </w:rPr>
        <w:t xml:space="preserve"> technical requirement detailed above to be considered satisfactory.</w:t>
      </w:r>
    </w:p>
    <w:p w14:paraId="7947790F" w14:textId="77777777" w:rsidR="009C3A77" w:rsidRPr="009C3A77" w:rsidRDefault="009C3A77" w:rsidP="009C3A77">
      <w:pPr>
        <w:widowControl w:val="0"/>
        <w:tabs>
          <w:tab w:val="left" w:pos="900"/>
        </w:tabs>
        <w:jc w:val="both"/>
        <w:rPr>
          <w:rFonts w:eastAsiaTheme="minorHAnsi" w:cs="Arial"/>
          <w:sz w:val="22"/>
          <w:szCs w:val="22"/>
        </w:rPr>
      </w:pPr>
    </w:p>
    <w:p w14:paraId="16818E03" w14:textId="07652E2F" w:rsidR="009C3A77" w:rsidRPr="00782731" w:rsidRDefault="009C3A77" w:rsidP="009C3A77">
      <w:pPr>
        <w:widowControl w:val="0"/>
        <w:numPr>
          <w:ilvl w:val="0"/>
          <w:numId w:val="1"/>
        </w:numPr>
        <w:rPr>
          <w:rFonts w:eastAsiaTheme="minorHAnsi" w:cs="Arial"/>
          <w:b/>
          <w:sz w:val="22"/>
          <w:szCs w:val="22"/>
          <w:u w:val="single"/>
        </w:rPr>
      </w:pPr>
      <w:proofErr w:type="gramStart"/>
      <w:r w:rsidRPr="00782731">
        <w:rPr>
          <w:rFonts w:eastAsiaTheme="minorHAnsi" w:cs="Arial"/>
          <w:b/>
          <w:sz w:val="22"/>
          <w:szCs w:val="22"/>
          <w:u w:val="single"/>
        </w:rPr>
        <w:t>Other</w:t>
      </w:r>
      <w:proofErr w:type="gramEnd"/>
      <w:r w:rsidRPr="00782731">
        <w:rPr>
          <w:rFonts w:eastAsiaTheme="minorHAnsi" w:cs="Arial"/>
          <w:b/>
          <w:sz w:val="22"/>
          <w:szCs w:val="22"/>
          <w:u w:val="single"/>
        </w:rPr>
        <w:t xml:space="preserve"> Requirement</w:t>
      </w:r>
    </w:p>
    <w:p w14:paraId="4DD53EFD" w14:textId="77777777" w:rsidR="009C3A77" w:rsidRPr="00782731" w:rsidRDefault="009C3A77" w:rsidP="009C3A77">
      <w:pPr>
        <w:pStyle w:val="ListParagraph"/>
        <w:rPr>
          <w:rFonts w:eastAsiaTheme="minorHAnsi" w:cs="Arial"/>
          <w:i/>
          <w:sz w:val="8"/>
          <w:szCs w:val="8"/>
        </w:rPr>
      </w:pPr>
    </w:p>
    <w:p w14:paraId="0009FDE2" w14:textId="4EACD8A5" w:rsidR="009C3A77" w:rsidRPr="009C3A77" w:rsidRDefault="009C3A77" w:rsidP="009C3A77">
      <w:pPr>
        <w:widowControl w:val="0"/>
        <w:numPr>
          <w:ilvl w:val="1"/>
          <w:numId w:val="1"/>
        </w:numPr>
        <w:shd w:val="clear" w:color="auto" w:fill="FFFFFF"/>
        <w:spacing w:after="120"/>
        <w:ind w:left="806"/>
        <w:rPr>
          <w:rFonts w:eastAsiaTheme="minorHAnsi" w:cs="Arial"/>
          <w:i/>
          <w:sz w:val="22"/>
          <w:szCs w:val="22"/>
        </w:rPr>
      </w:pPr>
      <w:r w:rsidRPr="00167188">
        <w:rPr>
          <w:rFonts w:cs="Arial"/>
          <w:sz w:val="22"/>
          <w:szCs w:val="22"/>
        </w:rPr>
        <w:t>It is the Consultant’s obligation to provide premises, vehicles and other technical and office equipment for execution of the Services.</w:t>
      </w:r>
    </w:p>
    <w:p w14:paraId="4DFA9434" w14:textId="4048D6E1" w:rsidR="009C3A77" w:rsidRPr="009C3A77" w:rsidRDefault="009C3A77" w:rsidP="009C3A77">
      <w:pPr>
        <w:pStyle w:val="ListParagraph"/>
        <w:numPr>
          <w:ilvl w:val="1"/>
          <w:numId w:val="1"/>
        </w:numPr>
        <w:rPr>
          <w:rFonts w:ascii="Arial" w:eastAsiaTheme="minorHAnsi" w:hAnsi="Arial" w:cs="Arial"/>
          <w:sz w:val="22"/>
          <w:szCs w:val="22"/>
        </w:rPr>
      </w:pPr>
      <w:r w:rsidRPr="009C3A77">
        <w:rPr>
          <w:rFonts w:ascii="Arial" w:eastAsiaTheme="minorHAnsi" w:hAnsi="Arial" w:cs="Arial"/>
          <w:sz w:val="22"/>
          <w:szCs w:val="22"/>
        </w:rPr>
        <w:t>Review of drafts as they become available.</w:t>
      </w:r>
    </w:p>
    <w:p w14:paraId="58002063" w14:textId="77777777" w:rsidR="009C3A77" w:rsidRPr="00167188" w:rsidRDefault="009C3A77" w:rsidP="009C3A77">
      <w:pPr>
        <w:widowControl w:val="0"/>
        <w:shd w:val="clear" w:color="auto" w:fill="FFFFFF"/>
        <w:ind w:left="810"/>
        <w:rPr>
          <w:rFonts w:eastAsiaTheme="minorHAnsi" w:cs="Arial"/>
          <w:i/>
          <w:sz w:val="22"/>
          <w:szCs w:val="22"/>
        </w:rPr>
      </w:pPr>
    </w:p>
    <w:p w14:paraId="03B00544" w14:textId="77777777" w:rsidR="009C3A77" w:rsidRPr="00782731" w:rsidRDefault="009C3A77" w:rsidP="009C3A77">
      <w:pPr>
        <w:widowControl w:val="0"/>
        <w:numPr>
          <w:ilvl w:val="0"/>
          <w:numId w:val="1"/>
        </w:numPr>
        <w:rPr>
          <w:rFonts w:eastAsiaTheme="minorHAnsi" w:cs="Arial"/>
          <w:b/>
          <w:sz w:val="22"/>
          <w:szCs w:val="22"/>
          <w:u w:val="single"/>
        </w:rPr>
      </w:pPr>
      <w:r w:rsidRPr="00782731">
        <w:rPr>
          <w:rFonts w:eastAsiaTheme="minorHAnsi" w:cs="Arial"/>
          <w:b/>
          <w:sz w:val="22"/>
          <w:szCs w:val="22"/>
          <w:u w:val="single"/>
        </w:rPr>
        <w:t>Supervision and Reporting</w:t>
      </w:r>
    </w:p>
    <w:p w14:paraId="12C6B495" w14:textId="77777777" w:rsidR="009C3A77" w:rsidRPr="00782731" w:rsidRDefault="009C3A77" w:rsidP="009C3A77">
      <w:pPr>
        <w:widowControl w:val="0"/>
        <w:ind w:left="360"/>
        <w:rPr>
          <w:rFonts w:eastAsiaTheme="minorHAnsi" w:cs="Arial"/>
          <w:b/>
          <w:sz w:val="8"/>
          <w:szCs w:val="8"/>
          <w:u w:val="single"/>
        </w:rPr>
      </w:pPr>
    </w:p>
    <w:p w14:paraId="78E951AD" w14:textId="24B494CD" w:rsidR="009C3A77" w:rsidRDefault="009C3A77" w:rsidP="00782731">
      <w:pPr>
        <w:widowControl w:val="0"/>
        <w:numPr>
          <w:ilvl w:val="1"/>
          <w:numId w:val="1"/>
        </w:numPr>
        <w:shd w:val="clear" w:color="auto" w:fill="FFFFFF"/>
        <w:ind w:left="807" w:hanging="533"/>
        <w:rPr>
          <w:rFonts w:cs="Arial"/>
          <w:sz w:val="22"/>
          <w:szCs w:val="22"/>
        </w:rPr>
      </w:pPr>
      <w:r w:rsidRPr="00167188">
        <w:rPr>
          <w:rFonts w:cs="Arial"/>
          <w:sz w:val="22"/>
          <w:szCs w:val="22"/>
        </w:rPr>
        <w:t>The client is the division of IFD/CMF.  Consultants will report to Antonio Garcia-Zaballos (</w:t>
      </w:r>
      <w:hyperlink r:id="rId14" w:history="1">
        <w:r w:rsidRPr="00167188">
          <w:rPr>
            <w:rStyle w:val="Hyperlink"/>
            <w:rFonts w:cs="Arial"/>
            <w:sz w:val="22"/>
            <w:szCs w:val="22"/>
          </w:rPr>
          <w:t>antoniogar@iadb.org</w:t>
        </w:r>
      </w:hyperlink>
      <w:r w:rsidRPr="00167188">
        <w:rPr>
          <w:rFonts w:cs="Arial"/>
          <w:sz w:val="22"/>
          <w:szCs w:val="22"/>
        </w:rPr>
        <w:t>) and Enrique Iglesias Rodriguez (</w:t>
      </w:r>
      <w:hyperlink r:id="rId15" w:history="1">
        <w:r w:rsidRPr="00167188">
          <w:rPr>
            <w:rStyle w:val="Hyperlink"/>
            <w:rFonts w:cs="Arial"/>
            <w:sz w:val="22"/>
            <w:szCs w:val="22"/>
          </w:rPr>
          <w:t>enriqueig@iadb.org</w:t>
        </w:r>
      </w:hyperlink>
      <w:r w:rsidRPr="00167188">
        <w:rPr>
          <w:rFonts w:cs="Arial"/>
          <w:sz w:val="22"/>
          <w:szCs w:val="22"/>
        </w:rPr>
        <w:t>). The team will be available remotely or in person throughout for feedback, and will commit to timely</w:t>
      </w:r>
      <w:r>
        <w:rPr>
          <w:rFonts w:cs="Arial"/>
          <w:sz w:val="22"/>
          <w:szCs w:val="22"/>
        </w:rPr>
        <w:t>.</w:t>
      </w:r>
    </w:p>
    <w:p w14:paraId="3EBD4AFF" w14:textId="3C89AEF6" w:rsidR="009C3A77" w:rsidRDefault="009C3A77" w:rsidP="009C3A77">
      <w:pPr>
        <w:widowControl w:val="0"/>
        <w:tabs>
          <w:tab w:val="left" w:pos="900"/>
        </w:tabs>
        <w:jc w:val="both"/>
        <w:rPr>
          <w:rFonts w:cs="Arial"/>
          <w:sz w:val="22"/>
          <w:szCs w:val="22"/>
        </w:rPr>
      </w:pPr>
    </w:p>
    <w:p w14:paraId="0909DEC0" w14:textId="5572AFFC" w:rsidR="009C3A77" w:rsidRPr="00782731" w:rsidRDefault="009C3A77" w:rsidP="00782731">
      <w:pPr>
        <w:widowControl w:val="0"/>
        <w:numPr>
          <w:ilvl w:val="0"/>
          <w:numId w:val="1"/>
        </w:numPr>
        <w:rPr>
          <w:rFonts w:eastAsiaTheme="minorHAnsi" w:cs="Arial"/>
          <w:b/>
          <w:sz w:val="22"/>
          <w:szCs w:val="22"/>
          <w:u w:val="single"/>
        </w:rPr>
      </w:pPr>
      <w:r w:rsidRPr="00782731">
        <w:rPr>
          <w:rFonts w:eastAsiaTheme="minorHAnsi" w:cs="Arial"/>
          <w:b/>
          <w:sz w:val="22"/>
          <w:szCs w:val="22"/>
          <w:u w:val="single"/>
        </w:rPr>
        <w:t>Schedule of Payments</w:t>
      </w:r>
    </w:p>
    <w:p w14:paraId="2BD649CA" w14:textId="12510019" w:rsidR="009C3A77" w:rsidRPr="00782731" w:rsidRDefault="009C3A77" w:rsidP="00782731">
      <w:pPr>
        <w:widowControl w:val="0"/>
        <w:tabs>
          <w:tab w:val="left" w:pos="900"/>
        </w:tabs>
        <w:jc w:val="both"/>
        <w:rPr>
          <w:rFonts w:eastAsiaTheme="minorHAnsi" w:cs="Arial"/>
          <w:sz w:val="8"/>
          <w:szCs w:val="8"/>
        </w:rPr>
      </w:pPr>
    </w:p>
    <w:p w14:paraId="3ACB597D" w14:textId="46776AD0" w:rsidR="00782731" w:rsidRDefault="00782731" w:rsidP="00782731">
      <w:pPr>
        <w:widowControl w:val="0"/>
        <w:numPr>
          <w:ilvl w:val="1"/>
          <w:numId w:val="1"/>
        </w:numPr>
        <w:spacing w:after="120"/>
        <w:ind w:left="821" w:hanging="547"/>
        <w:jc w:val="both"/>
        <w:rPr>
          <w:rFonts w:eastAsiaTheme="minorHAnsi" w:cs="Arial"/>
          <w:sz w:val="22"/>
          <w:szCs w:val="22"/>
        </w:rPr>
      </w:pPr>
      <w:r w:rsidRPr="00782731">
        <w:rPr>
          <w:rFonts w:eastAsiaTheme="minorHAnsi" w:cs="Arial"/>
          <w:sz w:val="22"/>
          <w:szCs w:val="22"/>
        </w:rPr>
        <w:t>Payment terms will be based on project milestones or deliverables. The Bank does not expect to make advance payments under consulting contracts unless a significant amount of travel is required. The Bank wishes to receive the most competitive cost proposal for the services described herein.</w:t>
      </w:r>
    </w:p>
    <w:p w14:paraId="701B2DB8" w14:textId="4790D56B" w:rsidR="00782731" w:rsidRPr="00782731" w:rsidRDefault="00782731" w:rsidP="00782731">
      <w:pPr>
        <w:widowControl w:val="0"/>
        <w:numPr>
          <w:ilvl w:val="1"/>
          <w:numId w:val="1"/>
        </w:numPr>
        <w:spacing w:after="120"/>
        <w:ind w:left="810" w:hanging="540"/>
        <w:jc w:val="both"/>
        <w:rPr>
          <w:rFonts w:eastAsiaTheme="minorHAnsi" w:cs="Arial"/>
          <w:sz w:val="22"/>
          <w:szCs w:val="22"/>
        </w:rPr>
      </w:pPr>
      <w:r w:rsidRPr="00782731">
        <w:rPr>
          <w:rFonts w:eastAsiaTheme="minorHAnsi" w:cs="Arial"/>
          <w:sz w:val="22"/>
          <w:szCs w:val="22"/>
        </w:rPr>
        <w:t>The IDB Official Exchange Rate indicated in the RFP will be applied for necessary conversions of local currency payments.</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8"/>
        <w:gridCol w:w="1855"/>
      </w:tblGrid>
      <w:tr w:rsidR="009C3A77" w:rsidRPr="00782731" w14:paraId="49E7E385" w14:textId="77777777" w:rsidTr="00782731">
        <w:tc>
          <w:tcPr>
            <w:tcW w:w="5548" w:type="dxa"/>
            <w:shd w:val="clear" w:color="auto" w:fill="B8CCE4" w:themeFill="accent1" w:themeFillTint="66"/>
            <w:vAlign w:val="center"/>
          </w:tcPr>
          <w:p w14:paraId="5345FB75" w14:textId="77777777" w:rsidR="009C3A77" w:rsidRPr="00782731" w:rsidRDefault="009C3A77" w:rsidP="00891B9C">
            <w:pPr>
              <w:keepNext/>
              <w:keepLines/>
              <w:jc w:val="center"/>
              <w:rPr>
                <w:rFonts w:cs="Arial"/>
                <w:b/>
              </w:rPr>
            </w:pPr>
            <w:r w:rsidRPr="00782731">
              <w:rPr>
                <w:rFonts w:cs="Arial"/>
                <w:b/>
              </w:rPr>
              <w:t>Description</w:t>
            </w:r>
          </w:p>
        </w:tc>
        <w:tc>
          <w:tcPr>
            <w:tcW w:w="1855" w:type="dxa"/>
            <w:shd w:val="clear" w:color="auto" w:fill="B8CCE4" w:themeFill="accent1" w:themeFillTint="66"/>
            <w:vAlign w:val="center"/>
          </w:tcPr>
          <w:p w14:paraId="3ECC97CA" w14:textId="77777777" w:rsidR="009C3A77" w:rsidRPr="00782731" w:rsidRDefault="009C3A77" w:rsidP="00891B9C">
            <w:pPr>
              <w:keepNext/>
              <w:keepLines/>
              <w:jc w:val="center"/>
              <w:rPr>
                <w:rFonts w:cs="Arial"/>
                <w:b/>
              </w:rPr>
            </w:pPr>
            <w:r w:rsidRPr="00782731">
              <w:rPr>
                <w:rFonts w:cs="Arial"/>
                <w:b/>
              </w:rPr>
              <w:t>Payment Schedule</w:t>
            </w:r>
            <w:r w:rsidRPr="00782731">
              <w:rPr>
                <w:rStyle w:val="FootnoteReference"/>
                <w:rFonts w:eastAsiaTheme="minorEastAsia" w:cs="Arial"/>
                <w:b/>
              </w:rPr>
              <w:footnoteReference w:id="1"/>
            </w:r>
          </w:p>
        </w:tc>
      </w:tr>
      <w:tr w:rsidR="009C3A77" w:rsidRPr="00167188" w14:paraId="04D9B947" w14:textId="77777777" w:rsidTr="00891B9C">
        <w:tc>
          <w:tcPr>
            <w:tcW w:w="5548" w:type="dxa"/>
          </w:tcPr>
          <w:p w14:paraId="60103590" w14:textId="77777777" w:rsidR="009C3A77" w:rsidRPr="00782731" w:rsidRDefault="009C3A77" w:rsidP="00891B9C">
            <w:pPr>
              <w:keepNext/>
              <w:keepLines/>
              <w:tabs>
                <w:tab w:val="left" w:pos="327"/>
              </w:tabs>
              <w:rPr>
                <w:rFonts w:cs="Arial"/>
              </w:rPr>
            </w:pPr>
            <w:r w:rsidRPr="00782731">
              <w:rPr>
                <w:rFonts w:cs="Arial"/>
              </w:rPr>
              <w:t xml:space="preserve">Inception Report and Detailed work plan  </w:t>
            </w:r>
          </w:p>
        </w:tc>
        <w:tc>
          <w:tcPr>
            <w:tcW w:w="1855" w:type="dxa"/>
          </w:tcPr>
          <w:p w14:paraId="68E3C3C1" w14:textId="77777777" w:rsidR="009C3A77" w:rsidRPr="00782731" w:rsidRDefault="009C3A77" w:rsidP="00891B9C">
            <w:pPr>
              <w:keepNext/>
              <w:keepLines/>
              <w:jc w:val="center"/>
              <w:rPr>
                <w:rFonts w:cs="Arial"/>
              </w:rPr>
            </w:pPr>
            <w:r w:rsidRPr="00782731">
              <w:rPr>
                <w:rFonts w:cs="Arial"/>
              </w:rPr>
              <w:t>15%</w:t>
            </w:r>
          </w:p>
        </w:tc>
      </w:tr>
      <w:tr w:rsidR="009C3A77" w:rsidRPr="00167188" w14:paraId="1CD65904" w14:textId="77777777" w:rsidTr="00891B9C">
        <w:tc>
          <w:tcPr>
            <w:tcW w:w="5548" w:type="dxa"/>
          </w:tcPr>
          <w:p w14:paraId="2FA59D6E" w14:textId="77777777" w:rsidR="009C3A77" w:rsidRPr="00782731" w:rsidRDefault="009C3A77" w:rsidP="00891B9C">
            <w:pPr>
              <w:keepNext/>
              <w:keepLines/>
              <w:tabs>
                <w:tab w:val="left" w:pos="327"/>
              </w:tabs>
              <w:rPr>
                <w:rFonts w:cs="Arial"/>
              </w:rPr>
            </w:pPr>
            <w:r w:rsidRPr="00782731">
              <w:rPr>
                <w:rFonts w:cs="Arial"/>
              </w:rPr>
              <w:t xml:space="preserve">Draft Report  </w:t>
            </w:r>
          </w:p>
        </w:tc>
        <w:tc>
          <w:tcPr>
            <w:tcW w:w="1855" w:type="dxa"/>
          </w:tcPr>
          <w:p w14:paraId="7F95471E" w14:textId="77777777" w:rsidR="009C3A77" w:rsidRPr="00782731" w:rsidRDefault="009C3A77" w:rsidP="00891B9C">
            <w:pPr>
              <w:keepNext/>
              <w:keepLines/>
              <w:jc w:val="center"/>
              <w:rPr>
                <w:rFonts w:cs="Arial"/>
              </w:rPr>
            </w:pPr>
            <w:r w:rsidRPr="00782731">
              <w:rPr>
                <w:rFonts w:cs="Arial"/>
              </w:rPr>
              <w:t>25%</w:t>
            </w:r>
          </w:p>
        </w:tc>
      </w:tr>
      <w:tr w:rsidR="009C3A77" w:rsidRPr="00167188" w14:paraId="088E2A3E" w14:textId="77777777" w:rsidTr="00891B9C">
        <w:tc>
          <w:tcPr>
            <w:tcW w:w="5548" w:type="dxa"/>
          </w:tcPr>
          <w:p w14:paraId="66219F87" w14:textId="77777777" w:rsidR="009C3A77" w:rsidRPr="00782731" w:rsidRDefault="009C3A77" w:rsidP="00891B9C">
            <w:pPr>
              <w:keepNext/>
              <w:keepLines/>
              <w:tabs>
                <w:tab w:val="left" w:pos="327"/>
              </w:tabs>
              <w:rPr>
                <w:rFonts w:cs="Arial"/>
              </w:rPr>
            </w:pPr>
            <w:r w:rsidRPr="00782731">
              <w:rPr>
                <w:rFonts w:cs="Arial"/>
              </w:rPr>
              <w:t xml:space="preserve">Validation/Consultation Workshop &amp; Submission of Workshop Report </w:t>
            </w:r>
          </w:p>
        </w:tc>
        <w:tc>
          <w:tcPr>
            <w:tcW w:w="1855" w:type="dxa"/>
          </w:tcPr>
          <w:p w14:paraId="32F1FD46" w14:textId="77777777" w:rsidR="009C3A77" w:rsidRPr="00782731" w:rsidRDefault="009C3A77" w:rsidP="00891B9C">
            <w:pPr>
              <w:keepNext/>
              <w:keepLines/>
              <w:jc w:val="center"/>
              <w:rPr>
                <w:rFonts w:cs="Arial"/>
              </w:rPr>
            </w:pPr>
            <w:r w:rsidRPr="00782731">
              <w:rPr>
                <w:rFonts w:cs="Arial"/>
              </w:rPr>
              <w:t>25%</w:t>
            </w:r>
          </w:p>
        </w:tc>
      </w:tr>
      <w:tr w:rsidR="009C3A77" w:rsidRPr="00167188" w14:paraId="0E654956" w14:textId="77777777" w:rsidTr="00891B9C">
        <w:tc>
          <w:tcPr>
            <w:tcW w:w="5548" w:type="dxa"/>
          </w:tcPr>
          <w:p w14:paraId="50F74EC2" w14:textId="77777777" w:rsidR="009C3A77" w:rsidRPr="00782731" w:rsidRDefault="009C3A77" w:rsidP="00891B9C">
            <w:pPr>
              <w:keepNext/>
              <w:keepLines/>
              <w:tabs>
                <w:tab w:val="left" w:pos="327"/>
              </w:tabs>
              <w:rPr>
                <w:rFonts w:cs="Arial"/>
              </w:rPr>
            </w:pPr>
            <w:r w:rsidRPr="00782731">
              <w:rPr>
                <w:rFonts w:cs="Arial"/>
              </w:rPr>
              <w:t xml:space="preserve">Final Report </w:t>
            </w:r>
          </w:p>
        </w:tc>
        <w:tc>
          <w:tcPr>
            <w:tcW w:w="1855" w:type="dxa"/>
          </w:tcPr>
          <w:p w14:paraId="3A955832" w14:textId="77777777" w:rsidR="009C3A77" w:rsidRPr="00782731" w:rsidRDefault="009C3A77" w:rsidP="00891B9C">
            <w:pPr>
              <w:keepNext/>
              <w:keepLines/>
              <w:jc w:val="center"/>
              <w:rPr>
                <w:rFonts w:cs="Arial"/>
              </w:rPr>
            </w:pPr>
            <w:r w:rsidRPr="00782731">
              <w:rPr>
                <w:rFonts w:cs="Arial"/>
              </w:rPr>
              <w:t>35%</w:t>
            </w:r>
          </w:p>
        </w:tc>
      </w:tr>
    </w:tbl>
    <w:p w14:paraId="29BD9FC1" w14:textId="77777777" w:rsidR="009C3A77" w:rsidRPr="009C3A77" w:rsidRDefault="009C3A77" w:rsidP="009C3A77">
      <w:pPr>
        <w:pStyle w:val="ListParagraph"/>
        <w:widowControl w:val="0"/>
        <w:tabs>
          <w:tab w:val="left" w:pos="900"/>
        </w:tabs>
        <w:ind w:left="360"/>
        <w:jc w:val="both"/>
        <w:rPr>
          <w:rFonts w:eastAsiaTheme="minorHAnsi" w:cs="Arial"/>
          <w:i/>
          <w:sz w:val="22"/>
          <w:szCs w:val="22"/>
        </w:rPr>
      </w:pPr>
    </w:p>
    <w:sectPr w:rsidR="009C3A77" w:rsidRPr="009C3A77" w:rsidSect="00782731">
      <w:headerReference w:type="default" r:id="rId16"/>
      <w:pgSz w:w="12240" w:h="15840"/>
      <w:pgMar w:top="1440" w:right="1800" w:bottom="13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AF8AF" w14:textId="77777777" w:rsidR="00691A6E" w:rsidRDefault="00691A6E" w:rsidP="00A27784">
      <w:r>
        <w:separator/>
      </w:r>
    </w:p>
  </w:endnote>
  <w:endnote w:type="continuationSeparator" w:id="0">
    <w:p w14:paraId="1A1A81BD" w14:textId="77777777" w:rsidR="00691A6E" w:rsidRDefault="00691A6E"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1586" w14:textId="77777777" w:rsidR="00691A6E" w:rsidRDefault="00691A6E" w:rsidP="00A27784">
      <w:r>
        <w:separator/>
      </w:r>
    </w:p>
  </w:footnote>
  <w:footnote w:type="continuationSeparator" w:id="0">
    <w:p w14:paraId="51B98128" w14:textId="77777777" w:rsidR="00691A6E" w:rsidRDefault="00691A6E" w:rsidP="00A27784">
      <w:r>
        <w:continuationSeparator/>
      </w:r>
    </w:p>
  </w:footnote>
  <w:footnote w:id="1">
    <w:p w14:paraId="5EBB338B" w14:textId="77777777" w:rsidR="009C3A77" w:rsidRPr="00782731" w:rsidRDefault="009C3A77" w:rsidP="009C3A77">
      <w:pPr>
        <w:pStyle w:val="FootnoteText"/>
        <w:rPr>
          <w:rFonts w:ascii="Arial" w:hAnsi="Arial" w:cs="Arial"/>
          <w:sz w:val="18"/>
          <w:szCs w:val="18"/>
        </w:rPr>
      </w:pPr>
      <w:r w:rsidRPr="00782731">
        <w:rPr>
          <w:rStyle w:val="FootnoteReference"/>
          <w:rFonts w:ascii="Arial" w:hAnsi="Arial" w:cs="Arial"/>
          <w:sz w:val="18"/>
          <w:szCs w:val="18"/>
        </w:rPr>
        <w:footnoteRef/>
      </w:r>
      <w:r w:rsidRPr="00782731">
        <w:rPr>
          <w:rFonts w:ascii="Arial" w:hAnsi="Arial" w:cs="Arial"/>
          <w:sz w:val="18"/>
          <w:szCs w:val="18"/>
        </w:rPr>
        <w:t xml:space="preserve"> As a percentage of total contract amount.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91682" w14:textId="2B58D3FE" w:rsidR="00A27784" w:rsidRPr="00167188" w:rsidRDefault="00167188" w:rsidP="00167188">
    <w:pPr>
      <w:pStyle w:val="Header"/>
      <w:jc w:val="right"/>
      <w:rPr>
        <w:sz w:val="18"/>
        <w:szCs w:val="18"/>
      </w:rPr>
    </w:pPr>
    <w:r w:rsidRPr="00167188">
      <w:rPr>
        <w:sz w:val="18"/>
        <w:szCs w:val="18"/>
      </w:rPr>
      <w:t>Annex II – RG-2993</w:t>
    </w:r>
  </w:p>
  <w:p w14:paraId="09C986C7" w14:textId="46278721" w:rsidR="00167188" w:rsidRPr="00167188" w:rsidRDefault="00167188" w:rsidP="00167188">
    <w:pPr>
      <w:pStyle w:val="Header"/>
      <w:jc w:val="right"/>
      <w:rPr>
        <w:sz w:val="18"/>
        <w:szCs w:val="18"/>
      </w:rPr>
    </w:pPr>
    <w:r w:rsidRPr="00167188">
      <w:rPr>
        <w:sz w:val="18"/>
        <w:szCs w:val="18"/>
      </w:rPr>
      <w:t xml:space="preserve">Page </w:t>
    </w:r>
    <w:r w:rsidRPr="00167188">
      <w:rPr>
        <w:bCs/>
        <w:sz w:val="18"/>
        <w:szCs w:val="18"/>
      </w:rPr>
      <w:fldChar w:fldCharType="begin"/>
    </w:r>
    <w:r w:rsidRPr="00167188">
      <w:rPr>
        <w:bCs/>
        <w:sz w:val="18"/>
        <w:szCs w:val="18"/>
      </w:rPr>
      <w:instrText xml:space="preserve"> PAGE  \* Arabic  \* MERGEFORMAT </w:instrText>
    </w:r>
    <w:r w:rsidRPr="00167188">
      <w:rPr>
        <w:bCs/>
        <w:sz w:val="18"/>
        <w:szCs w:val="18"/>
      </w:rPr>
      <w:fldChar w:fldCharType="separate"/>
    </w:r>
    <w:r w:rsidR="00A27278">
      <w:rPr>
        <w:bCs/>
        <w:noProof/>
        <w:sz w:val="18"/>
        <w:szCs w:val="18"/>
      </w:rPr>
      <w:t>4</w:t>
    </w:r>
    <w:r w:rsidRPr="00167188">
      <w:rPr>
        <w:bCs/>
        <w:sz w:val="18"/>
        <w:szCs w:val="18"/>
      </w:rPr>
      <w:fldChar w:fldCharType="end"/>
    </w:r>
    <w:r w:rsidRPr="00167188">
      <w:rPr>
        <w:sz w:val="18"/>
        <w:szCs w:val="18"/>
      </w:rPr>
      <w:t xml:space="preserve"> of </w:t>
    </w:r>
    <w:r w:rsidRPr="00167188">
      <w:rPr>
        <w:bCs/>
        <w:sz w:val="18"/>
        <w:szCs w:val="18"/>
      </w:rPr>
      <w:fldChar w:fldCharType="begin"/>
    </w:r>
    <w:r w:rsidRPr="00167188">
      <w:rPr>
        <w:bCs/>
        <w:sz w:val="18"/>
        <w:szCs w:val="18"/>
      </w:rPr>
      <w:instrText xml:space="preserve"> NUMPAGES  \* Arabic  \* MERGEFORMAT </w:instrText>
    </w:r>
    <w:r w:rsidRPr="00167188">
      <w:rPr>
        <w:bCs/>
        <w:sz w:val="18"/>
        <w:szCs w:val="18"/>
      </w:rPr>
      <w:fldChar w:fldCharType="separate"/>
    </w:r>
    <w:r w:rsidR="00A27278">
      <w:rPr>
        <w:bCs/>
        <w:noProof/>
        <w:sz w:val="18"/>
        <w:szCs w:val="18"/>
      </w:rPr>
      <w:t>4</w:t>
    </w:r>
    <w:r w:rsidRPr="00167188">
      <w:rPr>
        <w:bCs/>
        <w:sz w:val="18"/>
        <w:szCs w:val="18"/>
      </w:rPr>
      <w:fldChar w:fldCharType="end"/>
    </w:r>
  </w:p>
  <w:p w14:paraId="66591683" w14:textId="77777777" w:rsidR="006E62D9" w:rsidRPr="006E62D9" w:rsidRDefault="006E62D9">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FAA"/>
    <w:multiLevelType w:val="hybridMultilevel"/>
    <w:tmpl w:val="B8E26AD4"/>
    <w:lvl w:ilvl="0" w:tplc="52B2CE78">
      <w:start w:val="1"/>
      <w:numFmt w:val="decimal"/>
      <w:lvlText w:val="%1."/>
      <w:lvlJc w:val="left"/>
      <w:pPr>
        <w:ind w:left="360" w:hanging="360"/>
      </w:pPr>
      <w:rPr>
        <w:rFonts w:hint="default"/>
        <w:b/>
        <w:i/>
      </w:rPr>
    </w:lvl>
    <w:lvl w:ilvl="1" w:tplc="AFC00EB6">
      <w:start w:val="1"/>
      <w:numFmt w:val="lowerLetter"/>
      <w:lvlText w:val="%2."/>
      <w:lvlJc w:val="left"/>
      <w:pPr>
        <w:ind w:left="720" w:hanging="360"/>
      </w:pPr>
      <w:rPr>
        <w:rFonts w:ascii="Times New Roman" w:eastAsiaTheme="minorEastAsia" w:hAnsi="Times New Roman" w:cs="Times New Roman"/>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EDA69E5"/>
    <w:multiLevelType w:val="hybridMultilevel"/>
    <w:tmpl w:val="5A9A5834"/>
    <w:lvl w:ilvl="0" w:tplc="2FE6FA00">
      <w:start w:val="1"/>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B41A79"/>
    <w:multiLevelType w:val="hybridMultilevel"/>
    <w:tmpl w:val="386E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8C7DAA"/>
    <w:multiLevelType w:val="hybridMultilevel"/>
    <w:tmpl w:val="E1B2F920"/>
    <w:lvl w:ilvl="0" w:tplc="04090017">
      <w:start w:val="1"/>
      <w:numFmt w:val="lowerLetter"/>
      <w:lvlText w:val="%1)"/>
      <w:lvlJc w:val="left"/>
      <w:pPr>
        <w:ind w:left="720" w:hanging="360"/>
      </w:pPr>
    </w:lvl>
    <w:lvl w:ilvl="1" w:tplc="0409001B">
      <w:start w:val="1"/>
      <w:numFmt w:val="lowerRoman"/>
      <w:lvlText w:val="%2."/>
      <w:lvlJc w:val="right"/>
      <w:pPr>
        <w:ind w:left="1170" w:hanging="360"/>
      </w:pPr>
    </w:lvl>
    <w:lvl w:ilvl="2" w:tplc="F4004C16">
      <w:start w:val="4"/>
      <w:numFmt w:val="decimal"/>
      <w:lvlText w:val="%3."/>
      <w:lvlJc w:val="left"/>
      <w:pPr>
        <w:ind w:left="2340" w:hanging="360"/>
      </w:pPr>
      <w:rPr>
        <w:rFonts w:hint="default"/>
        <w:b/>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8D73F5"/>
    <w:multiLevelType w:val="hybridMultilevel"/>
    <w:tmpl w:val="A6A231BE"/>
    <w:lvl w:ilvl="0" w:tplc="52B2CE78">
      <w:start w:val="1"/>
      <w:numFmt w:val="decimal"/>
      <w:lvlText w:val="%1."/>
      <w:lvlJc w:val="left"/>
      <w:pPr>
        <w:ind w:left="360" w:hanging="360"/>
      </w:pPr>
      <w:rPr>
        <w:rFonts w:hint="default"/>
        <w:b/>
        <w:i/>
      </w:rPr>
    </w:lvl>
    <w:lvl w:ilvl="1" w:tplc="0409001B">
      <w:start w:val="1"/>
      <w:numFmt w:val="lowerRoman"/>
      <w:lvlText w:val="%2."/>
      <w:lvlJc w:val="right"/>
      <w:pPr>
        <w:ind w:left="12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252452"/>
    <w:multiLevelType w:val="hybridMultilevel"/>
    <w:tmpl w:val="4B741008"/>
    <w:lvl w:ilvl="0" w:tplc="47BA09E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60C106CF"/>
    <w:multiLevelType w:val="hybridMultilevel"/>
    <w:tmpl w:val="A936E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C65F78"/>
    <w:multiLevelType w:val="multilevel"/>
    <w:tmpl w:val="94B09A8A"/>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0E5B41"/>
    <w:multiLevelType w:val="hybridMultilevel"/>
    <w:tmpl w:val="0DE2E2EC"/>
    <w:lvl w:ilvl="0" w:tplc="0409001B">
      <w:start w:val="1"/>
      <w:numFmt w:val="lowerRoman"/>
      <w:lvlText w:val="%1."/>
      <w:lvlJc w:val="right"/>
      <w:pPr>
        <w:ind w:left="126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9"/>
  </w:num>
  <w:num w:numId="2">
    <w:abstractNumId w:val="1"/>
  </w:num>
  <w:num w:numId="3">
    <w:abstractNumId w:val="10"/>
  </w:num>
  <w:num w:numId="4">
    <w:abstractNumId w:val="7"/>
  </w:num>
  <w:num w:numId="5">
    <w:abstractNumId w:val="3"/>
  </w:num>
  <w:num w:numId="6">
    <w:abstractNumId w:val="6"/>
  </w:num>
  <w:num w:numId="7">
    <w:abstractNumId w:val="0"/>
  </w:num>
  <w:num w:numId="8">
    <w:abstractNumId w:val="2"/>
  </w:num>
  <w:num w:numId="9">
    <w:abstractNumId w:val="4"/>
  </w:num>
  <w:num w:numId="10">
    <w:abstractNumId w:val="5"/>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31CBB"/>
    <w:rsid w:val="00031DE2"/>
    <w:rsid w:val="00167188"/>
    <w:rsid w:val="001B03AD"/>
    <w:rsid w:val="003277B0"/>
    <w:rsid w:val="004E5252"/>
    <w:rsid w:val="00564AB4"/>
    <w:rsid w:val="005657CB"/>
    <w:rsid w:val="005972FF"/>
    <w:rsid w:val="00615112"/>
    <w:rsid w:val="0066187B"/>
    <w:rsid w:val="00691A6E"/>
    <w:rsid w:val="006A2CD4"/>
    <w:rsid w:val="006E62D9"/>
    <w:rsid w:val="00706759"/>
    <w:rsid w:val="00782731"/>
    <w:rsid w:val="007C18D5"/>
    <w:rsid w:val="007F3CCC"/>
    <w:rsid w:val="00860715"/>
    <w:rsid w:val="008634FA"/>
    <w:rsid w:val="008644F0"/>
    <w:rsid w:val="008837A2"/>
    <w:rsid w:val="008A1676"/>
    <w:rsid w:val="0090366A"/>
    <w:rsid w:val="00912C80"/>
    <w:rsid w:val="009C3A77"/>
    <w:rsid w:val="009E4CE6"/>
    <w:rsid w:val="00A27278"/>
    <w:rsid w:val="00A27784"/>
    <w:rsid w:val="00AA59E8"/>
    <w:rsid w:val="00B47990"/>
    <w:rsid w:val="00B516BB"/>
    <w:rsid w:val="00BE1FDB"/>
    <w:rsid w:val="00C65783"/>
    <w:rsid w:val="00C85466"/>
    <w:rsid w:val="00D06011"/>
    <w:rsid w:val="00D76321"/>
    <w:rsid w:val="00E57E21"/>
    <w:rsid w:val="00E94E32"/>
    <w:rsid w:val="00F175B1"/>
    <w:rsid w:val="00F51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9162B"/>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Paragraph,Bullets"/>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Numbered List Paragraph Char,Bullets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basedOn w:val="Normal"/>
    <w:link w:val="FootnoteTextChar"/>
    <w:uiPriority w:val="99"/>
    <w:unhideWhenUsed/>
    <w:rsid w:val="00E94E32"/>
    <w:rPr>
      <w:rFonts w:asciiTheme="minorHAnsi" w:eastAsiaTheme="minorEastAsia" w:hAnsiTheme="minorHAnsi" w:cstheme="minorBidi"/>
      <w:lang w:eastAsia="ja-JP"/>
    </w:rPr>
  </w:style>
  <w:style w:type="character" w:customStyle="1" w:styleId="FootnoteTextChar">
    <w:name w:val="Footnote Text Char"/>
    <w:basedOn w:val="DefaultParagraphFont"/>
    <w:link w:val="FootnoteText"/>
    <w:uiPriority w:val="99"/>
    <w:rsid w:val="00E94E32"/>
    <w:rPr>
      <w:rFonts w:eastAsiaTheme="minorEastAsia"/>
      <w:sz w:val="20"/>
      <w:szCs w:val="20"/>
      <w:lang w:eastAsia="ja-JP"/>
    </w:rPr>
  </w:style>
  <w:style w:type="character" w:styleId="FootnoteReference">
    <w:name w:val="footnote reference"/>
    <w:basedOn w:val="DefaultParagraphFont"/>
    <w:uiPriority w:val="99"/>
    <w:unhideWhenUsed/>
    <w:rsid w:val="00E94E32"/>
    <w:rPr>
      <w:vertAlign w:val="superscript"/>
    </w:rPr>
  </w:style>
  <w:style w:type="character" w:styleId="Hyperlink">
    <w:name w:val="Hyperlink"/>
    <w:basedOn w:val="DefaultParagraphFont"/>
    <w:uiPriority w:val="99"/>
    <w:unhideWhenUsed/>
    <w:rsid w:val="00E94E32"/>
    <w:rPr>
      <w:color w:val="0000FF" w:themeColor="hyperlink"/>
      <w:u w:val="single"/>
    </w:rPr>
  </w:style>
  <w:style w:type="character" w:styleId="Mention">
    <w:name w:val="Mention"/>
    <w:basedOn w:val="DefaultParagraphFont"/>
    <w:uiPriority w:val="99"/>
    <w:semiHidden/>
    <w:unhideWhenUsed/>
    <w:rsid w:val="00E94E3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nriqueig@iadb.org" TargetMode="External"/><Relationship Id="rId10" Type="http://schemas.openxmlformats.org/officeDocument/2006/relationships/settings" Target="settings.xml"/><Relationship Id="rId19" Type="http://schemas.openxmlformats.org/officeDocument/2006/relationships/customXml" Target="../customXml/item8.xml"/><Relationship Id="rId14" Type="http://schemas.openxmlformats.org/officeDocument/2006/relationships/hyperlink" Target="mailto:antoniogar@iadb.org" TargetMode="Externa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553AACE610A2469BC3B2B17A36D399" ma:contentTypeVersion="1363" ma:contentTypeDescription="A content type to manage public (operations) IDB documents" ma:contentTypeScope="" ma:versionID="57e75067827b5e3f20917d03fb32f84f">
  <xsd:schema xmlns:xsd="http://www.w3.org/2001/XMLSchema" xmlns:xs="http://www.w3.org/2001/XMLSchema" xmlns:p="http://schemas.microsoft.com/office/2006/metadata/properties" xmlns:ns2="cdc7663a-08f0-4737-9e8c-148ce897a09c" targetNamespace="http://schemas.microsoft.com/office/2006/metadata/properties" ma:root="true" ma:fieldsID="a7a0ba817b5f3b6c8baae2bb9da64a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99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2018</Fiscal_x0020_Year_x0020_IDB>
    <Other_x0020_Author xmlns="cdc7663a-08f0-4737-9e8c-148ce897a09c">Antonio Garcia Zaballos</Other_x0020_Author>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104</Value>
      <Value>103</Value>
      <Value>44</Value>
      <Value>1</Value>
    </TaxCatchAll>
    <Identifier xmlns="cdc7663a-08f0-4737-9e8c-148ce897a09c" xsi:nil="true"/>
    <_dlc_DocId xmlns="cdc7663a-08f0-4737-9e8c-148ce897a09c">EZSHARE-995024200-6</_dlc_DocId>
    <_dlc_DocIdUrl xmlns="cdc7663a-08f0-4737-9e8c-148ce897a09c">
      <Url>https://idbg.sharepoint.com/teams/EZ-RG-TCP/RG-T2993/_layouts/15/DocIdRedir.aspx?ID=EZSHARE-995024200-6</Url>
      <Description>EZSHARE-995024200-6</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ATN/KK-16700-RG;</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RG-T2993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9660E3D-3261-4E24-90B3-C83D7335AEB8}"/>
</file>

<file path=customXml/itemProps2.xml><?xml version="1.0" encoding="utf-8"?>
<ds:datastoreItem xmlns:ds="http://schemas.openxmlformats.org/officeDocument/2006/customXml" ds:itemID="{EA31DDF9-CC26-4CAC-8A43-0AF4F99D97D0}"/>
</file>

<file path=customXml/itemProps3.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697108BC-6793-4DBB-86BF-E587224108C8}">
  <ds:schemaRefs>
    <ds:schemaRef ds:uri="Microsoft.SharePoint.Taxonomy.ContentTypeSync"/>
  </ds:schemaRefs>
</ds:datastoreItem>
</file>

<file path=customXml/itemProps5.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6.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7.xml><?xml version="1.0" encoding="utf-8"?>
<ds:datastoreItem xmlns:ds="http://schemas.openxmlformats.org/officeDocument/2006/customXml" ds:itemID="{69DD19EA-CD62-47D0-9E70-94ADB2DD9D4B}">
  <ds:schemaRefs>
    <ds:schemaRef ds:uri="http://schemas.openxmlformats.org/officeDocument/2006/bibliography"/>
  </ds:schemaRefs>
</ds:datastoreItem>
</file>

<file path=customXml/itemProps8.xml><?xml version="1.0" encoding="utf-8"?>
<ds:datastoreItem xmlns:ds="http://schemas.openxmlformats.org/officeDocument/2006/customXml" ds:itemID="{0E265F09-23AE-43AA-A7A5-1CAB610B87B5}"/>
</file>

<file path=docProps/app.xml><?xml version="1.0" encoding="utf-8"?>
<Properties xmlns="http://schemas.openxmlformats.org/officeDocument/2006/extended-properties" xmlns:vt="http://schemas.openxmlformats.org/officeDocument/2006/docPropsVTypes">
  <Template>Normal.dotm</Template>
  <TotalTime>14</TotalTime>
  <Pages>4</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Bernedo, Cecilia</cp:lastModifiedBy>
  <cp:revision>3</cp:revision>
  <cp:lastPrinted>2018-03-14T21:10:00Z</cp:lastPrinted>
  <dcterms:created xsi:type="dcterms:W3CDTF">2018-03-14T21:10:00Z</dcterms:created>
  <dcterms:modified xsi:type="dcterms:W3CDTF">2018-03-14T21:24:00Z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31927c65-0c50-452e-9ac0-f3865027c97e</vt:lpwstr>
  </property>
  <property fmtid="{D5CDD505-2E9C-101B-9397-08002B2CF9AE}" pid="9" name="SharedWithUsers">
    <vt:lpwstr>2384;#Nunes da Cunha, Natascha;#2480;#Salazar, Lina Piedad;#3481;#Bravo Velasquez, Julianyth De Jesus</vt:lpwstr>
  </property>
  <property fmtid="{D5CDD505-2E9C-101B-9397-08002B2CF9AE}" pid="10" name="Sub-Sector">
    <vt:lpwstr>104;#TELECOMMUNICATIONS INFRASTRUCTURE|aefa06f2-9334-47b4-baa8-b6fd58d1b6b7</vt:lpwstr>
  </property>
  <property fmtid="{D5CDD505-2E9C-101B-9397-08002B2CF9AE}" pid="11" name="Series Operations IDB">
    <vt:lpwstr/>
  </property>
  <property fmtid="{D5CDD505-2E9C-101B-9397-08002B2CF9AE}" pid="12" name="Fund IDB">
    <vt:lpwstr/>
  </property>
  <property fmtid="{D5CDD505-2E9C-101B-9397-08002B2CF9AE}" pid="13" name="Sector IDB">
    <vt:lpwstr>103;#SCIENCE AND TECHNOLOGY|0cc5734e-64eb-4bef-9520-748f3938df0e</vt:lpwstr>
  </property>
  <property fmtid="{D5CDD505-2E9C-101B-9397-08002B2CF9AE}" pid="14" name="Function Operations IDB">
    <vt:lpwstr>1;#Project Preparation, Planning and Design|29ca0c72-1fc4-435f-a09c-28585cb5eac9</vt:lpwstr>
  </property>
  <property fmtid="{D5CDD505-2E9C-101B-9397-08002B2CF9AE}" pid="15" name="RecordPoint_ActiveItemMoved">
    <vt:lpwstr>/teams/EZ-RG-TCP/RG-T2993/15 LifeCycle Milestones/Draft Area/TC DOC - Annex II - Terms of Reference - RG-T2993.docx</vt:lpwstr>
  </property>
  <property fmtid="{D5CDD505-2E9C-101B-9397-08002B2CF9AE}" pid="16" name="ContentTypeId">
    <vt:lpwstr>0x0101001A458A224826124E8B45B1D613300CFC0023553AACE610A2469BC3B2B17A36D399</vt:lpwstr>
  </property>
</Properties>
</file>